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04EB" w:rsidRPr="005911E2" w:rsidRDefault="008F3A4A" w:rsidP="00867CFB">
      <w:pPr>
        <w:rPr>
          <w:rFonts w:ascii="Sommet Bold" w:hAnsi="Sommet Bold" w:cs="Arial"/>
          <w:b/>
          <w:bCs/>
          <w:sz w:val="36"/>
          <w:szCs w:val="36"/>
        </w:rPr>
      </w:pPr>
      <w:bookmarkStart w:id="0" w:name="_GoBack"/>
      <w:bookmarkEnd w:id="0"/>
      <w:r>
        <w:rPr>
          <w:noProof/>
          <w:lang w:eastAsia="en-AU" w:bidi="ar-SA"/>
        </w:rPr>
        <w:pict>
          <v:shapetype id="_x0000_t202" coordsize="21600,21600" o:spt="202" path="m,l,21600r21600,l21600,xe">
            <v:stroke joinstyle="miter"/>
            <v:path gradientshapeok="t" o:connecttype="rect"/>
          </v:shapetype>
          <v:shape id="Text Box 2" o:spid="_x0000_s1029" type="#_x0000_t202" style="position:absolute;left:0;text-align:left;margin-left:80.45pt;margin-top:-3.1pt;width:427.6pt;height:33pt;z-index:2516648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" filled="f" stroked="f">
            <v:textbox inset="0,0,0,0">
              <w:txbxContent>
                <w:p w:rsidR="00E660BD" w:rsidRPr="003C65B7" w:rsidRDefault="00E660BD" w:rsidP="003C65B7">
                  <w:pPr>
                    <w:pStyle w:val="BodyText"/>
                    <w:ind w:hanging="1451"/>
                    <w:rPr>
                      <w:rStyle w:val="Strong"/>
                      <w:rFonts w:ascii="Arial" w:hAnsi="Arial" w:cs="Arial"/>
                      <w:sz w:val="48"/>
                    </w:rPr>
                  </w:pPr>
                  <w:r w:rsidRPr="003C65B7">
                    <w:rPr>
                      <w:rStyle w:val="Strong"/>
                      <w:rFonts w:ascii="Arial" w:hAnsi="Arial" w:cs="Arial"/>
                      <w:sz w:val="48"/>
                    </w:rPr>
                    <w:t>Social Policy Research Centre</w:t>
                  </w:r>
                </w:p>
              </w:txbxContent>
            </v:textbox>
          </v:shape>
        </w:pict>
      </w:r>
      <w:r w:rsidR="007A148C" w:rsidRPr="005911E2">
        <w:rPr>
          <w:noProof/>
          <w:lang w:eastAsia="en-AU" w:bidi="ar-SA"/>
        </w:rPr>
        <w:drawing>
          <wp:anchor distT="0" distB="0" distL="114300" distR="114300" simplePos="0" relativeHeight="251648000" behindDoc="0" locked="0" layoutInCell="1" allowOverlap="1">
            <wp:simplePos x="0" y="0"/>
            <wp:positionH relativeFrom="column">
              <wp:posOffset>-919480</wp:posOffset>
            </wp:positionH>
            <wp:positionV relativeFrom="paragraph">
              <wp:posOffset>-885190</wp:posOffset>
            </wp:positionV>
            <wp:extent cx="7559040" cy="1783080"/>
            <wp:effectExtent l="0" t="0" r="0" b="0"/>
            <wp:wrapNone/>
            <wp:docPr id="1" name="Picture 2" descr="FAS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SS banner"/>
                    <pic:cNvPicPr>
                      <a:picLocks noChangeAspect="1" noChangeArrowheads="1"/>
                    </pic:cNvPicPr>
                  </pic:nvPicPr>
                  <pic:blipFill>
                    <a:blip r:embed="rId9"/>
                    <a:srcRect/>
                    <a:stretch>
                      <a:fillRect/>
                    </a:stretch>
                  </pic:blipFill>
                  <pic:spPr bwMode="auto">
                    <a:xfrm>
                      <a:off x="0" y="0"/>
                      <a:ext cx="7559040" cy="1783080"/>
                    </a:xfrm>
                    <a:prstGeom prst="rect">
                      <a:avLst/>
                    </a:prstGeom>
                    <a:noFill/>
                    <a:ln w="9525">
                      <a:noFill/>
                      <a:miter lim="800000"/>
                      <a:headEnd/>
                      <a:tailEnd/>
                    </a:ln>
                  </pic:spPr>
                </pic:pic>
              </a:graphicData>
            </a:graphic>
          </wp:anchor>
        </w:drawing>
      </w:r>
    </w:p>
    <w:p w:rsidR="00914E5C" w:rsidRPr="00635468" w:rsidRDefault="008A04EB" w:rsidP="00635468">
      <w:pPr>
        <w:pStyle w:val="BasicParagraph"/>
        <w:spacing w:before="3960" w:after="1680"/>
        <w:ind w:left="0"/>
        <w:jc w:val="left"/>
        <w:rPr>
          <w:rFonts w:cs="Arial"/>
          <w:b/>
          <w:sz w:val="48"/>
          <w:szCs w:val="48"/>
        </w:rPr>
      </w:pPr>
      <w:r w:rsidRPr="005911E2">
        <w:rPr>
          <w:rFonts w:cs="Arial"/>
          <w:b/>
          <w:bCs/>
          <w:sz w:val="48"/>
          <w:szCs w:val="48"/>
        </w:rPr>
        <w:t>Evaluating New Income Management in the Northern Territory: First Evaluation Report</w:t>
      </w:r>
    </w:p>
    <w:p w:rsidR="00914E5C" w:rsidRPr="005911E2" w:rsidRDefault="001857ED" w:rsidP="00635468">
      <w:pPr>
        <w:pStyle w:val="BasicParagraph"/>
        <w:spacing w:after="720"/>
        <w:ind w:left="0"/>
        <w:rPr>
          <w:rFonts w:cs="Arial"/>
          <w:b/>
          <w:sz w:val="28"/>
          <w:szCs w:val="28"/>
        </w:rPr>
      </w:pPr>
      <w:r>
        <w:rPr>
          <w:rFonts w:cs="Arial"/>
          <w:b/>
          <w:sz w:val="28"/>
          <w:szCs w:val="28"/>
        </w:rPr>
        <w:t>July</w:t>
      </w:r>
      <w:r w:rsidRPr="005911E2">
        <w:rPr>
          <w:rFonts w:cs="Arial"/>
          <w:b/>
          <w:sz w:val="28"/>
          <w:szCs w:val="28"/>
        </w:rPr>
        <w:t xml:space="preserve"> </w:t>
      </w:r>
      <w:r w:rsidR="00914E5C" w:rsidRPr="005911E2">
        <w:rPr>
          <w:rFonts w:cs="Arial"/>
          <w:b/>
          <w:sz w:val="28"/>
          <w:szCs w:val="28"/>
        </w:rPr>
        <w:t>2012</w:t>
      </w:r>
    </w:p>
    <w:p w:rsidR="007A148C" w:rsidRPr="005911E2" w:rsidRDefault="003B1A35" w:rsidP="00635468">
      <w:pPr>
        <w:pStyle w:val="BasicParagraph"/>
        <w:spacing w:after="1200"/>
        <w:ind w:left="0"/>
        <w:rPr>
          <w:rFonts w:cs="Arial"/>
          <w:b/>
          <w:sz w:val="28"/>
          <w:szCs w:val="28"/>
        </w:rPr>
      </w:pPr>
      <w:r w:rsidRPr="005911E2">
        <w:rPr>
          <w:rFonts w:cs="Arial"/>
          <w:b/>
          <w:sz w:val="28"/>
          <w:szCs w:val="28"/>
        </w:rPr>
        <w:t>J Rob</w:t>
      </w:r>
      <w:r w:rsidR="001A2465" w:rsidRPr="005911E2">
        <w:rPr>
          <w:rFonts w:cs="Arial"/>
          <w:b/>
          <w:sz w:val="28"/>
          <w:szCs w:val="28"/>
        </w:rPr>
        <w:t xml:space="preserve"> Bray, Matthew Gray, Kelly Hand, Bruce Bradbury</w:t>
      </w:r>
      <w:r w:rsidR="00A33315">
        <w:rPr>
          <w:rFonts w:cs="Arial"/>
          <w:b/>
          <w:sz w:val="28"/>
          <w:szCs w:val="28"/>
        </w:rPr>
        <w:t>,</w:t>
      </w:r>
      <w:r w:rsidR="001A2465" w:rsidRPr="005911E2">
        <w:rPr>
          <w:rFonts w:cs="Arial"/>
          <w:b/>
          <w:sz w:val="28"/>
          <w:szCs w:val="28"/>
        </w:rPr>
        <w:t xml:space="preserve"> Christine Eastman and Ilan Katz</w:t>
      </w:r>
    </w:p>
    <w:p w:rsidR="007F3B49" w:rsidRDefault="007F3B49" w:rsidP="008F76CB">
      <w:pPr>
        <w:pStyle w:val="BasicParagraph"/>
        <w:ind w:left="0"/>
        <w:rPr>
          <w:rFonts w:cs="Arial"/>
          <w:color w:val="FFFFFF" w:themeColor="background1"/>
          <w:szCs w:val="28"/>
        </w:rPr>
      </w:pPr>
      <w:r w:rsidRPr="005911E2">
        <w:rPr>
          <w:rFonts w:cs="Arial"/>
          <w:color w:val="FFFFFF" w:themeColor="background1"/>
          <w:szCs w:val="28"/>
        </w:rPr>
        <w:t>R</w:t>
      </w:r>
    </w:p>
    <w:p w:rsidR="000F35F5" w:rsidRDefault="000F35F5" w:rsidP="008F76CB">
      <w:pPr>
        <w:pStyle w:val="BasicParagraph"/>
        <w:ind w:left="0"/>
        <w:rPr>
          <w:rFonts w:cs="Arial"/>
          <w:color w:val="FFFFFF" w:themeColor="background1"/>
          <w:szCs w:val="28"/>
        </w:rPr>
      </w:pPr>
    </w:p>
    <w:p w:rsidR="000F35F5" w:rsidRPr="005911E2" w:rsidRDefault="000F35F5" w:rsidP="008F76CB">
      <w:pPr>
        <w:pStyle w:val="BasicParagraph"/>
        <w:ind w:left="0"/>
        <w:rPr>
          <w:rFonts w:cs="Arial"/>
          <w:color w:val="FFFFFF" w:themeColor="background1"/>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SPRC and ANU Logos"/>
        <w:tblDescription w:val="SPRC and ANU Logos"/>
      </w:tblPr>
      <w:tblGrid>
        <w:gridCol w:w="4540"/>
        <w:gridCol w:w="4602"/>
      </w:tblGrid>
      <w:tr w:rsidR="007F3B49" w:rsidRPr="005911E2" w:rsidTr="009D15E2">
        <w:trPr>
          <w:tblHeader/>
        </w:trPr>
        <w:tc>
          <w:tcPr>
            <w:tcW w:w="4679" w:type="dxa"/>
          </w:tcPr>
          <w:p w:rsidR="007F3B49" w:rsidRPr="005911E2" w:rsidRDefault="00E75F1A" w:rsidP="00637712">
            <w:pPr>
              <w:pStyle w:val="BasicParagraph"/>
              <w:ind w:left="0"/>
              <w:rPr>
                <w:noProof/>
                <w:lang w:eastAsia="en-AU" w:bidi="ar-SA"/>
              </w:rPr>
            </w:pPr>
            <w:r>
              <w:rPr>
                <w:noProof/>
                <w:lang w:eastAsia="en-AU" w:bidi="ar-SA"/>
              </w:rPr>
              <w:drawing>
                <wp:inline distT="0" distB="0" distL="0" distR="0" wp14:anchorId="3C828B74" wp14:editId="772CAEFD">
                  <wp:extent cx="1805940" cy="741214"/>
                  <wp:effectExtent l="0" t="0" r="3810" b="1905"/>
                  <wp:docPr id="4" name="Picture 38" descr="SPRC Logo" title="SP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l="12385"/>
                          <a:stretch/>
                        </pic:blipFill>
                        <pic:spPr bwMode="auto">
                          <a:xfrm>
                            <a:off x="0" y="0"/>
                            <a:ext cx="1810500" cy="7430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9" w:type="dxa"/>
          </w:tcPr>
          <w:p w:rsidR="007F3B49" w:rsidRPr="005911E2" w:rsidRDefault="00DA29E2" w:rsidP="007F3B49">
            <w:pPr>
              <w:pStyle w:val="BasicParagraph"/>
              <w:ind w:left="0"/>
              <w:jc w:val="right"/>
              <w:rPr>
                <w:noProof/>
                <w:lang w:eastAsia="en-AU" w:bidi="ar-SA"/>
              </w:rPr>
            </w:pPr>
            <w:r>
              <w:rPr>
                <w:noProof/>
                <w:lang w:eastAsia="en-AU" w:bidi="ar-SA"/>
              </w:rPr>
              <w:drawing>
                <wp:inline distT="0" distB="0" distL="0" distR="0" wp14:anchorId="0842158D" wp14:editId="6A417C71">
                  <wp:extent cx="2319890" cy="735330"/>
                  <wp:effectExtent l="0" t="0" r="4445" b="7620"/>
                  <wp:docPr id="6" name="Picture 4" descr="ANU Logo" title="AN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U_LOGO_cmyk_56mm.jpg"/>
                          <pic:cNvPicPr/>
                        </pic:nvPicPr>
                        <pic:blipFill rotWithShape="1">
                          <a:blip r:embed="rId11">
                            <a:extLst>
                              <a:ext uri="{28A0092B-C50C-407E-A947-70E740481C1C}">
                                <a14:useLocalDpi xmlns:a14="http://schemas.microsoft.com/office/drawing/2010/main" val="0"/>
                              </a:ext>
                            </a:extLst>
                          </a:blip>
                          <a:srcRect l="7917" t="26906" r="13750" b="27892"/>
                          <a:stretch/>
                        </pic:blipFill>
                        <pic:spPr bwMode="auto">
                          <a:xfrm>
                            <a:off x="0" y="0"/>
                            <a:ext cx="2325522" cy="737115"/>
                          </a:xfrm>
                          <a:prstGeom prst="rect">
                            <a:avLst/>
                          </a:prstGeom>
                          <a:ln>
                            <a:noFill/>
                          </a:ln>
                          <a:extLst>
                            <a:ext uri="{53640926-AAD7-44D8-BBD7-CCE9431645EC}">
                              <a14:shadowObscured xmlns:a14="http://schemas.microsoft.com/office/drawing/2010/main"/>
                            </a:ext>
                          </a:extLst>
                        </pic:spPr>
                      </pic:pic>
                    </a:graphicData>
                  </a:graphic>
                </wp:inline>
              </w:drawing>
            </w:r>
          </w:p>
        </w:tc>
      </w:tr>
    </w:tbl>
    <w:p w:rsidR="00E24340" w:rsidRPr="00637712" w:rsidRDefault="00E24340">
      <w:pPr>
        <w:spacing w:after="0" w:line="240" w:lineRule="auto"/>
        <w:ind w:left="0"/>
        <w:jc w:val="left"/>
        <w:rPr>
          <w:sz w:val="16"/>
        </w:rPr>
      </w:pPr>
      <w:r>
        <w:rPr>
          <w:noProof/>
          <w:szCs w:val="24"/>
          <w:lang w:eastAsia="en-AU" w:bidi="ar-SA"/>
        </w:rPr>
        <w:br w:type="page"/>
      </w:r>
    </w:p>
    <w:p w:rsidR="00635468" w:rsidRDefault="00635468" w:rsidP="00635468">
      <w:pPr>
        <w:pStyle w:val="BasicParagraph"/>
        <w:ind w:left="0"/>
        <w:rPr>
          <w:noProof/>
          <w:lang w:eastAsia="en-AU" w:bidi="ar-SA"/>
        </w:rPr>
      </w:pPr>
    </w:p>
    <w:p w:rsidR="00E24340" w:rsidRDefault="008B2D48" w:rsidP="00635468">
      <w:pPr>
        <w:pStyle w:val="BasicParagraph"/>
        <w:spacing w:before="11040" w:after="840"/>
        <w:ind w:left="0"/>
        <w:rPr>
          <w:noProof/>
          <w:lang w:eastAsia="en-AU" w:bidi="ar-SA"/>
        </w:rPr>
      </w:pPr>
      <w:r>
        <w:rPr>
          <w:noProof/>
          <w:lang w:eastAsia="en-AU" w:bidi="ar-SA"/>
        </w:rPr>
        <w:t xml:space="preserve">ISBN:  </w:t>
      </w:r>
      <w:r>
        <w:t>978-0-7334-3187-6</w:t>
      </w:r>
    </w:p>
    <w:p w:rsidR="00914E5C" w:rsidRPr="00015F3C" w:rsidRDefault="003E1157" w:rsidP="008F76CB">
      <w:pPr>
        <w:pStyle w:val="BasicParagraph"/>
        <w:ind w:left="0"/>
        <w:rPr>
          <w:noProof/>
          <w:sz w:val="18"/>
          <w:szCs w:val="18"/>
          <w:lang w:eastAsia="en-AU" w:bidi="ar-SA"/>
        </w:rPr>
      </w:pPr>
      <w:r w:rsidRPr="00015F3C">
        <w:rPr>
          <w:noProof/>
          <w:sz w:val="18"/>
          <w:szCs w:val="18"/>
          <w:lang w:eastAsia="en-AU" w:bidi="ar-SA"/>
        </w:rPr>
        <w:t>Disclaimer:</w:t>
      </w:r>
      <w:r w:rsidR="008B303B" w:rsidRPr="00015F3C">
        <w:rPr>
          <w:noProof/>
          <w:sz w:val="18"/>
          <w:szCs w:val="18"/>
          <w:lang w:eastAsia="en-AU" w:bidi="ar-SA"/>
        </w:rPr>
        <w:t xml:space="preserve"> </w:t>
      </w:r>
      <w:r w:rsidRPr="00015F3C">
        <w:rPr>
          <w:noProof/>
          <w:sz w:val="18"/>
          <w:szCs w:val="18"/>
          <w:lang w:eastAsia="en-AU" w:bidi="ar-SA"/>
        </w:rPr>
        <w:t>The views expressed in this report are those of the authors and may not refl</w:t>
      </w:r>
      <w:r w:rsidR="00B50356" w:rsidRPr="00015F3C">
        <w:rPr>
          <w:noProof/>
          <w:sz w:val="18"/>
          <w:szCs w:val="18"/>
          <w:lang w:eastAsia="en-AU" w:bidi="ar-SA"/>
        </w:rPr>
        <w:t>e</w:t>
      </w:r>
      <w:r w:rsidRPr="00015F3C">
        <w:rPr>
          <w:noProof/>
          <w:sz w:val="18"/>
          <w:szCs w:val="18"/>
          <w:lang w:eastAsia="en-AU" w:bidi="ar-SA"/>
        </w:rPr>
        <w:t>ct those of the Department of Families, Housing, Community Services and Indigenous Affairs, the Australian Institute of Family Studies or the Australian Government.</w:t>
      </w:r>
      <w:r w:rsidR="00D8554A" w:rsidRPr="00015F3C">
        <w:rPr>
          <w:noProof/>
          <w:sz w:val="18"/>
          <w:szCs w:val="18"/>
          <w:lang w:eastAsia="en-AU" w:bidi="ar-SA"/>
        </w:rPr>
        <w:t xml:space="preserve"> </w:t>
      </w:r>
    </w:p>
    <w:p w:rsidR="00D8554A" w:rsidRPr="005911E2" w:rsidRDefault="00D8554A" w:rsidP="008F76CB">
      <w:pPr>
        <w:pStyle w:val="BasicParagraph"/>
        <w:ind w:left="0"/>
        <w:rPr>
          <w:noProof/>
          <w:lang w:eastAsia="en-AU" w:bidi="ar-SA"/>
        </w:rPr>
      </w:pPr>
    </w:p>
    <w:p w:rsidR="003E1157" w:rsidRPr="005911E2" w:rsidRDefault="003E1157" w:rsidP="008F76CB">
      <w:pPr>
        <w:pStyle w:val="BasicParagraph"/>
        <w:ind w:left="0"/>
        <w:rPr>
          <w:rFonts w:cs="Arial"/>
          <w:color w:val="FFFFFF" w:themeColor="background1"/>
          <w:szCs w:val="28"/>
        </w:rPr>
        <w:sectPr w:rsidR="003E1157" w:rsidRPr="005911E2" w:rsidSect="00E24340">
          <w:footerReference w:type="even" r:id="rId12"/>
          <w:footerReference w:type="default" r:id="rId13"/>
          <w:pgSz w:w="11906" w:h="16838" w:code="9"/>
          <w:pgMar w:top="1418" w:right="1346" w:bottom="1418" w:left="1418" w:header="0" w:footer="284" w:gutter="0"/>
          <w:cols w:space="708"/>
          <w:docGrid w:linePitch="360"/>
        </w:sectPr>
      </w:pPr>
      <w:r w:rsidRPr="005911E2">
        <w:rPr>
          <w:rFonts w:cs="Arial"/>
          <w:color w:val="FFFFFF" w:themeColor="background1"/>
          <w:szCs w:val="28"/>
        </w:rPr>
        <w:t>T</w:t>
      </w:r>
    </w:p>
    <w:p w:rsidR="00914E5C" w:rsidRPr="005911E2" w:rsidRDefault="00914E5C" w:rsidP="00BD6DFD">
      <w:pPr>
        <w:pStyle w:val="Heading0"/>
      </w:pPr>
      <w:bookmarkStart w:id="1" w:name="_Toc321225085"/>
      <w:bookmarkStart w:id="2" w:name="_Toc321254429"/>
      <w:bookmarkStart w:id="3" w:name="_Toc328601448"/>
      <w:bookmarkStart w:id="4" w:name="_Toc329870329"/>
      <w:bookmarkStart w:id="5" w:name="_Toc335915715"/>
      <w:bookmarkStart w:id="6" w:name="_Toc207422314"/>
      <w:bookmarkStart w:id="7" w:name="_Toc236569659"/>
      <w:r w:rsidRPr="005911E2">
        <w:lastRenderedPageBreak/>
        <w:t>Research team</w:t>
      </w:r>
      <w:bookmarkEnd w:id="1"/>
      <w:bookmarkEnd w:id="2"/>
      <w:bookmarkEnd w:id="3"/>
      <w:bookmarkEnd w:id="4"/>
      <w:bookmarkEnd w:id="5"/>
    </w:p>
    <w:p w:rsidR="00914E5C" w:rsidRPr="005911E2" w:rsidRDefault="00914E5C" w:rsidP="00F37DDC">
      <w:pPr>
        <w:pStyle w:val="BodyText"/>
        <w:rPr>
          <w:b/>
        </w:rPr>
      </w:pPr>
      <w:r w:rsidRPr="005911E2">
        <w:rPr>
          <w:b/>
        </w:rPr>
        <w:t>Social Policy Research Centre, University of New South Wales</w:t>
      </w:r>
    </w:p>
    <w:p w:rsidR="00914E5C" w:rsidRPr="005911E2" w:rsidRDefault="001A2465" w:rsidP="00F37DDC">
      <w:pPr>
        <w:rPr>
          <w:noProof/>
        </w:rPr>
      </w:pPr>
      <w:r w:rsidRPr="005911E2">
        <w:rPr>
          <w:noProof/>
        </w:rPr>
        <w:t xml:space="preserve">Professor </w:t>
      </w:r>
      <w:r w:rsidR="00914E5C" w:rsidRPr="005911E2">
        <w:rPr>
          <w:noProof/>
        </w:rPr>
        <w:t>Ilan Katz</w:t>
      </w:r>
      <w:r w:rsidRPr="005911E2">
        <w:rPr>
          <w:noProof/>
        </w:rPr>
        <w:t>, Chief Investigator</w:t>
      </w:r>
    </w:p>
    <w:p w:rsidR="00914E5C" w:rsidRPr="005911E2" w:rsidRDefault="001A2465" w:rsidP="00F37DDC">
      <w:pPr>
        <w:rPr>
          <w:noProof/>
        </w:rPr>
      </w:pPr>
      <w:r w:rsidRPr="005911E2">
        <w:rPr>
          <w:noProof/>
        </w:rPr>
        <w:t xml:space="preserve">Dr </w:t>
      </w:r>
      <w:r w:rsidR="00914E5C" w:rsidRPr="005911E2">
        <w:rPr>
          <w:noProof/>
        </w:rPr>
        <w:t>Bruce Bradbury</w:t>
      </w:r>
    </w:p>
    <w:p w:rsidR="00914E5C" w:rsidRPr="005911E2" w:rsidRDefault="00914E5C" w:rsidP="00F37DDC">
      <w:pPr>
        <w:rPr>
          <w:noProof/>
        </w:rPr>
      </w:pPr>
      <w:r w:rsidRPr="005911E2">
        <w:rPr>
          <w:noProof/>
        </w:rPr>
        <w:t>Christine Eastman</w:t>
      </w:r>
    </w:p>
    <w:p w:rsidR="00914E5C" w:rsidRPr="005911E2" w:rsidRDefault="00914E5C" w:rsidP="00F37DDC">
      <w:pPr>
        <w:rPr>
          <w:noProof/>
        </w:rPr>
      </w:pPr>
      <w:r w:rsidRPr="005911E2">
        <w:rPr>
          <w:noProof/>
        </w:rPr>
        <w:t>Marie Delaney</w:t>
      </w:r>
    </w:p>
    <w:p w:rsidR="00914E5C" w:rsidRPr="005911E2" w:rsidRDefault="00914E5C" w:rsidP="00F37DDC">
      <w:pPr>
        <w:rPr>
          <w:noProof/>
        </w:rPr>
      </w:pPr>
    </w:p>
    <w:p w:rsidR="005D3EB0" w:rsidRPr="005911E2" w:rsidRDefault="005D3EB0" w:rsidP="005D3EB0">
      <w:pPr>
        <w:pStyle w:val="BodyText"/>
        <w:rPr>
          <w:b/>
        </w:rPr>
      </w:pPr>
      <w:r w:rsidRPr="005911E2">
        <w:rPr>
          <w:b/>
        </w:rPr>
        <w:t>Australian National University</w:t>
      </w:r>
    </w:p>
    <w:p w:rsidR="005D3EB0" w:rsidRPr="005911E2" w:rsidRDefault="005D3EB0" w:rsidP="005D3EB0">
      <w:pPr>
        <w:rPr>
          <w:noProof/>
        </w:rPr>
      </w:pPr>
      <w:r w:rsidRPr="005911E2">
        <w:rPr>
          <w:noProof/>
        </w:rPr>
        <w:t>Professor Matthew Gray</w:t>
      </w:r>
    </w:p>
    <w:p w:rsidR="005D3EB0" w:rsidRPr="005911E2" w:rsidRDefault="005D3EB0" w:rsidP="005D3EB0">
      <w:pPr>
        <w:rPr>
          <w:noProof/>
        </w:rPr>
      </w:pPr>
      <w:r w:rsidRPr="005911E2">
        <w:rPr>
          <w:noProof/>
        </w:rPr>
        <w:t>J Rob Bray</w:t>
      </w:r>
    </w:p>
    <w:p w:rsidR="005D3EB0" w:rsidRPr="005911E2" w:rsidRDefault="005D3EB0" w:rsidP="00F37DDC">
      <w:pPr>
        <w:pStyle w:val="BodyText"/>
        <w:rPr>
          <w:b/>
        </w:rPr>
      </w:pPr>
    </w:p>
    <w:p w:rsidR="00914E5C" w:rsidRPr="005911E2" w:rsidRDefault="00914E5C" w:rsidP="00F37DDC">
      <w:pPr>
        <w:pStyle w:val="BodyText"/>
        <w:rPr>
          <w:b/>
        </w:rPr>
      </w:pPr>
      <w:r w:rsidRPr="005911E2">
        <w:rPr>
          <w:b/>
        </w:rPr>
        <w:t>Australian Institute of Family Studies</w:t>
      </w:r>
    </w:p>
    <w:p w:rsidR="00914E5C" w:rsidRPr="005911E2" w:rsidRDefault="00914E5C" w:rsidP="00F37DDC">
      <w:pPr>
        <w:rPr>
          <w:noProof/>
        </w:rPr>
      </w:pPr>
      <w:r w:rsidRPr="005911E2">
        <w:rPr>
          <w:noProof/>
        </w:rPr>
        <w:t>Kelly Hand</w:t>
      </w:r>
    </w:p>
    <w:p w:rsidR="00914E5C" w:rsidRPr="005911E2" w:rsidRDefault="001A2465" w:rsidP="00635468">
      <w:pPr>
        <w:spacing w:after="4920"/>
        <w:rPr>
          <w:noProof/>
        </w:rPr>
      </w:pPr>
      <w:r w:rsidRPr="005911E2">
        <w:rPr>
          <w:noProof/>
        </w:rPr>
        <w:t xml:space="preserve">Dr </w:t>
      </w:r>
      <w:r w:rsidR="00914E5C" w:rsidRPr="005911E2">
        <w:rPr>
          <w:noProof/>
        </w:rPr>
        <w:t>Daryl Higgins</w:t>
      </w:r>
    </w:p>
    <w:p w:rsidR="00234646" w:rsidRPr="00C04728" w:rsidRDefault="00234646" w:rsidP="00234646">
      <w:pPr>
        <w:pStyle w:val="BodyText"/>
        <w:rPr>
          <w:b/>
          <w:sz w:val="16"/>
          <w:szCs w:val="16"/>
        </w:rPr>
      </w:pPr>
      <w:bookmarkStart w:id="8" w:name="_Toc477608098"/>
      <w:bookmarkStart w:id="9" w:name="_Toc482070843"/>
      <w:r w:rsidRPr="00C04728">
        <w:rPr>
          <w:b/>
          <w:sz w:val="16"/>
          <w:szCs w:val="16"/>
        </w:rPr>
        <w:t>Contact for follow up</w:t>
      </w:r>
    </w:p>
    <w:p w:rsidR="00234646" w:rsidRPr="00C04728" w:rsidRDefault="00234646" w:rsidP="00234646">
      <w:pPr>
        <w:pStyle w:val="BodyText"/>
        <w:jc w:val="left"/>
        <w:rPr>
          <w:noProof/>
          <w:sz w:val="16"/>
          <w:szCs w:val="16"/>
        </w:rPr>
      </w:pPr>
      <w:r w:rsidRPr="00C04728">
        <w:rPr>
          <w:noProof/>
          <w:sz w:val="16"/>
          <w:szCs w:val="16"/>
        </w:rPr>
        <w:t>Ilan Katz, Social Policy Research Centre, University of New So</w:t>
      </w:r>
      <w:r>
        <w:rPr>
          <w:noProof/>
          <w:sz w:val="16"/>
          <w:szCs w:val="16"/>
        </w:rPr>
        <w:t>uth Wales, Sydney NSW 2052, Ph: </w:t>
      </w:r>
      <w:r w:rsidRPr="00C04728">
        <w:rPr>
          <w:noProof/>
          <w:sz w:val="16"/>
          <w:szCs w:val="16"/>
        </w:rPr>
        <w:t xml:space="preserve">(02) 9385 7810,email:  </w:t>
      </w:r>
      <w:hyperlink r:id="rId14" w:history="1">
        <w:r w:rsidRPr="00C04728">
          <w:rPr>
            <w:rStyle w:val="Hyperlink"/>
            <w:noProof/>
            <w:sz w:val="16"/>
            <w:szCs w:val="16"/>
          </w:rPr>
          <w:t>ilan.katz@unsw.edu.au</w:t>
        </w:r>
      </w:hyperlink>
    </w:p>
    <w:bookmarkEnd w:id="8"/>
    <w:bookmarkEnd w:id="9"/>
    <w:p w:rsidR="004130D8" w:rsidRPr="005911E2" w:rsidRDefault="004130D8">
      <w:pPr>
        <w:spacing w:after="0" w:line="240" w:lineRule="auto"/>
        <w:ind w:left="0"/>
        <w:jc w:val="left"/>
        <w:rPr>
          <w:noProof/>
          <w:lang w:eastAsia="en-AU"/>
        </w:rPr>
      </w:pPr>
      <w:r w:rsidRPr="005911E2">
        <w:rPr>
          <w:noProof/>
        </w:rPr>
        <w:br w:type="page"/>
      </w:r>
    </w:p>
    <w:p w:rsidR="00914E5C" w:rsidRDefault="009172DD" w:rsidP="00E24340">
      <w:pPr>
        <w:pStyle w:val="Heading0"/>
        <w:rPr>
          <w:noProof/>
        </w:rPr>
      </w:pPr>
      <w:bookmarkStart w:id="10" w:name="_Toc329870330"/>
      <w:bookmarkStart w:id="11" w:name="_Toc335915716"/>
      <w:r>
        <w:rPr>
          <w:noProof/>
        </w:rPr>
        <w:lastRenderedPageBreak/>
        <w:t>Acknowledgements</w:t>
      </w:r>
      <w:bookmarkEnd w:id="10"/>
      <w:bookmarkEnd w:id="11"/>
    </w:p>
    <w:p w:rsidR="00604D11" w:rsidRDefault="00604D11" w:rsidP="00604D11">
      <w:pPr>
        <w:pStyle w:val="BodyText"/>
        <w:rPr>
          <w:noProof/>
        </w:rPr>
      </w:pPr>
      <w:r>
        <w:rPr>
          <w:noProof/>
        </w:rPr>
        <w:t>Th</w:t>
      </w:r>
      <w:r w:rsidR="007A148C">
        <w:rPr>
          <w:noProof/>
        </w:rPr>
        <w:t>is</w:t>
      </w:r>
      <w:r>
        <w:rPr>
          <w:noProof/>
        </w:rPr>
        <w:t xml:space="preserve"> evaluation of New Income Management has been commissioned by the Australian Government Department of Families, Housing, Community Services and Indigenous Affairs.</w:t>
      </w:r>
    </w:p>
    <w:p w:rsidR="00604D11" w:rsidRDefault="00604D11" w:rsidP="00604D11">
      <w:pPr>
        <w:pStyle w:val="BodyText"/>
        <w:rPr>
          <w:noProof/>
        </w:rPr>
      </w:pPr>
      <w:r>
        <w:rPr>
          <w:noProof/>
        </w:rPr>
        <w:t>The authors would like to acknowledge and thank all of those who participated in or assisted with the evaluation, including: the Aboriginal Medical Services Alliance of the Northern Territory (AMSANT), ARPNet at Charles Darwin University, the Australian Government Department of Health and Ageing, the Australian Government Department of Education, Employment and Workplace Relations, Brotherhood of St Laurence, Central Australian Aboriginal Legal Aid</w:t>
      </w:r>
      <w:r w:rsidR="00BB14C5">
        <w:rPr>
          <w:noProof/>
        </w:rPr>
        <w:t xml:space="preserve"> </w:t>
      </w:r>
      <w:r>
        <w:rPr>
          <w:noProof/>
        </w:rPr>
        <w:t>Services (CAALAS), Darwin Community Legal Service, Mission Australia, Ngaanyatjarra Pitjantjatjara Yankunytjatjara (NPY) Women's Council, North Australian Aboriginal Justice Agency (NAAJA), Northern Territory Legal Aid Commission,</w:t>
      </w:r>
      <w:r w:rsidR="006435C8">
        <w:rPr>
          <w:noProof/>
        </w:rPr>
        <w:t xml:space="preserve"> Northern Territory </w:t>
      </w:r>
      <w:r>
        <w:rPr>
          <w:noProof/>
        </w:rPr>
        <w:t>Council of Social Services (NTCOSS),</w:t>
      </w:r>
      <w:r w:rsidR="006435C8">
        <w:rPr>
          <w:noProof/>
        </w:rPr>
        <w:t xml:space="preserve"> Northern Territory </w:t>
      </w:r>
      <w:r>
        <w:rPr>
          <w:noProof/>
        </w:rPr>
        <w:t>Government Department of Children and Families,</w:t>
      </w:r>
      <w:r w:rsidR="006435C8">
        <w:rPr>
          <w:noProof/>
        </w:rPr>
        <w:t xml:space="preserve"> Northern Territory </w:t>
      </w:r>
      <w:r>
        <w:rPr>
          <w:noProof/>
        </w:rPr>
        <w:t>Government Department of Education and Training,</w:t>
      </w:r>
      <w:r w:rsidR="006435C8">
        <w:rPr>
          <w:noProof/>
        </w:rPr>
        <w:t xml:space="preserve"> Northern Territory </w:t>
      </w:r>
      <w:r>
        <w:rPr>
          <w:noProof/>
        </w:rPr>
        <w:t>Government Department of Health, and Justice, the Refugee Council of Australia, Tangentyere Council</w:t>
      </w:r>
      <w:r w:rsidR="00BB14C5">
        <w:rPr>
          <w:noProof/>
        </w:rPr>
        <w:t xml:space="preserve"> </w:t>
      </w:r>
      <w:r>
        <w:rPr>
          <w:noProof/>
        </w:rPr>
        <w:t>and the Tangentyere Research Hub and the Western Australian Government Department of Child Protection. We also would li</w:t>
      </w:r>
      <w:r w:rsidR="007A148C">
        <w:rPr>
          <w:noProof/>
        </w:rPr>
        <w:t xml:space="preserve">ke to acknowledge and thank the </w:t>
      </w:r>
      <w:r>
        <w:rPr>
          <w:noProof/>
        </w:rPr>
        <w:t>organisations and leaders in the communities in which the Longitudinal Survey of New Income Management is being collected for their agreement for the survey to be conducted in their communities.</w:t>
      </w:r>
    </w:p>
    <w:p w:rsidR="00604D11" w:rsidRDefault="00604D11" w:rsidP="00604D11">
      <w:pPr>
        <w:pStyle w:val="BodyText"/>
        <w:rPr>
          <w:noProof/>
        </w:rPr>
      </w:pPr>
      <w:r>
        <w:rPr>
          <w:noProof/>
        </w:rPr>
        <w:t xml:space="preserve">We also acknowledge the helpful assistance of staff from the Australian Government Department of Families, Housing, Community Services and Indigenous Affairs and the Australian Government Department of Human Services. </w:t>
      </w:r>
    </w:p>
    <w:p w:rsidR="009172DD" w:rsidRPr="005911E2" w:rsidRDefault="00604D11" w:rsidP="00F37DDC">
      <w:pPr>
        <w:pStyle w:val="BodyText"/>
        <w:rPr>
          <w:noProof/>
        </w:rPr>
      </w:pPr>
      <w:r>
        <w:rPr>
          <w:noProof/>
        </w:rPr>
        <w:t>Of course, the evaluation would not have been possible without the many people who provided information about their lives or professional experiences during the course of the evaluation, including community members subject to income management, staff from Centrelink,</w:t>
      </w:r>
      <w:r w:rsidR="006435C8">
        <w:rPr>
          <w:noProof/>
        </w:rPr>
        <w:t xml:space="preserve"> Northern Territory </w:t>
      </w:r>
      <w:r>
        <w:rPr>
          <w:noProof/>
        </w:rPr>
        <w:t>Department of Children and Families (DCF) child protection, Commonwealth funded money management and financial counselling services and merchants registered to accept the BasicsCard. Without this generous willingness to participate, the evaluation would not have been possible.</w:t>
      </w:r>
    </w:p>
    <w:p w:rsidR="004130D8" w:rsidRPr="005911E2" w:rsidRDefault="004130D8" w:rsidP="00F37DDC">
      <w:pPr>
        <w:pStyle w:val="BodyText"/>
        <w:rPr>
          <w:noProof/>
        </w:rPr>
        <w:sectPr w:rsidR="004130D8" w:rsidRPr="005911E2" w:rsidSect="00D7627F">
          <w:footerReference w:type="even" r:id="rId15"/>
          <w:footerReference w:type="default" r:id="rId16"/>
          <w:headerReference w:type="first" r:id="rId17"/>
          <w:footerReference w:type="first" r:id="rId18"/>
          <w:pgSz w:w="11906" w:h="16838" w:code="9"/>
          <w:pgMar w:top="1440" w:right="1440" w:bottom="1440" w:left="1440" w:header="709" w:footer="284" w:gutter="0"/>
          <w:pgNumType w:fmt="lowerRoman" w:start="1"/>
          <w:cols w:space="708"/>
          <w:titlePg/>
          <w:docGrid w:linePitch="360"/>
        </w:sectPr>
      </w:pPr>
    </w:p>
    <w:p w:rsidR="00914E5C" w:rsidRPr="005911E2" w:rsidRDefault="00914E5C" w:rsidP="00007FB2">
      <w:pPr>
        <w:pStyle w:val="Heading0"/>
        <w:spacing w:after="480"/>
      </w:pPr>
      <w:bookmarkStart w:id="12" w:name="_Toc321225086"/>
      <w:bookmarkStart w:id="13" w:name="_Toc321254430"/>
      <w:bookmarkStart w:id="14" w:name="_Toc328601449"/>
      <w:bookmarkStart w:id="15" w:name="_Toc329870331"/>
      <w:bookmarkStart w:id="16" w:name="_Toc335915717"/>
      <w:r w:rsidRPr="005911E2">
        <w:lastRenderedPageBreak/>
        <w:t>Contents</w:t>
      </w:r>
      <w:bookmarkEnd w:id="12"/>
      <w:bookmarkEnd w:id="13"/>
      <w:bookmarkEnd w:id="14"/>
      <w:bookmarkEnd w:id="15"/>
      <w:bookmarkEnd w:id="16"/>
    </w:p>
    <w:sdt>
      <w:sdtPr>
        <w:rPr>
          <w:noProof w:val="0"/>
          <w:szCs w:val="20"/>
          <w:lang w:eastAsia="en-AU"/>
        </w:rPr>
        <w:id w:val="563872588"/>
        <w:docPartObj>
          <w:docPartGallery w:val="Table of Contents"/>
          <w:docPartUnique/>
        </w:docPartObj>
      </w:sdtPr>
      <w:sdtEndPr>
        <w:rPr>
          <w:noProof/>
          <w:szCs w:val="22"/>
          <w:lang w:eastAsia="en-US"/>
        </w:rPr>
      </w:sdtEndPr>
      <w:sdtContent>
        <w:p w:rsidR="007D7E45" w:rsidRDefault="00C7347D">
          <w:pPr>
            <w:pStyle w:val="TOC1"/>
            <w:rPr>
              <w:rFonts w:asciiTheme="minorHAnsi" w:eastAsiaTheme="minorEastAsia" w:hAnsiTheme="minorHAnsi" w:cstheme="minorBidi"/>
              <w:b w:val="0"/>
              <w:color w:val="auto"/>
              <w:sz w:val="22"/>
              <w:lang w:eastAsia="en-AU" w:bidi="ar-SA"/>
            </w:rPr>
          </w:pPr>
          <w:r w:rsidRPr="005911E2">
            <w:fldChar w:fldCharType="begin"/>
          </w:r>
          <w:r w:rsidR="00903735" w:rsidRPr="005911E2">
            <w:instrText xml:space="preserve"> TOC \o "1-2" \t "attach title,1" </w:instrText>
          </w:r>
          <w:r w:rsidRPr="005911E2">
            <w:fldChar w:fldCharType="separate"/>
          </w:r>
          <w:r w:rsidR="007D7E45">
            <w:t>Research team</w:t>
          </w:r>
          <w:r w:rsidR="007D7E45">
            <w:tab/>
          </w:r>
          <w:r>
            <w:fldChar w:fldCharType="begin"/>
          </w:r>
          <w:r w:rsidR="007D7E45">
            <w:instrText xml:space="preserve"> PAGEREF _Toc335915715 \h </w:instrText>
          </w:r>
          <w:r>
            <w:fldChar w:fldCharType="separate"/>
          </w:r>
          <w:r w:rsidR="00E70A53">
            <w:t>i</w:t>
          </w:r>
          <w:r>
            <w:fldChar w:fldCharType="end"/>
          </w:r>
        </w:p>
        <w:p w:rsidR="007D7E45" w:rsidRDefault="007D7E45">
          <w:pPr>
            <w:pStyle w:val="TOC1"/>
            <w:rPr>
              <w:rFonts w:asciiTheme="minorHAnsi" w:eastAsiaTheme="minorEastAsia" w:hAnsiTheme="minorHAnsi" w:cstheme="minorBidi"/>
              <w:b w:val="0"/>
              <w:color w:val="auto"/>
              <w:sz w:val="22"/>
              <w:lang w:eastAsia="en-AU" w:bidi="ar-SA"/>
            </w:rPr>
          </w:pPr>
          <w:r>
            <w:t>Acknowledgements</w:t>
          </w:r>
          <w:r>
            <w:tab/>
          </w:r>
          <w:r w:rsidR="00C7347D">
            <w:fldChar w:fldCharType="begin"/>
          </w:r>
          <w:r>
            <w:instrText xml:space="preserve"> PAGEREF _Toc335915716 \h </w:instrText>
          </w:r>
          <w:r w:rsidR="00C7347D">
            <w:fldChar w:fldCharType="separate"/>
          </w:r>
          <w:r w:rsidR="00E70A53">
            <w:t>ii</w:t>
          </w:r>
          <w:r w:rsidR="00C7347D">
            <w:fldChar w:fldCharType="end"/>
          </w:r>
        </w:p>
        <w:p w:rsidR="007D7E45" w:rsidRDefault="007D7E45">
          <w:pPr>
            <w:pStyle w:val="TOC1"/>
            <w:rPr>
              <w:rFonts w:asciiTheme="minorHAnsi" w:eastAsiaTheme="minorEastAsia" w:hAnsiTheme="minorHAnsi" w:cstheme="minorBidi"/>
              <w:b w:val="0"/>
              <w:color w:val="auto"/>
              <w:sz w:val="22"/>
              <w:lang w:eastAsia="en-AU" w:bidi="ar-SA"/>
            </w:rPr>
          </w:pPr>
          <w:r>
            <w:t>Contents</w:t>
          </w:r>
          <w:r>
            <w:tab/>
          </w:r>
          <w:r w:rsidR="00C7347D">
            <w:fldChar w:fldCharType="begin"/>
          </w:r>
          <w:r>
            <w:instrText xml:space="preserve"> PAGEREF _Toc335915717 \h </w:instrText>
          </w:r>
          <w:r w:rsidR="00C7347D">
            <w:fldChar w:fldCharType="separate"/>
          </w:r>
          <w:r w:rsidR="00E70A53">
            <w:t>iii</w:t>
          </w:r>
          <w:r w:rsidR="00C7347D">
            <w:fldChar w:fldCharType="end"/>
          </w:r>
        </w:p>
        <w:p w:rsidR="007D7E45" w:rsidRDefault="007D7E45">
          <w:pPr>
            <w:pStyle w:val="TOC1"/>
            <w:rPr>
              <w:rFonts w:asciiTheme="minorHAnsi" w:eastAsiaTheme="minorEastAsia" w:hAnsiTheme="minorHAnsi" w:cstheme="minorBidi"/>
              <w:b w:val="0"/>
              <w:color w:val="auto"/>
              <w:sz w:val="22"/>
              <w:lang w:eastAsia="en-AU" w:bidi="ar-SA"/>
            </w:rPr>
          </w:pPr>
          <w:r>
            <w:t>Table of Tables</w:t>
          </w:r>
          <w:r>
            <w:tab/>
          </w:r>
          <w:r w:rsidR="00C7347D">
            <w:fldChar w:fldCharType="begin"/>
          </w:r>
          <w:r>
            <w:instrText xml:space="preserve"> PAGEREF _Toc335915718 \h </w:instrText>
          </w:r>
          <w:r w:rsidR="00C7347D">
            <w:fldChar w:fldCharType="separate"/>
          </w:r>
          <w:r w:rsidR="00E70A53">
            <w:t>vi</w:t>
          </w:r>
          <w:r w:rsidR="00C7347D">
            <w:fldChar w:fldCharType="end"/>
          </w:r>
        </w:p>
        <w:p w:rsidR="007D7E45" w:rsidRDefault="007D7E45">
          <w:pPr>
            <w:pStyle w:val="TOC1"/>
            <w:rPr>
              <w:rFonts w:asciiTheme="minorHAnsi" w:eastAsiaTheme="minorEastAsia" w:hAnsiTheme="minorHAnsi" w:cstheme="minorBidi"/>
              <w:b w:val="0"/>
              <w:color w:val="auto"/>
              <w:sz w:val="22"/>
              <w:lang w:eastAsia="en-AU" w:bidi="ar-SA"/>
            </w:rPr>
          </w:pPr>
          <w:r>
            <w:t>Table of Figures</w:t>
          </w:r>
          <w:r>
            <w:tab/>
          </w:r>
          <w:r w:rsidR="00C7347D">
            <w:fldChar w:fldCharType="begin"/>
          </w:r>
          <w:r>
            <w:instrText xml:space="preserve"> PAGEREF _Toc335915719 \h </w:instrText>
          </w:r>
          <w:r w:rsidR="00C7347D">
            <w:fldChar w:fldCharType="separate"/>
          </w:r>
          <w:r w:rsidR="00E70A53">
            <w:t>x</w:t>
          </w:r>
          <w:r w:rsidR="00C7347D">
            <w:fldChar w:fldCharType="end"/>
          </w:r>
        </w:p>
        <w:p w:rsidR="007D7E45" w:rsidRDefault="007D7E45">
          <w:pPr>
            <w:pStyle w:val="TOC1"/>
            <w:rPr>
              <w:rFonts w:asciiTheme="minorHAnsi" w:eastAsiaTheme="minorEastAsia" w:hAnsiTheme="minorHAnsi" w:cstheme="minorBidi"/>
              <w:b w:val="0"/>
              <w:color w:val="auto"/>
              <w:sz w:val="22"/>
              <w:lang w:eastAsia="en-AU" w:bidi="ar-SA"/>
            </w:rPr>
          </w:pPr>
          <w:r>
            <w:t>Glossary</w:t>
          </w:r>
          <w:r>
            <w:tab/>
          </w:r>
          <w:r w:rsidR="00C7347D">
            <w:fldChar w:fldCharType="begin"/>
          </w:r>
          <w:r>
            <w:instrText xml:space="preserve"> PAGEREF _Toc335915720 \h </w:instrText>
          </w:r>
          <w:r w:rsidR="00C7347D">
            <w:fldChar w:fldCharType="separate"/>
          </w:r>
          <w:r w:rsidR="00E70A53">
            <w:t>xiii</w:t>
          </w:r>
          <w:r w:rsidR="00C7347D">
            <w:fldChar w:fldCharType="end"/>
          </w:r>
        </w:p>
        <w:p w:rsidR="007D7E45" w:rsidRDefault="007D7E45">
          <w:pPr>
            <w:pStyle w:val="TOC1"/>
            <w:rPr>
              <w:rFonts w:asciiTheme="minorHAnsi" w:eastAsiaTheme="minorEastAsia" w:hAnsiTheme="minorHAnsi" w:cstheme="minorBidi"/>
              <w:b w:val="0"/>
              <w:color w:val="auto"/>
              <w:sz w:val="22"/>
              <w:lang w:eastAsia="en-AU" w:bidi="ar-SA"/>
            </w:rPr>
          </w:pPr>
          <w:r>
            <w:t>Executive Summary</w:t>
          </w:r>
          <w:r>
            <w:tab/>
          </w:r>
          <w:r w:rsidR="00C7347D">
            <w:fldChar w:fldCharType="begin"/>
          </w:r>
          <w:r>
            <w:instrText xml:space="preserve"> PAGEREF _Toc335915721 \h </w:instrText>
          </w:r>
          <w:r w:rsidR="00C7347D">
            <w:fldChar w:fldCharType="separate"/>
          </w:r>
          <w:r w:rsidR="00E70A53">
            <w:t>xv</w:t>
          </w:r>
          <w:r w:rsidR="00C7347D">
            <w:fldChar w:fldCharType="end"/>
          </w:r>
        </w:p>
        <w:p w:rsidR="007D7E45" w:rsidRDefault="007D7E45">
          <w:pPr>
            <w:pStyle w:val="TOC1"/>
            <w:tabs>
              <w:tab w:val="left" w:pos="2370"/>
            </w:tabs>
            <w:rPr>
              <w:rFonts w:asciiTheme="minorHAnsi" w:eastAsiaTheme="minorEastAsia" w:hAnsiTheme="minorHAnsi" w:cstheme="minorBidi"/>
              <w:b w:val="0"/>
              <w:color w:val="auto"/>
              <w:sz w:val="22"/>
              <w:lang w:eastAsia="en-AU" w:bidi="ar-SA"/>
            </w:rPr>
          </w:pPr>
          <w:r w:rsidRPr="009B4408">
            <w:t>1.</w:t>
          </w:r>
          <w:r>
            <w:rPr>
              <w:rFonts w:asciiTheme="minorHAnsi" w:eastAsiaTheme="minorEastAsia" w:hAnsiTheme="minorHAnsi" w:cstheme="minorBidi"/>
              <w:b w:val="0"/>
              <w:color w:val="auto"/>
              <w:sz w:val="22"/>
              <w:lang w:eastAsia="en-AU" w:bidi="ar-SA"/>
            </w:rPr>
            <w:tab/>
          </w:r>
          <w:r>
            <w:t>Introduction and background to the evaluation</w:t>
          </w:r>
          <w:r>
            <w:tab/>
          </w:r>
          <w:r w:rsidR="00C7347D">
            <w:fldChar w:fldCharType="begin"/>
          </w:r>
          <w:r>
            <w:instrText xml:space="preserve"> PAGEREF _Toc335915722 \h </w:instrText>
          </w:r>
          <w:r w:rsidR="00C7347D">
            <w:fldChar w:fldCharType="separate"/>
          </w:r>
          <w:r w:rsidR="00E70A53">
            <w:t>1</w:t>
          </w:r>
          <w:r w:rsidR="00C7347D">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1.1</w:t>
          </w:r>
          <w:r>
            <w:rPr>
              <w:rFonts w:asciiTheme="minorHAnsi" w:eastAsiaTheme="minorEastAsia" w:hAnsiTheme="minorHAnsi" w:cstheme="minorBidi"/>
              <w:noProof/>
              <w:sz w:val="22"/>
              <w:lang w:eastAsia="en-AU" w:bidi="ar-SA"/>
            </w:rPr>
            <w:tab/>
          </w:r>
          <w:r>
            <w:rPr>
              <w:noProof/>
            </w:rPr>
            <w:t>Background to the evaluation</w:t>
          </w:r>
          <w:r>
            <w:rPr>
              <w:noProof/>
            </w:rPr>
            <w:tab/>
          </w:r>
          <w:r w:rsidR="00C7347D">
            <w:rPr>
              <w:noProof/>
            </w:rPr>
            <w:fldChar w:fldCharType="begin"/>
          </w:r>
          <w:r>
            <w:rPr>
              <w:noProof/>
            </w:rPr>
            <w:instrText xml:space="preserve"> PAGEREF _Toc335915723 \h </w:instrText>
          </w:r>
          <w:r w:rsidR="00C7347D">
            <w:rPr>
              <w:noProof/>
            </w:rPr>
          </w:r>
          <w:r w:rsidR="00C7347D">
            <w:rPr>
              <w:noProof/>
            </w:rPr>
            <w:fldChar w:fldCharType="separate"/>
          </w:r>
          <w:r w:rsidR="00E70A53">
            <w:rPr>
              <w:noProof/>
            </w:rPr>
            <w:t>2</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1.2</w:t>
          </w:r>
          <w:r>
            <w:rPr>
              <w:rFonts w:asciiTheme="minorHAnsi" w:eastAsiaTheme="minorEastAsia" w:hAnsiTheme="minorHAnsi" w:cstheme="minorBidi"/>
              <w:noProof/>
              <w:sz w:val="22"/>
              <w:lang w:eastAsia="en-AU" w:bidi="ar-SA"/>
            </w:rPr>
            <w:tab/>
          </w:r>
          <w:r>
            <w:rPr>
              <w:noProof/>
            </w:rPr>
            <w:t>Evaluation: aims and questions</w:t>
          </w:r>
          <w:r>
            <w:rPr>
              <w:noProof/>
            </w:rPr>
            <w:tab/>
          </w:r>
          <w:r w:rsidR="00C7347D">
            <w:rPr>
              <w:noProof/>
            </w:rPr>
            <w:fldChar w:fldCharType="begin"/>
          </w:r>
          <w:r>
            <w:rPr>
              <w:noProof/>
            </w:rPr>
            <w:instrText xml:space="preserve"> PAGEREF _Toc335915724 \h </w:instrText>
          </w:r>
          <w:r w:rsidR="00C7347D">
            <w:rPr>
              <w:noProof/>
            </w:rPr>
          </w:r>
          <w:r w:rsidR="00C7347D">
            <w:rPr>
              <w:noProof/>
            </w:rPr>
            <w:fldChar w:fldCharType="separate"/>
          </w:r>
          <w:r w:rsidR="00E70A53">
            <w:rPr>
              <w:noProof/>
            </w:rPr>
            <w:t>3</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1.3</w:t>
          </w:r>
          <w:r>
            <w:rPr>
              <w:rFonts w:asciiTheme="minorHAnsi" w:eastAsiaTheme="minorEastAsia" w:hAnsiTheme="minorHAnsi" w:cstheme="minorBidi"/>
              <w:noProof/>
              <w:sz w:val="22"/>
              <w:lang w:eastAsia="en-AU" w:bidi="ar-SA"/>
            </w:rPr>
            <w:tab/>
          </w:r>
          <w:r>
            <w:rPr>
              <w:noProof/>
            </w:rPr>
            <w:t>Context</w:t>
          </w:r>
          <w:r>
            <w:rPr>
              <w:noProof/>
            </w:rPr>
            <w:tab/>
          </w:r>
          <w:r w:rsidR="00C7347D">
            <w:rPr>
              <w:noProof/>
            </w:rPr>
            <w:fldChar w:fldCharType="begin"/>
          </w:r>
          <w:r>
            <w:rPr>
              <w:noProof/>
            </w:rPr>
            <w:instrText xml:space="preserve"> PAGEREF _Toc335915725 \h </w:instrText>
          </w:r>
          <w:r w:rsidR="00C7347D">
            <w:rPr>
              <w:noProof/>
            </w:rPr>
          </w:r>
          <w:r w:rsidR="00C7347D">
            <w:rPr>
              <w:noProof/>
            </w:rPr>
            <w:fldChar w:fldCharType="separate"/>
          </w:r>
          <w:r w:rsidR="00E70A53">
            <w:rPr>
              <w:noProof/>
            </w:rPr>
            <w:t>6</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1.4</w:t>
          </w:r>
          <w:r>
            <w:rPr>
              <w:rFonts w:asciiTheme="minorHAnsi" w:eastAsiaTheme="minorEastAsia" w:hAnsiTheme="minorHAnsi" w:cstheme="minorBidi"/>
              <w:noProof/>
              <w:sz w:val="22"/>
              <w:lang w:eastAsia="en-AU" w:bidi="ar-SA"/>
            </w:rPr>
            <w:tab/>
          </w:r>
          <w:r>
            <w:rPr>
              <w:noProof/>
            </w:rPr>
            <w:t>Existing research and evaluation of income management in the NT</w:t>
          </w:r>
          <w:r>
            <w:rPr>
              <w:noProof/>
            </w:rPr>
            <w:tab/>
          </w:r>
          <w:r w:rsidR="00C7347D">
            <w:rPr>
              <w:noProof/>
            </w:rPr>
            <w:fldChar w:fldCharType="begin"/>
          </w:r>
          <w:r>
            <w:rPr>
              <w:noProof/>
            </w:rPr>
            <w:instrText xml:space="preserve"> PAGEREF _Toc335915726 \h </w:instrText>
          </w:r>
          <w:r w:rsidR="00C7347D">
            <w:rPr>
              <w:noProof/>
            </w:rPr>
          </w:r>
          <w:r w:rsidR="00C7347D">
            <w:rPr>
              <w:noProof/>
            </w:rPr>
            <w:fldChar w:fldCharType="separate"/>
          </w:r>
          <w:r w:rsidR="00E70A53">
            <w:rPr>
              <w:noProof/>
            </w:rPr>
            <w:t>7</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1.5</w:t>
          </w:r>
          <w:r>
            <w:rPr>
              <w:rFonts w:asciiTheme="minorHAnsi" w:eastAsiaTheme="minorEastAsia" w:hAnsiTheme="minorHAnsi" w:cstheme="minorBidi"/>
              <w:noProof/>
              <w:sz w:val="22"/>
              <w:lang w:eastAsia="en-AU" w:bidi="ar-SA"/>
            </w:rPr>
            <w:tab/>
          </w:r>
          <w:r>
            <w:rPr>
              <w:noProof/>
            </w:rPr>
            <w:t>Structure of this report</w:t>
          </w:r>
          <w:r>
            <w:rPr>
              <w:noProof/>
            </w:rPr>
            <w:tab/>
          </w:r>
          <w:r w:rsidR="00C7347D">
            <w:rPr>
              <w:noProof/>
            </w:rPr>
            <w:fldChar w:fldCharType="begin"/>
          </w:r>
          <w:r>
            <w:rPr>
              <w:noProof/>
            </w:rPr>
            <w:instrText xml:space="preserve"> PAGEREF _Toc335915727 \h </w:instrText>
          </w:r>
          <w:r w:rsidR="00C7347D">
            <w:rPr>
              <w:noProof/>
            </w:rPr>
          </w:r>
          <w:r w:rsidR="00C7347D">
            <w:rPr>
              <w:noProof/>
            </w:rPr>
            <w:fldChar w:fldCharType="separate"/>
          </w:r>
          <w:r w:rsidR="00E70A53">
            <w:rPr>
              <w:noProof/>
            </w:rPr>
            <w:t>10</w:t>
          </w:r>
          <w:r w:rsidR="00C7347D">
            <w:rPr>
              <w:noProof/>
            </w:rPr>
            <w:fldChar w:fldCharType="end"/>
          </w:r>
        </w:p>
        <w:p w:rsidR="007D7E45" w:rsidRDefault="007D7E45">
          <w:pPr>
            <w:pStyle w:val="TOC1"/>
            <w:tabs>
              <w:tab w:val="left" w:pos="2370"/>
            </w:tabs>
            <w:rPr>
              <w:rFonts w:asciiTheme="minorHAnsi" w:eastAsiaTheme="minorEastAsia" w:hAnsiTheme="minorHAnsi" w:cstheme="minorBidi"/>
              <w:b w:val="0"/>
              <w:color w:val="auto"/>
              <w:sz w:val="22"/>
              <w:lang w:eastAsia="en-AU" w:bidi="ar-SA"/>
            </w:rPr>
          </w:pPr>
          <w:r w:rsidRPr="009B4408">
            <w:t>2.</w:t>
          </w:r>
          <w:r>
            <w:rPr>
              <w:rFonts w:asciiTheme="minorHAnsi" w:eastAsiaTheme="minorEastAsia" w:hAnsiTheme="minorHAnsi" w:cstheme="minorBidi"/>
              <w:b w:val="0"/>
              <w:color w:val="auto"/>
              <w:sz w:val="22"/>
              <w:lang w:eastAsia="en-AU" w:bidi="ar-SA"/>
            </w:rPr>
            <w:tab/>
          </w:r>
          <w:r>
            <w:t>Overview of New Income Management in the Northern Territory</w:t>
          </w:r>
          <w:r>
            <w:tab/>
          </w:r>
          <w:r w:rsidR="00C7347D">
            <w:fldChar w:fldCharType="begin"/>
          </w:r>
          <w:r>
            <w:instrText xml:space="preserve"> PAGEREF _Toc335915728 \h </w:instrText>
          </w:r>
          <w:r w:rsidR="00C7347D">
            <w:fldChar w:fldCharType="separate"/>
          </w:r>
          <w:r w:rsidR="00E70A53">
            <w:t>12</w:t>
          </w:r>
          <w:r w:rsidR="00C7347D">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2.1</w:t>
          </w:r>
          <w:r>
            <w:rPr>
              <w:rFonts w:asciiTheme="minorHAnsi" w:eastAsiaTheme="minorEastAsia" w:hAnsiTheme="minorHAnsi" w:cstheme="minorBidi"/>
              <w:noProof/>
              <w:sz w:val="22"/>
              <w:lang w:eastAsia="en-AU" w:bidi="ar-SA"/>
            </w:rPr>
            <w:tab/>
          </w:r>
          <w:r>
            <w:rPr>
              <w:noProof/>
            </w:rPr>
            <w:t>Introduction</w:t>
          </w:r>
          <w:r>
            <w:rPr>
              <w:noProof/>
            </w:rPr>
            <w:tab/>
          </w:r>
          <w:r w:rsidR="00C7347D">
            <w:rPr>
              <w:noProof/>
            </w:rPr>
            <w:fldChar w:fldCharType="begin"/>
          </w:r>
          <w:r>
            <w:rPr>
              <w:noProof/>
            </w:rPr>
            <w:instrText xml:space="preserve"> PAGEREF _Toc335915729 \h </w:instrText>
          </w:r>
          <w:r w:rsidR="00C7347D">
            <w:rPr>
              <w:noProof/>
            </w:rPr>
          </w:r>
          <w:r w:rsidR="00C7347D">
            <w:rPr>
              <w:noProof/>
            </w:rPr>
            <w:fldChar w:fldCharType="separate"/>
          </w:r>
          <w:r w:rsidR="00E70A53">
            <w:rPr>
              <w:noProof/>
            </w:rPr>
            <w:t>12</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2.2</w:t>
          </w:r>
          <w:r>
            <w:rPr>
              <w:rFonts w:asciiTheme="minorHAnsi" w:eastAsiaTheme="minorEastAsia" w:hAnsiTheme="minorHAnsi" w:cstheme="minorBidi"/>
              <w:noProof/>
              <w:sz w:val="22"/>
              <w:lang w:eastAsia="en-AU" w:bidi="ar-SA"/>
            </w:rPr>
            <w:tab/>
          </w:r>
          <w:r>
            <w:rPr>
              <w:noProof/>
            </w:rPr>
            <w:t>Background to the introduction of income management in the NT</w:t>
          </w:r>
          <w:r>
            <w:rPr>
              <w:noProof/>
            </w:rPr>
            <w:tab/>
          </w:r>
          <w:r w:rsidR="00C7347D">
            <w:rPr>
              <w:noProof/>
            </w:rPr>
            <w:fldChar w:fldCharType="begin"/>
          </w:r>
          <w:r>
            <w:rPr>
              <w:noProof/>
            </w:rPr>
            <w:instrText xml:space="preserve"> PAGEREF _Toc335915730 \h </w:instrText>
          </w:r>
          <w:r w:rsidR="00C7347D">
            <w:rPr>
              <w:noProof/>
            </w:rPr>
          </w:r>
          <w:r w:rsidR="00C7347D">
            <w:rPr>
              <w:noProof/>
            </w:rPr>
            <w:fldChar w:fldCharType="separate"/>
          </w:r>
          <w:r w:rsidR="00E70A53">
            <w:rPr>
              <w:noProof/>
            </w:rPr>
            <w:t>12</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2.3</w:t>
          </w:r>
          <w:r>
            <w:rPr>
              <w:rFonts w:asciiTheme="minorHAnsi" w:eastAsiaTheme="minorEastAsia" w:hAnsiTheme="minorHAnsi" w:cstheme="minorBidi"/>
              <w:noProof/>
              <w:sz w:val="22"/>
              <w:lang w:eastAsia="en-AU" w:bidi="ar-SA"/>
            </w:rPr>
            <w:tab/>
          </w:r>
          <w:r>
            <w:rPr>
              <w:noProof/>
            </w:rPr>
            <w:t>Objectives of NIM</w:t>
          </w:r>
          <w:r>
            <w:rPr>
              <w:noProof/>
            </w:rPr>
            <w:tab/>
          </w:r>
          <w:r w:rsidR="00C7347D">
            <w:rPr>
              <w:noProof/>
            </w:rPr>
            <w:fldChar w:fldCharType="begin"/>
          </w:r>
          <w:r>
            <w:rPr>
              <w:noProof/>
            </w:rPr>
            <w:instrText xml:space="preserve"> PAGEREF _Toc335915731 \h </w:instrText>
          </w:r>
          <w:r w:rsidR="00C7347D">
            <w:rPr>
              <w:noProof/>
            </w:rPr>
          </w:r>
          <w:r w:rsidR="00C7347D">
            <w:rPr>
              <w:noProof/>
            </w:rPr>
            <w:fldChar w:fldCharType="separate"/>
          </w:r>
          <w:r w:rsidR="00E70A53">
            <w:rPr>
              <w:noProof/>
            </w:rPr>
            <w:t>17</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2.4</w:t>
          </w:r>
          <w:r>
            <w:rPr>
              <w:rFonts w:asciiTheme="minorHAnsi" w:eastAsiaTheme="minorEastAsia" w:hAnsiTheme="minorHAnsi" w:cstheme="minorBidi"/>
              <w:noProof/>
              <w:sz w:val="22"/>
              <w:lang w:eastAsia="en-AU" w:bidi="ar-SA"/>
            </w:rPr>
            <w:tab/>
          </w:r>
          <w:r>
            <w:rPr>
              <w:noProof/>
            </w:rPr>
            <w:t>Overview of NIM</w:t>
          </w:r>
          <w:r>
            <w:rPr>
              <w:noProof/>
            </w:rPr>
            <w:tab/>
          </w:r>
          <w:r w:rsidR="00C7347D">
            <w:rPr>
              <w:noProof/>
            </w:rPr>
            <w:fldChar w:fldCharType="begin"/>
          </w:r>
          <w:r>
            <w:rPr>
              <w:noProof/>
            </w:rPr>
            <w:instrText xml:space="preserve"> PAGEREF _Toc335915732 \h </w:instrText>
          </w:r>
          <w:r w:rsidR="00C7347D">
            <w:rPr>
              <w:noProof/>
            </w:rPr>
          </w:r>
          <w:r w:rsidR="00C7347D">
            <w:rPr>
              <w:noProof/>
            </w:rPr>
            <w:fldChar w:fldCharType="separate"/>
          </w:r>
          <w:r w:rsidR="00E70A53">
            <w:rPr>
              <w:noProof/>
            </w:rPr>
            <w:t>20</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2.5</w:t>
          </w:r>
          <w:r>
            <w:rPr>
              <w:rFonts w:asciiTheme="minorHAnsi" w:eastAsiaTheme="minorEastAsia" w:hAnsiTheme="minorHAnsi" w:cstheme="minorBidi"/>
              <w:noProof/>
              <w:sz w:val="22"/>
              <w:lang w:eastAsia="en-AU" w:bidi="ar-SA"/>
            </w:rPr>
            <w:tab/>
          </w:r>
          <w:r>
            <w:rPr>
              <w:noProof/>
            </w:rPr>
            <w:t>Entry onto NIM</w:t>
          </w:r>
          <w:r>
            <w:rPr>
              <w:noProof/>
            </w:rPr>
            <w:tab/>
          </w:r>
          <w:r w:rsidR="00C7347D">
            <w:rPr>
              <w:noProof/>
            </w:rPr>
            <w:fldChar w:fldCharType="begin"/>
          </w:r>
          <w:r>
            <w:rPr>
              <w:noProof/>
            </w:rPr>
            <w:instrText xml:space="preserve"> PAGEREF _Toc335915733 \h </w:instrText>
          </w:r>
          <w:r w:rsidR="00C7347D">
            <w:rPr>
              <w:noProof/>
            </w:rPr>
          </w:r>
          <w:r w:rsidR="00C7347D">
            <w:rPr>
              <w:noProof/>
            </w:rPr>
            <w:fldChar w:fldCharType="separate"/>
          </w:r>
          <w:r w:rsidR="00E70A53">
            <w:rPr>
              <w:noProof/>
            </w:rPr>
            <w:t>28</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2.6</w:t>
          </w:r>
          <w:r>
            <w:rPr>
              <w:rFonts w:asciiTheme="minorHAnsi" w:eastAsiaTheme="minorEastAsia" w:hAnsiTheme="minorHAnsi" w:cstheme="minorBidi"/>
              <w:noProof/>
              <w:sz w:val="22"/>
              <w:lang w:eastAsia="en-AU" w:bidi="ar-SA"/>
            </w:rPr>
            <w:tab/>
          </w:r>
          <w:r>
            <w:rPr>
              <w:noProof/>
            </w:rPr>
            <w:t>Exiting from income management</w:t>
          </w:r>
          <w:r>
            <w:rPr>
              <w:noProof/>
            </w:rPr>
            <w:tab/>
          </w:r>
          <w:r w:rsidR="00C7347D">
            <w:rPr>
              <w:noProof/>
            </w:rPr>
            <w:fldChar w:fldCharType="begin"/>
          </w:r>
          <w:r>
            <w:rPr>
              <w:noProof/>
            </w:rPr>
            <w:instrText xml:space="preserve"> PAGEREF _Toc335915734 \h </w:instrText>
          </w:r>
          <w:r w:rsidR="00C7347D">
            <w:rPr>
              <w:noProof/>
            </w:rPr>
          </w:r>
          <w:r w:rsidR="00C7347D">
            <w:rPr>
              <w:noProof/>
            </w:rPr>
            <w:fldChar w:fldCharType="separate"/>
          </w:r>
          <w:r w:rsidR="00E70A53">
            <w:rPr>
              <w:noProof/>
            </w:rPr>
            <w:t>30</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2.7</w:t>
          </w:r>
          <w:r>
            <w:rPr>
              <w:rFonts w:asciiTheme="minorHAnsi" w:eastAsiaTheme="minorEastAsia" w:hAnsiTheme="minorHAnsi" w:cstheme="minorBidi"/>
              <w:noProof/>
              <w:sz w:val="22"/>
              <w:lang w:eastAsia="en-AU" w:bidi="ar-SA"/>
            </w:rPr>
            <w:tab/>
          </w:r>
          <w:r>
            <w:rPr>
              <w:noProof/>
            </w:rPr>
            <w:t>Spending income managed funds</w:t>
          </w:r>
          <w:r>
            <w:rPr>
              <w:noProof/>
            </w:rPr>
            <w:tab/>
          </w:r>
          <w:r w:rsidR="00C7347D">
            <w:rPr>
              <w:noProof/>
            </w:rPr>
            <w:fldChar w:fldCharType="begin"/>
          </w:r>
          <w:r>
            <w:rPr>
              <w:noProof/>
            </w:rPr>
            <w:instrText xml:space="preserve"> PAGEREF _Toc335915735 \h </w:instrText>
          </w:r>
          <w:r w:rsidR="00C7347D">
            <w:rPr>
              <w:noProof/>
            </w:rPr>
          </w:r>
          <w:r w:rsidR="00C7347D">
            <w:rPr>
              <w:noProof/>
            </w:rPr>
            <w:fldChar w:fldCharType="separate"/>
          </w:r>
          <w:r w:rsidR="00E70A53">
            <w:rPr>
              <w:noProof/>
            </w:rPr>
            <w:t>31</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2.8</w:t>
          </w:r>
          <w:r>
            <w:rPr>
              <w:rFonts w:asciiTheme="minorHAnsi" w:eastAsiaTheme="minorEastAsia" w:hAnsiTheme="minorHAnsi" w:cstheme="minorBidi"/>
              <w:noProof/>
              <w:sz w:val="22"/>
              <w:lang w:eastAsia="en-AU" w:bidi="ar-SA"/>
            </w:rPr>
            <w:tab/>
          </w:r>
          <w:r>
            <w:rPr>
              <w:noProof/>
            </w:rPr>
            <w:t>Reviews of income management decisions</w:t>
          </w:r>
          <w:r>
            <w:rPr>
              <w:noProof/>
            </w:rPr>
            <w:tab/>
          </w:r>
          <w:r w:rsidR="00C7347D">
            <w:rPr>
              <w:noProof/>
            </w:rPr>
            <w:fldChar w:fldCharType="begin"/>
          </w:r>
          <w:r>
            <w:rPr>
              <w:noProof/>
            </w:rPr>
            <w:instrText xml:space="preserve"> PAGEREF _Toc335915736 \h </w:instrText>
          </w:r>
          <w:r w:rsidR="00C7347D">
            <w:rPr>
              <w:noProof/>
            </w:rPr>
          </w:r>
          <w:r w:rsidR="00C7347D">
            <w:rPr>
              <w:noProof/>
            </w:rPr>
            <w:fldChar w:fldCharType="separate"/>
          </w:r>
          <w:r w:rsidR="00E70A53">
            <w:rPr>
              <w:noProof/>
            </w:rPr>
            <w:t>33</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2.9</w:t>
          </w:r>
          <w:r>
            <w:rPr>
              <w:rFonts w:asciiTheme="minorHAnsi" w:eastAsiaTheme="minorEastAsia" w:hAnsiTheme="minorHAnsi" w:cstheme="minorBidi"/>
              <w:noProof/>
              <w:sz w:val="22"/>
              <w:lang w:eastAsia="en-AU" w:bidi="ar-SA"/>
            </w:rPr>
            <w:tab/>
          </w:r>
          <w:r>
            <w:rPr>
              <w:noProof/>
            </w:rPr>
            <w:t>Broader context</w:t>
          </w:r>
          <w:r>
            <w:rPr>
              <w:noProof/>
            </w:rPr>
            <w:tab/>
          </w:r>
          <w:r w:rsidR="00C7347D">
            <w:rPr>
              <w:noProof/>
            </w:rPr>
            <w:fldChar w:fldCharType="begin"/>
          </w:r>
          <w:r>
            <w:rPr>
              <w:noProof/>
            </w:rPr>
            <w:instrText xml:space="preserve"> PAGEREF _Toc335915737 \h </w:instrText>
          </w:r>
          <w:r w:rsidR="00C7347D">
            <w:rPr>
              <w:noProof/>
            </w:rPr>
          </w:r>
          <w:r w:rsidR="00C7347D">
            <w:rPr>
              <w:noProof/>
            </w:rPr>
            <w:fldChar w:fldCharType="separate"/>
          </w:r>
          <w:r w:rsidR="00E70A53">
            <w:rPr>
              <w:noProof/>
            </w:rPr>
            <w:t>34</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2.10</w:t>
          </w:r>
          <w:r>
            <w:rPr>
              <w:rFonts w:asciiTheme="minorHAnsi" w:eastAsiaTheme="minorEastAsia" w:hAnsiTheme="minorHAnsi" w:cstheme="minorBidi"/>
              <w:noProof/>
              <w:sz w:val="22"/>
              <w:lang w:eastAsia="en-AU" w:bidi="ar-SA"/>
            </w:rPr>
            <w:tab/>
          </w:r>
          <w:r>
            <w:rPr>
              <w:noProof/>
            </w:rPr>
            <w:t>Conclusion</w:t>
          </w:r>
          <w:r>
            <w:rPr>
              <w:noProof/>
            </w:rPr>
            <w:tab/>
          </w:r>
          <w:r w:rsidR="00C7347D">
            <w:rPr>
              <w:noProof/>
            </w:rPr>
            <w:fldChar w:fldCharType="begin"/>
          </w:r>
          <w:r>
            <w:rPr>
              <w:noProof/>
            </w:rPr>
            <w:instrText xml:space="preserve"> PAGEREF _Toc335915738 \h </w:instrText>
          </w:r>
          <w:r w:rsidR="00C7347D">
            <w:rPr>
              <w:noProof/>
            </w:rPr>
          </w:r>
          <w:r w:rsidR="00C7347D">
            <w:rPr>
              <w:noProof/>
            </w:rPr>
            <w:fldChar w:fldCharType="separate"/>
          </w:r>
          <w:r w:rsidR="00E70A53">
            <w:rPr>
              <w:noProof/>
            </w:rPr>
            <w:t>35</w:t>
          </w:r>
          <w:r w:rsidR="00C7347D">
            <w:rPr>
              <w:noProof/>
            </w:rPr>
            <w:fldChar w:fldCharType="end"/>
          </w:r>
        </w:p>
        <w:p w:rsidR="007D7E45" w:rsidRDefault="007D7E45">
          <w:pPr>
            <w:pStyle w:val="TOC1"/>
            <w:tabs>
              <w:tab w:val="left" w:pos="2370"/>
            </w:tabs>
            <w:rPr>
              <w:rFonts w:asciiTheme="minorHAnsi" w:eastAsiaTheme="minorEastAsia" w:hAnsiTheme="minorHAnsi" w:cstheme="minorBidi"/>
              <w:b w:val="0"/>
              <w:color w:val="auto"/>
              <w:sz w:val="22"/>
              <w:lang w:eastAsia="en-AU" w:bidi="ar-SA"/>
            </w:rPr>
          </w:pPr>
          <w:r w:rsidRPr="009B4408">
            <w:t>3.</w:t>
          </w:r>
          <w:r>
            <w:rPr>
              <w:rFonts w:asciiTheme="minorHAnsi" w:eastAsiaTheme="minorEastAsia" w:hAnsiTheme="minorHAnsi" w:cstheme="minorBidi"/>
              <w:b w:val="0"/>
              <w:color w:val="auto"/>
              <w:sz w:val="22"/>
              <w:lang w:eastAsia="en-AU" w:bidi="ar-SA"/>
            </w:rPr>
            <w:tab/>
          </w:r>
          <w:r>
            <w:t>Evaluation Methods</w:t>
          </w:r>
          <w:r>
            <w:tab/>
          </w:r>
          <w:r w:rsidR="00C7347D">
            <w:fldChar w:fldCharType="begin"/>
          </w:r>
          <w:r>
            <w:instrText xml:space="preserve"> PAGEREF _Toc335915739 \h </w:instrText>
          </w:r>
          <w:r w:rsidR="00C7347D">
            <w:fldChar w:fldCharType="separate"/>
          </w:r>
          <w:r w:rsidR="00E70A53">
            <w:t>36</w:t>
          </w:r>
          <w:r w:rsidR="00C7347D">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3.1</w:t>
          </w:r>
          <w:r>
            <w:rPr>
              <w:rFonts w:asciiTheme="minorHAnsi" w:eastAsiaTheme="minorEastAsia" w:hAnsiTheme="minorHAnsi" w:cstheme="minorBidi"/>
              <w:noProof/>
              <w:sz w:val="22"/>
              <w:lang w:eastAsia="en-AU" w:bidi="ar-SA"/>
            </w:rPr>
            <w:tab/>
          </w:r>
          <w:r>
            <w:rPr>
              <w:noProof/>
            </w:rPr>
            <w:t>Introduction</w:t>
          </w:r>
          <w:r>
            <w:rPr>
              <w:noProof/>
            </w:rPr>
            <w:tab/>
          </w:r>
          <w:r w:rsidR="00C7347D">
            <w:rPr>
              <w:noProof/>
            </w:rPr>
            <w:fldChar w:fldCharType="begin"/>
          </w:r>
          <w:r>
            <w:rPr>
              <w:noProof/>
            </w:rPr>
            <w:instrText xml:space="preserve"> PAGEREF _Toc335915740 \h </w:instrText>
          </w:r>
          <w:r w:rsidR="00C7347D">
            <w:rPr>
              <w:noProof/>
            </w:rPr>
          </w:r>
          <w:r w:rsidR="00C7347D">
            <w:rPr>
              <w:noProof/>
            </w:rPr>
            <w:fldChar w:fldCharType="separate"/>
          </w:r>
          <w:r w:rsidR="00E70A53">
            <w:rPr>
              <w:noProof/>
            </w:rPr>
            <w:t>36</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3.2</w:t>
          </w:r>
          <w:r>
            <w:rPr>
              <w:rFonts w:asciiTheme="minorHAnsi" w:eastAsiaTheme="minorEastAsia" w:hAnsiTheme="minorHAnsi" w:cstheme="minorBidi"/>
              <w:noProof/>
              <w:sz w:val="22"/>
              <w:lang w:eastAsia="en-AU" w:bidi="ar-SA"/>
            </w:rPr>
            <w:tab/>
          </w:r>
          <w:r>
            <w:rPr>
              <w:noProof/>
            </w:rPr>
            <w:t>Research methods</w:t>
          </w:r>
          <w:r>
            <w:rPr>
              <w:noProof/>
            </w:rPr>
            <w:tab/>
          </w:r>
          <w:r w:rsidR="00C7347D">
            <w:rPr>
              <w:noProof/>
            </w:rPr>
            <w:fldChar w:fldCharType="begin"/>
          </w:r>
          <w:r>
            <w:rPr>
              <w:noProof/>
            </w:rPr>
            <w:instrText xml:space="preserve"> PAGEREF _Toc335915741 \h </w:instrText>
          </w:r>
          <w:r w:rsidR="00C7347D">
            <w:rPr>
              <w:noProof/>
            </w:rPr>
          </w:r>
          <w:r w:rsidR="00C7347D">
            <w:rPr>
              <w:noProof/>
            </w:rPr>
            <w:fldChar w:fldCharType="separate"/>
          </w:r>
          <w:r w:rsidR="00E70A53">
            <w:rPr>
              <w:noProof/>
            </w:rPr>
            <w:t>36</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3.3</w:t>
          </w:r>
          <w:r>
            <w:rPr>
              <w:rFonts w:asciiTheme="minorHAnsi" w:eastAsiaTheme="minorEastAsia" w:hAnsiTheme="minorHAnsi" w:cstheme="minorBidi"/>
              <w:noProof/>
              <w:sz w:val="22"/>
              <w:lang w:eastAsia="en-AU" w:bidi="ar-SA"/>
            </w:rPr>
            <w:tab/>
          </w:r>
          <w:r>
            <w:rPr>
              <w:noProof/>
            </w:rPr>
            <w:t>Ethics approval</w:t>
          </w:r>
          <w:r>
            <w:rPr>
              <w:noProof/>
            </w:rPr>
            <w:tab/>
          </w:r>
          <w:r w:rsidR="00C7347D">
            <w:rPr>
              <w:noProof/>
            </w:rPr>
            <w:fldChar w:fldCharType="begin"/>
          </w:r>
          <w:r>
            <w:rPr>
              <w:noProof/>
            </w:rPr>
            <w:instrText xml:space="preserve"> PAGEREF _Toc335915742 \h </w:instrText>
          </w:r>
          <w:r w:rsidR="00C7347D">
            <w:rPr>
              <w:noProof/>
            </w:rPr>
          </w:r>
          <w:r w:rsidR="00C7347D">
            <w:rPr>
              <w:noProof/>
            </w:rPr>
            <w:fldChar w:fldCharType="separate"/>
          </w:r>
          <w:r w:rsidR="00E70A53">
            <w:rPr>
              <w:noProof/>
            </w:rPr>
            <w:t>40</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3.4</w:t>
          </w:r>
          <w:r>
            <w:rPr>
              <w:rFonts w:asciiTheme="minorHAnsi" w:eastAsiaTheme="minorEastAsia" w:hAnsiTheme="minorHAnsi" w:cstheme="minorBidi"/>
              <w:noProof/>
              <w:sz w:val="22"/>
              <w:lang w:eastAsia="en-AU" w:bidi="ar-SA"/>
            </w:rPr>
            <w:tab/>
          </w:r>
          <w:r>
            <w:rPr>
              <w:noProof/>
            </w:rPr>
            <w:t>Consultation</w:t>
          </w:r>
          <w:r>
            <w:rPr>
              <w:noProof/>
            </w:rPr>
            <w:tab/>
          </w:r>
          <w:r w:rsidR="00C7347D">
            <w:rPr>
              <w:noProof/>
            </w:rPr>
            <w:fldChar w:fldCharType="begin"/>
          </w:r>
          <w:r>
            <w:rPr>
              <w:noProof/>
            </w:rPr>
            <w:instrText xml:space="preserve"> PAGEREF _Toc335915743 \h </w:instrText>
          </w:r>
          <w:r w:rsidR="00C7347D">
            <w:rPr>
              <w:noProof/>
            </w:rPr>
          </w:r>
          <w:r w:rsidR="00C7347D">
            <w:rPr>
              <w:noProof/>
            </w:rPr>
            <w:fldChar w:fldCharType="separate"/>
          </w:r>
          <w:r w:rsidR="00E70A53">
            <w:rPr>
              <w:noProof/>
            </w:rPr>
            <w:t>41</w:t>
          </w:r>
          <w:r w:rsidR="00C7347D">
            <w:rPr>
              <w:noProof/>
            </w:rPr>
            <w:fldChar w:fldCharType="end"/>
          </w:r>
        </w:p>
        <w:p w:rsidR="007D7E45" w:rsidRDefault="007D7E45">
          <w:pPr>
            <w:pStyle w:val="TOC1"/>
            <w:tabs>
              <w:tab w:val="left" w:pos="2370"/>
            </w:tabs>
            <w:rPr>
              <w:rFonts w:asciiTheme="minorHAnsi" w:eastAsiaTheme="minorEastAsia" w:hAnsiTheme="minorHAnsi" w:cstheme="minorBidi"/>
              <w:b w:val="0"/>
              <w:color w:val="auto"/>
              <w:sz w:val="22"/>
              <w:lang w:eastAsia="en-AU" w:bidi="ar-SA"/>
            </w:rPr>
          </w:pPr>
          <w:r w:rsidRPr="009B4408">
            <w:t>4.</w:t>
          </w:r>
          <w:r>
            <w:rPr>
              <w:rFonts w:asciiTheme="minorHAnsi" w:eastAsiaTheme="minorEastAsia" w:hAnsiTheme="minorHAnsi" w:cstheme="minorBidi"/>
              <w:b w:val="0"/>
              <w:color w:val="auto"/>
              <w:sz w:val="22"/>
              <w:lang w:eastAsia="en-AU" w:bidi="ar-SA"/>
            </w:rPr>
            <w:tab/>
          </w:r>
          <w:r>
            <w:t>The NIM population – rollout and characteristics</w:t>
          </w:r>
          <w:r>
            <w:tab/>
          </w:r>
          <w:r w:rsidR="00C7347D">
            <w:fldChar w:fldCharType="begin"/>
          </w:r>
          <w:r>
            <w:instrText xml:space="preserve"> PAGEREF _Toc335915744 \h </w:instrText>
          </w:r>
          <w:r w:rsidR="00C7347D">
            <w:fldChar w:fldCharType="separate"/>
          </w:r>
          <w:r w:rsidR="00E70A53">
            <w:t>42</w:t>
          </w:r>
          <w:r w:rsidR="00C7347D">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4.1</w:t>
          </w:r>
          <w:r>
            <w:rPr>
              <w:rFonts w:asciiTheme="minorHAnsi" w:eastAsiaTheme="minorEastAsia" w:hAnsiTheme="minorHAnsi" w:cstheme="minorBidi"/>
              <w:noProof/>
              <w:sz w:val="22"/>
              <w:lang w:eastAsia="en-AU" w:bidi="ar-SA"/>
            </w:rPr>
            <w:tab/>
          </w:r>
          <w:r>
            <w:rPr>
              <w:noProof/>
            </w:rPr>
            <w:t>Income support recipients in the NT</w:t>
          </w:r>
          <w:r>
            <w:rPr>
              <w:noProof/>
            </w:rPr>
            <w:tab/>
          </w:r>
          <w:r w:rsidR="00C7347D">
            <w:rPr>
              <w:noProof/>
            </w:rPr>
            <w:fldChar w:fldCharType="begin"/>
          </w:r>
          <w:r>
            <w:rPr>
              <w:noProof/>
            </w:rPr>
            <w:instrText xml:space="preserve"> PAGEREF _Toc335915745 \h </w:instrText>
          </w:r>
          <w:r w:rsidR="00C7347D">
            <w:rPr>
              <w:noProof/>
            </w:rPr>
          </w:r>
          <w:r w:rsidR="00C7347D">
            <w:rPr>
              <w:noProof/>
            </w:rPr>
            <w:fldChar w:fldCharType="separate"/>
          </w:r>
          <w:r w:rsidR="00E70A53">
            <w:rPr>
              <w:noProof/>
            </w:rPr>
            <w:t>42</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4.2</w:t>
          </w:r>
          <w:r>
            <w:rPr>
              <w:rFonts w:asciiTheme="minorHAnsi" w:eastAsiaTheme="minorEastAsia" w:hAnsiTheme="minorHAnsi" w:cstheme="minorBidi"/>
              <w:noProof/>
              <w:sz w:val="22"/>
              <w:lang w:eastAsia="en-AU" w:bidi="ar-SA"/>
            </w:rPr>
            <w:tab/>
          </w:r>
          <w:r>
            <w:rPr>
              <w:noProof/>
            </w:rPr>
            <w:t>The rollout of NIM</w:t>
          </w:r>
          <w:r>
            <w:rPr>
              <w:noProof/>
            </w:rPr>
            <w:tab/>
          </w:r>
          <w:r w:rsidR="00C7347D">
            <w:rPr>
              <w:noProof/>
            </w:rPr>
            <w:fldChar w:fldCharType="begin"/>
          </w:r>
          <w:r>
            <w:rPr>
              <w:noProof/>
            </w:rPr>
            <w:instrText xml:space="preserve"> PAGEREF _Toc335915746 \h </w:instrText>
          </w:r>
          <w:r w:rsidR="00C7347D">
            <w:rPr>
              <w:noProof/>
            </w:rPr>
          </w:r>
          <w:r w:rsidR="00C7347D">
            <w:rPr>
              <w:noProof/>
            </w:rPr>
            <w:fldChar w:fldCharType="separate"/>
          </w:r>
          <w:r w:rsidR="00E70A53">
            <w:rPr>
              <w:noProof/>
            </w:rPr>
            <w:t>45</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4.3</w:t>
          </w:r>
          <w:r>
            <w:rPr>
              <w:rFonts w:asciiTheme="minorHAnsi" w:eastAsiaTheme="minorEastAsia" w:hAnsiTheme="minorHAnsi" w:cstheme="minorBidi"/>
              <w:noProof/>
              <w:sz w:val="22"/>
              <w:lang w:eastAsia="en-AU" w:bidi="ar-SA"/>
            </w:rPr>
            <w:tab/>
          </w:r>
          <w:r>
            <w:rPr>
              <w:noProof/>
            </w:rPr>
            <w:t>Exits from income management</w:t>
          </w:r>
          <w:r>
            <w:rPr>
              <w:noProof/>
            </w:rPr>
            <w:tab/>
          </w:r>
          <w:r w:rsidR="00C7347D">
            <w:rPr>
              <w:noProof/>
            </w:rPr>
            <w:fldChar w:fldCharType="begin"/>
          </w:r>
          <w:r>
            <w:rPr>
              <w:noProof/>
            </w:rPr>
            <w:instrText xml:space="preserve"> PAGEREF _Toc335915747 \h </w:instrText>
          </w:r>
          <w:r w:rsidR="00C7347D">
            <w:rPr>
              <w:noProof/>
            </w:rPr>
          </w:r>
          <w:r w:rsidR="00C7347D">
            <w:rPr>
              <w:noProof/>
            </w:rPr>
            <w:fldChar w:fldCharType="separate"/>
          </w:r>
          <w:r w:rsidR="00E70A53">
            <w:rPr>
              <w:noProof/>
            </w:rPr>
            <w:t>51</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4.4</w:t>
          </w:r>
          <w:r>
            <w:rPr>
              <w:rFonts w:asciiTheme="minorHAnsi" w:eastAsiaTheme="minorEastAsia" w:hAnsiTheme="minorHAnsi" w:cstheme="minorBidi"/>
              <w:noProof/>
              <w:sz w:val="22"/>
              <w:lang w:eastAsia="en-AU" w:bidi="ar-SA"/>
            </w:rPr>
            <w:tab/>
          </w:r>
          <w:r>
            <w:rPr>
              <w:noProof/>
            </w:rPr>
            <w:t>Characteristics of the income management population</w:t>
          </w:r>
          <w:r>
            <w:rPr>
              <w:noProof/>
            </w:rPr>
            <w:tab/>
          </w:r>
          <w:r w:rsidR="00C7347D">
            <w:rPr>
              <w:noProof/>
            </w:rPr>
            <w:fldChar w:fldCharType="begin"/>
          </w:r>
          <w:r>
            <w:rPr>
              <w:noProof/>
            </w:rPr>
            <w:instrText xml:space="preserve"> PAGEREF _Toc335915748 \h </w:instrText>
          </w:r>
          <w:r w:rsidR="00C7347D">
            <w:rPr>
              <w:noProof/>
            </w:rPr>
          </w:r>
          <w:r w:rsidR="00C7347D">
            <w:rPr>
              <w:noProof/>
            </w:rPr>
            <w:fldChar w:fldCharType="separate"/>
          </w:r>
          <w:r w:rsidR="00E70A53">
            <w:rPr>
              <w:noProof/>
            </w:rPr>
            <w:t>56</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4.5</w:t>
          </w:r>
          <w:r>
            <w:rPr>
              <w:rFonts w:asciiTheme="minorHAnsi" w:eastAsiaTheme="minorEastAsia" w:hAnsiTheme="minorHAnsi" w:cstheme="minorBidi"/>
              <w:noProof/>
              <w:sz w:val="22"/>
              <w:lang w:eastAsia="en-AU" w:bidi="ar-SA"/>
            </w:rPr>
            <w:tab/>
          </w:r>
          <w:r>
            <w:rPr>
              <w:noProof/>
            </w:rPr>
            <w:t>Age</w:t>
          </w:r>
          <w:r>
            <w:rPr>
              <w:noProof/>
            </w:rPr>
            <w:tab/>
          </w:r>
          <w:r w:rsidR="00C7347D">
            <w:rPr>
              <w:noProof/>
            </w:rPr>
            <w:fldChar w:fldCharType="begin"/>
          </w:r>
          <w:r>
            <w:rPr>
              <w:noProof/>
            </w:rPr>
            <w:instrText xml:space="preserve"> PAGEREF _Toc335915749 \h </w:instrText>
          </w:r>
          <w:r w:rsidR="00C7347D">
            <w:rPr>
              <w:noProof/>
            </w:rPr>
          </w:r>
          <w:r w:rsidR="00C7347D">
            <w:rPr>
              <w:noProof/>
            </w:rPr>
            <w:fldChar w:fldCharType="separate"/>
          </w:r>
          <w:r w:rsidR="00E70A53">
            <w:rPr>
              <w:noProof/>
            </w:rPr>
            <w:t>61</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4.6</w:t>
          </w:r>
          <w:r>
            <w:rPr>
              <w:rFonts w:asciiTheme="minorHAnsi" w:eastAsiaTheme="minorEastAsia" w:hAnsiTheme="minorHAnsi" w:cstheme="minorBidi"/>
              <w:noProof/>
              <w:sz w:val="22"/>
              <w:lang w:eastAsia="en-AU" w:bidi="ar-SA"/>
            </w:rPr>
            <w:tab/>
          </w:r>
          <w:r>
            <w:rPr>
              <w:noProof/>
            </w:rPr>
            <w:t>The geographic incidence of income management</w:t>
          </w:r>
          <w:r>
            <w:rPr>
              <w:noProof/>
            </w:rPr>
            <w:tab/>
          </w:r>
          <w:r w:rsidR="00C7347D">
            <w:rPr>
              <w:noProof/>
            </w:rPr>
            <w:fldChar w:fldCharType="begin"/>
          </w:r>
          <w:r>
            <w:rPr>
              <w:noProof/>
            </w:rPr>
            <w:instrText xml:space="preserve"> PAGEREF _Toc335915750 \h </w:instrText>
          </w:r>
          <w:r w:rsidR="00C7347D">
            <w:rPr>
              <w:noProof/>
            </w:rPr>
          </w:r>
          <w:r w:rsidR="00C7347D">
            <w:rPr>
              <w:noProof/>
            </w:rPr>
            <w:fldChar w:fldCharType="separate"/>
          </w:r>
          <w:r w:rsidR="00E70A53">
            <w:rPr>
              <w:noProof/>
            </w:rPr>
            <w:t>65</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4.7</w:t>
          </w:r>
          <w:r>
            <w:rPr>
              <w:rFonts w:asciiTheme="minorHAnsi" w:eastAsiaTheme="minorEastAsia" w:hAnsiTheme="minorHAnsi" w:cstheme="minorBidi"/>
              <w:noProof/>
              <w:sz w:val="22"/>
              <w:lang w:eastAsia="en-AU" w:bidi="ar-SA"/>
            </w:rPr>
            <w:tab/>
          </w:r>
          <w:r>
            <w:rPr>
              <w:noProof/>
            </w:rPr>
            <w:t>Summary</w:t>
          </w:r>
          <w:r>
            <w:rPr>
              <w:noProof/>
            </w:rPr>
            <w:tab/>
          </w:r>
          <w:r w:rsidR="00C7347D">
            <w:rPr>
              <w:noProof/>
            </w:rPr>
            <w:fldChar w:fldCharType="begin"/>
          </w:r>
          <w:r>
            <w:rPr>
              <w:noProof/>
            </w:rPr>
            <w:instrText xml:space="preserve"> PAGEREF _Toc335915751 \h </w:instrText>
          </w:r>
          <w:r w:rsidR="00C7347D">
            <w:rPr>
              <w:noProof/>
            </w:rPr>
          </w:r>
          <w:r w:rsidR="00C7347D">
            <w:rPr>
              <w:noProof/>
            </w:rPr>
            <w:fldChar w:fldCharType="separate"/>
          </w:r>
          <w:r w:rsidR="00E70A53">
            <w:rPr>
              <w:noProof/>
            </w:rPr>
            <w:t>66</w:t>
          </w:r>
          <w:r w:rsidR="00C7347D">
            <w:rPr>
              <w:noProof/>
            </w:rPr>
            <w:fldChar w:fldCharType="end"/>
          </w:r>
        </w:p>
        <w:p w:rsidR="007D7E45" w:rsidRDefault="007D7E45">
          <w:pPr>
            <w:pStyle w:val="TOC1"/>
            <w:tabs>
              <w:tab w:val="left" w:pos="2370"/>
            </w:tabs>
            <w:rPr>
              <w:rFonts w:asciiTheme="minorHAnsi" w:eastAsiaTheme="minorEastAsia" w:hAnsiTheme="minorHAnsi" w:cstheme="minorBidi"/>
              <w:b w:val="0"/>
              <w:color w:val="auto"/>
              <w:sz w:val="22"/>
              <w:lang w:eastAsia="en-AU" w:bidi="ar-SA"/>
            </w:rPr>
          </w:pPr>
          <w:r w:rsidRPr="009B4408">
            <w:t>5.</w:t>
          </w:r>
          <w:r>
            <w:rPr>
              <w:rFonts w:asciiTheme="minorHAnsi" w:eastAsiaTheme="minorEastAsia" w:hAnsiTheme="minorHAnsi" w:cstheme="minorBidi"/>
              <w:b w:val="0"/>
              <w:color w:val="auto"/>
              <w:sz w:val="22"/>
              <w:lang w:eastAsia="en-AU" w:bidi="ar-SA"/>
            </w:rPr>
            <w:tab/>
          </w:r>
          <w:r>
            <w:t>Analysis of Income Management Expenditure</w:t>
          </w:r>
          <w:r>
            <w:tab/>
          </w:r>
          <w:r w:rsidR="00C7347D">
            <w:fldChar w:fldCharType="begin"/>
          </w:r>
          <w:r>
            <w:instrText xml:space="preserve"> PAGEREF _Toc335915752 \h </w:instrText>
          </w:r>
          <w:r w:rsidR="00C7347D">
            <w:fldChar w:fldCharType="separate"/>
          </w:r>
          <w:r w:rsidR="00E70A53">
            <w:t>68</w:t>
          </w:r>
          <w:r w:rsidR="00C7347D">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lastRenderedPageBreak/>
            <w:t>5.1</w:t>
          </w:r>
          <w:r>
            <w:rPr>
              <w:rFonts w:asciiTheme="minorHAnsi" w:eastAsiaTheme="minorEastAsia" w:hAnsiTheme="minorHAnsi" w:cstheme="minorBidi"/>
              <w:noProof/>
              <w:sz w:val="22"/>
              <w:lang w:eastAsia="en-AU" w:bidi="ar-SA"/>
            </w:rPr>
            <w:tab/>
          </w:r>
          <w:r>
            <w:rPr>
              <w:noProof/>
            </w:rPr>
            <w:t>The broad allocation of income managed funds</w:t>
          </w:r>
          <w:r>
            <w:rPr>
              <w:noProof/>
            </w:rPr>
            <w:tab/>
          </w:r>
          <w:r w:rsidR="00C7347D">
            <w:rPr>
              <w:noProof/>
            </w:rPr>
            <w:fldChar w:fldCharType="begin"/>
          </w:r>
          <w:r>
            <w:rPr>
              <w:noProof/>
            </w:rPr>
            <w:instrText xml:space="preserve"> PAGEREF _Toc335915753 \h </w:instrText>
          </w:r>
          <w:r w:rsidR="00C7347D">
            <w:rPr>
              <w:noProof/>
            </w:rPr>
          </w:r>
          <w:r w:rsidR="00C7347D">
            <w:rPr>
              <w:noProof/>
            </w:rPr>
            <w:fldChar w:fldCharType="separate"/>
          </w:r>
          <w:r w:rsidR="00E70A53">
            <w:rPr>
              <w:noProof/>
            </w:rPr>
            <w:t>69</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5.2</w:t>
          </w:r>
          <w:r>
            <w:rPr>
              <w:rFonts w:asciiTheme="minorHAnsi" w:eastAsiaTheme="minorEastAsia" w:hAnsiTheme="minorHAnsi" w:cstheme="minorBidi"/>
              <w:noProof/>
              <w:sz w:val="22"/>
              <w:lang w:eastAsia="en-AU" w:bidi="ar-SA"/>
            </w:rPr>
            <w:tab/>
          </w:r>
          <w:r>
            <w:rPr>
              <w:noProof/>
            </w:rPr>
            <w:t>More detailed composition of spending</w:t>
          </w:r>
          <w:r>
            <w:rPr>
              <w:noProof/>
            </w:rPr>
            <w:tab/>
          </w:r>
          <w:r w:rsidR="00C7347D">
            <w:rPr>
              <w:noProof/>
            </w:rPr>
            <w:fldChar w:fldCharType="begin"/>
          </w:r>
          <w:r>
            <w:rPr>
              <w:noProof/>
            </w:rPr>
            <w:instrText xml:space="preserve"> PAGEREF _Toc335915754 \h </w:instrText>
          </w:r>
          <w:r w:rsidR="00C7347D">
            <w:rPr>
              <w:noProof/>
            </w:rPr>
          </w:r>
          <w:r w:rsidR="00C7347D">
            <w:rPr>
              <w:noProof/>
            </w:rPr>
            <w:fldChar w:fldCharType="separate"/>
          </w:r>
          <w:r w:rsidR="00E70A53">
            <w:rPr>
              <w:noProof/>
            </w:rPr>
            <w:t>70</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5.3</w:t>
          </w:r>
          <w:r>
            <w:rPr>
              <w:rFonts w:asciiTheme="minorHAnsi" w:eastAsiaTheme="minorEastAsia" w:hAnsiTheme="minorHAnsi" w:cstheme="minorBidi"/>
              <w:noProof/>
              <w:sz w:val="22"/>
              <w:lang w:eastAsia="en-AU" w:bidi="ar-SA"/>
            </w:rPr>
            <w:tab/>
          </w:r>
          <w:r>
            <w:rPr>
              <w:noProof/>
            </w:rPr>
            <w:t>Distribution of composition of allocations</w:t>
          </w:r>
          <w:r>
            <w:rPr>
              <w:noProof/>
            </w:rPr>
            <w:tab/>
          </w:r>
          <w:r w:rsidR="00C7347D">
            <w:rPr>
              <w:noProof/>
            </w:rPr>
            <w:fldChar w:fldCharType="begin"/>
          </w:r>
          <w:r>
            <w:rPr>
              <w:noProof/>
            </w:rPr>
            <w:instrText xml:space="preserve"> PAGEREF _Toc335915755 \h </w:instrText>
          </w:r>
          <w:r w:rsidR="00C7347D">
            <w:rPr>
              <w:noProof/>
            </w:rPr>
          </w:r>
          <w:r w:rsidR="00C7347D">
            <w:rPr>
              <w:noProof/>
            </w:rPr>
            <w:fldChar w:fldCharType="separate"/>
          </w:r>
          <w:r w:rsidR="00E70A53">
            <w:rPr>
              <w:noProof/>
            </w:rPr>
            <w:t>73</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5.4</w:t>
          </w:r>
          <w:r>
            <w:rPr>
              <w:rFonts w:asciiTheme="minorHAnsi" w:eastAsiaTheme="minorEastAsia" w:hAnsiTheme="minorHAnsi" w:cstheme="minorBidi"/>
              <w:noProof/>
              <w:sz w:val="22"/>
              <w:lang w:eastAsia="en-AU" w:bidi="ar-SA"/>
            </w:rPr>
            <w:tab/>
          </w:r>
          <w:r>
            <w:rPr>
              <w:noProof/>
            </w:rPr>
            <w:t>Allocations by characteristics of persons subject to income management</w:t>
          </w:r>
          <w:r>
            <w:rPr>
              <w:noProof/>
            </w:rPr>
            <w:tab/>
          </w:r>
          <w:r w:rsidR="00C7347D">
            <w:rPr>
              <w:noProof/>
            </w:rPr>
            <w:fldChar w:fldCharType="begin"/>
          </w:r>
          <w:r>
            <w:rPr>
              <w:noProof/>
            </w:rPr>
            <w:instrText xml:space="preserve"> PAGEREF _Toc335915756 \h </w:instrText>
          </w:r>
          <w:r w:rsidR="00C7347D">
            <w:rPr>
              <w:noProof/>
            </w:rPr>
          </w:r>
          <w:r w:rsidR="00C7347D">
            <w:rPr>
              <w:noProof/>
            </w:rPr>
            <w:fldChar w:fldCharType="separate"/>
          </w:r>
          <w:r w:rsidR="00E70A53">
            <w:rPr>
              <w:noProof/>
            </w:rPr>
            <w:t>74</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5.5</w:t>
          </w:r>
          <w:r>
            <w:rPr>
              <w:rFonts w:asciiTheme="minorHAnsi" w:eastAsiaTheme="minorEastAsia" w:hAnsiTheme="minorHAnsi" w:cstheme="minorBidi"/>
              <w:noProof/>
              <w:sz w:val="22"/>
              <w:lang w:eastAsia="en-AU" w:bidi="ar-SA"/>
            </w:rPr>
            <w:tab/>
          </w:r>
          <w:r>
            <w:rPr>
              <w:noProof/>
            </w:rPr>
            <w:t>Patterns of expenditure – summary</w:t>
          </w:r>
          <w:r>
            <w:rPr>
              <w:noProof/>
            </w:rPr>
            <w:tab/>
          </w:r>
          <w:r w:rsidR="00C7347D">
            <w:rPr>
              <w:noProof/>
            </w:rPr>
            <w:fldChar w:fldCharType="begin"/>
          </w:r>
          <w:r>
            <w:rPr>
              <w:noProof/>
            </w:rPr>
            <w:instrText xml:space="preserve"> PAGEREF _Toc335915757 \h </w:instrText>
          </w:r>
          <w:r w:rsidR="00C7347D">
            <w:rPr>
              <w:noProof/>
            </w:rPr>
          </w:r>
          <w:r w:rsidR="00C7347D">
            <w:rPr>
              <w:noProof/>
            </w:rPr>
            <w:fldChar w:fldCharType="separate"/>
          </w:r>
          <w:r w:rsidR="00E70A53">
            <w:rPr>
              <w:noProof/>
            </w:rPr>
            <w:t>78</w:t>
          </w:r>
          <w:r w:rsidR="00C7347D">
            <w:rPr>
              <w:noProof/>
            </w:rPr>
            <w:fldChar w:fldCharType="end"/>
          </w:r>
        </w:p>
        <w:p w:rsidR="007D7E45" w:rsidRDefault="007D7E45">
          <w:pPr>
            <w:pStyle w:val="TOC1"/>
            <w:tabs>
              <w:tab w:val="left" w:pos="2370"/>
            </w:tabs>
            <w:rPr>
              <w:rFonts w:asciiTheme="minorHAnsi" w:eastAsiaTheme="minorEastAsia" w:hAnsiTheme="minorHAnsi" w:cstheme="minorBidi"/>
              <w:b w:val="0"/>
              <w:color w:val="auto"/>
              <w:sz w:val="22"/>
              <w:lang w:eastAsia="en-AU" w:bidi="ar-SA"/>
            </w:rPr>
          </w:pPr>
          <w:r w:rsidRPr="009B4408">
            <w:t>6.</w:t>
          </w:r>
          <w:r>
            <w:rPr>
              <w:rFonts w:asciiTheme="minorHAnsi" w:eastAsiaTheme="minorEastAsia" w:hAnsiTheme="minorHAnsi" w:cstheme="minorBidi"/>
              <w:b w:val="0"/>
              <w:color w:val="auto"/>
              <w:sz w:val="22"/>
              <w:lang w:eastAsia="en-AU" w:bidi="ar-SA"/>
            </w:rPr>
            <w:tab/>
          </w:r>
          <w:r>
            <w:t>The operation of, and views about, the BasicsCard</w:t>
          </w:r>
          <w:r>
            <w:tab/>
          </w:r>
          <w:r w:rsidR="00C7347D">
            <w:fldChar w:fldCharType="begin"/>
          </w:r>
          <w:r>
            <w:instrText xml:space="preserve"> PAGEREF _Toc335915758 \h </w:instrText>
          </w:r>
          <w:r w:rsidR="00C7347D">
            <w:fldChar w:fldCharType="separate"/>
          </w:r>
          <w:r w:rsidR="00E70A53">
            <w:t>79</w:t>
          </w:r>
          <w:r w:rsidR="00C7347D">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6.1</w:t>
          </w:r>
          <w:r>
            <w:rPr>
              <w:rFonts w:asciiTheme="minorHAnsi" w:eastAsiaTheme="minorEastAsia" w:hAnsiTheme="minorHAnsi" w:cstheme="minorBidi"/>
              <w:noProof/>
              <w:sz w:val="22"/>
              <w:lang w:eastAsia="en-AU" w:bidi="ar-SA"/>
            </w:rPr>
            <w:tab/>
          </w:r>
          <w:r>
            <w:rPr>
              <w:noProof/>
            </w:rPr>
            <w:t>Introduction</w:t>
          </w:r>
          <w:r>
            <w:rPr>
              <w:noProof/>
            </w:rPr>
            <w:tab/>
          </w:r>
          <w:r w:rsidR="00C7347D">
            <w:rPr>
              <w:noProof/>
            </w:rPr>
            <w:fldChar w:fldCharType="begin"/>
          </w:r>
          <w:r>
            <w:rPr>
              <w:noProof/>
            </w:rPr>
            <w:instrText xml:space="preserve"> PAGEREF _Toc335915759 \h </w:instrText>
          </w:r>
          <w:r w:rsidR="00C7347D">
            <w:rPr>
              <w:noProof/>
            </w:rPr>
          </w:r>
          <w:r w:rsidR="00C7347D">
            <w:rPr>
              <w:noProof/>
            </w:rPr>
            <w:fldChar w:fldCharType="separate"/>
          </w:r>
          <w:r w:rsidR="00E70A53">
            <w:rPr>
              <w:noProof/>
            </w:rPr>
            <w:t>79</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6.2</w:t>
          </w:r>
          <w:r>
            <w:rPr>
              <w:rFonts w:asciiTheme="minorHAnsi" w:eastAsiaTheme="minorEastAsia" w:hAnsiTheme="minorHAnsi" w:cstheme="minorBidi"/>
              <w:noProof/>
              <w:sz w:val="22"/>
              <w:lang w:eastAsia="en-AU" w:bidi="ar-SA"/>
            </w:rPr>
            <w:tab/>
          </w:r>
          <w:r>
            <w:rPr>
              <w:noProof/>
            </w:rPr>
            <w:t>Merchants who accept the BasicsCard</w:t>
          </w:r>
          <w:r>
            <w:rPr>
              <w:noProof/>
            </w:rPr>
            <w:tab/>
          </w:r>
          <w:r w:rsidR="00C7347D">
            <w:rPr>
              <w:noProof/>
            </w:rPr>
            <w:fldChar w:fldCharType="begin"/>
          </w:r>
          <w:r>
            <w:rPr>
              <w:noProof/>
            </w:rPr>
            <w:instrText xml:space="preserve"> PAGEREF _Toc335915760 \h </w:instrText>
          </w:r>
          <w:r w:rsidR="00C7347D">
            <w:rPr>
              <w:noProof/>
            </w:rPr>
          </w:r>
          <w:r w:rsidR="00C7347D">
            <w:rPr>
              <w:noProof/>
            </w:rPr>
            <w:fldChar w:fldCharType="separate"/>
          </w:r>
          <w:r w:rsidR="00E70A53">
            <w:rPr>
              <w:noProof/>
            </w:rPr>
            <w:t>81</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6.3</w:t>
          </w:r>
          <w:r>
            <w:rPr>
              <w:rFonts w:asciiTheme="minorHAnsi" w:eastAsiaTheme="minorEastAsia" w:hAnsiTheme="minorHAnsi" w:cstheme="minorBidi"/>
              <w:noProof/>
              <w:sz w:val="22"/>
              <w:lang w:eastAsia="en-AU" w:bidi="ar-SA"/>
            </w:rPr>
            <w:tab/>
          </w:r>
          <w:r>
            <w:rPr>
              <w:noProof/>
            </w:rPr>
            <w:t>Number of BasicsCards issued and reasons for reissue</w:t>
          </w:r>
          <w:r>
            <w:rPr>
              <w:noProof/>
            </w:rPr>
            <w:tab/>
          </w:r>
          <w:r w:rsidR="00C7347D">
            <w:rPr>
              <w:noProof/>
            </w:rPr>
            <w:fldChar w:fldCharType="begin"/>
          </w:r>
          <w:r>
            <w:rPr>
              <w:noProof/>
            </w:rPr>
            <w:instrText xml:space="preserve"> PAGEREF _Toc335915761 \h </w:instrText>
          </w:r>
          <w:r w:rsidR="00C7347D">
            <w:rPr>
              <w:noProof/>
            </w:rPr>
          </w:r>
          <w:r w:rsidR="00C7347D">
            <w:rPr>
              <w:noProof/>
            </w:rPr>
            <w:fldChar w:fldCharType="separate"/>
          </w:r>
          <w:r w:rsidR="00E70A53">
            <w:rPr>
              <w:noProof/>
            </w:rPr>
            <w:t>82</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6.4</w:t>
          </w:r>
          <w:r>
            <w:rPr>
              <w:rFonts w:asciiTheme="minorHAnsi" w:eastAsiaTheme="minorEastAsia" w:hAnsiTheme="minorHAnsi" w:cstheme="minorBidi"/>
              <w:noProof/>
              <w:sz w:val="22"/>
              <w:lang w:eastAsia="en-AU" w:bidi="ar-SA"/>
            </w:rPr>
            <w:tab/>
          </w:r>
          <w:r>
            <w:rPr>
              <w:noProof/>
            </w:rPr>
            <w:t>Merchants’ views about the BasicsCard</w:t>
          </w:r>
          <w:r>
            <w:rPr>
              <w:noProof/>
            </w:rPr>
            <w:tab/>
          </w:r>
          <w:r w:rsidR="00C7347D">
            <w:rPr>
              <w:noProof/>
            </w:rPr>
            <w:fldChar w:fldCharType="begin"/>
          </w:r>
          <w:r>
            <w:rPr>
              <w:noProof/>
            </w:rPr>
            <w:instrText xml:space="preserve"> PAGEREF _Toc335915762 \h </w:instrText>
          </w:r>
          <w:r w:rsidR="00C7347D">
            <w:rPr>
              <w:noProof/>
            </w:rPr>
          </w:r>
          <w:r w:rsidR="00C7347D">
            <w:rPr>
              <w:noProof/>
            </w:rPr>
            <w:fldChar w:fldCharType="separate"/>
          </w:r>
          <w:r w:rsidR="00E70A53">
            <w:rPr>
              <w:noProof/>
            </w:rPr>
            <w:t>84</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6.5</w:t>
          </w:r>
          <w:r>
            <w:rPr>
              <w:rFonts w:asciiTheme="minorHAnsi" w:eastAsiaTheme="minorEastAsia" w:hAnsiTheme="minorHAnsi" w:cstheme="minorBidi"/>
              <w:noProof/>
              <w:sz w:val="22"/>
              <w:lang w:eastAsia="en-AU" w:bidi="ar-SA"/>
            </w:rPr>
            <w:tab/>
          </w:r>
          <w:r>
            <w:rPr>
              <w:noProof/>
            </w:rPr>
            <w:t>Operation and use of the BasicsCard</w:t>
          </w:r>
          <w:r>
            <w:rPr>
              <w:noProof/>
            </w:rPr>
            <w:tab/>
          </w:r>
          <w:r w:rsidR="00C7347D">
            <w:rPr>
              <w:noProof/>
            </w:rPr>
            <w:fldChar w:fldCharType="begin"/>
          </w:r>
          <w:r>
            <w:rPr>
              <w:noProof/>
            </w:rPr>
            <w:instrText xml:space="preserve"> PAGEREF _Toc335915763 \h </w:instrText>
          </w:r>
          <w:r w:rsidR="00C7347D">
            <w:rPr>
              <w:noProof/>
            </w:rPr>
          </w:r>
          <w:r w:rsidR="00C7347D">
            <w:rPr>
              <w:noProof/>
            </w:rPr>
            <w:fldChar w:fldCharType="separate"/>
          </w:r>
          <w:r w:rsidR="00E70A53">
            <w:rPr>
              <w:noProof/>
            </w:rPr>
            <w:t>86</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6.6</w:t>
          </w:r>
          <w:r>
            <w:rPr>
              <w:rFonts w:asciiTheme="minorHAnsi" w:eastAsiaTheme="minorEastAsia" w:hAnsiTheme="minorHAnsi" w:cstheme="minorBidi"/>
              <w:noProof/>
              <w:sz w:val="22"/>
              <w:lang w:eastAsia="en-AU" w:bidi="ar-SA"/>
            </w:rPr>
            <w:tab/>
          </w:r>
          <w:r>
            <w:rPr>
              <w:noProof/>
            </w:rPr>
            <w:t>Overall views of those subject to income management</w:t>
          </w:r>
          <w:r>
            <w:rPr>
              <w:noProof/>
            </w:rPr>
            <w:tab/>
          </w:r>
          <w:r w:rsidR="00C7347D">
            <w:rPr>
              <w:noProof/>
            </w:rPr>
            <w:fldChar w:fldCharType="begin"/>
          </w:r>
          <w:r>
            <w:rPr>
              <w:noProof/>
            </w:rPr>
            <w:instrText xml:space="preserve"> PAGEREF _Toc335915764 \h </w:instrText>
          </w:r>
          <w:r w:rsidR="00C7347D">
            <w:rPr>
              <w:noProof/>
            </w:rPr>
          </w:r>
          <w:r w:rsidR="00C7347D">
            <w:rPr>
              <w:noProof/>
            </w:rPr>
            <w:fldChar w:fldCharType="separate"/>
          </w:r>
          <w:r w:rsidR="00E70A53">
            <w:rPr>
              <w:noProof/>
            </w:rPr>
            <w:t>94</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6.7</w:t>
          </w:r>
          <w:r>
            <w:rPr>
              <w:rFonts w:asciiTheme="minorHAnsi" w:eastAsiaTheme="minorEastAsia" w:hAnsiTheme="minorHAnsi" w:cstheme="minorBidi"/>
              <w:noProof/>
              <w:sz w:val="22"/>
              <w:lang w:eastAsia="en-AU" w:bidi="ar-SA"/>
            </w:rPr>
            <w:tab/>
          </w:r>
          <w:r>
            <w:rPr>
              <w:noProof/>
            </w:rPr>
            <w:t>Conclusion</w:t>
          </w:r>
          <w:r>
            <w:rPr>
              <w:noProof/>
            </w:rPr>
            <w:tab/>
          </w:r>
          <w:r w:rsidR="00C7347D">
            <w:rPr>
              <w:noProof/>
            </w:rPr>
            <w:fldChar w:fldCharType="begin"/>
          </w:r>
          <w:r>
            <w:rPr>
              <w:noProof/>
            </w:rPr>
            <w:instrText xml:space="preserve"> PAGEREF _Toc335915765 \h </w:instrText>
          </w:r>
          <w:r w:rsidR="00C7347D">
            <w:rPr>
              <w:noProof/>
            </w:rPr>
          </w:r>
          <w:r w:rsidR="00C7347D">
            <w:rPr>
              <w:noProof/>
            </w:rPr>
            <w:fldChar w:fldCharType="separate"/>
          </w:r>
          <w:r w:rsidR="00E70A53">
            <w:rPr>
              <w:noProof/>
            </w:rPr>
            <w:t>95</w:t>
          </w:r>
          <w:r w:rsidR="00C7347D">
            <w:rPr>
              <w:noProof/>
            </w:rPr>
            <w:fldChar w:fldCharType="end"/>
          </w:r>
        </w:p>
        <w:p w:rsidR="007D7E45" w:rsidRDefault="007D7E45">
          <w:pPr>
            <w:pStyle w:val="TOC1"/>
            <w:tabs>
              <w:tab w:val="left" w:pos="2370"/>
            </w:tabs>
            <w:rPr>
              <w:rFonts w:asciiTheme="minorHAnsi" w:eastAsiaTheme="minorEastAsia" w:hAnsiTheme="minorHAnsi" w:cstheme="minorBidi"/>
              <w:b w:val="0"/>
              <w:color w:val="auto"/>
              <w:sz w:val="22"/>
              <w:lang w:eastAsia="en-AU" w:bidi="ar-SA"/>
            </w:rPr>
          </w:pPr>
          <w:r w:rsidRPr="009B4408">
            <w:t>7.</w:t>
          </w:r>
          <w:r>
            <w:rPr>
              <w:rFonts w:asciiTheme="minorHAnsi" w:eastAsiaTheme="minorEastAsia" w:hAnsiTheme="minorHAnsi" w:cstheme="minorBidi"/>
              <w:b w:val="0"/>
              <w:color w:val="auto"/>
              <w:sz w:val="22"/>
              <w:lang w:eastAsia="en-AU" w:bidi="ar-SA"/>
            </w:rPr>
            <w:tab/>
          </w:r>
          <w:r>
            <w:t>Matched Savings Scheme Payment, money management and financial counselling</w:t>
          </w:r>
          <w:r>
            <w:tab/>
          </w:r>
          <w:r w:rsidR="00C7347D">
            <w:fldChar w:fldCharType="begin"/>
          </w:r>
          <w:r>
            <w:instrText xml:space="preserve"> PAGEREF _Toc335915766 \h </w:instrText>
          </w:r>
          <w:r w:rsidR="00C7347D">
            <w:fldChar w:fldCharType="separate"/>
          </w:r>
          <w:r w:rsidR="00E70A53">
            <w:t>97</w:t>
          </w:r>
          <w:r w:rsidR="00C7347D">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7.1</w:t>
          </w:r>
          <w:r>
            <w:rPr>
              <w:rFonts w:asciiTheme="minorHAnsi" w:eastAsiaTheme="minorEastAsia" w:hAnsiTheme="minorHAnsi" w:cstheme="minorBidi"/>
              <w:noProof/>
              <w:sz w:val="22"/>
              <w:lang w:eastAsia="en-AU" w:bidi="ar-SA"/>
            </w:rPr>
            <w:tab/>
          </w:r>
          <w:r>
            <w:rPr>
              <w:noProof/>
            </w:rPr>
            <w:t>Introduction</w:t>
          </w:r>
          <w:r>
            <w:rPr>
              <w:noProof/>
            </w:rPr>
            <w:tab/>
          </w:r>
          <w:r w:rsidR="00C7347D">
            <w:rPr>
              <w:noProof/>
            </w:rPr>
            <w:fldChar w:fldCharType="begin"/>
          </w:r>
          <w:r>
            <w:rPr>
              <w:noProof/>
            </w:rPr>
            <w:instrText xml:space="preserve"> PAGEREF _Toc335915767 \h </w:instrText>
          </w:r>
          <w:r w:rsidR="00C7347D">
            <w:rPr>
              <w:noProof/>
            </w:rPr>
          </w:r>
          <w:r w:rsidR="00C7347D">
            <w:rPr>
              <w:noProof/>
            </w:rPr>
            <w:fldChar w:fldCharType="separate"/>
          </w:r>
          <w:r w:rsidR="00E70A53">
            <w:rPr>
              <w:noProof/>
            </w:rPr>
            <w:t>97</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7.2</w:t>
          </w:r>
          <w:r>
            <w:rPr>
              <w:rFonts w:asciiTheme="minorHAnsi" w:eastAsiaTheme="minorEastAsia" w:hAnsiTheme="minorHAnsi" w:cstheme="minorBidi"/>
              <w:noProof/>
              <w:sz w:val="22"/>
              <w:lang w:eastAsia="en-AU" w:bidi="ar-SA"/>
            </w:rPr>
            <w:tab/>
          </w:r>
          <w:r>
            <w:rPr>
              <w:noProof/>
            </w:rPr>
            <w:t>Number of people accessing management and financial counselling services</w:t>
          </w:r>
          <w:r>
            <w:rPr>
              <w:noProof/>
            </w:rPr>
            <w:tab/>
          </w:r>
          <w:r w:rsidR="00C7347D">
            <w:rPr>
              <w:noProof/>
            </w:rPr>
            <w:fldChar w:fldCharType="begin"/>
          </w:r>
          <w:r>
            <w:rPr>
              <w:noProof/>
            </w:rPr>
            <w:instrText xml:space="preserve"> PAGEREF _Toc335915768 \h </w:instrText>
          </w:r>
          <w:r w:rsidR="00C7347D">
            <w:rPr>
              <w:noProof/>
            </w:rPr>
          </w:r>
          <w:r w:rsidR="00C7347D">
            <w:rPr>
              <w:noProof/>
            </w:rPr>
            <w:fldChar w:fldCharType="separate"/>
          </w:r>
          <w:r w:rsidR="00E70A53">
            <w:rPr>
              <w:noProof/>
            </w:rPr>
            <w:t>98</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7.3</w:t>
          </w:r>
          <w:r>
            <w:rPr>
              <w:rFonts w:asciiTheme="minorHAnsi" w:eastAsiaTheme="minorEastAsia" w:hAnsiTheme="minorHAnsi" w:cstheme="minorBidi"/>
              <w:noProof/>
              <w:sz w:val="22"/>
              <w:lang w:eastAsia="en-AU" w:bidi="ar-SA"/>
            </w:rPr>
            <w:tab/>
          </w:r>
          <w:r>
            <w:rPr>
              <w:noProof/>
            </w:rPr>
            <w:t>Perspectives of money management and financial counselling services of those subject to income management</w:t>
          </w:r>
          <w:r>
            <w:rPr>
              <w:noProof/>
            </w:rPr>
            <w:tab/>
          </w:r>
          <w:r w:rsidR="00C7347D">
            <w:rPr>
              <w:noProof/>
            </w:rPr>
            <w:fldChar w:fldCharType="begin"/>
          </w:r>
          <w:r>
            <w:rPr>
              <w:noProof/>
            </w:rPr>
            <w:instrText xml:space="preserve"> PAGEREF _Toc335915769 \h </w:instrText>
          </w:r>
          <w:r w:rsidR="00C7347D">
            <w:rPr>
              <w:noProof/>
            </w:rPr>
          </w:r>
          <w:r w:rsidR="00C7347D">
            <w:rPr>
              <w:noProof/>
            </w:rPr>
            <w:fldChar w:fldCharType="separate"/>
          </w:r>
          <w:r w:rsidR="00E70A53">
            <w:rPr>
              <w:noProof/>
            </w:rPr>
            <w:t>102</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7.4</w:t>
          </w:r>
          <w:r>
            <w:rPr>
              <w:rFonts w:asciiTheme="minorHAnsi" w:eastAsiaTheme="minorEastAsia" w:hAnsiTheme="minorHAnsi" w:cstheme="minorBidi"/>
              <w:noProof/>
              <w:sz w:val="22"/>
              <w:lang w:eastAsia="en-AU" w:bidi="ar-SA"/>
            </w:rPr>
            <w:tab/>
          </w:r>
          <w:r>
            <w:rPr>
              <w:noProof/>
            </w:rPr>
            <w:t>Centrelink staff views of money management services and the Matched Savings Payment</w:t>
          </w:r>
          <w:r>
            <w:rPr>
              <w:noProof/>
            </w:rPr>
            <w:tab/>
          </w:r>
          <w:r w:rsidR="00C7347D">
            <w:rPr>
              <w:noProof/>
            </w:rPr>
            <w:fldChar w:fldCharType="begin"/>
          </w:r>
          <w:r>
            <w:rPr>
              <w:noProof/>
            </w:rPr>
            <w:instrText xml:space="preserve"> PAGEREF _Toc335915770 \h </w:instrText>
          </w:r>
          <w:r w:rsidR="00C7347D">
            <w:rPr>
              <w:noProof/>
            </w:rPr>
          </w:r>
          <w:r w:rsidR="00C7347D">
            <w:rPr>
              <w:noProof/>
            </w:rPr>
            <w:fldChar w:fldCharType="separate"/>
          </w:r>
          <w:r w:rsidR="00E70A53">
            <w:rPr>
              <w:noProof/>
            </w:rPr>
            <w:t>103</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7.5</w:t>
          </w:r>
          <w:r>
            <w:rPr>
              <w:rFonts w:asciiTheme="minorHAnsi" w:eastAsiaTheme="minorEastAsia" w:hAnsiTheme="minorHAnsi" w:cstheme="minorBidi"/>
              <w:noProof/>
              <w:sz w:val="22"/>
              <w:lang w:eastAsia="en-AU" w:bidi="ar-SA"/>
            </w:rPr>
            <w:tab/>
          </w:r>
          <w:r>
            <w:rPr>
              <w:noProof/>
            </w:rPr>
            <w:t>Money management and financial counselling staff views</w:t>
          </w:r>
          <w:r>
            <w:rPr>
              <w:noProof/>
            </w:rPr>
            <w:tab/>
          </w:r>
          <w:r w:rsidR="00C7347D">
            <w:rPr>
              <w:noProof/>
            </w:rPr>
            <w:fldChar w:fldCharType="begin"/>
          </w:r>
          <w:r>
            <w:rPr>
              <w:noProof/>
            </w:rPr>
            <w:instrText xml:space="preserve"> PAGEREF _Toc335915771 \h </w:instrText>
          </w:r>
          <w:r w:rsidR="00C7347D">
            <w:rPr>
              <w:noProof/>
            </w:rPr>
          </w:r>
          <w:r w:rsidR="00C7347D">
            <w:rPr>
              <w:noProof/>
            </w:rPr>
            <w:fldChar w:fldCharType="separate"/>
          </w:r>
          <w:r w:rsidR="00E70A53">
            <w:rPr>
              <w:noProof/>
            </w:rPr>
            <w:t>106</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7.6</w:t>
          </w:r>
          <w:r>
            <w:rPr>
              <w:rFonts w:asciiTheme="minorHAnsi" w:eastAsiaTheme="minorEastAsia" w:hAnsiTheme="minorHAnsi" w:cstheme="minorBidi"/>
              <w:noProof/>
              <w:sz w:val="22"/>
              <w:lang w:eastAsia="en-AU" w:bidi="ar-SA"/>
            </w:rPr>
            <w:tab/>
          </w:r>
          <w:r>
            <w:rPr>
              <w:noProof/>
            </w:rPr>
            <w:t>Summary</w:t>
          </w:r>
          <w:r>
            <w:rPr>
              <w:noProof/>
            </w:rPr>
            <w:tab/>
          </w:r>
          <w:r w:rsidR="00C7347D">
            <w:rPr>
              <w:noProof/>
            </w:rPr>
            <w:fldChar w:fldCharType="begin"/>
          </w:r>
          <w:r>
            <w:rPr>
              <w:noProof/>
            </w:rPr>
            <w:instrText xml:space="preserve"> PAGEREF _Toc335915772 \h </w:instrText>
          </w:r>
          <w:r w:rsidR="00C7347D">
            <w:rPr>
              <w:noProof/>
            </w:rPr>
          </w:r>
          <w:r w:rsidR="00C7347D">
            <w:rPr>
              <w:noProof/>
            </w:rPr>
            <w:fldChar w:fldCharType="separate"/>
          </w:r>
          <w:r w:rsidR="00E70A53">
            <w:rPr>
              <w:noProof/>
            </w:rPr>
            <w:t>109</w:t>
          </w:r>
          <w:r w:rsidR="00C7347D">
            <w:rPr>
              <w:noProof/>
            </w:rPr>
            <w:fldChar w:fldCharType="end"/>
          </w:r>
        </w:p>
        <w:p w:rsidR="007D7E45" w:rsidRDefault="007D7E45">
          <w:pPr>
            <w:pStyle w:val="TOC1"/>
            <w:tabs>
              <w:tab w:val="left" w:pos="2370"/>
            </w:tabs>
            <w:rPr>
              <w:rFonts w:asciiTheme="minorHAnsi" w:eastAsiaTheme="minorEastAsia" w:hAnsiTheme="minorHAnsi" w:cstheme="minorBidi"/>
              <w:b w:val="0"/>
              <w:color w:val="auto"/>
              <w:sz w:val="22"/>
              <w:lang w:eastAsia="en-AU" w:bidi="ar-SA"/>
            </w:rPr>
          </w:pPr>
          <w:r w:rsidRPr="009B4408">
            <w:t>8.</w:t>
          </w:r>
          <w:r>
            <w:rPr>
              <w:rFonts w:asciiTheme="minorHAnsi" w:eastAsiaTheme="minorEastAsia" w:hAnsiTheme="minorHAnsi" w:cstheme="minorBidi"/>
              <w:b w:val="0"/>
              <w:color w:val="auto"/>
              <w:sz w:val="22"/>
              <w:lang w:eastAsia="en-AU" w:bidi="ar-SA"/>
            </w:rPr>
            <w:tab/>
          </w:r>
          <w:r>
            <w:t>Exemptions</w:t>
          </w:r>
          <w:r>
            <w:tab/>
          </w:r>
          <w:r w:rsidR="00C7347D">
            <w:fldChar w:fldCharType="begin"/>
          </w:r>
          <w:r>
            <w:instrText xml:space="preserve"> PAGEREF _Toc335915773 \h </w:instrText>
          </w:r>
          <w:r w:rsidR="00C7347D">
            <w:fldChar w:fldCharType="separate"/>
          </w:r>
          <w:r w:rsidR="00E70A53">
            <w:t>112</w:t>
          </w:r>
          <w:r w:rsidR="00C7347D">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8.1</w:t>
          </w:r>
          <w:r>
            <w:rPr>
              <w:rFonts w:asciiTheme="minorHAnsi" w:eastAsiaTheme="minorEastAsia" w:hAnsiTheme="minorHAnsi" w:cstheme="minorBidi"/>
              <w:noProof/>
              <w:sz w:val="22"/>
              <w:lang w:eastAsia="en-AU" w:bidi="ar-SA"/>
            </w:rPr>
            <w:tab/>
          </w:r>
          <w:r>
            <w:rPr>
              <w:noProof/>
            </w:rPr>
            <w:t>Operation of exemptions</w:t>
          </w:r>
          <w:r>
            <w:rPr>
              <w:noProof/>
            </w:rPr>
            <w:tab/>
          </w:r>
          <w:r w:rsidR="00C7347D">
            <w:rPr>
              <w:noProof/>
            </w:rPr>
            <w:fldChar w:fldCharType="begin"/>
          </w:r>
          <w:r>
            <w:rPr>
              <w:noProof/>
            </w:rPr>
            <w:instrText xml:space="preserve"> PAGEREF _Toc335915774 \h </w:instrText>
          </w:r>
          <w:r w:rsidR="00C7347D">
            <w:rPr>
              <w:noProof/>
            </w:rPr>
          </w:r>
          <w:r w:rsidR="00C7347D">
            <w:rPr>
              <w:noProof/>
            </w:rPr>
            <w:fldChar w:fldCharType="separate"/>
          </w:r>
          <w:r w:rsidR="00E70A53">
            <w:rPr>
              <w:noProof/>
            </w:rPr>
            <w:t>112</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8.2</w:t>
          </w:r>
          <w:r>
            <w:rPr>
              <w:rFonts w:asciiTheme="minorHAnsi" w:eastAsiaTheme="minorEastAsia" w:hAnsiTheme="minorHAnsi" w:cstheme="minorBidi"/>
              <w:noProof/>
              <w:sz w:val="22"/>
              <w:lang w:eastAsia="en-AU" w:bidi="ar-SA"/>
            </w:rPr>
            <w:tab/>
          </w:r>
          <w:r>
            <w:rPr>
              <w:noProof/>
            </w:rPr>
            <w:t>Data on exemptions</w:t>
          </w:r>
          <w:r>
            <w:rPr>
              <w:noProof/>
            </w:rPr>
            <w:tab/>
          </w:r>
          <w:r w:rsidR="00C7347D">
            <w:rPr>
              <w:noProof/>
            </w:rPr>
            <w:fldChar w:fldCharType="begin"/>
          </w:r>
          <w:r>
            <w:rPr>
              <w:noProof/>
            </w:rPr>
            <w:instrText xml:space="preserve"> PAGEREF _Toc335915775 \h </w:instrText>
          </w:r>
          <w:r w:rsidR="00C7347D">
            <w:rPr>
              <w:noProof/>
            </w:rPr>
          </w:r>
          <w:r w:rsidR="00C7347D">
            <w:rPr>
              <w:noProof/>
            </w:rPr>
            <w:fldChar w:fldCharType="separate"/>
          </w:r>
          <w:r w:rsidR="00E70A53">
            <w:rPr>
              <w:noProof/>
            </w:rPr>
            <w:t>117</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8.3</w:t>
          </w:r>
          <w:r>
            <w:rPr>
              <w:rFonts w:asciiTheme="minorHAnsi" w:eastAsiaTheme="minorEastAsia" w:hAnsiTheme="minorHAnsi" w:cstheme="minorBidi"/>
              <w:noProof/>
              <w:sz w:val="22"/>
              <w:lang w:eastAsia="en-AU" w:bidi="ar-SA"/>
            </w:rPr>
            <w:tab/>
          </w:r>
          <w:r>
            <w:rPr>
              <w:noProof/>
            </w:rPr>
            <w:t>The rollout of NIM and exemptions</w:t>
          </w:r>
          <w:r>
            <w:rPr>
              <w:noProof/>
            </w:rPr>
            <w:tab/>
          </w:r>
          <w:r w:rsidR="00C7347D">
            <w:rPr>
              <w:noProof/>
            </w:rPr>
            <w:fldChar w:fldCharType="begin"/>
          </w:r>
          <w:r>
            <w:rPr>
              <w:noProof/>
            </w:rPr>
            <w:instrText xml:space="preserve"> PAGEREF _Toc335915776 \h </w:instrText>
          </w:r>
          <w:r w:rsidR="00C7347D">
            <w:rPr>
              <w:noProof/>
            </w:rPr>
          </w:r>
          <w:r w:rsidR="00C7347D">
            <w:rPr>
              <w:noProof/>
            </w:rPr>
            <w:fldChar w:fldCharType="separate"/>
          </w:r>
          <w:r w:rsidR="00E70A53">
            <w:rPr>
              <w:noProof/>
            </w:rPr>
            <w:t>122</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8.4</w:t>
          </w:r>
          <w:r>
            <w:rPr>
              <w:rFonts w:asciiTheme="minorHAnsi" w:eastAsiaTheme="minorEastAsia" w:hAnsiTheme="minorHAnsi" w:cstheme="minorBidi"/>
              <w:noProof/>
              <w:sz w:val="22"/>
              <w:lang w:eastAsia="en-AU" w:bidi="ar-SA"/>
            </w:rPr>
            <w:tab/>
          </w:r>
          <w:r>
            <w:rPr>
              <w:noProof/>
            </w:rPr>
            <w:t>Who obtains exemptions</w:t>
          </w:r>
          <w:r>
            <w:rPr>
              <w:noProof/>
            </w:rPr>
            <w:tab/>
          </w:r>
          <w:r w:rsidR="00C7347D">
            <w:rPr>
              <w:noProof/>
            </w:rPr>
            <w:fldChar w:fldCharType="begin"/>
          </w:r>
          <w:r>
            <w:rPr>
              <w:noProof/>
            </w:rPr>
            <w:instrText xml:space="preserve"> PAGEREF _Toc335915777 \h </w:instrText>
          </w:r>
          <w:r w:rsidR="00C7347D">
            <w:rPr>
              <w:noProof/>
            </w:rPr>
          </w:r>
          <w:r w:rsidR="00C7347D">
            <w:rPr>
              <w:noProof/>
            </w:rPr>
            <w:fldChar w:fldCharType="separate"/>
          </w:r>
          <w:r w:rsidR="00E70A53">
            <w:rPr>
              <w:noProof/>
            </w:rPr>
            <w:t>126</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8.5</w:t>
          </w:r>
          <w:r>
            <w:rPr>
              <w:rFonts w:asciiTheme="minorHAnsi" w:eastAsiaTheme="minorEastAsia" w:hAnsiTheme="minorHAnsi" w:cstheme="minorBidi"/>
              <w:noProof/>
              <w:sz w:val="22"/>
              <w:lang w:eastAsia="en-AU" w:bidi="ar-SA"/>
            </w:rPr>
            <w:tab/>
          </w:r>
          <w:r>
            <w:rPr>
              <w:noProof/>
            </w:rPr>
            <w:t>Multivariate analysis</w:t>
          </w:r>
          <w:r>
            <w:rPr>
              <w:noProof/>
            </w:rPr>
            <w:tab/>
          </w:r>
          <w:r w:rsidR="00C7347D">
            <w:rPr>
              <w:noProof/>
            </w:rPr>
            <w:fldChar w:fldCharType="begin"/>
          </w:r>
          <w:r>
            <w:rPr>
              <w:noProof/>
            </w:rPr>
            <w:instrText xml:space="preserve"> PAGEREF _Toc335915778 \h </w:instrText>
          </w:r>
          <w:r w:rsidR="00C7347D">
            <w:rPr>
              <w:noProof/>
            </w:rPr>
          </w:r>
          <w:r w:rsidR="00C7347D">
            <w:rPr>
              <w:noProof/>
            </w:rPr>
            <w:fldChar w:fldCharType="separate"/>
          </w:r>
          <w:r w:rsidR="00E70A53">
            <w:rPr>
              <w:noProof/>
            </w:rPr>
            <w:t>133</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8.6</w:t>
          </w:r>
          <w:r>
            <w:rPr>
              <w:rFonts w:asciiTheme="minorHAnsi" w:eastAsiaTheme="minorEastAsia" w:hAnsiTheme="minorHAnsi" w:cstheme="minorBidi"/>
              <w:noProof/>
              <w:sz w:val="22"/>
              <w:lang w:eastAsia="en-AU" w:bidi="ar-SA"/>
            </w:rPr>
            <w:tab/>
          </w:r>
          <w:r>
            <w:rPr>
              <w:noProof/>
            </w:rPr>
            <w:t>Reviews and appeals</w:t>
          </w:r>
          <w:r>
            <w:rPr>
              <w:noProof/>
            </w:rPr>
            <w:tab/>
          </w:r>
          <w:r w:rsidR="00C7347D">
            <w:rPr>
              <w:noProof/>
            </w:rPr>
            <w:fldChar w:fldCharType="begin"/>
          </w:r>
          <w:r>
            <w:rPr>
              <w:noProof/>
            </w:rPr>
            <w:instrText xml:space="preserve"> PAGEREF _Toc335915779 \h </w:instrText>
          </w:r>
          <w:r w:rsidR="00C7347D">
            <w:rPr>
              <w:noProof/>
            </w:rPr>
          </w:r>
          <w:r w:rsidR="00C7347D">
            <w:rPr>
              <w:noProof/>
            </w:rPr>
            <w:fldChar w:fldCharType="separate"/>
          </w:r>
          <w:r w:rsidR="00E70A53">
            <w:rPr>
              <w:noProof/>
            </w:rPr>
            <w:t>135</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8.7</w:t>
          </w:r>
          <w:r>
            <w:rPr>
              <w:rFonts w:asciiTheme="minorHAnsi" w:eastAsiaTheme="minorEastAsia" w:hAnsiTheme="minorHAnsi" w:cstheme="minorBidi"/>
              <w:noProof/>
              <w:sz w:val="22"/>
              <w:lang w:eastAsia="en-AU" w:bidi="ar-SA"/>
            </w:rPr>
            <w:tab/>
          </w:r>
          <w:r>
            <w:rPr>
              <w:noProof/>
            </w:rPr>
            <w:t>Conclusion</w:t>
          </w:r>
          <w:r>
            <w:rPr>
              <w:noProof/>
            </w:rPr>
            <w:tab/>
          </w:r>
          <w:r w:rsidR="00C7347D">
            <w:rPr>
              <w:noProof/>
            </w:rPr>
            <w:fldChar w:fldCharType="begin"/>
          </w:r>
          <w:r>
            <w:rPr>
              <w:noProof/>
            </w:rPr>
            <w:instrText xml:space="preserve"> PAGEREF _Toc335915780 \h </w:instrText>
          </w:r>
          <w:r w:rsidR="00C7347D">
            <w:rPr>
              <w:noProof/>
            </w:rPr>
          </w:r>
          <w:r w:rsidR="00C7347D">
            <w:rPr>
              <w:noProof/>
            </w:rPr>
            <w:fldChar w:fldCharType="separate"/>
          </w:r>
          <w:r w:rsidR="00E70A53">
            <w:rPr>
              <w:noProof/>
            </w:rPr>
            <w:t>136</w:t>
          </w:r>
          <w:r w:rsidR="00C7347D">
            <w:rPr>
              <w:noProof/>
            </w:rPr>
            <w:fldChar w:fldCharType="end"/>
          </w:r>
        </w:p>
        <w:p w:rsidR="007D7E45" w:rsidRDefault="007D7E45">
          <w:pPr>
            <w:pStyle w:val="TOC1"/>
            <w:tabs>
              <w:tab w:val="left" w:pos="2370"/>
            </w:tabs>
            <w:rPr>
              <w:rFonts w:asciiTheme="minorHAnsi" w:eastAsiaTheme="minorEastAsia" w:hAnsiTheme="minorHAnsi" w:cstheme="minorBidi"/>
              <w:b w:val="0"/>
              <w:color w:val="auto"/>
              <w:sz w:val="22"/>
              <w:lang w:eastAsia="en-AU" w:bidi="ar-SA"/>
            </w:rPr>
          </w:pPr>
          <w:r w:rsidRPr="009B4408">
            <w:t>9.</w:t>
          </w:r>
          <w:r>
            <w:rPr>
              <w:rFonts w:asciiTheme="minorHAnsi" w:eastAsiaTheme="minorEastAsia" w:hAnsiTheme="minorHAnsi" w:cstheme="minorBidi"/>
              <w:b w:val="0"/>
              <w:color w:val="auto"/>
              <w:sz w:val="22"/>
              <w:lang w:eastAsia="en-AU" w:bidi="ar-SA"/>
            </w:rPr>
            <w:tab/>
          </w:r>
          <w:r>
            <w:t>Perspectives of Centrelink staff, merchants, child protection workers, and money management and financial counsellors</w:t>
          </w:r>
          <w:r>
            <w:tab/>
          </w:r>
          <w:r w:rsidR="00C7347D">
            <w:fldChar w:fldCharType="begin"/>
          </w:r>
          <w:r>
            <w:instrText xml:space="preserve"> PAGEREF _Toc335915781 \h </w:instrText>
          </w:r>
          <w:r w:rsidR="00C7347D">
            <w:fldChar w:fldCharType="separate"/>
          </w:r>
          <w:r w:rsidR="00E70A53">
            <w:t>138</w:t>
          </w:r>
          <w:r w:rsidR="00C7347D">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9.1</w:t>
          </w:r>
          <w:r>
            <w:rPr>
              <w:rFonts w:asciiTheme="minorHAnsi" w:eastAsiaTheme="minorEastAsia" w:hAnsiTheme="minorHAnsi" w:cstheme="minorBidi"/>
              <w:noProof/>
              <w:sz w:val="22"/>
              <w:lang w:eastAsia="en-AU" w:bidi="ar-SA"/>
            </w:rPr>
            <w:tab/>
          </w:r>
          <w:r>
            <w:rPr>
              <w:noProof/>
            </w:rPr>
            <w:t>Methodological issues</w:t>
          </w:r>
          <w:r>
            <w:rPr>
              <w:noProof/>
            </w:rPr>
            <w:tab/>
          </w:r>
          <w:r w:rsidR="00C7347D">
            <w:rPr>
              <w:noProof/>
            </w:rPr>
            <w:fldChar w:fldCharType="begin"/>
          </w:r>
          <w:r>
            <w:rPr>
              <w:noProof/>
            </w:rPr>
            <w:instrText xml:space="preserve"> PAGEREF _Toc335915782 \h </w:instrText>
          </w:r>
          <w:r w:rsidR="00C7347D">
            <w:rPr>
              <w:noProof/>
            </w:rPr>
          </w:r>
          <w:r w:rsidR="00C7347D">
            <w:rPr>
              <w:noProof/>
            </w:rPr>
            <w:fldChar w:fldCharType="separate"/>
          </w:r>
          <w:r w:rsidR="00E70A53">
            <w:rPr>
              <w:noProof/>
            </w:rPr>
            <w:t>139</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9.2</w:t>
          </w:r>
          <w:r>
            <w:rPr>
              <w:rFonts w:asciiTheme="minorHAnsi" w:eastAsiaTheme="minorEastAsia" w:hAnsiTheme="minorHAnsi" w:cstheme="minorBidi"/>
              <w:noProof/>
              <w:sz w:val="22"/>
              <w:lang w:eastAsia="en-AU" w:bidi="ar-SA"/>
            </w:rPr>
            <w:tab/>
          </w:r>
          <w:r>
            <w:rPr>
              <w:noProof/>
            </w:rPr>
            <w:t>Overview of Centrelink, child protection, and money management and financial counselling respondents</w:t>
          </w:r>
          <w:r>
            <w:rPr>
              <w:noProof/>
            </w:rPr>
            <w:tab/>
          </w:r>
          <w:r w:rsidR="00C7347D">
            <w:rPr>
              <w:noProof/>
            </w:rPr>
            <w:fldChar w:fldCharType="begin"/>
          </w:r>
          <w:r>
            <w:rPr>
              <w:noProof/>
            </w:rPr>
            <w:instrText xml:space="preserve"> PAGEREF _Toc335915783 \h </w:instrText>
          </w:r>
          <w:r w:rsidR="00C7347D">
            <w:rPr>
              <w:noProof/>
            </w:rPr>
          </w:r>
          <w:r w:rsidR="00C7347D">
            <w:rPr>
              <w:noProof/>
            </w:rPr>
            <w:fldChar w:fldCharType="separate"/>
          </w:r>
          <w:r w:rsidR="00E70A53">
            <w:rPr>
              <w:noProof/>
            </w:rPr>
            <w:t>140</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9.3</w:t>
          </w:r>
          <w:r>
            <w:rPr>
              <w:rFonts w:asciiTheme="minorHAnsi" w:eastAsiaTheme="minorEastAsia" w:hAnsiTheme="minorHAnsi" w:cstheme="minorBidi"/>
              <w:noProof/>
              <w:sz w:val="22"/>
              <w:lang w:eastAsia="en-AU" w:bidi="ar-SA"/>
            </w:rPr>
            <w:tab/>
          </w:r>
          <w:r>
            <w:rPr>
              <w:noProof/>
            </w:rPr>
            <w:t>Implementation issues for income management</w:t>
          </w:r>
          <w:r>
            <w:rPr>
              <w:noProof/>
            </w:rPr>
            <w:tab/>
          </w:r>
          <w:r w:rsidR="00C7347D">
            <w:rPr>
              <w:noProof/>
            </w:rPr>
            <w:fldChar w:fldCharType="begin"/>
          </w:r>
          <w:r>
            <w:rPr>
              <w:noProof/>
            </w:rPr>
            <w:instrText xml:space="preserve"> PAGEREF _Toc335915784 \h </w:instrText>
          </w:r>
          <w:r w:rsidR="00C7347D">
            <w:rPr>
              <w:noProof/>
            </w:rPr>
          </w:r>
          <w:r w:rsidR="00C7347D">
            <w:rPr>
              <w:noProof/>
            </w:rPr>
            <w:fldChar w:fldCharType="separate"/>
          </w:r>
          <w:r w:rsidR="00E70A53">
            <w:rPr>
              <w:noProof/>
            </w:rPr>
            <w:t>143</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9.4</w:t>
          </w:r>
          <w:r>
            <w:rPr>
              <w:rFonts w:asciiTheme="minorHAnsi" w:eastAsiaTheme="minorEastAsia" w:hAnsiTheme="minorHAnsi" w:cstheme="minorBidi"/>
              <w:noProof/>
              <w:sz w:val="22"/>
              <w:lang w:eastAsia="en-AU" w:bidi="ar-SA"/>
            </w:rPr>
            <w:tab/>
          </w:r>
          <w:r>
            <w:rPr>
              <w:noProof/>
            </w:rPr>
            <w:t>Availability and capacity of services</w:t>
          </w:r>
          <w:r>
            <w:rPr>
              <w:noProof/>
            </w:rPr>
            <w:tab/>
          </w:r>
          <w:r w:rsidR="00C7347D">
            <w:rPr>
              <w:noProof/>
            </w:rPr>
            <w:fldChar w:fldCharType="begin"/>
          </w:r>
          <w:r>
            <w:rPr>
              <w:noProof/>
            </w:rPr>
            <w:instrText xml:space="preserve"> PAGEREF _Toc335915785 \h </w:instrText>
          </w:r>
          <w:r w:rsidR="00C7347D">
            <w:rPr>
              <w:noProof/>
            </w:rPr>
          </w:r>
          <w:r w:rsidR="00C7347D">
            <w:rPr>
              <w:noProof/>
            </w:rPr>
            <w:fldChar w:fldCharType="separate"/>
          </w:r>
          <w:r w:rsidR="00E70A53">
            <w:rPr>
              <w:noProof/>
            </w:rPr>
            <w:t>152</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9.5</w:t>
          </w:r>
          <w:r>
            <w:rPr>
              <w:rFonts w:asciiTheme="minorHAnsi" w:eastAsiaTheme="minorEastAsia" w:hAnsiTheme="minorHAnsi" w:cstheme="minorBidi"/>
              <w:noProof/>
              <w:sz w:val="22"/>
              <w:lang w:eastAsia="en-AU" w:bidi="ar-SA"/>
            </w:rPr>
            <w:tab/>
          </w:r>
          <w:r>
            <w:rPr>
              <w:noProof/>
            </w:rPr>
            <w:t>Comments on different income management measures</w:t>
          </w:r>
          <w:r>
            <w:rPr>
              <w:noProof/>
            </w:rPr>
            <w:tab/>
          </w:r>
          <w:r w:rsidR="00C7347D">
            <w:rPr>
              <w:noProof/>
            </w:rPr>
            <w:fldChar w:fldCharType="begin"/>
          </w:r>
          <w:r>
            <w:rPr>
              <w:noProof/>
            </w:rPr>
            <w:instrText xml:space="preserve"> PAGEREF _Toc335915786 \h </w:instrText>
          </w:r>
          <w:r w:rsidR="00C7347D">
            <w:rPr>
              <w:noProof/>
            </w:rPr>
          </w:r>
          <w:r w:rsidR="00C7347D">
            <w:rPr>
              <w:noProof/>
            </w:rPr>
            <w:fldChar w:fldCharType="separate"/>
          </w:r>
          <w:r w:rsidR="00E70A53">
            <w:rPr>
              <w:noProof/>
            </w:rPr>
            <w:t>154</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9.6</w:t>
          </w:r>
          <w:r>
            <w:rPr>
              <w:rFonts w:asciiTheme="minorHAnsi" w:eastAsiaTheme="minorEastAsia" w:hAnsiTheme="minorHAnsi" w:cstheme="minorBidi"/>
              <w:noProof/>
              <w:sz w:val="22"/>
              <w:lang w:eastAsia="en-AU" w:bidi="ar-SA"/>
            </w:rPr>
            <w:tab/>
          </w:r>
          <w:r>
            <w:rPr>
              <w:noProof/>
            </w:rPr>
            <w:t>Views of the impact of income management on clients</w:t>
          </w:r>
          <w:r>
            <w:rPr>
              <w:noProof/>
            </w:rPr>
            <w:tab/>
          </w:r>
          <w:r w:rsidR="00C7347D">
            <w:rPr>
              <w:noProof/>
            </w:rPr>
            <w:fldChar w:fldCharType="begin"/>
          </w:r>
          <w:r>
            <w:rPr>
              <w:noProof/>
            </w:rPr>
            <w:instrText xml:space="preserve"> PAGEREF _Toc335915787 \h </w:instrText>
          </w:r>
          <w:r w:rsidR="00C7347D">
            <w:rPr>
              <w:noProof/>
            </w:rPr>
          </w:r>
          <w:r w:rsidR="00C7347D">
            <w:rPr>
              <w:noProof/>
            </w:rPr>
            <w:fldChar w:fldCharType="separate"/>
          </w:r>
          <w:r w:rsidR="00E70A53">
            <w:rPr>
              <w:noProof/>
            </w:rPr>
            <w:t>162</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9.7</w:t>
          </w:r>
          <w:r>
            <w:rPr>
              <w:rFonts w:asciiTheme="minorHAnsi" w:eastAsiaTheme="minorEastAsia" w:hAnsiTheme="minorHAnsi" w:cstheme="minorBidi"/>
              <w:noProof/>
              <w:sz w:val="22"/>
              <w:lang w:eastAsia="en-AU" w:bidi="ar-SA"/>
            </w:rPr>
            <w:tab/>
          </w:r>
          <w:r>
            <w:rPr>
              <w:noProof/>
            </w:rPr>
            <w:t>Perceptions of impacts of NIM on specific client groups</w:t>
          </w:r>
          <w:r>
            <w:rPr>
              <w:noProof/>
            </w:rPr>
            <w:tab/>
          </w:r>
          <w:r w:rsidR="00C7347D">
            <w:rPr>
              <w:noProof/>
            </w:rPr>
            <w:fldChar w:fldCharType="begin"/>
          </w:r>
          <w:r>
            <w:rPr>
              <w:noProof/>
            </w:rPr>
            <w:instrText xml:space="preserve"> PAGEREF _Toc335915788 \h </w:instrText>
          </w:r>
          <w:r w:rsidR="00C7347D">
            <w:rPr>
              <w:noProof/>
            </w:rPr>
          </w:r>
          <w:r w:rsidR="00C7347D">
            <w:rPr>
              <w:noProof/>
            </w:rPr>
            <w:fldChar w:fldCharType="separate"/>
          </w:r>
          <w:r w:rsidR="00E70A53">
            <w:rPr>
              <w:noProof/>
            </w:rPr>
            <w:t>166</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9.8</w:t>
          </w:r>
          <w:r>
            <w:rPr>
              <w:rFonts w:asciiTheme="minorHAnsi" w:eastAsiaTheme="minorEastAsia" w:hAnsiTheme="minorHAnsi" w:cstheme="minorBidi"/>
              <w:noProof/>
              <w:sz w:val="22"/>
              <w:lang w:eastAsia="en-AU" w:bidi="ar-SA"/>
            </w:rPr>
            <w:tab/>
          </w:r>
          <w:r>
            <w:rPr>
              <w:noProof/>
            </w:rPr>
            <w:t>Views of stakeholder groups</w:t>
          </w:r>
          <w:r>
            <w:rPr>
              <w:noProof/>
            </w:rPr>
            <w:tab/>
          </w:r>
          <w:r w:rsidR="00C7347D">
            <w:rPr>
              <w:noProof/>
            </w:rPr>
            <w:fldChar w:fldCharType="begin"/>
          </w:r>
          <w:r>
            <w:rPr>
              <w:noProof/>
            </w:rPr>
            <w:instrText xml:space="preserve"> PAGEREF _Toc335915789 \h </w:instrText>
          </w:r>
          <w:r w:rsidR="00C7347D">
            <w:rPr>
              <w:noProof/>
            </w:rPr>
          </w:r>
          <w:r w:rsidR="00C7347D">
            <w:rPr>
              <w:noProof/>
            </w:rPr>
            <w:fldChar w:fldCharType="separate"/>
          </w:r>
          <w:r w:rsidR="00E70A53">
            <w:rPr>
              <w:noProof/>
            </w:rPr>
            <w:t>167</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9.9</w:t>
          </w:r>
          <w:r>
            <w:rPr>
              <w:rFonts w:asciiTheme="minorHAnsi" w:eastAsiaTheme="minorEastAsia" w:hAnsiTheme="minorHAnsi" w:cstheme="minorBidi"/>
              <w:noProof/>
              <w:sz w:val="22"/>
              <w:lang w:eastAsia="en-AU" w:bidi="ar-SA"/>
            </w:rPr>
            <w:tab/>
          </w:r>
          <w:r>
            <w:rPr>
              <w:noProof/>
            </w:rPr>
            <w:t>Survey of merchants</w:t>
          </w:r>
          <w:r>
            <w:rPr>
              <w:noProof/>
            </w:rPr>
            <w:tab/>
          </w:r>
          <w:r w:rsidR="00C7347D">
            <w:rPr>
              <w:noProof/>
            </w:rPr>
            <w:fldChar w:fldCharType="begin"/>
          </w:r>
          <w:r>
            <w:rPr>
              <w:noProof/>
            </w:rPr>
            <w:instrText xml:space="preserve"> PAGEREF _Toc335915790 \h </w:instrText>
          </w:r>
          <w:r w:rsidR="00C7347D">
            <w:rPr>
              <w:noProof/>
            </w:rPr>
          </w:r>
          <w:r w:rsidR="00C7347D">
            <w:rPr>
              <w:noProof/>
            </w:rPr>
            <w:fldChar w:fldCharType="separate"/>
          </w:r>
          <w:r w:rsidR="00E70A53">
            <w:rPr>
              <w:noProof/>
            </w:rPr>
            <w:t>170</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9.10</w:t>
          </w:r>
          <w:r>
            <w:rPr>
              <w:rFonts w:asciiTheme="minorHAnsi" w:eastAsiaTheme="minorEastAsia" w:hAnsiTheme="minorHAnsi" w:cstheme="minorBidi"/>
              <w:noProof/>
              <w:sz w:val="22"/>
              <w:lang w:eastAsia="en-AU" w:bidi="ar-SA"/>
            </w:rPr>
            <w:tab/>
          </w:r>
          <w:r>
            <w:rPr>
              <w:noProof/>
            </w:rPr>
            <w:t>Summary of results from surveys and interviews with intermediaries and stakeholders</w:t>
          </w:r>
          <w:r>
            <w:rPr>
              <w:noProof/>
            </w:rPr>
            <w:tab/>
          </w:r>
          <w:r w:rsidR="00C7347D">
            <w:rPr>
              <w:noProof/>
            </w:rPr>
            <w:fldChar w:fldCharType="begin"/>
          </w:r>
          <w:r>
            <w:rPr>
              <w:noProof/>
            </w:rPr>
            <w:instrText xml:space="preserve"> PAGEREF _Toc335915791 \h </w:instrText>
          </w:r>
          <w:r w:rsidR="00C7347D">
            <w:rPr>
              <w:noProof/>
            </w:rPr>
          </w:r>
          <w:r w:rsidR="00C7347D">
            <w:rPr>
              <w:noProof/>
            </w:rPr>
            <w:fldChar w:fldCharType="separate"/>
          </w:r>
          <w:r w:rsidR="00E70A53">
            <w:rPr>
              <w:noProof/>
            </w:rPr>
            <w:t>172</w:t>
          </w:r>
          <w:r w:rsidR="00C7347D">
            <w:rPr>
              <w:noProof/>
            </w:rPr>
            <w:fldChar w:fldCharType="end"/>
          </w:r>
        </w:p>
        <w:p w:rsidR="007D7E45" w:rsidRDefault="007D7E45">
          <w:pPr>
            <w:pStyle w:val="TOC1"/>
            <w:tabs>
              <w:tab w:val="left" w:pos="2370"/>
            </w:tabs>
            <w:rPr>
              <w:rFonts w:asciiTheme="minorHAnsi" w:eastAsiaTheme="minorEastAsia" w:hAnsiTheme="minorHAnsi" w:cstheme="minorBidi"/>
              <w:b w:val="0"/>
              <w:color w:val="auto"/>
              <w:sz w:val="22"/>
              <w:lang w:eastAsia="en-AU" w:bidi="ar-SA"/>
            </w:rPr>
          </w:pPr>
          <w:r w:rsidRPr="009B4408">
            <w:t>10.</w:t>
          </w:r>
          <w:r>
            <w:rPr>
              <w:rFonts w:asciiTheme="minorHAnsi" w:eastAsiaTheme="minorEastAsia" w:hAnsiTheme="minorHAnsi" w:cstheme="minorBidi"/>
              <w:b w:val="0"/>
              <w:color w:val="auto"/>
              <w:sz w:val="22"/>
              <w:lang w:eastAsia="en-AU" w:bidi="ar-SA"/>
            </w:rPr>
            <w:tab/>
          </w:r>
          <w:r>
            <w:t>The experience and impacts of income management</w:t>
          </w:r>
          <w:r>
            <w:tab/>
          </w:r>
          <w:r w:rsidR="00C7347D">
            <w:fldChar w:fldCharType="begin"/>
          </w:r>
          <w:r>
            <w:instrText xml:space="preserve"> PAGEREF _Toc335915792 \h </w:instrText>
          </w:r>
          <w:r w:rsidR="00C7347D">
            <w:fldChar w:fldCharType="separate"/>
          </w:r>
          <w:r w:rsidR="00E70A53">
            <w:t>175</w:t>
          </w:r>
          <w:r w:rsidR="00C7347D">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10.1</w:t>
          </w:r>
          <w:r>
            <w:rPr>
              <w:rFonts w:asciiTheme="minorHAnsi" w:eastAsiaTheme="minorEastAsia" w:hAnsiTheme="minorHAnsi" w:cstheme="minorBidi"/>
              <w:noProof/>
              <w:sz w:val="22"/>
              <w:lang w:eastAsia="en-AU" w:bidi="ar-SA"/>
            </w:rPr>
            <w:tab/>
          </w:r>
          <w:r>
            <w:rPr>
              <w:noProof/>
            </w:rPr>
            <w:t>Introduction</w:t>
          </w:r>
          <w:r>
            <w:rPr>
              <w:noProof/>
            </w:rPr>
            <w:tab/>
          </w:r>
          <w:r w:rsidR="00C7347D">
            <w:rPr>
              <w:noProof/>
            </w:rPr>
            <w:fldChar w:fldCharType="begin"/>
          </w:r>
          <w:r>
            <w:rPr>
              <w:noProof/>
            </w:rPr>
            <w:instrText xml:space="preserve"> PAGEREF _Toc335915793 \h </w:instrText>
          </w:r>
          <w:r w:rsidR="00C7347D">
            <w:rPr>
              <w:noProof/>
            </w:rPr>
          </w:r>
          <w:r w:rsidR="00C7347D">
            <w:rPr>
              <w:noProof/>
            </w:rPr>
            <w:fldChar w:fldCharType="separate"/>
          </w:r>
          <w:r w:rsidR="00E70A53">
            <w:rPr>
              <w:noProof/>
            </w:rPr>
            <w:t>175</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lastRenderedPageBreak/>
            <w:t>10.2</w:t>
          </w:r>
          <w:r>
            <w:rPr>
              <w:rFonts w:asciiTheme="minorHAnsi" w:eastAsiaTheme="minorEastAsia" w:hAnsiTheme="minorHAnsi" w:cstheme="minorBidi"/>
              <w:noProof/>
              <w:sz w:val="22"/>
              <w:lang w:eastAsia="en-AU" w:bidi="ar-SA"/>
            </w:rPr>
            <w:tab/>
          </w:r>
          <w:r>
            <w:rPr>
              <w:noProof/>
            </w:rPr>
            <w:t>Approach to analysis</w:t>
          </w:r>
          <w:r>
            <w:rPr>
              <w:noProof/>
            </w:rPr>
            <w:tab/>
          </w:r>
          <w:r w:rsidR="00C7347D">
            <w:rPr>
              <w:noProof/>
            </w:rPr>
            <w:fldChar w:fldCharType="begin"/>
          </w:r>
          <w:r>
            <w:rPr>
              <w:noProof/>
            </w:rPr>
            <w:instrText xml:space="preserve"> PAGEREF _Toc335915794 \h </w:instrText>
          </w:r>
          <w:r w:rsidR="00C7347D">
            <w:rPr>
              <w:noProof/>
            </w:rPr>
          </w:r>
          <w:r w:rsidR="00C7347D">
            <w:rPr>
              <w:noProof/>
            </w:rPr>
            <w:fldChar w:fldCharType="separate"/>
          </w:r>
          <w:r w:rsidR="00E70A53">
            <w:rPr>
              <w:noProof/>
            </w:rPr>
            <w:t>176</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10.3</w:t>
          </w:r>
          <w:r>
            <w:rPr>
              <w:rFonts w:asciiTheme="minorHAnsi" w:eastAsiaTheme="minorEastAsia" w:hAnsiTheme="minorHAnsi" w:cstheme="minorBidi"/>
              <w:noProof/>
              <w:sz w:val="22"/>
              <w:lang w:eastAsia="en-AU" w:bidi="ar-SA"/>
            </w:rPr>
            <w:tab/>
          </w:r>
          <w:r>
            <w:rPr>
              <w:noProof/>
            </w:rPr>
            <w:t>Conduct of survey and benchmarking the sample against the income management population</w:t>
          </w:r>
          <w:r>
            <w:rPr>
              <w:noProof/>
            </w:rPr>
            <w:tab/>
          </w:r>
          <w:r w:rsidR="00C7347D">
            <w:rPr>
              <w:noProof/>
            </w:rPr>
            <w:fldChar w:fldCharType="begin"/>
          </w:r>
          <w:r>
            <w:rPr>
              <w:noProof/>
            </w:rPr>
            <w:instrText xml:space="preserve"> PAGEREF _Toc335915795 \h </w:instrText>
          </w:r>
          <w:r w:rsidR="00C7347D">
            <w:rPr>
              <w:noProof/>
            </w:rPr>
          </w:r>
          <w:r w:rsidR="00C7347D">
            <w:rPr>
              <w:noProof/>
            </w:rPr>
            <w:fldChar w:fldCharType="separate"/>
          </w:r>
          <w:r w:rsidR="00E70A53">
            <w:rPr>
              <w:noProof/>
            </w:rPr>
            <w:t>177</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10.4</w:t>
          </w:r>
          <w:r>
            <w:rPr>
              <w:rFonts w:asciiTheme="minorHAnsi" w:eastAsiaTheme="minorEastAsia" w:hAnsiTheme="minorHAnsi" w:cstheme="minorBidi"/>
              <w:noProof/>
              <w:sz w:val="22"/>
              <w:lang w:eastAsia="en-AU" w:bidi="ar-SA"/>
            </w:rPr>
            <w:tab/>
          </w:r>
          <w:r>
            <w:rPr>
              <w:noProof/>
            </w:rPr>
            <w:t>The socio-economic and demographic characteristics of the survey population</w:t>
          </w:r>
          <w:r>
            <w:rPr>
              <w:noProof/>
            </w:rPr>
            <w:tab/>
          </w:r>
          <w:r w:rsidR="00C7347D">
            <w:rPr>
              <w:noProof/>
            </w:rPr>
            <w:fldChar w:fldCharType="begin"/>
          </w:r>
          <w:r>
            <w:rPr>
              <w:noProof/>
            </w:rPr>
            <w:instrText xml:space="preserve"> PAGEREF _Toc335915796 \h </w:instrText>
          </w:r>
          <w:r w:rsidR="00C7347D">
            <w:rPr>
              <w:noProof/>
            </w:rPr>
          </w:r>
          <w:r w:rsidR="00C7347D">
            <w:rPr>
              <w:noProof/>
            </w:rPr>
            <w:fldChar w:fldCharType="separate"/>
          </w:r>
          <w:r w:rsidR="00E70A53">
            <w:rPr>
              <w:noProof/>
            </w:rPr>
            <w:t>181</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10.5</w:t>
          </w:r>
          <w:r>
            <w:rPr>
              <w:rFonts w:asciiTheme="minorHAnsi" w:eastAsiaTheme="minorEastAsia" w:hAnsiTheme="minorHAnsi" w:cstheme="minorBidi"/>
              <w:noProof/>
              <w:sz w:val="22"/>
              <w:lang w:eastAsia="en-AU" w:bidi="ar-SA"/>
            </w:rPr>
            <w:tab/>
          </w:r>
          <w:r>
            <w:rPr>
              <w:noProof/>
            </w:rPr>
            <w:t>The impact of income management</w:t>
          </w:r>
          <w:r>
            <w:rPr>
              <w:noProof/>
            </w:rPr>
            <w:tab/>
          </w:r>
          <w:r w:rsidR="00C7347D">
            <w:rPr>
              <w:noProof/>
            </w:rPr>
            <w:fldChar w:fldCharType="begin"/>
          </w:r>
          <w:r>
            <w:rPr>
              <w:noProof/>
            </w:rPr>
            <w:instrText xml:space="preserve"> PAGEREF _Toc335915797 \h </w:instrText>
          </w:r>
          <w:r w:rsidR="00C7347D">
            <w:rPr>
              <w:noProof/>
            </w:rPr>
          </w:r>
          <w:r w:rsidR="00C7347D">
            <w:rPr>
              <w:noProof/>
            </w:rPr>
            <w:fldChar w:fldCharType="separate"/>
          </w:r>
          <w:r w:rsidR="00E70A53">
            <w:rPr>
              <w:noProof/>
            </w:rPr>
            <w:t>187</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10.6</w:t>
          </w:r>
          <w:r>
            <w:rPr>
              <w:rFonts w:asciiTheme="minorHAnsi" w:eastAsiaTheme="minorEastAsia" w:hAnsiTheme="minorHAnsi" w:cstheme="minorBidi"/>
              <w:noProof/>
              <w:sz w:val="22"/>
              <w:lang w:eastAsia="en-AU" w:bidi="ar-SA"/>
            </w:rPr>
            <w:tab/>
          </w:r>
          <w:r>
            <w:rPr>
              <w:noProof/>
            </w:rPr>
            <w:t>Attitudes to income management</w:t>
          </w:r>
          <w:r>
            <w:rPr>
              <w:noProof/>
            </w:rPr>
            <w:tab/>
          </w:r>
          <w:r w:rsidR="00C7347D">
            <w:rPr>
              <w:noProof/>
            </w:rPr>
            <w:fldChar w:fldCharType="begin"/>
          </w:r>
          <w:r>
            <w:rPr>
              <w:noProof/>
            </w:rPr>
            <w:instrText xml:space="preserve"> PAGEREF _Toc335915798 \h </w:instrText>
          </w:r>
          <w:r w:rsidR="00C7347D">
            <w:rPr>
              <w:noProof/>
            </w:rPr>
          </w:r>
          <w:r w:rsidR="00C7347D">
            <w:rPr>
              <w:noProof/>
            </w:rPr>
            <w:fldChar w:fldCharType="separate"/>
          </w:r>
          <w:r w:rsidR="00E70A53">
            <w:rPr>
              <w:noProof/>
            </w:rPr>
            <w:t>202</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10.7</w:t>
          </w:r>
          <w:r>
            <w:rPr>
              <w:rFonts w:asciiTheme="minorHAnsi" w:eastAsiaTheme="minorEastAsia" w:hAnsiTheme="minorHAnsi" w:cstheme="minorBidi"/>
              <w:noProof/>
              <w:sz w:val="22"/>
              <w:lang w:eastAsia="en-AU" w:bidi="ar-SA"/>
            </w:rPr>
            <w:tab/>
          </w:r>
          <w:r>
            <w:rPr>
              <w:noProof/>
            </w:rPr>
            <w:t>Changes in communities and families</w:t>
          </w:r>
          <w:r>
            <w:rPr>
              <w:noProof/>
            </w:rPr>
            <w:tab/>
          </w:r>
          <w:r w:rsidR="00C7347D">
            <w:rPr>
              <w:noProof/>
            </w:rPr>
            <w:fldChar w:fldCharType="begin"/>
          </w:r>
          <w:r>
            <w:rPr>
              <w:noProof/>
            </w:rPr>
            <w:instrText xml:space="preserve"> PAGEREF _Toc335915799 \h </w:instrText>
          </w:r>
          <w:r w:rsidR="00C7347D">
            <w:rPr>
              <w:noProof/>
            </w:rPr>
          </w:r>
          <w:r w:rsidR="00C7347D">
            <w:rPr>
              <w:noProof/>
            </w:rPr>
            <w:fldChar w:fldCharType="separate"/>
          </w:r>
          <w:r w:rsidR="00E70A53">
            <w:rPr>
              <w:noProof/>
            </w:rPr>
            <w:t>209</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10.8</w:t>
          </w:r>
          <w:r>
            <w:rPr>
              <w:rFonts w:asciiTheme="minorHAnsi" w:eastAsiaTheme="minorEastAsia" w:hAnsiTheme="minorHAnsi" w:cstheme="minorBidi"/>
              <w:noProof/>
              <w:sz w:val="22"/>
              <w:lang w:eastAsia="en-AU" w:bidi="ar-SA"/>
            </w:rPr>
            <w:tab/>
          </w:r>
          <w:r>
            <w:rPr>
              <w:noProof/>
            </w:rPr>
            <w:t>Desire to exit income management</w:t>
          </w:r>
          <w:r>
            <w:rPr>
              <w:noProof/>
            </w:rPr>
            <w:tab/>
          </w:r>
          <w:r w:rsidR="00C7347D">
            <w:rPr>
              <w:noProof/>
            </w:rPr>
            <w:fldChar w:fldCharType="begin"/>
          </w:r>
          <w:r>
            <w:rPr>
              <w:noProof/>
            </w:rPr>
            <w:instrText xml:space="preserve"> PAGEREF _Toc335915800 \h </w:instrText>
          </w:r>
          <w:r w:rsidR="00C7347D">
            <w:rPr>
              <w:noProof/>
            </w:rPr>
          </w:r>
          <w:r w:rsidR="00C7347D">
            <w:rPr>
              <w:noProof/>
            </w:rPr>
            <w:fldChar w:fldCharType="separate"/>
          </w:r>
          <w:r w:rsidR="00E70A53">
            <w:rPr>
              <w:noProof/>
            </w:rPr>
            <w:t>214</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10.9</w:t>
          </w:r>
          <w:r>
            <w:rPr>
              <w:rFonts w:asciiTheme="minorHAnsi" w:eastAsiaTheme="minorEastAsia" w:hAnsiTheme="minorHAnsi" w:cstheme="minorBidi"/>
              <w:noProof/>
              <w:sz w:val="22"/>
              <w:lang w:eastAsia="en-AU" w:bidi="ar-SA"/>
            </w:rPr>
            <w:tab/>
          </w:r>
          <w:r>
            <w:rPr>
              <w:noProof/>
            </w:rPr>
            <w:t>Overall feelings about income management</w:t>
          </w:r>
          <w:r>
            <w:rPr>
              <w:noProof/>
            </w:rPr>
            <w:tab/>
          </w:r>
          <w:r w:rsidR="00C7347D">
            <w:rPr>
              <w:noProof/>
            </w:rPr>
            <w:fldChar w:fldCharType="begin"/>
          </w:r>
          <w:r>
            <w:rPr>
              <w:noProof/>
            </w:rPr>
            <w:instrText xml:space="preserve"> PAGEREF _Toc335915801 \h </w:instrText>
          </w:r>
          <w:r w:rsidR="00C7347D">
            <w:rPr>
              <w:noProof/>
            </w:rPr>
          </w:r>
          <w:r w:rsidR="00C7347D">
            <w:rPr>
              <w:noProof/>
            </w:rPr>
            <w:fldChar w:fldCharType="separate"/>
          </w:r>
          <w:r w:rsidR="00E70A53">
            <w:rPr>
              <w:noProof/>
            </w:rPr>
            <w:t>216</w:t>
          </w:r>
          <w:r w:rsidR="00C7347D">
            <w:rPr>
              <w:noProof/>
            </w:rPr>
            <w:fldChar w:fldCharType="end"/>
          </w:r>
        </w:p>
        <w:p w:rsidR="007D7E45" w:rsidRDefault="007D7E45">
          <w:pPr>
            <w:pStyle w:val="TOC2"/>
            <w:tabs>
              <w:tab w:val="left" w:pos="3261"/>
            </w:tabs>
            <w:rPr>
              <w:rFonts w:asciiTheme="minorHAnsi" w:eastAsiaTheme="minorEastAsia" w:hAnsiTheme="minorHAnsi" w:cstheme="minorBidi"/>
              <w:noProof/>
              <w:sz w:val="22"/>
              <w:lang w:eastAsia="en-AU" w:bidi="ar-SA"/>
            </w:rPr>
          </w:pPr>
          <w:r w:rsidRPr="009B4408">
            <w:rPr>
              <w:noProof/>
            </w:rPr>
            <w:t>10.10</w:t>
          </w:r>
          <w:r>
            <w:rPr>
              <w:rFonts w:asciiTheme="minorHAnsi" w:eastAsiaTheme="minorEastAsia" w:hAnsiTheme="minorHAnsi" w:cstheme="minorBidi"/>
              <w:noProof/>
              <w:sz w:val="22"/>
              <w:lang w:eastAsia="en-AU" w:bidi="ar-SA"/>
            </w:rPr>
            <w:tab/>
          </w:r>
          <w:r>
            <w:rPr>
              <w:noProof/>
            </w:rPr>
            <w:t>Attitude to Centrelink</w:t>
          </w:r>
          <w:r>
            <w:rPr>
              <w:noProof/>
            </w:rPr>
            <w:tab/>
          </w:r>
          <w:r w:rsidR="00C7347D">
            <w:rPr>
              <w:noProof/>
            </w:rPr>
            <w:fldChar w:fldCharType="begin"/>
          </w:r>
          <w:r>
            <w:rPr>
              <w:noProof/>
            </w:rPr>
            <w:instrText xml:space="preserve"> PAGEREF _Toc335915802 \h </w:instrText>
          </w:r>
          <w:r w:rsidR="00C7347D">
            <w:rPr>
              <w:noProof/>
            </w:rPr>
          </w:r>
          <w:r w:rsidR="00C7347D">
            <w:rPr>
              <w:noProof/>
            </w:rPr>
            <w:fldChar w:fldCharType="separate"/>
          </w:r>
          <w:r w:rsidR="00E70A53">
            <w:rPr>
              <w:noProof/>
            </w:rPr>
            <w:t>218</w:t>
          </w:r>
          <w:r w:rsidR="00C7347D">
            <w:rPr>
              <w:noProof/>
            </w:rPr>
            <w:fldChar w:fldCharType="end"/>
          </w:r>
        </w:p>
        <w:p w:rsidR="007D7E45" w:rsidRDefault="007D7E45">
          <w:pPr>
            <w:pStyle w:val="TOC2"/>
            <w:tabs>
              <w:tab w:val="left" w:pos="3261"/>
            </w:tabs>
            <w:rPr>
              <w:rFonts w:asciiTheme="minorHAnsi" w:eastAsiaTheme="minorEastAsia" w:hAnsiTheme="minorHAnsi" w:cstheme="minorBidi"/>
              <w:noProof/>
              <w:sz w:val="22"/>
              <w:lang w:eastAsia="en-AU" w:bidi="ar-SA"/>
            </w:rPr>
          </w:pPr>
          <w:r w:rsidRPr="009B4408">
            <w:rPr>
              <w:noProof/>
            </w:rPr>
            <w:t>10.11</w:t>
          </w:r>
          <w:r>
            <w:rPr>
              <w:rFonts w:asciiTheme="minorHAnsi" w:eastAsiaTheme="minorEastAsia" w:hAnsiTheme="minorHAnsi" w:cstheme="minorBidi"/>
              <w:noProof/>
              <w:sz w:val="22"/>
              <w:lang w:eastAsia="en-AU" w:bidi="ar-SA"/>
            </w:rPr>
            <w:tab/>
          </w:r>
          <w:r>
            <w:rPr>
              <w:noProof/>
            </w:rPr>
            <w:t>Summary</w:t>
          </w:r>
          <w:r>
            <w:rPr>
              <w:noProof/>
            </w:rPr>
            <w:tab/>
          </w:r>
          <w:r w:rsidR="00C7347D">
            <w:rPr>
              <w:noProof/>
            </w:rPr>
            <w:fldChar w:fldCharType="begin"/>
          </w:r>
          <w:r>
            <w:rPr>
              <w:noProof/>
            </w:rPr>
            <w:instrText xml:space="preserve"> PAGEREF _Toc335915803 \h </w:instrText>
          </w:r>
          <w:r w:rsidR="00C7347D">
            <w:rPr>
              <w:noProof/>
            </w:rPr>
          </w:r>
          <w:r w:rsidR="00C7347D">
            <w:rPr>
              <w:noProof/>
            </w:rPr>
            <w:fldChar w:fldCharType="separate"/>
          </w:r>
          <w:r w:rsidR="00E70A53">
            <w:rPr>
              <w:noProof/>
            </w:rPr>
            <w:t>218</w:t>
          </w:r>
          <w:r w:rsidR="00C7347D">
            <w:rPr>
              <w:noProof/>
            </w:rPr>
            <w:fldChar w:fldCharType="end"/>
          </w:r>
        </w:p>
        <w:p w:rsidR="007D7E45" w:rsidRDefault="007D7E45">
          <w:pPr>
            <w:pStyle w:val="TOC1"/>
            <w:tabs>
              <w:tab w:val="left" w:pos="2370"/>
            </w:tabs>
            <w:rPr>
              <w:rFonts w:asciiTheme="minorHAnsi" w:eastAsiaTheme="minorEastAsia" w:hAnsiTheme="minorHAnsi" w:cstheme="minorBidi"/>
              <w:b w:val="0"/>
              <w:color w:val="auto"/>
              <w:sz w:val="22"/>
              <w:lang w:eastAsia="en-AU" w:bidi="ar-SA"/>
            </w:rPr>
          </w:pPr>
          <w:r w:rsidRPr="009B4408">
            <w:t>11.</w:t>
          </w:r>
          <w:r>
            <w:rPr>
              <w:rFonts w:asciiTheme="minorHAnsi" w:eastAsiaTheme="minorEastAsia" w:hAnsiTheme="minorHAnsi" w:cstheme="minorBidi"/>
              <w:b w:val="0"/>
              <w:color w:val="auto"/>
              <w:sz w:val="22"/>
              <w:lang w:eastAsia="en-AU" w:bidi="ar-SA"/>
            </w:rPr>
            <w:tab/>
          </w:r>
          <w:r>
            <w:t>Qualitative interviews with people subject to income management</w:t>
          </w:r>
          <w:r>
            <w:tab/>
          </w:r>
          <w:r w:rsidR="00C7347D">
            <w:fldChar w:fldCharType="begin"/>
          </w:r>
          <w:r>
            <w:instrText xml:space="preserve"> PAGEREF _Toc335915804 \h </w:instrText>
          </w:r>
          <w:r w:rsidR="00C7347D">
            <w:fldChar w:fldCharType="separate"/>
          </w:r>
          <w:r w:rsidR="00E70A53">
            <w:t>221</w:t>
          </w:r>
          <w:r w:rsidR="00C7347D">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11.1</w:t>
          </w:r>
          <w:r>
            <w:rPr>
              <w:rFonts w:asciiTheme="minorHAnsi" w:eastAsiaTheme="minorEastAsia" w:hAnsiTheme="minorHAnsi" w:cstheme="minorBidi"/>
              <w:noProof/>
              <w:sz w:val="22"/>
              <w:lang w:eastAsia="en-AU" w:bidi="ar-SA"/>
            </w:rPr>
            <w:tab/>
          </w:r>
          <w:r>
            <w:rPr>
              <w:noProof/>
            </w:rPr>
            <w:t>Introduction</w:t>
          </w:r>
          <w:r>
            <w:rPr>
              <w:noProof/>
            </w:rPr>
            <w:tab/>
          </w:r>
          <w:r w:rsidR="00C7347D">
            <w:rPr>
              <w:noProof/>
            </w:rPr>
            <w:fldChar w:fldCharType="begin"/>
          </w:r>
          <w:r>
            <w:rPr>
              <w:noProof/>
            </w:rPr>
            <w:instrText xml:space="preserve"> PAGEREF _Toc335915805 \h </w:instrText>
          </w:r>
          <w:r w:rsidR="00C7347D">
            <w:rPr>
              <w:noProof/>
            </w:rPr>
          </w:r>
          <w:r w:rsidR="00C7347D">
            <w:rPr>
              <w:noProof/>
            </w:rPr>
            <w:fldChar w:fldCharType="separate"/>
          </w:r>
          <w:r w:rsidR="00E70A53">
            <w:rPr>
              <w:noProof/>
            </w:rPr>
            <w:t>221</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11.2</w:t>
          </w:r>
          <w:r>
            <w:rPr>
              <w:rFonts w:asciiTheme="minorHAnsi" w:eastAsiaTheme="minorEastAsia" w:hAnsiTheme="minorHAnsi" w:cstheme="minorBidi"/>
              <w:noProof/>
              <w:sz w:val="22"/>
              <w:lang w:eastAsia="en-AU" w:bidi="ar-SA"/>
            </w:rPr>
            <w:tab/>
          </w:r>
          <w:r>
            <w:rPr>
              <w:noProof/>
            </w:rPr>
            <w:t>Broad views of NIM</w:t>
          </w:r>
          <w:r>
            <w:rPr>
              <w:noProof/>
            </w:rPr>
            <w:tab/>
          </w:r>
          <w:r w:rsidR="00C7347D">
            <w:rPr>
              <w:noProof/>
            </w:rPr>
            <w:fldChar w:fldCharType="begin"/>
          </w:r>
          <w:r>
            <w:rPr>
              <w:noProof/>
            </w:rPr>
            <w:instrText xml:space="preserve"> PAGEREF _Toc335915806 \h </w:instrText>
          </w:r>
          <w:r w:rsidR="00C7347D">
            <w:rPr>
              <w:noProof/>
            </w:rPr>
          </w:r>
          <w:r w:rsidR="00C7347D">
            <w:rPr>
              <w:noProof/>
            </w:rPr>
            <w:fldChar w:fldCharType="separate"/>
          </w:r>
          <w:r w:rsidR="00E70A53">
            <w:rPr>
              <w:noProof/>
            </w:rPr>
            <w:t>222</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11.3</w:t>
          </w:r>
          <w:r>
            <w:rPr>
              <w:rFonts w:asciiTheme="minorHAnsi" w:eastAsiaTheme="minorEastAsia" w:hAnsiTheme="minorHAnsi" w:cstheme="minorBidi"/>
              <w:noProof/>
              <w:sz w:val="22"/>
              <w:lang w:eastAsia="en-AU" w:bidi="ar-SA"/>
            </w:rPr>
            <w:tab/>
          </w:r>
          <w:r>
            <w:rPr>
              <w:noProof/>
            </w:rPr>
            <w:t>Targeting – and the imposition of mandatory income management</w:t>
          </w:r>
          <w:r>
            <w:rPr>
              <w:noProof/>
            </w:rPr>
            <w:tab/>
          </w:r>
          <w:r w:rsidR="00C7347D">
            <w:rPr>
              <w:noProof/>
            </w:rPr>
            <w:fldChar w:fldCharType="begin"/>
          </w:r>
          <w:r>
            <w:rPr>
              <w:noProof/>
            </w:rPr>
            <w:instrText xml:space="preserve"> PAGEREF _Toc335915807 \h </w:instrText>
          </w:r>
          <w:r w:rsidR="00C7347D">
            <w:rPr>
              <w:noProof/>
            </w:rPr>
          </w:r>
          <w:r w:rsidR="00C7347D">
            <w:rPr>
              <w:noProof/>
            </w:rPr>
            <w:fldChar w:fldCharType="separate"/>
          </w:r>
          <w:r w:rsidR="00E70A53">
            <w:rPr>
              <w:noProof/>
            </w:rPr>
            <w:t>226</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11.4</w:t>
          </w:r>
          <w:r>
            <w:rPr>
              <w:rFonts w:asciiTheme="minorHAnsi" w:eastAsiaTheme="minorEastAsia" w:hAnsiTheme="minorHAnsi" w:cstheme="minorBidi"/>
              <w:noProof/>
              <w:sz w:val="22"/>
              <w:lang w:eastAsia="en-AU" w:bidi="ar-SA"/>
            </w:rPr>
            <w:tab/>
          </w:r>
          <w:r>
            <w:rPr>
              <w:noProof/>
            </w:rPr>
            <w:t>Understandings of becoming subject to income management</w:t>
          </w:r>
          <w:r>
            <w:rPr>
              <w:noProof/>
            </w:rPr>
            <w:tab/>
          </w:r>
          <w:r w:rsidR="00C7347D">
            <w:rPr>
              <w:noProof/>
            </w:rPr>
            <w:fldChar w:fldCharType="begin"/>
          </w:r>
          <w:r>
            <w:rPr>
              <w:noProof/>
            </w:rPr>
            <w:instrText xml:space="preserve"> PAGEREF _Toc335915808 \h </w:instrText>
          </w:r>
          <w:r w:rsidR="00C7347D">
            <w:rPr>
              <w:noProof/>
            </w:rPr>
          </w:r>
          <w:r w:rsidR="00C7347D">
            <w:rPr>
              <w:noProof/>
            </w:rPr>
            <w:fldChar w:fldCharType="separate"/>
          </w:r>
          <w:r w:rsidR="00E70A53">
            <w:rPr>
              <w:noProof/>
            </w:rPr>
            <w:t>227</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11.5</w:t>
          </w:r>
          <w:r>
            <w:rPr>
              <w:rFonts w:asciiTheme="minorHAnsi" w:eastAsiaTheme="minorEastAsia" w:hAnsiTheme="minorHAnsi" w:cstheme="minorBidi"/>
              <w:noProof/>
              <w:sz w:val="22"/>
              <w:lang w:eastAsia="en-AU" w:bidi="ar-SA"/>
            </w:rPr>
            <w:tab/>
          </w:r>
          <w:r>
            <w:rPr>
              <w:noProof/>
            </w:rPr>
            <w:t>Effectiveness</w:t>
          </w:r>
          <w:r>
            <w:rPr>
              <w:noProof/>
            </w:rPr>
            <w:tab/>
          </w:r>
          <w:r w:rsidR="00C7347D">
            <w:rPr>
              <w:noProof/>
            </w:rPr>
            <w:fldChar w:fldCharType="begin"/>
          </w:r>
          <w:r>
            <w:rPr>
              <w:noProof/>
            </w:rPr>
            <w:instrText xml:space="preserve"> PAGEREF _Toc335915809 \h </w:instrText>
          </w:r>
          <w:r w:rsidR="00C7347D">
            <w:rPr>
              <w:noProof/>
            </w:rPr>
          </w:r>
          <w:r w:rsidR="00C7347D">
            <w:rPr>
              <w:noProof/>
            </w:rPr>
            <w:fldChar w:fldCharType="separate"/>
          </w:r>
          <w:r w:rsidR="00E70A53">
            <w:rPr>
              <w:noProof/>
            </w:rPr>
            <w:t>229</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11.6</w:t>
          </w:r>
          <w:r>
            <w:rPr>
              <w:rFonts w:asciiTheme="minorHAnsi" w:eastAsiaTheme="minorEastAsia" w:hAnsiTheme="minorHAnsi" w:cstheme="minorBidi"/>
              <w:noProof/>
              <w:sz w:val="22"/>
              <w:lang w:eastAsia="en-AU" w:bidi="ar-SA"/>
            </w:rPr>
            <w:tab/>
          </w:r>
          <w:r>
            <w:rPr>
              <w:noProof/>
            </w:rPr>
            <w:t>Impact of income management</w:t>
          </w:r>
          <w:r>
            <w:rPr>
              <w:noProof/>
            </w:rPr>
            <w:tab/>
          </w:r>
          <w:r w:rsidR="00C7347D">
            <w:rPr>
              <w:noProof/>
            </w:rPr>
            <w:fldChar w:fldCharType="begin"/>
          </w:r>
          <w:r>
            <w:rPr>
              <w:noProof/>
            </w:rPr>
            <w:instrText xml:space="preserve"> PAGEREF _Toc335915810 \h </w:instrText>
          </w:r>
          <w:r w:rsidR="00C7347D">
            <w:rPr>
              <w:noProof/>
            </w:rPr>
          </w:r>
          <w:r w:rsidR="00C7347D">
            <w:rPr>
              <w:noProof/>
            </w:rPr>
            <w:fldChar w:fldCharType="separate"/>
          </w:r>
          <w:r w:rsidR="00E70A53">
            <w:rPr>
              <w:noProof/>
            </w:rPr>
            <w:t>230</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11.7</w:t>
          </w:r>
          <w:r>
            <w:rPr>
              <w:rFonts w:asciiTheme="minorHAnsi" w:eastAsiaTheme="minorEastAsia" w:hAnsiTheme="minorHAnsi" w:cstheme="minorBidi"/>
              <w:noProof/>
              <w:sz w:val="22"/>
              <w:lang w:eastAsia="en-AU" w:bidi="ar-SA"/>
            </w:rPr>
            <w:tab/>
          </w:r>
          <w:r>
            <w:rPr>
              <w:noProof/>
            </w:rPr>
            <w:t>Applying for exemptions</w:t>
          </w:r>
          <w:r>
            <w:rPr>
              <w:noProof/>
            </w:rPr>
            <w:tab/>
          </w:r>
          <w:r w:rsidR="00C7347D">
            <w:rPr>
              <w:noProof/>
            </w:rPr>
            <w:fldChar w:fldCharType="begin"/>
          </w:r>
          <w:r>
            <w:rPr>
              <w:noProof/>
            </w:rPr>
            <w:instrText xml:space="preserve"> PAGEREF _Toc335915811 \h </w:instrText>
          </w:r>
          <w:r w:rsidR="00C7347D">
            <w:rPr>
              <w:noProof/>
            </w:rPr>
          </w:r>
          <w:r w:rsidR="00C7347D">
            <w:rPr>
              <w:noProof/>
            </w:rPr>
            <w:fldChar w:fldCharType="separate"/>
          </w:r>
          <w:r w:rsidR="00E70A53">
            <w:rPr>
              <w:noProof/>
            </w:rPr>
            <w:t>233</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11.8</w:t>
          </w:r>
          <w:r>
            <w:rPr>
              <w:rFonts w:asciiTheme="minorHAnsi" w:eastAsiaTheme="minorEastAsia" w:hAnsiTheme="minorHAnsi" w:cstheme="minorBidi"/>
              <w:noProof/>
              <w:sz w:val="22"/>
              <w:lang w:eastAsia="en-AU" w:bidi="ar-SA"/>
            </w:rPr>
            <w:tab/>
          </w:r>
          <w:r>
            <w:rPr>
              <w:noProof/>
            </w:rPr>
            <w:t>Frustrations with aspects of income management</w:t>
          </w:r>
          <w:r>
            <w:rPr>
              <w:noProof/>
            </w:rPr>
            <w:tab/>
          </w:r>
          <w:r w:rsidR="00C7347D">
            <w:rPr>
              <w:noProof/>
            </w:rPr>
            <w:fldChar w:fldCharType="begin"/>
          </w:r>
          <w:r>
            <w:rPr>
              <w:noProof/>
            </w:rPr>
            <w:instrText xml:space="preserve"> PAGEREF _Toc335915812 \h </w:instrText>
          </w:r>
          <w:r w:rsidR="00C7347D">
            <w:rPr>
              <w:noProof/>
            </w:rPr>
          </w:r>
          <w:r w:rsidR="00C7347D">
            <w:rPr>
              <w:noProof/>
            </w:rPr>
            <w:fldChar w:fldCharType="separate"/>
          </w:r>
          <w:r w:rsidR="00E70A53">
            <w:rPr>
              <w:noProof/>
            </w:rPr>
            <w:t>234</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11.9</w:t>
          </w:r>
          <w:r>
            <w:rPr>
              <w:rFonts w:asciiTheme="minorHAnsi" w:eastAsiaTheme="minorEastAsia" w:hAnsiTheme="minorHAnsi" w:cstheme="minorBidi"/>
              <w:noProof/>
              <w:sz w:val="22"/>
              <w:lang w:eastAsia="en-AU" w:bidi="ar-SA"/>
            </w:rPr>
            <w:tab/>
          </w:r>
          <w:r>
            <w:rPr>
              <w:noProof/>
            </w:rPr>
            <w:t>Comments from comparison participants</w:t>
          </w:r>
          <w:r>
            <w:rPr>
              <w:noProof/>
            </w:rPr>
            <w:tab/>
          </w:r>
          <w:r w:rsidR="00C7347D">
            <w:rPr>
              <w:noProof/>
            </w:rPr>
            <w:fldChar w:fldCharType="begin"/>
          </w:r>
          <w:r>
            <w:rPr>
              <w:noProof/>
            </w:rPr>
            <w:instrText xml:space="preserve"> PAGEREF _Toc335915813 \h </w:instrText>
          </w:r>
          <w:r w:rsidR="00C7347D">
            <w:rPr>
              <w:noProof/>
            </w:rPr>
          </w:r>
          <w:r w:rsidR="00C7347D">
            <w:rPr>
              <w:noProof/>
            </w:rPr>
            <w:fldChar w:fldCharType="separate"/>
          </w:r>
          <w:r w:rsidR="00E70A53">
            <w:rPr>
              <w:noProof/>
            </w:rPr>
            <w:t>236</w:t>
          </w:r>
          <w:r w:rsidR="00C7347D">
            <w:rPr>
              <w:noProof/>
            </w:rPr>
            <w:fldChar w:fldCharType="end"/>
          </w:r>
        </w:p>
        <w:p w:rsidR="007D7E45" w:rsidRDefault="007D7E45">
          <w:pPr>
            <w:pStyle w:val="TOC2"/>
            <w:tabs>
              <w:tab w:val="left" w:pos="3261"/>
            </w:tabs>
            <w:rPr>
              <w:rFonts w:asciiTheme="minorHAnsi" w:eastAsiaTheme="minorEastAsia" w:hAnsiTheme="minorHAnsi" w:cstheme="minorBidi"/>
              <w:noProof/>
              <w:sz w:val="22"/>
              <w:lang w:eastAsia="en-AU" w:bidi="ar-SA"/>
            </w:rPr>
          </w:pPr>
          <w:r w:rsidRPr="009B4408">
            <w:rPr>
              <w:noProof/>
            </w:rPr>
            <w:t>11.10</w:t>
          </w:r>
          <w:r>
            <w:rPr>
              <w:rFonts w:asciiTheme="minorHAnsi" w:eastAsiaTheme="minorEastAsia" w:hAnsiTheme="minorHAnsi" w:cstheme="minorBidi"/>
              <w:noProof/>
              <w:sz w:val="22"/>
              <w:lang w:eastAsia="en-AU" w:bidi="ar-SA"/>
            </w:rPr>
            <w:tab/>
          </w:r>
          <w:r>
            <w:rPr>
              <w:noProof/>
            </w:rPr>
            <w:t>Conclusion</w:t>
          </w:r>
          <w:r>
            <w:rPr>
              <w:noProof/>
            </w:rPr>
            <w:tab/>
          </w:r>
          <w:r w:rsidR="00C7347D">
            <w:rPr>
              <w:noProof/>
            </w:rPr>
            <w:fldChar w:fldCharType="begin"/>
          </w:r>
          <w:r>
            <w:rPr>
              <w:noProof/>
            </w:rPr>
            <w:instrText xml:space="preserve"> PAGEREF _Toc335915814 \h </w:instrText>
          </w:r>
          <w:r w:rsidR="00C7347D">
            <w:rPr>
              <w:noProof/>
            </w:rPr>
          </w:r>
          <w:r w:rsidR="00C7347D">
            <w:rPr>
              <w:noProof/>
            </w:rPr>
            <w:fldChar w:fldCharType="separate"/>
          </w:r>
          <w:r w:rsidR="00E70A53">
            <w:rPr>
              <w:noProof/>
            </w:rPr>
            <w:t>237</w:t>
          </w:r>
          <w:r w:rsidR="00C7347D">
            <w:rPr>
              <w:noProof/>
            </w:rPr>
            <w:fldChar w:fldCharType="end"/>
          </w:r>
        </w:p>
        <w:p w:rsidR="007D7E45" w:rsidRDefault="007D7E45">
          <w:pPr>
            <w:pStyle w:val="TOC1"/>
            <w:tabs>
              <w:tab w:val="left" w:pos="2370"/>
            </w:tabs>
            <w:rPr>
              <w:rFonts w:asciiTheme="minorHAnsi" w:eastAsiaTheme="minorEastAsia" w:hAnsiTheme="minorHAnsi" w:cstheme="minorBidi"/>
              <w:b w:val="0"/>
              <w:color w:val="auto"/>
              <w:sz w:val="22"/>
              <w:lang w:eastAsia="en-AU" w:bidi="ar-SA"/>
            </w:rPr>
          </w:pPr>
          <w:r w:rsidRPr="009B4408">
            <w:t>12.</w:t>
          </w:r>
          <w:r>
            <w:rPr>
              <w:rFonts w:asciiTheme="minorHAnsi" w:eastAsiaTheme="minorEastAsia" w:hAnsiTheme="minorHAnsi" w:cstheme="minorBidi"/>
              <w:b w:val="0"/>
              <w:color w:val="auto"/>
              <w:sz w:val="22"/>
              <w:lang w:eastAsia="en-AU" w:bidi="ar-SA"/>
            </w:rPr>
            <w:tab/>
          </w:r>
          <w:r>
            <w:t>Effects of income management on receipt of income support payments</w:t>
          </w:r>
          <w:r>
            <w:tab/>
          </w:r>
          <w:r w:rsidR="00C7347D">
            <w:fldChar w:fldCharType="begin"/>
          </w:r>
          <w:r>
            <w:instrText xml:space="preserve"> PAGEREF _Toc335915815 \h </w:instrText>
          </w:r>
          <w:r w:rsidR="00C7347D">
            <w:fldChar w:fldCharType="separate"/>
          </w:r>
          <w:r w:rsidR="00E70A53">
            <w:t>238</w:t>
          </w:r>
          <w:r w:rsidR="00C7347D">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12.1</w:t>
          </w:r>
          <w:r>
            <w:rPr>
              <w:rFonts w:asciiTheme="minorHAnsi" w:eastAsiaTheme="minorEastAsia" w:hAnsiTheme="minorHAnsi" w:cstheme="minorBidi"/>
              <w:noProof/>
              <w:sz w:val="22"/>
              <w:lang w:eastAsia="en-AU" w:bidi="ar-SA"/>
            </w:rPr>
            <w:tab/>
          </w:r>
          <w:r>
            <w:rPr>
              <w:noProof/>
            </w:rPr>
            <w:t>Numbers of income support recipients</w:t>
          </w:r>
          <w:r>
            <w:rPr>
              <w:noProof/>
            </w:rPr>
            <w:tab/>
          </w:r>
          <w:r w:rsidR="00C7347D">
            <w:rPr>
              <w:noProof/>
            </w:rPr>
            <w:fldChar w:fldCharType="begin"/>
          </w:r>
          <w:r>
            <w:rPr>
              <w:noProof/>
            </w:rPr>
            <w:instrText xml:space="preserve"> PAGEREF _Toc335915816 \h </w:instrText>
          </w:r>
          <w:r w:rsidR="00C7347D">
            <w:rPr>
              <w:noProof/>
            </w:rPr>
          </w:r>
          <w:r w:rsidR="00C7347D">
            <w:rPr>
              <w:noProof/>
            </w:rPr>
            <w:fldChar w:fldCharType="separate"/>
          </w:r>
          <w:r w:rsidR="00E70A53">
            <w:rPr>
              <w:noProof/>
            </w:rPr>
            <w:t>239</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12.2</w:t>
          </w:r>
          <w:r>
            <w:rPr>
              <w:rFonts w:asciiTheme="minorHAnsi" w:eastAsiaTheme="minorEastAsia" w:hAnsiTheme="minorHAnsi" w:cstheme="minorBidi"/>
              <w:noProof/>
              <w:sz w:val="22"/>
              <w:lang w:eastAsia="en-AU" w:bidi="ar-SA"/>
            </w:rPr>
            <w:tab/>
          </w:r>
          <w:r>
            <w:rPr>
              <w:noProof/>
            </w:rPr>
            <w:t>Exit rates from income support</w:t>
          </w:r>
          <w:r>
            <w:rPr>
              <w:noProof/>
            </w:rPr>
            <w:tab/>
          </w:r>
          <w:r w:rsidR="00C7347D">
            <w:rPr>
              <w:noProof/>
            </w:rPr>
            <w:fldChar w:fldCharType="begin"/>
          </w:r>
          <w:r>
            <w:rPr>
              <w:noProof/>
            </w:rPr>
            <w:instrText xml:space="preserve"> PAGEREF _Toc335915817 \h </w:instrText>
          </w:r>
          <w:r w:rsidR="00C7347D">
            <w:rPr>
              <w:noProof/>
            </w:rPr>
          </w:r>
          <w:r w:rsidR="00C7347D">
            <w:rPr>
              <w:noProof/>
            </w:rPr>
            <w:fldChar w:fldCharType="separate"/>
          </w:r>
          <w:r w:rsidR="00E70A53">
            <w:rPr>
              <w:noProof/>
            </w:rPr>
            <w:t>244</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12.3</w:t>
          </w:r>
          <w:r>
            <w:rPr>
              <w:rFonts w:asciiTheme="minorHAnsi" w:eastAsiaTheme="minorEastAsia" w:hAnsiTheme="minorHAnsi" w:cstheme="minorBidi"/>
              <w:noProof/>
              <w:sz w:val="22"/>
              <w:lang w:eastAsia="en-AU" w:bidi="ar-SA"/>
            </w:rPr>
            <w:tab/>
          </w:r>
          <w:r>
            <w:rPr>
              <w:noProof/>
            </w:rPr>
            <w:t>Conclusion</w:t>
          </w:r>
          <w:r>
            <w:rPr>
              <w:noProof/>
            </w:rPr>
            <w:tab/>
          </w:r>
          <w:r w:rsidR="00C7347D">
            <w:rPr>
              <w:noProof/>
            </w:rPr>
            <w:fldChar w:fldCharType="begin"/>
          </w:r>
          <w:r>
            <w:rPr>
              <w:noProof/>
            </w:rPr>
            <w:instrText xml:space="preserve"> PAGEREF _Toc335915818 \h </w:instrText>
          </w:r>
          <w:r w:rsidR="00C7347D">
            <w:rPr>
              <w:noProof/>
            </w:rPr>
          </w:r>
          <w:r w:rsidR="00C7347D">
            <w:rPr>
              <w:noProof/>
            </w:rPr>
            <w:fldChar w:fldCharType="separate"/>
          </w:r>
          <w:r w:rsidR="00E70A53">
            <w:rPr>
              <w:noProof/>
            </w:rPr>
            <w:t>248</w:t>
          </w:r>
          <w:r w:rsidR="00C7347D">
            <w:rPr>
              <w:noProof/>
            </w:rPr>
            <w:fldChar w:fldCharType="end"/>
          </w:r>
        </w:p>
        <w:p w:rsidR="007D7E45" w:rsidRDefault="007D7E45">
          <w:pPr>
            <w:pStyle w:val="TOC1"/>
            <w:tabs>
              <w:tab w:val="left" w:pos="2370"/>
            </w:tabs>
            <w:rPr>
              <w:rFonts w:asciiTheme="minorHAnsi" w:eastAsiaTheme="minorEastAsia" w:hAnsiTheme="minorHAnsi" w:cstheme="minorBidi"/>
              <w:b w:val="0"/>
              <w:color w:val="auto"/>
              <w:sz w:val="22"/>
              <w:lang w:eastAsia="en-AU" w:bidi="ar-SA"/>
            </w:rPr>
          </w:pPr>
          <w:r w:rsidRPr="009B4408">
            <w:t>13.</w:t>
          </w:r>
          <w:r>
            <w:rPr>
              <w:rFonts w:asciiTheme="minorHAnsi" w:eastAsiaTheme="minorEastAsia" w:hAnsiTheme="minorHAnsi" w:cstheme="minorBidi"/>
              <w:b w:val="0"/>
              <w:color w:val="auto"/>
              <w:sz w:val="22"/>
              <w:lang w:eastAsia="en-AU" w:bidi="ar-SA"/>
            </w:rPr>
            <w:tab/>
          </w:r>
          <w:r>
            <w:t>Conclusion</w:t>
          </w:r>
          <w:r>
            <w:tab/>
          </w:r>
          <w:r w:rsidR="00C7347D">
            <w:fldChar w:fldCharType="begin"/>
          </w:r>
          <w:r>
            <w:instrText xml:space="preserve"> PAGEREF _Toc335915819 \h </w:instrText>
          </w:r>
          <w:r w:rsidR="00C7347D">
            <w:fldChar w:fldCharType="separate"/>
          </w:r>
          <w:r w:rsidR="00E70A53">
            <w:t>249</w:t>
          </w:r>
          <w:r w:rsidR="00C7347D">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13.1</w:t>
          </w:r>
          <w:r>
            <w:rPr>
              <w:rFonts w:asciiTheme="minorHAnsi" w:eastAsiaTheme="minorEastAsia" w:hAnsiTheme="minorHAnsi" w:cstheme="minorBidi"/>
              <w:noProof/>
              <w:sz w:val="22"/>
              <w:lang w:eastAsia="en-AU" w:bidi="ar-SA"/>
            </w:rPr>
            <w:tab/>
          </w:r>
          <w:r>
            <w:rPr>
              <w:noProof/>
            </w:rPr>
            <w:t>Introduction</w:t>
          </w:r>
          <w:r>
            <w:rPr>
              <w:noProof/>
            </w:rPr>
            <w:tab/>
          </w:r>
          <w:r w:rsidR="00C7347D">
            <w:rPr>
              <w:noProof/>
            </w:rPr>
            <w:fldChar w:fldCharType="begin"/>
          </w:r>
          <w:r>
            <w:rPr>
              <w:noProof/>
            </w:rPr>
            <w:instrText xml:space="preserve"> PAGEREF _Toc335915820 \h </w:instrText>
          </w:r>
          <w:r w:rsidR="00C7347D">
            <w:rPr>
              <w:noProof/>
            </w:rPr>
          </w:r>
          <w:r w:rsidR="00C7347D">
            <w:rPr>
              <w:noProof/>
            </w:rPr>
            <w:fldChar w:fldCharType="separate"/>
          </w:r>
          <w:r w:rsidR="00E70A53">
            <w:rPr>
              <w:noProof/>
            </w:rPr>
            <w:t>249</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13.2</w:t>
          </w:r>
          <w:r>
            <w:rPr>
              <w:rFonts w:asciiTheme="minorHAnsi" w:eastAsiaTheme="minorEastAsia" w:hAnsiTheme="minorHAnsi" w:cstheme="minorBidi"/>
              <w:noProof/>
              <w:sz w:val="22"/>
              <w:lang w:eastAsia="en-AU" w:bidi="ar-SA"/>
            </w:rPr>
            <w:tab/>
          </w:r>
          <w:r>
            <w:rPr>
              <w:noProof/>
            </w:rPr>
            <w:t>Implications of findings for the evaluation questions</w:t>
          </w:r>
          <w:r>
            <w:rPr>
              <w:noProof/>
            </w:rPr>
            <w:tab/>
          </w:r>
          <w:r w:rsidR="00C7347D">
            <w:rPr>
              <w:noProof/>
            </w:rPr>
            <w:fldChar w:fldCharType="begin"/>
          </w:r>
          <w:r>
            <w:rPr>
              <w:noProof/>
            </w:rPr>
            <w:instrText xml:space="preserve"> PAGEREF _Toc335915821 \h </w:instrText>
          </w:r>
          <w:r w:rsidR="00C7347D">
            <w:rPr>
              <w:noProof/>
            </w:rPr>
          </w:r>
          <w:r w:rsidR="00C7347D">
            <w:rPr>
              <w:noProof/>
            </w:rPr>
            <w:fldChar w:fldCharType="separate"/>
          </w:r>
          <w:r w:rsidR="00E70A53">
            <w:rPr>
              <w:noProof/>
            </w:rPr>
            <w:t>249</w:t>
          </w:r>
          <w:r w:rsidR="00C7347D">
            <w:rPr>
              <w:noProof/>
            </w:rPr>
            <w:fldChar w:fldCharType="end"/>
          </w:r>
        </w:p>
        <w:p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13.3</w:t>
          </w:r>
          <w:r>
            <w:rPr>
              <w:rFonts w:asciiTheme="minorHAnsi" w:eastAsiaTheme="minorEastAsia" w:hAnsiTheme="minorHAnsi" w:cstheme="minorBidi"/>
              <w:noProof/>
              <w:sz w:val="22"/>
              <w:lang w:eastAsia="en-AU" w:bidi="ar-SA"/>
            </w:rPr>
            <w:tab/>
          </w:r>
          <w:r>
            <w:rPr>
              <w:noProof/>
            </w:rPr>
            <w:t>Conclusion</w:t>
          </w:r>
          <w:r>
            <w:rPr>
              <w:noProof/>
            </w:rPr>
            <w:tab/>
          </w:r>
          <w:r w:rsidR="00C7347D">
            <w:rPr>
              <w:noProof/>
            </w:rPr>
            <w:fldChar w:fldCharType="begin"/>
          </w:r>
          <w:r>
            <w:rPr>
              <w:noProof/>
            </w:rPr>
            <w:instrText xml:space="preserve"> PAGEREF _Toc335915822 \h </w:instrText>
          </w:r>
          <w:r w:rsidR="00C7347D">
            <w:rPr>
              <w:noProof/>
            </w:rPr>
          </w:r>
          <w:r w:rsidR="00C7347D">
            <w:rPr>
              <w:noProof/>
            </w:rPr>
            <w:fldChar w:fldCharType="separate"/>
          </w:r>
          <w:r w:rsidR="00E70A53">
            <w:rPr>
              <w:noProof/>
            </w:rPr>
            <w:t>266</w:t>
          </w:r>
          <w:r w:rsidR="00C7347D">
            <w:rPr>
              <w:noProof/>
            </w:rPr>
            <w:fldChar w:fldCharType="end"/>
          </w:r>
        </w:p>
        <w:p w:rsidR="007D7E45" w:rsidRDefault="007D7E45">
          <w:pPr>
            <w:pStyle w:val="TOC1"/>
            <w:rPr>
              <w:rFonts w:asciiTheme="minorHAnsi" w:eastAsiaTheme="minorEastAsia" w:hAnsiTheme="minorHAnsi" w:cstheme="minorBidi"/>
              <w:b w:val="0"/>
              <w:color w:val="auto"/>
              <w:sz w:val="22"/>
              <w:lang w:eastAsia="en-AU" w:bidi="ar-SA"/>
            </w:rPr>
          </w:pPr>
          <w:r>
            <w:t>References</w:t>
          </w:r>
          <w:r>
            <w:tab/>
          </w:r>
          <w:r w:rsidR="00C7347D">
            <w:fldChar w:fldCharType="begin"/>
          </w:r>
          <w:r>
            <w:instrText xml:space="preserve"> PAGEREF _Toc335915823 \h </w:instrText>
          </w:r>
          <w:r w:rsidR="00C7347D">
            <w:fldChar w:fldCharType="separate"/>
          </w:r>
          <w:r w:rsidR="00E70A53">
            <w:t>269</w:t>
          </w:r>
          <w:r w:rsidR="00C7347D">
            <w:fldChar w:fldCharType="end"/>
          </w:r>
        </w:p>
        <w:p w:rsidR="007D7E45" w:rsidRDefault="007D7E45">
          <w:pPr>
            <w:pStyle w:val="TOC1"/>
            <w:rPr>
              <w:rFonts w:asciiTheme="minorHAnsi" w:eastAsiaTheme="minorEastAsia" w:hAnsiTheme="minorHAnsi" w:cstheme="minorBidi"/>
              <w:b w:val="0"/>
              <w:color w:val="auto"/>
              <w:sz w:val="22"/>
              <w:lang w:eastAsia="en-AU" w:bidi="ar-SA"/>
            </w:rPr>
          </w:pPr>
          <w:r>
            <w:t>Appendices</w:t>
          </w:r>
          <w:r>
            <w:tab/>
          </w:r>
          <w:r w:rsidR="00C7347D">
            <w:fldChar w:fldCharType="begin"/>
          </w:r>
          <w:r>
            <w:instrText xml:space="preserve"> PAGEREF _Toc335915824 \h </w:instrText>
          </w:r>
          <w:r w:rsidR="00C7347D">
            <w:fldChar w:fldCharType="separate"/>
          </w:r>
          <w:r w:rsidR="00E70A53">
            <w:t>274</w:t>
          </w:r>
          <w:r w:rsidR="00C7347D">
            <w:fldChar w:fldCharType="end"/>
          </w:r>
        </w:p>
        <w:p w:rsidR="007D7E45" w:rsidRDefault="007D7E45">
          <w:pPr>
            <w:pStyle w:val="TOC1"/>
            <w:tabs>
              <w:tab w:val="left" w:pos="3291"/>
            </w:tabs>
            <w:rPr>
              <w:rFonts w:asciiTheme="minorHAnsi" w:eastAsiaTheme="minorEastAsia" w:hAnsiTheme="minorHAnsi" w:cstheme="minorBidi"/>
              <w:b w:val="0"/>
              <w:color w:val="auto"/>
              <w:sz w:val="22"/>
              <w:lang w:eastAsia="en-AU" w:bidi="ar-SA"/>
            </w:rPr>
          </w:pPr>
          <w:r w:rsidRPr="009B4408">
            <w:t>Appendix A.</w:t>
          </w:r>
          <w:r>
            <w:rPr>
              <w:rFonts w:asciiTheme="minorHAnsi" w:eastAsiaTheme="minorEastAsia" w:hAnsiTheme="minorHAnsi" w:cstheme="minorBidi"/>
              <w:b w:val="0"/>
              <w:color w:val="auto"/>
              <w:sz w:val="22"/>
              <w:lang w:eastAsia="en-AU" w:bidi="ar-SA"/>
            </w:rPr>
            <w:tab/>
          </w:r>
          <w:r>
            <w:t>Letters sent to Centrelink customers about income management</w:t>
          </w:r>
          <w:r>
            <w:tab/>
          </w:r>
          <w:r w:rsidR="00C7347D">
            <w:fldChar w:fldCharType="begin"/>
          </w:r>
          <w:r>
            <w:instrText xml:space="preserve"> PAGEREF _Toc335915825 \h </w:instrText>
          </w:r>
          <w:r w:rsidR="00C7347D">
            <w:fldChar w:fldCharType="separate"/>
          </w:r>
          <w:r w:rsidR="00E70A53">
            <w:t>275</w:t>
          </w:r>
          <w:r w:rsidR="00C7347D">
            <w:fldChar w:fldCharType="end"/>
          </w:r>
        </w:p>
        <w:p w:rsidR="007D7E45" w:rsidRDefault="007D7E45">
          <w:pPr>
            <w:pStyle w:val="TOC1"/>
            <w:tabs>
              <w:tab w:val="left" w:pos="3261"/>
            </w:tabs>
            <w:rPr>
              <w:rFonts w:asciiTheme="minorHAnsi" w:eastAsiaTheme="minorEastAsia" w:hAnsiTheme="minorHAnsi" w:cstheme="minorBidi"/>
              <w:b w:val="0"/>
              <w:color w:val="auto"/>
              <w:sz w:val="22"/>
              <w:lang w:eastAsia="en-AU" w:bidi="ar-SA"/>
            </w:rPr>
          </w:pPr>
          <w:r w:rsidRPr="009B4408">
            <w:t>Appendix B.</w:t>
          </w:r>
          <w:r>
            <w:rPr>
              <w:rFonts w:asciiTheme="minorHAnsi" w:eastAsiaTheme="minorEastAsia" w:hAnsiTheme="minorHAnsi" w:cstheme="minorBidi"/>
              <w:b w:val="0"/>
              <w:color w:val="auto"/>
              <w:sz w:val="22"/>
              <w:lang w:eastAsia="en-AU" w:bidi="ar-SA"/>
            </w:rPr>
            <w:tab/>
          </w:r>
          <w:r>
            <w:t>LSNIM Wave 1: Summary Report</w:t>
          </w:r>
          <w:r>
            <w:tab/>
          </w:r>
          <w:r w:rsidR="00C7347D">
            <w:fldChar w:fldCharType="begin"/>
          </w:r>
          <w:r>
            <w:instrText xml:space="preserve"> PAGEREF _Toc335915826 \h </w:instrText>
          </w:r>
          <w:r w:rsidR="00C7347D">
            <w:fldChar w:fldCharType="separate"/>
          </w:r>
          <w:r w:rsidR="00E70A53">
            <w:t>284</w:t>
          </w:r>
          <w:r w:rsidR="00C7347D">
            <w:fldChar w:fldCharType="end"/>
          </w:r>
        </w:p>
        <w:p w:rsidR="007D7E45" w:rsidRDefault="007D7E45">
          <w:pPr>
            <w:pStyle w:val="TOC1"/>
            <w:tabs>
              <w:tab w:val="left" w:pos="3261"/>
            </w:tabs>
            <w:rPr>
              <w:rFonts w:asciiTheme="minorHAnsi" w:eastAsiaTheme="minorEastAsia" w:hAnsiTheme="minorHAnsi" w:cstheme="minorBidi"/>
              <w:b w:val="0"/>
              <w:color w:val="auto"/>
              <w:sz w:val="22"/>
              <w:lang w:eastAsia="en-AU" w:bidi="ar-SA"/>
            </w:rPr>
          </w:pPr>
          <w:r w:rsidRPr="009B4408">
            <w:t>Appendix C.</w:t>
          </w:r>
          <w:r>
            <w:rPr>
              <w:rFonts w:asciiTheme="minorHAnsi" w:eastAsiaTheme="minorEastAsia" w:hAnsiTheme="minorHAnsi" w:cstheme="minorBidi"/>
              <w:b w:val="0"/>
              <w:color w:val="auto"/>
              <w:sz w:val="22"/>
              <w:lang w:eastAsia="en-AU" w:bidi="ar-SA"/>
            </w:rPr>
            <w:tab/>
          </w:r>
          <w:r>
            <w:t>LSNIM Survey Instrument</w:t>
          </w:r>
          <w:r>
            <w:tab/>
          </w:r>
          <w:r w:rsidR="00C7347D">
            <w:fldChar w:fldCharType="begin"/>
          </w:r>
          <w:r>
            <w:instrText xml:space="preserve"> PAGEREF _Toc335915827 \h </w:instrText>
          </w:r>
          <w:r w:rsidR="00C7347D">
            <w:fldChar w:fldCharType="separate"/>
          </w:r>
          <w:r w:rsidR="00E70A53">
            <w:t>297</w:t>
          </w:r>
          <w:r w:rsidR="00C7347D">
            <w:fldChar w:fldCharType="end"/>
          </w:r>
        </w:p>
        <w:p w:rsidR="007D7E45" w:rsidRDefault="007D7E45">
          <w:pPr>
            <w:pStyle w:val="TOC1"/>
            <w:tabs>
              <w:tab w:val="left" w:pos="3261"/>
            </w:tabs>
            <w:rPr>
              <w:rFonts w:asciiTheme="minorHAnsi" w:eastAsiaTheme="minorEastAsia" w:hAnsiTheme="minorHAnsi" w:cstheme="minorBidi"/>
              <w:b w:val="0"/>
              <w:color w:val="auto"/>
              <w:sz w:val="22"/>
              <w:lang w:eastAsia="en-AU" w:bidi="ar-SA"/>
            </w:rPr>
          </w:pPr>
          <w:r w:rsidRPr="009B4408">
            <w:t>Appendix D.</w:t>
          </w:r>
          <w:r>
            <w:rPr>
              <w:rFonts w:asciiTheme="minorHAnsi" w:eastAsiaTheme="minorEastAsia" w:hAnsiTheme="minorHAnsi" w:cstheme="minorBidi"/>
              <w:b w:val="0"/>
              <w:color w:val="auto"/>
              <w:sz w:val="22"/>
              <w:lang w:eastAsia="en-AU" w:bidi="ar-SA"/>
            </w:rPr>
            <w:tab/>
          </w:r>
          <w:r>
            <w:t>Qualitative Methodology</w:t>
          </w:r>
          <w:r>
            <w:tab/>
          </w:r>
          <w:r w:rsidR="00C7347D">
            <w:fldChar w:fldCharType="begin"/>
          </w:r>
          <w:r>
            <w:instrText xml:space="preserve"> PAGEREF _Toc335915828 \h </w:instrText>
          </w:r>
          <w:r w:rsidR="00C7347D">
            <w:fldChar w:fldCharType="separate"/>
          </w:r>
          <w:r w:rsidR="00E70A53">
            <w:t>313</w:t>
          </w:r>
          <w:r w:rsidR="00C7347D">
            <w:fldChar w:fldCharType="end"/>
          </w:r>
        </w:p>
        <w:p w:rsidR="007D7E45" w:rsidRDefault="007D7E45">
          <w:pPr>
            <w:pStyle w:val="TOC1"/>
            <w:tabs>
              <w:tab w:val="left" w:pos="3261"/>
            </w:tabs>
            <w:rPr>
              <w:rFonts w:asciiTheme="minorHAnsi" w:eastAsiaTheme="minorEastAsia" w:hAnsiTheme="minorHAnsi" w:cstheme="minorBidi"/>
              <w:b w:val="0"/>
              <w:color w:val="auto"/>
              <w:sz w:val="22"/>
              <w:lang w:eastAsia="en-AU" w:bidi="ar-SA"/>
            </w:rPr>
          </w:pPr>
          <w:r w:rsidRPr="009B4408">
            <w:t>Appendix E.</w:t>
          </w:r>
          <w:r>
            <w:rPr>
              <w:rFonts w:asciiTheme="minorHAnsi" w:eastAsiaTheme="minorEastAsia" w:hAnsiTheme="minorHAnsi" w:cstheme="minorBidi"/>
              <w:b w:val="0"/>
              <w:color w:val="auto"/>
              <w:sz w:val="22"/>
              <w:lang w:eastAsia="en-AU" w:bidi="ar-SA"/>
            </w:rPr>
            <w:tab/>
          </w:r>
          <w:r>
            <w:t>Centrelink datasets used for the analysis of exemptions</w:t>
          </w:r>
          <w:r>
            <w:tab/>
          </w:r>
          <w:r w:rsidR="00C7347D">
            <w:fldChar w:fldCharType="begin"/>
          </w:r>
          <w:r>
            <w:instrText xml:space="preserve"> PAGEREF _Toc335915829 \h </w:instrText>
          </w:r>
          <w:r w:rsidR="00C7347D">
            <w:fldChar w:fldCharType="separate"/>
          </w:r>
          <w:r w:rsidR="00E70A53">
            <w:t>314</w:t>
          </w:r>
          <w:r w:rsidR="00C7347D">
            <w:fldChar w:fldCharType="end"/>
          </w:r>
        </w:p>
        <w:p w:rsidR="007D7E45" w:rsidRDefault="007D7E45">
          <w:pPr>
            <w:pStyle w:val="TOC1"/>
            <w:tabs>
              <w:tab w:val="left" w:pos="3261"/>
            </w:tabs>
            <w:rPr>
              <w:rFonts w:asciiTheme="minorHAnsi" w:eastAsiaTheme="minorEastAsia" w:hAnsiTheme="minorHAnsi" w:cstheme="minorBidi"/>
              <w:b w:val="0"/>
              <w:color w:val="auto"/>
              <w:sz w:val="22"/>
              <w:lang w:eastAsia="en-AU" w:bidi="ar-SA"/>
            </w:rPr>
          </w:pPr>
          <w:r w:rsidRPr="009B4408">
            <w:rPr>
              <w:lang w:eastAsia="en-AU"/>
            </w:rPr>
            <w:t>Appendix F.</w:t>
          </w:r>
          <w:r>
            <w:rPr>
              <w:rFonts w:asciiTheme="minorHAnsi" w:eastAsiaTheme="minorEastAsia" w:hAnsiTheme="minorHAnsi" w:cstheme="minorBidi"/>
              <w:b w:val="0"/>
              <w:color w:val="auto"/>
              <w:sz w:val="22"/>
              <w:lang w:eastAsia="en-AU" w:bidi="ar-SA"/>
            </w:rPr>
            <w:tab/>
          </w:r>
          <w:r>
            <w:rPr>
              <w:lang w:eastAsia="en-AU"/>
            </w:rPr>
            <w:t>Financial Vulnerability Test</w:t>
          </w:r>
          <w:r>
            <w:tab/>
          </w:r>
          <w:r w:rsidR="00C7347D">
            <w:fldChar w:fldCharType="begin"/>
          </w:r>
          <w:r>
            <w:instrText xml:space="preserve"> PAGEREF _Toc335915830 \h </w:instrText>
          </w:r>
          <w:r w:rsidR="00C7347D">
            <w:fldChar w:fldCharType="separate"/>
          </w:r>
          <w:r w:rsidR="00E70A53">
            <w:t>315</w:t>
          </w:r>
          <w:r w:rsidR="00C7347D">
            <w:fldChar w:fldCharType="end"/>
          </w:r>
        </w:p>
        <w:p w:rsidR="007D7E45" w:rsidRDefault="007D7E45">
          <w:pPr>
            <w:pStyle w:val="TOC1"/>
            <w:tabs>
              <w:tab w:val="left" w:pos="3261"/>
            </w:tabs>
            <w:rPr>
              <w:rFonts w:asciiTheme="minorHAnsi" w:eastAsiaTheme="minorEastAsia" w:hAnsiTheme="minorHAnsi" w:cstheme="minorBidi"/>
              <w:b w:val="0"/>
              <w:color w:val="auto"/>
              <w:sz w:val="22"/>
              <w:lang w:eastAsia="en-AU" w:bidi="ar-SA"/>
            </w:rPr>
          </w:pPr>
          <w:r w:rsidRPr="009B4408">
            <w:rPr>
              <w:lang w:eastAsia="en-AU"/>
            </w:rPr>
            <w:t>Appendix G.</w:t>
          </w:r>
          <w:r>
            <w:rPr>
              <w:rFonts w:asciiTheme="minorHAnsi" w:eastAsiaTheme="minorEastAsia" w:hAnsiTheme="minorHAnsi" w:cstheme="minorBidi"/>
              <w:b w:val="0"/>
              <w:color w:val="auto"/>
              <w:sz w:val="22"/>
              <w:lang w:eastAsia="en-AU" w:bidi="ar-SA"/>
            </w:rPr>
            <w:tab/>
          </w:r>
          <w:r>
            <w:rPr>
              <w:lang w:eastAsia="en-AU"/>
            </w:rPr>
            <w:t>Terms and Conditions for BasicsCard</w:t>
          </w:r>
          <w:r>
            <w:tab/>
          </w:r>
          <w:r w:rsidR="00C7347D">
            <w:fldChar w:fldCharType="begin"/>
          </w:r>
          <w:r>
            <w:instrText xml:space="preserve"> PAGEREF _Toc335915831 \h </w:instrText>
          </w:r>
          <w:r w:rsidR="00C7347D">
            <w:fldChar w:fldCharType="separate"/>
          </w:r>
          <w:r w:rsidR="00E70A53">
            <w:t>318</w:t>
          </w:r>
          <w:r w:rsidR="00C7347D">
            <w:fldChar w:fldCharType="end"/>
          </w:r>
        </w:p>
        <w:p w:rsidR="007D7E45" w:rsidRDefault="007D7E45">
          <w:pPr>
            <w:pStyle w:val="TOC1"/>
            <w:tabs>
              <w:tab w:val="left" w:pos="3261"/>
            </w:tabs>
            <w:rPr>
              <w:rFonts w:asciiTheme="minorHAnsi" w:eastAsiaTheme="minorEastAsia" w:hAnsiTheme="minorHAnsi" w:cstheme="minorBidi"/>
              <w:b w:val="0"/>
              <w:color w:val="auto"/>
              <w:sz w:val="22"/>
              <w:lang w:eastAsia="en-AU" w:bidi="ar-SA"/>
            </w:rPr>
          </w:pPr>
          <w:r w:rsidRPr="009B4408">
            <w:rPr>
              <w:lang w:eastAsia="en-AU"/>
            </w:rPr>
            <w:t>Appendix H.</w:t>
          </w:r>
          <w:r>
            <w:rPr>
              <w:rFonts w:asciiTheme="minorHAnsi" w:eastAsiaTheme="minorEastAsia" w:hAnsiTheme="minorHAnsi" w:cstheme="minorBidi"/>
              <w:b w:val="0"/>
              <w:color w:val="auto"/>
              <w:sz w:val="22"/>
              <w:lang w:eastAsia="en-AU" w:bidi="ar-SA"/>
            </w:rPr>
            <w:tab/>
          </w:r>
          <w:r>
            <w:rPr>
              <w:lang w:eastAsia="en-AU"/>
            </w:rPr>
            <w:t>Attitudes to Centrelink</w:t>
          </w:r>
          <w:r>
            <w:tab/>
          </w:r>
          <w:r w:rsidR="00C7347D">
            <w:fldChar w:fldCharType="begin"/>
          </w:r>
          <w:r>
            <w:instrText xml:space="preserve"> PAGEREF _Toc335915832 \h </w:instrText>
          </w:r>
          <w:r w:rsidR="00C7347D">
            <w:fldChar w:fldCharType="separate"/>
          </w:r>
          <w:r w:rsidR="00E70A53">
            <w:t>324</w:t>
          </w:r>
          <w:r w:rsidR="00C7347D">
            <w:fldChar w:fldCharType="end"/>
          </w:r>
        </w:p>
        <w:p w:rsidR="009D12A6" w:rsidRPr="005911E2" w:rsidRDefault="00C7347D" w:rsidP="00007FB2">
          <w:pPr>
            <w:pStyle w:val="TOC1"/>
            <w:tabs>
              <w:tab w:val="left" w:pos="3261"/>
            </w:tabs>
          </w:pPr>
          <w:r w:rsidRPr="005911E2">
            <w:fldChar w:fldCharType="end"/>
          </w:r>
        </w:p>
      </w:sdtContent>
    </w:sdt>
    <w:p w:rsidR="00FB51C2" w:rsidRPr="005911E2" w:rsidRDefault="00FC7099" w:rsidP="007D7E45">
      <w:pPr>
        <w:pStyle w:val="Heading0"/>
        <w:spacing w:after="480"/>
      </w:pPr>
      <w:bookmarkStart w:id="17" w:name="_Toc328601450"/>
      <w:bookmarkStart w:id="18" w:name="_Toc329870332"/>
      <w:bookmarkStart w:id="19" w:name="_Toc335915718"/>
      <w:r w:rsidRPr="005911E2">
        <w:lastRenderedPageBreak/>
        <w:t>Table of Tables</w:t>
      </w:r>
      <w:bookmarkEnd w:id="17"/>
      <w:bookmarkEnd w:id="18"/>
      <w:bookmarkEnd w:id="19"/>
    </w:p>
    <w:p w:rsidR="007D7E45" w:rsidRDefault="00C7347D" w:rsidP="007D7E45">
      <w:pPr>
        <w:pStyle w:val="TableofFigures"/>
        <w:spacing w:line="252" w:lineRule="auto"/>
        <w:rPr>
          <w:rFonts w:asciiTheme="minorHAnsi" w:eastAsiaTheme="minorEastAsia" w:hAnsiTheme="minorHAnsi" w:cstheme="minorBidi"/>
          <w:sz w:val="22"/>
          <w:lang w:eastAsia="en-AU" w:bidi="ar-SA"/>
        </w:rPr>
      </w:pPr>
      <w:r w:rsidRPr="005911E2">
        <w:fldChar w:fldCharType="begin"/>
      </w:r>
      <w:r w:rsidR="00BA02DF" w:rsidRPr="005911E2">
        <w:instrText xml:space="preserve"> TOC \f F \c "Table" </w:instrText>
      </w:r>
      <w:r w:rsidRPr="005911E2">
        <w:fldChar w:fldCharType="separate"/>
      </w:r>
      <w:r w:rsidR="007D7E45">
        <w:t>Table 2</w:t>
      </w:r>
      <w:r w:rsidR="007D7E45">
        <w:noBreakHyphen/>
        <w:t>1</w:t>
      </w:r>
      <w:r w:rsidR="007D7E45">
        <w:rPr>
          <w:rFonts w:asciiTheme="minorHAnsi" w:eastAsiaTheme="minorEastAsia" w:hAnsiTheme="minorHAnsi" w:cstheme="minorBidi"/>
          <w:sz w:val="22"/>
          <w:lang w:eastAsia="en-AU" w:bidi="ar-SA"/>
        </w:rPr>
        <w:tab/>
      </w:r>
      <w:r w:rsidR="007D7E45">
        <w:t>Proportion of income support recipients subject to NTER income management by Statistical Subdivision, June 2010</w:t>
      </w:r>
      <w:r w:rsidR="007D7E45">
        <w:tab/>
      </w:r>
      <w:r>
        <w:fldChar w:fldCharType="begin"/>
      </w:r>
      <w:r w:rsidR="007D7E45">
        <w:instrText xml:space="preserve"> PAGEREF _Toc335915833 \h </w:instrText>
      </w:r>
      <w:r>
        <w:fldChar w:fldCharType="separate"/>
      </w:r>
      <w:r w:rsidR="00E70A53">
        <w:t>15</w:t>
      </w:r>
      <w:r>
        <w:fldChar w:fldCharType="end"/>
      </w:r>
    </w:p>
    <w:p w:rsidR="007D7E45" w:rsidRDefault="007D7E45">
      <w:pPr>
        <w:pStyle w:val="TableofFigures"/>
        <w:rPr>
          <w:rFonts w:asciiTheme="minorHAnsi" w:eastAsiaTheme="minorEastAsia" w:hAnsiTheme="minorHAnsi" w:cstheme="minorBidi"/>
          <w:sz w:val="22"/>
          <w:lang w:eastAsia="en-AU" w:bidi="ar-SA"/>
        </w:rPr>
      </w:pPr>
      <w:r>
        <w:t>Table 2</w:t>
      </w:r>
      <w:r>
        <w:noBreakHyphen/>
        <w:t>2</w:t>
      </w:r>
      <w:r>
        <w:rPr>
          <w:rFonts w:asciiTheme="minorHAnsi" w:eastAsiaTheme="minorEastAsia" w:hAnsiTheme="minorHAnsi" w:cstheme="minorBidi"/>
          <w:sz w:val="22"/>
          <w:lang w:eastAsia="en-AU" w:bidi="ar-SA"/>
        </w:rPr>
        <w:tab/>
      </w:r>
      <w:r>
        <w:t>Timeline for income management in the Northern Territory</w:t>
      </w:r>
      <w:r>
        <w:tab/>
      </w:r>
      <w:r w:rsidR="00C7347D">
        <w:fldChar w:fldCharType="begin"/>
      </w:r>
      <w:r>
        <w:instrText xml:space="preserve"> PAGEREF _Toc335915834 \h </w:instrText>
      </w:r>
      <w:r w:rsidR="00C7347D">
        <w:fldChar w:fldCharType="separate"/>
      </w:r>
      <w:r w:rsidR="00E70A53">
        <w:t>16</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2</w:t>
      </w:r>
      <w:r>
        <w:noBreakHyphen/>
        <w:t xml:space="preserve">3 </w:t>
      </w:r>
      <w:r>
        <w:rPr>
          <w:rFonts w:asciiTheme="minorHAnsi" w:eastAsiaTheme="minorEastAsia" w:hAnsiTheme="minorHAnsi" w:cstheme="minorBidi"/>
          <w:sz w:val="22"/>
          <w:lang w:eastAsia="en-AU" w:bidi="ar-SA"/>
        </w:rPr>
        <w:tab/>
      </w:r>
      <w:r>
        <w:t>NTER measures</w:t>
      </w:r>
      <w:r>
        <w:tab/>
      </w:r>
      <w:r w:rsidR="00C7347D">
        <w:fldChar w:fldCharType="begin"/>
      </w:r>
      <w:r>
        <w:instrText xml:space="preserve"> PAGEREF _Toc335915835 \h </w:instrText>
      </w:r>
      <w:r w:rsidR="00C7347D">
        <w:fldChar w:fldCharType="separate"/>
      </w:r>
      <w:r w:rsidR="00E70A53">
        <w:t>17</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2</w:t>
      </w:r>
      <w:r>
        <w:noBreakHyphen/>
        <w:t xml:space="preserve">4 </w:t>
      </w:r>
      <w:r>
        <w:rPr>
          <w:rFonts w:asciiTheme="minorHAnsi" w:eastAsiaTheme="minorEastAsia" w:hAnsiTheme="minorHAnsi" w:cstheme="minorBidi"/>
          <w:sz w:val="22"/>
          <w:lang w:eastAsia="en-AU" w:bidi="ar-SA"/>
        </w:rPr>
        <w:tab/>
      </w:r>
      <w:r>
        <w:t>Australian Government payments that may be subject to income management</w:t>
      </w:r>
      <w:r>
        <w:tab/>
      </w:r>
      <w:r w:rsidR="00C7347D">
        <w:fldChar w:fldCharType="begin"/>
      </w:r>
      <w:r>
        <w:instrText xml:space="preserve"> PAGEREF _Toc335915836 \h </w:instrText>
      </w:r>
      <w:r w:rsidR="00C7347D">
        <w:fldChar w:fldCharType="separate"/>
      </w:r>
      <w:r w:rsidR="00E70A53">
        <w:t>21</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4</w:t>
      </w:r>
      <w:r>
        <w:noBreakHyphen/>
        <w:t>1</w:t>
      </w:r>
      <w:r>
        <w:rPr>
          <w:rFonts w:asciiTheme="minorHAnsi" w:eastAsiaTheme="minorEastAsia" w:hAnsiTheme="minorHAnsi" w:cstheme="minorBidi"/>
          <w:sz w:val="22"/>
          <w:lang w:eastAsia="en-AU" w:bidi="ar-SA"/>
        </w:rPr>
        <w:tab/>
      </w:r>
      <w:r>
        <w:t>Northern Territory, Number of people subject to Income Management by income management type, June 2010 to September 2011</w:t>
      </w:r>
      <w:r>
        <w:tab/>
      </w:r>
      <w:r w:rsidR="00C7347D">
        <w:fldChar w:fldCharType="begin"/>
      </w:r>
      <w:r>
        <w:instrText xml:space="preserve"> PAGEREF _Toc335915837 \h </w:instrText>
      </w:r>
      <w:r w:rsidR="00C7347D">
        <w:fldChar w:fldCharType="separate"/>
      </w:r>
      <w:r w:rsidR="00E70A53">
        <w:t>45</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4</w:t>
      </w:r>
      <w:r>
        <w:noBreakHyphen/>
        <w:t>2</w:t>
      </w:r>
      <w:r>
        <w:rPr>
          <w:rFonts w:asciiTheme="minorHAnsi" w:eastAsiaTheme="minorEastAsia" w:hAnsiTheme="minorHAnsi" w:cstheme="minorBidi"/>
          <w:sz w:val="22"/>
          <w:lang w:eastAsia="en-AU" w:bidi="ar-SA"/>
        </w:rPr>
        <w:tab/>
      </w:r>
      <w:r>
        <w:t>Northern Territory, Persons on income support in either July 2010 or February 2011, movement between the old and new income management programs</w:t>
      </w:r>
      <w:r>
        <w:tab/>
      </w:r>
      <w:r w:rsidR="00C7347D">
        <w:fldChar w:fldCharType="begin"/>
      </w:r>
      <w:r>
        <w:instrText xml:space="preserve"> PAGEREF _Toc335915838 \h </w:instrText>
      </w:r>
      <w:r w:rsidR="00C7347D">
        <w:fldChar w:fldCharType="separate"/>
      </w:r>
      <w:r w:rsidR="00E70A53">
        <w:t>49</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4</w:t>
      </w:r>
      <w:r>
        <w:noBreakHyphen/>
        <w:t>3</w:t>
      </w:r>
      <w:r>
        <w:rPr>
          <w:rFonts w:asciiTheme="minorHAnsi" w:eastAsiaTheme="minorEastAsia" w:hAnsiTheme="minorHAnsi" w:cstheme="minorBidi"/>
          <w:sz w:val="22"/>
          <w:lang w:eastAsia="en-AU" w:bidi="ar-SA"/>
        </w:rPr>
        <w:tab/>
      </w:r>
      <w:r>
        <w:t>People on income support in either July 2010 or October 2011, movement between the old and new income management programs</w:t>
      </w:r>
      <w:r>
        <w:tab/>
      </w:r>
      <w:r w:rsidR="00C7347D">
        <w:fldChar w:fldCharType="begin"/>
      </w:r>
      <w:r>
        <w:instrText xml:space="preserve"> PAGEREF _Toc335915839 \h </w:instrText>
      </w:r>
      <w:r w:rsidR="00C7347D">
        <w:fldChar w:fldCharType="separate"/>
      </w:r>
      <w:r w:rsidR="00E70A53">
        <w:t>50</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4</w:t>
      </w:r>
      <w:r>
        <w:noBreakHyphen/>
        <w:t>4</w:t>
      </w:r>
      <w:r>
        <w:rPr>
          <w:rFonts w:asciiTheme="minorHAnsi" w:eastAsiaTheme="minorEastAsia" w:hAnsiTheme="minorHAnsi" w:cstheme="minorBidi"/>
          <w:sz w:val="22"/>
          <w:lang w:eastAsia="en-AU" w:bidi="ar-SA"/>
        </w:rPr>
        <w:tab/>
      </w:r>
      <w:r>
        <w:t>Northern Territory, Indigenous people on income support in either July 2010 or October 2011, Movement between the old and new income management programs</w:t>
      </w:r>
      <w:r>
        <w:tab/>
      </w:r>
      <w:r w:rsidR="00C7347D">
        <w:fldChar w:fldCharType="begin"/>
      </w:r>
      <w:r>
        <w:instrText xml:space="preserve"> PAGEREF _Toc335915840 \h </w:instrText>
      </w:r>
      <w:r w:rsidR="00C7347D">
        <w:fldChar w:fldCharType="separate"/>
      </w:r>
      <w:r w:rsidR="00E70A53">
        <w:t>51</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4</w:t>
      </w:r>
      <w:r>
        <w:noBreakHyphen/>
        <w:t>5</w:t>
      </w:r>
      <w:r>
        <w:rPr>
          <w:rFonts w:asciiTheme="minorHAnsi" w:eastAsiaTheme="minorEastAsia" w:hAnsiTheme="minorHAnsi" w:cstheme="minorBidi"/>
          <w:sz w:val="22"/>
          <w:lang w:eastAsia="en-AU" w:bidi="ar-SA"/>
        </w:rPr>
        <w:tab/>
      </w:r>
      <w:r>
        <w:t>Duration of spells on NIM of people who entered NIM up until February 2011</w:t>
      </w:r>
      <w:r>
        <w:tab/>
      </w:r>
      <w:r w:rsidR="00C7347D">
        <w:fldChar w:fldCharType="begin"/>
      </w:r>
      <w:r>
        <w:instrText xml:space="preserve"> PAGEREF _Toc335915841 \h </w:instrText>
      </w:r>
      <w:r w:rsidR="00C7347D">
        <w:fldChar w:fldCharType="separate"/>
      </w:r>
      <w:r w:rsidR="00E70A53">
        <w:t>53</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4</w:t>
      </w:r>
      <w:r>
        <w:noBreakHyphen/>
        <w:t>6</w:t>
      </w:r>
      <w:r>
        <w:rPr>
          <w:rFonts w:asciiTheme="minorHAnsi" w:eastAsiaTheme="minorEastAsia" w:hAnsiTheme="minorHAnsi" w:cstheme="minorBidi"/>
          <w:sz w:val="22"/>
          <w:lang w:eastAsia="en-AU" w:bidi="ar-SA"/>
        </w:rPr>
        <w:tab/>
      </w:r>
      <w:r>
        <w:t>Income support status of people who entered NIM up until February 2011 and exited prior to end January 2012</w:t>
      </w:r>
      <w:r>
        <w:tab/>
      </w:r>
      <w:r w:rsidR="00C7347D">
        <w:fldChar w:fldCharType="begin"/>
      </w:r>
      <w:r>
        <w:instrText xml:space="preserve"> PAGEREF _Toc335915842 \h </w:instrText>
      </w:r>
      <w:r w:rsidR="00C7347D">
        <w:fldChar w:fldCharType="separate"/>
      </w:r>
      <w:r w:rsidR="00E70A53">
        <w:t>56</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4</w:t>
      </w:r>
      <w:r>
        <w:noBreakHyphen/>
        <w:t>7</w:t>
      </w:r>
      <w:r>
        <w:rPr>
          <w:rFonts w:asciiTheme="minorHAnsi" w:eastAsiaTheme="minorEastAsia" w:hAnsiTheme="minorHAnsi" w:cstheme="minorBidi"/>
          <w:sz w:val="22"/>
          <w:lang w:eastAsia="en-AU" w:bidi="ar-SA"/>
        </w:rPr>
        <w:tab/>
      </w:r>
      <w:r>
        <w:t>Northern Territory income managed population by stream and Indigeneity, October 2011</w:t>
      </w:r>
      <w:r>
        <w:tab/>
      </w:r>
      <w:r w:rsidR="00C7347D">
        <w:fldChar w:fldCharType="begin"/>
      </w:r>
      <w:r>
        <w:instrText xml:space="preserve"> PAGEREF _Toc335915843 \h </w:instrText>
      </w:r>
      <w:r w:rsidR="00C7347D">
        <w:fldChar w:fldCharType="separate"/>
      </w:r>
      <w:r w:rsidR="00E70A53">
        <w:t>57</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4</w:t>
      </w:r>
      <w:r>
        <w:noBreakHyphen/>
        <w:t xml:space="preserve">8 </w:t>
      </w:r>
      <w:r>
        <w:rPr>
          <w:rFonts w:asciiTheme="minorHAnsi" w:eastAsiaTheme="minorEastAsia" w:hAnsiTheme="minorHAnsi" w:cstheme="minorBidi"/>
          <w:sz w:val="22"/>
          <w:lang w:eastAsia="en-AU" w:bidi="ar-SA"/>
        </w:rPr>
        <w:tab/>
      </w:r>
      <w:r>
        <w:t>Northern Territory income managed population by stream and gender, October 2011</w:t>
      </w:r>
      <w:r>
        <w:tab/>
      </w:r>
      <w:r w:rsidR="00C7347D">
        <w:fldChar w:fldCharType="begin"/>
      </w:r>
      <w:r>
        <w:instrText xml:space="preserve"> PAGEREF _Toc335915844 \h </w:instrText>
      </w:r>
      <w:r w:rsidR="00C7347D">
        <w:fldChar w:fldCharType="separate"/>
      </w:r>
      <w:r w:rsidR="00E70A53">
        <w:t>58</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4</w:t>
      </w:r>
      <w:r>
        <w:noBreakHyphen/>
        <w:t>9</w:t>
      </w:r>
      <w:r>
        <w:rPr>
          <w:rFonts w:asciiTheme="minorHAnsi" w:eastAsiaTheme="minorEastAsia" w:hAnsiTheme="minorHAnsi" w:cstheme="minorBidi"/>
          <w:sz w:val="22"/>
          <w:lang w:eastAsia="en-AU" w:bidi="ar-SA"/>
        </w:rPr>
        <w:tab/>
      </w:r>
      <w:r>
        <w:t>Northern Territory income managed population by stream and major income support payment, October 2011</w:t>
      </w:r>
      <w:r>
        <w:tab/>
      </w:r>
      <w:r w:rsidR="00C7347D">
        <w:fldChar w:fldCharType="begin"/>
      </w:r>
      <w:r>
        <w:instrText xml:space="preserve"> PAGEREF _Toc335915845 \h </w:instrText>
      </w:r>
      <w:r w:rsidR="00C7347D">
        <w:fldChar w:fldCharType="separate"/>
      </w:r>
      <w:r w:rsidR="00E70A53">
        <w:t>59</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4</w:t>
      </w:r>
      <w:r>
        <w:noBreakHyphen/>
        <w:t xml:space="preserve">10 </w:t>
      </w:r>
      <w:r>
        <w:rPr>
          <w:rFonts w:asciiTheme="minorHAnsi" w:eastAsiaTheme="minorEastAsia" w:hAnsiTheme="minorHAnsi" w:cstheme="minorBidi"/>
          <w:sz w:val="22"/>
          <w:lang w:eastAsia="en-AU" w:bidi="ar-SA"/>
        </w:rPr>
        <w:tab/>
      </w:r>
      <w:r>
        <w:t>Northern Territory, Income support recipients by Indigenous status and type of income support, October 2011</w:t>
      </w:r>
      <w:r>
        <w:tab/>
      </w:r>
      <w:r w:rsidR="00C7347D">
        <w:fldChar w:fldCharType="begin"/>
      </w:r>
      <w:r>
        <w:instrText xml:space="preserve"> PAGEREF _Toc335915846 \h </w:instrText>
      </w:r>
      <w:r w:rsidR="00C7347D">
        <w:fldChar w:fldCharType="separate"/>
      </w:r>
      <w:r w:rsidR="00E70A53">
        <w:t>60</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4</w:t>
      </w:r>
      <w:r>
        <w:noBreakHyphen/>
        <w:t xml:space="preserve">11 </w:t>
      </w:r>
      <w:r>
        <w:rPr>
          <w:rFonts w:asciiTheme="minorHAnsi" w:eastAsiaTheme="minorEastAsia" w:hAnsiTheme="minorHAnsi" w:cstheme="minorBidi"/>
          <w:sz w:val="22"/>
          <w:lang w:eastAsia="en-AU" w:bidi="ar-SA"/>
        </w:rPr>
        <w:tab/>
      </w:r>
      <w:r>
        <w:t>Northern Territory, Persons being income managed by Indigenous status and type of income support, October 2011</w:t>
      </w:r>
      <w:r>
        <w:tab/>
      </w:r>
      <w:r w:rsidR="00C7347D">
        <w:fldChar w:fldCharType="begin"/>
      </w:r>
      <w:r>
        <w:instrText xml:space="preserve"> PAGEREF _Toc335915847 \h </w:instrText>
      </w:r>
      <w:r w:rsidR="00C7347D">
        <w:fldChar w:fldCharType="separate"/>
      </w:r>
      <w:r w:rsidR="00E70A53">
        <w:t>61</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4</w:t>
      </w:r>
      <w:r>
        <w:noBreakHyphen/>
        <w:t xml:space="preserve">12 </w:t>
      </w:r>
      <w:r>
        <w:rPr>
          <w:rFonts w:asciiTheme="minorHAnsi" w:eastAsiaTheme="minorEastAsia" w:hAnsiTheme="minorHAnsi" w:cstheme="minorBidi"/>
          <w:sz w:val="22"/>
          <w:lang w:eastAsia="en-AU" w:bidi="ar-SA"/>
        </w:rPr>
        <w:tab/>
      </w:r>
      <w:r>
        <w:t>Northern Territory income managed population by family type and Indigeneity, October 2011</w:t>
      </w:r>
      <w:r>
        <w:tab/>
      </w:r>
      <w:r w:rsidR="00C7347D">
        <w:fldChar w:fldCharType="begin"/>
      </w:r>
      <w:r>
        <w:instrText xml:space="preserve"> PAGEREF _Toc335915848 \h </w:instrText>
      </w:r>
      <w:r w:rsidR="00C7347D">
        <w:fldChar w:fldCharType="separate"/>
      </w:r>
      <w:r w:rsidR="00E70A53">
        <w:t>63</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4</w:t>
      </w:r>
      <w:r>
        <w:noBreakHyphen/>
        <w:t>13</w:t>
      </w:r>
      <w:r>
        <w:rPr>
          <w:rFonts w:asciiTheme="minorHAnsi" w:eastAsiaTheme="minorEastAsia" w:hAnsiTheme="minorHAnsi" w:cstheme="minorBidi"/>
          <w:sz w:val="22"/>
          <w:lang w:eastAsia="en-AU" w:bidi="ar-SA"/>
        </w:rPr>
        <w:tab/>
      </w:r>
      <w:r>
        <w:t>Northern Territory income managed population by number and age of children and Indigeneity, October 2011</w:t>
      </w:r>
      <w:r>
        <w:tab/>
      </w:r>
      <w:r w:rsidR="00C7347D">
        <w:fldChar w:fldCharType="begin"/>
      </w:r>
      <w:r>
        <w:instrText xml:space="preserve"> PAGEREF _Toc335915849 \h </w:instrText>
      </w:r>
      <w:r w:rsidR="00C7347D">
        <w:fldChar w:fldCharType="separate"/>
      </w:r>
      <w:r w:rsidR="00E70A53">
        <w:t>64</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4</w:t>
      </w:r>
      <w:r>
        <w:noBreakHyphen/>
        <w:t>14</w:t>
      </w:r>
      <w:r>
        <w:rPr>
          <w:rFonts w:asciiTheme="minorHAnsi" w:eastAsiaTheme="minorEastAsia" w:hAnsiTheme="minorHAnsi" w:cstheme="minorBidi"/>
          <w:sz w:val="22"/>
          <w:lang w:eastAsia="en-AU" w:bidi="ar-SA"/>
        </w:rPr>
        <w:tab/>
      </w:r>
      <w:r>
        <w:t>Northern Territory, income managed population by broad country of birth, October 2011</w:t>
      </w:r>
      <w:r>
        <w:tab/>
      </w:r>
      <w:r w:rsidR="00C7347D">
        <w:fldChar w:fldCharType="begin"/>
      </w:r>
      <w:r>
        <w:instrText xml:space="preserve"> PAGEREF _Toc335915850 \h </w:instrText>
      </w:r>
      <w:r w:rsidR="00C7347D">
        <w:fldChar w:fldCharType="separate"/>
      </w:r>
      <w:r w:rsidR="00E70A53">
        <w:t>65</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4</w:t>
      </w:r>
      <w:r>
        <w:noBreakHyphen/>
        <w:t xml:space="preserve">15 </w:t>
      </w:r>
      <w:r>
        <w:rPr>
          <w:rFonts w:asciiTheme="minorHAnsi" w:eastAsiaTheme="minorEastAsia" w:hAnsiTheme="minorHAnsi" w:cstheme="minorBidi"/>
          <w:sz w:val="22"/>
          <w:lang w:eastAsia="en-AU" w:bidi="ar-SA"/>
        </w:rPr>
        <w:tab/>
      </w:r>
      <w:r>
        <w:t>Northern Territory, Income management rates by Statistical Subdivision, 2010 to 2011</w:t>
      </w:r>
      <w:r>
        <w:tab/>
      </w:r>
      <w:r w:rsidR="00C7347D">
        <w:fldChar w:fldCharType="begin"/>
      </w:r>
      <w:r>
        <w:instrText xml:space="preserve"> PAGEREF _Toc335915851 \h </w:instrText>
      </w:r>
      <w:r w:rsidR="00C7347D">
        <w:fldChar w:fldCharType="separate"/>
      </w:r>
      <w:r w:rsidR="00E70A53">
        <w:t>66</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lastRenderedPageBreak/>
        <w:t>Table 5</w:t>
      </w:r>
      <w:r>
        <w:noBreakHyphen/>
        <w:t xml:space="preserve">1 </w:t>
      </w:r>
      <w:r>
        <w:rPr>
          <w:rFonts w:asciiTheme="minorHAnsi" w:eastAsiaTheme="minorEastAsia" w:hAnsiTheme="minorHAnsi" w:cstheme="minorBidi"/>
          <w:sz w:val="22"/>
          <w:lang w:eastAsia="en-AU" w:bidi="ar-SA"/>
        </w:rPr>
        <w:tab/>
      </w:r>
      <w:r>
        <w:t>Northern Territory, Detailed composition of allocations of income managed funds, fortnight ending 28 October 2011</w:t>
      </w:r>
      <w:r>
        <w:tab/>
      </w:r>
      <w:r w:rsidR="00C7347D">
        <w:fldChar w:fldCharType="begin"/>
      </w:r>
      <w:r>
        <w:instrText xml:space="preserve"> PAGEREF _Toc335915852 \h </w:instrText>
      </w:r>
      <w:r w:rsidR="00C7347D">
        <w:fldChar w:fldCharType="separate"/>
      </w:r>
      <w:r w:rsidR="00E70A53">
        <w:t>71</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5</w:t>
      </w:r>
      <w:r>
        <w:noBreakHyphen/>
        <w:t>2</w:t>
      </w:r>
      <w:r>
        <w:rPr>
          <w:rFonts w:asciiTheme="minorHAnsi" w:eastAsiaTheme="minorEastAsia" w:hAnsiTheme="minorHAnsi" w:cstheme="minorBidi"/>
          <w:sz w:val="22"/>
          <w:lang w:eastAsia="en-AU" w:bidi="ar-SA"/>
        </w:rPr>
        <w:tab/>
      </w:r>
      <w:r>
        <w:t>Northern Territory, BasicsCard, detailed composition of spending by merchant type, fortnight ending 28 October 2011</w:t>
      </w:r>
      <w:r>
        <w:tab/>
      </w:r>
      <w:r w:rsidR="00C7347D">
        <w:fldChar w:fldCharType="begin"/>
      </w:r>
      <w:r>
        <w:instrText xml:space="preserve"> PAGEREF _Toc335915853 \h </w:instrText>
      </w:r>
      <w:r w:rsidR="00C7347D">
        <w:fldChar w:fldCharType="separate"/>
      </w:r>
      <w:r w:rsidR="00E70A53">
        <w:t>73</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5</w:t>
      </w:r>
      <w:r>
        <w:noBreakHyphen/>
        <w:t xml:space="preserve">3 </w:t>
      </w:r>
      <w:r>
        <w:rPr>
          <w:rFonts w:asciiTheme="minorHAnsi" w:eastAsiaTheme="minorEastAsia" w:hAnsiTheme="minorHAnsi" w:cstheme="minorBidi"/>
          <w:sz w:val="22"/>
          <w:lang w:eastAsia="en-AU" w:bidi="ar-SA"/>
        </w:rPr>
        <w:tab/>
      </w:r>
      <w:r>
        <w:t>Composition of allocation by income management stream and Indigenous and non-Indigenous, fortnight ending 28 October 2011</w:t>
      </w:r>
      <w:r>
        <w:tab/>
      </w:r>
      <w:r w:rsidR="00C7347D">
        <w:fldChar w:fldCharType="begin"/>
      </w:r>
      <w:r>
        <w:instrText xml:space="preserve"> PAGEREF _Toc335915854 \h </w:instrText>
      </w:r>
      <w:r w:rsidR="00C7347D">
        <w:fldChar w:fldCharType="separate"/>
      </w:r>
      <w:r w:rsidR="00E70A53">
        <w:t>75</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5</w:t>
      </w:r>
      <w:r>
        <w:noBreakHyphen/>
        <w:t xml:space="preserve">4 </w:t>
      </w:r>
      <w:r>
        <w:rPr>
          <w:rFonts w:asciiTheme="minorHAnsi" w:eastAsiaTheme="minorEastAsia" w:hAnsiTheme="minorHAnsi" w:cstheme="minorBidi"/>
          <w:sz w:val="22"/>
          <w:lang w:eastAsia="en-AU" w:bidi="ar-SA"/>
        </w:rPr>
        <w:tab/>
      </w:r>
      <w:r>
        <w:t>Composition of allocation by income management stream and type of Income support, fortnight ending 28 October 2011</w:t>
      </w:r>
      <w:r>
        <w:tab/>
      </w:r>
      <w:r w:rsidR="00C7347D">
        <w:fldChar w:fldCharType="begin"/>
      </w:r>
      <w:r>
        <w:instrText xml:space="preserve"> PAGEREF _Toc335915855 \h </w:instrText>
      </w:r>
      <w:r w:rsidR="00C7347D">
        <w:fldChar w:fldCharType="separate"/>
      </w:r>
      <w:r w:rsidR="00E70A53">
        <w:t>76</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5</w:t>
      </w:r>
      <w:r>
        <w:noBreakHyphen/>
        <w:t xml:space="preserve">5 </w:t>
      </w:r>
      <w:r>
        <w:rPr>
          <w:rFonts w:asciiTheme="minorHAnsi" w:eastAsiaTheme="minorEastAsia" w:hAnsiTheme="minorHAnsi" w:cstheme="minorBidi"/>
          <w:sz w:val="22"/>
          <w:lang w:eastAsia="en-AU" w:bidi="ar-SA"/>
        </w:rPr>
        <w:tab/>
      </w:r>
      <w:r>
        <w:t>Composition of allocation by income management stream and location, fortnight ending 28 October 2011</w:t>
      </w:r>
      <w:r>
        <w:tab/>
      </w:r>
      <w:r w:rsidR="00C7347D">
        <w:fldChar w:fldCharType="begin"/>
      </w:r>
      <w:r>
        <w:instrText xml:space="preserve"> PAGEREF _Toc335915856 \h </w:instrText>
      </w:r>
      <w:r w:rsidR="00C7347D">
        <w:fldChar w:fldCharType="separate"/>
      </w:r>
      <w:r w:rsidR="00E70A53">
        <w:t>77</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5</w:t>
      </w:r>
      <w:r>
        <w:noBreakHyphen/>
        <w:t>6</w:t>
      </w:r>
      <w:r>
        <w:rPr>
          <w:rFonts w:asciiTheme="minorHAnsi" w:eastAsiaTheme="minorEastAsia" w:hAnsiTheme="minorHAnsi" w:cstheme="minorBidi"/>
          <w:sz w:val="22"/>
          <w:lang w:eastAsia="en-AU" w:bidi="ar-SA"/>
        </w:rPr>
        <w:tab/>
      </w:r>
      <w:r>
        <w:t>Composition of allocation by income management stream and family type, fortnight ending 28 October 2011</w:t>
      </w:r>
      <w:r>
        <w:tab/>
      </w:r>
      <w:r w:rsidR="00C7347D">
        <w:fldChar w:fldCharType="begin"/>
      </w:r>
      <w:r>
        <w:instrText xml:space="preserve"> PAGEREF _Toc335915857 \h </w:instrText>
      </w:r>
      <w:r w:rsidR="00C7347D">
        <w:fldChar w:fldCharType="separate"/>
      </w:r>
      <w:r w:rsidR="00E70A53">
        <w:t>77</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6</w:t>
      </w:r>
      <w:r>
        <w:noBreakHyphen/>
        <w:t xml:space="preserve">1 </w:t>
      </w:r>
      <w:r>
        <w:rPr>
          <w:rFonts w:asciiTheme="minorHAnsi" w:eastAsiaTheme="minorEastAsia" w:hAnsiTheme="minorHAnsi" w:cstheme="minorBidi"/>
          <w:sz w:val="22"/>
          <w:lang w:eastAsia="en-AU" w:bidi="ar-SA"/>
        </w:rPr>
        <w:tab/>
      </w:r>
      <w:r>
        <w:t>Northern Territory, Number of BasicsCard approved merchants by type of business, March 2012</w:t>
      </w:r>
      <w:r>
        <w:tab/>
      </w:r>
      <w:r w:rsidR="00C7347D">
        <w:fldChar w:fldCharType="begin"/>
      </w:r>
      <w:r>
        <w:instrText xml:space="preserve"> PAGEREF _Toc335915858 \h </w:instrText>
      </w:r>
      <w:r w:rsidR="00C7347D">
        <w:fldChar w:fldCharType="separate"/>
      </w:r>
      <w:r w:rsidR="00E70A53">
        <w:t>81</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6</w:t>
      </w:r>
      <w:r>
        <w:noBreakHyphen/>
        <w:t xml:space="preserve">2 </w:t>
      </w:r>
      <w:r>
        <w:rPr>
          <w:rFonts w:asciiTheme="minorHAnsi" w:eastAsiaTheme="minorEastAsia" w:hAnsiTheme="minorHAnsi" w:cstheme="minorBidi"/>
          <w:sz w:val="22"/>
          <w:lang w:eastAsia="en-AU" w:bidi="ar-SA"/>
        </w:rPr>
        <w:tab/>
      </w:r>
      <w:r>
        <w:t>Number of BasicsCards issued during current spell of income management by type of income management, October 2011</w:t>
      </w:r>
      <w:r>
        <w:tab/>
      </w:r>
      <w:r w:rsidR="00C7347D">
        <w:fldChar w:fldCharType="begin"/>
      </w:r>
      <w:r>
        <w:instrText xml:space="preserve"> PAGEREF _Toc335915859 \h </w:instrText>
      </w:r>
      <w:r w:rsidR="00C7347D">
        <w:fldChar w:fldCharType="separate"/>
      </w:r>
      <w:r w:rsidR="00E70A53">
        <w:t>82</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6</w:t>
      </w:r>
      <w:r>
        <w:noBreakHyphen/>
        <w:t xml:space="preserve">3 </w:t>
      </w:r>
      <w:r>
        <w:rPr>
          <w:rFonts w:asciiTheme="minorHAnsi" w:eastAsiaTheme="minorEastAsia" w:hAnsiTheme="minorHAnsi" w:cstheme="minorBidi"/>
          <w:sz w:val="22"/>
          <w:lang w:eastAsia="en-AU" w:bidi="ar-SA"/>
        </w:rPr>
        <w:tab/>
      </w:r>
      <w:r>
        <w:t>Number of cards issued during current spell of income management by length of time on NIM, October 2011</w:t>
      </w:r>
      <w:r>
        <w:tab/>
      </w:r>
      <w:r w:rsidR="00C7347D">
        <w:fldChar w:fldCharType="begin"/>
      </w:r>
      <w:r>
        <w:instrText xml:space="preserve"> PAGEREF _Toc335915860 \h </w:instrText>
      </w:r>
      <w:r w:rsidR="00C7347D">
        <w:fldChar w:fldCharType="separate"/>
      </w:r>
      <w:r w:rsidR="00E70A53">
        <w:t>83</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6</w:t>
      </w:r>
      <w:r>
        <w:noBreakHyphen/>
        <w:t xml:space="preserve">4 </w:t>
      </w:r>
      <w:r>
        <w:rPr>
          <w:rFonts w:asciiTheme="minorHAnsi" w:eastAsiaTheme="minorEastAsia" w:hAnsiTheme="minorHAnsi" w:cstheme="minorBidi"/>
          <w:sz w:val="22"/>
          <w:lang w:eastAsia="en-AU" w:bidi="ar-SA"/>
        </w:rPr>
        <w:tab/>
      </w:r>
      <w:r>
        <w:t>Number of cards issued during current spell of income management by Indigenous status October 2011</w:t>
      </w:r>
      <w:r>
        <w:tab/>
      </w:r>
      <w:r w:rsidR="00C7347D">
        <w:fldChar w:fldCharType="begin"/>
      </w:r>
      <w:r>
        <w:instrText xml:space="preserve"> PAGEREF _Toc335915861 \h </w:instrText>
      </w:r>
      <w:r w:rsidR="00C7347D">
        <w:fldChar w:fldCharType="separate"/>
      </w:r>
      <w:r w:rsidR="00E70A53">
        <w:t>83</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6</w:t>
      </w:r>
      <w:r>
        <w:noBreakHyphen/>
        <w:t xml:space="preserve">5 </w:t>
      </w:r>
      <w:r>
        <w:rPr>
          <w:rFonts w:asciiTheme="minorHAnsi" w:eastAsiaTheme="minorEastAsia" w:hAnsiTheme="minorHAnsi" w:cstheme="minorBidi"/>
          <w:sz w:val="22"/>
          <w:lang w:eastAsia="en-AU" w:bidi="ar-SA"/>
        </w:rPr>
        <w:tab/>
      </w:r>
      <w:r>
        <w:t>Reasons for BasicsCard replacement by Indigenous status, October 2011</w:t>
      </w:r>
      <w:r>
        <w:tab/>
      </w:r>
      <w:r w:rsidR="00C7347D">
        <w:fldChar w:fldCharType="begin"/>
      </w:r>
      <w:r>
        <w:instrText xml:space="preserve"> PAGEREF _Toc335915862 \h </w:instrText>
      </w:r>
      <w:r w:rsidR="00C7347D">
        <w:fldChar w:fldCharType="separate"/>
      </w:r>
      <w:r w:rsidR="00E70A53">
        <w:t>84</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6</w:t>
      </w:r>
      <w:r>
        <w:noBreakHyphen/>
        <w:t xml:space="preserve">6 </w:t>
      </w:r>
      <w:r>
        <w:rPr>
          <w:rFonts w:asciiTheme="minorHAnsi" w:eastAsiaTheme="minorEastAsia" w:hAnsiTheme="minorHAnsi" w:cstheme="minorBidi"/>
          <w:sz w:val="22"/>
          <w:lang w:eastAsia="en-AU" w:bidi="ar-SA"/>
        </w:rPr>
        <w:tab/>
      </w:r>
      <w:r>
        <w:t>Merchants’ perceptions of customers’ experience of using BasicsCard</w:t>
      </w:r>
      <w:r>
        <w:tab/>
      </w:r>
      <w:r w:rsidR="00C7347D">
        <w:fldChar w:fldCharType="begin"/>
      </w:r>
      <w:r>
        <w:instrText xml:space="preserve"> PAGEREF _Toc335915863 \h </w:instrText>
      </w:r>
      <w:r w:rsidR="00C7347D">
        <w:fldChar w:fldCharType="separate"/>
      </w:r>
      <w:r w:rsidR="00E70A53">
        <w:t>85</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7</w:t>
      </w:r>
      <w:r>
        <w:noBreakHyphen/>
        <w:t xml:space="preserve">1 </w:t>
      </w:r>
      <w:r>
        <w:rPr>
          <w:rFonts w:asciiTheme="minorHAnsi" w:eastAsiaTheme="minorEastAsia" w:hAnsiTheme="minorHAnsi" w:cstheme="minorBidi"/>
          <w:sz w:val="22"/>
          <w:lang w:eastAsia="en-AU" w:bidi="ar-SA"/>
        </w:rPr>
        <w:tab/>
      </w:r>
      <w:r>
        <w:t>LSNIM Wave 1, reasons for going to a money management or financial counselling service</w:t>
      </w:r>
      <w:r>
        <w:tab/>
      </w:r>
      <w:r w:rsidR="00C7347D">
        <w:fldChar w:fldCharType="begin"/>
      </w:r>
      <w:r>
        <w:instrText xml:space="preserve"> PAGEREF _Toc335915864 \h </w:instrText>
      </w:r>
      <w:r w:rsidR="00C7347D">
        <w:fldChar w:fldCharType="separate"/>
      </w:r>
      <w:r w:rsidR="00E70A53">
        <w:t>102</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7</w:t>
      </w:r>
      <w:r>
        <w:noBreakHyphen/>
        <w:t xml:space="preserve">2 </w:t>
      </w:r>
      <w:r>
        <w:rPr>
          <w:rFonts w:asciiTheme="minorHAnsi" w:eastAsiaTheme="minorEastAsia" w:hAnsiTheme="minorHAnsi" w:cstheme="minorBidi"/>
          <w:sz w:val="22"/>
          <w:lang w:eastAsia="en-AU" w:bidi="ar-SA"/>
        </w:rPr>
        <w:tab/>
      </w:r>
      <w:r>
        <w:t>LSNIM Wave 1, ways in which the money management or financial counselling service assisted</w:t>
      </w:r>
      <w:r>
        <w:tab/>
      </w:r>
      <w:r w:rsidR="00C7347D">
        <w:fldChar w:fldCharType="begin"/>
      </w:r>
      <w:r>
        <w:instrText xml:space="preserve"> PAGEREF _Toc335915865 \h </w:instrText>
      </w:r>
      <w:r w:rsidR="00C7347D">
        <w:fldChar w:fldCharType="separate"/>
      </w:r>
      <w:r w:rsidR="00E70A53">
        <w:t>103</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7</w:t>
      </w:r>
      <w:r>
        <w:noBreakHyphen/>
        <w:t xml:space="preserve">3 </w:t>
      </w:r>
      <w:r>
        <w:rPr>
          <w:rFonts w:asciiTheme="minorHAnsi" w:eastAsiaTheme="minorEastAsia" w:hAnsiTheme="minorHAnsi" w:cstheme="minorBidi"/>
          <w:sz w:val="22"/>
          <w:lang w:eastAsia="en-AU" w:bidi="ar-SA"/>
        </w:rPr>
        <w:tab/>
      </w:r>
      <w:r>
        <w:t>Centrelink staff views of the barriers to clients receiving money management and financial counselling services, 2011</w:t>
      </w:r>
      <w:r>
        <w:tab/>
      </w:r>
      <w:r w:rsidR="00C7347D">
        <w:fldChar w:fldCharType="begin"/>
      </w:r>
      <w:r>
        <w:instrText xml:space="preserve"> PAGEREF _Toc335915866 \h </w:instrText>
      </w:r>
      <w:r w:rsidR="00C7347D">
        <w:fldChar w:fldCharType="separate"/>
      </w:r>
      <w:r w:rsidR="00E70A53">
        <w:t>105</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8</w:t>
      </w:r>
      <w:r>
        <w:noBreakHyphen/>
        <w:t>1</w:t>
      </w:r>
      <w:r>
        <w:rPr>
          <w:rFonts w:asciiTheme="minorHAnsi" w:eastAsiaTheme="minorEastAsia" w:hAnsiTheme="minorHAnsi" w:cstheme="minorBidi"/>
          <w:sz w:val="22"/>
          <w:lang w:eastAsia="en-AU" w:bidi="ar-SA"/>
        </w:rPr>
        <w:tab/>
      </w:r>
      <w:r>
        <w:t>Detailed exemption codes of current potentially targeted income support recipients, October 2011</w:t>
      </w:r>
      <w:r>
        <w:tab/>
      </w:r>
      <w:r w:rsidR="00C7347D">
        <w:fldChar w:fldCharType="begin"/>
      </w:r>
      <w:r>
        <w:instrText xml:space="preserve"> PAGEREF _Toc335915867 \h </w:instrText>
      </w:r>
      <w:r w:rsidR="00C7347D">
        <w:fldChar w:fldCharType="separate"/>
      </w:r>
      <w:r w:rsidR="00E70A53">
        <w:t>119</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8</w:t>
      </w:r>
      <w:r>
        <w:noBreakHyphen/>
        <w:t xml:space="preserve">2 </w:t>
      </w:r>
      <w:r>
        <w:rPr>
          <w:rFonts w:asciiTheme="minorHAnsi" w:eastAsiaTheme="minorEastAsia" w:hAnsiTheme="minorHAnsi" w:cstheme="minorBidi"/>
          <w:sz w:val="22"/>
          <w:lang w:eastAsia="en-AU" w:bidi="ar-SA"/>
        </w:rPr>
        <w:tab/>
      </w:r>
      <w:r>
        <w:t>Rollout of income management – exemptions, October 2010 to October 2011</w:t>
      </w:r>
      <w:r>
        <w:tab/>
      </w:r>
      <w:r w:rsidR="00C7347D">
        <w:fldChar w:fldCharType="begin"/>
      </w:r>
      <w:r>
        <w:instrText xml:space="preserve"> PAGEREF _Toc335915868 \h </w:instrText>
      </w:r>
      <w:r w:rsidR="00C7347D">
        <w:fldChar w:fldCharType="separate"/>
      </w:r>
      <w:r w:rsidR="00E70A53">
        <w:t>123</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8</w:t>
      </w:r>
      <w:r>
        <w:noBreakHyphen/>
        <w:t xml:space="preserve">3 </w:t>
      </w:r>
      <w:r>
        <w:rPr>
          <w:rFonts w:asciiTheme="minorHAnsi" w:eastAsiaTheme="minorEastAsia" w:hAnsiTheme="minorHAnsi" w:cstheme="minorBidi"/>
          <w:sz w:val="22"/>
          <w:lang w:eastAsia="en-AU" w:bidi="ar-SA"/>
        </w:rPr>
        <w:tab/>
      </w:r>
      <w:r>
        <w:t>Persons not on Compulsory Income Management because of an exemption, reason for exemption, July 2010 to October 2011</w:t>
      </w:r>
      <w:r>
        <w:tab/>
      </w:r>
      <w:r w:rsidR="00C7347D">
        <w:fldChar w:fldCharType="begin"/>
      </w:r>
      <w:r>
        <w:instrText xml:space="preserve"> PAGEREF _Toc335915869 \h </w:instrText>
      </w:r>
      <w:r w:rsidR="00C7347D">
        <w:fldChar w:fldCharType="separate"/>
      </w:r>
      <w:r w:rsidR="00E70A53">
        <w:t>124</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8</w:t>
      </w:r>
      <w:r>
        <w:noBreakHyphen/>
        <w:t>4</w:t>
      </w:r>
      <w:r>
        <w:rPr>
          <w:rFonts w:asciiTheme="minorHAnsi" w:eastAsiaTheme="minorEastAsia" w:hAnsiTheme="minorHAnsi" w:cstheme="minorBidi"/>
          <w:sz w:val="22"/>
          <w:lang w:eastAsia="en-AU" w:bidi="ar-SA"/>
        </w:rPr>
        <w:tab/>
      </w:r>
      <w:r>
        <w:t>Persons on Compulsory Income Management, reasons for rejection of application for exemption, October 2010 to October 2011</w:t>
      </w:r>
      <w:r>
        <w:tab/>
      </w:r>
      <w:r w:rsidR="00C7347D">
        <w:fldChar w:fldCharType="begin"/>
      </w:r>
      <w:r>
        <w:instrText xml:space="preserve"> PAGEREF _Toc335915870 \h </w:instrText>
      </w:r>
      <w:r w:rsidR="00C7347D">
        <w:fldChar w:fldCharType="separate"/>
      </w:r>
      <w:r w:rsidR="00E70A53">
        <w:t>125</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lastRenderedPageBreak/>
        <w:t>Table 8</w:t>
      </w:r>
      <w:r>
        <w:noBreakHyphen/>
        <w:t>5</w:t>
      </w:r>
      <w:r>
        <w:rPr>
          <w:rFonts w:asciiTheme="minorHAnsi" w:eastAsiaTheme="minorEastAsia" w:hAnsiTheme="minorHAnsi" w:cstheme="minorBidi"/>
          <w:sz w:val="22"/>
          <w:lang w:eastAsia="en-AU" w:bidi="ar-SA"/>
        </w:rPr>
        <w:tab/>
      </w:r>
      <w:r>
        <w:t>Applications for and granting of exemptions by initiative type, October 2011</w:t>
      </w:r>
      <w:r>
        <w:tab/>
      </w:r>
      <w:r w:rsidR="00C7347D">
        <w:fldChar w:fldCharType="begin"/>
      </w:r>
      <w:r>
        <w:instrText xml:space="preserve"> PAGEREF _Toc335915871 \h </w:instrText>
      </w:r>
      <w:r w:rsidR="00C7347D">
        <w:fldChar w:fldCharType="separate"/>
      </w:r>
      <w:r w:rsidR="00E70A53">
        <w:t>126</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8</w:t>
      </w:r>
      <w:r>
        <w:noBreakHyphen/>
        <w:t>6</w:t>
      </w:r>
      <w:r>
        <w:rPr>
          <w:rFonts w:asciiTheme="minorHAnsi" w:eastAsiaTheme="minorEastAsia" w:hAnsiTheme="minorHAnsi" w:cstheme="minorBidi"/>
          <w:sz w:val="22"/>
          <w:lang w:eastAsia="en-AU" w:bidi="ar-SA"/>
        </w:rPr>
        <w:tab/>
      </w:r>
      <w:r>
        <w:t>Applications for and granting of exemptions by payment type, October 2011</w:t>
      </w:r>
      <w:r>
        <w:tab/>
      </w:r>
      <w:r w:rsidR="00C7347D">
        <w:fldChar w:fldCharType="begin"/>
      </w:r>
      <w:r>
        <w:instrText xml:space="preserve"> PAGEREF _Toc335915872 \h </w:instrText>
      </w:r>
      <w:r w:rsidR="00C7347D">
        <w:fldChar w:fldCharType="separate"/>
      </w:r>
      <w:r w:rsidR="00E70A53">
        <w:t>128</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8</w:t>
      </w:r>
      <w:r>
        <w:noBreakHyphen/>
        <w:t>7</w:t>
      </w:r>
      <w:r>
        <w:rPr>
          <w:rFonts w:asciiTheme="minorHAnsi" w:eastAsiaTheme="minorEastAsia" w:hAnsiTheme="minorHAnsi" w:cstheme="minorBidi"/>
          <w:sz w:val="22"/>
          <w:lang w:eastAsia="en-AU" w:bidi="ar-SA"/>
        </w:rPr>
        <w:tab/>
      </w:r>
      <w:r>
        <w:t>Applications for and granting of exemptions by broad country of birth, October 2011</w:t>
      </w:r>
      <w:r>
        <w:tab/>
      </w:r>
      <w:r w:rsidR="00C7347D">
        <w:fldChar w:fldCharType="begin"/>
      </w:r>
      <w:r>
        <w:instrText xml:space="preserve"> PAGEREF _Toc335915873 \h </w:instrText>
      </w:r>
      <w:r w:rsidR="00C7347D">
        <w:fldChar w:fldCharType="separate"/>
      </w:r>
      <w:r w:rsidR="00E70A53">
        <w:t>129</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8</w:t>
      </w:r>
      <w:r>
        <w:noBreakHyphen/>
        <w:t>8</w:t>
      </w:r>
      <w:r>
        <w:rPr>
          <w:rFonts w:asciiTheme="minorHAnsi" w:eastAsiaTheme="minorEastAsia" w:hAnsiTheme="minorHAnsi" w:cstheme="minorBidi"/>
          <w:sz w:val="22"/>
          <w:lang w:eastAsia="en-AU" w:bidi="ar-SA"/>
        </w:rPr>
        <w:tab/>
      </w:r>
      <w:r>
        <w:t>Applications for and granting of exemptions by immigration visa category, October 2011</w:t>
      </w:r>
      <w:r>
        <w:tab/>
      </w:r>
      <w:r w:rsidR="00C7347D">
        <w:fldChar w:fldCharType="begin"/>
      </w:r>
      <w:r>
        <w:instrText xml:space="preserve"> PAGEREF _Toc335915874 \h </w:instrText>
      </w:r>
      <w:r w:rsidR="00C7347D">
        <w:fldChar w:fldCharType="separate"/>
      </w:r>
      <w:r w:rsidR="00E70A53">
        <w:t>129</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8</w:t>
      </w:r>
      <w:r>
        <w:noBreakHyphen/>
        <w:t>9</w:t>
      </w:r>
      <w:r>
        <w:rPr>
          <w:rFonts w:asciiTheme="minorHAnsi" w:eastAsiaTheme="minorEastAsia" w:hAnsiTheme="minorHAnsi" w:cstheme="minorBidi"/>
          <w:sz w:val="22"/>
          <w:lang w:eastAsia="en-AU" w:bidi="ar-SA"/>
        </w:rPr>
        <w:tab/>
      </w:r>
      <w:r>
        <w:t>Applications for and granting of exemptions by NTER prescribed area, October 2011</w:t>
      </w:r>
      <w:r>
        <w:tab/>
      </w:r>
      <w:r w:rsidR="00C7347D">
        <w:fldChar w:fldCharType="begin"/>
      </w:r>
      <w:r>
        <w:instrText xml:space="preserve"> PAGEREF _Toc335915875 \h </w:instrText>
      </w:r>
      <w:r w:rsidR="00C7347D">
        <w:fldChar w:fldCharType="separate"/>
      </w:r>
      <w:r w:rsidR="00E70A53">
        <w:t>130</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8</w:t>
      </w:r>
      <w:r>
        <w:noBreakHyphen/>
        <w:t>10</w:t>
      </w:r>
      <w:r>
        <w:rPr>
          <w:rFonts w:asciiTheme="minorHAnsi" w:eastAsiaTheme="minorEastAsia" w:hAnsiTheme="minorHAnsi" w:cstheme="minorBidi"/>
          <w:sz w:val="22"/>
          <w:lang w:eastAsia="en-AU" w:bidi="ar-SA"/>
        </w:rPr>
        <w:tab/>
      </w:r>
      <w:r>
        <w:t>Applications for and granting of exemptions by gender and whether or not have children, October 2011</w:t>
      </w:r>
      <w:r>
        <w:tab/>
      </w:r>
      <w:r w:rsidR="00C7347D">
        <w:fldChar w:fldCharType="begin"/>
      </w:r>
      <w:r>
        <w:instrText xml:space="preserve"> PAGEREF _Toc335915876 \h </w:instrText>
      </w:r>
      <w:r w:rsidR="00C7347D">
        <w:fldChar w:fldCharType="separate"/>
      </w:r>
      <w:r w:rsidR="00E70A53">
        <w:t>133</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8</w:t>
      </w:r>
      <w:r>
        <w:noBreakHyphen/>
        <w:t>11</w:t>
      </w:r>
      <w:r>
        <w:rPr>
          <w:rFonts w:asciiTheme="minorHAnsi" w:eastAsiaTheme="minorEastAsia" w:hAnsiTheme="minorHAnsi" w:cstheme="minorBidi"/>
          <w:sz w:val="22"/>
          <w:lang w:eastAsia="en-AU" w:bidi="ar-SA"/>
        </w:rPr>
        <w:tab/>
      </w:r>
      <w:r>
        <w:t>Persons with children subject to Compulsory Income Management, estimating the contribution of individual characteristics on probability of making an application for an exemption and its success, October 2011</w:t>
      </w:r>
      <w:r>
        <w:tab/>
      </w:r>
      <w:r w:rsidR="00C7347D">
        <w:fldChar w:fldCharType="begin"/>
      </w:r>
      <w:r>
        <w:instrText xml:space="preserve"> PAGEREF _Toc335915877 \h </w:instrText>
      </w:r>
      <w:r w:rsidR="00C7347D">
        <w:fldChar w:fldCharType="separate"/>
      </w:r>
      <w:r w:rsidR="00E70A53">
        <w:t>134</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8</w:t>
      </w:r>
      <w:r>
        <w:noBreakHyphen/>
        <w:t xml:space="preserve">12 </w:t>
      </w:r>
      <w:r>
        <w:rPr>
          <w:rFonts w:asciiTheme="minorHAnsi" w:eastAsiaTheme="minorEastAsia" w:hAnsiTheme="minorHAnsi" w:cstheme="minorBidi"/>
          <w:sz w:val="22"/>
          <w:lang w:eastAsia="en-AU" w:bidi="ar-SA"/>
        </w:rPr>
        <w:tab/>
      </w:r>
      <w:r>
        <w:t>Persons with children subject to Compulsory Income Management, estimated probability of application for exemption and success by Indigeneity and location controlling for other characteristics, October 2011</w:t>
      </w:r>
      <w:r>
        <w:tab/>
      </w:r>
      <w:r w:rsidR="00C7347D">
        <w:fldChar w:fldCharType="begin"/>
      </w:r>
      <w:r>
        <w:instrText xml:space="preserve"> PAGEREF _Toc335915878 \h </w:instrText>
      </w:r>
      <w:r w:rsidR="00C7347D">
        <w:fldChar w:fldCharType="separate"/>
      </w:r>
      <w:r w:rsidR="00E70A53">
        <w:t>135</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9</w:t>
      </w:r>
      <w:r>
        <w:noBreakHyphen/>
        <w:t xml:space="preserve">1 </w:t>
      </w:r>
      <w:r>
        <w:rPr>
          <w:rFonts w:asciiTheme="minorHAnsi" w:eastAsiaTheme="minorEastAsia" w:hAnsiTheme="minorHAnsi" w:cstheme="minorBidi"/>
          <w:sz w:val="22"/>
          <w:lang w:eastAsia="en-AU" w:bidi="ar-SA"/>
        </w:rPr>
        <w:tab/>
      </w:r>
      <w:r>
        <w:t>Centrelink staff survey, length of time working at Centrelink</w:t>
      </w:r>
      <w:r>
        <w:tab/>
      </w:r>
      <w:r w:rsidR="00C7347D">
        <w:fldChar w:fldCharType="begin"/>
      </w:r>
      <w:r>
        <w:instrText xml:space="preserve"> PAGEREF _Toc335915879 \h </w:instrText>
      </w:r>
      <w:r w:rsidR="00C7347D">
        <w:fldChar w:fldCharType="separate"/>
      </w:r>
      <w:r w:rsidR="00E70A53">
        <w:t>140</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9</w:t>
      </w:r>
      <w:r>
        <w:noBreakHyphen/>
        <w:t xml:space="preserve">2 </w:t>
      </w:r>
      <w:r>
        <w:rPr>
          <w:rFonts w:asciiTheme="minorHAnsi" w:eastAsiaTheme="minorEastAsia" w:hAnsiTheme="minorHAnsi" w:cstheme="minorBidi"/>
          <w:sz w:val="22"/>
          <w:lang w:eastAsia="en-AU" w:bidi="ar-SA"/>
        </w:rPr>
        <w:tab/>
      </w:r>
      <w:r>
        <w:t>Centrelink staff survey, primary occupation</w:t>
      </w:r>
      <w:r>
        <w:tab/>
      </w:r>
      <w:r w:rsidR="00C7347D">
        <w:fldChar w:fldCharType="begin"/>
      </w:r>
      <w:r>
        <w:instrText xml:space="preserve"> PAGEREF _Toc335915880 \h </w:instrText>
      </w:r>
      <w:r w:rsidR="00C7347D">
        <w:fldChar w:fldCharType="separate"/>
      </w:r>
      <w:r w:rsidR="00E70A53">
        <w:t>141</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9</w:t>
      </w:r>
      <w:r>
        <w:noBreakHyphen/>
        <w:t xml:space="preserve">3 </w:t>
      </w:r>
      <w:r>
        <w:rPr>
          <w:rFonts w:asciiTheme="minorHAnsi" w:eastAsiaTheme="minorEastAsia" w:hAnsiTheme="minorHAnsi" w:cstheme="minorBidi"/>
          <w:sz w:val="22"/>
          <w:lang w:eastAsia="en-AU" w:bidi="ar-SA"/>
        </w:rPr>
        <w:tab/>
      </w:r>
      <w:r>
        <w:t>Centrelink staff survey, location of employment</w:t>
      </w:r>
      <w:r>
        <w:tab/>
      </w:r>
      <w:r w:rsidR="00C7347D">
        <w:fldChar w:fldCharType="begin"/>
      </w:r>
      <w:r>
        <w:instrText xml:space="preserve"> PAGEREF _Toc335915881 \h </w:instrText>
      </w:r>
      <w:r w:rsidR="00C7347D">
        <w:fldChar w:fldCharType="separate"/>
      </w:r>
      <w:r w:rsidR="00E70A53">
        <w:t>141</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9</w:t>
      </w:r>
      <w:r>
        <w:noBreakHyphen/>
        <w:t xml:space="preserve">4 </w:t>
      </w:r>
      <w:r>
        <w:rPr>
          <w:rFonts w:asciiTheme="minorHAnsi" w:eastAsiaTheme="minorEastAsia" w:hAnsiTheme="minorHAnsi" w:cstheme="minorBidi"/>
          <w:sz w:val="22"/>
          <w:lang w:eastAsia="en-AU" w:bidi="ar-SA"/>
        </w:rPr>
        <w:tab/>
      </w:r>
      <w:r>
        <w:t>Extent of involvement with income management</w:t>
      </w:r>
      <w:r>
        <w:tab/>
      </w:r>
      <w:r w:rsidR="00C7347D">
        <w:fldChar w:fldCharType="begin"/>
      </w:r>
      <w:r>
        <w:instrText xml:space="preserve"> PAGEREF _Toc335915882 \h </w:instrText>
      </w:r>
      <w:r w:rsidR="00C7347D">
        <w:fldChar w:fldCharType="separate"/>
      </w:r>
      <w:r w:rsidR="00E70A53">
        <w:t>142</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9</w:t>
      </w:r>
      <w:r>
        <w:noBreakHyphen/>
        <w:t xml:space="preserve">5 </w:t>
      </w:r>
      <w:r>
        <w:rPr>
          <w:rFonts w:asciiTheme="minorHAnsi" w:eastAsiaTheme="minorEastAsia" w:hAnsiTheme="minorHAnsi" w:cstheme="minorBidi"/>
          <w:sz w:val="22"/>
          <w:lang w:eastAsia="en-AU" w:bidi="ar-SA"/>
        </w:rPr>
        <w:tab/>
      </w:r>
      <w:r>
        <w:t>Number of qualitative interviews and case studies by service type</w:t>
      </w:r>
      <w:r>
        <w:tab/>
      </w:r>
      <w:r w:rsidR="00C7347D">
        <w:fldChar w:fldCharType="begin"/>
      </w:r>
      <w:r>
        <w:instrText xml:space="preserve"> PAGEREF _Toc335915883 \h </w:instrText>
      </w:r>
      <w:r w:rsidR="00C7347D">
        <w:fldChar w:fldCharType="separate"/>
      </w:r>
      <w:r w:rsidR="00E70A53">
        <w:t>143</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9</w:t>
      </w:r>
      <w:r>
        <w:noBreakHyphen/>
        <w:t xml:space="preserve">6 </w:t>
      </w:r>
      <w:r>
        <w:rPr>
          <w:rFonts w:asciiTheme="minorHAnsi" w:eastAsiaTheme="minorEastAsia" w:hAnsiTheme="minorHAnsi" w:cstheme="minorBidi"/>
          <w:sz w:val="22"/>
          <w:lang w:eastAsia="en-AU" w:bidi="ar-SA"/>
        </w:rPr>
        <w:tab/>
      </w:r>
      <w:r>
        <w:t>Centrelink staff perceptions of how well clients are informed about and understand income management</w:t>
      </w:r>
      <w:r>
        <w:tab/>
      </w:r>
      <w:r w:rsidR="00C7347D">
        <w:fldChar w:fldCharType="begin"/>
      </w:r>
      <w:r>
        <w:instrText xml:space="preserve"> PAGEREF _Toc335915884 \h </w:instrText>
      </w:r>
      <w:r w:rsidR="00C7347D">
        <w:fldChar w:fldCharType="separate"/>
      </w:r>
      <w:r w:rsidR="00E70A53">
        <w:t>145</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9</w:t>
      </w:r>
      <w:r>
        <w:noBreakHyphen/>
        <w:t>7</w:t>
      </w:r>
      <w:r>
        <w:rPr>
          <w:rFonts w:asciiTheme="minorHAnsi" w:eastAsiaTheme="minorEastAsia" w:hAnsiTheme="minorHAnsi" w:cstheme="minorBidi"/>
          <w:sz w:val="22"/>
          <w:lang w:eastAsia="en-AU" w:bidi="ar-SA"/>
        </w:rPr>
        <w:tab/>
      </w:r>
      <w:r>
        <w:t>Usefulness of approaches used by Centrelink staff to help clients better understand income management</w:t>
      </w:r>
      <w:r>
        <w:tab/>
      </w:r>
      <w:r w:rsidR="00C7347D">
        <w:fldChar w:fldCharType="begin"/>
      </w:r>
      <w:r>
        <w:instrText xml:space="preserve"> PAGEREF _Toc335915885 \h </w:instrText>
      </w:r>
      <w:r w:rsidR="00C7347D">
        <w:fldChar w:fldCharType="separate"/>
      </w:r>
      <w:r w:rsidR="00E70A53">
        <w:t>146</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9</w:t>
      </w:r>
      <w:r>
        <w:noBreakHyphen/>
        <w:t xml:space="preserve">8 </w:t>
      </w:r>
      <w:r>
        <w:rPr>
          <w:rFonts w:asciiTheme="minorHAnsi" w:eastAsiaTheme="minorEastAsia" w:hAnsiTheme="minorHAnsi" w:cstheme="minorBidi"/>
          <w:sz w:val="22"/>
          <w:lang w:eastAsia="en-AU" w:bidi="ar-SA"/>
        </w:rPr>
        <w:tab/>
      </w:r>
      <w:r>
        <w:t>Centrelink staff reports whether they had received information and training about NIM</w:t>
      </w:r>
      <w:r>
        <w:tab/>
      </w:r>
      <w:r w:rsidR="00C7347D">
        <w:fldChar w:fldCharType="begin"/>
      </w:r>
      <w:r>
        <w:instrText xml:space="preserve"> PAGEREF _Toc335915886 \h </w:instrText>
      </w:r>
      <w:r w:rsidR="00C7347D">
        <w:fldChar w:fldCharType="separate"/>
      </w:r>
      <w:r w:rsidR="00E70A53">
        <w:t>150</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9</w:t>
      </w:r>
      <w:r>
        <w:noBreakHyphen/>
        <w:t xml:space="preserve">9 </w:t>
      </w:r>
      <w:r>
        <w:rPr>
          <w:rFonts w:asciiTheme="minorHAnsi" w:eastAsiaTheme="minorEastAsia" w:hAnsiTheme="minorHAnsi" w:cstheme="minorBidi"/>
          <w:sz w:val="22"/>
          <w:lang w:eastAsia="en-AU" w:bidi="ar-SA"/>
        </w:rPr>
        <w:tab/>
      </w:r>
      <w:r>
        <w:t>Whether Centrelink staff have relevant tools to work with income management clients</w:t>
      </w:r>
      <w:r>
        <w:tab/>
      </w:r>
      <w:r w:rsidR="00C7347D">
        <w:fldChar w:fldCharType="begin"/>
      </w:r>
      <w:r>
        <w:instrText xml:space="preserve"> PAGEREF _Toc335915887 \h </w:instrText>
      </w:r>
      <w:r w:rsidR="00C7347D">
        <w:fldChar w:fldCharType="separate"/>
      </w:r>
      <w:r w:rsidR="00E70A53">
        <w:t>151</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9</w:t>
      </w:r>
      <w:r>
        <w:noBreakHyphen/>
        <w:t>10 Centrelink staff perceptions of availability of different service types to assist their clients</w:t>
      </w:r>
      <w:r>
        <w:tab/>
      </w:r>
      <w:r w:rsidR="00C7347D">
        <w:fldChar w:fldCharType="begin"/>
      </w:r>
      <w:r>
        <w:instrText xml:space="preserve"> PAGEREF _Toc335915888 \h </w:instrText>
      </w:r>
      <w:r w:rsidR="00C7347D">
        <w:fldChar w:fldCharType="separate"/>
      </w:r>
      <w:r w:rsidR="00E70A53">
        <w:t>153</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9</w:t>
      </w:r>
      <w:r>
        <w:noBreakHyphen/>
        <w:t>11 Centrelink staff views about why people go onto Voluntary Income Management</w:t>
      </w:r>
      <w:r>
        <w:tab/>
      </w:r>
      <w:r w:rsidR="00C7347D">
        <w:fldChar w:fldCharType="begin"/>
      </w:r>
      <w:r>
        <w:instrText xml:space="preserve"> PAGEREF _Toc335915889 \h </w:instrText>
      </w:r>
      <w:r w:rsidR="00C7347D">
        <w:fldChar w:fldCharType="separate"/>
      </w:r>
      <w:r w:rsidR="00E70A53">
        <w:t>155</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9</w:t>
      </w:r>
      <w:r>
        <w:noBreakHyphen/>
        <w:t xml:space="preserve">12 </w:t>
      </w:r>
      <w:r>
        <w:rPr>
          <w:rFonts w:asciiTheme="minorHAnsi" w:eastAsiaTheme="minorEastAsia" w:hAnsiTheme="minorHAnsi" w:cstheme="minorBidi"/>
          <w:sz w:val="22"/>
          <w:lang w:eastAsia="en-AU" w:bidi="ar-SA"/>
        </w:rPr>
        <w:tab/>
      </w:r>
      <w:r>
        <w:t>Centrelink staff perceptions of the impact of NIM on aspects of their clients’ health and wellbeing</w:t>
      </w:r>
      <w:r>
        <w:tab/>
      </w:r>
      <w:r w:rsidR="00C7347D">
        <w:fldChar w:fldCharType="begin"/>
      </w:r>
      <w:r>
        <w:instrText xml:space="preserve"> PAGEREF _Toc335915890 \h </w:instrText>
      </w:r>
      <w:r w:rsidR="00C7347D">
        <w:fldChar w:fldCharType="separate"/>
      </w:r>
      <w:r w:rsidR="00E70A53">
        <w:t>163</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9</w:t>
      </w:r>
      <w:r>
        <w:noBreakHyphen/>
        <w:t xml:space="preserve">13 </w:t>
      </w:r>
      <w:r>
        <w:rPr>
          <w:rFonts w:asciiTheme="minorHAnsi" w:eastAsiaTheme="minorEastAsia" w:hAnsiTheme="minorHAnsi" w:cstheme="minorBidi"/>
          <w:sz w:val="22"/>
          <w:lang w:eastAsia="en-AU" w:bidi="ar-SA"/>
        </w:rPr>
        <w:tab/>
      </w:r>
      <w:r>
        <w:t>Centrelink staff perceptions of the impact of NIM on aspects of their clients’ health and wellbeing</w:t>
      </w:r>
      <w:r>
        <w:tab/>
      </w:r>
      <w:r w:rsidR="00C7347D">
        <w:fldChar w:fldCharType="begin"/>
      </w:r>
      <w:r>
        <w:instrText xml:space="preserve"> PAGEREF _Toc335915891 \h </w:instrText>
      </w:r>
      <w:r w:rsidR="00C7347D">
        <w:fldChar w:fldCharType="separate"/>
      </w:r>
      <w:r w:rsidR="00E70A53">
        <w:t>165</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9</w:t>
      </w:r>
      <w:r>
        <w:noBreakHyphen/>
        <w:t xml:space="preserve">14 </w:t>
      </w:r>
      <w:r>
        <w:rPr>
          <w:rFonts w:asciiTheme="minorHAnsi" w:eastAsiaTheme="minorEastAsia" w:hAnsiTheme="minorHAnsi" w:cstheme="minorBidi"/>
          <w:sz w:val="22"/>
          <w:lang w:eastAsia="en-AU" w:bidi="ar-SA"/>
        </w:rPr>
        <w:tab/>
      </w:r>
      <w:r>
        <w:t>Centrelink staff perceptions of the impact of NIM on aspects of community and family wellbeing</w:t>
      </w:r>
      <w:r>
        <w:tab/>
      </w:r>
      <w:r w:rsidR="00C7347D">
        <w:fldChar w:fldCharType="begin"/>
      </w:r>
      <w:r>
        <w:instrText xml:space="preserve"> PAGEREF _Toc335915892 \h </w:instrText>
      </w:r>
      <w:r w:rsidR="00C7347D">
        <w:fldChar w:fldCharType="separate"/>
      </w:r>
      <w:r w:rsidR="00E70A53">
        <w:t>166</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9</w:t>
      </w:r>
      <w:r>
        <w:noBreakHyphen/>
        <w:t xml:space="preserve">15 </w:t>
      </w:r>
      <w:r>
        <w:rPr>
          <w:rFonts w:asciiTheme="minorHAnsi" w:eastAsiaTheme="minorEastAsia" w:hAnsiTheme="minorHAnsi" w:cstheme="minorBidi"/>
          <w:sz w:val="22"/>
          <w:lang w:eastAsia="en-AU" w:bidi="ar-SA"/>
        </w:rPr>
        <w:tab/>
      </w:r>
      <w:r>
        <w:t>Merchant interviews by business type and contract type</w:t>
      </w:r>
      <w:r>
        <w:tab/>
      </w:r>
      <w:r w:rsidR="00C7347D">
        <w:fldChar w:fldCharType="begin"/>
      </w:r>
      <w:r>
        <w:instrText xml:space="preserve"> PAGEREF _Toc335915893 \h </w:instrText>
      </w:r>
      <w:r w:rsidR="00C7347D">
        <w:fldChar w:fldCharType="separate"/>
      </w:r>
      <w:r w:rsidR="00E70A53">
        <w:t>170</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lastRenderedPageBreak/>
        <w:t>Table 9</w:t>
      </w:r>
      <w:r>
        <w:noBreakHyphen/>
        <w:t xml:space="preserve">16 </w:t>
      </w:r>
      <w:r>
        <w:rPr>
          <w:rFonts w:asciiTheme="minorHAnsi" w:eastAsiaTheme="minorEastAsia" w:hAnsiTheme="minorHAnsi" w:cstheme="minorBidi"/>
          <w:sz w:val="22"/>
          <w:lang w:eastAsia="en-AU" w:bidi="ar-SA"/>
        </w:rPr>
        <w:tab/>
      </w:r>
      <w:r>
        <w:t>Merchants’ perceptions about impacts of NIM on their customers</w:t>
      </w:r>
      <w:r>
        <w:tab/>
      </w:r>
      <w:r w:rsidR="00C7347D">
        <w:fldChar w:fldCharType="begin"/>
      </w:r>
      <w:r>
        <w:instrText xml:space="preserve"> PAGEREF _Toc335915894 \h </w:instrText>
      </w:r>
      <w:r w:rsidR="00C7347D">
        <w:fldChar w:fldCharType="separate"/>
      </w:r>
      <w:r w:rsidR="00E70A53">
        <w:t>171</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10</w:t>
      </w:r>
      <w:r>
        <w:noBreakHyphen/>
        <w:t>1</w:t>
      </w:r>
      <w:r>
        <w:rPr>
          <w:rFonts w:asciiTheme="minorHAnsi" w:eastAsiaTheme="minorEastAsia" w:hAnsiTheme="minorHAnsi" w:cstheme="minorBidi"/>
          <w:sz w:val="22"/>
          <w:lang w:eastAsia="en-AU" w:bidi="ar-SA"/>
        </w:rPr>
        <w:tab/>
      </w:r>
      <w:r>
        <w:t>Northern Territory LSNIM survey participants and Northern Territory income management population, key characteristics</w:t>
      </w:r>
      <w:r>
        <w:tab/>
      </w:r>
      <w:r w:rsidR="00C7347D">
        <w:fldChar w:fldCharType="begin"/>
      </w:r>
      <w:r>
        <w:instrText xml:space="preserve"> PAGEREF _Toc335915895 \h </w:instrText>
      </w:r>
      <w:r w:rsidR="00C7347D">
        <w:fldChar w:fldCharType="separate"/>
      </w:r>
      <w:r w:rsidR="00E70A53">
        <w:t>180</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10</w:t>
      </w:r>
      <w:r>
        <w:noBreakHyphen/>
        <w:t>2</w:t>
      </w:r>
      <w:r>
        <w:rPr>
          <w:rFonts w:asciiTheme="minorHAnsi" w:eastAsiaTheme="minorEastAsia" w:hAnsiTheme="minorHAnsi" w:cstheme="minorBidi"/>
          <w:sz w:val="22"/>
          <w:lang w:eastAsia="en-AU" w:bidi="ar-SA"/>
        </w:rPr>
        <w:tab/>
      </w:r>
      <w:r>
        <w:t>LSNIM Northern Territory and contrast sites, survey participants – demographic and socio-economic characteristics</w:t>
      </w:r>
      <w:r>
        <w:tab/>
      </w:r>
      <w:r w:rsidR="00C7347D">
        <w:fldChar w:fldCharType="begin"/>
      </w:r>
      <w:r>
        <w:instrText xml:space="preserve"> PAGEREF _Toc335915896 \h </w:instrText>
      </w:r>
      <w:r w:rsidR="00C7347D">
        <w:fldChar w:fldCharType="separate"/>
      </w:r>
      <w:r w:rsidR="00E70A53">
        <w:t>182</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10</w:t>
      </w:r>
      <w:r>
        <w:noBreakHyphen/>
        <w:t>3</w:t>
      </w:r>
      <w:r>
        <w:rPr>
          <w:rFonts w:asciiTheme="minorHAnsi" w:eastAsiaTheme="minorEastAsia" w:hAnsiTheme="minorHAnsi" w:cstheme="minorBidi"/>
          <w:sz w:val="22"/>
          <w:lang w:eastAsia="en-AU" w:bidi="ar-SA"/>
        </w:rPr>
        <w:tab/>
      </w:r>
      <w:r>
        <w:t>LSNIM Northern Territory and contrast sites; Is alcohol/drugs/gambling a problem for your family? by type of income management</w:t>
      </w:r>
      <w:r>
        <w:tab/>
      </w:r>
      <w:r w:rsidR="00C7347D">
        <w:fldChar w:fldCharType="begin"/>
      </w:r>
      <w:r>
        <w:instrText xml:space="preserve"> PAGEREF _Toc335915897 \h </w:instrText>
      </w:r>
      <w:r w:rsidR="00C7347D">
        <w:fldChar w:fldCharType="separate"/>
      </w:r>
      <w:r w:rsidR="00E70A53">
        <w:t>186</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10</w:t>
      </w:r>
      <w:r>
        <w:noBreakHyphen/>
        <w:t>4:</w:t>
      </w:r>
      <w:r>
        <w:rPr>
          <w:rFonts w:asciiTheme="minorHAnsi" w:eastAsiaTheme="minorEastAsia" w:hAnsiTheme="minorHAnsi" w:cstheme="minorBidi"/>
          <w:sz w:val="22"/>
          <w:lang w:eastAsia="en-AU" w:bidi="ar-SA"/>
        </w:rPr>
        <w:tab/>
      </w:r>
      <w:r>
        <w:t>Northern Territory LSNIM participants, whether subject to NTER IM or currently live in NTER prescribed communities</w:t>
      </w:r>
      <w:r>
        <w:tab/>
      </w:r>
      <w:r w:rsidR="00C7347D">
        <w:fldChar w:fldCharType="begin"/>
      </w:r>
      <w:r>
        <w:instrText xml:space="preserve"> PAGEREF _Toc335915898 \h </w:instrText>
      </w:r>
      <w:r w:rsidR="00C7347D">
        <w:fldChar w:fldCharType="separate"/>
      </w:r>
      <w:r w:rsidR="00E70A53">
        <w:t>188</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10</w:t>
      </w:r>
      <w:r>
        <w:noBreakHyphen/>
        <w:t>5</w:t>
      </w:r>
      <w:r>
        <w:rPr>
          <w:rFonts w:asciiTheme="minorHAnsi" w:eastAsiaTheme="minorEastAsia" w:hAnsiTheme="minorHAnsi" w:cstheme="minorBidi"/>
          <w:sz w:val="22"/>
          <w:lang w:eastAsia="en-AU" w:bidi="ar-SA"/>
        </w:rPr>
        <w:tab/>
      </w:r>
      <w:r>
        <w:t>LSNIM Northern Territory and contrast sites, incidence of financial problems prior to income management and change since income management/last year</w:t>
      </w:r>
      <w:r>
        <w:tab/>
      </w:r>
      <w:r w:rsidR="00C7347D">
        <w:fldChar w:fldCharType="begin"/>
      </w:r>
      <w:r>
        <w:instrText xml:space="preserve"> PAGEREF _Toc335915899 \h </w:instrText>
      </w:r>
      <w:r w:rsidR="00C7347D">
        <w:fldChar w:fldCharType="separate"/>
      </w:r>
      <w:r w:rsidR="00E70A53">
        <w:t>190</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10</w:t>
      </w:r>
      <w:r>
        <w:noBreakHyphen/>
        <w:t>6</w:t>
      </w:r>
      <w:r>
        <w:rPr>
          <w:rFonts w:asciiTheme="minorHAnsi" w:eastAsiaTheme="minorEastAsia" w:hAnsiTheme="minorHAnsi" w:cstheme="minorBidi"/>
          <w:sz w:val="22"/>
          <w:lang w:eastAsia="en-AU" w:bidi="ar-SA"/>
        </w:rPr>
        <w:tab/>
      </w:r>
      <w:r>
        <w:t>Northern Territory Indigenous LSNIM participants on compulsory measures, whether they ran out of money for food before and after income management</w:t>
      </w:r>
      <w:r>
        <w:tab/>
      </w:r>
      <w:r w:rsidR="00C7347D">
        <w:fldChar w:fldCharType="begin"/>
      </w:r>
      <w:r>
        <w:instrText xml:space="preserve"> PAGEREF _Toc335915900 \h </w:instrText>
      </w:r>
      <w:r w:rsidR="00C7347D">
        <w:fldChar w:fldCharType="separate"/>
      </w:r>
      <w:r w:rsidR="00E70A53">
        <w:t>191</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10</w:t>
      </w:r>
      <w:r>
        <w:noBreakHyphen/>
        <w:t>7</w:t>
      </w:r>
      <w:r>
        <w:rPr>
          <w:rFonts w:asciiTheme="minorHAnsi" w:eastAsiaTheme="minorEastAsia" w:hAnsiTheme="minorHAnsi" w:cstheme="minorBidi"/>
          <w:sz w:val="22"/>
          <w:lang w:eastAsia="en-AU" w:bidi="ar-SA"/>
        </w:rPr>
        <w:tab/>
      </w:r>
      <w:r>
        <w:t>LSNIM Northern Territory and contrast site survey participants, impact of income management/change in last year on aspects of financial management</w:t>
      </w:r>
      <w:r>
        <w:tab/>
      </w:r>
      <w:r w:rsidR="00C7347D">
        <w:fldChar w:fldCharType="begin"/>
      </w:r>
      <w:r>
        <w:instrText xml:space="preserve"> PAGEREF _Toc335915901 \h </w:instrText>
      </w:r>
      <w:r w:rsidR="00C7347D">
        <w:fldChar w:fldCharType="separate"/>
      </w:r>
      <w:r w:rsidR="00E70A53">
        <w:t>195</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10</w:t>
      </w:r>
      <w:r>
        <w:noBreakHyphen/>
        <w:t>8</w:t>
      </w:r>
      <w:r>
        <w:rPr>
          <w:rFonts w:asciiTheme="minorHAnsi" w:eastAsiaTheme="minorEastAsia" w:hAnsiTheme="minorHAnsi" w:cstheme="minorBidi"/>
          <w:sz w:val="22"/>
          <w:lang w:eastAsia="en-AU" w:bidi="ar-SA"/>
        </w:rPr>
        <w:tab/>
      </w:r>
      <w:r>
        <w:t>LSNIM Indigenous persons by type of income management, association between control over money and ease of managing money</w:t>
      </w:r>
      <w:r>
        <w:tab/>
      </w:r>
      <w:r w:rsidR="00C7347D">
        <w:fldChar w:fldCharType="begin"/>
      </w:r>
      <w:r>
        <w:instrText xml:space="preserve"> PAGEREF _Toc335915902 \h </w:instrText>
      </w:r>
      <w:r w:rsidR="00C7347D">
        <w:fldChar w:fldCharType="separate"/>
      </w:r>
      <w:r w:rsidR="00E70A53">
        <w:t>200</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10</w:t>
      </w:r>
      <w:r>
        <w:noBreakHyphen/>
        <w:t>9</w:t>
      </w:r>
      <w:r>
        <w:rPr>
          <w:rFonts w:asciiTheme="minorHAnsi" w:eastAsiaTheme="minorEastAsia" w:hAnsiTheme="minorHAnsi" w:cstheme="minorBidi"/>
          <w:sz w:val="22"/>
          <w:lang w:eastAsia="en-AU" w:bidi="ar-SA"/>
        </w:rPr>
        <w:tab/>
      </w:r>
      <w:r>
        <w:t>Attitudes to income management/ Centrelink Payments, Northern Territory and contrast site survey participants</w:t>
      </w:r>
      <w:r>
        <w:tab/>
      </w:r>
      <w:r w:rsidR="00C7347D">
        <w:fldChar w:fldCharType="begin"/>
      </w:r>
      <w:r>
        <w:instrText xml:space="preserve"> PAGEREF _Toc335915903 \h </w:instrText>
      </w:r>
      <w:r w:rsidR="00C7347D">
        <w:fldChar w:fldCharType="separate"/>
      </w:r>
      <w:r w:rsidR="00E70A53">
        <w:t>203</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10</w:t>
      </w:r>
      <w:r>
        <w:noBreakHyphen/>
        <w:t>10</w:t>
      </w:r>
      <w:r>
        <w:rPr>
          <w:rFonts w:asciiTheme="minorHAnsi" w:eastAsiaTheme="minorEastAsia" w:hAnsiTheme="minorHAnsi" w:cstheme="minorBidi"/>
          <w:sz w:val="22"/>
          <w:lang w:eastAsia="en-AU" w:bidi="ar-SA"/>
        </w:rPr>
        <w:tab/>
      </w:r>
      <w:r>
        <w:t>LSNIM survey participants, parameter estimates for income management status from multivariate analysis, various outcome measures</w:t>
      </w:r>
      <w:r>
        <w:tab/>
      </w:r>
      <w:r w:rsidR="00C7347D">
        <w:fldChar w:fldCharType="begin"/>
      </w:r>
      <w:r>
        <w:instrText xml:space="preserve"> PAGEREF _Toc335915904 \h </w:instrText>
      </w:r>
      <w:r w:rsidR="00C7347D">
        <w:fldChar w:fldCharType="separate"/>
      </w:r>
      <w:r w:rsidR="00E70A53">
        <w:t>208</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10</w:t>
      </w:r>
      <w:r>
        <w:noBreakHyphen/>
        <w:t>11</w:t>
      </w:r>
      <w:r>
        <w:rPr>
          <w:rFonts w:asciiTheme="minorHAnsi" w:eastAsiaTheme="minorEastAsia" w:hAnsiTheme="minorHAnsi" w:cstheme="minorBidi"/>
          <w:sz w:val="22"/>
          <w:lang w:eastAsia="en-AU" w:bidi="ar-SA"/>
        </w:rPr>
        <w:tab/>
      </w:r>
      <w:r>
        <w:t>LSNIM, Northern Territory income management and contrast sites, change in family problems in the past year</w:t>
      </w:r>
      <w:r>
        <w:tab/>
      </w:r>
      <w:r w:rsidR="00C7347D">
        <w:fldChar w:fldCharType="begin"/>
      </w:r>
      <w:r>
        <w:instrText xml:space="preserve"> PAGEREF _Toc335915905 \h </w:instrText>
      </w:r>
      <w:r w:rsidR="00C7347D">
        <w:fldChar w:fldCharType="separate"/>
      </w:r>
      <w:r w:rsidR="00E70A53">
        <w:t>210</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10</w:t>
      </w:r>
      <w:r>
        <w:noBreakHyphen/>
        <w:t xml:space="preserve">12 </w:t>
      </w:r>
      <w:r>
        <w:rPr>
          <w:rFonts w:asciiTheme="minorHAnsi" w:eastAsiaTheme="minorEastAsia" w:hAnsiTheme="minorHAnsi" w:cstheme="minorBidi"/>
          <w:sz w:val="22"/>
          <w:lang w:eastAsia="en-AU" w:bidi="ar-SA"/>
        </w:rPr>
        <w:tab/>
      </w:r>
      <w:r>
        <w:t>Northern Territory and contrast site survey participants, changes in children’s wellbeing since the introduction of income management</w:t>
      </w:r>
      <w:r>
        <w:tab/>
      </w:r>
      <w:r w:rsidR="00C7347D">
        <w:fldChar w:fldCharType="begin"/>
      </w:r>
      <w:r>
        <w:instrText xml:space="preserve"> PAGEREF _Toc335915906 \h </w:instrText>
      </w:r>
      <w:r w:rsidR="00C7347D">
        <w:fldChar w:fldCharType="separate"/>
      </w:r>
      <w:r w:rsidR="00E70A53">
        <w:t>212</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10</w:t>
      </w:r>
      <w:r>
        <w:noBreakHyphen/>
        <w:t>13</w:t>
      </w:r>
      <w:r>
        <w:rPr>
          <w:rFonts w:asciiTheme="minorHAnsi" w:eastAsiaTheme="minorEastAsia" w:hAnsiTheme="minorHAnsi" w:cstheme="minorBidi"/>
          <w:sz w:val="22"/>
          <w:lang w:eastAsia="en-AU" w:bidi="ar-SA"/>
        </w:rPr>
        <w:tab/>
      </w:r>
      <w:r>
        <w:t>Northern Territory Indigenous survey participants, whether they would recommend income management by assessment of impact</w:t>
      </w:r>
      <w:r>
        <w:tab/>
      </w:r>
      <w:r w:rsidR="00C7347D">
        <w:fldChar w:fldCharType="begin"/>
      </w:r>
      <w:r>
        <w:instrText xml:space="preserve"> PAGEREF _Toc335915907 \h </w:instrText>
      </w:r>
      <w:r w:rsidR="00C7347D">
        <w:fldChar w:fldCharType="separate"/>
      </w:r>
      <w:r w:rsidR="00E70A53">
        <w:t>218</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12</w:t>
      </w:r>
      <w:r>
        <w:noBreakHyphen/>
        <w:t>1</w:t>
      </w:r>
      <w:r>
        <w:rPr>
          <w:rFonts w:asciiTheme="minorHAnsi" w:eastAsiaTheme="minorEastAsia" w:hAnsiTheme="minorHAnsi" w:cstheme="minorBidi"/>
          <w:sz w:val="22"/>
          <w:lang w:eastAsia="en-AU" w:bidi="ar-SA"/>
        </w:rPr>
        <w:tab/>
      </w:r>
      <w:r>
        <w:t>Indigenous Compulsory Income Management payment recipients below Age Pension eligibility age: proportion income managed by age, presence of children and current payment duration, September 2011</w:t>
      </w:r>
      <w:r>
        <w:tab/>
      </w:r>
      <w:r w:rsidR="00C7347D">
        <w:fldChar w:fldCharType="begin"/>
      </w:r>
      <w:r>
        <w:instrText xml:space="preserve"> PAGEREF _Toc335915908 \h </w:instrText>
      </w:r>
      <w:r w:rsidR="00C7347D">
        <w:fldChar w:fldCharType="separate"/>
      </w:r>
      <w:r w:rsidR="00E70A53">
        <w:t>240</w:t>
      </w:r>
      <w:r w:rsidR="00C7347D">
        <w:fldChar w:fldCharType="end"/>
      </w:r>
    </w:p>
    <w:p w:rsidR="007D7E45" w:rsidRDefault="007D7E45">
      <w:pPr>
        <w:pStyle w:val="TableofFigures"/>
        <w:rPr>
          <w:rFonts w:asciiTheme="minorHAnsi" w:eastAsiaTheme="minorEastAsia" w:hAnsiTheme="minorHAnsi" w:cstheme="minorBidi"/>
          <w:sz w:val="22"/>
          <w:lang w:eastAsia="en-AU" w:bidi="ar-SA"/>
        </w:rPr>
      </w:pPr>
      <w:r>
        <w:t>Table 12</w:t>
      </w:r>
      <w:r>
        <w:noBreakHyphen/>
        <w:t>2</w:t>
      </w:r>
      <w:r>
        <w:rPr>
          <w:rFonts w:asciiTheme="minorHAnsi" w:eastAsiaTheme="minorEastAsia" w:hAnsiTheme="minorHAnsi" w:cstheme="minorBidi"/>
          <w:sz w:val="22"/>
          <w:lang w:eastAsia="en-AU" w:bidi="ar-SA"/>
        </w:rPr>
        <w:tab/>
      </w:r>
      <w:r>
        <w:t>Non-Indigenous Compulsory Income Management payment recipients below Age Pension eligibility age: proportion income managed by age, presence of children and current payment duration, September 2011</w:t>
      </w:r>
      <w:r>
        <w:tab/>
      </w:r>
      <w:r w:rsidR="00C7347D">
        <w:fldChar w:fldCharType="begin"/>
      </w:r>
      <w:r>
        <w:instrText xml:space="preserve"> PAGEREF _Toc335915909 \h </w:instrText>
      </w:r>
      <w:r w:rsidR="00C7347D">
        <w:fldChar w:fldCharType="separate"/>
      </w:r>
      <w:r w:rsidR="00E70A53">
        <w:t>241</w:t>
      </w:r>
      <w:r w:rsidR="00C7347D">
        <w:fldChar w:fldCharType="end"/>
      </w:r>
    </w:p>
    <w:p w:rsidR="00FB51C2" w:rsidRPr="005911E2" w:rsidRDefault="00C7347D" w:rsidP="00015F3C">
      <w:pPr>
        <w:pStyle w:val="TableofFigures"/>
        <w:contextualSpacing/>
      </w:pPr>
      <w:r w:rsidRPr="005911E2">
        <w:fldChar w:fldCharType="end"/>
      </w:r>
    </w:p>
    <w:p w:rsidR="00FB51C2" w:rsidRPr="005911E2" w:rsidRDefault="00FC7099" w:rsidP="00BD6DFD">
      <w:pPr>
        <w:pStyle w:val="Heading0"/>
      </w:pPr>
      <w:bookmarkStart w:id="20" w:name="_Toc328601451"/>
      <w:bookmarkStart w:id="21" w:name="_Toc329870333"/>
      <w:bookmarkStart w:id="22" w:name="_Toc335915719"/>
      <w:r w:rsidRPr="005911E2">
        <w:lastRenderedPageBreak/>
        <w:t>Table of Figures</w:t>
      </w:r>
      <w:bookmarkEnd w:id="20"/>
      <w:bookmarkEnd w:id="21"/>
      <w:bookmarkEnd w:id="22"/>
    </w:p>
    <w:p w:rsidR="007D7E45" w:rsidRDefault="00C7347D">
      <w:pPr>
        <w:pStyle w:val="TableofFigures"/>
        <w:rPr>
          <w:rFonts w:asciiTheme="minorHAnsi" w:eastAsiaTheme="minorEastAsia" w:hAnsiTheme="minorHAnsi" w:cstheme="minorBidi"/>
          <w:sz w:val="22"/>
          <w:lang w:eastAsia="en-AU" w:bidi="ar-SA"/>
        </w:rPr>
      </w:pPr>
      <w:r w:rsidRPr="005911E2">
        <w:fldChar w:fldCharType="begin"/>
      </w:r>
      <w:r w:rsidR="00FB51C2" w:rsidRPr="005911E2">
        <w:instrText xml:space="preserve"> TOC \h \z \c "Figure" </w:instrText>
      </w:r>
      <w:r w:rsidRPr="005911E2">
        <w:fldChar w:fldCharType="separate"/>
      </w:r>
      <w:hyperlink w:anchor="_Toc335915910" w:history="1">
        <w:r w:rsidR="007D7E45" w:rsidRPr="004E0FDD">
          <w:rPr>
            <w:rStyle w:val="Hyperlink"/>
          </w:rPr>
          <w:t>Figure 2</w:t>
        </w:r>
        <w:r w:rsidR="007D7E45" w:rsidRPr="004E0FDD">
          <w:rPr>
            <w:rStyle w:val="Hyperlink"/>
          </w:rPr>
          <w:noBreakHyphen/>
          <w:t>1</w:t>
        </w:r>
        <w:r w:rsidR="007D7E45">
          <w:rPr>
            <w:rFonts w:asciiTheme="minorHAnsi" w:eastAsiaTheme="minorEastAsia" w:hAnsiTheme="minorHAnsi" w:cstheme="minorBidi"/>
            <w:sz w:val="22"/>
            <w:lang w:eastAsia="en-AU" w:bidi="ar-SA"/>
          </w:rPr>
          <w:tab/>
        </w:r>
        <w:r w:rsidR="007D7E45" w:rsidRPr="004E0FDD">
          <w:rPr>
            <w:rStyle w:val="Hyperlink"/>
          </w:rPr>
          <w:t>Map of NTER Prescribed areas, Aboriginal (ALRA) land and community living areas</w:t>
        </w:r>
        <w:r w:rsidR="007D7E45">
          <w:rPr>
            <w:webHidden/>
          </w:rPr>
          <w:tab/>
        </w:r>
        <w:r>
          <w:rPr>
            <w:webHidden/>
          </w:rPr>
          <w:fldChar w:fldCharType="begin"/>
        </w:r>
        <w:r w:rsidR="007D7E45">
          <w:rPr>
            <w:webHidden/>
          </w:rPr>
          <w:instrText xml:space="preserve"> PAGEREF _Toc335915910 \h </w:instrText>
        </w:r>
        <w:r>
          <w:rPr>
            <w:webHidden/>
          </w:rPr>
        </w:r>
        <w:r>
          <w:rPr>
            <w:webHidden/>
          </w:rPr>
          <w:fldChar w:fldCharType="separate"/>
        </w:r>
        <w:r w:rsidR="00E70A53">
          <w:rPr>
            <w:webHidden/>
          </w:rPr>
          <w:t>13</w:t>
        </w:r>
        <w:r>
          <w:rPr>
            <w:webHidden/>
          </w:rPr>
          <w:fldChar w:fldCharType="end"/>
        </w:r>
      </w:hyperlink>
    </w:p>
    <w:p w:rsidR="007D7E45" w:rsidRDefault="008F3A4A">
      <w:pPr>
        <w:pStyle w:val="TableofFigures"/>
        <w:rPr>
          <w:rFonts w:asciiTheme="minorHAnsi" w:eastAsiaTheme="minorEastAsia" w:hAnsiTheme="minorHAnsi" w:cstheme="minorBidi"/>
          <w:sz w:val="22"/>
          <w:lang w:eastAsia="en-AU" w:bidi="ar-SA"/>
        </w:rPr>
      </w:pPr>
      <w:hyperlink w:anchor="_Toc335915911" w:history="1">
        <w:r w:rsidR="007D7E45" w:rsidRPr="004E0FDD">
          <w:rPr>
            <w:rStyle w:val="Hyperlink"/>
          </w:rPr>
          <w:t>Figure 2</w:t>
        </w:r>
        <w:r w:rsidR="007D7E45" w:rsidRPr="004E0FDD">
          <w:rPr>
            <w:rStyle w:val="Hyperlink"/>
          </w:rPr>
          <w:noBreakHyphen/>
          <w:t xml:space="preserve">2 </w:t>
        </w:r>
        <w:r w:rsidR="007D7E45">
          <w:rPr>
            <w:rFonts w:asciiTheme="minorHAnsi" w:eastAsiaTheme="minorEastAsia" w:hAnsiTheme="minorHAnsi" w:cstheme="minorBidi"/>
            <w:sz w:val="22"/>
            <w:lang w:eastAsia="en-AU" w:bidi="ar-SA"/>
          </w:rPr>
          <w:tab/>
        </w:r>
        <w:r w:rsidR="007D7E45" w:rsidRPr="004E0FDD">
          <w:rPr>
            <w:rStyle w:val="Hyperlink"/>
          </w:rPr>
          <w:t>Map of NTER Prescribed areas, town camps</w:t>
        </w:r>
        <w:r w:rsidR="007D7E45">
          <w:rPr>
            <w:webHidden/>
          </w:rPr>
          <w:tab/>
        </w:r>
        <w:r w:rsidR="00C7347D">
          <w:rPr>
            <w:webHidden/>
          </w:rPr>
          <w:fldChar w:fldCharType="begin"/>
        </w:r>
        <w:r w:rsidR="007D7E45">
          <w:rPr>
            <w:webHidden/>
          </w:rPr>
          <w:instrText xml:space="preserve"> PAGEREF _Toc335915911 \h </w:instrText>
        </w:r>
        <w:r w:rsidR="00C7347D">
          <w:rPr>
            <w:webHidden/>
          </w:rPr>
        </w:r>
        <w:r w:rsidR="00C7347D">
          <w:rPr>
            <w:webHidden/>
          </w:rPr>
          <w:fldChar w:fldCharType="separate"/>
        </w:r>
        <w:r w:rsidR="00E70A53">
          <w:rPr>
            <w:webHidden/>
          </w:rPr>
          <w:t>14</w:t>
        </w:r>
        <w:r w:rsidR="00C7347D">
          <w:rPr>
            <w:webHidden/>
          </w:rPr>
          <w:fldChar w:fldCharType="end"/>
        </w:r>
      </w:hyperlink>
    </w:p>
    <w:p w:rsidR="007D7E45" w:rsidRDefault="008F3A4A">
      <w:pPr>
        <w:pStyle w:val="TableofFigures"/>
        <w:rPr>
          <w:rFonts w:asciiTheme="minorHAnsi" w:eastAsiaTheme="minorEastAsia" w:hAnsiTheme="minorHAnsi" w:cstheme="minorBidi"/>
          <w:sz w:val="22"/>
          <w:lang w:eastAsia="en-AU" w:bidi="ar-SA"/>
        </w:rPr>
      </w:pPr>
      <w:hyperlink w:anchor="_Toc335915912" w:history="1">
        <w:r w:rsidR="007D7E45" w:rsidRPr="004E0FDD">
          <w:rPr>
            <w:rStyle w:val="Hyperlink"/>
          </w:rPr>
          <w:t>Figure 2</w:t>
        </w:r>
        <w:r w:rsidR="007D7E45" w:rsidRPr="004E0FDD">
          <w:rPr>
            <w:rStyle w:val="Hyperlink"/>
          </w:rPr>
          <w:noBreakHyphen/>
          <w:t xml:space="preserve">3 </w:t>
        </w:r>
        <w:r w:rsidR="007D7E45">
          <w:rPr>
            <w:rFonts w:asciiTheme="minorHAnsi" w:eastAsiaTheme="minorEastAsia" w:hAnsiTheme="minorHAnsi" w:cstheme="minorBidi"/>
            <w:sz w:val="22"/>
            <w:lang w:eastAsia="en-AU" w:bidi="ar-SA"/>
          </w:rPr>
          <w:tab/>
        </w:r>
        <w:r w:rsidR="007D7E45" w:rsidRPr="004E0FDD">
          <w:rPr>
            <w:rStyle w:val="Hyperlink"/>
          </w:rPr>
          <w:t>From old to new: an illustration of major pathways to new income management (NIM)</w:t>
        </w:r>
        <w:r w:rsidR="007D7E45">
          <w:rPr>
            <w:webHidden/>
          </w:rPr>
          <w:tab/>
        </w:r>
        <w:r w:rsidR="00C7347D">
          <w:rPr>
            <w:webHidden/>
          </w:rPr>
          <w:fldChar w:fldCharType="begin"/>
        </w:r>
        <w:r w:rsidR="007D7E45">
          <w:rPr>
            <w:webHidden/>
          </w:rPr>
          <w:instrText xml:space="preserve"> PAGEREF _Toc335915912 \h </w:instrText>
        </w:r>
        <w:r w:rsidR="00C7347D">
          <w:rPr>
            <w:webHidden/>
          </w:rPr>
        </w:r>
        <w:r w:rsidR="00C7347D">
          <w:rPr>
            <w:webHidden/>
          </w:rPr>
          <w:fldChar w:fldCharType="separate"/>
        </w:r>
        <w:r w:rsidR="00E70A53">
          <w:rPr>
            <w:webHidden/>
          </w:rPr>
          <w:t>29</w:t>
        </w:r>
        <w:r w:rsidR="00C7347D">
          <w:rPr>
            <w:webHidden/>
          </w:rPr>
          <w:fldChar w:fldCharType="end"/>
        </w:r>
      </w:hyperlink>
    </w:p>
    <w:p w:rsidR="007D7E45" w:rsidRDefault="008F3A4A">
      <w:pPr>
        <w:pStyle w:val="TableofFigures"/>
        <w:rPr>
          <w:rFonts w:asciiTheme="minorHAnsi" w:eastAsiaTheme="minorEastAsia" w:hAnsiTheme="minorHAnsi" w:cstheme="minorBidi"/>
          <w:sz w:val="22"/>
          <w:lang w:eastAsia="en-AU" w:bidi="ar-SA"/>
        </w:rPr>
      </w:pPr>
      <w:hyperlink w:anchor="_Toc335915913" w:history="1">
        <w:r w:rsidR="007D7E45" w:rsidRPr="004E0FDD">
          <w:rPr>
            <w:rStyle w:val="Hyperlink"/>
          </w:rPr>
          <w:t>Figure 4</w:t>
        </w:r>
        <w:r w:rsidR="007D7E45" w:rsidRPr="004E0FDD">
          <w:rPr>
            <w:rStyle w:val="Hyperlink"/>
          </w:rPr>
          <w:noBreakHyphen/>
          <w:t xml:space="preserve">1 </w:t>
        </w:r>
        <w:r w:rsidR="007D7E45">
          <w:rPr>
            <w:rFonts w:asciiTheme="minorHAnsi" w:eastAsiaTheme="minorEastAsia" w:hAnsiTheme="minorHAnsi" w:cstheme="minorBidi"/>
            <w:sz w:val="22"/>
            <w:lang w:eastAsia="en-AU" w:bidi="ar-SA"/>
          </w:rPr>
          <w:tab/>
        </w:r>
        <w:r w:rsidR="007D7E45" w:rsidRPr="004E0FDD">
          <w:rPr>
            <w:rStyle w:val="Hyperlink"/>
          </w:rPr>
          <w:t>Northern Territory, number of income support recipients by Indigeneity and major age group, June 2008 to September 2011</w:t>
        </w:r>
        <w:r w:rsidR="007D7E45">
          <w:rPr>
            <w:webHidden/>
          </w:rPr>
          <w:tab/>
        </w:r>
        <w:r w:rsidR="00C7347D">
          <w:rPr>
            <w:webHidden/>
          </w:rPr>
          <w:fldChar w:fldCharType="begin"/>
        </w:r>
        <w:r w:rsidR="007D7E45">
          <w:rPr>
            <w:webHidden/>
          </w:rPr>
          <w:instrText xml:space="preserve"> PAGEREF _Toc335915913 \h </w:instrText>
        </w:r>
        <w:r w:rsidR="00C7347D">
          <w:rPr>
            <w:webHidden/>
          </w:rPr>
        </w:r>
        <w:r w:rsidR="00C7347D">
          <w:rPr>
            <w:webHidden/>
          </w:rPr>
          <w:fldChar w:fldCharType="separate"/>
        </w:r>
        <w:r w:rsidR="00E70A53">
          <w:rPr>
            <w:webHidden/>
          </w:rPr>
          <w:t>43</w:t>
        </w:r>
        <w:r w:rsidR="00C7347D">
          <w:rPr>
            <w:webHidden/>
          </w:rPr>
          <w:fldChar w:fldCharType="end"/>
        </w:r>
      </w:hyperlink>
    </w:p>
    <w:p w:rsidR="007D7E45" w:rsidRDefault="008F3A4A">
      <w:pPr>
        <w:pStyle w:val="TableofFigures"/>
        <w:rPr>
          <w:rFonts w:asciiTheme="minorHAnsi" w:eastAsiaTheme="minorEastAsia" w:hAnsiTheme="minorHAnsi" w:cstheme="minorBidi"/>
          <w:sz w:val="22"/>
          <w:lang w:eastAsia="en-AU" w:bidi="ar-SA"/>
        </w:rPr>
      </w:pPr>
      <w:hyperlink w:anchor="_Toc335915914" w:history="1">
        <w:r w:rsidR="007D7E45" w:rsidRPr="004E0FDD">
          <w:rPr>
            <w:rStyle w:val="Hyperlink"/>
          </w:rPr>
          <w:t>Figure 4</w:t>
        </w:r>
        <w:r w:rsidR="007D7E45" w:rsidRPr="004E0FDD">
          <w:rPr>
            <w:rStyle w:val="Hyperlink"/>
          </w:rPr>
          <w:noBreakHyphen/>
          <w:t>2</w:t>
        </w:r>
        <w:r w:rsidR="007D7E45">
          <w:rPr>
            <w:rFonts w:asciiTheme="minorHAnsi" w:eastAsiaTheme="minorEastAsia" w:hAnsiTheme="minorHAnsi" w:cstheme="minorBidi"/>
            <w:sz w:val="22"/>
            <w:lang w:eastAsia="en-AU" w:bidi="ar-SA"/>
          </w:rPr>
          <w:tab/>
        </w:r>
        <w:r w:rsidR="007D7E45" w:rsidRPr="004E0FDD">
          <w:rPr>
            <w:rStyle w:val="Hyperlink"/>
          </w:rPr>
          <w:t>Northern Territory, Income support recipients under Age Pension Eligibility age by Indigeneity in urban and non-urban areas, September 2008 to September 2011</w:t>
        </w:r>
        <w:r w:rsidR="007D7E45">
          <w:rPr>
            <w:webHidden/>
          </w:rPr>
          <w:tab/>
        </w:r>
        <w:r w:rsidR="00C7347D">
          <w:rPr>
            <w:webHidden/>
          </w:rPr>
          <w:fldChar w:fldCharType="begin"/>
        </w:r>
        <w:r w:rsidR="007D7E45">
          <w:rPr>
            <w:webHidden/>
          </w:rPr>
          <w:instrText xml:space="preserve"> PAGEREF _Toc335915914 \h </w:instrText>
        </w:r>
        <w:r w:rsidR="00C7347D">
          <w:rPr>
            <w:webHidden/>
          </w:rPr>
        </w:r>
        <w:r w:rsidR="00C7347D">
          <w:rPr>
            <w:webHidden/>
          </w:rPr>
          <w:fldChar w:fldCharType="separate"/>
        </w:r>
        <w:r w:rsidR="00E70A53">
          <w:rPr>
            <w:webHidden/>
          </w:rPr>
          <w:t>44</w:t>
        </w:r>
        <w:r w:rsidR="00C7347D">
          <w:rPr>
            <w:webHidden/>
          </w:rPr>
          <w:fldChar w:fldCharType="end"/>
        </w:r>
      </w:hyperlink>
    </w:p>
    <w:p w:rsidR="007D7E45" w:rsidRDefault="008F3A4A">
      <w:pPr>
        <w:pStyle w:val="TableofFigures"/>
        <w:rPr>
          <w:rFonts w:asciiTheme="minorHAnsi" w:eastAsiaTheme="minorEastAsia" w:hAnsiTheme="minorHAnsi" w:cstheme="minorBidi"/>
          <w:sz w:val="22"/>
          <w:lang w:eastAsia="en-AU" w:bidi="ar-SA"/>
        </w:rPr>
      </w:pPr>
      <w:hyperlink w:anchor="_Toc335915915" w:history="1">
        <w:r w:rsidR="007D7E45" w:rsidRPr="004E0FDD">
          <w:rPr>
            <w:rStyle w:val="Hyperlink"/>
          </w:rPr>
          <w:t>Figure 4</w:t>
        </w:r>
        <w:r w:rsidR="007D7E45" w:rsidRPr="004E0FDD">
          <w:rPr>
            <w:rStyle w:val="Hyperlink"/>
          </w:rPr>
          <w:noBreakHyphen/>
          <w:t>3</w:t>
        </w:r>
        <w:r w:rsidR="007D7E45">
          <w:rPr>
            <w:rFonts w:asciiTheme="minorHAnsi" w:eastAsiaTheme="minorEastAsia" w:hAnsiTheme="minorHAnsi" w:cstheme="minorBidi"/>
            <w:sz w:val="22"/>
            <w:lang w:eastAsia="en-AU" w:bidi="ar-SA"/>
          </w:rPr>
          <w:tab/>
        </w:r>
        <w:r w:rsidR="007D7E45" w:rsidRPr="004E0FDD">
          <w:rPr>
            <w:rStyle w:val="Hyperlink"/>
          </w:rPr>
          <w:t>Northern Territory, Proportion of income support recipients subject to income management by broad age group and Indigeneity, September 2008 to September 2011</w:t>
        </w:r>
        <w:r w:rsidR="007D7E45">
          <w:rPr>
            <w:webHidden/>
          </w:rPr>
          <w:tab/>
        </w:r>
        <w:r w:rsidR="00C7347D">
          <w:rPr>
            <w:webHidden/>
          </w:rPr>
          <w:fldChar w:fldCharType="begin"/>
        </w:r>
        <w:r w:rsidR="007D7E45">
          <w:rPr>
            <w:webHidden/>
          </w:rPr>
          <w:instrText xml:space="preserve"> PAGEREF _Toc335915915 \h </w:instrText>
        </w:r>
        <w:r w:rsidR="00C7347D">
          <w:rPr>
            <w:webHidden/>
          </w:rPr>
        </w:r>
        <w:r w:rsidR="00C7347D">
          <w:rPr>
            <w:webHidden/>
          </w:rPr>
          <w:fldChar w:fldCharType="separate"/>
        </w:r>
        <w:r w:rsidR="00E70A53">
          <w:rPr>
            <w:webHidden/>
          </w:rPr>
          <w:t>47</w:t>
        </w:r>
        <w:r w:rsidR="00C7347D">
          <w:rPr>
            <w:webHidden/>
          </w:rPr>
          <w:fldChar w:fldCharType="end"/>
        </w:r>
      </w:hyperlink>
    </w:p>
    <w:p w:rsidR="007D7E45" w:rsidRDefault="008F3A4A">
      <w:pPr>
        <w:pStyle w:val="TableofFigures"/>
        <w:rPr>
          <w:rFonts w:asciiTheme="minorHAnsi" w:eastAsiaTheme="minorEastAsia" w:hAnsiTheme="minorHAnsi" w:cstheme="minorBidi"/>
          <w:sz w:val="22"/>
          <w:lang w:eastAsia="en-AU" w:bidi="ar-SA"/>
        </w:rPr>
      </w:pPr>
      <w:hyperlink w:anchor="_Toc335915916" w:history="1">
        <w:r w:rsidR="007D7E45" w:rsidRPr="004E0FDD">
          <w:rPr>
            <w:rStyle w:val="Hyperlink"/>
          </w:rPr>
          <w:t>Figure 4</w:t>
        </w:r>
        <w:r w:rsidR="007D7E45" w:rsidRPr="004E0FDD">
          <w:rPr>
            <w:rStyle w:val="Hyperlink"/>
          </w:rPr>
          <w:noBreakHyphen/>
          <w:t>4</w:t>
        </w:r>
        <w:r w:rsidR="007D7E45">
          <w:rPr>
            <w:rFonts w:asciiTheme="minorHAnsi" w:eastAsiaTheme="minorEastAsia" w:hAnsiTheme="minorHAnsi" w:cstheme="minorBidi"/>
            <w:sz w:val="22"/>
            <w:lang w:eastAsia="en-AU" w:bidi="ar-SA"/>
          </w:rPr>
          <w:tab/>
        </w:r>
        <w:r w:rsidR="007D7E45" w:rsidRPr="004E0FDD">
          <w:rPr>
            <w:rStyle w:val="Hyperlink"/>
          </w:rPr>
          <w:t>Northern Territory, Proportion of income support recipients under Age Pension eligibility age subject to income management by Indigenous status and location, September 2008 to September 2011</w:t>
        </w:r>
        <w:r w:rsidR="007D7E45">
          <w:rPr>
            <w:webHidden/>
          </w:rPr>
          <w:tab/>
        </w:r>
        <w:r w:rsidR="00C7347D">
          <w:rPr>
            <w:webHidden/>
          </w:rPr>
          <w:fldChar w:fldCharType="begin"/>
        </w:r>
        <w:r w:rsidR="007D7E45">
          <w:rPr>
            <w:webHidden/>
          </w:rPr>
          <w:instrText xml:space="preserve"> PAGEREF _Toc335915916 \h </w:instrText>
        </w:r>
        <w:r w:rsidR="00C7347D">
          <w:rPr>
            <w:webHidden/>
          </w:rPr>
        </w:r>
        <w:r w:rsidR="00C7347D">
          <w:rPr>
            <w:webHidden/>
          </w:rPr>
          <w:fldChar w:fldCharType="separate"/>
        </w:r>
        <w:r w:rsidR="00E70A53">
          <w:rPr>
            <w:webHidden/>
          </w:rPr>
          <w:t>48</w:t>
        </w:r>
        <w:r w:rsidR="00C7347D">
          <w:rPr>
            <w:webHidden/>
          </w:rPr>
          <w:fldChar w:fldCharType="end"/>
        </w:r>
      </w:hyperlink>
    </w:p>
    <w:p w:rsidR="007D7E45" w:rsidRDefault="008F3A4A">
      <w:pPr>
        <w:pStyle w:val="TableofFigures"/>
        <w:rPr>
          <w:rFonts w:asciiTheme="minorHAnsi" w:eastAsiaTheme="minorEastAsia" w:hAnsiTheme="minorHAnsi" w:cstheme="minorBidi"/>
          <w:sz w:val="22"/>
          <w:lang w:eastAsia="en-AU" w:bidi="ar-SA"/>
        </w:rPr>
      </w:pPr>
      <w:hyperlink w:anchor="_Toc335915917" w:history="1">
        <w:r w:rsidR="007D7E45" w:rsidRPr="004E0FDD">
          <w:rPr>
            <w:rStyle w:val="Hyperlink"/>
          </w:rPr>
          <w:t>Figure 4</w:t>
        </w:r>
        <w:r w:rsidR="007D7E45" w:rsidRPr="004E0FDD">
          <w:rPr>
            <w:rStyle w:val="Hyperlink"/>
          </w:rPr>
          <w:noBreakHyphen/>
          <w:t>5</w:t>
        </w:r>
        <w:r w:rsidR="007D7E45">
          <w:rPr>
            <w:rFonts w:asciiTheme="minorHAnsi" w:eastAsiaTheme="minorEastAsia" w:hAnsiTheme="minorHAnsi" w:cstheme="minorBidi"/>
            <w:sz w:val="22"/>
            <w:lang w:eastAsia="en-AU" w:bidi="ar-SA"/>
          </w:rPr>
          <w:tab/>
        </w:r>
        <w:r w:rsidR="007D7E45" w:rsidRPr="004E0FDD">
          <w:rPr>
            <w:rStyle w:val="Hyperlink"/>
          </w:rPr>
          <w:t>Income support status of people who entered NIM up until February 2011 and exited prior to end January 2012</w:t>
        </w:r>
        <w:r w:rsidR="007D7E45">
          <w:rPr>
            <w:webHidden/>
          </w:rPr>
          <w:tab/>
        </w:r>
        <w:r w:rsidR="00C7347D">
          <w:rPr>
            <w:webHidden/>
          </w:rPr>
          <w:fldChar w:fldCharType="begin"/>
        </w:r>
        <w:r w:rsidR="007D7E45">
          <w:rPr>
            <w:webHidden/>
          </w:rPr>
          <w:instrText xml:space="preserve"> PAGEREF _Toc335915917 \h </w:instrText>
        </w:r>
        <w:r w:rsidR="00C7347D">
          <w:rPr>
            <w:webHidden/>
          </w:rPr>
        </w:r>
        <w:r w:rsidR="00C7347D">
          <w:rPr>
            <w:webHidden/>
          </w:rPr>
          <w:fldChar w:fldCharType="separate"/>
        </w:r>
        <w:r w:rsidR="00E70A53">
          <w:rPr>
            <w:webHidden/>
          </w:rPr>
          <w:t>54</w:t>
        </w:r>
        <w:r w:rsidR="00C7347D">
          <w:rPr>
            <w:webHidden/>
          </w:rPr>
          <w:fldChar w:fldCharType="end"/>
        </w:r>
      </w:hyperlink>
    </w:p>
    <w:p w:rsidR="007D7E45" w:rsidRDefault="008F3A4A">
      <w:pPr>
        <w:pStyle w:val="TableofFigures"/>
        <w:rPr>
          <w:rFonts w:asciiTheme="minorHAnsi" w:eastAsiaTheme="minorEastAsia" w:hAnsiTheme="minorHAnsi" w:cstheme="minorBidi"/>
          <w:sz w:val="22"/>
          <w:lang w:eastAsia="en-AU" w:bidi="ar-SA"/>
        </w:rPr>
      </w:pPr>
      <w:hyperlink w:anchor="_Toc335915918" w:history="1">
        <w:r w:rsidR="007D7E45" w:rsidRPr="004E0FDD">
          <w:rPr>
            <w:rStyle w:val="Hyperlink"/>
          </w:rPr>
          <w:t>Figure 4</w:t>
        </w:r>
        <w:r w:rsidR="007D7E45" w:rsidRPr="004E0FDD">
          <w:rPr>
            <w:rStyle w:val="Hyperlink"/>
          </w:rPr>
          <w:noBreakHyphen/>
          <w:t>6</w:t>
        </w:r>
        <w:r w:rsidR="007D7E45">
          <w:rPr>
            <w:rFonts w:asciiTheme="minorHAnsi" w:eastAsiaTheme="minorEastAsia" w:hAnsiTheme="minorHAnsi" w:cstheme="minorBidi"/>
            <w:sz w:val="22"/>
            <w:lang w:eastAsia="en-AU" w:bidi="ar-SA"/>
          </w:rPr>
          <w:tab/>
        </w:r>
        <w:r w:rsidR="007D7E45" w:rsidRPr="004E0FDD">
          <w:rPr>
            <w:rStyle w:val="Hyperlink"/>
          </w:rPr>
          <w:t>Composition of people subject to income management October 2011</w:t>
        </w:r>
        <w:r w:rsidR="007D7E45">
          <w:rPr>
            <w:webHidden/>
          </w:rPr>
          <w:tab/>
        </w:r>
        <w:r w:rsidR="00C7347D">
          <w:rPr>
            <w:webHidden/>
          </w:rPr>
          <w:fldChar w:fldCharType="begin"/>
        </w:r>
        <w:r w:rsidR="007D7E45">
          <w:rPr>
            <w:webHidden/>
          </w:rPr>
          <w:instrText xml:space="preserve"> PAGEREF _Toc335915918 \h </w:instrText>
        </w:r>
        <w:r w:rsidR="00C7347D">
          <w:rPr>
            <w:webHidden/>
          </w:rPr>
        </w:r>
        <w:r w:rsidR="00C7347D">
          <w:rPr>
            <w:webHidden/>
          </w:rPr>
          <w:fldChar w:fldCharType="separate"/>
        </w:r>
        <w:r w:rsidR="00E70A53">
          <w:rPr>
            <w:webHidden/>
          </w:rPr>
          <w:t>57</w:t>
        </w:r>
        <w:r w:rsidR="00C7347D">
          <w:rPr>
            <w:webHidden/>
          </w:rPr>
          <w:fldChar w:fldCharType="end"/>
        </w:r>
      </w:hyperlink>
    </w:p>
    <w:p w:rsidR="007D7E45" w:rsidRDefault="008F3A4A">
      <w:pPr>
        <w:pStyle w:val="TableofFigures"/>
        <w:rPr>
          <w:rFonts w:asciiTheme="minorHAnsi" w:eastAsiaTheme="minorEastAsia" w:hAnsiTheme="minorHAnsi" w:cstheme="minorBidi"/>
          <w:sz w:val="22"/>
          <w:lang w:eastAsia="en-AU" w:bidi="ar-SA"/>
        </w:rPr>
      </w:pPr>
      <w:hyperlink w:anchor="_Toc335915919" w:history="1">
        <w:r w:rsidR="007D7E45" w:rsidRPr="004E0FDD">
          <w:rPr>
            <w:rStyle w:val="Hyperlink"/>
          </w:rPr>
          <w:t>Figure 4</w:t>
        </w:r>
        <w:r w:rsidR="007D7E45" w:rsidRPr="004E0FDD">
          <w:rPr>
            <w:rStyle w:val="Hyperlink"/>
          </w:rPr>
          <w:noBreakHyphen/>
          <w:t xml:space="preserve">7 </w:t>
        </w:r>
        <w:r w:rsidR="007D7E45">
          <w:rPr>
            <w:rFonts w:asciiTheme="minorHAnsi" w:eastAsiaTheme="minorEastAsia" w:hAnsiTheme="minorHAnsi" w:cstheme="minorBidi"/>
            <w:sz w:val="22"/>
            <w:lang w:eastAsia="en-AU" w:bidi="ar-SA"/>
          </w:rPr>
          <w:tab/>
        </w:r>
        <w:r w:rsidR="007D7E45" w:rsidRPr="004E0FDD">
          <w:rPr>
            <w:rStyle w:val="Hyperlink"/>
          </w:rPr>
          <w:t>Northern Territory, Persons being income managed by age and main stream of income management, October 2011</w:t>
        </w:r>
        <w:r w:rsidR="007D7E45">
          <w:rPr>
            <w:webHidden/>
          </w:rPr>
          <w:tab/>
        </w:r>
        <w:r w:rsidR="00C7347D">
          <w:rPr>
            <w:webHidden/>
          </w:rPr>
          <w:fldChar w:fldCharType="begin"/>
        </w:r>
        <w:r w:rsidR="007D7E45">
          <w:rPr>
            <w:webHidden/>
          </w:rPr>
          <w:instrText xml:space="preserve"> PAGEREF _Toc335915919 \h </w:instrText>
        </w:r>
        <w:r w:rsidR="00C7347D">
          <w:rPr>
            <w:webHidden/>
          </w:rPr>
        </w:r>
        <w:r w:rsidR="00C7347D">
          <w:rPr>
            <w:webHidden/>
          </w:rPr>
          <w:fldChar w:fldCharType="separate"/>
        </w:r>
        <w:r w:rsidR="00E70A53">
          <w:rPr>
            <w:webHidden/>
          </w:rPr>
          <w:t>62</w:t>
        </w:r>
        <w:r w:rsidR="00C7347D">
          <w:rPr>
            <w:webHidden/>
          </w:rPr>
          <w:fldChar w:fldCharType="end"/>
        </w:r>
      </w:hyperlink>
    </w:p>
    <w:p w:rsidR="007D7E45" w:rsidRDefault="008F3A4A">
      <w:pPr>
        <w:pStyle w:val="TableofFigures"/>
        <w:rPr>
          <w:rFonts w:asciiTheme="minorHAnsi" w:eastAsiaTheme="minorEastAsia" w:hAnsiTheme="minorHAnsi" w:cstheme="minorBidi"/>
          <w:sz w:val="22"/>
          <w:lang w:eastAsia="en-AU" w:bidi="ar-SA"/>
        </w:rPr>
      </w:pPr>
      <w:hyperlink w:anchor="_Toc335915920" w:history="1">
        <w:r w:rsidR="007D7E45" w:rsidRPr="004E0FDD">
          <w:rPr>
            <w:rStyle w:val="Hyperlink"/>
          </w:rPr>
          <w:t>Figure 4</w:t>
        </w:r>
        <w:r w:rsidR="007D7E45" w:rsidRPr="004E0FDD">
          <w:rPr>
            <w:rStyle w:val="Hyperlink"/>
          </w:rPr>
          <w:noBreakHyphen/>
          <w:t>8</w:t>
        </w:r>
        <w:r w:rsidR="007D7E45">
          <w:rPr>
            <w:rFonts w:asciiTheme="minorHAnsi" w:eastAsiaTheme="minorEastAsia" w:hAnsiTheme="minorHAnsi" w:cstheme="minorBidi"/>
            <w:sz w:val="22"/>
            <w:lang w:eastAsia="en-AU" w:bidi="ar-SA"/>
          </w:rPr>
          <w:tab/>
        </w:r>
        <w:r w:rsidR="007D7E45" w:rsidRPr="004E0FDD">
          <w:rPr>
            <w:rStyle w:val="Hyperlink"/>
          </w:rPr>
          <w:t>Northern Territory, income managed population by Indigeneity and family type, October 2011</w:t>
        </w:r>
        <w:r w:rsidR="007D7E45">
          <w:rPr>
            <w:webHidden/>
          </w:rPr>
          <w:tab/>
        </w:r>
        <w:r w:rsidR="00C7347D">
          <w:rPr>
            <w:webHidden/>
          </w:rPr>
          <w:fldChar w:fldCharType="begin"/>
        </w:r>
        <w:r w:rsidR="007D7E45">
          <w:rPr>
            <w:webHidden/>
          </w:rPr>
          <w:instrText xml:space="preserve"> PAGEREF _Toc335915920 \h </w:instrText>
        </w:r>
        <w:r w:rsidR="00C7347D">
          <w:rPr>
            <w:webHidden/>
          </w:rPr>
        </w:r>
        <w:r w:rsidR="00C7347D">
          <w:rPr>
            <w:webHidden/>
          </w:rPr>
          <w:fldChar w:fldCharType="separate"/>
        </w:r>
        <w:r w:rsidR="00E70A53">
          <w:rPr>
            <w:webHidden/>
          </w:rPr>
          <w:t>62</w:t>
        </w:r>
        <w:r w:rsidR="00C7347D">
          <w:rPr>
            <w:webHidden/>
          </w:rPr>
          <w:fldChar w:fldCharType="end"/>
        </w:r>
      </w:hyperlink>
    </w:p>
    <w:p w:rsidR="007D7E45" w:rsidRDefault="008F3A4A">
      <w:pPr>
        <w:pStyle w:val="TableofFigures"/>
        <w:rPr>
          <w:rFonts w:asciiTheme="minorHAnsi" w:eastAsiaTheme="minorEastAsia" w:hAnsiTheme="minorHAnsi" w:cstheme="minorBidi"/>
          <w:sz w:val="22"/>
          <w:lang w:eastAsia="en-AU" w:bidi="ar-SA"/>
        </w:rPr>
      </w:pPr>
      <w:hyperlink w:anchor="_Toc335915921" w:history="1">
        <w:r w:rsidR="007D7E45" w:rsidRPr="004E0FDD">
          <w:rPr>
            <w:rStyle w:val="Hyperlink"/>
          </w:rPr>
          <w:t>Figure 5</w:t>
        </w:r>
        <w:r w:rsidR="007D7E45" w:rsidRPr="004E0FDD">
          <w:rPr>
            <w:rStyle w:val="Hyperlink"/>
          </w:rPr>
          <w:noBreakHyphen/>
          <w:t>1</w:t>
        </w:r>
        <w:r w:rsidR="007D7E45">
          <w:rPr>
            <w:rFonts w:asciiTheme="minorHAnsi" w:eastAsiaTheme="minorEastAsia" w:hAnsiTheme="minorHAnsi" w:cstheme="minorBidi"/>
            <w:sz w:val="22"/>
            <w:lang w:eastAsia="en-AU" w:bidi="ar-SA"/>
          </w:rPr>
          <w:tab/>
        </w:r>
        <w:r w:rsidR="007D7E45" w:rsidRPr="004E0FDD">
          <w:rPr>
            <w:rStyle w:val="Hyperlink"/>
          </w:rPr>
          <w:t>Northern Territory, Composition of total allocations of income managed funds: fortnight ending 28 October 2011</w:t>
        </w:r>
        <w:r w:rsidR="007D7E45">
          <w:rPr>
            <w:webHidden/>
          </w:rPr>
          <w:tab/>
        </w:r>
        <w:r w:rsidR="00C7347D">
          <w:rPr>
            <w:webHidden/>
          </w:rPr>
          <w:fldChar w:fldCharType="begin"/>
        </w:r>
        <w:r w:rsidR="007D7E45">
          <w:rPr>
            <w:webHidden/>
          </w:rPr>
          <w:instrText xml:space="preserve"> PAGEREF _Toc335915921 \h </w:instrText>
        </w:r>
        <w:r w:rsidR="00C7347D">
          <w:rPr>
            <w:webHidden/>
          </w:rPr>
        </w:r>
        <w:r w:rsidR="00C7347D">
          <w:rPr>
            <w:webHidden/>
          </w:rPr>
          <w:fldChar w:fldCharType="separate"/>
        </w:r>
        <w:r w:rsidR="00E70A53">
          <w:rPr>
            <w:webHidden/>
          </w:rPr>
          <w:t>69</w:t>
        </w:r>
        <w:r w:rsidR="00C7347D">
          <w:rPr>
            <w:webHidden/>
          </w:rPr>
          <w:fldChar w:fldCharType="end"/>
        </w:r>
      </w:hyperlink>
    </w:p>
    <w:p w:rsidR="007D7E45" w:rsidRDefault="008F3A4A">
      <w:pPr>
        <w:pStyle w:val="TableofFigures"/>
        <w:rPr>
          <w:rFonts w:asciiTheme="minorHAnsi" w:eastAsiaTheme="minorEastAsia" w:hAnsiTheme="minorHAnsi" w:cstheme="minorBidi"/>
          <w:sz w:val="22"/>
          <w:lang w:eastAsia="en-AU" w:bidi="ar-SA"/>
        </w:rPr>
      </w:pPr>
      <w:hyperlink w:anchor="_Toc335915922" w:history="1">
        <w:r w:rsidR="007D7E45" w:rsidRPr="004E0FDD">
          <w:rPr>
            <w:rStyle w:val="Hyperlink"/>
          </w:rPr>
          <w:t>Figure 5</w:t>
        </w:r>
        <w:r w:rsidR="007D7E45" w:rsidRPr="004E0FDD">
          <w:rPr>
            <w:rStyle w:val="Hyperlink"/>
          </w:rPr>
          <w:noBreakHyphen/>
          <w:t xml:space="preserve">2 </w:t>
        </w:r>
        <w:r w:rsidR="007D7E45">
          <w:rPr>
            <w:rFonts w:asciiTheme="minorHAnsi" w:eastAsiaTheme="minorEastAsia" w:hAnsiTheme="minorHAnsi" w:cstheme="minorBidi"/>
            <w:sz w:val="22"/>
            <w:lang w:eastAsia="en-AU" w:bidi="ar-SA"/>
          </w:rPr>
          <w:tab/>
        </w:r>
        <w:r w:rsidR="007D7E45" w:rsidRPr="004E0FDD">
          <w:rPr>
            <w:rStyle w:val="Hyperlink"/>
          </w:rPr>
          <w:t>Northern Territory, Composition of total spending on BasicsCard by type of outlet, fortnight ending 28 October 2011</w:t>
        </w:r>
        <w:r w:rsidR="007D7E45">
          <w:rPr>
            <w:webHidden/>
          </w:rPr>
          <w:tab/>
        </w:r>
        <w:r w:rsidR="00C7347D">
          <w:rPr>
            <w:webHidden/>
          </w:rPr>
          <w:fldChar w:fldCharType="begin"/>
        </w:r>
        <w:r w:rsidR="007D7E45">
          <w:rPr>
            <w:webHidden/>
          </w:rPr>
          <w:instrText xml:space="preserve"> PAGEREF _Toc335915922 \h </w:instrText>
        </w:r>
        <w:r w:rsidR="00C7347D">
          <w:rPr>
            <w:webHidden/>
          </w:rPr>
        </w:r>
        <w:r w:rsidR="00C7347D">
          <w:rPr>
            <w:webHidden/>
          </w:rPr>
          <w:fldChar w:fldCharType="separate"/>
        </w:r>
        <w:r w:rsidR="00E70A53">
          <w:rPr>
            <w:webHidden/>
          </w:rPr>
          <w:t>70</w:t>
        </w:r>
        <w:r w:rsidR="00C7347D">
          <w:rPr>
            <w:webHidden/>
          </w:rPr>
          <w:fldChar w:fldCharType="end"/>
        </w:r>
      </w:hyperlink>
    </w:p>
    <w:p w:rsidR="007D7E45" w:rsidRDefault="008F3A4A">
      <w:pPr>
        <w:pStyle w:val="TableofFigures"/>
        <w:rPr>
          <w:rFonts w:asciiTheme="minorHAnsi" w:eastAsiaTheme="minorEastAsia" w:hAnsiTheme="minorHAnsi" w:cstheme="minorBidi"/>
          <w:sz w:val="22"/>
          <w:lang w:eastAsia="en-AU" w:bidi="ar-SA"/>
        </w:rPr>
      </w:pPr>
      <w:hyperlink w:anchor="_Toc335915923" w:history="1">
        <w:r w:rsidR="007D7E45" w:rsidRPr="004E0FDD">
          <w:rPr>
            <w:rStyle w:val="Hyperlink"/>
          </w:rPr>
          <w:t>Figure 5</w:t>
        </w:r>
        <w:r w:rsidR="007D7E45" w:rsidRPr="004E0FDD">
          <w:rPr>
            <w:rStyle w:val="Hyperlink"/>
          </w:rPr>
          <w:noBreakHyphen/>
          <w:t xml:space="preserve">3 </w:t>
        </w:r>
        <w:r w:rsidR="007D7E45">
          <w:rPr>
            <w:rFonts w:asciiTheme="minorHAnsi" w:eastAsiaTheme="minorEastAsia" w:hAnsiTheme="minorHAnsi" w:cstheme="minorBidi"/>
            <w:sz w:val="22"/>
            <w:lang w:eastAsia="en-AU" w:bidi="ar-SA"/>
          </w:rPr>
          <w:tab/>
        </w:r>
        <w:r w:rsidR="007D7E45" w:rsidRPr="004E0FDD">
          <w:rPr>
            <w:rStyle w:val="Hyperlink"/>
          </w:rPr>
          <w:t>Northern Territory, Persons subject to income management, distribution of proportion of income managed funds allocated to BasicsCard, October 2011</w:t>
        </w:r>
        <w:r w:rsidR="007D7E45">
          <w:rPr>
            <w:webHidden/>
          </w:rPr>
          <w:tab/>
        </w:r>
        <w:r w:rsidR="00C7347D">
          <w:rPr>
            <w:webHidden/>
          </w:rPr>
          <w:fldChar w:fldCharType="begin"/>
        </w:r>
        <w:r w:rsidR="007D7E45">
          <w:rPr>
            <w:webHidden/>
          </w:rPr>
          <w:instrText xml:space="preserve"> PAGEREF _Toc335915923 \h </w:instrText>
        </w:r>
        <w:r w:rsidR="00C7347D">
          <w:rPr>
            <w:webHidden/>
          </w:rPr>
        </w:r>
        <w:r w:rsidR="00C7347D">
          <w:rPr>
            <w:webHidden/>
          </w:rPr>
          <w:fldChar w:fldCharType="separate"/>
        </w:r>
        <w:r w:rsidR="00E70A53">
          <w:rPr>
            <w:webHidden/>
          </w:rPr>
          <w:t>74</w:t>
        </w:r>
        <w:r w:rsidR="00C7347D">
          <w:rPr>
            <w:webHidden/>
          </w:rPr>
          <w:fldChar w:fldCharType="end"/>
        </w:r>
      </w:hyperlink>
    </w:p>
    <w:p w:rsidR="007D7E45" w:rsidRDefault="008F3A4A">
      <w:pPr>
        <w:pStyle w:val="TableofFigures"/>
        <w:rPr>
          <w:rFonts w:asciiTheme="minorHAnsi" w:eastAsiaTheme="minorEastAsia" w:hAnsiTheme="minorHAnsi" w:cstheme="minorBidi"/>
          <w:sz w:val="22"/>
          <w:lang w:eastAsia="en-AU" w:bidi="ar-SA"/>
        </w:rPr>
      </w:pPr>
      <w:hyperlink w:anchor="_Toc335915924" w:history="1">
        <w:r w:rsidR="007D7E45" w:rsidRPr="004E0FDD">
          <w:rPr>
            <w:rStyle w:val="Hyperlink"/>
          </w:rPr>
          <w:t>Figure 7</w:t>
        </w:r>
        <w:r w:rsidR="007D7E45" w:rsidRPr="004E0FDD">
          <w:rPr>
            <w:rStyle w:val="Hyperlink"/>
          </w:rPr>
          <w:noBreakHyphen/>
          <w:t xml:space="preserve">1 </w:t>
        </w:r>
        <w:r w:rsidR="007D7E45">
          <w:rPr>
            <w:rFonts w:asciiTheme="minorHAnsi" w:eastAsiaTheme="minorEastAsia" w:hAnsiTheme="minorHAnsi" w:cstheme="minorBidi"/>
            <w:sz w:val="22"/>
            <w:lang w:eastAsia="en-AU" w:bidi="ar-SA"/>
          </w:rPr>
          <w:tab/>
        </w:r>
        <w:r w:rsidR="007D7E45" w:rsidRPr="004E0FDD">
          <w:rPr>
            <w:rStyle w:val="Hyperlink"/>
          </w:rPr>
          <w:t>Northern Territory, Number of clients provided services by money management service providers, 2009-2011</w:t>
        </w:r>
        <w:r w:rsidR="007D7E45">
          <w:rPr>
            <w:webHidden/>
          </w:rPr>
          <w:tab/>
        </w:r>
        <w:r w:rsidR="00C7347D">
          <w:rPr>
            <w:webHidden/>
          </w:rPr>
          <w:fldChar w:fldCharType="begin"/>
        </w:r>
        <w:r w:rsidR="007D7E45">
          <w:rPr>
            <w:webHidden/>
          </w:rPr>
          <w:instrText xml:space="preserve"> PAGEREF _Toc335915924 \h </w:instrText>
        </w:r>
        <w:r w:rsidR="00C7347D">
          <w:rPr>
            <w:webHidden/>
          </w:rPr>
        </w:r>
        <w:r w:rsidR="00C7347D">
          <w:rPr>
            <w:webHidden/>
          </w:rPr>
          <w:fldChar w:fldCharType="separate"/>
        </w:r>
        <w:r w:rsidR="00E70A53">
          <w:rPr>
            <w:webHidden/>
          </w:rPr>
          <w:t>99</w:t>
        </w:r>
        <w:r w:rsidR="00C7347D">
          <w:rPr>
            <w:webHidden/>
          </w:rPr>
          <w:fldChar w:fldCharType="end"/>
        </w:r>
      </w:hyperlink>
    </w:p>
    <w:p w:rsidR="007D7E45" w:rsidRDefault="008F3A4A">
      <w:pPr>
        <w:pStyle w:val="TableofFigures"/>
        <w:rPr>
          <w:rFonts w:asciiTheme="minorHAnsi" w:eastAsiaTheme="minorEastAsia" w:hAnsiTheme="minorHAnsi" w:cstheme="minorBidi"/>
          <w:sz w:val="22"/>
          <w:lang w:eastAsia="en-AU" w:bidi="ar-SA"/>
        </w:rPr>
      </w:pPr>
      <w:hyperlink w:anchor="_Toc335915925" w:history="1">
        <w:r w:rsidR="007D7E45" w:rsidRPr="004E0FDD">
          <w:rPr>
            <w:rStyle w:val="Hyperlink"/>
          </w:rPr>
          <w:t>Figure 7</w:t>
        </w:r>
        <w:r w:rsidR="007D7E45" w:rsidRPr="004E0FDD">
          <w:rPr>
            <w:rStyle w:val="Hyperlink"/>
          </w:rPr>
          <w:noBreakHyphen/>
          <w:t xml:space="preserve">2 </w:t>
        </w:r>
        <w:r w:rsidR="007D7E45">
          <w:rPr>
            <w:rFonts w:asciiTheme="minorHAnsi" w:eastAsiaTheme="minorEastAsia" w:hAnsiTheme="minorHAnsi" w:cstheme="minorBidi"/>
            <w:sz w:val="22"/>
            <w:lang w:eastAsia="en-AU" w:bidi="ar-SA"/>
          </w:rPr>
          <w:tab/>
        </w:r>
        <w:r w:rsidR="007D7E45" w:rsidRPr="004E0FDD">
          <w:rPr>
            <w:rStyle w:val="Hyperlink"/>
          </w:rPr>
          <w:t>Northern Territory, Number of workshops run by money management services, 2009-2011</w:t>
        </w:r>
        <w:r w:rsidR="007D7E45">
          <w:rPr>
            <w:webHidden/>
          </w:rPr>
          <w:tab/>
        </w:r>
        <w:r w:rsidR="00C7347D">
          <w:rPr>
            <w:webHidden/>
          </w:rPr>
          <w:fldChar w:fldCharType="begin"/>
        </w:r>
        <w:r w:rsidR="007D7E45">
          <w:rPr>
            <w:webHidden/>
          </w:rPr>
          <w:instrText xml:space="preserve"> PAGEREF _Toc335915925 \h </w:instrText>
        </w:r>
        <w:r w:rsidR="00C7347D">
          <w:rPr>
            <w:webHidden/>
          </w:rPr>
        </w:r>
        <w:r w:rsidR="00C7347D">
          <w:rPr>
            <w:webHidden/>
          </w:rPr>
          <w:fldChar w:fldCharType="separate"/>
        </w:r>
        <w:r w:rsidR="00E70A53">
          <w:rPr>
            <w:webHidden/>
          </w:rPr>
          <w:t>100</w:t>
        </w:r>
        <w:r w:rsidR="00C7347D">
          <w:rPr>
            <w:webHidden/>
          </w:rPr>
          <w:fldChar w:fldCharType="end"/>
        </w:r>
      </w:hyperlink>
    </w:p>
    <w:p w:rsidR="007D7E45" w:rsidRDefault="008F3A4A">
      <w:pPr>
        <w:pStyle w:val="TableofFigures"/>
        <w:rPr>
          <w:rFonts w:asciiTheme="minorHAnsi" w:eastAsiaTheme="minorEastAsia" w:hAnsiTheme="minorHAnsi" w:cstheme="minorBidi"/>
          <w:sz w:val="22"/>
          <w:lang w:eastAsia="en-AU" w:bidi="ar-SA"/>
        </w:rPr>
      </w:pPr>
      <w:hyperlink w:anchor="_Toc335915926" w:history="1">
        <w:r w:rsidR="007D7E45" w:rsidRPr="004E0FDD">
          <w:rPr>
            <w:rStyle w:val="Hyperlink"/>
          </w:rPr>
          <w:t>Figure 7</w:t>
        </w:r>
        <w:r w:rsidR="007D7E45" w:rsidRPr="004E0FDD">
          <w:rPr>
            <w:rStyle w:val="Hyperlink"/>
          </w:rPr>
          <w:noBreakHyphen/>
          <w:t xml:space="preserve">3 </w:t>
        </w:r>
        <w:r w:rsidR="007D7E45">
          <w:rPr>
            <w:rFonts w:asciiTheme="minorHAnsi" w:eastAsiaTheme="minorEastAsia" w:hAnsiTheme="minorHAnsi" w:cstheme="minorBidi"/>
            <w:sz w:val="22"/>
            <w:lang w:eastAsia="en-AU" w:bidi="ar-SA"/>
          </w:rPr>
          <w:tab/>
        </w:r>
        <w:r w:rsidR="007D7E45" w:rsidRPr="004E0FDD">
          <w:rPr>
            <w:rStyle w:val="Hyperlink"/>
          </w:rPr>
          <w:t>Numbers assisted by money management service providers by type of income management, 2010-2011</w:t>
        </w:r>
        <w:r w:rsidR="007D7E45">
          <w:rPr>
            <w:webHidden/>
          </w:rPr>
          <w:tab/>
        </w:r>
        <w:r w:rsidR="00C7347D">
          <w:rPr>
            <w:webHidden/>
          </w:rPr>
          <w:fldChar w:fldCharType="begin"/>
        </w:r>
        <w:r w:rsidR="007D7E45">
          <w:rPr>
            <w:webHidden/>
          </w:rPr>
          <w:instrText xml:space="preserve"> PAGEREF _Toc335915926 \h </w:instrText>
        </w:r>
        <w:r w:rsidR="00C7347D">
          <w:rPr>
            <w:webHidden/>
          </w:rPr>
        </w:r>
        <w:r w:rsidR="00C7347D">
          <w:rPr>
            <w:webHidden/>
          </w:rPr>
          <w:fldChar w:fldCharType="separate"/>
        </w:r>
        <w:r w:rsidR="00E70A53">
          <w:rPr>
            <w:webHidden/>
          </w:rPr>
          <w:t>100</w:t>
        </w:r>
        <w:r w:rsidR="00C7347D">
          <w:rPr>
            <w:webHidden/>
          </w:rPr>
          <w:fldChar w:fldCharType="end"/>
        </w:r>
      </w:hyperlink>
    </w:p>
    <w:p w:rsidR="007D7E45" w:rsidRDefault="008F3A4A">
      <w:pPr>
        <w:pStyle w:val="TableofFigures"/>
        <w:rPr>
          <w:rFonts w:asciiTheme="minorHAnsi" w:eastAsiaTheme="minorEastAsia" w:hAnsiTheme="minorHAnsi" w:cstheme="minorBidi"/>
          <w:sz w:val="22"/>
          <w:lang w:eastAsia="en-AU" w:bidi="ar-SA"/>
        </w:rPr>
      </w:pPr>
      <w:hyperlink w:anchor="_Toc335915927" w:history="1">
        <w:r w:rsidR="007D7E45" w:rsidRPr="004E0FDD">
          <w:rPr>
            <w:rStyle w:val="Hyperlink"/>
          </w:rPr>
          <w:t>Figure 7</w:t>
        </w:r>
        <w:r w:rsidR="007D7E45" w:rsidRPr="004E0FDD">
          <w:rPr>
            <w:rStyle w:val="Hyperlink"/>
          </w:rPr>
          <w:noBreakHyphen/>
          <w:t xml:space="preserve">4 </w:t>
        </w:r>
        <w:r w:rsidR="007D7E45">
          <w:rPr>
            <w:rFonts w:asciiTheme="minorHAnsi" w:eastAsiaTheme="minorEastAsia" w:hAnsiTheme="minorHAnsi" w:cstheme="minorBidi"/>
            <w:sz w:val="22"/>
            <w:lang w:eastAsia="en-AU" w:bidi="ar-SA"/>
          </w:rPr>
          <w:tab/>
        </w:r>
        <w:r w:rsidR="007D7E45" w:rsidRPr="004E0FDD">
          <w:rPr>
            <w:rStyle w:val="Hyperlink"/>
          </w:rPr>
          <w:t>Northern Territory, number of people attending approved money management courses, 2010-2011</w:t>
        </w:r>
        <w:r w:rsidR="007D7E45">
          <w:rPr>
            <w:webHidden/>
          </w:rPr>
          <w:tab/>
        </w:r>
        <w:r w:rsidR="00C7347D">
          <w:rPr>
            <w:webHidden/>
          </w:rPr>
          <w:fldChar w:fldCharType="begin"/>
        </w:r>
        <w:r w:rsidR="007D7E45">
          <w:rPr>
            <w:webHidden/>
          </w:rPr>
          <w:instrText xml:space="preserve"> PAGEREF _Toc335915927 \h </w:instrText>
        </w:r>
        <w:r w:rsidR="00C7347D">
          <w:rPr>
            <w:webHidden/>
          </w:rPr>
        </w:r>
        <w:r w:rsidR="00C7347D">
          <w:rPr>
            <w:webHidden/>
          </w:rPr>
          <w:fldChar w:fldCharType="separate"/>
        </w:r>
        <w:r w:rsidR="00E70A53">
          <w:rPr>
            <w:webHidden/>
          </w:rPr>
          <w:t>101</w:t>
        </w:r>
        <w:r w:rsidR="00C7347D">
          <w:rPr>
            <w:webHidden/>
          </w:rPr>
          <w:fldChar w:fldCharType="end"/>
        </w:r>
      </w:hyperlink>
    </w:p>
    <w:p w:rsidR="007D7E45" w:rsidRDefault="008F3A4A">
      <w:pPr>
        <w:pStyle w:val="TableofFigures"/>
        <w:rPr>
          <w:rFonts w:asciiTheme="minorHAnsi" w:eastAsiaTheme="minorEastAsia" w:hAnsiTheme="minorHAnsi" w:cstheme="minorBidi"/>
          <w:sz w:val="22"/>
          <w:lang w:eastAsia="en-AU" w:bidi="ar-SA"/>
        </w:rPr>
      </w:pPr>
      <w:hyperlink w:anchor="_Toc335915928" w:history="1">
        <w:r w:rsidR="007D7E45" w:rsidRPr="004E0FDD">
          <w:rPr>
            <w:rStyle w:val="Hyperlink"/>
          </w:rPr>
          <w:t>Figure 7</w:t>
        </w:r>
        <w:r w:rsidR="007D7E45" w:rsidRPr="004E0FDD">
          <w:rPr>
            <w:rStyle w:val="Hyperlink"/>
          </w:rPr>
          <w:noBreakHyphen/>
          <w:t xml:space="preserve">5 </w:t>
        </w:r>
        <w:r w:rsidR="007D7E45">
          <w:rPr>
            <w:rFonts w:asciiTheme="minorHAnsi" w:eastAsiaTheme="minorEastAsia" w:hAnsiTheme="minorHAnsi" w:cstheme="minorBidi"/>
            <w:sz w:val="22"/>
            <w:lang w:eastAsia="en-AU" w:bidi="ar-SA"/>
          </w:rPr>
          <w:tab/>
        </w:r>
        <w:r w:rsidR="007D7E45" w:rsidRPr="004E0FDD">
          <w:rPr>
            <w:rStyle w:val="Hyperlink"/>
          </w:rPr>
          <w:t>Centrelink staff, How useful is referring clients/customers to money management and financial counselling services?</w:t>
        </w:r>
        <w:r w:rsidR="007D7E45">
          <w:rPr>
            <w:webHidden/>
          </w:rPr>
          <w:tab/>
        </w:r>
        <w:r w:rsidR="00C7347D">
          <w:rPr>
            <w:webHidden/>
          </w:rPr>
          <w:fldChar w:fldCharType="begin"/>
        </w:r>
        <w:r w:rsidR="007D7E45">
          <w:rPr>
            <w:webHidden/>
          </w:rPr>
          <w:instrText xml:space="preserve"> PAGEREF _Toc335915928 \h </w:instrText>
        </w:r>
        <w:r w:rsidR="00C7347D">
          <w:rPr>
            <w:webHidden/>
          </w:rPr>
        </w:r>
        <w:r w:rsidR="00C7347D">
          <w:rPr>
            <w:webHidden/>
          </w:rPr>
          <w:fldChar w:fldCharType="separate"/>
        </w:r>
        <w:r w:rsidR="00E70A53">
          <w:rPr>
            <w:webHidden/>
          </w:rPr>
          <w:t>104</w:t>
        </w:r>
        <w:r w:rsidR="00C7347D">
          <w:rPr>
            <w:webHidden/>
          </w:rPr>
          <w:fldChar w:fldCharType="end"/>
        </w:r>
      </w:hyperlink>
    </w:p>
    <w:p w:rsidR="007D7E45" w:rsidRDefault="008F3A4A">
      <w:pPr>
        <w:pStyle w:val="TableofFigures"/>
        <w:rPr>
          <w:rFonts w:asciiTheme="minorHAnsi" w:eastAsiaTheme="minorEastAsia" w:hAnsiTheme="minorHAnsi" w:cstheme="minorBidi"/>
          <w:sz w:val="22"/>
          <w:lang w:eastAsia="en-AU" w:bidi="ar-SA"/>
        </w:rPr>
      </w:pPr>
      <w:hyperlink w:anchor="_Toc335915929" w:history="1">
        <w:r w:rsidR="007D7E45" w:rsidRPr="004E0FDD">
          <w:rPr>
            <w:rStyle w:val="Hyperlink"/>
          </w:rPr>
          <w:t>Figure 8</w:t>
        </w:r>
        <w:r w:rsidR="007D7E45" w:rsidRPr="004E0FDD">
          <w:rPr>
            <w:rStyle w:val="Hyperlink"/>
          </w:rPr>
          <w:noBreakHyphen/>
          <w:t>1</w:t>
        </w:r>
        <w:r w:rsidR="007D7E45">
          <w:rPr>
            <w:rFonts w:asciiTheme="minorHAnsi" w:eastAsiaTheme="minorEastAsia" w:hAnsiTheme="minorHAnsi" w:cstheme="minorBidi"/>
            <w:sz w:val="22"/>
            <w:lang w:eastAsia="en-AU" w:bidi="ar-SA"/>
          </w:rPr>
          <w:tab/>
        </w:r>
        <w:r w:rsidR="007D7E45" w:rsidRPr="004E0FDD">
          <w:rPr>
            <w:rStyle w:val="Hyperlink"/>
          </w:rPr>
          <w:t>Grounds for exemption from income management</w:t>
        </w:r>
        <w:r w:rsidR="007D7E45">
          <w:rPr>
            <w:webHidden/>
          </w:rPr>
          <w:tab/>
        </w:r>
        <w:r w:rsidR="00C7347D">
          <w:rPr>
            <w:webHidden/>
          </w:rPr>
          <w:fldChar w:fldCharType="begin"/>
        </w:r>
        <w:r w:rsidR="007D7E45">
          <w:rPr>
            <w:webHidden/>
          </w:rPr>
          <w:instrText xml:space="preserve"> PAGEREF _Toc335915929 \h </w:instrText>
        </w:r>
        <w:r w:rsidR="00C7347D">
          <w:rPr>
            <w:webHidden/>
          </w:rPr>
        </w:r>
        <w:r w:rsidR="00C7347D">
          <w:rPr>
            <w:webHidden/>
          </w:rPr>
          <w:fldChar w:fldCharType="separate"/>
        </w:r>
        <w:r w:rsidR="00E70A53">
          <w:rPr>
            <w:webHidden/>
          </w:rPr>
          <w:t>113</w:t>
        </w:r>
        <w:r w:rsidR="00C7347D">
          <w:rPr>
            <w:webHidden/>
          </w:rPr>
          <w:fldChar w:fldCharType="end"/>
        </w:r>
      </w:hyperlink>
    </w:p>
    <w:p w:rsidR="007D7E45" w:rsidRDefault="008F3A4A">
      <w:pPr>
        <w:pStyle w:val="TableofFigures"/>
        <w:rPr>
          <w:rFonts w:asciiTheme="minorHAnsi" w:eastAsiaTheme="minorEastAsia" w:hAnsiTheme="minorHAnsi" w:cstheme="minorBidi"/>
          <w:sz w:val="22"/>
          <w:lang w:eastAsia="en-AU" w:bidi="ar-SA"/>
        </w:rPr>
      </w:pPr>
      <w:hyperlink w:anchor="_Toc335915930" w:history="1">
        <w:r w:rsidR="007D7E45" w:rsidRPr="004E0FDD">
          <w:rPr>
            <w:rStyle w:val="Hyperlink"/>
          </w:rPr>
          <w:t>Figure 8</w:t>
        </w:r>
        <w:r w:rsidR="007D7E45" w:rsidRPr="004E0FDD">
          <w:rPr>
            <w:rStyle w:val="Hyperlink"/>
          </w:rPr>
          <w:noBreakHyphen/>
          <w:t>2</w:t>
        </w:r>
        <w:r w:rsidR="007D7E45">
          <w:rPr>
            <w:rFonts w:asciiTheme="minorHAnsi" w:eastAsiaTheme="minorEastAsia" w:hAnsiTheme="minorHAnsi" w:cstheme="minorBidi"/>
            <w:sz w:val="22"/>
            <w:lang w:eastAsia="en-AU" w:bidi="ar-SA"/>
          </w:rPr>
          <w:tab/>
        </w:r>
        <w:r w:rsidR="007D7E45" w:rsidRPr="004E0FDD">
          <w:rPr>
            <w:rStyle w:val="Hyperlink"/>
          </w:rPr>
          <w:t>Persons with a child, rate of application for exemption and success, by Indigenous status and age of youngest child, October 2011</w:t>
        </w:r>
        <w:r w:rsidR="007D7E45">
          <w:rPr>
            <w:webHidden/>
          </w:rPr>
          <w:tab/>
        </w:r>
        <w:r w:rsidR="00C7347D">
          <w:rPr>
            <w:webHidden/>
          </w:rPr>
          <w:fldChar w:fldCharType="begin"/>
        </w:r>
        <w:r w:rsidR="007D7E45">
          <w:rPr>
            <w:webHidden/>
          </w:rPr>
          <w:instrText xml:space="preserve"> PAGEREF _Toc335915930 \h </w:instrText>
        </w:r>
        <w:r w:rsidR="00C7347D">
          <w:rPr>
            <w:webHidden/>
          </w:rPr>
        </w:r>
        <w:r w:rsidR="00C7347D">
          <w:rPr>
            <w:webHidden/>
          </w:rPr>
          <w:fldChar w:fldCharType="separate"/>
        </w:r>
        <w:r w:rsidR="00E70A53">
          <w:rPr>
            <w:webHidden/>
          </w:rPr>
          <w:t>131</w:t>
        </w:r>
        <w:r w:rsidR="00C7347D">
          <w:rPr>
            <w:webHidden/>
          </w:rPr>
          <w:fldChar w:fldCharType="end"/>
        </w:r>
      </w:hyperlink>
    </w:p>
    <w:p w:rsidR="007D7E45" w:rsidRDefault="008F3A4A">
      <w:pPr>
        <w:pStyle w:val="TableofFigures"/>
        <w:rPr>
          <w:rFonts w:asciiTheme="minorHAnsi" w:eastAsiaTheme="minorEastAsia" w:hAnsiTheme="minorHAnsi" w:cstheme="minorBidi"/>
          <w:sz w:val="22"/>
          <w:lang w:eastAsia="en-AU" w:bidi="ar-SA"/>
        </w:rPr>
      </w:pPr>
      <w:hyperlink w:anchor="_Toc335915931" w:history="1">
        <w:r w:rsidR="007D7E45" w:rsidRPr="004E0FDD">
          <w:rPr>
            <w:rStyle w:val="Hyperlink"/>
          </w:rPr>
          <w:t>Figure 8</w:t>
        </w:r>
        <w:r w:rsidR="007D7E45" w:rsidRPr="004E0FDD">
          <w:rPr>
            <w:rStyle w:val="Hyperlink"/>
          </w:rPr>
          <w:noBreakHyphen/>
          <w:t>3</w:t>
        </w:r>
        <w:r w:rsidR="007D7E45">
          <w:rPr>
            <w:rFonts w:asciiTheme="minorHAnsi" w:eastAsiaTheme="minorEastAsia" w:hAnsiTheme="minorHAnsi" w:cstheme="minorBidi"/>
            <w:sz w:val="22"/>
            <w:lang w:eastAsia="en-AU" w:bidi="ar-SA"/>
          </w:rPr>
          <w:tab/>
        </w:r>
        <w:r w:rsidR="007D7E45" w:rsidRPr="004E0FDD">
          <w:rPr>
            <w:rStyle w:val="Hyperlink"/>
          </w:rPr>
          <w:t>Persons with a child, rate of application for exemption and success, by Indigenous status and number of children, October 2011</w:t>
        </w:r>
        <w:r w:rsidR="007D7E45">
          <w:rPr>
            <w:webHidden/>
          </w:rPr>
          <w:tab/>
        </w:r>
        <w:r w:rsidR="00C7347D">
          <w:rPr>
            <w:webHidden/>
          </w:rPr>
          <w:fldChar w:fldCharType="begin"/>
        </w:r>
        <w:r w:rsidR="007D7E45">
          <w:rPr>
            <w:webHidden/>
          </w:rPr>
          <w:instrText xml:space="preserve"> PAGEREF _Toc335915931 \h </w:instrText>
        </w:r>
        <w:r w:rsidR="00C7347D">
          <w:rPr>
            <w:webHidden/>
          </w:rPr>
        </w:r>
        <w:r w:rsidR="00C7347D">
          <w:rPr>
            <w:webHidden/>
          </w:rPr>
          <w:fldChar w:fldCharType="separate"/>
        </w:r>
        <w:r w:rsidR="00E70A53">
          <w:rPr>
            <w:webHidden/>
          </w:rPr>
          <w:t>132</w:t>
        </w:r>
        <w:r w:rsidR="00C7347D">
          <w:rPr>
            <w:webHidden/>
          </w:rPr>
          <w:fldChar w:fldCharType="end"/>
        </w:r>
      </w:hyperlink>
    </w:p>
    <w:p w:rsidR="007D7E45" w:rsidRDefault="008F3A4A">
      <w:pPr>
        <w:pStyle w:val="TableofFigures"/>
        <w:rPr>
          <w:rFonts w:asciiTheme="minorHAnsi" w:eastAsiaTheme="minorEastAsia" w:hAnsiTheme="minorHAnsi" w:cstheme="minorBidi"/>
          <w:sz w:val="22"/>
          <w:lang w:eastAsia="en-AU" w:bidi="ar-SA"/>
        </w:rPr>
      </w:pPr>
      <w:hyperlink w:anchor="_Toc335915932" w:history="1">
        <w:r w:rsidR="007D7E45" w:rsidRPr="004E0FDD">
          <w:rPr>
            <w:rStyle w:val="Hyperlink"/>
          </w:rPr>
          <w:t>Figure 9</w:t>
        </w:r>
        <w:r w:rsidR="007D7E45" w:rsidRPr="004E0FDD">
          <w:rPr>
            <w:rStyle w:val="Hyperlink"/>
          </w:rPr>
          <w:noBreakHyphen/>
          <w:t>1</w:t>
        </w:r>
        <w:r w:rsidR="007D7E45">
          <w:rPr>
            <w:rFonts w:asciiTheme="minorHAnsi" w:eastAsiaTheme="minorEastAsia" w:hAnsiTheme="minorHAnsi" w:cstheme="minorBidi"/>
            <w:sz w:val="22"/>
            <w:lang w:eastAsia="en-AU" w:bidi="ar-SA"/>
          </w:rPr>
          <w:tab/>
        </w:r>
        <w:r w:rsidR="007D7E45" w:rsidRPr="004E0FDD">
          <w:rPr>
            <w:rStyle w:val="Hyperlink"/>
          </w:rPr>
          <w:t>Centrelink staff perceptions of how often clients seek financial crisis support</w:t>
        </w:r>
        <w:r w:rsidR="007D7E45">
          <w:rPr>
            <w:webHidden/>
          </w:rPr>
          <w:tab/>
        </w:r>
        <w:r w:rsidR="00C7347D">
          <w:rPr>
            <w:webHidden/>
          </w:rPr>
          <w:fldChar w:fldCharType="begin"/>
        </w:r>
        <w:r w:rsidR="007D7E45">
          <w:rPr>
            <w:webHidden/>
          </w:rPr>
          <w:instrText xml:space="preserve"> PAGEREF _Toc335915932 \h </w:instrText>
        </w:r>
        <w:r w:rsidR="00C7347D">
          <w:rPr>
            <w:webHidden/>
          </w:rPr>
        </w:r>
        <w:r w:rsidR="00C7347D">
          <w:rPr>
            <w:webHidden/>
          </w:rPr>
          <w:fldChar w:fldCharType="separate"/>
        </w:r>
        <w:r w:rsidR="00E70A53">
          <w:rPr>
            <w:webHidden/>
          </w:rPr>
          <w:t>164</w:t>
        </w:r>
        <w:r w:rsidR="00C7347D">
          <w:rPr>
            <w:webHidden/>
          </w:rPr>
          <w:fldChar w:fldCharType="end"/>
        </w:r>
      </w:hyperlink>
    </w:p>
    <w:p w:rsidR="007D7E45" w:rsidRDefault="008F3A4A">
      <w:pPr>
        <w:pStyle w:val="TableofFigures"/>
        <w:rPr>
          <w:rFonts w:asciiTheme="minorHAnsi" w:eastAsiaTheme="minorEastAsia" w:hAnsiTheme="minorHAnsi" w:cstheme="minorBidi"/>
          <w:sz w:val="22"/>
          <w:lang w:eastAsia="en-AU" w:bidi="ar-SA"/>
        </w:rPr>
      </w:pPr>
      <w:hyperlink w:anchor="_Toc335915933" w:history="1">
        <w:r w:rsidR="007D7E45" w:rsidRPr="004E0FDD">
          <w:rPr>
            <w:rStyle w:val="Hyperlink"/>
          </w:rPr>
          <w:t>Figure 10</w:t>
        </w:r>
        <w:r w:rsidR="007D7E45" w:rsidRPr="004E0FDD">
          <w:rPr>
            <w:rStyle w:val="Hyperlink"/>
          </w:rPr>
          <w:noBreakHyphen/>
          <w:t>1</w:t>
        </w:r>
        <w:r w:rsidR="007D7E45">
          <w:rPr>
            <w:rFonts w:asciiTheme="minorHAnsi" w:eastAsiaTheme="minorEastAsia" w:hAnsiTheme="minorHAnsi" w:cstheme="minorBidi"/>
            <w:sz w:val="22"/>
            <w:lang w:eastAsia="en-AU" w:bidi="ar-SA"/>
          </w:rPr>
          <w:tab/>
        </w:r>
        <w:r w:rsidR="007D7E45" w:rsidRPr="004E0FDD">
          <w:rPr>
            <w:rStyle w:val="Hyperlink"/>
          </w:rPr>
          <w:t>LSNIM Northern Territory and contrast sites, perceived and reported changes in ability to have enough money for food</w:t>
        </w:r>
        <w:r w:rsidR="007D7E45">
          <w:rPr>
            <w:webHidden/>
          </w:rPr>
          <w:tab/>
        </w:r>
        <w:r w:rsidR="00C7347D">
          <w:rPr>
            <w:webHidden/>
          </w:rPr>
          <w:fldChar w:fldCharType="begin"/>
        </w:r>
        <w:r w:rsidR="007D7E45">
          <w:rPr>
            <w:webHidden/>
          </w:rPr>
          <w:instrText xml:space="preserve"> PAGEREF _Toc335915933 \h </w:instrText>
        </w:r>
        <w:r w:rsidR="00C7347D">
          <w:rPr>
            <w:webHidden/>
          </w:rPr>
        </w:r>
        <w:r w:rsidR="00C7347D">
          <w:rPr>
            <w:webHidden/>
          </w:rPr>
          <w:fldChar w:fldCharType="separate"/>
        </w:r>
        <w:r w:rsidR="00E70A53">
          <w:rPr>
            <w:webHidden/>
          </w:rPr>
          <w:t>196</w:t>
        </w:r>
        <w:r w:rsidR="00C7347D">
          <w:rPr>
            <w:webHidden/>
          </w:rPr>
          <w:fldChar w:fldCharType="end"/>
        </w:r>
      </w:hyperlink>
    </w:p>
    <w:p w:rsidR="007D7E45" w:rsidRDefault="008F3A4A">
      <w:pPr>
        <w:pStyle w:val="TableofFigures"/>
        <w:rPr>
          <w:rFonts w:asciiTheme="minorHAnsi" w:eastAsiaTheme="minorEastAsia" w:hAnsiTheme="minorHAnsi" w:cstheme="minorBidi"/>
          <w:sz w:val="22"/>
          <w:lang w:eastAsia="en-AU" w:bidi="ar-SA"/>
        </w:rPr>
      </w:pPr>
      <w:hyperlink w:anchor="_Toc335915934" w:history="1">
        <w:r w:rsidR="007D7E45" w:rsidRPr="004E0FDD">
          <w:rPr>
            <w:rStyle w:val="Hyperlink"/>
          </w:rPr>
          <w:t>Figure 10</w:t>
        </w:r>
        <w:r w:rsidR="007D7E45" w:rsidRPr="004E0FDD">
          <w:rPr>
            <w:rStyle w:val="Hyperlink"/>
          </w:rPr>
          <w:noBreakHyphen/>
          <w:t>2</w:t>
        </w:r>
        <w:r w:rsidR="007D7E45">
          <w:rPr>
            <w:rFonts w:asciiTheme="minorHAnsi" w:eastAsiaTheme="minorEastAsia" w:hAnsiTheme="minorHAnsi" w:cstheme="minorBidi"/>
            <w:sz w:val="22"/>
            <w:lang w:eastAsia="en-AU" w:bidi="ar-SA"/>
          </w:rPr>
          <w:tab/>
        </w:r>
        <w:r w:rsidR="007D7E45" w:rsidRPr="004E0FDD">
          <w:rPr>
            <w:rStyle w:val="Hyperlink"/>
          </w:rPr>
          <w:t>LSNIM Northern Territory participants, sense of control over money in family relative to before income management</w:t>
        </w:r>
        <w:r w:rsidR="007D7E45">
          <w:rPr>
            <w:webHidden/>
          </w:rPr>
          <w:tab/>
        </w:r>
        <w:r w:rsidR="00C7347D">
          <w:rPr>
            <w:webHidden/>
          </w:rPr>
          <w:fldChar w:fldCharType="begin"/>
        </w:r>
        <w:r w:rsidR="007D7E45">
          <w:rPr>
            <w:webHidden/>
          </w:rPr>
          <w:instrText xml:space="preserve"> PAGEREF _Toc335915934 \h </w:instrText>
        </w:r>
        <w:r w:rsidR="00C7347D">
          <w:rPr>
            <w:webHidden/>
          </w:rPr>
        </w:r>
        <w:r w:rsidR="00C7347D">
          <w:rPr>
            <w:webHidden/>
          </w:rPr>
          <w:fldChar w:fldCharType="separate"/>
        </w:r>
        <w:r w:rsidR="00E70A53">
          <w:rPr>
            <w:webHidden/>
          </w:rPr>
          <w:t>198</w:t>
        </w:r>
        <w:r w:rsidR="00C7347D">
          <w:rPr>
            <w:webHidden/>
          </w:rPr>
          <w:fldChar w:fldCharType="end"/>
        </w:r>
      </w:hyperlink>
    </w:p>
    <w:p w:rsidR="007D7E45" w:rsidRDefault="008F3A4A">
      <w:pPr>
        <w:pStyle w:val="TableofFigures"/>
        <w:rPr>
          <w:rFonts w:asciiTheme="minorHAnsi" w:eastAsiaTheme="minorEastAsia" w:hAnsiTheme="minorHAnsi" w:cstheme="minorBidi"/>
          <w:sz w:val="22"/>
          <w:lang w:eastAsia="en-AU" w:bidi="ar-SA"/>
        </w:rPr>
      </w:pPr>
      <w:hyperlink w:anchor="_Toc335915935" w:history="1">
        <w:r w:rsidR="007D7E45" w:rsidRPr="004E0FDD">
          <w:rPr>
            <w:rStyle w:val="Hyperlink"/>
          </w:rPr>
          <w:t>Figure 10</w:t>
        </w:r>
        <w:r w:rsidR="007D7E45" w:rsidRPr="004E0FDD">
          <w:rPr>
            <w:rStyle w:val="Hyperlink"/>
          </w:rPr>
          <w:noBreakHyphen/>
          <w:t xml:space="preserve">3 </w:t>
        </w:r>
        <w:r w:rsidR="007D7E45">
          <w:rPr>
            <w:rFonts w:asciiTheme="minorHAnsi" w:eastAsiaTheme="minorEastAsia" w:hAnsiTheme="minorHAnsi" w:cstheme="minorBidi"/>
            <w:sz w:val="22"/>
            <w:lang w:eastAsia="en-AU" w:bidi="ar-SA"/>
          </w:rPr>
          <w:tab/>
        </w:r>
        <w:r w:rsidR="007D7E45" w:rsidRPr="004E0FDD">
          <w:rPr>
            <w:rStyle w:val="Hyperlink"/>
          </w:rPr>
          <w:t>LSNIM Indigenous survey participants on income management and Indigenous contrast group, cumulative sense of control over money</w:t>
        </w:r>
        <w:r w:rsidR="007D7E45">
          <w:rPr>
            <w:webHidden/>
          </w:rPr>
          <w:tab/>
        </w:r>
        <w:r w:rsidR="00C7347D">
          <w:rPr>
            <w:webHidden/>
          </w:rPr>
          <w:fldChar w:fldCharType="begin"/>
        </w:r>
        <w:r w:rsidR="007D7E45">
          <w:rPr>
            <w:webHidden/>
          </w:rPr>
          <w:instrText xml:space="preserve"> PAGEREF _Toc335915935 \h </w:instrText>
        </w:r>
        <w:r w:rsidR="00C7347D">
          <w:rPr>
            <w:webHidden/>
          </w:rPr>
        </w:r>
        <w:r w:rsidR="00C7347D">
          <w:rPr>
            <w:webHidden/>
          </w:rPr>
          <w:fldChar w:fldCharType="separate"/>
        </w:r>
        <w:r w:rsidR="00E70A53">
          <w:rPr>
            <w:webHidden/>
          </w:rPr>
          <w:t>199</w:t>
        </w:r>
        <w:r w:rsidR="00C7347D">
          <w:rPr>
            <w:webHidden/>
          </w:rPr>
          <w:fldChar w:fldCharType="end"/>
        </w:r>
      </w:hyperlink>
    </w:p>
    <w:p w:rsidR="007D7E45" w:rsidRDefault="008F3A4A">
      <w:pPr>
        <w:pStyle w:val="TableofFigures"/>
        <w:rPr>
          <w:rFonts w:asciiTheme="minorHAnsi" w:eastAsiaTheme="minorEastAsia" w:hAnsiTheme="minorHAnsi" w:cstheme="minorBidi"/>
          <w:sz w:val="22"/>
          <w:lang w:eastAsia="en-AU" w:bidi="ar-SA"/>
        </w:rPr>
      </w:pPr>
      <w:hyperlink w:anchor="_Toc335915936" w:history="1">
        <w:r w:rsidR="007D7E45" w:rsidRPr="004E0FDD">
          <w:rPr>
            <w:rStyle w:val="Hyperlink"/>
          </w:rPr>
          <w:t>Figure 10</w:t>
        </w:r>
        <w:r w:rsidR="007D7E45" w:rsidRPr="004E0FDD">
          <w:rPr>
            <w:rStyle w:val="Hyperlink"/>
          </w:rPr>
          <w:noBreakHyphen/>
          <w:t xml:space="preserve">4 </w:t>
        </w:r>
        <w:r w:rsidR="007D7E45">
          <w:rPr>
            <w:rFonts w:asciiTheme="minorHAnsi" w:eastAsiaTheme="minorEastAsia" w:hAnsiTheme="minorHAnsi" w:cstheme="minorBidi"/>
            <w:sz w:val="22"/>
            <w:lang w:eastAsia="en-AU" w:bidi="ar-SA"/>
          </w:rPr>
          <w:tab/>
        </w:r>
        <w:r w:rsidR="007D7E45" w:rsidRPr="004E0FDD">
          <w:rPr>
            <w:rStyle w:val="Hyperlink"/>
          </w:rPr>
          <w:t>LSNIM major Indigenous sub-populations by type of income management, past income management experience and location, multivariate analysis of control over money</w:t>
        </w:r>
        <w:r w:rsidR="007D7E45">
          <w:rPr>
            <w:webHidden/>
          </w:rPr>
          <w:tab/>
        </w:r>
        <w:r w:rsidR="00C7347D">
          <w:rPr>
            <w:webHidden/>
          </w:rPr>
          <w:fldChar w:fldCharType="begin"/>
        </w:r>
        <w:r w:rsidR="007D7E45">
          <w:rPr>
            <w:webHidden/>
          </w:rPr>
          <w:instrText xml:space="preserve"> PAGEREF _Toc335915936 \h </w:instrText>
        </w:r>
        <w:r w:rsidR="00C7347D">
          <w:rPr>
            <w:webHidden/>
          </w:rPr>
        </w:r>
        <w:r w:rsidR="00C7347D">
          <w:rPr>
            <w:webHidden/>
          </w:rPr>
          <w:fldChar w:fldCharType="separate"/>
        </w:r>
        <w:r w:rsidR="00E70A53">
          <w:rPr>
            <w:webHidden/>
          </w:rPr>
          <w:t>201</w:t>
        </w:r>
        <w:r w:rsidR="00C7347D">
          <w:rPr>
            <w:webHidden/>
          </w:rPr>
          <w:fldChar w:fldCharType="end"/>
        </w:r>
      </w:hyperlink>
    </w:p>
    <w:p w:rsidR="007D7E45" w:rsidRDefault="008F3A4A">
      <w:pPr>
        <w:pStyle w:val="TableofFigures"/>
        <w:rPr>
          <w:rFonts w:asciiTheme="minorHAnsi" w:eastAsiaTheme="minorEastAsia" w:hAnsiTheme="minorHAnsi" w:cstheme="minorBidi"/>
          <w:sz w:val="22"/>
          <w:lang w:eastAsia="en-AU" w:bidi="ar-SA"/>
        </w:rPr>
      </w:pPr>
      <w:hyperlink w:anchor="_Toc335915937" w:history="1">
        <w:r w:rsidR="007D7E45" w:rsidRPr="004E0FDD">
          <w:rPr>
            <w:rStyle w:val="Hyperlink"/>
          </w:rPr>
          <w:t>Figure 10</w:t>
        </w:r>
        <w:r w:rsidR="007D7E45" w:rsidRPr="004E0FDD">
          <w:rPr>
            <w:rStyle w:val="Hyperlink"/>
          </w:rPr>
          <w:noBreakHyphen/>
          <w:t>5</w:t>
        </w:r>
        <w:r w:rsidR="007D7E45">
          <w:rPr>
            <w:rFonts w:asciiTheme="minorHAnsi" w:eastAsiaTheme="minorEastAsia" w:hAnsiTheme="minorHAnsi" w:cstheme="minorBidi"/>
            <w:sz w:val="22"/>
            <w:lang w:eastAsia="en-AU" w:bidi="ar-SA"/>
          </w:rPr>
          <w:tab/>
        </w:r>
        <w:r w:rsidR="007D7E45" w:rsidRPr="004E0FDD">
          <w:rPr>
            <w:rStyle w:val="Hyperlink"/>
          </w:rPr>
          <w:t>Northern Territory income management survey participants, change in the incidence of family problems by gender</w:t>
        </w:r>
        <w:r w:rsidR="007D7E45">
          <w:rPr>
            <w:webHidden/>
          </w:rPr>
          <w:tab/>
        </w:r>
        <w:r w:rsidR="00C7347D">
          <w:rPr>
            <w:webHidden/>
          </w:rPr>
          <w:fldChar w:fldCharType="begin"/>
        </w:r>
        <w:r w:rsidR="007D7E45">
          <w:rPr>
            <w:webHidden/>
          </w:rPr>
          <w:instrText xml:space="preserve"> PAGEREF _Toc335915937 \h </w:instrText>
        </w:r>
        <w:r w:rsidR="00C7347D">
          <w:rPr>
            <w:webHidden/>
          </w:rPr>
        </w:r>
        <w:r w:rsidR="00C7347D">
          <w:rPr>
            <w:webHidden/>
          </w:rPr>
          <w:fldChar w:fldCharType="separate"/>
        </w:r>
        <w:r w:rsidR="00E70A53">
          <w:rPr>
            <w:webHidden/>
          </w:rPr>
          <w:t>211</w:t>
        </w:r>
        <w:r w:rsidR="00C7347D">
          <w:rPr>
            <w:webHidden/>
          </w:rPr>
          <w:fldChar w:fldCharType="end"/>
        </w:r>
      </w:hyperlink>
    </w:p>
    <w:p w:rsidR="007D7E45" w:rsidRDefault="008F3A4A">
      <w:pPr>
        <w:pStyle w:val="TableofFigures"/>
        <w:rPr>
          <w:rFonts w:asciiTheme="minorHAnsi" w:eastAsiaTheme="minorEastAsia" w:hAnsiTheme="minorHAnsi" w:cstheme="minorBidi"/>
          <w:sz w:val="22"/>
          <w:lang w:eastAsia="en-AU" w:bidi="ar-SA"/>
        </w:rPr>
      </w:pPr>
      <w:hyperlink w:anchor="_Toc335915938" w:history="1">
        <w:r w:rsidR="007D7E45" w:rsidRPr="004E0FDD">
          <w:rPr>
            <w:rStyle w:val="Hyperlink"/>
          </w:rPr>
          <w:t>Figure 10</w:t>
        </w:r>
        <w:r w:rsidR="007D7E45" w:rsidRPr="004E0FDD">
          <w:rPr>
            <w:rStyle w:val="Hyperlink"/>
          </w:rPr>
          <w:noBreakHyphen/>
          <w:t>6</w:t>
        </w:r>
        <w:r w:rsidR="007D7E45">
          <w:rPr>
            <w:rFonts w:asciiTheme="minorHAnsi" w:eastAsiaTheme="minorEastAsia" w:hAnsiTheme="minorHAnsi" w:cstheme="minorBidi"/>
            <w:sz w:val="22"/>
            <w:lang w:eastAsia="en-AU" w:bidi="ar-SA"/>
          </w:rPr>
          <w:tab/>
        </w:r>
        <w:r w:rsidR="007D7E45" w:rsidRPr="004E0FDD">
          <w:rPr>
            <w:rStyle w:val="Hyperlink"/>
          </w:rPr>
          <w:t>Major Indigenous sub-populations by type of income management and location, multivariate analysis of children’s wellbeing, impact of different income management circumstances</w:t>
        </w:r>
        <w:r w:rsidR="007D7E45">
          <w:rPr>
            <w:webHidden/>
          </w:rPr>
          <w:tab/>
        </w:r>
        <w:r w:rsidR="00C7347D">
          <w:rPr>
            <w:webHidden/>
          </w:rPr>
          <w:fldChar w:fldCharType="begin"/>
        </w:r>
        <w:r w:rsidR="007D7E45">
          <w:rPr>
            <w:webHidden/>
          </w:rPr>
          <w:instrText xml:space="preserve"> PAGEREF _Toc335915938 \h </w:instrText>
        </w:r>
        <w:r w:rsidR="00C7347D">
          <w:rPr>
            <w:webHidden/>
          </w:rPr>
        </w:r>
        <w:r w:rsidR="00C7347D">
          <w:rPr>
            <w:webHidden/>
          </w:rPr>
          <w:fldChar w:fldCharType="separate"/>
        </w:r>
        <w:r w:rsidR="00E70A53">
          <w:rPr>
            <w:webHidden/>
          </w:rPr>
          <w:t>213</w:t>
        </w:r>
        <w:r w:rsidR="00C7347D">
          <w:rPr>
            <w:webHidden/>
          </w:rPr>
          <w:fldChar w:fldCharType="end"/>
        </w:r>
      </w:hyperlink>
    </w:p>
    <w:p w:rsidR="007D7E45" w:rsidRDefault="008F3A4A">
      <w:pPr>
        <w:pStyle w:val="TableofFigures"/>
        <w:rPr>
          <w:rFonts w:asciiTheme="minorHAnsi" w:eastAsiaTheme="minorEastAsia" w:hAnsiTheme="minorHAnsi" w:cstheme="minorBidi"/>
          <w:sz w:val="22"/>
          <w:lang w:eastAsia="en-AU" w:bidi="ar-SA"/>
        </w:rPr>
      </w:pPr>
      <w:hyperlink w:anchor="_Toc335915939" w:history="1">
        <w:r w:rsidR="007D7E45" w:rsidRPr="004E0FDD">
          <w:rPr>
            <w:rStyle w:val="Hyperlink"/>
          </w:rPr>
          <w:t>Figure 10</w:t>
        </w:r>
        <w:r w:rsidR="007D7E45" w:rsidRPr="004E0FDD">
          <w:rPr>
            <w:rStyle w:val="Hyperlink"/>
          </w:rPr>
          <w:noBreakHyphen/>
          <w:t>7</w:t>
        </w:r>
        <w:r w:rsidR="007D7E45">
          <w:rPr>
            <w:rFonts w:asciiTheme="minorHAnsi" w:eastAsiaTheme="minorEastAsia" w:hAnsiTheme="minorHAnsi" w:cstheme="minorBidi"/>
            <w:sz w:val="22"/>
            <w:lang w:eastAsia="en-AU" w:bidi="ar-SA"/>
          </w:rPr>
          <w:tab/>
        </w:r>
        <w:r w:rsidR="007D7E45" w:rsidRPr="004E0FDD">
          <w:rPr>
            <w:rStyle w:val="Hyperlink"/>
          </w:rPr>
          <w:t>Northern Territory income managed survey participants, whether they wish to remain on or exit income management</w:t>
        </w:r>
        <w:r w:rsidR="007D7E45">
          <w:rPr>
            <w:webHidden/>
          </w:rPr>
          <w:tab/>
        </w:r>
        <w:r w:rsidR="00C7347D">
          <w:rPr>
            <w:webHidden/>
          </w:rPr>
          <w:fldChar w:fldCharType="begin"/>
        </w:r>
        <w:r w:rsidR="007D7E45">
          <w:rPr>
            <w:webHidden/>
          </w:rPr>
          <w:instrText xml:space="preserve"> PAGEREF _Toc335915939 \h </w:instrText>
        </w:r>
        <w:r w:rsidR="00C7347D">
          <w:rPr>
            <w:webHidden/>
          </w:rPr>
        </w:r>
        <w:r w:rsidR="00C7347D">
          <w:rPr>
            <w:webHidden/>
          </w:rPr>
          <w:fldChar w:fldCharType="separate"/>
        </w:r>
        <w:r w:rsidR="00E70A53">
          <w:rPr>
            <w:webHidden/>
          </w:rPr>
          <w:t>215</w:t>
        </w:r>
        <w:r w:rsidR="00C7347D">
          <w:rPr>
            <w:webHidden/>
          </w:rPr>
          <w:fldChar w:fldCharType="end"/>
        </w:r>
      </w:hyperlink>
    </w:p>
    <w:p w:rsidR="007D7E45" w:rsidRDefault="008F3A4A">
      <w:pPr>
        <w:pStyle w:val="TableofFigures"/>
        <w:rPr>
          <w:rFonts w:asciiTheme="minorHAnsi" w:eastAsiaTheme="minorEastAsia" w:hAnsiTheme="minorHAnsi" w:cstheme="minorBidi"/>
          <w:sz w:val="22"/>
          <w:lang w:eastAsia="en-AU" w:bidi="ar-SA"/>
        </w:rPr>
      </w:pPr>
      <w:hyperlink w:anchor="_Toc335915940" w:history="1">
        <w:r w:rsidR="007D7E45" w:rsidRPr="004E0FDD">
          <w:rPr>
            <w:rStyle w:val="Hyperlink"/>
          </w:rPr>
          <w:t>Figure 10</w:t>
        </w:r>
        <w:r w:rsidR="007D7E45" w:rsidRPr="004E0FDD">
          <w:rPr>
            <w:rStyle w:val="Hyperlink"/>
          </w:rPr>
          <w:noBreakHyphen/>
          <w:t>8</w:t>
        </w:r>
        <w:r w:rsidR="007D7E45">
          <w:rPr>
            <w:rFonts w:asciiTheme="minorHAnsi" w:eastAsiaTheme="minorEastAsia" w:hAnsiTheme="minorHAnsi" w:cstheme="minorBidi"/>
            <w:sz w:val="22"/>
            <w:lang w:eastAsia="en-AU" w:bidi="ar-SA"/>
          </w:rPr>
          <w:tab/>
        </w:r>
        <w:r w:rsidR="007D7E45" w:rsidRPr="004E0FDD">
          <w:rPr>
            <w:rStyle w:val="Hyperlink"/>
          </w:rPr>
          <w:t>Northern Territory survey participants subject to compulsory income management, reasons given for having sought an exemption</w:t>
        </w:r>
        <w:r w:rsidR="007D7E45">
          <w:rPr>
            <w:webHidden/>
          </w:rPr>
          <w:tab/>
        </w:r>
        <w:r w:rsidR="00C7347D">
          <w:rPr>
            <w:webHidden/>
          </w:rPr>
          <w:fldChar w:fldCharType="begin"/>
        </w:r>
        <w:r w:rsidR="007D7E45">
          <w:rPr>
            <w:webHidden/>
          </w:rPr>
          <w:instrText xml:space="preserve"> PAGEREF _Toc335915940 \h </w:instrText>
        </w:r>
        <w:r w:rsidR="00C7347D">
          <w:rPr>
            <w:webHidden/>
          </w:rPr>
        </w:r>
        <w:r w:rsidR="00C7347D">
          <w:rPr>
            <w:webHidden/>
          </w:rPr>
          <w:fldChar w:fldCharType="separate"/>
        </w:r>
        <w:r w:rsidR="00E70A53">
          <w:rPr>
            <w:webHidden/>
          </w:rPr>
          <w:t>216</w:t>
        </w:r>
        <w:r w:rsidR="00C7347D">
          <w:rPr>
            <w:webHidden/>
          </w:rPr>
          <w:fldChar w:fldCharType="end"/>
        </w:r>
      </w:hyperlink>
    </w:p>
    <w:p w:rsidR="007D7E45" w:rsidRDefault="008F3A4A">
      <w:pPr>
        <w:pStyle w:val="TableofFigures"/>
        <w:rPr>
          <w:rFonts w:asciiTheme="minorHAnsi" w:eastAsiaTheme="minorEastAsia" w:hAnsiTheme="minorHAnsi" w:cstheme="minorBidi"/>
          <w:sz w:val="22"/>
          <w:lang w:eastAsia="en-AU" w:bidi="ar-SA"/>
        </w:rPr>
      </w:pPr>
      <w:hyperlink w:anchor="_Toc335915941" w:history="1">
        <w:r w:rsidR="007D7E45" w:rsidRPr="004E0FDD">
          <w:rPr>
            <w:rStyle w:val="Hyperlink"/>
          </w:rPr>
          <w:t>Figure 10</w:t>
        </w:r>
        <w:r w:rsidR="007D7E45" w:rsidRPr="004E0FDD">
          <w:rPr>
            <w:rStyle w:val="Hyperlink"/>
          </w:rPr>
          <w:noBreakHyphen/>
          <w:t>9</w:t>
        </w:r>
        <w:r w:rsidR="007D7E45">
          <w:rPr>
            <w:rFonts w:asciiTheme="minorHAnsi" w:eastAsiaTheme="minorEastAsia" w:hAnsiTheme="minorHAnsi" w:cstheme="minorBidi"/>
            <w:sz w:val="22"/>
            <w:lang w:eastAsia="en-AU" w:bidi="ar-SA"/>
          </w:rPr>
          <w:tab/>
        </w:r>
        <w:r w:rsidR="007D7E45" w:rsidRPr="004E0FDD">
          <w:rPr>
            <w:rStyle w:val="Hyperlink"/>
          </w:rPr>
          <w:t>Northern Territory survey participants, overall assessment of impact of income management</w:t>
        </w:r>
        <w:r w:rsidR="007D7E45">
          <w:rPr>
            <w:webHidden/>
          </w:rPr>
          <w:tab/>
        </w:r>
        <w:r w:rsidR="00C7347D">
          <w:rPr>
            <w:webHidden/>
          </w:rPr>
          <w:fldChar w:fldCharType="begin"/>
        </w:r>
        <w:r w:rsidR="007D7E45">
          <w:rPr>
            <w:webHidden/>
          </w:rPr>
          <w:instrText xml:space="preserve"> PAGEREF _Toc335915941 \h </w:instrText>
        </w:r>
        <w:r w:rsidR="00C7347D">
          <w:rPr>
            <w:webHidden/>
          </w:rPr>
        </w:r>
        <w:r w:rsidR="00C7347D">
          <w:rPr>
            <w:webHidden/>
          </w:rPr>
          <w:fldChar w:fldCharType="separate"/>
        </w:r>
        <w:r w:rsidR="00E70A53">
          <w:rPr>
            <w:webHidden/>
          </w:rPr>
          <w:t>217</w:t>
        </w:r>
        <w:r w:rsidR="00C7347D">
          <w:rPr>
            <w:webHidden/>
          </w:rPr>
          <w:fldChar w:fldCharType="end"/>
        </w:r>
      </w:hyperlink>
    </w:p>
    <w:p w:rsidR="007D7E45" w:rsidRDefault="008F3A4A">
      <w:pPr>
        <w:pStyle w:val="TableofFigures"/>
        <w:rPr>
          <w:rFonts w:asciiTheme="minorHAnsi" w:eastAsiaTheme="minorEastAsia" w:hAnsiTheme="minorHAnsi" w:cstheme="minorBidi"/>
          <w:sz w:val="22"/>
          <w:lang w:eastAsia="en-AU" w:bidi="ar-SA"/>
        </w:rPr>
      </w:pPr>
      <w:hyperlink w:anchor="_Toc335915942" w:history="1">
        <w:r w:rsidR="007D7E45" w:rsidRPr="004E0FDD">
          <w:rPr>
            <w:rStyle w:val="Hyperlink"/>
          </w:rPr>
          <w:t>Figure 12</w:t>
        </w:r>
        <w:r w:rsidR="007D7E45" w:rsidRPr="004E0FDD">
          <w:rPr>
            <w:rStyle w:val="Hyperlink"/>
          </w:rPr>
          <w:noBreakHyphen/>
          <w:t>1</w:t>
        </w:r>
        <w:r w:rsidR="007D7E45">
          <w:rPr>
            <w:rFonts w:asciiTheme="minorHAnsi" w:eastAsiaTheme="minorEastAsia" w:hAnsiTheme="minorHAnsi" w:cstheme="minorBidi"/>
            <w:sz w:val="22"/>
            <w:lang w:eastAsia="en-AU" w:bidi="ar-SA"/>
          </w:rPr>
          <w:tab/>
        </w:r>
        <w:r w:rsidR="007D7E45" w:rsidRPr="004E0FDD">
          <w:rPr>
            <w:rStyle w:val="Hyperlink"/>
          </w:rPr>
          <w:t>Number of Indigenous Northern Territory income support recipients under Age Pension eligibility age by payment category and age, 2001-2011</w:t>
        </w:r>
        <w:r w:rsidR="007D7E45">
          <w:rPr>
            <w:webHidden/>
          </w:rPr>
          <w:tab/>
        </w:r>
        <w:r w:rsidR="00C7347D">
          <w:rPr>
            <w:webHidden/>
          </w:rPr>
          <w:fldChar w:fldCharType="begin"/>
        </w:r>
        <w:r w:rsidR="007D7E45">
          <w:rPr>
            <w:webHidden/>
          </w:rPr>
          <w:instrText xml:space="preserve"> PAGEREF _Toc335915942 \h </w:instrText>
        </w:r>
        <w:r w:rsidR="00C7347D">
          <w:rPr>
            <w:webHidden/>
          </w:rPr>
        </w:r>
        <w:r w:rsidR="00C7347D">
          <w:rPr>
            <w:webHidden/>
          </w:rPr>
          <w:fldChar w:fldCharType="separate"/>
        </w:r>
        <w:r w:rsidR="00E70A53">
          <w:rPr>
            <w:webHidden/>
          </w:rPr>
          <w:t>242</w:t>
        </w:r>
        <w:r w:rsidR="00C7347D">
          <w:rPr>
            <w:webHidden/>
          </w:rPr>
          <w:fldChar w:fldCharType="end"/>
        </w:r>
      </w:hyperlink>
    </w:p>
    <w:p w:rsidR="007D7E45" w:rsidRDefault="008F3A4A">
      <w:pPr>
        <w:pStyle w:val="TableofFigures"/>
        <w:rPr>
          <w:rFonts w:asciiTheme="minorHAnsi" w:eastAsiaTheme="minorEastAsia" w:hAnsiTheme="minorHAnsi" w:cstheme="minorBidi"/>
          <w:sz w:val="22"/>
          <w:lang w:eastAsia="en-AU" w:bidi="ar-SA"/>
        </w:rPr>
      </w:pPr>
      <w:hyperlink w:anchor="_Toc335915943" w:history="1">
        <w:r w:rsidR="007D7E45" w:rsidRPr="004E0FDD">
          <w:rPr>
            <w:rStyle w:val="Hyperlink"/>
          </w:rPr>
          <w:t>Figure 12</w:t>
        </w:r>
        <w:r w:rsidR="007D7E45" w:rsidRPr="004E0FDD">
          <w:rPr>
            <w:rStyle w:val="Hyperlink"/>
          </w:rPr>
          <w:noBreakHyphen/>
          <w:t>2</w:t>
        </w:r>
        <w:r w:rsidR="007D7E45">
          <w:rPr>
            <w:rFonts w:asciiTheme="minorHAnsi" w:eastAsiaTheme="minorEastAsia" w:hAnsiTheme="minorHAnsi" w:cstheme="minorBidi"/>
            <w:sz w:val="22"/>
            <w:lang w:eastAsia="en-AU" w:bidi="ar-SA"/>
          </w:rPr>
          <w:tab/>
        </w:r>
        <w:r w:rsidR="007D7E45" w:rsidRPr="004E0FDD">
          <w:rPr>
            <w:rStyle w:val="Hyperlink"/>
          </w:rPr>
          <w:t>Number of non-Indigenous Northern Territory income support recipients under Age Pension eligibility age by payment category and age, 2001-2011</w:t>
        </w:r>
        <w:r w:rsidR="007D7E45">
          <w:rPr>
            <w:webHidden/>
          </w:rPr>
          <w:tab/>
        </w:r>
        <w:r w:rsidR="00C7347D">
          <w:rPr>
            <w:webHidden/>
          </w:rPr>
          <w:fldChar w:fldCharType="begin"/>
        </w:r>
        <w:r w:rsidR="007D7E45">
          <w:rPr>
            <w:webHidden/>
          </w:rPr>
          <w:instrText xml:space="preserve"> PAGEREF _Toc335915943 \h </w:instrText>
        </w:r>
        <w:r w:rsidR="00C7347D">
          <w:rPr>
            <w:webHidden/>
          </w:rPr>
        </w:r>
        <w:r w:rsidR="00C7347D">
          <w:rPr>
            <w:webHidden/>
          </w:rPr>
          <w:fldChar w:fldCharType="separate"/>
        </w:r>
        <w:r w:rsidR="00E70A53">
          <w:rPr>
            <w:webHidden/>
          </w:rPr>
          <w:t>243</w:t>
        </w:r>
        <w:r w:rsidR="00C7347D">
          <w:rPr>
            <w:webHidden/>
          </w:rPr>
          <w:fldChar w:fldCharType="end"/>
        </w:r>
      </w:hyperlink>
    </w:p>
    <w:p w:rsidR="007D7E45" w:rsidRDefault="008F3A4A">
      <w:pPr>
        <w:pStyle w:val="TableofFigures"/>
        <w:rPr>
          <w:rFonts w:asciiTheme="minorHAnsi" w:eastAsiaTheme="minorEastAsia" w:hAnsiTheme="minorHAnsi" w:cstheme="minorBidi"/>
          <w:sz w:val="22"/>
          <w:lang w:eastAsia="en-AU" w:bidi="ar-SA"/>
        </w:rPr>
      </w:pPr>
      <w:hyperlink w:anchor="_Toc335915944" w:history="1">
        <w:r w:rsidR="007D7E45" w:rsidRPr="004E0FDD">
          <w:rPr>
            <w:rStyle w:val="Hyperlink"/>
          </w:rPr>
          <w:t>Figure 12</w:t>
        </w:r>
        <w:r w:rsidR="007D7E45" w:rsidRPr="004E0FDD">
          <w:rPr>
            <w:rStyle w:val="Hyperlink"/>
          </w:rPr>
          <w:noBreakHyphen/>
          <w:t>3</w:t>
        </w:r>
        <w:r w:rsidR="007D7E45">
          <w:rPr>
            <w:rFonts w:asciiTheme="minorHAnsi" w:eastAsiaTheme="minorEastAsia" w:hAnsiTheme="minorHAnsi" w:cstheme="minorBidi"/>
            <w:sz w:val="22"/>
            <w:lang w:eastAsia="en-AU" w:bidi="ar-SA"/>
          </w:rPr>
          <w:tab/>
        </w:r>
        <w:r w:rsidR="007D7E45" w:rsidRPr="004E0FDD">
          <w:rPr>
            <w:rStyle w:val="Hyperlink"/>
          </w:rPr>
          <w:t>Exit rates from Compulsory Income Management payments by duration on income support: Non-Indigenous people aged 25-64 years, without children</w:t>
        </w:r>
        <w:r w:rsidR="007D7E45">
          <w:rPr>
            <w:webHidden/>
          </w:rPr>
          <w:tab/>
        </w:r>
        <w:r w:rsidR="00C7347D">
          <w:rPr>
            <w:webHidden/>
          </w:rPr>
          <w:fldChar w:fldCharType="begin"/>
        </w:r>
        <w:r w:rsidR="007D7E45">
          <w:rPr>
            <w:webHidden/>
          </w:rPr>
          <w:instrText xml:space="preserve"> PAGEREF _Toc335915944 \h </w:instrText>
        </w:r>
        <w:r w:rsidR="00C7347D">
          <w:rPr>
            <w:webHidden/>
          </w:rPr>
        </w:r>
        <w:r w:rsidR="00C7347D">
          <w:rPr>
            <w:webHidden/>
          </w:rPr>
          <w:fldChar w:fldCharType="separate"/>
        </w:r>
        <w:r w:rsidR="00E70A53">
          <w:rPr>
            <w:webHidden/>
          </w:rPr>
          <w:t>245</w:t>
        </w:r>
        <w:r w:rsidR="00C7347D">
          <w:rPr>
            <w:webHidden/>
          </w:rPr>
          <w:fldChar w:fldCharType="end"/>
        </w:r>
      </w:hyperlink>
    </w:p>
    <w:p w:rsidR="007D7E45" w:rsidRDefault="008F3A4A">
      <w:pPr>
        <w:pStyle w:val="TableofFigures"/>
        <w:rPr>
          <w:rFonts w:asciiTheme="minorHAnsi" w:eastAsiaTheme="minorEastAsia" w:hAnsiTheme="minorHAnsi" w:cstheme="minorBidi"/>
          <w:sz w:val="22"/>
          <w:lang w:eastAsia="en-AU" w:bidi="ar-SA"/>
        </w:rPr>
      </w:pPr>
      <w:hyperlink w:anchor="_Toc335915945" w:history="1">
        <w:r w:rsidR="007D7E45" w:rsidRPr="004E0FDD">
          <w:rPr>
            <w:rStyle w:val="Hyperlink"/>
          </w:rPr>
          <w:t>Figure 12</w:t>
        </w:r>
        <w:r w:rsidR="007D7E45" w:rsidRPr="004E0FDD">
          <w:rPr>
            <w:rStyle w:val="Hyperlink"/>
          </w:rPr>
          <w:noBreakHyphen/>
          <w:t>4</w:t>
        </w:r>
        <w:r w:rsidR="007D7E45">
          <w:rPr>
            <w:rFonts w:asciiTheme="minorHAnsi" w:eastAsiaTheme="minorEastAsia" w:hAnsiTheme="minorHAnsi" w:cstheme="minorBidi"/>
            <w:sz w:val="22"/>
            <w:lang w:eastAsia="en-AU" w:bidi="ar-SA"/>
          </w:rPr>
          <w:tab/>
        </w:r>
        <w:r w:rsidR="007D7E45" w:rsidRPr="004E0FDD">
          <w:rPr>
            <w:rStyle w:val="Hyperlink"/>
          </w:rPr>
          <w:t>Exit rates from Compulsory Income Management payments by duration on income support: Non-Indigenous aged 25-64 years with children</w:t>
        </w:r>
        <w:r w:rsidR="007D7E45">
          <w:rPr>
            <w:webHidden/>
          </w:rPr>
          <w:tab/>
        </w:r>
        <w:r w:rsidR="00C7347D">
          <w:rPr>
            <w:webHidden/>
          </w:rPr>
          <w:fldChar w:fldCharType="begin"/>
        </w:r>
        <w:r w:rsidR="007D7E45">
          <w:rPr>
            <w:webHidden/>
          </w:rPr>
          <w:instrText xml:space="preserve"> PAGEREF _Toc335915945 \h </w:instrText>
        </w:r>
        <w:r w:rsidR="00C7347D">
          <w:rPr>
            <w:webHidden/>
          </w:rPr>
        </w:r>
        <w:r w:rsidR="00C7347D">
          <w:rPr>
            <w:webHidden/>
          </w:rPr>
          <w:fldChar w:fldCharType="separate"/>
        </w:r>
        <w:r w:rsidR="00E70A53">
          <w:rPr>
            <w:webHidden/>
          </w:rPr>
          <w:t>246</w:t>
        </w:r>
        <w:r w:rsidR="00C7347D">
          <w:rPr>
            <w:webHidden/>
          </w:rPr>
          <w:fldChar w:fldCharType="end"/>
        </w:r>
      </w:hyperlink>
    </w:p>
    <w:p w:rsidR="007D7E45" w:rsidRDefault="008F3A4A">
      <w:pPr>
        <w:pStyle w:val="TableofFigures"/>
        <w:rPr>
          <w:rFonts w:asciiTheme="minorHAnsi" w:eastAsiaTheme="minorEastAsia" w:hAnsiTheme="minorHAnsi" w:cstheme="minorBidi"/>
          <w:sz w:val="22"/>
          <w:lang w:eastAsia="en-AU" w:bidi="ar-SA"/>
        </w:rPr>
      </w:pPr>
      <w:hyperlink w:anchor="_Toc335915946" w:history="1">
        <w:r w:rsidR="007D7E45" w:rsidRPr="004E0FDD">
          <w:rPr>
            <w:rStyle w:val="Hyperlink"/>
          </w:rPr>
          <w:t>Figure 12</w:t>
        </w:r>
        <w:r w:rsidR="007D7E45" w:rsidRPr="004E0FDD">
          <w:rPr>
            <w:rStyle w:val="Hyperlink"/>
          </w:rPr>
          <w:noBreakHyphen/>
          <w:t>5</w:t>
        </w:r>
        <w:r w:rsidR="007D7E45">
          <w:rPr>
            <w:rFonts w:asciiTheme="minorHAnsi" w:eastAsiaTheme="minorEastAsia" w:hAnsiTheme="minorHAnsi" w:cstheme="minorBidi"/>
            <w:sz w:val="22"/>
            <w:lang w:eastAsia="en-AU" w:bidi="ar-SA"/>
          </w:rPr>
          <w:tab/>
        </w:r>
        <w:r w:rsidR="007D7E45" w:rsidRPr="004E0FDD">
          <w:rPr>
            <w:rStyle w:val="Hyperlink"/>
          </w:rPr>
          <w:t>Exit rates from Compulsory Income Management payments by duration on income support: Non-Indigenous people aged under 25 years</w:t>
        </w:r>
        <w:r w:rsidR="007D7E45">
          <w:rPr>
            <w:webHidden/>
          </w:rPr>
          <w:tab/>
        </w:r>
        <w:r w:rsidR="00C7347D">
          <w:rPr>
            <w:webHidden/>
          </w:rPr>
          <w:fldChar w:fldCharType="begin"/>
        </w:r>
        <w:r w:rsidR="007D7E45">
          <w:rPr>
            <w:webHidden/>
          </w:rPr>
          <w:instrText xml:space="preserve"> PAGEREF _Toc335915946 \h </w:instrText>
        </w:r>
        <w:r w:rsidR="00C7347D">
          <w:rPr>
            <w:webHidden/>
          </w:rPr>
        </w:r>
        <w:r w:rsidR="00C7347D">
          <w:rPr>
            <w:webHidden/>
          </w:rPr>
          <w:fldChar w:fldCharType="separate"/>
        </w:r>
        <w:r w:rsidR="00E70A53">
          <w:rPr>
            <w:webHidden/>
          </w:rPr>
          <w:t>247</w:t>
        </w:r>
        <w:r w:rsidR="00C7347D">
          <w:rPr>
            <w:webHidden/>
          </w:rPr>
          <w:fldChar w:fldCharType="end"/>
        </w:r>
      </w:hyperlink>
    </w:p>
    <w:p w:rsidR="007D7E45" w:rsidRDefault="008F3A4A">
      <w:pPr>
        <w:pStyle w:val="TableofFigures"/>
        <w:rPr>
          <w:rFonts w:asciiTheme="minorHAnsi" w:eastAsiaTheme="minorEastAsia" w:hAnsiTheme="minorHAnsi" w:cstheme="minorBidi"/>
          <w:sz w:val="22"/>
          <w:lang w:eastAsia="en-AU" w:bidi="ar-SA"/>
        </w:rPr>
      </w:pPr>
      <w:hyperlink w:anchor="_Toc335915947" w:history="1">
        <w:r w:rsidR="007D7E45" w:rsidRPr="004E0FDD">
          <w:rPr>
            <w:rStyle w:val="Hyperlink"/>
          </w:rPr>
          <w:t>Figure 12</w:t>
        </w:r>
        <w:r w:rsidR="007D7E45" w:rsidRPr="004E0FDD">
          <w:rPr>
            <w:rStyle w:val="Hyperlink"/>
          </w:rPr>
          <w:noBreakHyphen/>
          <w:t>6</w:t>
        </w:r>
        <w:r w:rsidR="007D7E45">
          <w:rPr>
            <w:rFonts w:asciiTheme="minorHAnsi" w:eastAsiaTheme="minorEastAsia" w:hAnsiTheme="minorHAnsi" w:cstheme="minorBidi"/>
            <w:sz w:val="22"/>
            <w:lang w:eastAsia="en-AU" w:bidi="ar-SA"/>
          </w:rPr>
          <w:tab/>
        </w:r>
        <w:r w:rsidR="007D7E45" w:rsidRPr="004E0FDD">
          <w:rPr>
            <w:rStyle w:val="Hyperlink"/>
          </w:rPr>
          <w:t>Exit rates from Compulsory Income Management payments by duration on income support: Indigenous aged 25-64 years with children</w:t>
        </w:r>
        <w:r w:rsidR="007D7E45">
          <w:rPr>
            <w:webHidden/>
          </w:rPr>
          <w:tab/>
        </w:r>
        <w:r w:rsidR="00C7347D">
          <w:rPr>
            <w:webHidden/>
          </w:rPr>
          <w:fldChar w:fldCharType="begin"/>
        </w:r>
        <w:r w:rsidR="007D7E45">
          <w:rPr>
            <w:webHidden/>
          </w:rPr>
          <w:instrText xml:space="preserve"> PAGEREF _Toc335915947 \h </w:instrText>
        </w:r>
        <w:r w:rsidR="00C7347D">
          <w:rPr>
            <w:webHidden/>
          </w:rPr>
        </w:r>
        <w:r w:rsidR="00C7347D">
          <w:rPr>
            <w:webHidden/>
          </w:rPr>
          <w:fldChar w:fldCharType="separate"/>
        </w:r>
        <w:r w:rsidR="00E70A53">
          <w:rPr>
            <w:webHidden/>
          </w:rPr>
          <w:t>248</w:t>
        </w:r>
        <w:r w:rsidR="00C7347D">
          <w:rPr>
            <w:webHidden/>
          </w:rPr>
          <w:fldChar w:fldCharType="end"/>
        </w:r>
      </w:hyperlink>
    </w:p>
    <w:p w:rsidR="00FB51C2" w:rsidRPr="005911E2" w:rsidRDefault="00C7347D" w:rsidP="001857ED">
      <w:pPr>
        <w:pStyle w:val="TableofFigures"/>
      </w:pPr>
      <w:r w:rsidRPr="005911E2">
        <w:fldChar w:fldCharType="end"/>
      </w:r>
    </w:p>
    <w:p w:rsidR="00914E5C" w:rsidRPr="005911E2" w:rsidRDefault="00E82FB7" w:rsidP="00BD6DFD">
      <w:pPr>
        <w:pStyle w:val="Heading0"/>
      </w:pPr>
      <w:bookmarkStart w:id="23" w:name="_Toc321225087"/>
      <w:bookmarkStart w:id="24" w:name="_Toc321254431"/>
      <w:bookmarkStart w:id="25" w:name="_Toc328601452"/>
      <w:bookmarkStart w:id="26" w:name="_Toc329870334"/>
      <w:bookmarkStart w:id="27" w:name="_Toc335915720"/>
      <w:r w:rsidRPr="005911E2">
        <w:lastRenderedPageBreak/>
        <w:t>Glossary</w:t>
      </w:r>
      <w:bookmarkEnd w:id="23"/>
      <w:bookmarkEnd w:id="24"/>
      <w:bookmarkEnd w:id="25"/>
      <w:bookmarkEnd w:id="26"/>
      <w:bookmarkEnd w:id="27"/>
    </w:p>
    <w:p w:rsidR="002F18E7" w:rsidRDefault="002F18E7" w:rsidP="00EF4A02">
      <w:pPr>
        <w:pStyle w:val="BodyText"/>
        <w:spacing w:after="60"/>
        <w:ind w:left="3578" w:hanging="1418"/>
        <w:jc w:val="left"/>
      </w:pPr>
      <w:r w:rsidRPr="005911E2">
        <w:t>ABS</w:t>
      </w:r>
      <w:r w:rsidRPr="005911E2">
        <w:tab/>
        <w:t>Australian Bureau of Statistics</w:t>
      </w:r>
    </w:p>
    <w:p w:rsidR="002F18E7" w:rsidRPr="005911E2" w:rsidRDefault="002F18E7" w:rsidP="00EF4A02">
      <w:pPr>
        <w:pStyle w:val="BodyText"/>
        <w:spacing w:after="60"/>
        <w:ind w:left="3578" w:hanging="1418"/>
        <w:jc w:val="left"/>
      </w:pPr>
      <w:r w:rsidRPr="005911E2">
        <w:t>AIFS</w:t>
      </w:r>
      <w:r w:rsidRPr="005911E2">
        <w:tab/>
        <w:t>Australian Institute of Family Studies</w:t>
      </w:r>
    </w:p>
    <w:p w:rsidR="002F18E7" w:rsidRPr="005911E2" w:rsidRDefault="002F18E7" w:rsidP="00EF4A02">
      <w:pPr>
        <w:pStyle w:val="BodyText"/>
        <w:spacing w:after="60"/>
        <w:ind w:left="3578" w:hanging="1418"/>
        <w:jc w:val="left"/>
      </w:pPr>
      <w:r w:rsidRPr="005911E2">
        <w:t>AIHW</w:t>
      </w:r>
      <w:r w:rsidRPr="005911E2">
        <w:tab/>
        <w:t>Australian Institute of Health and Welfare</w:t>
      </w:r>
    </w:p>
    <w:p w:rsidR="002F18E7" w:rsidRDefault="002F18E7" w:rsidP="00EF4A02">
      <w:pPr>
        <w:pStyle w:val="BodyText"/>
        <w:spacing w:after="60"/>
        <w:ind w:left="3578" w:hanging="1418"/>
        <w:jc w:val="left"/>
      </w:pPr>
      <w:r w:rsidRPr="005911E2">
        <w:t xml:space="preserve">ALPA </w:t>
      </w:r>
      <w:r w:rsidRPr="005911E2">
        <w:tab/>
        <w:t>Arnhem Land Progress Aboriginal Corporation</w:t>
      </w:r>
    </w:p>
    <w:p w:rsidR="002F18E7" w:rsidRPr="005911E2" w:rsidRDefault="002F18E7" w:rsidP="00EF4A02">
      <w:pPr>
        <w:pStyle w:val="BodyText"/>
        <w:spacing w:after="60"/>
        <w:ind w:left="3578" w:hanging="1418"/>
        <w:jc w:val="left"/>
      </w:pPr>
      <w:r>
        <w:t>ALRA</w:t>
      </w:r>
      <w:r>
        <w:tab/>
      </w:r>
      <w:r w:rsidRPr="002F18E7">
        <w:t>Aboriginal Land Rights (Northern Territory) Act 1976 (C</w:t>
      </w:r>
      <w:r w:rsidR="004D6265">
        <w:t>w</w:t>
      </w:r>
      <w:r w:rsidRPr="002F18E7">
        <w:t>th)</w:t>
      </w:r>
    </w:p>
    <w:p w:rsidR="002F18E7" w:rsidRPr="005911E2" w:rsidRDefault="002F18E7" w:rsidP="00EF4A02">
      <w:pPr>
        <w:pStyle w:val="BodyText"/>
        <w:spacing w:after="60"/>
        <w:ind w:left="3578" w:hanging="1418"/>
        <w:jc w:val="left"/>
      </w:pPr>
      <w:r w:rsidRPr="005911E2">
        <w:t>ANU</w:t>
      </w:r>
      <w:r w:rsidRPr="005911E2">
        <w:tab/>
        <w:t>Australian National University</w:t>
      </w:r>
    </w:p>
    <w:p w:rsidR="002F18E7" w:rsidRDefault="002F18E7" w:rsidP="00EF4A02">
      <w:pPr>
        <w:pStyle w:val="BodyText"/>
        <w:spacing w:after="60"/>
        <w:ind w:left="3578" w:hanging="1418"/>
        <w:jc w:val="left"/>
      </w:pPr>
      <w:r w:rsidRPr="005911E2">
        <w:t xml:space="preserve">APE </w:t>
      </w:r>
      <w:r w:rsidRPr="005911E2">
        <w:tab/>
        <w:t>Age Pension Eligibility age</w:t>
      </w:r>
    </w:p>
    <w:p w:rsidR="00584A1E" w:rsidRPr="005911E2" w:rsidRDefault="00584A1E" w:rsidP="00EF4A02">
      <w:pPr>
        <w:pStyle w:val="BodyText"/>
        <w:spacing w:after="60"/>
        <w:ind w:left="3578" w:hanging="1418"/>
        <w:jc w:val="left"/>
      </w:pPr>
      <w:r>
        <w:t>ATM</w:t>
      </w:r>
      <w:r>
        <w:tab/>
        <w:t>Automatic Teller Machine</w:t>
      </w:r>
    </w:p>
    <w:p w:rsidR="002F18E7" w:rsidRPr="005911E2" w:rsidRDefault="002F18E7" w:rsidP="00EF4A02">
      <w:pPr>
        <w:pStyle w:val="BodyText"/>
        <w:spacing w:after="60"/>
        <w:ind w:left="3578" w:hanging="1418"/>
        <w:jc w:val="left"/>
      </w:pPr>
      <w:r w:rsidRPr="00A57B4E">
        <w:t xml:space="preserve">CAALAS </w:t>
      </w:r>
      <w:r>
        <w:tab/>
      </w:r>
      <w:r w:rsidRPr="005911E2">
        <w:t xml:space="preserve">Central Australian Aboriginal Legal Aid Service </w:t>
      </w:r>
    </w:p>
    <w:p w:rsidR="002F18E7" w:rsidRPr="005911E2" w:rsidRDefault="002F18E7" w:rsidP="00EF4A02">
      <w:pPr>
        <w:pStyle w:val="BodyText"/>
        <w:spacing w:after="60"/>
        <w:ind w:left="3578" w:hanging="1418"/>
        <w:jc w:val="left"/>
      </w:pPr>
      <w:r w:rsidRPr="005911E2">
        <w:t>CAEPR</w:t>
      </w:r>
      <w:r w:rsidRPr="005911E2">
        <w:tab/>
        <w:t>Centre for Aboriginal Economic Policy Research</w:t>
      </w:r>
    </w:p>
    <w:p w:rsidR="002F18E7" w:rsidRPr="005911E2" w:rsidRDefault="002F18E7" w:rsidP="00EF4A02">
      <w:pPr>
        <w:pStyle w:val="BodyText"/>
        <w:spacing w:after="60"/>
        <w:ind w:left="3578" w:hanging="1418"/>
        <w:jc w:val="left"/>
      </w:pPr>
      <w:r w:rsidRPr="005911E2">
        <w:t>CDEP</w:t>
      </w:r>
      <w:r w:rsidRPr="005911E2">
        <w:tab/>
        <w:t>Community Development Employment Projects</w:t>
      </w:r>
    </w:p>
    <w:p w:rsidR="002F18E7" w:rsidRPr="005911E2" w:rsidRDefault="002F18E7" w:rsidP="00EF4A02">
      <w:pPr>
        <w:pStyle w:val="BodyText"/>
        <w:spacing w:after="60"/>
        <w:ind w:left="3578" w:hanging="1418"/>
        <w:jc w:val="left"/>
      </w:pPr>
      <w:r w:rsidRPr="005911E2">
        <w:t>CIM</w:t>
      </w:r>
      <w:r w:rsidRPr="005911E2">
        <w:tab/>
        <w:t xml:space="preserve">Compulsory Income Management </w:t>
      </w:r>
    </w:p>
    <w:p w:rsidR="002F18E7" w:rsidRPr="005911E2" w:rsidRDefault="002F18E7" w:rsidP="00EF4A02">
      <w:pPr>
        <w:pStyle w:val="BodyText"/>
        <w:spacing w:after="60"/>
        <w:ind w:left="3578" w:hanging="1418"/>
        <w:jc w:val="left"/>
      </w:pPr>
      <w:r w:rsidRPr="005911E2">
        <w:t>CLC</w:t>
      </w:r>
      <w:r w:rsidRPr="005911E2">
        <w:tab/>
        <w:t>Central Lands Council</w:t>
      </w:r>
    </w:p>
    <w:p w:rsidR="002F18E7" w:rsidRPr="005911E2" w:rsidRDefault="002F18E7" w:rsidP="00EF4A02">
      <w:pPr>
        <w:pStyle w:val="BodyText"/>
        <w:spacing w:after="60"/>
        <w:ind w:left="3578" w:hanging="1418"/>
        <w:jc w:val="left"/>
      </w:pPr>
      <w:r w:rsidRPr="005911E2">
        <w:t>CPIM</w:t>
      </w:r>
      <w:r w:rsidRPr="005911E2">
        <w:tab/>
        <w:t>Child Protection Income Management</w:t>
      </w:r>
    </w:p>
    <w:p w:rsidR="002F18E7" w:rsidRDefault="002F18E7" w:rsidP="00EF4A02">
      <w:pPr>
        <w:pStyle w:val="BodyText"/>
        <w:spacing w:after="60"/>
        <w:ind w:left="3578" w:hanging="1418"/>
        <w:jc w:val="left"/>
      </w:pPr>
      <w:r w:rsidRPr="005911E2">
        <w:t xml:space="preserve">DCF </w:t>
      </w:r>
      <w:r w:rsidRPr="005911E2">
        <w:tab/>
        <w:t>Northern Territory Depa</w:t>
      </w:r>
      <w:r w:rsidR="00AB1845">
        <w:t>rtment of Children and Families</w:t>
      </w:r>
    </w:p>
    <w:p w:rsidR="00AB1845" w:rsidRPr="005911E2" w:rsidRDefault="00AB1845" w:rsidP="00EF4A02">
      <w:pPr>
        <w:pStyle w:val="BodyText"/>
        <w:spacing w:after="60"/>
        <w:ind w:left="3578" w:hanging="1418"/>
        <w:jc w:val="left"/>
      </w:pPr>
      <w:r>
        <w:t>DEEWR</w:t>
      </w:r>
      <w:r>
        <w:tab/>
        <w:t>Australian Government Department of Education, Employment and Workplace Relations</w:t>
      </w:r>
    </w:p>
    <w:p w:rsidR="002F18E7" w:rsidRDefault="002F18E7" w:rsidP="00EF4A02">
      <w:pPr>
        <w:pStyle w:val="BodyText"/>
        <w:spacing w:after="60"/>
        <w:ind w:left="3578" w:hanging="1418"/>
        <w:jc w:val="left"/>
      </w:pPr>
      <w:r w:rsidRPr="005911E2">
        <w:t xml:space="preserve">DET </w:t>
      </w:r>
      <w:r w:rsidRPr="005911E2">
        <w:tab/>
        <w:t>Northern Territory Department of Education and Training</w:t>
      </w:r>
    </w:p>
    <w:p w:rsidR="002F18E7" w:rsidRPr="005911E2" w:rsidRDefault="002F18E7" w:rsidP="00EF4A02">
      <w:pPr>
        <w:pStyle w:val="BodyText"/>
        <w:spacing w:after="60"/>
        <w:ind w:left="3578" w:hanging="1418"/>
        <w:jc w:val="left"/>
      </w:pPr>
      <w:r w:rsidRPr="005911E2">
        <w:t>DSP</w:t>
      </w:r>
      <w:r w:rsidRPr="005911E2">
        <w:tab/>
        <w:t>Disability Support Pension</w:t>
      </w:r>
    </w:p>
    <w:p w:rsidR="002F18E7" w:rsidRPr="005911E2" w:rsidRDefault="002F18E7" w:rsidP="00EF4A02">
      <w:pPr>
        <w:pStyle w:val="BodyText"/>
        <w:spacing w:after="60"/>
        <w:ind w:left="3578" w:hanging="1418"/>
        <w:jc w:val="left"/>
      </w:pPr>
      <w:r w:rsidRPr="005911E2">
        <w:t>EFTPOS</w:t>
      </w:r>
      <w:r w:rsidRPr="005911E2">
        <w:tab/>
        <w:t>Electronic Funds Transfer Point of Sale</w:t>
      </w:r>
    </w:p>
    <w:p w:rsidR="002F18E7" w:rsidRDefault="002F18E7" w:rsidP="00EF4A02">
      <w:pPr>
        <w:pStyle w:val="BodyText"/>
        <w:spacing w:after="60"/>
        <w:ind w:left="3578" w:hanging="1418"/>
        <w:jc w:val="left"/>
      </w:pPr>
      <w:r>
        <w:t>ESB</w:t>
      </w:r>
      <w:r>
        <w:tab/>
        <w:t>English Speaking Background</w:t>
      </w:r>
    </w:p>
    <w:p w:rsidR="002F18E7" w:rsidRPr="005911E2" w:rsidRDefault="004D6265" w:rsidP="00EF4A02">
      <w:pPr>
        <w:pStyle w:val="BodyText"/>
        <w:spacing w:after="60"/>
        <w:ind w:left="3578" w:hanging="1418"/>
        <w:jc w:val="left"/>
      </w:pPr>
      <w:r>
        <w:t>FaHCSIA</w:t>
      </w:r>
      <w:r>
        <w:tab/>
        <w:t xml:space="preserve">Australian Government </w:t>
      </w:r>
      <w:r w:rsidR="002F18E7" w:rsidRPr="005911E2">
        <w:t>Department of Families, Housing and Community Services and Indigenous Affairs</w:t>
      </w:r>
    </w:p>
    <w:p w:rsidR="002F18E7" w:rsidRPr="005911E2" w:rsidRDefault="002F18E7" w:rsidP="00EF4A02">
      <w:pPr>
        <w:pStyle w:val="BodyText"/>
        <w:spacing w:after="60"/>
        <w:ind w:left="3578" w:hanging="1418"/>
        <w:jc w:val="left"/>
      </w:pPr>
      <w:r w:rsidRPr="005911E2">
        <w:t>FMP</w:t>
      </w:r>
      <w:r w:rsidRPr="005911E2">
        <w:tab/>
        <w:t>Financial Management Program</w:t>
      </w:r>
    </w:p>
    <w:p w:rsidR="002F18E7" w:rsidRPr="005911E2" w:rsidRDefault="002F18E7" w:rsidP="00EF4A02">
      <w:pPr>
        <w:pStyle w:val="BodyText"/>
        <w:spacing w:after="60"/>
        <w:ind w:left="3578" w:hanging="1418"/>
        <w:jc w:val="left"/>
      </w:pPr>
      <w:r w:rsidRPr="005911E2">
        <w:t xml:space="preserve">FTB </w:t>
      </w:r>
      <w:r w:rsidRPr="005911E2">
        <w:tab/>
        <w:t xml:space="preserve">Family Tax Benefit </w:t>
      </w:r>
    </w:p>
    <w:p w:rsidR="002F18E7" w:rsidRDefault="002F18E7" w:rsidP="00EF4A02">
      <w:pPr>
        <w:pStyle w:val="BodyText"/>
        <w:spacing w:after="60"/>
        <w:ind w:left="3578" w:hanging="1418"/>
        <w:jc w:val="left"/>
      </w:pPr>
      <w:r w:rsidRPr="005911E2">
        <w:t>IM</w:t>
      </w:r>
      <w:r w:rsidRPr="005911E2">
        <w:tab/>
        <w:t>Income Management</w:t>
      </w:r>
    </w:p>
    <w:p w:rsidR="00ED49C8" w:rsidRPr="005911E2" w:rsidRDefault="00ED49C8" w:rsidP="00EF4A02">
      <w:pPr>
        <w:pStyle w:val="BodyText"/>
        <w:spacing w:after="60"/>
        <w:ind w:left="3578" w:hanging="1418"/>
        <w:jc w:val="left"/>
      </w:pPr>
      <w:r>
        <w:t>IS</w:t>
      </w:r>
      <w:r>
        <w:tab/>
        <w:t>Income Support</w:t>
      </w:r>
    </w:p>
    <w:p w:rsidR="002F18E7" w:rsidRPr="005911E2" w:rsidRDefault="002F18E7" w:rsidP="00EF4A02">
      <w:pPr>
        <w:pStyle w:val="BodyText"/>
        <w:spacing w:after="60"/>
        <w:ind w:left="3578" w:hanging="1418"/>
        <w:jc w:val="left"/>
      </w:pPr>
      <w:r w:rsidRPr="005911E2">
        <w:t>IS/FTB</w:t>
      </w:r>
      <w:r w:rsidRPr="005911E2">
        <w:tab/>
        <w:t>Income Support/Family Tax Benefit</w:t>
      </w:r>
    </w:p>
    <w:p w:rsidR="002F18E7" w:rsidRPr="005911E2" w:rsidRDefault="002F18E7" w:rsidP="00EF4A02">
      <w:pPr>
        <w:pStyle w:val="BodyText"/>
        <w:spacing w:after="60"/>
        <w:ind w:left="3578" w:hanging="1418"/>
        <w:jc w:val="left"/>
      </w:pPr>
      <w:r w:rsidRPr="005911E2">
        <w:t>LSNIM</w:t>
      </w:r>
      <w:r w:rsidRPr="005911E2">
        <w:tab/>
        <w:t>Longitudinal Survey of New Income Management</w:t>
      </w:r>
    </w:p>
    <w:p w:rsidR="002F18E7" w:rsidRPr="005911E2" w:rsidRDefault="002F18E7" w:rsidP="00EF4A02">
      <w:pPr>
        <w:pStyle w:val="BodyText"/>
        <w:spacing w:after="60"/>
        <w:ind w:left="3578" w:hanging="1418"/>
        <w:jc w:val="left"/>
      </w:pPr>
      <w:r>
        <w:t xml:space="preserve">MSP </w:t>
      </w:r>
      <w:r>
        <w:tab/>
      </w:r>
      <w:r w:rsidRPr="00657163">
        <w:t xml:space="preserve">Matched Savings Scheme (Income Management) Payment </w:t>
      </w:r>
    </w:p>
    <w:p w:rsidR="002F18E7" w:rsidRPr="005911E2" w:rsidRDefault="002F18E7" w:rsidP="00EF4A02">
      <w:pPr>
        <w:pStyle w:val="BodyText"/>
        <w:spacing w:after="60"/>
        <w:ind w:left="3578" w:hanging="1418"/>
        <w:jc w:val="left"/>
      </w:pPr>
      <w:r w:rsidRPr="00A57B4E">
        <w:t xml:space="preserve">NAAJA </w:t>
      </w:r>
      <w:r>
        <w:tab/>
      </w:r>
      <w:r w:rsidR="00EF4A02">
        <w:t>North</w:t>
      </w:r>
      <w:r w:rsidRPr="005911E2">
        <w:t xml:space="preserve"> Austr</w:t>
      </w:r>
      <w:r>
        <w:t>alia</w:t>
      </w:r>
      <w:r w:rsidR="00EF4A02">
        <w:t>n</w:t>
      </w:r>
      <w:r>
        <w:t xml:space="preserve"> Aboriginal Justice Agency </w:t>
      </w:r>
    </w:p>
    <w:p w:rsidR="002F18E7" w:rsidRPr="005911E2" w:rsidRDefault="002F18E7" w:rsidP="00EF4A02">
      <w:pPr>
        <w:pStyle w:val="BodyText"/>
        <w:spacing w:after="60"/>
        <w:ind w:left="3578" w:hanging="1418"/>
        <w:jc w:val="left"/>
      </w:pPr>
      <w:r w:rsidRPr="005911E2">
        <w:t>NAPLAN</w:t>
      </w:r>
      <w:r w:rsidRPr="005911E2">
        <w:tab/>
        <w:t>National Assessment Program - Literacy and Numeracy</w:t>
      </w:r>
    </w:p>
    <w:p w:rsidR="002F18E7" w:rsidRDefault="002F18E7" w:rsidP="00EF4A02">
      <w:pPr>
        <w:pStyle w:val="BodyText"/>
        <w:spacing w:after="60"/>
        <w:ind w:left="3578" w:hanging="1418"/>
        <w:jc w:val="left"/>
      </w:pPr>
      <w:r w:rsidRPr="005911E2">
        <w:t xml:space="preserve">NESB </w:t>
      </w:r>
      <w:r w:rsidRPr="005911E2">
        <w:tab/>
        <w:t>Non-English Speaking Background</w:t>
      </w:r>
    </w:p>
    <w:p w:rsidR="00571049" w:rsidRPr="005911E2" w:rsidRDefault="00571049" w:rsidP="00EF4A02">
      <w:pPr>
        <w:pStyle w:val="BodyText"/>
        <w:spacing w:after="60"/>
        <w:ind w:left="3578" w:hanging="1418"/>
        <w:jc w:val="left"/>
      </w:pPr>
      <w:r>
        <w:t>NGO</w:t>
      </w:r>
      <w:r>
        <w:tab/>
        <w:t>Non Government Organisation</w:t>
      </w:r>
    </w:p>
    <w:p w:rsidR="002F18E7" w:rsidRPr="005911E2" w:rsidRDefault="002F18E7" w:rsidP="00EF4A02">
      <w:pPr>
        <w:pStyle w:val="BodyText"/>
        <w:spacing w:after="60"/>
        <w:ind w:left="3578" w:hanging="1418"/>
        <w:jc w:val="left"/>
      </w:pPr>
      <w:r w:rsidRPr="005911E2">
        <w:t>NIM</w:t>
      </w:r>
      <w:r w:rsidRPr="005911E2">
        <w:tab/>
        <w:t xml:space="preserve">New Income Management </w:t>
      </w:r>
    </w:p>
    <w:p w:rsidR="002F18E7" w:rsidRPr="005911E2" w:rsidRDefault="002F18E7" w:rsidP="00EF4A02">
      <w:pPr>
        <w:pStyle w:val="BodyText"/>
        <w:spacing w:after="60"/>
        <w:ind w:left="3578" w:hanging="1418"/>
        <w:jc w:val="left"/>
      </w:pPr>
      <w:r w:rsidRPr="00A57B4E">
        <w:t xml:space="preserve">NPY </w:t>
      </w:r>
      <w:r>
        <w:tab/>
      </w:r>
      <w:r w:rsidRPr="00A57B4E">
        <w:t xml:space="preserve">Ngaanyatjarra Pitjantjatjara Yankunytjatjara </w:t>
      </w:r>
    </w:p>
    <w:p w:rsidR="002F18E7" w:rsidRPr="005911E2" w:rsidRDefault="002F18E7" w:rsidP="00EF4A02">
      <w:pPr>
        <w:pStyle w:val="BodyText"/>
        <w:spacing w:after="60"/>
        <w:ind w:left="3578" w:hanging="1418"/>
        <w:jc w:val="left"/>
      </w:pPr>
      <w:r w:rsidRPr="005911E2">
        <w:lastRenderedPageBreak/>
        <w:t>NT</w:t>
      </w:r>
      <w:r w:rsidRPr="005911E2">
        <w:tab/>
        <w:t>Northern Territory</w:t>
      </w:r>
    </w:p>
    <w:p w:rsidR="002F18E7" w:rsidRDefault="002F18E7" w:rsidP="00EF4A02">
      <w:pPr>
        <w:pStyle w:val="BodyText"/>
        <w:spacing w:after="60"/>
        <w:ind w:left="3578" w:hanging="1418"/>
        <w:jc w:val="left"/>
      </w:pPr>
      <w:r>
        <w:t>NTCOSS</w:t>
      </w:r>
      <w:r w:rsidRPr="00A57B4E">
        <w:t xml:space="preserve"> </w:t>
      </w:r>
      <w:r>
        <w:tab/>
      </w:r>
      <w:r w:rsidRPr="005911E2">
        <w:t>NT Council</w:t>
      </w:r>
      <w:r>
        <w:t xml:space="preserve"> of Social Service </w:t>
      </w:r>
    </w:p>
    <w:p w:rsidR="00D7627F" w:rsidRDefault="00D7627F" w:rsidP="00EF4A02">
      <w:pPr>
        <w:pStyle w:val="BodyText"/>
        <w:spacing w:after="60"/>
        <w:ind w:left="3578" w:hanging="1418"/>
        <w:jc w:val="left"/>
      </w:pPr>
      <w:r w:rsidRPr="005911E2">
        <w:t>NTER</w:t>
      </w:r>
      <w:r w:rsidRPr="005911E2">
        <w:tab/>
        <w:t>Northern Territory Emergency Response</w:t>
      </w:r>
    </w:p>
    <w:p w:rsidR="002F18E7" w:rsidRPr="005911E2" w:rsidRDefault="002F18E7" w:rsidP="00EF4A02">
      <w:pPr>
        <w:pStyle w:val="BodyText"/>
        <w:spacing w:after="60"/>
        <w:ind w:left="3578" w:hanging="1418"/>
        <w:jc w:val="left"/>
      </w:pPr>
      <w:r>
        <w:t>NTER IM</w:t>
      </w:r>
      <w:r>
        <w:tab/>
        <w:t>Income management under the Northern Territory Emergency Response</w:t>
      </w:r>
    </w:p>
    <w:p w:rsidR="002F18E7" w:rsidRDefault="002F18E7" w:rsidP="00EF4A02">
      <w:pPr>
        <w:pStyle w:val="BodyText"/>
        <w:spacing w:after="60"/>
        <w:ind w:left="3578" w:hanging="1418"/>
        <w:jc w:val="left"/>
      </w:pPr>
      <w:r>
        <w:t>SEAM</w:t>
      </w:r>
      <w:r>
        <w:tab/>
        <w:t xml:space="preserve">Improving </w:t>
      </w:r>
      <w:r w:rsidR="00ED49C8">
        <w:t>S</w:t>
      </w:r>
      <w:r>
        <w:t xml:space="preserve">chool </w:t>
      </w:r>
      <w:r w:rsidR="00ED49C8">
        <w:t>E</w:t>
      </w:r>
      <w:r>
        <w:t xml:space="preserve">nrolment and </w:t>
      </w:r>
      <w:r w:rsidR="00ED49C8">
        <w:t>A</w:t>
      </w:r>
      <w:r w:rsidR="00EF4A02">
        <w:t>ttendance through Welfare R</w:t>
      </w:r>
      <w:r>
        <w:t xml:space="preserve">eform </w:t>
      </w:r>
      <w:r w:rsidR="00ED49C8">
        <w:t>M</w:t>
      </w:r>
      <w:r>
        <w:t>easure</w:t>
      </w:r>
    </w:p>
    <w:p w:rsidR="002F18E7" w:rsidRPr="005911E2" w:rsidRDefault="002F18E7" w:rsidP="00EF4A02">
      <w:pPr>
        <w:pStyle w:val="BodyText"/>
        <w:spacing w:after="60"/>
        <w:ind w:left="3578" w:hanging="1418"/>
        <w:jc w:val="left"/>
      </w:pPr>
      <w:r w:rsidRPr="005911E2">
        <w:t>SPRC</w:t>
      </w:r>
      <w:r w:rsidRPr="005911E2">
        <w:tab/>
        <w:t>Social Policy Research Centre</w:t>
      </w:r>
    </w:p>
    <w:p w:rsidR="002F18E7" w:rsidRPr="005911E2" w:rsidRDefault="002F18E7" w:rsidP="00EF4A02">
      <w:pPr>
        <w:pStyle w:val="BodyText"/>
        <w:spacing w:after="60"/>
        <w:ind w:left="3578" w:hanging="1418"/>
        <w:jc w:val="left"/>
      </w:pPr>
      <w:r w:rsidRPr="005911E2">
        <w:t>UNSW</w:t>
      </w:r>
      <w:r w:rsidRPr="005911E2">
        <w:tab/>
        <w:t>University of New South Wales</w:t>
      </w:r>
    </w:p>
    <w:p w:rsidR="002F18E7" w:rsidRPr="005911E2" w:rsidRDefault="002F18E7" w:rsidP="00EF4A02">
      <w:pPr>
        <w:pStyle w:val="BodyText"/>
        <w:spacing w:after="60"/>
        <w:ind w:left="3578" w:hanging="1418"/>
        <w:jc w:val="left"/>
      </w:pPr>
      <w:r w:rsidRPr="005911E2">
        <w:t>VIM</w:t>
      </w:r>
      <w:r w:rsidRPr="005911E2">
        <w:tab/>
        <w:t>Voluntary Income Management</w:t>
      </w:r>
    </w:p>
    <w:p w:rsidR="002F18E7" w:rsidRDefault="002F18E7" w:rsidP="00EF4A02">
      <w:pPr>
        <w:pStyle w:val="BodyText"/>
        <w:spacing w:after="60"/>
        <w:ind w:left="3578" w:hanging="1418"/>
        <w:jc w:val="left"/>
      </w:pPr>
      <w:r w:rsidRPr="005911E2">
        <w:t>VULIM</w:t>
      </w:r>
      <w:r w:rsidRPr="005911E2">
        <w:tab/>
        <w:t>Vulnerable Income Management</w:t>
      </w:r>
      <w:r>
        <w:t xml:space="preserve"> (Vulnerable Welfare Payment Recipients Measure)</w:t>
      </w:r>
    </w:p>
    <w:p w:rsidR="002F18E7" w:rsidRPr="005911E2" w:rsidRDefault="002F18E7" w:rsidP="00EF4A02">
      <w:pPr>
        <w:pStyle w:val="BodyText"/>
        <w:spacing w:after="60"/>
        <w:ind w:left="3578" w:hanging="1418"/>
        <w:jc w:val="left"/>
      </w:pPr>
      <w:r>
        <w:t>WfD</w:t>
      </w:r>
      <w:r>
        <w:tab/>
        <w:t>Work for the Dole</w:t>
      </w:r>
    </w:p>
    <w:p w:rsidR="00A57B4E" w:rsidRPr="005911E2" w:rsidRDefault="00A57B4E" w:rsidP="004443EA">
      <w:pPr>
        <w:pStyle w:val="BodyText"/>
        <w:spacing w:after="0"/>
        <w:ind w:left="3578" w:hanging="1418"/>
        <w:jc w:val="left"/>
      </w:pPr>
    </w:p>
    <w:p w:rsidR="00E82FB7" w:rsidRPr="005911E2" w:rsidRDefault="00E82FB7" w:rsidP="00E82FB7">
      <w:pPr>
        <w:pStyle w:val="BodyText"/>
      </w:pPr>
    </w:p>
    <w:bookmarkEnd w:id="6"/>
    <w:bookmarkEnd w:id="7"/>
    <w:p w:rsidR="00903735" w:rsidRPr="005911E2" w:rsidRDefault="00903735" w:rsidP="00430F56">
      <w:pPr>
        <w:pStyle w:val="BodyText"/>
        <w:sectPr w:rsidR="00903735" w:rsidRPr="005911E2" w:rsidSect="00D7627F">
          <w:headerReference w:type="even" r:id="rId19"/>
          <w:headerReference w:type="default" r:id="rId20"/>
          <w:footerReference w:type="even" r:id="rId21"/>
          <w:footerReference w:type="default" r:id="rId22"/>
          <w:type w:val="continuous"/>
          <w:pgSz w:w="11906" w:h="16838" w:code="9"/>
          <w:pgMar w:top="1418" w:right="1797" w:bottom="1418" w:left="1230" w:header="567" w:footer="284" w:gutter="0"/>
          <w:pgNumType w:fmt="lowerRoman"/>
          <w:cols w:space="708"/>
          <w:docGrid w:linePitch="360"/>
        </w:sectPr>
      </w:pPr>
    </w:p>
    <w:p w:rsidR="00914E5C" w:rsidRPr="005911E2" w:rsidRDefault="00903735" w:rsidP="00BD6DFD">
      <w:pPr>
        <w:pStyle w:val="Heading0"/>
      </w:pPr>
      <w:bookmarkStart w:id="28" w:name="_Toc328601453"/>
      <w:bookmarkStart w:id="29" w:name="_Toc329870335"/>
      <w:bookmarkStart w:id="30" w:name="_Toc335915721"/>
      <w:r w:rsidRPr="005911E2">
        <w:lastRenderedPageBreak/>
        <w:t>Executive Summary</w:t>
      </w:r>
      <w:bookmarkEnd w:id="28"/>
      <w:bookmarkEnd w:id="29"/>
      <w:bookmarkEnd w:id="30"/>
    </w:p>
    <w:p w:rsidR="00220531" w:rsidRPr="005911E2" w:rsidRDefault="00220531" w:rsidP="00220531">
      <w:pPr>
        <w:pStyle w:val="Heading7"/>
      </w:pPr>
      <w:bookmarkStart w:id="31" w:name="_Toc232310649"/>
      <w:bookmarkStart w:id="32" w:name="_Toc232310650"/>
      <w:bookmarkStart w:id="33" w:name="_Toc232310917"/>
      <w:bookmarkStart w:id="34" w:name="_Toc232311001"/>
      <w:bookmarkStart w:id="35" w:name="_Toc232311511"/>
      <w:bookmarkEnd w:id="31"/>
      <w:bookmarkEnd w:id="32"/>
      <w:bookmarkEnd w:id="33"/>
      <w:bookmarkEnd w:id="34"/>
      <w:bookmarkEnd w:id="35"/>
      <w:r w:rsidRPr="005911E2">
        <w:t>Background</w:t>
      </w:r>
    </w:p>
    <w:p w:rsidR="00220531" w:rsidRPr="005911E2" w:rsidRDefault="00220531" w:rsidP="00220531">
      <w:pPr>
        <w:rPr>
          <w:lang w:eastAsia="en-AU"/>
        </w:rPr>
      </w:pPr>
      <w:r w:rsidRPr="005911E2">
        <w:rPr>
          <w:lang w:eastAsia="en-AU"/>
        </w:rPr>
        <w:t xml:space="preserve">Income management (IM) was first introduced in 2007 as part of the Northern Territory Emergency Response (NTER). The program involves </w:t>
      </w:r>
      <w:r w:rsidR="002C4832">
        <w:rPr>
          <w:lang w:eastAsia="en-AU"/>
        </w:rPr>
        <w:t>‘</w:t>
      </w:r>
      <w:r w:rsidRPr="005911E2">
        <w:rPr>
          <w:lang w:eastAsia="en-AU"/>
        </w:rPr>
        <w:t>quarantining</w:t>
      </w:r>
      <w:r w:rsidR="003D5378">
        <w:rPr>
          <w:lang w:eastAsia="en-AU"/>
        </w:rPr>
        <w:t>’</w:t>
      </w:r>
      <w:r w:rsidRPr="005911E2">
        <w:rPr>
          <w:lang w:eastAsia="en-AU"/>
        </w:rPr>
        <w:t xml:space="preserve"> a portion of a person’s income support payment and restricting how this can be spent. Income management under the NTER applied to people who lived in 73 prescribed Indigenous communities, their associated outstations and the 10 town camp regions of the Northern Territory (NT). In August 2010 NTER IM was replaced with a new form of income management – New Income Management (NIM). </w:t>
      </w:r>
    </w:p>
    <w:p w:rsidR="00220531" w:rsidRDefault="00220531" w:rsidP="00220531">
      <w:pPr>
        <w:rPr>
          <w:lang w:eastAsia="en-AU"/>
        </w:rPr>
      </w:pPr>
      <w:r w:rsidRPr="005911E2">
        <w:rPr>
          <w:lang w:eastAsia="en-AU"/>
        </w:rPr>
        <w:t xml:space="preserve">NIM consists of four streams: </w:t>
      </w:r>
      <w:r w:rsidR="00EF4A02">
        <w:rPr>
          <w:lang w:eastAsia="en-AU"/>
        </w:rPr>
        <w:t xml:space="preserve">the </w:t>
      </w:r>
      <w:r w:rsidRPr="005911E2">
        <w:rPr>
          <w:lang w:eastAsia="en-AU"/>
        </w:rPr>
        <w:t xml:space="preserve">Compulsory Income Management (CIM) </w:t>
      </w:r>
      <w:r w:rsidR="00EF4A02">
        <w:rPr>
          <w:lang w:eastAsia="en-AU"/>
        </w:rPr>
        <w:t xml:space="preserve">measure which is </w:t>
      </w:r>
      <w:r w:rsidRPr="005911E2">
        <w:rPr>
          <w:lang w:eastAsia="en-AU"/>
        </w:rPr>
        <w:t xml:space="preserve">targeted at long-term income support recipients of working age; </w:t>
      </w:r>
      <w:r w:rsidR="001732D1">
        <w:rPr>
          <w:lang w:eastAsia="en-AU"/>
        </w:rPr>
        <w:t>the Vulnerable Welfare Payment Recipients Measure</w:t>
      </w:r>
      <w:r w:rsidR="00EF4A02">
        <w:rPr>
          <w:lang w:eastAsia="en-AU"/>
        </w:rPr>
        <w:t>,</w:t>
      </w:r>
      <w:r w:rsidR="001732D1">
        <w:rPr>
          <w:lang w:eastAsia="en-AU"/>
        </w:rPr>
        <w:t xml:space="preserve"> generally referred to here as ‘</w:t>
      </w:r>
      <w:r w:rsidRPr="005911E2">
        <w:rPr>
          <w:lang w:eastAsia="en-AU"/>
        </w:rPr>
        <w:t>Vulnerable Income Management</w:t>
      </w:r>
      <w:r w:rsidR="001732D1">
        <w:rPr>
          <w:lang w:eastAsia="en-AU"/>
        </w:rPr>
        <w:t>’</w:t>
      </w:r>
      <w:r w:rsidRPr="005911E2">
        <w:rPr>
          <w:lang w:eastAsia="en-AU"/>
        </w:rPr>
        <w:t xml:space="preserve"> (VULIM)</w:t>
      </w:r>
      <w:r w:rsidR="00EF4A02">
        <w:rPr>
          <w:lang w:eastAsia="en-AU"/>
        </w:rPr>
        <w:t>,</w:t>
      </w:r>
      <w:r w:rsidRPr="005911E2">
        <w:rPr>
          <w:lang w:eastAsia="en-AU"/>
        </w:rPr>
        <w:t xml:space="preserve"> for those not </w:t>
      </w:r>
      <w:r w:rsidR="003D5378">
        <w:rPr>
          <w:lang w:eastAsia="en-AU"/>
        </w:rPr>
        <w:t>subject to</w:t>
      </w:r>
      <w:r w:rsidRPr="005911E2">
        <w:rPr>
          <w:lang w:eastAsia="en-AU"/>
        </w:rPr>
        <w:t xml:space="preserve"> </w:t>
      </w:r>
      <w:r w:rsidR="004808B3">
        <w:rPr>
          <w:lang w:eastAsia="en-AU"/>
        </w:rPr>
        <w:t>Compulsory Income Management</w:t>
      </w:r>
      <w:r w:rsidRPr="005911E2">
        <w:rPr>
          <w:lang w:eastAsia="en-AU"/>
        </w:rPr>
        <w:t xml:space="preserve"> and who are determined by Centrelink to be vulnerable; </w:t>
      </w:r>
      <w:r w:rsidR="00EF4A02">
        <w:rPr>
          <w:lang w:eastAsia="en-AU"/>
        </w:rPr>
        <w:t xml:space="preserve">the </w:t>
      </w:r>
      <w:r w:rsidRPr="005911E2">
        <w:rPr>
          <w:lang w:eastAsia="en-AU"/>
        </w:rPr>
        <w:t xml:space="preserve">Child Protection Income Management (CPIM) </w:t>
      </w:r>
      <w:r w:rsidR="00EF4A02">
        <w:rPr>
          <w:lang w:eastAsia="en-AU"/>
        </w:rPr>
        <w:t xml:space="preserve">measure </w:t>
      </w:r>
      <w:r w:rsidRPr="005911E2">
        <w:rPr>
          <w:lang w:eastAsia="en-AU"/>
        </w:rPr>
        <w:t>for people who come in contact with child protection authorities and who</w:t>
      </w:r>
      <w:r w:rsidR="003D5378">
        <w:rPr>
          <w:lang w:eastAsia="en-AU"/>
        </w:rPr>
        <w:t>m</w:t>
      </w:r>
      <w:r w:rsidRPr="005911E2">
        <w:rPr>
          <w:lang w:eastAsia="en-AU"/>
        </w:rPr>
        <w:t xml:space="preserve"> child protection authorities assess would benefit from </w:t>
      </w:r>
      <w:r w:rsidR="00F878E4">
        <w:rPr>
          <w:lang w:eastAsia="en-AU"/>
        </w:rPr>
        <w:t>income management</w:t>
      </w:r>
      <w:r w:rsidRPr="005911E2">
        <w:rPr>
          <w:lang w:eastAsia="en-AU"/>
        </w:rPr>
        <w:t xml:space="preserve">; and </w:t>
      </w:r>
      <w:r w:rsidR="00EF4A02">
        <w:rPr>
          <w:lang w:eastAsia="en-AU"/>
        </w:rPr>
        <w:t xml:space="preserve">the </w:t>
      </w:r>
      <w:r w:rsidRPr="005911E2">
        <w:rPr>
          <w:lang w:eastAsia="en-AU"/>
        </w:rPr>
        <w:t xml:space="preserve">Voluntary Income Management </w:t>
      </w:r>
      <w:r w:rsidR="003F709B">
        <w:rPr>
          <w:lang w:eastAsia="en-AU"/>
        </w:rPr>
        <w:t xml:space="preserve">(VIM) </w:t>
      </w:r>
      <w:r w:rsidR="00EF4A02">
        <w:rPr>
          <w:lang w:eastAsia="en-AU"/>
        </w:rPr>
        <w:t xml:space="preserve">measure </w:t>
      </w:r>
      <w:r w:rsidRPr="005911E2">
        <w:rPr>
          <w:lang w:eastAsia="en-AU"/>
        </w:rPr>
        <w:t xml:space="preserve">which is for people not subject to </w:t>
      </w:r>
      <w:r w:rsidR="003D5378">
        <w:rPr>
          <w:lang w:eastAsia="en-AU"/>
        </w:rPr>
        <w:t>any of the above forms of income management but wish to participate in the program.</w:t>
      </w:r>
      <w:r w:rsidRPr="005911E2">
        <w:rPr>
          <w:lang w:eastAsia="en-AU"/>
        </w:rPr>
        <w:t xml:space="preserve"> An </w:t>
      </w:r>
      <w:r w:rsidR="00AA24F6">
        <w:rPr>
          <w:lang w:eastAsia="en-AU"/>
        </w:rPr>
        <w:t>incentive</w:t>
      </w:r>
      <w:r w:rsidR="00AA24F6" w:rsidRPr="005911E2">
        <w:rPr>
          <w:lang w:eastAsia="en-AU"/>
        </w:rPr>
        <w:t xml:space="preserve"> </w:t>
      </w:r>
      <w:r w:rsidRPr="005911E2">
        <w:rPr>
          <w:lang w:eastAsia="en-AU"/>
        </w:rPr>
        <w:t xml:space="preserve">payment is made to those who </w:t>
      </w:r>
      <w:r w:rsidR="003D5378">
        <w:rPr>
          <w:lang w:eastAsia="en-AU"/>
        </w:rPr>
        <w:t>choose to participate in</w:t>
      </w:r>
      <w:r w:rsidRPr="005911E2">
        <w:rPr>
          <w:lang w:eastAsia="en-AU"/>
        </w:rPr>
        <w:t xml:space="preserve"> </w:t>
      </w:r>
      <w:r w:rsidR="00AA4880">
        <w:rPr>
          <w:lang w:eastAsia="en-AU"/>
        </w:rPr>
        <w:t>Voluntary Income Management</w:t>
      </w:r>
      <w:r w:rsidR="003D5378">
        <w:rPr>
          <w:lang w:eastAsia="en-AU"/>
        </w:rPr>
        <w:t>.</w:t>
      </w:r>
    </w:p>
    <w:p w:rsidR="00902DE4" w:rsidRPr="005911E2" w:rsidRDefault="00902DE4" w:rsidP="00220531">
      <w:pPr>
        <w:rPr>
          <w:lang w:eastAsia="en-AU"/>
        </w:rPr>
      </w:pPr>
      <w:r>
        <w:rPr>
          <w:lang w:eastAsia="en-AU"/>
        </w:rPr>
        <w:t>Under all income management measures, other than the child protection stream, 50 per cent of a person’s income support payment is subject to income management. In the case of a person placed on child protection income management the proportion is 70 per cent. There are no restrictions placed on how the person chooses to spend the balance of their payment.  The proportion of payment subject to income management is either allocated to a ‘BasicsCard’, a specific type of EFTPOS debit card which can be used at approved merchants for the purchase of non-excluded products, or payments are made on the person’s behalf by Centrelink.</w:t>
      </w:r>
    </w:p>
    <w:p w:rsidR="00C5751B" w:rsidRDefault="00C5751B" w:rsidP="00220531">
      <w:pPr>
        <w:rPr>
          <w:lang w:eastAsia="en-AU"/>
        </w:rPr>
      </w:pPr>
      <w:r w:rsidRPr="00C5751B">
        <w:rPr>
          <w:lang w:eastAsia="en-AU"/>
        </w:rPr>
        <w:t>NIM differs from the income management introduced under the NTER in several respects. First, it covers all areas of the</w:t>
      </w:r>
      <w:r w:rsidR="006435C8">
        <w:rPr>
          <w:lang w:eastAsia="en-AU"/>
        </w:rPr>
        <w:t xml:space="preserve"> Northern Territory </w:t>
      </w:r>
      <w:r w:rsidRPr="00C5751B">
        <w:rPr>
          <w:lang w:eastAsia="en-AU"/>
        </w:rPr>
        <w:t>not only prescribed Indigenous communities. Second it applies in a mandatory fashion to a narrower range of income support recipients</w:t>
      </w:r>
      <w:r>
        <w:rPr>
          <w:lang w:eastAsia="en-AU"/>
        </w:rPr>
        <w:t xml:space="preserve"> and has scope for people to obtain exemptions</w:t>
      </w:r>
      <w:r w:rsidR="00B50356">
        <w:rPr>
          <w:lang w:eastAsia="en-AU"/>
        </w:rPr>
        <w:t>. T</w:t>
      </w:r>
      <w:r>
        <w:rPr>
          <w:lang w:eastAsia="en-AU"/>
        </w:rPr>
        <w:t xml:space="preserve">hirdly it </w:t>
      </w:r>
      <w:r w:rsidRPr="00C5751B">
        <w:rPr>
          <w:lang w:eastAsia="en-AU"/>
        </w:rPr>
        <w:t>provides an option to partic</w:t>
      </w:r>
      <w:r w:rsidR="004947B2">
        <w:rPr>
          <w:lang w:eastAsia="en-AU"/>
        </w:rPr>
        <w:t>ipate</w:t>
      </w:r>
      <w:r w:rsidRPr="00C5751B">
        <w:rPr>
          <w:lang w:eastAsia="en-AU"/>
        </w:rPr>
        <w:t xml:space="preserve"> voluntarily (Voluntary Income Management). </w:t>
      </w:r>
    </w:p>
    <w:p w:rsidR="00C5751B" w:rsidRDefault="00C5751B" w:rsidP="00220531">
      <w:pPr>
        <w:rPr>
          <w:lang w:eastAsia="en-AU"/>
        </w:rPr>
      </w:pPr>
      <w:r w:rsidRPr="00C5751B">
        <w:rPr>
          <w:lang w:eastAsia="en-AU"/>
        </w:rPr>
        <w:t xml:space="preserve">Unlike the </w:t>
      </w:r>
      <w:r>
        <w:rPr>
          <w:lang w:eastAsia="en-AU"/>
        </w:rPr>
        <w:t xml:space="preserve">income management under the </w:t>
      </w:r>
      <w:r w:rsidRPr="00C5751B">
        <w:rPr>
          <w:lang w:eastAsia="en-AU"/>
        </w:rPr>
        <w:t xml:space="preserve">NTER which applied to all income support recipients in prescribed areas, Compulsory Income Management is only mandatory for longer term recipients of income support on a limited set of payments (mainly Newstart Allowance, Youth Allowance and Parenting </w:t>
      </w:r>
      <w:r w:rsidRPr="00C5751B">
        <w:rPr>
          <w:lang w:eastAsia="en-AU"/>
        </w:rPr>
        <w:lastRenderedPageBreak/>
        <w:t>Payment)</w:t>
      </w:r>
      <w:r>
        <w:rPr>
          <w:lang w:eastAsia="en-AU"/>
        </w:rPr>
        <w:t>, as well as those identified under the vulnerable and child protection stream</w:t>
      </w:r>
      <w:r w:rsidRPr="00C5751B">
        <w:rPr>
          <w:lang w:eastAsia="en-AU"/>
        </w:rPr>
        <w:t xml:space="preserve">. </w:t>
      </w:r>
    </w:p>
    <w:p w:rsidR="00EF4A02" w:rsidRDefault="00EF4A02" w:rsidP="00220531">
      <w:pPr>
        <w:rPr>
          <w:lang w:eastAsia="en-AU"/>
        </w:rPr>
      </w:pPr>
      <w:r>
        <w:rPr>
          <w:lang w:eastAsia="en-AU"/>
        </w:rPr>
        <w:t xml:space="preserve">The changes to income management were designed to allow income management to be implemented </w:t>
      </w:r>
      <w:r w:rsidRPr="005911E2">
        <w:rPr>
          <w:lang w:eastAsia="en-AU"/>
        </w:rPr>
        <w:t xml:space="preserve">in a way that allowed for the restoration of the </w:t>
      </w:r>
      <w:r w:rsidRPr="00696B63">
        <w:rPr>
          <w:i/>
          <w:lang w:eastAsia="en-AU"/>
        </w:rPr>
        <w:t>Racial Discrimination Ac</w:t>
      </w:r>
      <w:r>
        <w:rPr>
          <w:i/>
          <w:lang w:eastAsia="en-AU"/>
        </w:rPr>
        <w:t>t 1975 (Cwth)</w:t>
      </w:r>
      <w:r w:rsidRPr="005911E2">
        <w:rPr>
          <w:lang w:eastAsia="en-AU"/>
        </w:rPr>
        <w:t>, which had been suspended as part of the NTER.</w:t>
      </w:r>
    </w:p>
    <w:p w:rsidR="00220531" w:rsidRPr="005911E2" w:rsidRDefault="00220531" w:rsidP="00220531">
      <w:pPr>
        <w:rPr>
          <w:lang w:eastAsia="en-AU"/>
        </w:rPr>
      </w:pPr>
      <w:r w:rsidRPr="005911E2">
        <w:rPr>
          <w:lang w:eastAsia="en-AU"/>
        </w:rPr>
        <w:t xml:space="preserve">While </w:t>
      </w:r>
      <w:r w:rsidR="00F878E4">
        <w:rPr>
          <w:lang w:eastAsia="en-AU"/>
        </w:rPr>
        <w:t>income management</w:t>
      </w:r>
      <w:r w:rsidRPr="005911E2">
        <w:rPr>
          <w:lang w:eastAsia="en-AU"/>
        </w:rPr>
        <w:t xml:space="preserve"> is also being implemented as a trial in a number of other locations these programs </w:t>
      </w:r>
      <w:r w:rsidR="00C5751B">
        <w:rPr>
          <w:lang w:eastAsia="en-AU"/>
        </w:rPr>
        <w:t xml:space="preserve">differ from NIM in that they </w:t>
      </w:r>
      <w:r w:rsidRPr="005911E2">
        <w:rPr>
          <w:lang w:eastAsia="en-AU"/>
        </w:rPr>
        <w:t xml:space="preserve">involve </w:t>
      </w:r>
      <w:r w:rsidR="00B35725" w:rsidRPr="005911E2">
        <w:rPr>
          <w:lang w:eastAsia="en-AU"/>
        </w:rPr>
        <w:t>target</w:t>
      </w:r>
      <w:r w:rsidR="00B35725">
        <w:rPr>
          <w:lang w:eastAsia="en-AU"/>
        </w:rPr>
        <w:t>ed</w:t>
      </w:r>
      <w:r w:rsidR="00B35725" w:rsidRPr="005911E2">
        <w:rPr>
          <w:lang w:eastAsia="en-AU"/>
        </w:rPr>
        <w:t xml:space="preserve"> </w:t>
      </w:r>
      <w:r w:rsidR="00902DE4">
        <w:rPr>
          <w:lang w:eastAsia="en-AU"/>
        </w:rPr>
        <w:t xml:space="preserve"> compulsory </w:t>
      </w:r>
      <w:r w:rsidRPr="005911E2">
        <w:rPr>
          <w:lang w:eastAsia="en-AU"/>
        </w:rPr>
        <w:t xml:space="preserve">and voluntary options without the </w:t>
      </w:r>
      <w:r w:rsidR="00902DE4">
        <w:rPr>
          <w:lang w:eastAsia="en-AU"/>
        </w:rPr>
        <w:t xml:space="preserve">broader </w:t>
      </w:r>
      <w:r w:rsidRPr="005911E2">
        <w:rPr>
          <w:lang w:eastAsia="en-AU"/>
        </w:rPr>
        <w:t>mandatory element.</w:t>
      </w:r>
      <w:r w:rsidR="00C5751B">
        <w:rPr>
          <w:lang w:eastAsia="en-AU"/>
        </w:rPr>
        <w:t xml:space="preserve"> </w:t>
      </w:r>
    </w:p>
    <w:p w:rsidR="00220531" w:rsidRPr="005911E2" w:rsidRDefault="00220531" w:rsidP="00220531">
      <w:pPr>
        <w:rPr>
          <w:lang w:eastAsia="en-AU"/>
        </w:rPr>
      </w:pPr>
      <w:r w:rsidRPr="005911E2">
        <w:rPr>
          <w:lang w:eastAsia="en-AU"/>
        </w:rPr>
        <w:t xml:space="preserve">The introduction of NIM has been accompanied by a boost in </w:t>
      </w:r>
      <w:r w:rsidR="00462747">
        <w:rPr>
          <w:lang w:eastAsia="en-AU"/>
        </w:rPr>
        <w:t xml:space="preserve">funding for </w:t>
      </w:r>
      <w:r w:rsidRPr="005911E2">
        <w:rPr>
          <w:lang w:eastAsia="en-AU"/>
        </w:rPr>
        <w:t>f</w:t>
      </w:r>
      <w:r w:rsidRPr="005911E2">
        <w:t xml:space="preserve">inancial counselling and the provision of </w:t>
      </w:r>
      <w:r w:rsidR="00B450CA">
        <w:t>m</w:t>
      </w:r>
      <w:r w:rsidRPr="005911E2">
        <w:t xml:space="preserve">oney </w:t>
      </w:r>
      <w:r w:rsidR="00B450CA">
        <w:t>m</w:t>
      </w:r>
      <w:r w:rsidRPr="005911E2">
        <w:t xml:space="preserve">anagement </w:t>
      </w:r>
      <w:r w:rsidR="001429AF">
        <w:t>services</w:t>
      </w:r>
      <w:r w:rsidR="00462747" w:rsidRPr="005911E2">
        <w:t xml:space="preserve"> </w:t>
      </w:r>
      <w:r w:rsidRPr="005911E2">
        <w:t xml:space="preserve">to improve financial literacy and </w:t>
      </w:r>
      <w:r w:rsidR="00902DE4">
        <w:t xml:space="preserve">people’s </w:t>
      </w:r>
      <w:r w:rsidRPr="005911E2">
        <w:t>ability to manage money</w:t>
      </w:r>
      <w:r w:rsidR="00CF4D52">
        <w:t>,</w:t>
      </w:r>
      <w:r w:rsidRPr="005911E2">
        <w:rPr>
          <w:lang w:eastAsia="en-AU"/>
        </w:rPr>
        <w:t xml:space="preserve"> and a </w:t>
      </w:r>
      <w:r w:rsidRPr="005911E2">
        <w:t>Matched Savings</w:t>
      </w:r>
      <w:r w:rsidR="00B62B2D">
        <w:t xml:space="preserve"> Payment</w:t>
      </w:r>
      <w:r w:rsidR="00EF4A02">
        <w:t>.</w:t>
      </w:r>
      <w:r w:rsidR="00723415">
        <w:rPr>
          <w:rStyle w:val="FootnoteReference"/>
        </w:rPr>
        <w:footnoteReference w:id="2"/>
      </w:r>
    </w:p>
    <w:p w:rsidR="00220531" w:rsidRPr="005911E2" w:rsidRDefault="00220531" w:rsidP="00220531">
      <w:r w:rsidRPr="005911E2">
        <w:t xml:space="preserve">Income management is designed to ensure that income support payments are used in the first instance to meet basic needs for individuals and their children. It seeks to limit expenditure of income support payments on alcohol, tobacco, pornography and gambling, and </w:t>
      </w:r>
      <w:r w:rsidR="00EF4A02">
        <w:t xml:space="preserve">to </w:t>
      </w:r>
      <w:r w:rsidRPr="005911E2">
        <w:t>provide a tool to stabilise people’s circumstances, ease immediate financial stress and limit financial harassment.</w:t>
      </w:r>
    </w:p>
    <w:p w:rsidR="00BF0F6E" w:rsidRDefault="00B35725" w:rsidP="00851FBD">
      <w:pPr>
        <w:pStyle w:val="BodyText"/>
      </w:pPr>
      <w:r>
        <w:t>This is also</w:t>
      </w:r>
      <w:r w:rsidR="00220531" w:rsidRPr="005911E2">
        <w:t xml:space="preserve"> expected to result in other benefits for children, parents and the broader community</w:t>
      </w:r>
      <w:r w:rsidR="00CF4D52">
        <w:t>,</w:t>
      </w:r>
      <w:r w:rsidR="00220531" w:rsidRPr="005911E2">
        <w:t xml:space="preserve"> including reductions in alcohol related violence, substance abuse</w:t>
      </w:r>
      <w:r w:rsidR="006E1354">
        <w:t>,</w:t>
      </w:r>
      <w:r w:rsidR="00220531" w:rsidRPr="005911E2">
        <w:t xml:space="preserve"> and risky behaviour. As a consequence of better spending on children, there may be improvements in positive health behaviours and improved educational attendance, which in turn could lead to improved educational outcomes.</w:t>
      </w:r>
    </w:p>
    <w:p w:rsidR="004D30D7" w:rsidRDefault="00F175FA" w:rsidP="00220531">
      <w:r>
        <w:t xml:space="preserve">These changes are expected to occur as a result of the combination of </w:t>
      </w:r>
      <w:r w:rsidR="004D30D7">
        <w:t>three interacting interventions:</w:t>
      </w:r>
    </w:p>
    <w:p w:rsidR="00BF0F6E" w:rsidRDefault="00F878E4" w:rsidP="00851FBD">
      <w:pPr>
        <w:pStyle w:val="ListBullet"/>
      </w:pPr>
      <w:r>
        <w:t>income management</w:t>
      </w:r>
      <w:r w:rsidR="00F175FA">
        <w:t xml:space="preserve">, </w:t>
      </w:r>
      <w:r w:rsidR="00F175FA" w:rsidRPr="00315FA6">
        <w:t xml:space="preserve">which is intended to act as </w:t>
      </w:r>
      <w:r w:rsidR="004D30D7" w:rsidRPr="00315FA6">
        <w:t>a stimulus</w:t>
      </w:r>
      <w:r w:rsidR="00F175FA" w:rsidRPr="00315FA6">
        <w:t xml:space="preserve"> for people to change</w:t>
      </w:r>
      <w:r w:rsidR="00D83DF5">
        <w:t>,</w:t>
      </w:r>
      <w:r w:rsidR="004D30D7" w:rsidRPr="00315FA6">
        <w:t xml:space="preserve"> to force immediate changes in spending</w:t>
      </w:r>
      <w:r w:rsidR="006562CB">
        <w:t xml:space="preserve"> to meet basic needs</w:t>
      </w:r>
      <w:r w:rsidR="006E1354">
        <w:t>,</w:t>
      </w:r>
      <w:r w:rsidR="006562CB">
        <w:t xml:space="preserve"> and</w:t>
      </w:r>
      <w:r w:rsidR="00D83DF5">
        <w:t xml:space="preserve"> reduce financial harassment</w:t>
      </w:r>
    </w:p>
    <w:p w:rsidR="00BF0F6E" w:rsidRDefault="00F175FA" w:rsidP="00851FBD">
      <w:pPr>
        <w:pStyle w:val="ListBullet"/>
      </w:pPr>
      <w:r w:rsidRPr="00315FA6">
        <w:t xml:space="preserve">exemptions and matched savings, which provide the </w:t>
      </w:r>
      <w:r w:rsidR="004D30D7" w:rsidRPr="00315FA6">
        <w:t>incentives for people to change</w:t>
      </w:r>
      <w:r w:rsidRPr="00315FA6">
        <w:t xml:space="preserve"> behaviour</w:t>
      </w:r>
    </w:p>
    <w:p w:rsidR="00BF0F6E" w:rsidRDefault="004D30D7" w:rsidP="00851FBD">
      <w:pPr>
        <w:pStyle w:val="ListBullet"/>
      </w:pPr>
      <w:r w:rsidRPr="009B3E67">
        <w:t>financial</w:t>
      </w:r>
      <w:r w:rsidR="00F175FA" w:rsidRPr="004A582A">
        <w:t xml:space="preserve"> counselling and </w:t>
      </w:r>
      <w:r w:rsidR="004F6534">
        <w:t>money management</w:t>
      </w:r>
      <w:r w:rsidR="00F175FA" w:rsidRPr="004A582A">
        <w:t xml:space="preserve"> services</w:t>
      </w:r>
      <w:r w:rsidR="006E1354">
        <w:t>,</w:t>
      </w:r>
      <w:r w:rsidRPr="004A582A">
        <w:t xml:space="preserve"> </w:t>
      </w:r>
      <w:r w:rsidR="00F175FA" w:rsidRPr="009C6B34">
        <w:t xml:space="preserve">which </w:t>
      </w:r>
      <w:r w:rsidR="004F6534">
        <w:t>are designed to enhance</w:t>
      </w:r>
      <w:r w:rsidR="00B5459D" w:rsidRPr="00B5459D">
        <w:t xml:space="preserve"> the </w:t>
      </w:r>
      <w:r w:rsidR="004F6534">
        <w:t>capacity of people to manage their money</w:t>
      </w:r>
      <w:r w:rsidR="00F175FA">
        <w:t>.</w:t>
      </w:r>
    </w:p>
    <w:p w:rsidR="00220531" w:rsidRPr="005911E2" w:rsidRDefault="006562CB" w:rsidP="00220531">
      <w:r>
        <w:t>Combined</w:t>
      </w:r>
      <w:r w:rsidR="006E1354">
        <w:t>,</w:t>
      </w:r>
      <w:r>
        <w:t xml:space="preserve"> these components of</w:t>
      </w:r>
      <w:r w:rsidR="00220531" w:rsidRPr="005911E2">
        <w:t xml:space="preserve"> the program </w:t>
      </w:r>
      <w:r>
        <w:t>are</w:t>
      </w:r>
      <w:r w:rsidR="00220531" w:rsidRPr="005911E2">
        <w:t xml:space="preserve"> intended to reinforce responsible parenting and more generally promote principles of engagement, participation and personal responsibility.</w:t>
      </w:r>
    </w:p>
    <w:p w:rsidR="00220531" w:rsidRPr="005911E2" w:rsidRDefault="006562CB" w:rsidP="00220531">
      <w:r>
        <w:t xml:space="preserve">This is expected to occur at the individual level and flow on more broadly within communities. </w:t>
      </w:r>
      <w:r w:rsidR="00220531" w:rsidRPr="005911E2">
        <w:t xml:space="preserve">NIM is only one of a number of initiatives that are being implemented in the </w:t>
      </w:r>
      <w:r w:rsidR="006435C8">
        <w:t>Northern Territory.</w:t>
      </w:r>
      <w:r w:rsidR="00220531" w:rsidRPr="005911E2">
        <w:t xml:space="preserve"> Others include ongoing programs under the NTER</w:t>
      </w:r>
      <w:r w:rsidR="006E1354">
        <w:t>,</w:t>
      </w:r>
      <w:r w:rsidR="00220531" w:rsidRPr="005911E2">
        <w:t xml:space="preserve"> including health and housing interventions, improved policing, family </w:t>
      </w:r>
      <w:r w:rsidR="00220531" w:rsidRPr="005911E2">
        <w:lastRenderedPageBreak/>
        <w:t>support</w:t>
      </w:r>
      <w:r w:rsidR="006E1354">
        <w:t>,</w:t>
      </w:r>
      <w:r w:rsidR="00220531" w:rsidRPr="005911E2">
        <w:t xml:space="preserve"> and programs directed at improving school attendance</w:t>
      </w:r>
      <w:r w:rsidR="006E1354">
        <w:t xml:space="preserve"> such as </w:t>
      </w:r>
      <w:r w:rsidR="00220531" w:rsidRPr="005911E2">
        <w:t xml:space="preserve">through suspending parents’ income support payments. </w:t>
      </w:r>
    </w:p>
    <w:p w:rsidR="00220531" w:rsidRPr="005911E2" w:rsidRDefault="00220531" w:rsidP="00220531">
      <w:pPr>
        <w:rPr>
          <w:lang w:eastAsia="en-AU"/>
        </w:rPr>
      </w:pPr>
      <w:r w:rsidRPr="005911E2">
        <w:rPr>
          <w:lang w:eastAsia="en-AU"/>
        </w:rPr>
        <w:t xml:space="preserve">In May 2010, </w:t>
      </w:r>
      <w:r w:rsidR="00E81107">
        <w:rPr>
          <w:lang w:eastAsia="en-AU"/>
        </w:rPr>
        <w:t xml:space="preserve">the </w:t>
      </w:r>
      <w:r w:rsidR="00074A20">
        <w:rPr>
          <w:lang w:eastAsia="en-AU"/>
        </w:rPr>
        <w:t xml:space="preserve">Australian Government </w:t>
      </w:r>
      <w:r w:rsidRPr="005911E2">
        <w:rPr>
          <w:lang w:eastAsia="en-AU"/>
        </w:rPr>
        <w:t xml:space="preserve">Department of Families, Housing, Community Services and Indigenous Affairs (FaHCSIA) </w:t>
      </w:r>
      <w:r w:rsidR="00E81107">
        <w:rPr>
          <w:lang w:eastAsia="en-AU"/>
        </w:rPr>
        <w:t xml:space="preserve">commissioned </w:t>
      </w:r>
      <w:r w:rsidR="00E81107" w:rsidRPr="005911E2">
        <w:rPr>
          <w:lang w:eastAsia="en-AU"/>
        </w:rPr>
        <w:t xml:space="preserve">a consortium consisting of the Social Policy Research Centre (University of New South Wales), the Australian National University and the Australian Institute of Family Studies </w:t>
      </w:r>
      <w:r w:rsidRPr="005911E2">
        <w:rPr>
          <w:lang w:eastAsia="en-AU"/>
        </w:rPr>
        <w:t>to evaluate the impact of NIM. This is the first evaluation report and considers how effectively the measure was rolled out</w:t>
      </w:r>
      <w:r w:rsidR="006E1354">
        <w:rPr>
          <w:lang w:eastAsia="en-AU"/>
        </w:rPr>
        <w:t>;</w:t>
      </w:r>
      <w:r w:rsidRPr="005911E2">
        <w:rPr>
          <w:lang w:eastAsia="en-AU"/>
        </w:rPr>
        <w:t xml:space="preserve"> how the transition from the NTER </w:t>
      </w:r>
      <w:r w:rsidR="00F92919">
        <w:rPr>
          <w:lang w:eastAsia="en-AU"/>
        </w:rPr>
        <w:t xml:space="preserve">IM </w:t>
      </w:r>
      <w:r w:rsidRPr="005911E2">
        <w:rPr>
          <w:lang w:eastAsia="en-AU"/>
        </w:rPr>
        <w:t>to NIM was managed</w:t>
      </w:r>
      <w:r w:rsidR="006E1354">
        <w:rPr>
          <w:lang w:eastAsia="en-AU"/>
        </w:rPr>
        <w:t>;</w:t>
      </w:r>
      <w:r w:rsidRPr="005911E2">
        <w:rPr>
          <w:lang w:eastAsia="en-AU"/>
        </w:rPr>
        <w:t xml:space="preserve"> and initial data on the impacts of NIM. It covers the initial implementation period and the first 12 months after full implementation. While the evaluation will continue to 2014, the data collected to date </w:t>
      </w:r>
      <w:r w:rsidR="00901A4F" w:rsidRPr="00E81107">
        <w:rPr>
          <w:lang w:eastAsia="en-AU"/>
        </w:rPr>
        <w:t>allows some clear initial findings to be made</w:t>
      </w:r>
      <w:r w:rsidRPr="005911E2">
        <w:rPr>
          <w:lang w:eastAsia="en-AU"/>
        </w:rPr>
        <w:t>.</w:t>
      </w:r>
    </w:p>
    <w:p w:rsidR="00220531" w:rsidRDefault="00220531" w:rsidP="00220531">
      <w:pPr>
        <w:pStyle w:val="BodyText"/>
      </w:pPr>
      <w:r w:rsidRPr="005911E2">
        <w:t>The evaluation has involved extensive data analysis including a survey of over 800 people in the</w:t>
      </w:r>
      <w:r w:rsidR="006435C8">
        <w:t xml:space="preserve"> Northern Territory </w:t>
      </w:r>
      <w:r w:rsidRPr="005911E2">
        <w:t xml:space="preserve">who are on </w:t>
      </w:r>
      <w:r w:rsidR="00F878E4">
        <w:t>income management</w:t>
      </w:r>
      <w:r w:rsidRPr="005911E2">
        <w:t xml:space="preserve"> and a comparison group of income support recipients outside of the </w:t>
      </w:r>
      <w:r w:rsidR="006435C8">
        <w:t>Northern Territory,</w:t>
      </w:r>
      <w:r w:rsidR="003B5BBB">
        <w:t xml:space="preserve"> as well as</w:t>
      </w:r>
      <w:r w:rsidRPr="005911E2">
        <w:t xml:space="preserve"> detailed Centrelink administrative data. We have also undertaken extensive interviews with Centrelink staff, those involved in providing </w:t>
      </w:r>
      <w:r w:rsidR="00B450CA">
        <w:t>m</w:t>
      </w:r>
      <w:r w:rsidRPr="005911E2">
        <w:t xml:space="preserve">oney </w:t>
      </w:r>
      <w:r w:rsidR="00B450CA">
        <w:t>m</w:t>
      </w:r>
      <w:r w:rsidRPr="005911E2">
        <w:t>anagement and financial counselling services, child protection workers</w:t>
      </w:r>
      <w:r w:rsidR="003B5BBB">
        <w:t>,</w:t>
      </w:r>
      <w:r w:rsidRPr="005911E2">
        <w:t xml:space="preserve"> merchants in the </w:t>
      </w:r>
      <w:r w:rsidR="006435C8">
        <w:t>Northern Territory,</w:t>
      </w:r>
      <w:r w:rsidRPr="005911E2">
        <w:t xml:space="preserve"> as well as people who are subject to </w:t>
      </w:r>
      <w:r w:rsidR="00F878E4">
        <w:t>income management</w:t>
      </w:r>
      <w:r w:rsidRPr="005911E2">
        <w:t>. In much of our evaluation</w:t>
      </w:r>
      <w:r w:rsidR="003B5BBB">
        <w:t>,</w:t>
      </w:r>
      <w:r w:rsidRPr="005911E2">
        <w:t xml:space="preserve"> data from all three sources has been used to ‘triangulate’ </w:t>
      </w:r>
      <w:r w:rsidR="003B5BBB">
        <w:t xml:space="preserve">or verify </w:t>
      </w:r>
      <w:r w:rsidRPr="005911E2">
        <w:t>findings</w:t>
      </w:r>
      <w:r w:rsidR="003B5BBB">
        <w:t>.</w:t>
      </w:r>
      <w:r w:rsidRPr="005911E2">
        <w:t xml:space="preserve"> </w:t>
      </w:r>
    </w:p>
    <w:p w:rsidR="00D923FE" w:rsidRPr="005911E2" w:rsidRDefault="00D923FE" w:rsidP="00D923FE">
      <w:pPr>
        <w:pStyle w:val="BodyText1"/>
      </w:pPr>
      <w:r w:rsidRPr="005911E2">
        <w:t xml:space="preserve">The one dimension of the evaluation which has not been considered at this stage is the economic evaluation of the program. FaHCSIA have </w:t>
      </w:r>
      <w:r>
        <w:t>sought to have this</w:t>
      </w:r>
      <w:r w:rsidRPr="005911E2">
        <w:t xml:space="preserve"> undertaken in the later stages of the evaluation when </w:t>
      </w:r>
      <w:r>
        <w:t xml:space="preserve">they consider </w:t>
      </w:r>
      <w:r w:rsidRPr="005911E2">
        <w:t>there will be a better appreciation of the full costs of program implementation</w:t>
      </w:r>
      <w:r>
        <w:t xml:space="preserve"> as well as</w:t>
      </w:r>
      <w:r w:rsidRPr="005911E2">
        <w:t xml:space="preserve"> the </w:t>
      </w:r>
      <w:r>
        <w:t xml:space="preserve">breakdown of </w:t>
      </w:r>
      <w:r w:rsidRPr="005911E2">
        <w:t>cost</w:t>
      </w:r>
      <w:r>
        <w:t>s</w:t>
      </w:r>
      <w:r w:rsidRPr="005911E2">
        <w:t xml:space="preserve"> </w:t>
      </w:r>
      <w:r>
        <w:t xml:space="preserve">between </w:t>
      </w:r>
      <w:r w:rsidRPr="005911E2">
        <w:t>establishment and operation.</w:t>
      </w:r>
    </w:p>
    <w:p w:rsidR="00220531" w:rsidRPr="005911E2" w:rsidRDefault="00220531" w:rsidP="00220531">
      <w:pPr>
        <w:pStyle w:val="Heading7"/>
      </w:pPr>
      <w:r w:rsidRPr="005911E2">
        <w:t>Findings</w:t>
      </w:r>
    </w:p>
    <w:p w:rsidR="00220531" w:rsidRPr="005911E2" w:rsidRDefault="00220531" w:rsidP="007B4471">
      <w:pPr>
        <w:pStyle w:val="Heading4"/>
      </w:pPr>
      <w:r w:rsidRPr="005911E2">
        <w:t>Overview of those subject to NIM</w:t>
      </w:r>
    </w:p>
    <w:p w:rsidR="00220531" w:rsidRPr="005911E2" w:rsidRDefault="00220531" w:rsidP="00051CDC">
      <w:pPr>
        <w:pStyle w:val="ListBullet"/>
      </w:pPr>
      <w:r w:rsidRPr="005911E2">
        <w:t xml:space="preserve">In October 2011 there were </w:t>
      </w:r>
      <w:r w:rsidR="00310125">
        <w:t>16 393</w:t>
      </w:r>
      <w:r w:rsidRPr="005911E2">
        <w:t xml:space="preserve"> people in the</w:t>
      </w:r>
      <w:r w:rsidR="006435C8">
        <w:t xml:space="preserve"> Northern Territory </w:t>
      </w:r>
      <w:r w:rsidRPr="005911E2">
        <w:t xml:space="preserve">who were subject to </w:t>
      </w:r>
      <w:r w:rsidR="00F878E4">
        <w:t>income management</w:t>
      </w:r>
      <w:r w:rsidRPr="005911E2">
        <w:t xml:space="preserve">. The majority were on Compulsory Income </w:t>
      </w:r>
      <w:r w:rsidR="005911E2" w:rsidRPr="005911E2">
        <w:t>Management (</w:t>
      </w:r>
      <w:r w:rsidR="00310125">
        <w:t>11 960</w:t>
      </w:r>
      <w:r w:rsidRPr="005911E2">
        <w:t>)</w:t>
      </w:r>
      <w:r w:rsidR="003B5BBB">
        <w:t>, whilst</w:t>
      </w:r>
      <w:r w:rsidRPr="005911E2">
        <w:t xml:space="preserve"> a substantial number were on Voluntary Income Management (</w:t>
      </w:r>
      <w:r w:rsidR="00310125">
        <w:t>4 190</w:t>
      </w:r>
      <w:r w:rsidRPr="005911E2">
        <w:t>). The</w:t>
      </w:r>
      <w:r w:rsidR="003B5BBB">
        <w:t xml:space="preserve">re were </w:t>
      </w:r>
      <w:r w:rsidR="00310125">
        <w:t>198</w:t>
      </w:r>
      <w:r w:rsidR="003B5BBB">
        <w:t xml:space="preserve"> individuals </w:t>
      </w:r>
      <w:r w:rsidRPr="005911E2">
        <w:t xml:space="preserve">on Vulnerable Income Management and </w:t>
      </w:r>
      <w:r w:rsidR="0029667F" w:rsidRPr="005911E2">
        <w:t>4</w:t>
      </w:r>
      <w:r w:rsidR="00310125">
        <w:t xml:space="preserve">5 </w:t>
      </w:r>
      <w:r w:rsidR="0029667F">
        <w:t>subject to</w:t>
      </w:r>
      <w:r w:rsidR="0029667F" w:rsidRPr="005911E2">
        <w:t xml:space="preserve"> </w:t>
      </w:r>
      <w:r w:rsidRPr="005911E2">
        <w:t xml:space="preserve">Child Protection Income Management. </w:t>
      </w:r>
    </w:p>
    <w:p w:rsidR="00220531" w:rsidRPr="00051CDC" w:rsidRDefault="00220531" w:rsidP="00051CDC">
      <w:pPr>
        <w:pStyle w:val="ListBullet"/>
      </w:pPr>
      <w:r w:rsidRPr="00051CDC">
        <w:t xml:space="preserve">Overall, 91 per cent of those subject to </w:t>
      </w:r>
      <w:r w:rsidR="00F878E4">
        <w:t>income management</w:t>
      </w:r>
      <w:r w:rsidRPr="00051CDC">
        <w:t xml:space="preserve"> are Indigenous. The proportion of</w:t>
      </w:r>
      <w:r w:rsidR="006435C8">
        <w:t xml:space="preserve"> Northern Territory </w:t>
      </w:r>
      <w:r w:rsidRPr="00051CDC">
        <w:t xml:space="preserve">Indigenous income support recipients </w:t>
      </w:r>
      <w:r w:rsidR="003B5BBB">
        <w:t xml:space="preserve">that don’t qualify for </w:t>
      </w:r>
      <w:r w:rsidRPr="00051CDC">
        <w:t xml:space="preserve">the Age Pension </w:t>
      </w:r>
      <w:r w:rsidR="003B5BBB">
        <w:t xml:space="preserve">but </w:t>
      </w:r>
      <w:r w:rsidRPr="00051CDC">
        <w:t xml:space="preserve">who </w:t>
      </w:r>
      <w:r w:rsidR="003B5BBB">
        <w:t xml:space="preserve">are </w:t>
      </w:r>
      <w:r w:rsidRPr="00051CDC">
        <w:t>subject to NIM is around 64</w:t>
      </w:r>
      <w:r w:rsidR="00D923FE">
        <w:t> </w:t>
      </w:r>
      <w:r w:rsidRPr="00051CDC">
        <w:t>per cent. The equivalent figure for the</w:t>
      </w:r>
      <w:r w:rsidR="006435C8">
        <w:t xml:space="preserve"> Northern Territory </w:t>
      </w:r>
      <w:r w:rsidRPr="00051CDC">
        <w:t>non-Indigenous</w:t>
      </w:r>
      <w:r w:rsidR="003B5BBB">
        <w:t xml:space="preserve"> population</w:t>
      </w:r>
      <w:r w:rsidR="00D923FE">
        <w:t xml:space="preserve"> is 18 </w:t>
      </w:r>
      <w:r w:rsidRPr="00051CDC">
        <w:t xml:space="preserve">per cent. </w:t>
      </w:r>
    </w:p>
    <w:p w:rsidR="00220531" w:rsidRPr="005911E2" w:rsidRDefault="00E81107" w:rsidP="00051CDC">
      <w:pPr>
        <w:pStyle w:val="ListBullet"/>
      </w:pPr>
      <w:r>
        <w:t>A</w:t>
      </w:r>
      <w:r w:rsidR="00A97BF6">
        <w:t>l</w:t>
      </w:r>
      <w:r>
        <w:t>most</w:t>
      </w:r>
      <w:r w:rsidRPr="005911E2">
        <w:t xml:space="preserve"> </w:t>
      </w:r>
      <w:r w:rsidR="00220531" w:rsidRPr="005911E2">
        <w:t>all of those on Voluntary or subject to Vulnerable or Child Protection Income Management are Indigenous.</w:t>
      </w:r>
    </w:p>
    <w:p w:rsidR="00220531" w:rsidRPr="005911E2" w:rsidRDefault="00220531" w:rsidP="00051CDC">
      <w:pPr>
        <w:pStyle w:val="ListBullet"/>
      </w:pPr>
      <w:r w:rsidRPr="005911E2">
        <w:t xml:space="preserve">The population subject to </w:t>
      </w:r>
      <w:r w:rsidR="00F878E4">
        <w:t>income management</w:t>
      </w:r>
      <w:r w:rsidRPr="005911E2">
        <w:t xml:space="preserve"> is more likely to be female - 61 per cent. Thirty</w:t>
      </w:r>
      <w:r w:rsidR="00EA1B30">
        <w:t>-</w:t>
      </w:r>
      <w:r w:rsidRPr="005911E2">
        <w:t xml:space="preserve">eight per cent were parents with children (19 per cent </w:t>
      </w:r>
      <w:r w:rsidR="003B5BBB">
        <w:t xml:space="preserve">were </w:t>
      </w:r>
      <w:r w:rsidRPr="005911E2">
        <w:t xml:space="preserve">couples with dependent children and 19 per cent </w:t>
      </w:r>
      <w:r w:rsidR="003B5BBB">
        <w:t xml:space="preserve">were </w:t>
      </w:r>
      <w:r w:rsidRPr="005911E2">
        <w:t>single parents).</w:t>
      </w:r>
    </w:p>
    <w:p w:rsidR="00220531" w:rsidRPr="005911E2" w:rsidRDefault="00220531" w:rsidP="00051CDC">
      <w:pPr>
        <w:pStyle w:val="ListBullet"/>
      </w:pPr>
      <w:r w:rsidRPr="005911E2">
        <w:lastRenderedPageBreak/>
        <w:t xml:space="preserve">A high proportion of those subject to </w:t>
      </w:r>
      <w:r w:rsidR="00F878E4">
        <w:t>income management</w:t>
      </w:r>
      <w:r w:rsidRPr="005911E2">
        <w:t xml:space="preserve"> report that they and their families do not have substantial problems as a result of alcohol, drugs or gambling.</w:t>
      </w:r>
    </w:p>
    <w:p w:rsidR="00220531" w:rsidRPr="005911E2" w:rsidRDefault="00220531" w:rsidP="007B4471">
      <w:pPr>
        <w:pStyle w:val="Heading4"/>
      </w:pPr>
      <w:r w:rsidRPr="005911E2">
        <w:t xml:space="preserve">Transition from NTER </w:t>
      </w:r>
      <w:r w:rsidR="00E8695F">
        <w:t>IM</w:t>
      </w:r>
      <w:r w:rsidRPr="005911E2">
        <w:t xml:space="preserve"> to NIM</w:t>
      </w:r>
    </w:p>
    <w:p w:rsidR="00220531" w:rsidRPr="005911E2" w:rsidRDefault="001118EF" w:rsidP="00051CDC">
      <w:pPr>
        <w:pStyle w:val="ListBullet"/>
      </w:pPr>
      <w:r>
        <w:t>Over t</w:t>
      </w:r>
      <w:r w:rsidR="00220531" w:rsidRPr="005911E2">
        <w:t xml:space="preserve">wo-thirds of people who were on NTER </w:t>
      </w:r>
      <w:r w:rsidR="00F92919">
        <w:t>IM</w:t>
      </w:r>
      <w:r w:rsidR="00E8695F">
        <w:t xml:space="preserve"> </w:t>
      </w:r>
      <w:r w:rsidR="00220531" w:rsidRPr="005911E2">
        <w:t>in July 2010 were on NIM in October 2011</w:t>
      </w:r>
      <w:r w:rsidR="004A582A">
        <w:t xml:space="preserve"> </w:t>
      </w:r>
      <w:r w:rsidR="00220531" w:rsidRPr="005911E2">
        <w:t>—</w:t>
      </w:r>
      <w:r w:rsidR="004A582A">
        <w:t xml:space="preserve"> </w:t>
      </w:r>
      <w:r w:rsidR="00220531" w:rsidRPr="005911E2">
        <w:t xml:space="preserve">44 per cent were on </w:t>
      </w:r>
      <w:r w:rsidR="004808B3">
        <w:t>Compulsory Income Management</w:t>
      </w:r>
      <w:r w:rsidR="00220531" w:rsidRPr="005911E2">
        <w:t xml:space="preserve">, 24 per cent on </w:t>
      </w:r>
      <w:r w:rsidR="002B5A5C">
        <w:t>Voluntary Income Management</w:t>
      </w:r>
      <w:r w:rsidR="00220531" w:rsidRPr="005911E2">
        <w:t xml:space="preserve">, 0.2 per cent on </w:t>
      </w:r>
      <w:r w:rsidR="00E146B5">
        <w:t>Child Protection Income Management</w:t>
      </w:r>
      <w:r w:rsidR="00220531" w:rsidRPr="005911E2">
        <w:t xml:space="preserve"> and 1 per cent on </w:t>
      </w:r>
      <w:r w:rsidR="00E2340D">
        <w:t>Vulnerable Income Management</w:t>
      </w:r>
      <w:r w:rsidR="00220531" w:rsidRPr="005911E2">
        <w:t>.</w:t>
      </w:r>
    </w:p>
    <w:p w:rsidR="00220531" w:rsidRPr="005911E2" w:rsidRDefault="00220531" w:rsidP="00051CDC">
      <w:pPr>
        <w:pStyle w:val="ListBullet"/>
      </w:pPr>
      <w:r w:rsidRPr="005911E2">
        <w:t xml:space="preserve">Sixteen per cent were in receipt of an income support payment but were not subject to </w:t>
      </w:r>
      <w:r w:rsidR="00F878E4">
        <w:t>income management</w:t>
      </w:r>
      <w:r w:rsidR="003B5BBB">
        <w:t>,</w:t>
      </w:r>
      <w:r w:rsidRPr="005911E2">
        <w:t xml:space="preserve"> and another </w:t>
      </w:r>
      <w:r w:rsidR="003B5BBB">
        <w:t>sixteen</w:t>
      </w:r>
      <w:r w:rsidR="003B5BBB" w:rsidRPr="005911E2">
        <w:t xml:space="preserve"> </w:t>
      </w:r>
      <w:r w:rsidRPr="005911E2">
        <w:t>per</w:t>
      </w:r>
      <w:r w:rsidR="003B5BBB">
        <w:t xml:space="preserve"> </w:t>
      </w:r>
      <w:r w:rsidRPr="005911E2">
        <w:t xml:space="preserve">cent were no longer in receipt of an income support payment. </w:t>
      </w:r>
    </w:p>
    <w:p w:rsidR="00220531" w:rsidRPr="005911E2" w:rsidRDefault="00220531" w:rsidP="007B4471">
      <w:pPr>
        <w:pStyle w:val="Heading4"/>
      </w:pPr>
      <w:r w:rsidRPr="005911E2">
        <w:t xml:space="preserve">Impacts of </w:t>
      </w:r>
      <w:r w:rsidR="00F878E4">
        <w:t>income management</w:t>
      </w:r>
    </w:p>
    <w:p w:rsidR="00220531" w:rsidRPr="005911E2" w:rsidRDefault="00220531" w:rsidP="00051CDC">
      <w:pPr>
        <w:pStyle w:val="ListBullet"/>
      </w:pPr>
      <w:r w:rsidRPr="005911E2">
        <w:t>There are few, if any, strong and consistent impacts of NIM</w:t>
      </w:r>
      <w:r w:rsidR="003B5BBB">
        <w:t>; r</w:t>
      </w:r>
      <w:r w:rsidRPr="005911E2">
        <w:t>ather</w:t>
      </w:r>
      <w:r w:rsidR="00B50356">
        <w:t>,</w:t>
      </w:r>
      <w:r w:rsidRPr="005911E2">
        <w:t xml:space="preserve"> there have been diverse outcomes. This is reflected in the wide and inconsistent range of views and experiences of </w:t>
      </w:r>
      <w:r w:rsidR="00F878E4">
        <w:t>income management</w:t>
      </w:r>
      <w:r w:rsidRPr="005911E2">
        <w:t xml:space="preserve">. </w:t>
      </w:r>
    </w:p>
    <w:p w:rsidR="00220531" w:rsidRPr="005911E2" w:rsidRDefault="00220531" w:rsidP="00051CDC">
      <w:pPr>
        <w:pStyle w:val="ListBullet"/>
      </w:pPr>
      <w:r w:rsidRPr="005911E2">
        <w:t xml:space="preserve">For some people, </w:t>
      </w:r>
      <w:r w:rsidR="00F878E4">
        <w:t>income management</w:t>
      </w:r>
      <w:r w:rsidRPr="005911E2">
        <w:t xml:space="preserve"> has had a positive impact on their lives and many wish to remain on the program.</w:t>
      </w:r>
      <w:r w:rsidR="00B62B2D">
        <w:t xml:space="preserve"> </w:t>
      </w:r>
      <w:r w:rsidRPr="005911E2">
        <w:t>There is evidence that for some</w:t>
      </w:r>
      <w:r w:rsidR="0029667F">
        <w:t xml:space="preserve"> people</w:t>
      </w:r>
      <w:r w:rsidRPr="005911E2">
        <w:t xml:space="preserve"> </w:t>
      </w:r>
      <w:r w:rsidR="00F878E4">
        <w:t>income management</w:t>
      </w:r>
      <w:r w:rsidRPr="005911E2">
        <w:t xml:space="preserve"> has reduced, to a limited degree, adverse outcomes from financial harassment</w:t>
      </w:r>
      <w:r w:rsidR="004F6534">
        <w:t xml:space="preserve">. </w:t>
      </w:r>
    </w:p>
    <w:p w:rsidR="004F6534" w:rsidRPr="005911E2" w:rsidRDefault="004F6534" w:rsidP="00E62FDB">
      <w:pPr>
        <w:pStyle w:val="ListBullet"/>
      </w:pPr>
      <w:r>
        <w:t>A</w:t>
      </w:r>
      <w:r w:rsidRPr="005911E2">
        <w:t xml:space="preserve">mongst Indigenous people on </w:t>
      </w:r>
      <w:r w:rsidR="00F878E4">
        <w:t>income management</w:t>
      </w:r>
      <w:r w:rsidRPr="005911E2">
        <w:t>, there was a statistically significant perception of an improvement in their ability to afford food</w:t>
      </w:r>
      <w:r w:rsidR="007F0E02">
        <w:t>.</w:t>
      </w:r>
      <w:r w:rsidRPr="005911E2">
        <w:t xml:space="preserve"> </w:t>
      </w:r>
      <w:r w:rsidR="0034325F">
        <w:t>Relative to the control group t</w:t>
      </w:r>
      <w:r w:rsidRPr="005911E2">
        <w:t>h</w:t>
      </w:r>
      <w:r w:rsidR="007F0E02">
        <w:t>ere</w:t>
      </w:r>
      <w:r w:rsidRPr="005911E2">
        <w:t xml:space="preserve"> was no </w:t>
      </w:r>
      <w:r w:rsidR="00055BC5">
        <w:t xml:space="preserve">reduction in </w:t>
      </w:r>
      <w:r w:rsidRPr="005911E2">
        <w:t>the extent to which they reported running out of money for food.</w:t>
      </w:r>
      <w:r>
        <w:t xml:space="preserve"> </w:t>
      </w:r>
    </w:p>
    <w:p w:rsidR="005C7912" w:rsidRPr="005911E2" w:rsidRDefault="005C7912" w:rsidP="00051CDC">
      <w:pPr>
        <w:pStyle w:val="ListBullet"/>
      </w:pPr>
      <w:r w:rsidRPr="005911E2">
        <w:t xml:space="preserve">Many people subject to </w:t>
      </w:r>
      <w:r w:rsidR="00F878E4">
        <w:t>income management</w:t>
      </w:r>
      <w:r w:rsidRPr="005911E2">
        <w:t xml:space="preserve"> reported that it makes little practical difference to their lives. </w:t>
      </w:r>
    </w:p>
    <w:p w:rsidR="005C7912" w:rsidRPr="005911E2" w:rsidRDefault="005C7912" w:rsidP="00051CDC">
      <w:pPr>
        <w:pStyle w:val="ListBullet"/>
      </w:pPr>
      <w:r w:rsidRPr="005911E2">
        <w:t>In some cases</w:t>
      </w:r>
      <w:r w:rsidR="009B3382">
        <w:t>,</w:t>
      </w:r>
      <w:r w:rsidRPr="005911E2">
        <w:t xml:space="preserve"> people subject to </w:t>
      </w:r>
      <w:r w:rsidR="00F878E4">
        <w:t>income management</w:t>
      </w:r>
      <w:r w:rsidRPr="005911E2">
        <w:t xml:space="preserve"> see </w:t>
      </w:r>
      <w:r w:rsidR="00E527C4">
        <w:t>a mix of both positive</w:t>
      </w:r>
      <w:r w:rsidR="00315FA6">
        <w:t xml:space="preserve"> and negative</w:t>
      </w:r>
      <w:r w:rsidR="00E527C4">
        <w:t xml:space="preserve"> aspects</w:t>
      </w:r>
      <w:r w:rsidRPr="005911E2">
        <w:t>, for example valuing the BasicsCard but resenting the associated loss of autonomy.</w:t>
      </w:r>
    </w:p>
    <w:p w:rsidR="005C7912" w:rsidRPr="005911E2" w:rsidRDefault="005C7912" w:rsidP="00051CDC">
      <w:pPr>
        <w:pStyle w:val="ListBullet"/>
      </w:pPr>
      <w:r w:rsidRPr="005911E2">
        <w:t>For others</w:t>
      </w:r>
      <w:r w:rsidR="009B3382">
        <w:t>,</w:t>
      </w:r>
      <w:r w:rsidRPr="005911E2">
        <w:t xml:space="preserve"> being subject to </w:t>
      </w:r>
      <w:r w:rsidR="00F878E4">
        <w:t>income management</w:t>
      </w:r>
      <w:r w:rsidRPr="005911E2">
        <w:t xml:space="preserve"> is experienced as restrictive and frustrating, making their lives more difficult and complicated and in some cases limiting their ability to fully engage in community life.</w:t>
      </w:r>
    </w:p>
    <w:p w:rsidR="00D83947" w:rsidRDefault="00220531" w:rsidP="00051CDC">
      <w:pPr>
        <w:pStyle w:val="ListBullet"/>
      </w:pPr>
      <w:r w:rsidRPr="005911E2">
        <w:t xml:space="preserve">Indigenous people subject to </w:t>
      </w:r>
      <w:r w:rsidR="00F878E4">
        <w:t>income management</w:t>
      </w:r>
      <w:r w:rsidR="00D7627F">
        <w:t xml:space="preserve"> report</w:t>
      </w:r>
      <w:r w:rsidRPr="005911E2">
        <w:t xml:space="preserve"> strong perceptions of improvements in </w:t>
      </w:r>
      <w:r w:rsidR="00D83947">
        <w:t xml:space="preserve">the </w:t>
      </w:r>
      <w:r w:rsidRPr="005911E2">
        <w:t xml:space="preserve">wellbeing </w:t>
      </w:r>
      <w:r w:rsidR="00D83947">
        <w:t xml:space="preserve">of children </w:t>
      </w:r>
      <w:r w:rsidRPr="005911E2">
        <w:t xml:space="preserve">in their community, especially those living in NTER prescribed areas. However, such perceptions do not necessarily line up with objective data where it is possible to test this. Caution is needed in attributing these perceived improvements specifically to </w:t>
      </w:r>
      <w:r w:rsidR="00F878E4">
        <w:t>income management</w:t>
      </w:r>
      <w:r w:rsidR="00B50356">
        <w:t>,</w:t>
      </w:r>
      <w:r w:rsidRPr="005911E2">
        <w:t xml:space="preserve"> given the </w:t>
      </w:r>
      <w:r w:rsidR="00D83947">
        <w:t xml:space="preserve">other </w:t>
      </w:r>
      <w:r w:rsidRPr="005911E2">
        <w:t>major policy changes associated with the NTER and the substantial additional resources spent in the</w:t>
      </w:r>
      <w:r w:rsidR="006435C8">
        <w:t xml:space="preserve"> Northern Territory </w:t>
      </w:r>
      <w:r w:rsidR="00D83947">
        <w:t xml:space="preserve">in other policy areas </w:t>
      </w:r>
      <w:r w:rsidRPr="005911E2">
        <w:t xml:space="preserve">since the NTER commenced. </w:t>
      </w:r>
    </w:p>
    <w:p w:rsidR="00220531" w:rsidRPr="005911E2" w:rsidRDefault="00220531" w:rsidP="00051CDC">
      <w:pPr>
        <w:pStyle w:val="ListBullet"/>
      </w:pPr>
      <w:r w:rsidRPr="005911E2">
        <w:t xml:space="preserve">For many there </w:t>
      </w:r>
      <w:r w:rsidR="00D83947">
        <w:t xml:space="preserve">is </w:t>
      </w:r>
      <w:r w:rsidRPr="005911E2">
        <w:t xml:space="preserve">a strong sense of having been treated unfairly and being disempowered. </w:t>
      </w:r>
      <w:r w:rsidR="008567EA">
        <w:t>Only</w:t>
      </w:r>
      <w:r w:rsidR="008F64EA">
        <w:t xml:space="preserve"> a</w:t>
      </w:r>
      <w:r w:rsidRPr="005911E2">
        <w:t xml:space="preserve"> quarter of people subject to </w:t>
      </w:r>
      <w:r w:rsidR="00F878E4">
        <w:t>income management</w:t>
      </w:r>
      <w:r w:rsidRPr="005911E2">
        <w:t xml:space="preserve"> who were surveyed said that they never felt a sense of unfairness. </w:t>
      </w:r>
    </w:p>
    <w:p w:rsidR="00220531" w:rsidRPr="005911E2" w:rsidRDefault="00220531" w:rsidP="00051CDC">
      <w:pPr>
        <w:pStyle w:val="ListBullet"/>
      </w:pPr>
      <w:r w:rsidRPr="005911E2">
        <w:lastRenderedPageBreak/>
        <w:t xml:space="preserve">Generally non-Indigenous people subject to </w:t>
      </w:r>
      <w:r w:rsidR="00F878E4">
        <w:t>income management</w:t>
      </w:r>
      <w:r w:rsidRPr="005911E2">
        <w:t xml:space="preserve"> are more negative about the program than Indigenous people</w:t>
      </w:r>
      <w:r w:rsidR="008F64EA">
        <w:t>,</w:t>
      </w:r>
      <w:r w:rsidRPr="005911E2">
        <w:t xml:space="preserve"> and a higher proportion believe that </w:t>
      </w:r>
      <w:r w:rsidR="00F878E4">
        <w:t>income management</w:t>
      </w:r>
      <w:r w:rsidRPr="005911E2">
        <w:t xml:space="preserve"> has made no difference or has been harmful to them and their families. </w:t>
      </w:r>
    </w:p>
    <w:p w:rsidR="00220531" w:rsidRDefault="0003166C" w:rsidP="00051CDC">
      <w:pPr>
        <w:pStyle w:val="ListBullet"/>
      </w:pPr>
      <w:r>
        <w:t>At this stage t</w:t>
      </w:r>
      <w:r w:rsidR="00220531" w:rsidRPr="005911E2">
        <w:t xml:space="preserve">he introduction of NIM </w:t>
      </w:r>
      <w:r>
        <w:t>has not had</w:t>
      </w:r>
      <w:r w:rsidR="00220531" w:rsidRPr="005911E2">
        <w:t xml:space="preserve"> an impact on the </w:t>
      </w:r>
      <w:r w:rsidR="008F64EA">
        <w:t xml:space="preserve">time </w:t>
      </w:r>
      <w:r w:rsidR="00220531" w:rsidRPr="005911E2">
        <w:t xml:space="preserve">people </w:t>
      </w:r>
      <w:r w:rsidR="008F64EA">
        <w:t>spen</w:t>
      </w:r>
      <w:r>
        <w:t>d</w:t>
      </w:r>
      <w:r w:rsidR="008F64EA">
        <w:t xml:space="preserve"> </w:t>
      </w:r>
      <w:r w:rsidR="00220531" w:rsidRPr="005911E2">
        <w:t>on income support.</w:t>
      </w:r>
    </w:p>
    <w:p w:rsidR="00C2289E" w:rsidRPr="00C2289E" w:rsidRDefault="00C2289E" w:rsidP="00C2289E">
      <w:pPr>
        <w:pStyle w:val="ListBullet"/>
      </w:pPr>
      <w:r w:rsidRPr="00C2289E">
        <w:t>The evidence at this stage is that the majority of Indigenous people</w:t>
      </w:r>
      <w:r>
        <w:t>, in particular,</w:t>
      </w:r>
      <w:r w:rsidRPr="00C2289E">
        <w:t xml:space="preserve"> subject to income management will remain income managed for an extended period of time with the rate of exit from income management </w:t>
      </w:r>
      <w:r>
        <w:t xml:space="preserve">for most subgroups </w:t>
      </w:r>
      <w:r w:rsidRPr="00C2289E">
        <w:t>b</w:t>
      </w:r>
      <w:r>
        <w:t>eing quite low. Around half</w:t>
      </w:r>
      <w:r w:rsidR="00902DE4">
        <w:t xml:space="preserve"> of the</w:t>
      </w:r>
      <w:r>
        <w:t xml:space="preserve"> non-Indigenous people</w:t>
      </w:r>
      <w:r w:rsidR="004947B2">
        <w:t xml:space="preserve"> </w:t>
      </w:r>
      <w:r w:rsidR="00902DE4">
        <w:t xml:space="preserve">subject to income management </w:t>
      </w:r>
      <w:r w:rsidR="004947B2">
        <w:t>however</w:t>
      </w:r>
      <w:r>
        <w:t xml:space="preserve"> exit within a year.</w:t>
      </w:r>
    </w:p>
    <w:p w:rsidR="0011026F" w:rsidRPr="005911E2" w:rsidRDefault="0011026F" w:rsidP="00051CDC">
      <w:pPr>
        <w:pStyle w:val="ListBullet"/>
      </w:pPr>
      <w:r w:rsidRPr="0011026F">
        <w:t xml:space="preserve">There is little evidence </w:t>
      </w:r>
      <w:r w:rsidR="00C2289E">
        <w:t>to date</w:t>
      </w:r>
      <w:r w:rsidR="007F0E02">
        <w:t xml:space="preserve"> </w:t>
      </w:r>
      <w:r w:rsidRPr="0011026F">
        <w:t>that income management is resulting in widespread behaviour change, either with respect to building an ability to effectively manage money or in building ‘socially responsible behaviour’ beyond the direct impact of limiting the amount that can be spent on some items. As such</w:t>
      </w:r>
      <w:r w:rsidR="00B50356">
        <w:t>,</w:t>
      </w:r>
      <w:r w:rsidRPr="0011026F">
        <w:t xml:space="preserve"> </w:t>
      </w:r>
      <w:r w:rsidR="007F0E02">
        <w:t xml:space="preserve">the </w:t>
      </w:r>
      <w:r w:rsidR="00D51CEA">
        <w:t xml:space="preserve">early </w:t>
      </w:r>
      <w:r w:rsidR="007F0E02">
        <w:t xml:space="preserve">indications are that </w:t>
      </w:r>
      <w:r w:rsidR="00D51CEA">
        <w:t>income management</w:t>
      </w:r>
      <w:r w:rsidRPr="0011026F">
        <w:t xml:space="preserve"> operates more as a control </w:t>
      </w:r>
      <w:r w:rsidR="00D51CEA">
        <w:t xml:space="preserve">or protective mechanism </w:t>
      </w:r>
      <w:r w:rsidRPr="0011026F">
        <w:t xml:space="preserve">than </w:t>
      </w:r>
      <w:r w:rsidR="00B50356">
        <w:t xml:space="preserve">as </w:t>
      </w:r>
      <w:r w:rsidRPr="0011026F">
        <w:t>a</w:t>
      </w:r>
      <w:r w:rsidR="00D51CEA">
        <w:t>n intervention</w:t>
      </w:r>
      <w:r w:rsidRPr="0011026F">
        <w:t xml:space="preserve"> which increases capabilities.</w:t>
      </w:r>
    </w:p>
    <w:p w:rsidR="00220531" w:rsidRPr="005911E2" w:rsidRDefault="00220531" w:rsidP="007B4471">
      <w:pPr>
        <w:pStyle w:val="Heading4"/>
      </w:pPr>
      <w:r w:rsidRPr="005911E2">
        <w:t>Compulsory Income Management (CIM)</w:t>
      </w:r>
    </w:p>
    <w:p w:rsidR="00220531" w:rsidRPr="005911E2" w:rsidRDefault="00220531" w:rsidP="00051CDC">
      <w:pPr>
        <w:pStyle w:val="ListBullet"/>
      </w:pPr>
      <w:r w:rsidRPr="005911E2">
        <w:t>As noted above</w:t>
      </w:r>
      <w:r w:rsidR="00B50356">
        <w:t>,</w:t>
      </w:r>
      <w:r w:rsidRPr="005911E2">
        <w:t xml:space="preserve"> there is some evidence that </w:t>
      </w:r>
      <w:r w:rsidR="00F878E4">
        <w:t>income management</w:t>
      </w:r>
      <w:r w:rsidRPr="005911E2">
        <w:t xml:space="preserve"> </w:t>
      </w:r>
      <w:r w:rsidR="00055BC5">
        <w:t>may to a limited degree</w:t>
      </w:r>
      <w:r w:rsidRPr="005911E2">
        <w:t xml:space="preserve">, in the </w:t>
      </w:r>
      <w:r w:rsidR="00D3222D">
        <w:t>short-term</w:t>
      </w:r>
      <w:r w:rsidRPr="005911E2">
        <w:t xml:space="preserve">, assist some </w:t>
      </w:r>
      <w:r w:rsidR="00055BC5">
        <w:t xml:space="preserve">of those </w:t>
      </w:r>
      <w:r w:rsidRPr="005911E2">
        <w:t xml:space="preserve">people </w:t>
      </w:r>
      <w:r w:rsidR="00D811AB">
        <w:t>experienc</w:t>
      </w:r>
      <w:r w:rsidR="00055BC5">
        <w:t>ing adverse outcomes from</w:t>
      </w:r>
      <w:r w:rsidRPr="005911E2">
        <w:t xml:space="preserve"> financial harassment</w:t>
      </w:r>
      <w:r w:rsidR="00D811AB">
        <w:t xml:space="preserve"> and</w:t>
      </w:r>
      <w:r w:rsidR="0003166C">
        <w:t>/or</w:t>
      </w:r>
      <w:r w:rsidRPr="005911E2">
        <w:t xml:space="preserve"> </w:t>
      </w:r>
      <w:r w:rsidR="005232C4" w:rsidRPr="005911E2">
        <w:t>hav</w:t>
      </w:r>
      <w:r w:rsidR="005232C4">
        <w:t>ing</w:t>
      </w:r>
      <w:r w:rsidR="005232C4" w:rsidRPr="005911E2">
        <w:t xml:space="preserve"> </w:t>
      </w:r>
      <w:r w:rsidR="00D811AB">
        <w:t>problems in managing</w:t>
      </w:r>
      <w:r w:rsidRPr="005911E2">
        <w:t xml:space="preserve"> their finances.</w:t>
      </w:r>
      <w:r w:rsidR="00B62B2D">
        <w:t xml:space="preserve"> </w:t>
      </w:r>
    </w:p>
    <w:p w:rsidR="00220531" w:rsidRPr="005911E2" w:rsidRDefault="004808B3" w:rsidP="00051CDC">
      <w:pPr>
        <w:pStyle w:val="ListBullet"/>
      </w:pPr>
      <w:r>
        <w:t>Compulsory Income Management</w:t>
      </w:r>
      <w:r w:rsidR="00220531" w:rsidRPr="005911E2">
        <w:t xml:space="preserve"> is a blanket measure which is applied to a large number of people who</w:t>
      </w:r>
      <w:r w:rsidR="00632790">
        <w:t>, according to</w:t>
      </w:r>
      <w:r w:rsidR="001142FD">
        <w:t xml:space="preserve"> the analysis of survey data, </w:t>
      </w:r>
      <w:r w:rsidR="00D811AB">
        <w:t>interviews and other consultations</w:t>
      </w:r>
      <w:r w:rsidR="008F64EA">
        <w:t>,</w:t>
      </w:r>
      <w:r w:rsidR="00D811AB">
        <w:t xml:space="preserve"> </w:t>
      </w:r>
      <w:r w:rsidR="00220531" w:rsidRPr="005911E2">
        <w:t xml:space="preserve">are able to manage their money and </w:t>
      </w:r>
      <w:r w:rsidR="00D811AB">
        <w:t xml:space="preserve">who report </w:t>
      </w:r>
      <w:r w:rsidR="004D30D7">
        <w:t>that they</w:t>
      </w:r>
      <w:r w:rsidR="004D30D7" w:rsidRPr="005911E2">
        <w:t xml:space="preserve"> </w:t>
      </w:r>
      <w:r w:rsidR="00220531" w:rsidRPr="005911E2">
        <w:t xml:space="preserve">do not have </w:t>
      </w:r>
      <w:r w:rsidR="00D811AB">
        <w:t xml:space="preserve">problems related </w:t>
      </w:r>
      <w:r w:rsidR="00B50356">
        <w:t xml:space="preserve">to </w:t>
      </w:r>
      <w:r w:rsidR="009B3E67">
        <w:t xml:space="preserve">alcohol, </w:t>
      </w:r>
      <w:r w:rsidR="00D811AB">
        <w:t>drugs or</w:t>
      </w:r>
      <w:r w:rsidR="009B3E67">
        <w:t xml:space="preserve"> gambling</w:t>
      </w:r>
      <w:r w:rsidR="004F6769">
        <w:rPr>
          <w:rStyle w:val="FootnoteReference"/>
        </w:rPr>
        <w:footnoteReference w:id="3"/>
      </w:r>
      <w:r w:rsidR="00D811AB">
        <w:t>.</w:t>
      </w:r>
      <w:r w:rsidR="00D811AB" w:rsidRPr="005911E2">
        <w:t xml:space="preserve"> </w:t>
      </w:r>
    </w:p>
    <w:p w:rsidR="00220531" w:rsidRPr="005911E2" w:rsidRDefault="004808B3" w:rsidP="00051CDC">
      <w:pPr>
        <w:pStyle w:val="ListBullet"/>
      </w:pPr>
      <w:r>
        <w:t>Compulsory Income Management</w:t>
      </w:r>
      <w:r w:rsidR="00220531" w:rsidRPr="005911E2">
        <w:t xml:space="preserve"> has given rise to considerable feelings of disempowerment and unfairness.</w:t>
      </w:r>
    </w:p>
    <w:p w:rsidR="00220531" w:rsidRPr="005911E2" w:rsidRDefault="00220531" w:rsidP="007B4471">
      <w:pPr>
        <w:pStyle w:val="Heading4"/>
      </w:pPr>
      <w:r w:rsidRPr="005911E2">
        <w:t>Voluntary Income Management (VIM)</w:t>
      </w:r>
    </w:p>
    <w:p w:rsidR="00220531" w:rsidRPr="005911E2" w:rsidRDefault="00220531" w:rsidP="00051CDC">
      <w:pPr>
        <w:pStyle w:val="ListBullet"/>
      </w:pPr>
      <w:r w:rsidRPr="005911E2">
        <w:t xml:space="preserve">After the initial implementation period the numbers on </w:t>
      </w:r>
      <w:r w:rsidR="002B5A5C">
        <w:t>Voluntary Income Management</w:t>
      </w:r>
      <w:r w:rsidRPr="005911E2">
        <w:t xml:space="preserve"> have been relatively stable, although there are some signs that </w:t>
      </w:r>
      <w:r w:rsidR="00F14131">
        <w:t>participation may be declining</w:t>
      </w:r>
      <w:r w:rsidRPr="005911E2">
        <w:t>.</w:t>
      </w:r>
    </w:p>
    <w:p w:rsidR="00220531" w:rsidRPr="005911E2" w:rsidRDefault="00220531" w:rsidP="00051CDC">
      <w:pPr>
        <w:pStyle w:val="ListBullet"/>
      </w:pPr>
      <w:r w:rsidRPr="005911E2">
        <w:t xml:space="preserve">In October 2011, about 90 per cent of those on </w:t>
      </w:r>
      <w:r w:rsidR="002B5A5C">
        <w:t>Voluntary Income Management</w:t>
      </w:r>
      <w:r w:rsidRPr="005911E2">
        <w:t xml:space="preserve"> were previously on NTER IM. </w:t>
      </w:r>
    </w:p>
    <w:p w:rsidR="00220531" w:rsidRPr="005911E2" w:rsidRDefault="002934A1" w:rsidP="00051CDC">
      <w:pPr>
        <w:pStyle w:val="ListBullet"/>
      </w:pPr>
      <w:r>
        <w:lastRenderedPageBreak/>
        <w:t>P</w:t>
      </w:r>
      <w:r w:rsidR="00220531" w:rsidRPr="005911E2">
        <w:t xml:space="preserve">eople on </w:t>
      </w:r>
      <w:r w:rsidR="002B5A5C">
        <w:t>Voluntary Income Management</w:t>
      </w:r>
      <w:r w:rsidR="00220531" w:rsidRPr="005911E2">
        <w:t xml:space="preserve"> are more positive about the measure and its effects than people subject to </w:t>
      </w:r>
      <w:r w:rsidR="004808B3">
        <w:t>Compulsory Income Management</w:t>
      </w:r>
      <w:r w:rsidR="00220531" w:rsidRPr="005911E2">
        <w:t xml:space="preserve">. Centrelink staff tended to be positive about </w:t>
      </w:r>
      <w:r w:rsidR="002B5A5C">
        <w:t>Voluntary Income Management</w:t>
      </w:r>
      <w:r w:rsidR="00220531" w:rsidRPr="005911E2">
        <w:t xml:space="preserve"> and to favour </w:t>
      </w:r>
      <w:r w:rsidR="002B5A5C">
        <w:t>Voluntary Income Management</w:t>
      </w:r>
      <w:r w:rsidR="00220531" w:rsidRPr="005911E2">
        <w:t xml:space="preserve"> over compulsory measures. </w:t>
      </w:r>
    </w:p>
    <w:p w:rsidR="00220531" w:rsidRPr="005911E2" w:rsidRDefault="00220531" w:rsidP="00051CDC">
      <w:pPr>
        <w:pStyle w:val="ListBullet"/>
      </w:pPr>
      <w:r w:rsidRPr="005911E2">
        <w:t xml:space="preserve">The main motivations reported </w:t>
      </w:r>
      <w:r w:rsidR="005232C4">
        <w:t>for</w:t>
      </w:r>
      <w:r w:rsidR="005232C4" w:rsidRPr="005911E2">
        <w:t xml:space="preserve"> </w:t>
      </w:r>
      <w:r w:rsidRPr="005911E2">
        <w:t xml:space="preserve">being on </w:t>
      </w:r>
      <w:r w:rsidR="002B5A5C">
        <w:t>Voluntary Income Management</w:t>
      </w:r>
      <w:r w:rsidRPr="005911E2">
        <w:t xml:space="preserve"> were to reduce financial harassment and ensure that money is safeguarded. Many people appear to value the incentive payment, </w:t>
      </w:r>
      <w:r w:rsidR="00F878E4">
        <w:t>income management</w:t>
      </w:r>
      <w:r w:rsidRPr="005911E2">
        <w:t xml:space="preserve"> itself and the free banking offered by </w:t>
      </w:r>
      <w:r w:rsidR="00F14131">
        <w:t xml:space="preserve">the </w:t>
      </w:r>
      <w:r w:rsidRPr="005911E2">
        <w:t>BasicsCard.</w:t>
      </w:r>
    </w:p>
    <w:p w:rsidR="00220531" w:rsidRPr="005911E2" w:rsidRDefault="004F6769" w:rsidP="004F6769">
      <w:pPr>
        <w:pStyle w:val="ListBullet"/>
      </w:pPr>
      <w:r w:rsidRPr="004F6769">
        <w:t>There is evidence that some people do not fully understand the extent to which participation in Voluntary Income Management was a choice.</w:t>
      </w:r>
      <w:r w:rsidR="00220531" w:rsidRPr="005911E2">
        <w:t xml:space="preserve"> </w:t>
      </w:r>
    </w:p>
    <w:p w:rsidR="00220531" w:rsidRPr="005911E2" w:rsidRDefault="00220531" w:rsidP="007B4471">
      <w:pPr>
        <w:pStyle w:val="Heading4"/>
      </w:pPr>
      <w:r w:rsidRPr="005911E2">
        <w:t>Vulnerable Income Management (VULIM)</w:t>
      </w:r>
    </w:p>
    <w:p w:rsidR="00220531" w:rsidRPr="005911E2" w:rsidRDefault="00E2340D" w:rsidP="00051CDC">
      <w:pPr>
        <w:pStyle w:val="ListBullet"/>
      </w:pPr>
      <w:r>
        <w:t>Vulnerable Income Management</w:t>
      </w:r>
      <w:r w:rsidR="00220531" w:rsidRPr="005911E2">
        <w:t xml:space="preserve"> </w:t>
      </w:r>
      <w:r w:rsidR="001732D1">
        <w:t xml:space="preserve">(the Vulnerable Welfare Payment Recipients Measure) </w:t>
      </w:r>
      <w:r w:rsidR="00220531" w:rsidRPr="005911E2">
        <w:t>is used in a very small number of cases (19</w:t>
      </w:r>
      <w:r w:rsidR="00310125">
        <w:t>8</w:t>
      </w:r>
      <w:r w:rsidR="00220531" w:rsidRPr="005911E2">
        <w:t>), 9</w:t>
      </w:r>
      <w:r w:rsidR="00310125">
        <w:t>7</w:t>
      </w:r>
      <w:r w:rsidR="00220531" w:rsidRPr="005911E2">
        <w:t xml:space="preserve"> per cent of whom are Indigenous. </w:t>
      </w:r>
    </w:p>
    <w:p w:rsidR="00220531" w:rsidRPr="005911E2" w:rsidRDefault="00220531" w:rsidP="00051CDC">
      <w:pPr>
        <w:pStyle w:val="ListBullet"/>
      </w:pPr>
      <w:r w:rsidRPr="005911E2">
        <w:t xml:space="preserve">It is possible that </w:t>
      </w:r>
      <w:r w:rsidR="00E2340D">
        <w:t>Vulnerable Income Management</w:t>
      </w:r>
      <w:r w:rsidRPr="005911E2">
        <w:t xml:space="preserve"> is ‘crowded out’ as many potentially vulnerable people are already subject to </w:t>
      </w:r>
      <w:r w:rsidR="004808B3">
        <w:t>Compulsory Income Management</w:t>
      </w:r>
      <w:r w:rsidRPr="005911E2">
        <w:t xml:space="preserve">. There is evidence that people are encouraged to move onto </w:t>
      </w:r>
      <w:r w:rsidR="002B5A5C">
        <w:t>Voluntary Income Management</w:t>
      </w:r>
      <w:r w:rsidRPr="005911E2">
        <w:t xml:space="preserve"> in the first instance rather than being placed on </w:t>
      </w:r>
      <w:r w:rsidR="00E2340D">
        <w:t>Vulnerable Income Management</w:t>
      </w:r>
      <w:r w:rsidRPr="005911E2">
        <w:t xml:space="preserve">. </w:t>
      </w:r>
    </w:p>
    <w:p w:rsidR="00220531" w:rsidRDefault="00E2340D" w:rsidP="00051CDC">
      <w:pPr>
        <w:pStyle w:val="ListBullet"/>
      </w:pPr>
      <w:r>
        <w:t>Vulnerable Income Management</w:t>
      </w:r>
      <w:r w:rsidR="00220531" w:rsidRPr="005911E2">
        <w:t xml:space="preserve"> appears to be an appropriate measure for vulnerable people in specific circumstances</w:t>
      </w:r>
      <w:r w:rsidR="00293EC7">
        <w:t>,</w:t>
      </w:r>
      <w:r w:rsidR="00220531" w:rsidRPr="005911E2">
        <w:t xml:space="preserve"> for example where they face financial harassment or have great difficulty in managing their </w:t>
      </w:r>
      <w:r w:rsidR="00293EC7">
        <w:t>finances</w:t>
      </w:r>
      <w:r w:rsidR="00220531" w:rsidRPr="005911E2">
        <w:t xml:space="preserve">. </w:t>
      </w:r>
      <w:r w:rsidR="00C96922" w:rsidRPr="00C96922">
        <w:t>While unclear from the data currently available</w:t>
      </w:r>
      <w:r w:rsidR="00B50356">
        <w:t>,</w:t>
      </w:r>
      <w:r w:rsidR="00C96922" w:rsidRPr="00C96922">
        <w:t xml:space="preserve"> the nature of the underlying cause of much of the vulnerability means many are likely to remain on income management for a long period of time. For these </w:t>
      </w:r>
      <w:r w:rsidR="005F32E0">
        <w:t xml:space="preserve">individuals </w:t>
      </w:r>
      <w:r w:rsidR="00C96922" w:rsidRPr="00C96922">
        <w:t xml:space="preserve">the program </w:t>
      </w:r>
      <w:r w:rsidR="00C2289E">
        <w:t xml:space="preserve">is likely to </w:t>
      </w:r>
      <w:r w:rsidR="005F32E0" w:rsidRPr="00C96922">
        <w:t xml:space="preserve">effectively </w:t>
      </w:r>
      <w:r w:rsidR="00C96922" w:rsidRPr="00C96922">
        <w:t xml:space="preserve">operate as a long term management tool, </w:t>
      </w:r>
      <w:r w:rsidR="00B50356">
        <w:t xml:space="preserve">and </w:t>
      </w:r>
      <w:r w:rsidR="00C96922" w:rsidRPr="00C96922">
        <w:t xml:space="preserve">not as an intervention that will build their capacity </w:t>
      </w:r>
      <w:r w:rsidR="005F32E0">
        <w:t>or</w:t>
      </w:r>
      <w:r w:rsidR="00C96922" w:rsidRPr="00C96922">
        <w:t xml:space="preserve"> change their behaviour</w:t>
      </w:r>
      <w:r w:rsidR="00B50356">
        <w:t>.</w:t>
      </w:r>
    </w:p>
    <w:p w:rsidR="004D30D7" w:rsidRPr="005911E2" w:rsidRDefault="004D30D7" w:rsidP="00C2289E">
      <w:pPr>
        <w:pStyle w:val="ListBullet"/>
      </w:pPr>
      <w:r>
        <w:t xml:space="preserve">Because of the small numbers of people </w:t>
      </w:r>
      <w:r w:rsidR="00FA7251">
        <w:t xml:space="preserve">on this measure, the </w:t>
      </w:r>
      <w:r>
        <w:t xml:space="preserve">evaluation was not able to collect information </w:t>
      </w:r>
      <w:r w:rsidR="00FA7251">
        <w:t xml:space="preserve">on the impact of </w:t>
      </w:r>
      <w:r w:rsidR="00E2340D">
        <w:t>Vulnerable Income Management</w:t>
      </w:r>
      <w:r w:rsidR="00FA7251">
        <w:t xml:space="preserve"> on individuals and families</w:t>
      </w:r>
      <w:r w:rsidR="00374AA3">
        <w:t xml:space="preserve"> or their views about the measure</w:t>
      </w:r>
      <w:r w:rsidR="00C2289E">
        <w:t xml:space="preserve"> </w:t>
      </w:r>
      <w:r w:rsidR="00C2289E" w:rsidRPr="00C2289E">
        <w:t>and thus the conclusions in this report about Vulnerable Income Management are necessarily tentative</w:t>
      </w:r>
      <w:r w:rsidR="00FA7251">
        <w:t>.</w:t>
      </w:r>
    </w:p>
    <w:p w:rsidR="00220531" w:rsidRPr="005911E2" w:rsidRDefault="00220531" w:rsidP="007B4471">
      <w:pPr>
        <w:pStyle w:val="Heading4"/>
      </w:pPr>
      <w:r w:rsidRPr="005911E2">
        <w:t>Child Protection Income Management (CPIM)</w:t>
      </w:r>
    </w:p>
    <w:p w:rsidR="00220531" w:rsidRPr="005911E2" w:rsidRDefault="00220531" w:rsidP="00051CDC">
      <w:pPr>
        <w:pStyle w:val="ListBullet"/>
      </w:pPr>
      <w:r w:rsidRPr="005911E2">
        <w:t xml:space="preserve">Very few people are subject to </w:t>
      </w:r>
      <w:r w:rsidR="00E146B5">
        <w:t>Child Protection Income Management</w:t>
      </w:r>
      <w:r w:rsidRPr="005911E2">
        <w:t xml:space="preserve"> (4</w:t>
      </w:r>
      <w:r w:rsidR="00310125">
        <w:t>5</w:t>
      </w:r>
      <w:r w:rsidRPr="005911E2">
        <w:t xml:space="preserve"> in October </w:t>
      </w:r>
      <w:r w:rsidR="00B50356" w:rsidRPr="005911E2">
        <w:t>201</w:t>
      </w:r>
      <w:r w:rsidR="00B50356">
        <w:t>1</w:t>
      </w:r>
      <w:r w:rsidRPr="005911E2">
        <w:t xml:space="preserve">). </w:t>
      </w:r>
      <w:r w:rsidR="00A86260">
        <w:t>There appears to be</w:t>
      </w:r>
      <w:r w:rsidR="009B3E67">
        <w:t xml:space="preserve"> some reluctance amongst </w:t>
      </w:r>
      <w:r w:rsidR="00FA7251">
        <w:t xml:space="preserve">child protection workers to refer clients for </w:t>
      </w:r>
      <w:r w:rsidR="00E146B5">
        <w:t>Child Protection Income Management</w:t>
      </w:r>
      <w:r w:rsidR="00FA7251">
        <w:t xml:space="preserve"> because</w:t>
      </w:r>
      <w:r w:rsidRPr="005911E2">
        <w:t xml:space="preserve">: </w:t>
      </w:r>
    </w:p>
    <w:p w:rsidR="00E81107" w:rsidRDefault="00220531" w:rsidP="00E24340">
      <w:pPr>
        <w:pStyle w:val="listdash"/>
      </w:pPr>
      <w:r w:rsidRPr="005911E2">
        <w:t xml:space="preserve">Most </w:t>
      </w:r>
      <w:r w:rsidRPr="009B3E67">
        <w:t xml:space="preserve">families referred to Child Protection for neglect are </w:t>
      </w:r>
      <w:r w:rsidR="00D7627F">
        <w:t xml:space="preserve">reportedly already </w:t>
      </w:r>
      <w:r w:rsidR="00293EC7">
        <w:t xml:space="preserve">subject to </w:t>
      </w:r>
      <w:r w:rsidRPr="009B3E67">
        <w:t>income manage</w:t>
      </w:r>
      <w:r w:rsidR="00293EC7">
        <w:t>ment</w:t>
      </w:r>
      <w:r w:rsidRPr="009B3E67">
        <w:t xml:space="preserve"> and it is not seen as worthwhile to increase </w:t>
      </w:r>
      <w:r w:rsidR="00293EC7">
        <w:t xml:space="preserve">the </w:t>
      </w:r>
      <w:r w:rsidRPr="009B3E67">
        <w:t>proportion of income being managed from 50 to 70 per</w:t>
      </w:r>
      <w:r w:rsidR="00293EC7">
        <w:t xml:space="preserve"> </w:t>
      </w:r>
      <w:r w:rsidRPr="009B3E67">
        <w:t xml:space="preserve">cent. </w:t>
      </w:r>
    </w:p>
    <w:p w:rsidR="00E81107" w:rsidRDefault="005F32E0" w:rsidP="00E24340">
      <w:pPr>
        <w:pStyle w:val="listdash"/>
      </w:pPr>
      <w:r>
        <w:t>I</w:t>
      </w:r>
      <w:r w:rsidR="00F878E4">
        <w:t>ncome management</w:t>
      </w:r>
      <w:r w:rsidR="00220531" w:rsidRPr="009B3E67">
        <w:t xml:space="preserve"> is not necessarily seen as an appropriate response to neglect</w:t>
      </w:r>
      <w:r w:rsidR="00A86260">
        <w:t xml:space="preserve"> with f</w:t>
      </w:r>
      <w:r w:rsidR="00220531" w:rsidRPr="009B3E67">
        <w:t xml:space="preserve">inancial management not always </w:t>
      </w:r>
      <w:r w:rsidR="00A86260">
        <w:t xml:space="preserve">being </w:t>
      </w:r>
      <w:r w:rsidR="00220531" w:rsidRPr="009B3E67">
        <w:t xml:space="preserve">an </w:t>
      </w:r>
      <w:r w:rsidR="00220531" w:rsidRPr="009B3E67">
        <w:lastRenderedPageBreak/>
        <w:t>important feature of families where children</w:t>
      </w:r>
      <w:r w:rsidR="00220531" w:rsidRPr="005911E2">
        <w:t xml:space="preserve"> are neglected. Other issues such as substance misuse and domestic violence are often </w:t>
      </w:r>
      <w:r w:rsidR="00055BC5">
        <w:t xml:space="preserve">assessed as </w:t>
      </w:r>
      <w:r w:rsidR="00220531" w:rsidRPr="005911E2">
        <w:t xml:space="preserve">more pressing. </w:t>
      </w:r>
    </w:p>
    <w:p w:rsidR="00220531" w:rsidRDefault="00220531" w:rsidP="00E24340">
      <w:pPr>
        <w:pStyle w:val="listdash"/>
      </w:pPr>
      <w:r w:rsidRPr="005911E2">
        <w:t xml:space="preserve">There are diverse views amongst caseworkers as to </w:t>
      </w:r>
      <w:r w:rsidR="00055BC5">
        <w:t xml:space="preserve">whether they should be </w:t>
      </w:r>
      <w:r w:rsidRPr="005911E2">
        <w:t xml:space="preserve">playing a role in a decision to subject a person to </w:t>
      </w:r>
      <w:r w:rsidR="00F878E4">
        <w:t>income management</w:t>
      </w:r>
      <w:r w:rsidRPr="005911E2">
        <w:t xml:space="preserve">. In addition </w:t>
      </w:r>
      <w:r w:rsidR="009B3E67">
        <w:t xml:space="preserve">the </w:t>
      </w:r>
      <w:r w:rsidRPr="005911E2">
        <w:t xml:space="preserve">12 month duration of </w:t>
      </w:r>
      <w:r w:rsidR="00E146B5">
        <w:t>Child Protection Income Management</w:t>
      </w:r>
      <w:r w:rsidRPr="005911E2">
        <w:t xml:space="preserve"> referrals results in </w:t>
      </w:r>
      <w:r w:rsidR="005F32E0">
        <w:t xml:space="preserve">caseworkers </w:t>
      </w:r>
      <w:r w:rsidRPr="005911E2">
        <w:t>having to keep files open when they may otherwise be shut</w:t>
      </w:r>
      <w:r w:rsidR="00293EC7">
        <w:t>.</w:t>
      </w:r>
    </w:p>
    <w:p w:rsidR="00FA7251" w:rsidRPr="005911E2" w:rsidRDefault="00FA7251" w:rsidP="00051CDC">
      <w:pPr>
        <w:pStyle w:val="ListBullet"/>
      </w:pPr>
      <w:r>
        <w:t xml:space="preserve">As with </w:t>
      </w:r>
      <w:r w:rsidR="00E2340D">
        <w:t>Vulnerable Income Management</w:t>
      </w:r>
      <w:r w:rsidR="00632790">
        <w:t>,</w:t>
      </w:r>
      <w:r>
        <w:t xml:space="preserve"> the evaluation was not able to collect information on the impact of </w:t>
      </w:r>
      <w:r w:rsidR="00E146B5">
        <w:t>Child Protection Income Management</w:t>
      </w:r>
      <w:r>
        <w:t xml:space="preserve"> on individuals or families because of</w:t>
      </w:r>
      <w:r w:rsidRPr="00FA7251">
        <w:t xml:space="preserve"> </w:t>
      </w:r>
      <w:r>
        <w:t xml:space="preserve">the small number of people on </w:t>
      </w:r>
      <w:r w:rsidR="00632790">
        <w:t>this measure</w:t>
      </w:r>
      <w:r>
        <w:t>.</w:t>
      </w:r>
    </w:p>
    <w:p w:rsidR="00220531" w:rsidRPr="005911E2" w:rsidRDefault="00220531" w:rsidP="007B4471">
      <w:pPr>
        <w:pStyle w:val="Heading4"/>
      </w:pPr>
      <w:r w:rsidRPr="005911E2">
        <w:t>Exemptions</w:t>
      </w:r>
    </w:p>
    <w:p w:rsidR="00EE3BD0" w:rsidRDefault="00EE3BD0" w:rsidP="00051CDC">
      <w:pPr>
        <w:pStyle w:val="ListBullet"/>
      </w:pPr>
      <w:r>
        <w:t xml:space="preserve">Exemptions are </w:t>
      </w:r>
      <w:r w:rsidR="00902DE4">
        <w:t>available</w:t>
      </w:r>
      <w:r>
        <w:t xml:space="preserve"> to people subject to </w:t>
      </w:r>
      <w:r w:rsidR="004808B3">
        <w:t>Compulsory Income Management</w:t>
      </w:r>
      <w:r>
        <w:t xml:space="preserve"> if they can demonstrate that:</w:t>
      </w:r>
    </w:p>
    <w:p w:rsidR="002973F2" w:rsidRDefault="00A86260" w:rsidP="00E24340">
      <w:pPr>
        <w:pStyle w:val="listdash"/>
      </w:pPr>
      <w:r>
        <w:t>t</w:t>
      </w:r>
      <w:r w:rsidR="00EE3BD0">
        <w:t>heir children (under 5</w:t>
      </w:r>
      <w:r w:rsidR="00310125">
        <w:t xml:space="preserve"> years</w:t>
      </w:r>
      <w:r w:rsidR="00EE3BD0">
        <w:t xml:space="preserve">) have had </w:t>
      </w:r>
      <w:r w:rsidR="009B3E67">
        <w:t xml:space="preserve">appropriate </w:t>
      </w:r>
      <w:r w:rsidR="00FF593E">
        <w:t xml:space="preserve">vaccinations, regular </w:t>
      </w:r>
      <w:r w:rsidR="00EE3BD0">
        <w:t>health checks</w:t>
      </w:r>
      <w:r w:rsidR="00FF593E">
        <w:t xml:space="preserve">, and where appropriate participate in </w:t>
      </w:r>
      <w:r w:rsidR="00B50356">
        <w:t xml:space="preserve">appropriate </w:t>
      </w:r>
      <w:r w:rsidR="00FF593E">
        <w:t xml:space="preserve">activities </w:t>
      </w:r>
    </w:p>
    <w:p w:rsidR="004808B3" w:rsidRDefault="00A86260" w:rsidP="00E24340">
      <w:pPr>
        <w:pStyle w:val="listdash"/>
      </w:pPr>
      <w:r>
        <w:t>t</w:t>
      </w:r>
      <w:r w:rsidR="00EE3BD0">
        <w:t>heir children (5-16</w:t>
      </w:r>
      <w:r w:rsidR="00FA2BC6">
        <w:t xml:space="preserve"> years</w:t>
      </w:r>
      <w:r w:rsidR="00EE3BD0">
        <w:t>) are consistently attending school</w:t>
      </w:r>
      <w:r>
        <w:t xml:space="preserve"> </w:t>
      </w:r>
    </w:p>
    <w:p w:rsidR="004808B3" w:rsidRDefault="00A86260" w:rsidP="00E24340">
      <w:pPr>
        <w:pStyle w:val="listdash"/>
      </w:pPr>
      <w:r>
        <w:t>t</w:t>
      </w:r>
      <w:r w:rsidR="00EE3BD0">
        <w:t>hey are able to obtain</w:t>
      </w:r>
      <w:r w:rsidR="00FF593E">
        <w:t xml:space="preserve"> sustained and substantial</w:t>
      </w:r>
      <w:r w:rsidR="00EE3BD0">
        <w:t xml:space="preserve"> employment</w:t>
      </w:r>
    </w:p>
    <w:p w:rsidR="004808B3" w:rsidRDefault="00A86260" w:rsidP="00E24340">
      <w:pPr>
        <w:pStyle w:val="listdash"/>
      </w:pPr>
      <w:r>
        <w:t>i</w:t>
      </w:r>
      <w:r w:rsidR="00EE3BD0">
        <w:t>n addition</w:t>
      </w:r>
      <w:r w:rsidR="00FF593E">
        <w:t>, if they have children,</w:t>
      </w:r>
      <w:r w:rsidR="00EE3BD0">
        <w:t xml:space="preserve"> they </w:t>
      </w:r>
      <w:r w:rsidR="00FA7251">
        <w:t>must</w:t>
      </w:r>
      <w:r w:rsidR="00EE3BD0">
        <w:t xml:space="preserve"> </w:t>
      </w:r>
      <w:r w:rsidR="00B50356">
        <w:t xml:space="preserve">also </w:t>
      </w:r>
      <w:r w:rsidR="00EE3BD0">
        <w:t>demonstrate that they are able to appropriately manage their finances.</w:t>
      </w:r>
    </w:p>
    <w:p w:rsidR="00220531" w:rsidRPr="005911E2" w:rsidRDefault="00220531" w:rsidP="00051CDC">
      <w:pPr>
        <w:pStyle w:val="ListBullet"/>
      </w:pPr>
      <w:r w:rsidRPr="005911E2">
        <w:t xml:space="preserve">Exemptions are sought by </w:t>
      </w:r>
      <w:r w:rsidR="00547362" w:rsidRPr="005911E2">
        <w:t>19.6</w:t>
      </w:r>
      <w:r w:rsidRPr="005911E2">
        <w:t xml:space="preserve"> per cent of people subject to </w:t>
      </w:r>
      <w:r w:rsidR="004808B3">
        <w:t>Compulsory Income Management</w:t>
      </w:r>
      <w:r w:rsidRPr="005911E2">
        <w:t xml:space="preserve"> and granted to about half of those. In total </w:t>
      </w:r>
      <w:r w:rsidR="00547362" w:rsidRPr="005911E2">
        <w:t>10.9</w:t>
      </w:r>
      <w:r w:rsidRPr="005911E2">
        <w:t xml:space="preserve"> per cent of people who would have been subject to </w:t>
      </w:r>
      <w:r w:rsidR="004808B3">
        <w:t>Compulsory Income Management</w:t>
      </w:r>
      <w:r w:rsidRPr="005911E2">
        <w:t xml:space="preserve"> are exempt from </w:t>
      </w:r>
      <w:r w:rsidR="00F878E4">
        <w:t>income management</w:t>
      </w:r>
      <w:r w:rsidRPr="005911E2">
        <w:t xml:space="preserve">. </w:t>
      </w:r>
    </w:p>
    <w:p w:rsidR="009836CD" w:rsidRDefault="00220531" w:rsidP="00E62FDB">
      <w:pPr>
        <w:pStyle w:val="ListBullet"/>
      </w:pPr>
      <w:r w:rsidRPr="005911E2">
        <w:t>For Indigenous people</w:t>
      </w:r>
      <w:r w:rsidR="00200277">
        <w:t>,</w:t>
      </w:r>
      <w:r w:rsidRPr="005911E2">
        <w:t xml:space="preserve"> who if they d</w:t>
      </w:r>
      <w:r w:rsidR="005F32E0">
        <w:t>id</w:t>
      </w:r>
      <w:r w:rsidRPr="005911E2">
        <w:t xml:space="preserve"> not receive an exemption</w:t>
      </w:r>
      <w:r w:rsidR="005F32E0">
        <w:t>,</w:t>
      </w:r>
      <w:r w:rsidRPr="005911E2">
        <w:t xml:space="preserve"> would be subject to </w:t>
      </w:r>
      <w:r w:rsidR="004808B3">
        <w:t>Compulsory Income Management</w:t>
      </w:r>
      <w:r w:rsidRPr="005911E2">
        <w:t>, 13</w:t>
      </w:r>
      <w:r w:rsidR="00A862C3" w:rsidRPr="005911E2">
        <w:t>.2</w:t>
      </w:r>
      <w:r w:rsidRPr="005911E2">
        <w:t xml:space="preserve"> per cent applied for an exemption and 36</w:t>
      </w:r>
      <w:r w:rsidR="00A862C3" w:rsidRPr="005911E2">
        <w:t>.5</w:t>
      </w:r>
      <w:r w:rsidRPr="005911E2">
        <w:t xml:space="preserve"> per cent of these succeeded. </w:t>
      </w:r>
      <w:r w:rsidR="00310125">
        <w:t>Amongst</w:t>
      </w:r>
      <w:r w:rsidRPr="005911E2">
        <w:t xml:space="preserve"> non-Indigenous people subject to </w:t>
      </w:r>
      <w:r w:rsidR="00F878E4">
        <w:t>income management</w:t>
      </w:r>
      <w:r w:rsidRPr="005911E2">
        <w:t xml:space="preserve"> </w:t>
      </w:r>
      <w:r w:rsidR="00310125">
        <w:t>48.7 per cent applied for an exemption, 79.8</w:t>
      </w:r>
      <w:r w:rsidRPr="005911E2">
        <w:t xml:space="preserve"> per cent of whom were successful. As a result</w:t>
      </w:r>
      <w:r w:rsidR="009836CD">
        <w:t>, the proportion of Indigenous with an exemption is</w:t>
      </w:r>
      <w:r w:rsidRPr="005911E2">
        <w:t xml:space="preserve"> 4.</w:t>
      </w:r>
      <w:r w:rsidR="00A862C3" w:rsidRPr="005911E2">
        <w:t>8</w:t>
      </w:r>
      <w:r w:rsidRPr="005911E2">
        <w:t xml:space="preserve"> per cent</w:t>
      </w:r>
      <w:r w:rsidR="009836CD">
        <w:t xml:space="preserve">, much lower than the </w:t>
      </w:r>
      <w:r w:rsidRPr="005911E2">
        <w:t>38.</w:t>
      </w:r>
      <w:r w:rsidR="00A862C3" w:rsidRPr="005911E2">
        <w:t>8</w:t>
      </w:r>
      <w:r w:rsidRPr="005911E2">
        <w:t xml:space="preserve"> per cent of non-Indigenous</w:t>
      </w:r>
      <w:r w:rsidR="009836CD">
        <w:t xml:space="preserve"> who have an exemption</w:t>
      </w:r>
      <w:r w:rsidRPr="005911E2">
        <w:t>.</w:t>
      </w:r>
    </w:p>
    <w:p w:rsidR="005C7912" w:rsidRPr="005911E2" w:rsidRDefault="005C7912" w:rsidP="00051CDC">
      <w:pPr>
        <w:pStyle w:val="ListBullet"/>
      </w:pPr>
      <w:r w:rsidRPr="005911E2">
        <w:t>Groups with very low exemption rates include Indigenous people living in NTER prescribed communities (1.</w:t>
      </w:r>
      <w:r>
        <w:t>5</w:t>
      </w:r>
      <w:r w:rsidRPr="005911E2">
        <w:t xml:space="preserve"> per cent); people without children (1.</w:t>
      </w:r>
      <w:r>
        <w:t>0</w:t>
      </w:r>
      <w:r w:rsidR="00310125">
        <w:t> </w:t>
      </w:r>
      <w:r w:rsidRPr="005911E2">
        <w:t>per cent); larger families</w:t>
      </w:r>
      <w:r w:rsidR="005F32E0">
        <w:t>;</w:t>
      </w:r>
      <w:r w:rsidRPr="005911E2">
        <w:t xml:space="preserve"> and those with older children. </w:t>
      </w:r>
      <w:r w:rsidR="005F32E0">
        <w:t>P</w:t>
      </w:r>
      <w:r w:rsidRPr="005911E2">
        <w:t xml:space="preserve">eople from </w:t>
      </w:r>
      <w:r w:rsidR="00200277">
        <w:t>non-English speaking backgrounds (</w:t>
      </w:r>
      <w:r w:rsidRPr="005911E2">
        <w:t>NESB</w:t>
      </w:r>
      <w:r w:rsidR="00200277">
        <w:t>)</w:t>
      </w:r>
      <w:r w:rsidRPr="005911E2">
        <w:t xml:space="preserve"> had high rates of application and success</w:t>
      </w:r>
      <w:r w:rsidR="00200277">
        <w:t>.</w:t>
      </w:r>
    </w:p>
    <w:p w:rsidR="00220531" w:rsidRPr="005911E2" w:rsidRDefault="00220531" w:rsidP="00051CDC">
      <w:pPr>
        <w:pStyle w:val="ListBullet"/>
      </w:pPr>
      <w:r w:rsidRPr="005911E2">
        <w:t>There seemed to be little support available to assist people in developing and presenting their case for exemption</w:t>
      </w:r>
      <w:r w:rsidR="00200277">
        <w:t>;</w:t>
      </w:r>
      <w:r w:rsidRPr="005911E2">
        <w:t xml:space="preserve"> gathering the supporting documentation was too demanding for many people.</w:t>
      </w:r>
    </w:p>
    <w:p w:rsidR="00220531" w:rsidRPr="005911E2" w:rsidRDefault="00220531" w:rsidP="00051CDC">
      <w:pPr>
        <w:pStyle w:val="ListBullet"/>
      </w:pPr>
      <w:r w:rsidRPr="005911E2">
        <w:t xml:space="preserve">There is a limited connection between the </w:t>
      </w:r>
      <w:r w:rsidR="00E527C4">
        <w:t xml:space="preserve">direct </w:t>
      </w:r>
      <w:r w:rsidR="007E1C3B">
        <w:t>impact</w:t>
      </w:r>
      <w:r w:rsidR="007E1C3B" w:rsidRPr="005911E2">
        <w:t xml:space="preserve"> </w:t>
      </w:r>
      <w:r w:rsidRPr="005911E2">
        <w:t xml:space="preserve">of </w:t>
      </w:r>
      <w:r w:rsidR="00F878E4">
        <w:t>income management</w:t>
      </w:r>
      <w:r w:rsidRPr="005911E2">
        <w:t xml:space="preserve">, which is to ensure the responsible allocation of funds to meet </w:t>
      </w:r>
      <w:r w:rsidRPr="005911E2">
        <w:lastRenderedPageBreak/>
        <w:t>basic needs, and the exemption criteria</w:t>
      </w:r>
      <w:r w:rsidR="007F0E02">
        <w:t xml:space="preserve"> in that</w:t>
      </w:r>
      <w:r w:rsidR="001B61E2">
        <w:t xml:space="preserve"> </w:t>
      </w:r>
      <w:r w:rsidR="001B61E2" w:rsidRPr="005911E2">
        <w:t>responsible money management is not of itself sufficient ground</w:t>
      </w:r>
      <w:r w:rsidR="001B61E2">
        <w:t>s</w:t>
      </w:r>
      <w:r w:rsidR="001B61E2" w:rsidRPr="005911E2">
        <w:t xml:space="preserve"> for exemption.</w:t>
      </w:r>
      <w:r w:rsidRPr="005911E2">
        <w:t xml:space="preserve"> </w:t>
      </w:r>
    </w:p>
    <w:p w:rsidR="00220531" w:rsidRPr="005911E2" w:rsidRDefault="00FA7251" w:rsidP="00051CDC">
      <w:pPr>
        <w:pStyle w:val="ListBullet"/>
      </w:pPr>
      <w:r>
        <w:t xml:space="preserve">Questions were raised both by people subject to </w:t>
      </w:r>
      <w:r w:rsidR="00F878E4">
        <w:t>income management</w:t>
      </w:r>
      <w:r>
        <w:t xml:space="preserve"> and other stakeholders</w:t>
      </w:r>
      <w:r w:rsidR="00220531" w:rsidRPr="005911E2">
        <w:t xml:space="preserve"> </w:t>
      </w:r>
      <w:r w:rsidR="009836CD">
        <w:t xml:space="preserve">(including Centrelink staff) </w:t>
      </w:r>
      <w:r w:rsidR="00220531" w:rsidRPr="005911E2">
        <w:t>about the ways in which the exemptions policy and processes are applied. These include the way in which decisions are made, the problems of reverse onus of proof</w:t>
      </w:r>
      <w:r w:rsidR="00200277">
        <w:t>,</w:t>
      </w:r>
      <w:r w:rsidR="00220531" w:rsidRPr="005911E2">
        <w:t xml:space="preserve"> and the need for people to assemble appropriate documentation.</w:t>
      </w:r>
    </w:p>
    <w:p w:rsidR="00220531" w:rsidRPr="005911E2" w:rsidRDefault="00220531" w:rsidP="007B4471">
      <w:pPr>
        <w:pStyle w:val="Heading4"/>
      </w:pPr>
      <w:r w:rsidRPr="005911E2">
        <w:t xml:space="preserve">BasicsCard and the mechanics of </w:t>
      </w:r>
      <w:r w:rsidR="00F878E4">
        <w:t>income management</w:t>
      </w:r>
    </w:p>
    <w:p w:rsidR="00220531" w:rsidRDefault="00220531" w:rsidP="00051CDC">
      <w:pPr>
        <w:pStyle w:val="ListBullet"/>
      </w:pPr>
      <w:r w:rsidRPr="005911E2">
        <w:t xml:space="preserve">There are mixed views about the BasicsCard. Many people subject to </w:t>
      </w:r>
      <w:r w:rsidR="00F878E4">
        <w:t>income management</w:t>
      </w:r>
      <w:r w:rsidR="00200277">
        <w:t>,</w:t>
      </w:r>
      <w:r w:rsidRPr="005911E2">
        <w:t xml:space="preserve"> and Centrelink staff, </w:t>
      </w:r>
      <w:r w:rsidR="00200277" w:rsidRPr="005911E2">
        <w:t xml:space="preserve">were </w:t>
      </w:r>
      <w:r w:rsidRPr="005911E2">
        <w:t xml:space="preserve">on the whole quite positive about </w:t>
      </w:r>
      <w:r w:rsidR="00114E9D">
        <w:t>the</w:t>
      </w:r>
      <w:r w:rsidRPr="005911E2">
        <w:t xml:space="preserve"> introduction</w:t>
      </w:r>
      <w:r w:rsidR="00114E9D">
        <w:t xml:space="preserve"> of the BasicsCard</w:t>
      </w:r>
      <w:r w:rsidRPr="005911E2">
        <w:t>.</w:t>
      </w:r>
    </w:p>
    <w:p w:rsidR="00FA7251" w:rsidRPr="005911E2" w:rsidRDefault="00FA7251" w:rsidP="00051CDC">
      <w:pPr>
        <w:pStyle w:val="ListBullet"/>
      </w:pPr>
      <w:r>
        <w:t xml:space="preserve">People tended to identify the BasicsCard with </w:t>
      </w:r>
      <w:r w:rsidR="00F878E4">
        <w:t>income management</w:t>
      </w:r>
      <w:r>
        <w:t xml:space="preserve"> itself as it is the most prominent and public indication that a person is being income managed, and is also seen as a symbol of the NTER by both Indigenous and non-Indigenous people.</w:t>
      </w:r>
    </w:p>
    <w:p w:rsidR="00220531" w:rsidRDefault="00220531" w:rsidP="00051CDC">
      <w:pPr>
        <w:pStyle w:val="ListBullet"/>
      </w:pPr>
      <w:r w:rsidRPr="005911E2">
        <w:t>The positive aspects of the card were seen in terms of reducing scope for financial harassment, having identified funds for food and other purchases</w:t>
      </w:r>
      <w:r w:rsidR="00200277">
        <w:t>,</w:t>
      </w:r>
      <w:r w:rsidRPr="005911E2">
        <w:t xml:space="preserve"> and providing fee free banking. There was some evidence that for some people it even serves as an incentive to remain income managed even if they qualify for an exemption. </w:t>
      </w:r>
    </w:p>
    <w:p w:rsidR="00BF0F6E" w:rsidRDefault="00E527C4" w:rsidP="00851FBD">
      <w:pPr>
        <w:pStyle w:val="ListBullet"/>
      </w:pPr>
      <w:r>
        <w:t xml:space="preserve">The ‘fee </w:t>
      </w:r>
      <w:r w:rsidRPr="001F05B9">
        <w:t>free’</w:t>
      </w:r>
      <w:r>
        <w:t xml:space="preserve"> banking aspect of the card appears to be a particular benefit in communities where people face high transaction charges.</w:t>
      </w:r>
    </w:p>
    <w:p w:rsidR="00220531" w:rsidRPr="005911E2" w:rsidRDefault="00220531" w:rsidP="00051CDC">
      <w:pPr>
        <w:pStyle w:val="ListBullet"/>
      </w:pPr>
      <w:r w:rsidRPr="005911E2">
        <w:t>However</w:t>
      </w:r>
      <w:r w:rsidR="00200277">
        <w:t>,</w:t>
      </w:r>
      <w:r w:rsidRPr="005911E2">
        <w:t xml:space="preserve"> many other people expressed very negative views about the BasicsCard</w:t>
      </w:r>
      <w:r w:rsidR="00200277">
        <w:t>,</w:t>
      </w:r>
      <w:r w:rsidRPr="005911E2">
        <w:t xml:space="preserve"> including embarrassment. More generally they found the amount of involvement of Centrelink in their personal financial decisions intrusive. </w:t>
      </w:r>
    </w:p>
    <w:p w:rsidR="00220531" w:rsidRPr="005911E2" w:rsidRDefault="00220531" w:rsidP="00051CDC">
      <w:pPr>
        <w:pStyle w:val="ListBullet"/>
      </w:pPr>
      <w:r w:rsidRPr="005911E2">
        <w:t>There were also a range of practical problems using the card</w:t>
      </w:r>
      <w:r w:rsidR="00114E9D">
        <w:t>, i</w:t>
      </w:r>
      <w:r w:rsidRPr="005911E2">
        <w:t xml:space="preserve">ncluding difficulties with, and the telecommunications costs of, checking balances and </w:t>
      </w:r>
      <w:r w:rsidR="00200277">
        <w:t xml:space="preserve">the card </w:t>
      </w:r>
      <w:r w:rsidRPr="005911E2">
        <w:t xml:space="preserve">not being accepted by all retailers. </w:t>
      </w:r>
    </w:p>
    <w:p w:rsidR="00220531" w:rsidRPr="005911E2" w:rsidRDefault="00FA7251" w:rsidP="00051CDC">
      <w:pPr>
        <w:pStyle w:val="ListBullet"/>
      </w:pPr>
      <w:r>
        <w:t>O</w:t>
      </w:r>
      <w:r w:rsidR="00220531" w:rsidRPr="005911E2">
        <w:t>n balance</w:t>
      </w:r>
      <w:r w:rsidR="00EA650F">
        <w:t xml:space="preserve">, the evaluation evidence </w:t>
      </w:r>
      <w:r w:rsidR="00632790">
        <w:t>indicates</w:t>
      </w:r>
      <w:r w:rsidR="00EA650F">
        <w:t xml:space="preserve"> that </w:t>
      </w:r>
      <w:r w:rsidR="00220531" w:rsidRPr="005911E2">
        <w:t xml:space="preserve">the BasicsCard </w:t>
      </w:r>
      <w:r w:rsidR="00A27967">
        <w:t xml:space="preserve">and </w:t>
      </w:r>
      <w:r w:rsidR="00F878E4">
        <w:t>income management</w:t>
      </w:r>
      <w:r w:rsidR="00A27967">
        <w:t xml:space="preserve"> </w:t>
      </w:r>
      <w:r w:rsidR="00220531" w:rsidRPr="005911E2">
        <w:t>ha</w:t>
      </w:r>
      <w:r w:rsidR="00114E9D">
        <w:t>ve</w:t>
      </w:r>
      <w:r w:rsidR="00220531" w:rsidRPr="005911E2">
        <w:t xml:space="preserve"> </w:t>
      </w:r>
      <w:r w:rsidR="00A27967">
        <w:t>help</w:t>
      </w:r>
      <w:r w:rsidR="00632790">
        <w:t>ed to</w:t>
      </w:r>
      <w:r w:rsidR="00A27967">
        <w:t xml:space="preserve"> protect </w:t>
      </w:r>
      <w:r w:rsidR="00F878E4">
        <w:t>income management</w:t>
      </w:r>
      <w:r w:rsidR="00A27967">
        <w:t xml:space="preserve"> funds from </w:t>
      </w:r>
      <w:r w:rsidR="00220531" w:rsidRPr="005911E2">
        <w:t>financial harassment</w:t>
      </w:r>
      <w:r>
        <w:t xml:space="preserve"> </w:t>
      </w:r>
      <w:r w:rsidR="00F41623">
        <w:t xml:space="preserve">and </w:t>
      </w:r>
      <w:r w:rsidR="00220531" w:rsidRPr="005911E2">
        <w:t xml:space="preserve">gambling, but </w:t>
      </w:r>
      <w:r w:rsidR="00A27967">
        <w:t xml:space="preserve">has not eliminated </w:t>
      </w:r>
      <w:r w:rsidR="00F878E4">
        <w:t>income management</w:t>
      </w:r>
      <w:r w:rsidR="00A27967">
        <w:t xml:space="preserve"> funds being used in </w:t>
      </w:r>
      <w:r w:rsidR="00F41623">
        <w:t xml:space="preserve">these </w:t>
      </w:r>
      <w:r w:rsidR="00A27967">
        <w:t xml:space="preserve">ways. </w:t>
      </w:r>
    </w:p>
    <w:p w:rsidR="00220531" w:rsidRPr="005911E2" w:rsidRDefault="00220531" w:rsidP="007B4471">
      <w:pPr>
        <w:pStyle w:val="Heading4"/>
      </w:pPr>
      <w:r w:rsidRPr="005911E2">
        <w:t>Matched Savings</w:t>
      </w:r>
      <w:r w:rsidR="00EC5565">
        <w:t xml:space="preserve"> Payment</w:t>
      </w:r>
      <w:r w:rsidRPr="005911E2">
        <w:t xml:space="preserve">, </w:t>
      </w:r>
      <w:r w:rsidR="00EC5565">
        <w:t>m</w:t>
      </w:r>
      <w:r w:rsidRPr="005911E2">
        <w:t xml:space="preserve">oney </w:t>
      </w:r>
      <w:r w:rsidR="00EC5565">
        <w:t>m</w:t>
      </w:r>
      <w:r w:rsidRPr="005911E2">
        <w:t xml:space="preserve">anagement and </w:t>
      </w:r>
      <w:r w:rsidR="00EC5565">
        <w:t>f</w:t>
      </w:r>
      <w:r w:rsidRPr="005911E2">
        <w:t xml:space="preserve">inancial </w:t>
      </w:r>
      <w:r w:rsidR="00EC5565">
        <w:t>c</w:t>
      </w:r>
      <w:r w:rsidRPr="005911E2">
        <w:t>ounselling</w:t>
      </w:r>
    </w:p>
    <w:p w:rsidR="00220531" w:rsidRPr="005911E2" w:rsidRDefault="00220531" w:rsidP="00051CDC">
      <w:pPr>
        <w:pStyle w:val="ListBullet"/>
      </w:pPr>
      <w:r w:rsidRPr="005911E2">
        <w:t xml:space="preserve">Very few people have received </w:t>
      </w:r>
      <w:r w:rsidR="003A5232" w:rsidRPr="005911E2">
        <w:t xml:space="preserve">a </w:t>
      </w:r>
      <w:r w:rsidR="003A5232">
        <w:t>Matched</w:t>
      </w:r>
      <w:r w:rsidR="00F57BEF">
        <w:t xml:space="preserve"> Savings Payment</w:t>
      </w:r>
      <w:r w:rsidR="00EC5565">
        <w:t xml:space="preserve"> </w:t>
      </w:r>
      <w:r w:rsidRPr="005911E2">
        <w:t xml:space="preserve">(15 in total) and the majority of these are non-Indigenous. Subjecting the Matched Saving Scheme payment to </w:t>
      </w:r>
      <w:r w:rsidR="00F878E4">
        <w:t>income management</w:t>
      </w:r>
      <w:r w:rsidRPr="005911E2">
        <w:t xml:space="preserve"> was viewed negatively.</w:t>
      </w:r>
    </w:p>
    <w:p w:rsidR="00220531" w:rsidRPr="005911E2" w:rsidRDefault="00220531" w:rsidP="00051CDC">
      <w:pPr>
        <w:pStyle w:val="ListBullet"/>
      </w:pPr>
      <w:r w:rsidRPr="005911E2">
        <w:t xml:space="preserve">While </w:t>
      </w:r>
      <w:r w:rsidR="00B450CA">
        <w:t>m</w:t>
      </w:r>
      <w:r w:rsidRPr="005911E2">
        <w:t xml:space="preserve">oney </w:t>
      </w:r>
      <w:r w:rsidR="00B450CA">
        <w:t>m</w:t>
      </w:r>
      <w:r w:rsidRPr="005911E2">
        <w:t xml:space="preserve">anagement services have had contact with a large number of people subject to </w:t>
      </w:r>
      <w:r w:rsidR="00F878E4">
        <w:t>income management</w:t>
      </w:r>
      <w:r w:rsidRPr="005911E2">
        <w:t xml:space="preserve">, very few people </w:t>
      </w:r>
      <w:r w:rsidR="007F0E02">
        <w:t>subject to Compulsory Income Management</w:t>
      </w:r>
      <w:r w:rsidR="007F0E02" w:rsidRPr="005911E2">
        <w:t xml:space="preserve"> </w:t>
      </w:r>
      <w:r w:rsidRPr="005911E2">
        <w:t xml:space="preserve">have attended </w:t>
      </w:r>
      <w:r w:rsidR="00551F81">
        <w:t>a</w:t>
      </w:r>
      <w:r w:rsidRPr="005911E2">
        <w:t xml:space="preserve">pproved </w:t>
      </w:r>
      <w:r w:rsidR="00B450CA">
        <w:t>m</w:t>
      </w:r>
      <w:r w:rsidRPr="005911E2">
        <w:t xml:space="preserve">oney </w:t>
      </w:r>
      <w:r w:rsidR="00B450CA">
        <w:t>m</w:t>
      </w:r>
      <w:r w:rsidRPr="005911E2">
        <w:t xml:space="preserve">anagement courses. </w:t>
      </w:r>
      <w:r w:rsidR="001378EA">
        <w:t>For those on income management it</w:t>
      </w:r>
      <w:r w:rsidRPr="005911E2">
        <w:t xml:space="preserve"> appears that much of </w:t>
      </w:r>
      <w:r w:rsidR="00200277">
        <w:t xml:space="preserve">the initiative </w:t>
      </w:r>
      <w:r w:rsidRPr="005911E2">
        <w:t xml:space="preserve">is </w:t>
      </w:r>
      <w:r w:rsidR="00D3222D">
        <w:t>short-term</w:t>
      </w:r>
      <w:r w:rsidR="00055BC5" w:rsidRPr="005911E2">
        <w:t xml:space="preserve"> </w:t>
      </w:r>
      <w:r w:rsidRPr="005911E2">
        <w:t>assistance</w:t>
      </w:r>
      <w:r w:rsidR="007E1C3B">
        <w:t>, a matter outside the scope of the evaluation,</w:t>
      </w:r>
      <w:r w:rsidRPr="005911E2">
        <w:t xml:space="preserve"> rather than</w:t>
      </w:r>
      <w:r w:rsidR="001378EA">
        <w:t xml:space="preserve"> directly</w:t>
      </w:r>
      <w:r w:rsidRPr="005911E2">
        <w:t xml:space="preserve"> building budgeting and financial management skills</w:t>
      </w:r>
      <w:r w:rsidR="00200277">
        <w:t>.</w:t>
      </w:r>
    </w:p>
    <w:p w:rsidR="00220531" w:rsidRPr="005911E2" w:rsidRDefault="00220531" w:rsidP="00051CDC">
      <w:pPr>
        <w:pStyle w:val="ListBullet"/>
      </w:pPr>
      <w:r w:rsidRPr="005911E2">
        <w:lastRenderedPageBreak/>
        <w:t xml:space="preserve">Some stakeholders expressed concerns about the content of the </w:t>
      </w:r>
      <w:r w:rsidR="00551F81">
        <w:t>a</w:t>
      </w:r>
      <w:r w:rsidRPr="005911E2">
        <w:t xml:space="preserve">pproved </w:t>
      </w:r>
      <w:r w:rsidR="00B450CA">
        <w:t>m</w:t>
      </w:r>
      <w:r w:rsidRPr="005911E2">
        <w:t xml:space="preserve">oney </w:t>
      </w:r>
      <w:r w:rsidR="00B450CA">
        <w:t>m</w:t>
      </w:r>
      <w:r w:rsidRPr="005911E2">
        <w:t xml:space="preserve">anagement courses and identified a mismatch between what they were required to provide and what their </w:t>
      </w:r>
      <w:r w:rsidR="00F878E4">
        <w:t xml:space="preserve">income </w:t>
      </w:r>
      <w:r w:rsidR="007F0E02">
        <w:t>managed</w:t>
      </w:r>
      <w:r w:rsidR="007F0E02" w:rsidRPr="005911E2">
        <w:t xml:space="preserve"> </w:t>
      </w:r>
      <w:r w:rsidRPr="005911E2">
        <w:t xml:space="preserve">clients needed, with courses not being pitched at the level of clients’ knowledge </w:t>
      </w:r>
      <w:r w:rsidR="009B71AB">
        <w:t xml:space="preserve">or </w:t>
      </w:r>
      <w:r w:rsidRPr="005911E2">
        <w:t xml:space="preserve">being culturally inappropriate for some. </w:t>
      </w:r>
    </w:p>
    <w:p w:rsidR="00220531" w:rsidRPr="005911E2" w:rsidRDefault="00220531" w:rsidP="00220531">
      <w:pPr>
        <w:pStyle w:val="Heading7"/>
      </w:pPr>
      <w:bookmarkStart w:id="36" w:name="_Toc321761662"/>
      <w:r w:rsidRPr="005911E2">
        <w:t>Conclusion</w:t>
      </w:r>
      <w:bookmarkEnd w:id="36"/>
    </w:p>
    <w:p w:rsidR="00220531" w:rsidRPr="005911E2" w:rsidRDefault="00220531" w:rsidP="00220531">
      <w:pPr>
        <w:pStyle w:val="BodyText"/>
        <w:rPr>
          <w:lang w:eastAsia="en-US"/>
        </w:rPr>
      </w:pPr>
      <w:r w:rsidRPr="005911E2">
        <w:rPr>
          <w:lang w:eastAsia="en-US"/>
        </w:rPr>
        <w:t xml:space="preserve">The evidence gathered to date for this evaluation suggests that NIM has had a diverse set of impacts. For some it has been positive, for others negative and for others it has had little </w:t>
      </w:r>
      <w:r w:rsidR="00A86260">
        <w:rPr>
          <w:lang w:eastAsia="en-US"/>
        </w:rPr>
        <w:t>impact</w:t>
      </w:r>
      <w:r w:rsidR="00614538" w:rsidRPr="005911E2">
        <w:rPr>
          <w:lang w:eastAsia="en-US"/>
        </w:rPr>
        <w:t>.</w:t>
      </w:r>
      <w:r w:rsidR="00614538">
        <w:rPr>
          <w:lang w:eastAsia="en-US"/>
        </w:rPr>
        <w:t xml:space="preserve"> </w:t>
      </w:r>
      <w:r w:rsidRPr="005911E2">
        <w:rPr>
          <w:lang w:eastAsia="en-US"/>
        </w:rPr>
        <w:t xml:space="preserve">Taken as a whole there is not strong evidence that, at this stage, the program has had a major impact on </w:t>
      </w:r>
      <w:r w:rsidR="00D7627F">
        <w:rPr>
          <w:lang w:eastAsia="en-US"/>
        </w:rPr>
        <w:t>outcomes overall. A</w:t>
      </w:r>
      <w:r w:rsidRPr="005911E2">
        <w:rPr>
          <w:lang w:eastAsia="en-US"/>
        </w:rPr>
        <w:t>lthough many individuals report some gains, others report more negative effects.</w:t>
      </w:r>
    </w:p>
    <w:p w:rsidR="00220531" w:rsidRPr="005911E2" w:rsidRDefault="00220531" w:rsidP="00220531">
      <w:pPr>
        <w:pStyle w:val="BodyText"/>
        <w:rPr>
          <w:lang w:eastAsia="en-US"/>
        </w:rPr>
      </w:pPr>
      <w:r w:rsidRPr="005911E2">
        <w:rPr>
          <w:lang w:eastAsia="en-US"/>
        </w:rPr>
        <w:t>The evidence indicates that the program may make a contribution to improving the wellbeing for some</w:t>
      </w:r>
      <w:r w:rsidR="00F41623">
        <w:rPr>
          <w:lang w:eastAsia="en-US"/>
        </w:rPr>
        <w:t>, particularly</w:t>
      </w:r>
      <w:r w:rsidRPr="005911E2">
        <w:rPr>
          <w:lang w:eastAsia="en-US"/>
        </w:rPr>
        <w:t xml:space="preserve"> those who have difficulties in managing their finances or are subject to financial harassment.</w:t>
      </w:r>
      <w:r w:rsidR="00B62B2D">
        <w:rPr>
          <w:lang w:eastAsia="en-US"/>
        </w:rPr>
        <w:t xml:space="preserve"> </w:t>
      </w:r>
      <w:r w:rsidR="002B5A5C">
        <w:rPr>
          <w:lang w:eastAsia="en-US"/>
        </w:rPr>
        <w:t>Voluntary Income Management</w:t>
      </w:r>
      <w:r w:rsidR="005874AE">
        <w:rPr>
          <w:lang w:eastAsia="en-US"/>
        </w:rPr>
        <w:t xml:space="preserve"> in particular is viewed positively by people to whom it is applied, and by other stakeholders.</w:t>
      </w:r>
    </w:p>
    <w:p w:rsidR="006A1874" w:rsidRPr="005911E2" w:rsidRDefault="006A1874" w:rsidP="00220531">
      <w:pPr>
        <w:pStyle w:val="BodyText"/>
        <w:rPr>
          <w:lang w:eastAsia="en-US"/>
        </w:rPr>
      </w:pPr>
      <w:r>
        <w:rPr>
          <w:lang w:eastAsia="en-US"/>
        </w:rPr>
        <w:t xml:space="preserve">For Indigenous people on </w:t>
      </w:r>
      <w:r w:rsidR="002B5A5C">
        <w:rPr>
          <w:lang w:eastAsia="en-US"/>
        </w:rPr>
        <w:t>Voluntary Income Management</w:t>
      </w:r>
      <w:r>
        <w:rPr>
          <w:lang w:eastAsia="en-US"/>
        </w:rPr>
        <w:t xml:space="preserve">, 59 per cent felt that </w:t>
      </w:r>
      <w:r w:rsidR="00F878E4">
        <w:rPr>
          <w:lang w:eastAsia="en-US"/>
        </w:rPr>
        <w:t>income management</w:t>
      </w:r>
      <w:r>
        <w:rPr>
          <w:lang w:eastAsia="en-US"/>
        </w:rPr>
        <w:t xml:space="preserve"> had made things better for them and 47 per cent would recommend it to others. For Indigenous people </w:t>
      </w:r>
      <w:r w:rsidR="00632790">
        <w:rPr>
          <w:lang w:eastAsia="en-US"/>
        </w:rPr>
        <w:t xml:space="preserve">subject to </w:t>
      </w:r>
      <w:r w:rsidR="004808B3">
        <w:rPr>
          <w:lang w:eastAsia="en-US"/>
        </w:rPr>
        <w:t>Compulsory Income Management</w:t>
      </w:r>
      <w:r>
        <w:rPr>
          <w:lang w:eastAsia="en-US"/>
        </w:rPr>
        <w:t xml:space="preserve"> 36 per cent felt that </w:t>
      </w:r>
      <w:r w:rsidR="00F878E4">
        <w:rPr>
          <w:lang w:eastAsia="en-US"/>
        </w:rPr>
        <w:t>income management</w:t>
      </w:r>
      <w:r>
        <w:rPr>
          <w:lang w:eastAsia="en-US"/>
        </w:rPr>
        <w:t xml:space="preserve"> had made things better for them and 33</w:t>
      </w:r>
      <w:r w:rsidR="000C6BCB">
        <w:rPr>
          <w:lang w:eastAsia="en-US"/>
        </w:rPr>
        <w:t> </w:t>
      </w:r>
      <w:r>
        <w:rPr>
          <w:lang w:eastAsia="en-US"/>
        </w:rPr>
        <w:t xml:space="preserve">per cent would recommend it to others. Amongst non-Indigenous people subject to </w:t>
      </w:r>
      <w:r w:rsidR="004808B3">
        <w:rPr>
          <w:lang w:eastAsia="en-US"/>
        </w:rPr>
        <w:t>Compulsory Income Management</w:t>
      </w:r>
      <w:r>
        <w:rPr>
          <w:lang w:eastAsia="en-US"/>
        </w:rPr>
        <w:t xml:space="preserve">, 20 per cent felt that </w:t>
      </w:r>
      <w:r w:rsidR="00F878E4">
        <w:rPr>
          <w:lang w:eastAsia="en-US"/>
        </w:rPr>
        <w:t>income management</w:t>
      </w:r>
      <w:r>
        <w:rPr>
          <w:lang w:eastAsia="en-US"/>
        </w:rPr>
        <w:t xml:space="preserve"> had made things better and 32 per cent would recommend it </w:t>
      </w:r>
      <w:r w:rsidR="009B71AB">
        <w:rPr>
          <w:lang w:eastAsia="en-US"/>
        </w:rPr>
        <w:t xml:space="preserve">to </w:t>
      </w:r>
      <w:r>
        <w:rPr>
          <w:lang w:eastAsia="en-US"/>
        </w:rPr>
        <w:t>others.</w:t>
      </w:r>
    </w:p>
    <w:p w:rsidR="00220531" w:rsidRPr="005911E2" w:rsidRDefault="00632790" w:rsidP="00220531">
      <w:pPr>
        <w:pStyle w:val="BodyText"/>
      </w:pPr>
      <w:r>
        <w:rPr>
          <w:lang w:eastAsia="en-US"/>
        </w:rPr>
        <w:t>Many people subject to</w:t>
      </w:r>
      <w:r w:rsidR="006A1874">
        <w:rPr>
          <w:lang w:eastAsia="en-US"/>
        </w:rPr>
        <w:t xml:space="preserve"> </w:t>
      </w:r>
      <w:r w:rsidR="004808B3">
        <w:rPr>
          <w:lang w:eastAsia="en-US"/>
        </w:rPr>
        <w:t>Compulsory Income Management</w:t>
      </w:r>
      <w:r w:rsidR="006A1874">
        <w:rPr>
          <w:lang w:eastAsia="en-US"/>
        </w:rPr>
        <w:t xml:space="preserve"> </w:t>
      </w:r>
      <w:r>
        <w:rPr>
          <w:lang w:eastAsia="en-US"/>
        </w:rPr>
        <w:t>appear not to demonstrate the behaviour problems or financial difficulties which the measure was intended to remedy</w:t>
      </w:r>
      <w:r w:rsidR="00220531" w:rsidRPr="005911E2">
        <w:t>.</w:t>
      </w:r>
    </w:p>
    <w:p w:rsidR="00220531" w:rsidRPr="005911E2" w:rsidRDefault="00F878E4" w:rsidP="00220531">
      <w:pPr>
        <w:pStyle w:val="BodyText"/>
      </w:pPr>
      <w:r>
        <w:t>Income management</w:t>
      </w:r>
      <w:r w:rsidR="00220531" w:rsidRPr="005911E2">
        <w:t xml:space="preserve"> incurs costs to the individuals, who in many cases find it embarrassing and humiliating and in some cases de-motivating. There are very mixed findings as to the extent to which being subject to </w:t>
      </w:r>
      <w:r>
        <w:t>income management</w:t>
      </w:r>
      <w:r w:rsidR="00220531" w:rsidRPr="005911E2">
        <w:t xml:space="preserve"> has led to greater control over money.</w:t>
      </w:r>
    </w:p>
    <w:p w:rsidR="0011026F" w:rsidRDefault="00220531" w:rsidP="00220531">
      <w:pPr>
        <w:pStyle w:val="BodyText"/>
      </w:pPr>
      <w:r w:rsidRPr="005911E2">
        <w:t xml:space="preserve">There are very big differences in the rates of exemption between </w:t>
      </w:r>
      <w:r w:rsidR="00F41623">
        <w:t xml:space="preserve">different groups within the </w:t>
      </w:r>
      <w:r w:rsidR="004808B3">
        <w:t>Compulsory Income Management</w:t>
      </w:r>
      <w:r w:rsidR="00F41623">
        <w:t xml:space="preserve"> population, in particular between </w:t>
      </w:r>
      <w:r w:rsidRPr="005911E2">
        <w:t>Indigenous and non-Indigenous people and between those with and without children</w:t>
      </w:r>
      <w:r w:rsidR="00055BC5">
        <w:t>.</w:t>
      </w:r>
      <w:r w:rsidR="0011026F" w:rsidRPr="005911E2" w:rsidDel="0011026F">
        <w:t xml:space="preserve"> </w:t>
      </w:r>
    </w:p>
    <w:p w:rsidR="00220531" w:rsidRDefault="00220531" w:rsidP="00220531">
      <w:pPr>
        <w:pStyle w:val="BodyText"/>
      </w:pPr>
      <w:r w:rsidRPr="005911E2">
        <w:t xml:space="preserve">The large-scale survey of those subject to </w:t>
      </w:r>
      <w:r w:rsidR="00F878E4">
        <w:t>income management</w:t>
      </w:r>
      <w:r w:rsidRPr="005911E2">
        <w:t xml:space="preserve"> reveals that </w:t>
      </w:r>
      <w:r w:rsidR="009B71AB" w:rsidRPr="005911E2">
        <w:t xml:space="preserve">the majority of participants reported little change </w:t>
      </w:r>
      <w:r w:rsidRPr="005911E2">
        <w:t xml:space="preserve">for </w:t>
      </w:r>
      <w:r w:rsidR="009B71AB">
        <w:t>the</w:t>
      </w:r>
      <w:r w:rsidR="009B71AB" w:rsidRPr="005911E2">
        <w:t xml:space="preserve"> </w:t>
      </w:r>
      <w:r w:rsidRPr="005911E2">
        <w:t>range of outcomes</w:t>
      </w:r>
      <w:r w:rsidR="009B71AB">
        <w:t xml:space="preserve"> examined</w:t>
      </w:r>
      <w:r w:rsidRPr="005911E2">
        <w:t xml:space="preserve">. A significant minority reported improvements as a result of </w:t>
      </w:r>
      <w:r w:rsidR="00F878E4">
        <w:t>income management</w:t>
      </w:r>
      <w:r w:rsidRPr="005911E2">
        <w:t>, in most domains more than those who reported deterioration</w:t>
      </w:r>
      <w:r w:rsidR="009B71AB">
        <w:t>;</w:t>
      </w:r>
      <w:r w:rsidRPr="005911E2">
        <w:t xml:space="preserve"> in some cases this difference was significant. </w:t>
      </w:r>
      <w:r w:rsidR="00F41623">
        <w:t>I</w:t>
      </w:r>
      <w:r w:rsidRPr="005911E2">
        <w:t xml:space="preserve">n many cases the </w:t>
      </w:r>
      <w:r w:rsidR="009B71AB">
        <w:t>comparison group</w:t>
      </w:r>
      <w:r w:rsidRPr="005911E2">
        <w:t xml:space="preserve"> of income support recipients outside the</w:t>
      </w:r>
      <w:r w:rsidR="006435C8">
        <w:t xml:space="preserve"> Northern Territory </w:t>
      </w:r>
      <w:r w:rsidRPr="005911E2">
        <w:t>has similar perceptions of improvement.</w:t>
      </w:r>
      <w:r w:rsidR="00055BC5">
        <w:t xml:space="preserve"> </w:t>
      </w:r>
    </w:p>
    <w:p w:rsidR="00055BC5" w:rsidRPr="005911E2" w:rsidRDefault="0042246F" w:rsidP="00220531">
      <w:pPr>
        <w:pStyle w:val="BodyText"/>
      </w:pPr>
      <w:r>
        <w:lastRenderedPageBreak/>
        <w:t xml:space="preserve">The analysis </w:t>
      </w:r>
      <w:r w:rsidR="00055BC5">
        <w:t>also took account of the longer term exposure of some people to income management under the NTER.</w:t>
      </w:r>
      <w:r w:rsidR="00BB14C5">
        <w:t xml:space="preserve"> </w:t>
      </w:r>
      <w:r w:rsidR="00055BC5">
        <w:t>There appears to be no strong evidence of any major impact of this longer period of income management.</w:t>
      </w:r>
      <w:r w:rsidR="00BB14C5">
        <w:t xml:space="preserve"> </w:t>
      </w:r>
    </w:p>
    <w:p w:rsidR="00220531" w:rsidRPr="005911E2" w:rsidRDefault="00220531" w:rsidP="00220531">
      <w:pPr>
        <w:pStyle w:val="BodyText"/>
      </w:pPr>
      <w:r w:rsidRPr="005911E2">
        <w:t xml:space="preserve">It is difficult in the evaluation to fully differentiate views about the BasicsCard from </w:t>
      </w:r>
      <w:r w:rsidR="00F878E4">
        <w:t>income management</w:t>
      </w:r>
      <w:r w:rsidRPr="005911E2">
        <w:t xml:space="preserve"> itself.</w:t>
      </w:r>
      <w:r w:rsidR="00B62B2D">
        <w:t xml:space="preserve"> </w:t>
      </w:r>
      <w:r w:rsidRPr="005911E2">
        <w:t>However</w:t>
      </w:r>
      <w:r w:rsidR="009B71AB">
        <w:t>,</w:t>
      </w:r>
      <w:r w:rsidRPr="005911E2">
        <w:t xml:space="preserve"> the card is seen </w:t>
      </w:r>
      <w:r w:rsidR="004379B2" w:rsidRPr="005911E2">
        <w:t xml:space="preserve">positively </w:t>
      </w:r>
      <w:r w:rsidRPr="005911E2">
        <w:t xml:space="preserve">by some and </w:t>
      </w:r>
      <w:r w:rsidR="004379B2" w:rsidRPr="005911E2">
        <w:t xml:space="preserve">negatively </w:t>
      </w:r>
      <w:r w:rsidRPr="005911E2">
        <w:t>by others. Th</w:t>
      </w:r>
      <w:r w:rsidR="009B71AB">
        <w:t xml:space="preserve">e positive views </w:t>
      </w:r>
      <w:r w:rsidR="007563F2">
        <w:t>seem driven by</w:t>
      </w:r>
      <w:r w:rsidR="009B71AB">
        <w:t xml:space="preserve"> </w:t>
      </w:r>
      <w:r w:rsidRPr="005911E2">
        <w:t xml:space="preserve">the safety the card </w:t>
      </w:r>
      <w:r w:rsidR="00A86260">
        <w:t>can provide</w:t>
      </w:r>
      <w:r w:rsidRPr="005911E2">
        <w:t xml:space="preserve"> and the absence of costs (other than phone calls to check balances) on its use.</w:t>
      </w:r>
      <w:r w:rsidR="00BB14C5">
        <w:t xml:space="preserve"> </w:t>
      </w:r>
    </w:p>
    <w:p w:rsidR="00220531" w:rsidRPr="005911E2" w:rsidRDefault="00BD5C93" w:rsidP="00220531">
      <w:pPr>
        <w:pStyle w:val="BodyText"/>
      </w:pPr>
      <w:r w:rsidRPr="00BD5C93">
        <w:t xml:space="preserve">At this stage of the evaluation, the evidence highlights a diversity of outcomes from NIM which are positive for some and negative for others. This raises two central questions: whether, to the extent that there are gains under the existing arrangements, the gains outweigh the costs; and whether or not alternative arrangements, including a more targeted approach and greater attention to the provision of higher quality services would permit the gains to be achieved without the negative outcomes. </w:t>
      </w:r>
    </w:p>
    <w:p w:rsidR="00220531" w:rsidRDefault="00BD5C93" w:rsidP="00220531">
      <w:pPr>
        <w:pStyle w:val="BodyText"/>
      </w:pPr>
      <w:r w:rsidRPr="00BD5C93">
        <w:t xml:space="preserve">Our view is that these findings point towards the conclusion that income management may assist a proportion of those on income support to cope with particular issues they face. At the same time the program has been applied to many who do not believe that they need income management and for whom there is no evidence that they </w:t>
      </w:r>
      <w:r w:rsidR="00902DE4">
        <w:t xml:space="preserve">have a </w:t>
      </w:r>
      <w:r w:rsidRPr="00BD5C93">
        <w:t>need for, or benefit from income management. Income management has led to widespread feelings of unfairness and disempowerment</w:t>
      </w:r>
      <w:r w:rsidR="00220531" w:rsidRPr="005911E2">
        <w:t>.</w:t>
      </w:r>
    </w:p>
    <w:p w:rsidR="005874AE" w:rsidRDefault="005874AE" w:rsidP="00220531">
      <w:pPr>
        <w:pStyle w:val="BodyText"/>
      </w:pPr>
      <w:r>
        <w:t>The low numbers of people who have engaged with the incentives (matched savings and exemptions)</w:t>
      </w:r>
      <w:r w:rsidR="003F67EE">
        <w:t>,</w:t>
      </w:r>
      <w:r>
        <w:t xml:space="preserve"> and </w:t>
      </w:r>
      <w:r w:rsidR="001378EA">
        <w:t>other</w:t>
      </w:r>
      <w:r>
        <w:t xml:space="preserve"> </w:t>
      </w:r>
      <w:r w:rsidR="00F939A9">
        <w:t>support</w:t>
      </w:r>
      <w:r>
        <w:t xml:space="preserve"> services which are intended to complement </w:t>
      </w:r>
      <w:r w:rsidR="00F878E4">
        <w:t>income management</w:t>
      </w:r>
      <w:r w:rsidR="003F67EE">
        <w:t>,</w:t>
      </w:r>
      <w:r>
        <w:t xml:space="preserve"> may have mitigated the </w:t>
      </w:r>
      <w:r w:rsidR="00F939A9">
        <w:t>effectiveness</w:t>
      </w:r>
      <w:r>
        <w:t xml:space="preserve"> of </w:t>
      </w:r>
      <w:r w:rsidR="00F939A9">
        <w:t>the program</w:t>
      </w:r>
      <w:r>
        <w:t xml:space="preserve"> as it is the combination of all three components which </w:t>
      </w:r>
      <w:r w:rsidR="00902DE4">
        <w:t>is</w:t>
      </w:r>
      <w:r>
        <w:t xml:space="preserve"> expected to </w:t>
      </w:r>
      <w:r w:rsidR="00F939A9">
        <w:t>improve</w:t>
      </w:r>
      <w:r>
        <w:t xml:space="preserve"> wellbeing.</w:t>
      </w:r>
    </w:p>
    <w:p w:rsidR="0042246F" w:rsidRDefault="0042246F" w:rsidP="0042246F">
      <w:pPr>
        <w:pStyle w:val="BodyText"/>
      </w:pPr>
      <w:r>
        <w:t xml:space="preserve">More generally our analysis suggests that for many people the program largely operates more as a means of control rather than a process for building behaviours or changing attitudes or norms. </w:t>
      </w:r>
    </w:p>
    <w:p w:rsidR="0042246F" w:rsidRDefault="0042246F" w:rsidP="0011026F">
      <w:pPr>
        <w:pStyle w:val="BodyText"/>
      </w:pPr>
      <w:r>
        <w:t xml:space="preserve">This conclusion is reinforced by the fact that for major subgroups if a person does not obtain an exemption before starting being income managed or shortly after then it appears that they are likely to remain on income management for an extended period of time. </w:t>
      </w:r>
    </w:p>
    <w:p w:rsidR="0011026F" w:rsidRPr="005911E2" w:rsidRDefault="005874AE" w:rsidP="0011026F">
      <w:pPr>
        <w:pStyle w:val="BodyText"/>
      </w:pPr>
      <w:r>
        <w:t xml:space="preserve">The next stage of this evaluation will clearly identify the medium and longer term impacts of </w:t>
      </w:r>
      <w:r w:rsidR="00F878E4">
        <w:t>income management</w:t>
      </w:r>
      <w:r>
        <w:t xml:space="preserve"> and whether access to exemptions and services improves over the course of the next period.</w:t>
      </w:r>
    </w:p>
    <w:p w:rsidR="0011026F" w:rsidRDefault="0011026F" w:rsidP="00C0582B">
      <w:pPr>
        <w:pStyle w:val="chapterend"/>
      </w:pPr>
    </w:p>
    <w:p w:rsidR="00B26206" w:rsidRPr="005911E2" w:rsidRDefault="00B26206" w:rsidP="00460C86">
      <w:pPr>
        <w:pStyle w:val="BodyText"/>
        <w:ind w:left="0"/>
        <w:sectPr w:rsidR="00B26206" w:rsidRPr="005911E2" w:rsidSect="00E24340">
          <w:headerReference w:type="default" r:id="rId23"/>
          <w:pgSz w:w="11906" w:h="16838" w:code="9"/>
          <w:pgMar w:top="1418" w:right="1797" w:bottom="1418" w:left="1230" w:header="567" w:footer="284" w:gutter="0"/>
          <w:pgNumType w:fmt="lowerRoman"/>
          <w:cols w:space="708"/>
          <w:docGrid w:linePitch="360"/>
        </w:sectPr>
      </w:pPr>
    </w:p>
    <w:p w:rsidR="0029753C" w:rsidRPr="005911E2" w:rsidRDefault="0029753C" w:rsidP="00BD6DFD">
      <w:pPr>
        <w:pStyle w:val="Heading1"/>
      </w:pPr>
      <w:bookmarkStart w:id="37" w:name="_Toc328601454"/>
      <w:bookmarkStart w:id="38" w:name="_Toc329870336"/>
      <w:bookmarkStart w:id="39" w:name="_Toc335915722"/>
      <w:r w:rsidRPr="005911E2">
        <w:lastRenderedPageBreak/>
        <w:t>Introduction and background to the evaluation</w:t>
      </w:r>
      <w:bookmarkEnd w:id="37"/>
      <w:bookmarkEnd w:id="38"/>
      <w:bookmarkEnd w:id="39"/>
    </w:p>
    <w:p w:rsidR="0029753C" w:rsidRPr="005911E2" w:rsidRDefault="0029753C" w:rsidP="0029753C">
      <w:pPr>
        <w:rPr>
          <w:lang w:eastAsia="en-AU"/>
        </w:rPr>
      </w:pPr>
      <w:r w:rsidRPr="005911E2">
        <w:rPr>
          <w:lang w:eastAsia="en-AU"/>
        </w:rPr>
        <w:t>Income management (IM) was first introduced in 2007 as part of the Northern Territory Emergency Response (NTER).</w:t>
      </w:r>
      <w:r w:rsidRPr="005911E2">
        <w:rPr>
          <w:vertAlign w:val="superscript"/>
          <w:lang w:eastAsia="en-AU"/>
        </w:rPr>
        <w:footnoteReference w:id="4"/>
      </w:r>
      <w:r w:rsidRPr="005911E2">
        <w:rPr>
          <w:lang w:eastAsia="en-AU"/>
        </w:rPr>
        <w:t xml:space="preserve"> In essence the program involves the </w:t>
      </w:r>
      <w:r w:rsidR="002C4832">
        <w:rPr>
          <w:lang w:eastAsia="en-AU"/>
        </w:rPr>
        <w:t>‘</w:t>
      </w:r>
      <w:r w:rsidRPr="005911E2">
        <w:rPr>
          <w:lang w:eastAsia="en-AU"/>
        </w:rPr>
        <w:t>quarantining</w:t>
      </w:r>
      <w:r w:rsidR="002C4832">
        <w:rPr>
          <w:lang w:eastAsia="en-AU"/>
        </w:rPr>
        <w:t>’</w:t>
      </w:r>
      <w:r w:rsidRPr="005911E2">
        <w:rPr>
          <w:lang w:eastAsia="en-AU"/>
        </w:rPr>
        <w:t xml:space="preserve"> of a portion of an individual’s income support payment and restricting the ways in which this can be spent. The initial rollout of income management under the NTER only affected people who received income support and who lived in</w:t>
      </w:r>
      <w:r w:rsidR="00564D39">
        <w:rPr>
          <w:lang w:eastAsia="en-AU"/>
        </w:rPr>
        <w:t xml:space="preserve"> one of</w:t>
      </w:r>
      <w:r w:rsidRPr="005911E2">
        <w:rPr>
          <w:lang w:eastAsia="en-AU"/>
        </w:rPr>
        <w:t xml:space="preserve"> 73 prescribed Indigenous communities, their associated outstations </w:t>
      </w:r>
      <w:r w:rsidR="00564D39">
        <w:rPr>
          <w:lang w:eastAsia="en-AU"/>
        </w:rPr>
        <w:t>or</w:t>
      </w:r>
      <w:r w:rsidR="00564D39" w:rsidRPr="005911E2">
        <w:rPr>
          <w:lang w:eastAsia="en-AU"/>
        </w:rPr>
        <w:t xml:space="preserve"> </w:t>
      </w:r>
      <w:r w:rsidRPr="005911E2">
        <w:rPr>
          <w:lang w:eastAsia="en-AU"/>
        </w:rPr>
        <w:t>the 10 town camp regions of the Northern Territory (NT). The NTER IM operated until August 2010 when it was replaced with a new form of income management</w:t>
      </w:r>
      <w:r w:rsidR="00564D39">
        <w:rPr>
          <w:lang w:eastAsia="en-AU"/>
        </w:rPr>
        <w:t xml:space="preserve"> in the</w:t>
      </w:r>
      <w:r w:rsidR="006435C8">
        <w:rPr>
          <w:lang w:eastAsia="en-AU"/>
        </w:rPr>
        <w:t xml:space="preserve"> Northern Territory </w:t>
      </w:r>
      <w:r w:rsidRPr="005911E2">
        <w:rPr>
          <w:lang w:eastAsia="en-AU"/>
        </w:rPr>
        <w:t>– New Income Management (NIM).</w:t>
      </w:r>
      <w:r w:rsidRPr="005911E2">
        <w:rPr>
          <w:rStyle w:val="FootnoteReference"/>
          <w:rFonts w:ascii="Arial" w:hAnsi="Arial"/>
          <w:lang w:eastAsia="en-AU"/>
        </w:rPr>
        <w:footnoteReference w:id="5"/>
      </w:r>
      <w:r w:rsidRPr="005911E2">
        <w:rPr>
          <w:lang w:eastAsia="en-AU"/>
        </w:rPr>
        <w:t xml:space="preserve"> </w:t>
      </w:r>
    </w:p>
    <w:p w:rsidR="0029753C" w:rsidRPr="005911E2" w:rsidRDefault="0029753C" w:rsidP="0029753C">
      <w:pPr>
        <w:rPr>
          <w:lang w:eastAsia="en-AU"/>
        </w:rPr>
      </w:pPr>
      <w:r w:rsidRPr="005911E2">
        <w:rPr>
          <w:lang w:eastAsia="en-AU"/>
        </w:rPr>
        <w:t xml:space="preserve">NIM differs from the </w:t>
      </w:r>
      <w:r w:rsidR="00F878E4">
        <w:rPr>
          <w:lang w:eastAsia="en-AU"/>
        </w:rPr>
        <w:t>income management</w:t>
      </w:r>
      <w:r w:rsidRPr="005911E2">
        <w:rPr>
          <w:lang w:eastAsia="en-AU"/>
        </w:rPr>
        <w:t xml:space="preserve"> measure introduced under the NTER in several respects. First</w:t>
      </w:r>
      <w:r w:rsidR="00564D39">
        <w:rPr>
          <w:lang w:eastAsia="en-AU"/>
        </w:rPr>
        <w:t>,</w:t>
      </w:r>
      <w:r w:rsidRPr="005911E2">
        <w:rPr>
          <w:lang w:eastAsia="en-AU"/>
        </w:rPr>
        <w:t xml:space="preserve"> it covers all areas of the</w:t>
      </w:r>
      <w:r w:rsidR="006435C8">
        <w:rPr>
          <w:lang w:eastAsia="en-AU"/>
        </w:rPr>
        <w:t xml:space="preserve"> Northern Territory </w:t>
      </w:r>
      <w:r w:rsidRPr="005911E2">
        <w:rPr>
          <w:lang w:eastAsia="en-AU"/>
        </w:rPr>
        <w:t>not only prescribed Indigenous communities, and therefore applies to all people who qualify. Second it applies in a mandatory fashion to a narrower range of income support recipients</w:t>
      </w:r>
      <w:r w:rsidR="00564D39">
        <w:rPr>
          <w:lang w:eastAsia="en-AU"/>
        </w:rPr>
        <w:t xml:space="preserve"> and provides an option to participate </w:t>
      </w:r>
      <w:r w:rsidRPr="005911E2">
        <w:rPr>
          <w:lang w:eastAsia="en-AU"/>
        </w:rPr>
        <w:t xml:space="preserve">voluntarily (Voluntary Income Management). Central to the structure of NIM was that it could be implemented in a way that allowed for the restoration of the </w:t>
      </w:r>
      <w:r w:rsidR="00901A4F" w:rsidRPr="00901A4F">
        <w:rPr>
          <w:i/>
          <w:lang w:eastAsia="en-AU"/>
        </w:rPr>
        <w:t>Racial Discrimination Act 1975</w:t>
      </w:r>
      <w:r w:rsidR="00564D39">
        <w:rPr>
          <w:lang w:eastAsia="en-AU"/>
        </w:rPr>
        <w:t xml:space="preserve"> (Cwth)</w:t>
      </w:r>
      <w:r w:rsidR="00FF2CB4">
        <w:rPr>
          <w:rStyle w:val="FootnoteReference"/>
          <w:lang w:eastAsia="en-AU"/>
        </w:rPr>
        <w:footnoteReference w:id="6"/>
      </w:r>
      <w:r w:rsidRPr="005911E2">
        <w:rPr>
          <w:lang w:eastAsia="en-AU"/>
        </w:rPr>
        <w:t xml:space="preserve">, which had been suspended as part of the NTER. </w:t>
      </w:r>
    </w:p>
    <w:p w:rsidR="0029753C" w:rsidRPr="005911E2" w:rsidRDefault="00F878E4" w:rsidP="0029753C">
      <w:pPr>
        <w:rPr>
          <w:lang w:eastAsia="en-AU"/>
        </w:rPr>
      </w:pPr>
      <w:r>
        <w:rPr>
          <w:lang w:eastAsia="en-AU"/>
        </w:rPr>
        <w:t>Income management</w:t>
      </w:r>
      <w:r w:rsidR="0029753C" w:rsidRPr="005911E2">
        <w:rPr>
          <w:lang w:eastAsia="en-AU"/>
        </w:rPr>
        <w:t xml:space="preserve"> has also been introduced as part of the Cape York Welfare Reform Trial; in a trial form in the Kimberley and Peel regions, and the metropolitan area of Perth in Western Australia (WA); and will be trialled in five sites around Australia from July 2012</w:t>
      </w:r>
      <w:r w:rsidR="00564D39">
        <w:rPr>
          <w:lang w:eastAsia="en-AU"/>
        </w:rPr>
        <w:t>,</w:t>
      </w:r>
      <w:r w:rsidR="0029753C" w:rsidRPr="005911E2">
        <w:rPr>
          <w:lang w:eastAsia="en-AU"/>
        </w:rPr>
        <w:t xml:space="preserve"> in what is termed </w:t>
      </w:r>
      <w:r w:rsidR="002C4832">
        <w:rPr>
          <w:lang w:eastAsia="en-AU"/>
        </w:rPr>
        <w:t>‘</w:t>
      </w:r>
      <w:r w:rsidR="0029753C" w:rsidRPr="005911E2">
        <w:rPr>
          <w:lang w:eastAsia="en-AU"/>
        </w:rPr>
        <w:t>Place Based Income Management</w:t>
      </w:r>
      <w:r w:rsidR="002C4832">
        <w:rPr>
          <w:lang w:eastAsia="en-AU"/>
        </w:rPr>
        <w:t>’</w:t>
      </w:r>
      <w:r w:rsidR="0029753C" w:rsidRPr="005911E2">
        <w:rPr>
          <w:lang w:eastAsia="en-AU"/>
        </w:rPr>
        <w:t xml:space="preserve">. These initiatives are more targeted than NIM, focusing on people with particular adverse outcomes such as being assessed by child protection authorities as requiring income management (the WA trials), or who are engaging in dysfunctional behaviour (Cape York Welfare Reform Trial). </w:t>
      </w:r>
      <w:r w:rsidR="008A040D" w:rsidRPr="00EC5565">
        <w:rPr>
          <w:lang w:eastAsia="en-AU"/>
        </w:rPr>
        <w:t>It is only in the</w:t>
      </w:r>
      <w:r w:rsidR="006435C8">
        <w:rPr>
          <w:lang w:eastAsia="en-AU"/>
        </w:rPr>
        <w:t xml:space="preserve"> Northern Territory </w:t>
      </w:r>
      <w:r w:rsidR="008A040D" w:rsidRPr="00EC5565">
        <w:rPr>
          <w:lang w:eastAsia="en-AU"/>
        </w:rPr>
        <w:t xml:space="preserve">that </w:t>
      </w:r>
      <w:r w:rsidR="00901A4F" w:rsidRPr="00901A4F">
        <w:rPr>
          <w:lang w:eastAsia="en-AU"/>
        </w:rPr>
        <w:t>income management</w:t>
      </w:r>
      <w:r w:rsidR="008A040D" w:rsidRPr="00EC5565">
        <w:rPr>
          <w:lang w:eastAsia="en-AU"/>
        </w:rPr>
        <w:t xml:space="preserve"> is being implemented as a general measure applicable to all income support recipients who have been on certain payments for a specified duration</w:t>
      </w:r>
      <w:r w:rsidR="00901A4F" w:rsidRPr="00901A4F">
        <w:rPr>
          <w:lang w:eastAsia="en-AU"/>
        </w:rPr>
        <w:t xml:space="preserve">, </w:t>
      </w:r>
      <w:r w:rsidR="00BF2C52">
        <w:rPr>
          <w:lang w:eastAsia="en-AU"/>
        </w:rPr>
        <w:t>in addition to being targeted at</w:t>
      </w:r>
      <w:r w:rsidR="00901A4F" w:rsidRPr="00901A4F">
        <w:rPr>
          <w:lang w:eastAsia="en-AU"/>
        </w:rPr>
        <w:t xml:space="preserve"> individuals </w:t>
      </w:r>
      <w:r w:rsidR="00BF2C52">
        <w:rPr>
          <w:lang w:eastAsia="en-AU"/>
        </w:rPr>
        <w:t>actually identified as</w:t>
      </w:r>
      <w:r w:rsidR="00901A4F" w:rsidRPr="00901A4F">
        <w:rPr>
          <w:lang w:eastAsia="en-AU"/>
        </w:rPr>
        <w:t xml:space="preserve"> vulnerable or as part of child protection measures</w:t>
      </w:r>
      <w:r w:rsidR="008A040D" w:rsidRPr="00EC5565">
        <w:rPr>
          <w:lang w:eastAsia="en-AU"/>
        </w:rPr>
        <w:t>.</w:t>
      </w:r>
      <w:r w:rsidR="0029753C" w:rsidRPr="00EC5565">
        <w:rPr>
          <w:lang w:eastAsia="en-AU"/>
        </w:rPr>
        <w:t xml:space="preserve"> </w:t>
      </w:r>
      <w:r w:rsidR="008A040D" w:rsidRPr="00EC5565">
        <w:rPr>
          <w:lang w:eastAsia="en-AU"/>
        </w:rPr>
        <w:t xml:space="preserve">The </w:t>
      </w:r>
      <w:r w:rsidR="006435C8">
        <w:rPr>
          <w:lang w:eastAsia="en-AU"/>
        </w:rPr>
        <w:t>Northern Territory,</w:t>
      </w:r>
      <w:r w:rsidR="00901A4F" w:rsidRPr="00901A4F">
        <w:rPr>
          <w:lang w:eastAsia="en-AU"/>
        </w:rPr>
        <w:t xml:space="preserve"> along with </w:t>
      </w:r>
      <w:r w:rsidR="008A040D" w:rsidRPr="00EC5565">
        <w:rPr>
          <w:lang w:eastAsia="en-AU"/>
        </w:rPr>
        <w:t>a number of the trial</w:t>
      </w:r>
      <w:r w:rsidR="00901A4F" w:rsidRPr="00901A4F">
        <w:rPr>
          <w:lang w:eastAsia="en-AU"/>
        </w:rPr>
        <w:t xml:space="preserve"> areas, has</w:t>
      </w:r>
      <w:r w:rsidR="008A040D" w:rsidRPr="00EC5565">
        <w:rPr>
          <w:lang w:eastAsia="en-AU"/>
        </w:rPr>
        <w:t xml:space="preserve"> provision for people to volunteer to be income</w:t>
      </w:r>
      <w:r w:rsidR="00901A4F" w:rsidRPr="00901A4F">
        <w:rPr>
          <w:lang w:eastAsia="en-AU"/>
        </w:rPr>
        <w:t xml:space="preserve"> managed</w:t>
      </w:r>
      <w:r w:rsidR="008A040D" w:rsidRPr="00EC5565">
        <w:rPr>
          <w:lang w:eastAsia="en-AU"/>
        </w:rPr>
        <w:t>.</w:t>
      </w:r>
    </w:p>
    <w:p w:rsidR="0029753C" w:rsidRPr="005911E2" w:rsidRDefault="0029753C" w:rsidP="00616B0F">
      <w:pPr>
        <w:pStyle w:val="Heading2"/>
      </w:pPr>
      <w:bookmarkStart w:id="40" w:name="_Toc328601455"/>
      <w:bookmarkStart w:id="41" w:name="_Toc329870337"/>
      <w:bookmarkStart w:id="42" w:name="_Toc335915723"/>
      <w:r w:rsidRPr="005911E2">
        <w:lastRenderedPageBreak/>
        <w:t>Background to the evaluation</w:t>
      </w:r>
      <w:bookmarkEnd w:id="40"/>
      <w:bookmarkEnd w:id="41"/>
      <w:bookmarkEnd w:id="42"/>
    </w:p>
    <w:p w:rsidR="0029753C" w:rsidRPr="005911E2" w:rsidRDefault="0029753C" w:rsidP="0029753C">
      <w:pPr>
        <w:rPr>
          <w:lang w:eastAsia="en-AU"/>
        </w:rPr>
      </w:pPr>
      <w:r w:rsidRPr="005911E2">
        <w:rPr>
          <w:lang w:eastAsia="en-AU"/>
        </w:rPr>
        <w:t xml:space="preserve">In May 2010 the </w:t>
      </w:r>
      <w:r w:rsidR="00564D39">
        <w:rPr>
          <w:lang w:eastAsia="en-AU"/>
        </w:rPr>
        <w:t xml:space="preserve">Australian Government </w:t>
      </w:r>
      <w:r w:rsidRPr="005911E2">
        <w:rPr>
          <w:lang w:eastAsia="en-AU"/>
        </w:rPr>
        <w:t>Department of Families, Housing, Community Services and Indigenous Affairs (FaHCSIA) commissioned a consortium consisting of the Social Policy Research Centre (</w:t>
      </w:r>
      <w:r w:rsidR="00AB1845">
        <w:rPr>
          <w:lang w:eastAsia="en-AU"/>
        </w:rPr>
        <w:t xml:space="preserve">SPRC) at the </w:t>
      </w:r>
      <w:r w:rsidRPr="005911E2">
        <w:rPr>
          <w:lang w:eastAsia="en-AU"/>
        </w:rPr>
        <w:t xml:space="preserve">University of New South Wales, the Australian National University and the Australian Institute of Family Studies </w:t>
      </w:r>
      <w:r w:rsidR="00AB1845">
        <w:rPr>
          <w:lang w:eastAsia="en-AU"/>
        </w:rPr>
        <w:t xml:space="preserve">(AIFS) </w:t>
      </w:r>
      <w:r w:rsidRPr="005911E2">
        <w:rPr>
          <w:lang w:eastAsia="en-AU"/>
        </w:rPr>
        <w:t>to develop an overarching framework for the evaluation of NIM to guide evaluation activities over the period 2010-14. Following a competitive tendering process, this consortium was then commissioned by FaHCSIA to undertaken the evaluation of NIM.</w:t>
      </w:r>
    </w:p>
    <w:p w:rsidR="0029753C" w:rsidRPr="005911E2" w:rsidRDefault="0029753C" w:rsidP="0029753C">
      <w:pPr>
        <w:rPr>
          <w:lang w:eastAsia="en-AU"/>
        </w:rPr>
      </w:pPr>
      <w:r w:rsidRPr="005911E2">
        <w:rPr>
          <w:lang w:eastAsia="en-AU"/>
        </w:rPr>
        <w:t xml:space="preserve">This first stage evaluation report considers how effectively the measure was rolled out, how the transition from the NTER to NIM was managed and initial data on the impacts of NIM. </w:t>
      </w:r>
    </w:p>
    <w:p w:rsidR="0029753C" w:rsidRPr="005911E2" w:rsidRDefault="0029753C" w:rsidP="0029753C">
      <w:pPr>
        <w:rPr>
          <w:lang w:eastAsia="en-AU"/>
        </w:rPr>
      </w:pPr>
      <w:r w:rsidRPr="005911E2">
        <w:rPr>
          <w:lang w:eastAsia="en-AU"/>
        </w:rPr>
        <w:t xml:space="preserve">As described below, the rollout of NIM commenced in August 2010 and the transition from NTER IM to NIM was </w:t>
      </w:r>
      <w:r w:rsidR="00114E9D">
        <w:rPr>
          <w:lang w:eastAsia="en-AU"/>
        </w:rPr>
        <w:t xml:space="preserve">effectively </w:t>
      </w:r>
      <w:r w:rsidRPr="005911E2">
        <w:rPr>
          <w:lang w:eastAsia="en-AU"/>
        </w:rPr>
        <w:t>completed by July 2011. Thus the first stage evaluation covers the initial implementation period.</w:t>
      </w:r>
    </w:p>
    <w:p w:rsidR="0029753C" w:rsidRPr="005911E2" w:rsidRDefault="0029753C" w:rsidP="0029753C">
      <w:pPr>
        <w:rPr>
          <w:lang w:eastAsia="en-AU"/>
        </w:rPr>
      </w:pPr>
      <w:r w:rsidRPr="005911E2">
        <w:rPr>
          <w:lang w:eastAsia="en-AU"/>
        </w:rPr>
        <w:t>This report combines analysis of information relating to the baseline and early implementation of the NIM program.</w:t>
      </w:r>
      <w:r w:rsidRPr="005911E2">
        <w:rPr>
          <w:vertAlign w:val="superscript"/>
          <w:lang w:eastAsia="en-AU"/>
        </w:rPr>
        <w:footnoteReference w:id="7"/>
      </w:r>
      <w:r w:rsidRPr="005911E2">
        <w:rPr>
          <w:lang w:eastAsia="en-AU"/>
        </w:rPr>
        <w:t xml:space="preserve"> Importantly, the report also contains the views of Indigenous and non-Indigenous people who receive income support and who are subject to (or have been subject to) one or more NIM measures. </w:t>
      </w:r>
    </w:p>
    <w:p w:rsidR="0029753C" w:rsidRPr="005911E2" w:rsidRDefault="0029753C" w:rsidP="0029753C">
      <w:pPr>
        <w:rPr>
          <w:lang w:eastAsia="en-AU"/>
        </w:rPr>
      </w:pPr>
      <w:r w:rsidRPr="005911E2">
        <w:rPr>
          <w:lang w:eastAsia="en-AU"/>
        </w:rPr>
        <w:t>It must be recognised that much of the data in this report is not an actual report of baseline conditions in that the survey data from stakeholders and people subject to NIM relies on their recollection of how things were before the introduction of NIM</w:t>
      </w:r>
      <w:r w:rsidR="00002BD4">
        <w:rPr>
          <w:lang w:eastAsia="en-AU"/>
        </w:rPr>
        <w:t>,</w:t>
      </w:r>
      <w:r w:rsidRPr="005911E2">
        <w:rPr>
          <w:lang w:eastAsia="en-AU"/>
        </w:rPr>
        <w:t xml:space="preserve"> rather than using data collected prior to the introduction of the measure. </w:t>
      </w:r>
      <w:r w:rsidR="00BB552A" w:rsidRPr="005911E2">
        <w:rPr>
          <w:lang w:eastAsia="en-AU"/>
        </w:rPr>
        <w:t>Th</w:t>
      </w:r>
      <w:r w:rsidR="00BB552A">
        <w:rPr>
          <w:lang w:eastAsia="en-AU"/>
        </w:rPr>
        <w:t>is</w:t>
      </w:r>
      <w:r w:rsidR="00BB552A" w:rsidRPr="005911E2">
        <w:rPr>
          <w:lang w:eastAsia="en-AU"/>
        </w:rPr>
        <w:t xml:space="preserve"> </w:t>
      </w:r>
      <w:r w:rsidRPr="005911E2">
        <w:rPr>
          <w:lang w:eastAsia="en-AU"/>
        </w:rPr>
        <w:t xml:space="preserve">data </w:t>
      </w:r>
      <w:r w:rsidR="00BB552A">
        <w:rPr>
          <w:lang w:eastAsia="en-AU"/>
        </w:rPr>
        <w:t xml:space="preserve">is </w:t>
      </w:r>
      <w:r w:rsidRPr="005911E2">
        <w:rPr>
          <w:lang w:eastAsia="en-AU"/>
        </w:rPr>
        <w:t>therefore potentially subject to recall bias</w:t>
      </w:r>
      <w:r w:rsidR="00862E22">
        <w:rPr>
          <w:lang w:eastAsia="en-AU"/>
        </w:rPr>
        <w:t>.</w:t>
      </w:r>
      <w:r w:rsidRPr="005911E2">
        <w:rPr>
          <w:rFonts w:ascii="Verdana" w:hAnsi="Verdana"/>
          <w:vertAlign w:val="superscript"/>
          <w:lang w:eastAsia="en-AU"/>
        </w:rPr>
        <w:footnoteReference w:id="8"/>
      </w:r>
      <w:r w:rsidRPr="005911E2">
        <w:rPr>
          <w:lang w:eastAsia="en-AU"/>
        </w:rPr>
        <w:t xml:space="preserve"> The administrative data, in contrast, does reflect actual changes in receipt of income support and </w:t>
      </w:r>
      <w:r w:rsidR="00862E22">
        <w:rPr>
          <w:lang w:eastAsia="en-AU"/>
        </w:rPr>
        <w:t>impact</w:t>
      </w:r>
      <w:r w:rsidR="00862E22" w:rsidRPr="005911E2">
        <w:rPr>
          <w:lang w:eastAsia="en-AU"/>
        </w:rPr>
        <w:t xml:space="preserve"> </w:t>
      </w:r>
      <w:r w:rsidRPr="005911E2">
        <w:rPr>
          <w:lang w:eastAsia="en-AU"/>
        </w:rPr>
        <w:t xml:space="preserve">of NIM over time in the </w:t>
      </w:r>
      <w:r w:rsidR="006435C8">
        <w:rPr>
          <w:lang w:eastAsia="en-AU"/>
        </w:rPr>
        <w:t>Northern Territory.</w:t>
      </w:r>
      <w:r w:rsidR="00B62B2D">
        <w:rPr>
          <w:lang w:eastAsia="en-AU"/>
        </w:rPr>
        <w:t xml:space="preserve"> </w:t>
      </w:r>
      <w:r w:rsidRPr="00862E22">
        <w:rPr>
          <w:lang w:eastAsia="en-AU"/>
        </w:rPr>
        <w:t xml:space="preserve">The evaluation has been guided by the Evaluation </w:t>
      </w:r>
      <w:r w:rsidR="005911E2" w:rsidRPr="00862E22">
        <w:rPr>
          <w:lang w:eastAsia="en-AU"/>
        </w:rPr>
        <w:t xml:space="preserve">Framework </w:t>
      </w:r>
      <w:r w:rsidR="00862E22" w:rsidRPr="00862E22">
        <w:rPr>
          <w:lang w:eastAsia="en-AU"/>
        </w:rPr>
        <w:t xml:space="preserve">for New Income Management </w:t>
      </w:r>
      <w:r w:rsidR="005911E2" w:rsidRPr="00862E22">
        <w:rPr>
          <w:lang w:eastAsia="en-AU"/>
        </w:rPr>
        <w:t>(</w:t>
      </w:r>
      <w:r w:rsidRPr="00862E22">
        <w:rPr>
          <w:lang w:eastAsia="en-AU"/>
        </w:rPr>
        <w:t>SPRC</w:t>
      </w:r>
      <w:r w:rsidR="00862E22" w:rsidRPr="00862E22">
        <w:rPr>
          <w:lang w:eastAsia="en-AU"/>
        </w:rPr>
        <w:t xml:space="preserve"> &amp; AIFS</w:t>
      </w:r>
      <w:r w:rsidRPr="00862E22">
        <w:rPr>
          <w:lang w:eastAsia="en-AU"/>
        </w:rPr>
        <w:t>, 2010)</w:t>
      </w:r>
      <w:r w:rsidR="00862E22">
        <w:rPr>
          <w:lang w:eastAsia="en-AU"/>
        </w:rPr>
        <w:t xml:space="preserve"> </w:t>
      </w:r>
      <w:r w:rsidRPr="00862E22">
        <w:rPr>
          <w:lang w:eastAsia="en-AU"/>
        </w:rPr>
        <w:t>as agreed with FaHCSIA</w:t>
      </w:r>
      <w:r w:rsidR="00862E22">
        <w:rPr>
          <w:lang w:eastAsia="en-AU"/>
        </w:rPr>
        <w:t>; the evaluation</w:t>
      </w:r>
      <w:r w:rsidRPr="00862E22">
        <w:rPr>
          <w:lang w:eastAsia="en-AU"/>
        </w:rPr>
        <w:t xml:space="preserve"> has generally been undertaken as </w:t>
      </w:r>
      <w:r w:rsidR="00AB1845">
        <w:rPr>
          <w:lang w:eastAsia="en-AU"/>
        </w:rPr>
        <w:t>described</w:t>
      </w:r>
      <w:r w:rsidRPr="00862E22">
        <w:rPr>
          <w:lang w:eastAsia="en-AU"/>
        </w:rPr>
        <w:t xml:space="preserve"> in the framework.</w:t>
      </w:r>
      <w:r w:rsidRPr="00862E22">
        <w:rPr>
          <w:vertAlign w:val="superscript"/>
        </w:rPr>
        <w:footnoteReference w:id="9"/>
      </w:r>
    </w:p>
    <w:p w:rsidR="0029753C" w:rsidRPr="005911E2" w:rsidRDefault="0029753C" w:rsidP="0029753C">
      <w:pPr>
        <w:rPr>
          <w:lang w:eastAsia="en-AU"/>
        </w:rPr>
      </w:pPr>
      <w:r w:rsidRPr="005911E2">
        <w:rPr>
          <w:lang w:eastAsia="en-AU"/>
        </w:rPr>
        <w:t xml:space="preserve">The evaluation consists of a number of components, described in detail in Chapter 3. </w:t>
      </w:r>
      <w:r w:rsidR="008A040D" w:rsidRPr="00EC5565">
        <w:rPr>
          <w:lang w:eastAsia="en-AU"/>
        </w:rPr>
        <w:t>Our overall approach to analysis is to use the various methods of enquiry to triangulate each other so that findings can be cross validated across different methodologies and different participant groups.</w:t>
      </w:r>
      <w:r w:rsidRPr="005911E2">
        <w:rPr>
          <w:lang w:eastAsia="en-AU"/>
        </w:rPr>
        <w:t xml:space="preserve"> </w:t>
      </w:r>
    </w:p>
    <w:p w:rsidR="0029753C" w:rsidRPr="005911E2" w:rsidRDefault="0029753C" w:rsidP="00616B0F">
      <w:pPr>
        <w:pStyle w:val="Heading2"/>
      </w:pPr>
      <w:bookmarkStart w:id="43" w:name="_Toc321225089"/>
      <w:bookmarkStart w:id="44" w:name="_Toc321254433"/>
      <w:bookmarkStart w:id="45" w:name="_Toc321761575"/>
      <w:bookmarkStart w:id="46" w:name="_Toc328601456"/>
      <w:bookmarkStart w:id="47" w:name="_Toc329870338"/>
      <w:bookmarkStart w:id="48" w:name="_Toc335915724"/>
      <w:r w:rsidRPr="005911E2">
        <w:lastRenderedPageBreak/>
        <w:t>Evaluation</w:t>
      </w:r>
      <w:r w:rsidR="004069C0">
        <w:t>:</w:t>
      </w:r>
      <w:r w:rsidR="007A148C">
        <w:t xml:space="preserve"> a</w:t>
      </w:r>
      <w:r w:rsidRPr="005911E2">
        <w:t xml:space="preserve">ims and </w:t>
      </w:r>
      <w:r w:rsidR="00E8695F">
        <w:t>q</w:t>
      </w:r>
      <w:r w:rsidRPr="005911E2">
        <w:t>uestions</w:t>
      </w:r>
      <w:bookmarkEnd w:id="43"/>
      <w:bookmarkEnd w:id="44"/>
      <w:bookmarkEnd w:id="45"/>
      <w:bookmarkEnd w:id="46"/>
      <w:bookmarkEnd w:id="47"/>
      <w:bookmarkEnd w:id="48"/>
    </w:p>
    <w:p w:rsidR="0029753C" w:rsidRPr="005911E2" w:rsidRDefault="0029753C" w:rsidP="0029753C">
      <w:pPr>
        <w:rPr>
          <w:lang w:eastAsia="en-AU"/>
        </w:rPr>
      </w:pPr>
      <w:r w:rsidRPr="005911E2">
        <w:rPr>
          <w:lang w:eastAsia="en-AU"/>
        </w:rPr>
        <w:t>The Terms of Reference for the Evaluation are to:</w:t>
      </w:r>
    </w:p>
    <w:p w:rsidR="00BF0F6E" w:rsidRDefault="0029753C" w:rsidP="00851FBD">
      <w:pPr>
        <w:pStyle w:val="ListBullet"/>
      </w:pPr>
      <w:r w:rsidRPr="005911E2">
        <w:t>provide evidence on the impact on NIM on those who are affected</w:t>
      </w:r>
    </w:p>
    <w:p w:rsidR="00BF0F6E" w:rsidRDefault="0029753C" w:rsidP="00851FBD">
      <w:pPr>
        <w:pStyle w:val="ListBullet"/>
      </w:pPr>
      <w:r w:rsidRPr="005911E2">
        <w:t>assess whether the reforms were implemented effectively</w:t>
      </w:r>
    </w:p>
    <w:p w:rsidR="00E14BDF" w:rsidRDefault="0029753C" w:rsidP="00851FBD">
      <w:pPr>
        <w:pStyle w:val="ListBullet"/>
      </w:pPr>
      <w:r w:rsidRPr="005911E2">
        <w:t xml:space="preserve">understand whether NIM is a cost-effective </w:t>
      </w:r>
      <w:r w:rsidR="00E14BDF">
        <w:t>model so as to</w:t>
      </w:r>
    </w:p>
    <w:p w:rsidR="00BF0F6E" w:rsidRDefault="0029753C" w:rsidP="00851FBD">
      <w:pPr>
        <w:pStyle w:val="ListBullet"/>
      </w:pPr>
      <w:r w:rsidRPr="005911E2">
        <w:t>inform future government decision making and social policy formulation for both the wider and the Indigenous communities.</w:t>
      </w:r>
      <w:r w:rsidR="00DD1E12" w:rsidRPr="00DD1E12">
        <w:rPr>
          <w:vertAlign w:val="superscript"/>
          <w:lang w:eastAsia="en-AU"/>
        </w:rPr>
        <w:t xml:space="preserve"> </w:t>
      </w:r>
      <w:r w:rsidR="00DD1E12" w:rsidRPr="005911E2">
        <w:rPr>
          <w:vertAlign w:val="superscript"/>
          <w:lang w:eastAsia="en-AU"/>
        </w:rPr>
        <w:footnoteReference w:id="10"/>
      </w:r>
      <w:r w:rsidRPr="005911E2">
        <w:t xml:space="preserve"> </w:t>
      </w:r>
    </w:p>
    <w:p w:rsidR="0029753C" w:rsidRPr="005911E2" w:rsidRDefault="0029753C" w:rsidP="0029753C">
      <w:pPr>
        <w:rPr>
          <w:lang w:eastAsia="en-AU"/>
        </w:rPr>
      </w:pPr>
      <w:r w:rsidRPr="005911E2">
        <w:rPr>
          <w:lang w:eastAsia="en-AU"/>
        </w:rPr>
        <w:t xml:space="preserve">This report is largely concerned with the first two terms of reference, although we would anticipate that it will contribute to the fourth. </w:t>
      </w:r>
    </w:p>
    <w:p w:rsidR="0029753C" w:rsidRPr="005911E2" w:rsidRDefault="0029753C" w:rsidP="0029753C">
      <w:pPr>
        <w:rPr>
          <w:lang w:eastAsia="en-AU"/>
        </w:rPr>
      </w:pPr>
      <w:r w:rsidRPr="005911E2">
        <w:rPr>
          <w:lang w:eastAsia="en-AU"/>
        </w:rPr>
        <w:t xml:space="preserve">The third </w:t>
      </w:r>
      <w:r w:rsidR="00002BD4">
        <w:rPr>
          <w:lang w:eastAsia="en-AU"/>
        </w:rPr>
        <w:t xml:space="preserve">of the </w:t>
      </w:r>
      <w:r w:rsidRPr="005911E2">
        <w:rPr>
          <w:lang w:eastAsia="en-AU"/>
        </w:rPr>
        <w:t>terms of reference has not been considered at this stage. FaHCSIA have requested that this be undertaken in the later stages of the evaluation when they believe they will have a better appreciation of the full costs of program implementation and of the separate cost of establishment and operation.</w:t>
      </w:r>
    </w:p>
    <w:p w:rsidR="0029753C" w:rsidRPr="005911E2" w:rsidRDefault="0029753C" w:rsidP="0029753C">
      <w:pPr>
        <w:rPr>
          <w:lang w:eastAsia="en-AU"/>
        </w:rPr>
      </w:pPr>
      <w:r w:rsidRPr="005911E2">
        <w:rPr>
          <w:lang w:eastAsia="en-AU"/>
        </w:rPr>
        <w:t xml:space="preserve">In order to evaluate NIM it is important to clearly articulate the objectives of the policy and the criteria by which the success or failure of the policy will be evaluated. It is also important to clearly articulate the program logic (also referred to as theory of change) which explains the causal mechanisms by which the policy or program is expected to achieve its objectives. </w:t>
      </w:r>
    </w:p>
    <w:p w:rsidR="0029753C" w:rsidRPr="005911E2" w:rsidRDefault="0029753C" w:rsidP="0029753C">
      <w:pPr>
        <w:rPr>
          <w:lang w:eastAsia="en-AU"/>
        </w:rPr>
      </w:pPr>
      <w:r w:rsidRPr="005911E2">
        <w:rPr>
          <w:lang w:eastAsia="en-AU"/>
        </w:rPr>
        <w:t xml:space="preserve">The objectives of NIM and the associated program logic have been used to develop specific evaluation questions against which NIM is to be evaluated. There are a series of broad overarching research questions across all four streams of NIM. There are also research questions for specific streams of the NIM model. The program logic for NIM </w:t>
      </w:r>
      <w:r w:rsidR="005911E2" w:rsidRPr="005911E2">
        <w:rPr>
          <w:lang w:eastAsia="en-AU"/>
        </w:rPr>
        <w:t>is</w:t>
      </w:r>
      <w:r w:rsidRPr="005911E2">
        <w:rPr>
          <w:lang w:eastAsia="en-AU"/>
        </w:rPr>
        <w:t xml:space="preserve"> set out in more detail in the Evaluation Framework (SPRC</w:t>
      </w:r>
      <w:r w:rsidR="00DD1E12">
        <w:rPr>
          <w:lang w:eastAsia="en-AU"/>
        </w:rPr>
        <w:t xml:space="preserve"> &amp; AIFS</w:t>
      </w:r>
      <w:r w:rsidRPr="005911E2">
        <w:rPr>
          <w:lang w:eastAsia="en-AU"/>
        </w:rPr>
        <w:t>, 2010).</w:t>
      </w:r>
    </w:p>
    <w:p w:rsidR="0029753C" w:rsidRPr="005911E2" w:rsidRDefault="0029753C" w:rsidP="00BD6DFD">
      <w:pPr>
        <w:pStyle w:val="Heading3"/>
      </w:pPr>
      <w:r w:rsidRPr="005911E2">
        <w:t>The evaluation framework</w:t>
      </w:r>
    </w:p>
    <w:p w:rsidR="0029753C" w:rsidRPr="005911E2" w:rsidRDefault="0029753C" w:rsidP="0029753C">
      <w:pPr>
        <w:pStyle w:val="BodyText1"/>
        <w:rPr>
          <w:rFonts w:cs="Arial"/>
        </w:rPr>
      </w:pPr>
      <w:r w:rsidRPr="005911E2">
        <w:rPr>
          <w:rFonts w:cs="Arial"/>
        </w:rPr>
        <w:t xml:space="preserve">The structure of the evaluation comprises two </w:t>
      </w:r>
      <w:r w:rsidR="005911E2" w:rsidRPr="005911E2">
        <w:rPr>
          <w:rFonts w:cs="Arial"/>
        </w:rPr>
        <w:t>overarching sections</w:t>
      </w:r>
      <w:r w:rsidRPr="005911E2">
        <w:rPr>
          <w:rFonts w:cs="Arial"/>
        </w:rPr>
        <w:t>: process evaluation – concerning the effectiveness of implementation and administration; and outcomes</w:t>
      </w:r>
      <w:r w:rsidR="00361954">
        <w:rPr>
          <w:rFonts w:cs="Arial"/>
        </w:rPr>
        <w:t>. The evaluation also includes</w:t>
      </w:r>
      <w:r w:rsidR="00892C83">
        <w:rPr>
          <w:rFonts w:cs="Arial"/>
        </w:rPr>
        <w:t xml:space="preserve"> </w:t>
      </w:r>
      <w:r w:rsidRPr="005911E2">
        <w:rPr>
          <w:rFonts w:cs="Arial"/>
        </w:rPr>
        <w:t>a series of more specific evaluation tasks related to individual measures</w:t>
      </w:r>
      <w:r w:rsidR="005911E2" w:rsidRPr="005911E2">
        <w:rPr>
          <w:rFonts w:cs="Arial"/>
        </w:rPr>
        <w:t>.</w:t>
      </w:r>
    </w:p>
    <w:p w:rsidR="0029753C" w:rsidRPr="005911E2" w:rsidRDefault="0029753C" w:rsidP="007B4471">
      <w:pPr>
        <w:pStyle w:val="Heading4"/>
      </w:pPr>
      <w:r w:rsidRPr="005911E2">
        <w:t>Overarching questions</w:t>
      </w:r>
    </w:p>
    <w:p w:rsidR="0029753C" w:rsidRPr="005911E2" w:rsidRDefault="0029753C" w:rsidP="0029753C">
      <w:pPr>
        <w:pStyle w:val="Heading7"/>
      </w:pPr>
      <w:r w:rsidRPr="005911E2">
        <w:t xml:space="preserve">Process evaluation </w:t>
      </w:r>
    </w:p>
    <w:p w:rsidR="0029753C" w:rsidRPr="005911E2" w:rsidRDefault="0029753C" w:rsidP="000C7855">
      <w:pPr>
        <w:pStyle w:val="BodyText1"/>
      </w:pPr>
      <w:r w:rsidRPr="005911E2">
        <w:t>1.</w:t>
      </w:r>
      <w:r w:rsidRPr="005911E2">
        <w:tab/>
        <w:t xml:space="preserve">How effectively has NIM been administered and implemented? </w:t>
      </w:r>
    </w:p>
    <w:p w:rsidR="0029753C" w:rsidRPr="005911E2" w:rsidRDefault="0029753C" w:rsidP="00911315">
      <w:pPr>
        <w:pStyle w:val="BodyText1"/>
        <w:ind w:left="2727" w:hanging="567"/>
        <w:rPr>
          <w:rFonts w:cs="Arial"/>
        </w:rPr>
      </w:pPr>
      <w:r w:rsidRPr="005911E2">
        <w:rPr>
          <w:rFonts w:cs="Arial"/>
        </w:rPr>
        <w:t>(a)</w:t>
      </w:r>
      <w:r w:rsidRPr="005911E2">
        <w:rPr>
          <w:rFonts w:cs="Arial"/>
        </w:rPr>
        <w:tab/>
        <w:t xml:space="preserve">What have been the resource implications of implementing the program? </w:t>
      </w:r>
    </w:p>
    <w:p w:rsidR="0029753C" w:rsidRPr="005911E2" w:rsidRDefault="0029753C" w:rsidP="00911315">
      <w:pPr>
        <w:pStyle w:val="BodyText1"/>
        <w:ind w:left="2727" w:hanging="567"/>
        <w:rPr>
          <w:rFonts w:cs="Arial"/>
        </w:rPr>
      </w:pPr>
      <w:r w:rsidRPr="005911E2">
        <w:rPr>
          <w:rFonts w:cs="Arial"/>
        </w:rPr>
        <w:t>(b)</w:t>
      </w:r>
      <w:r w:rsidRPr="005911E2">
        <w:rPr>
          <w:rFonts w:cs="Arial"/>
        </w:rPr>
        <w:tab/>
        <w:t xml:space="preserve">Have suitable individuals and groups been targeted by NIM? </w:t>
      </w:r>
    </w:p>
    <w:p w:rsidR="0029753C" w:rsidRPr="005911E2" w:rsidRDefault="0029753C" w:rsidP="00911315">
      <w:pPr>
        <w:pStyle w:val="BodyText1"/>
        <w:ind w:left="2727" w:hanging="567"/>
        <w:rPr>
          <w:rFonts w:cs="Arial"/>
        </w:rPr>
      </w:pPr>
      <w:r w:rsidRPr="005911E2">
        <w:rPr>
          <w:rFonts w:cs="Arial"/>
        </w:rPr>
        <w:lastRenderedPageBreak/>
        <w:t>(c)</w:t>
      </w:r>
      <w:r w:rsidRPr="005911E2">
        <w:rPr>
          <w:rFonts w:cs="Arial"/>
        </w:rPr>
        <w:tab/>
        <w:t xml:space="preserve">Have people been able to transfer into and out of NIM appropriately (e.g. choosing to transfer from income management under NTER to </w:t>
      </w:r>
      <w:r w:rsidR="002B5A5C">
        <w:rPr>
          <w:rFonts w:cs="Arial"/>
        </w:rPr>
        <w:t>Voluntary Income Management</w:t>
      </w:r>
      <w:r w:rsidRPr="005911E2">
        <w:rPr>
          <w:rFonts w:cs="Arial"/>
        </w:rPr>
        <w:t xml:space="preserve">)? </w:t>
      </w:r>
    </w:p>
    <w:p w:rsidR="0029753C" w:rsidRPr="005911E2" w:rsidRDefault="0029753C" w:rsidP="00911315">
      <w:pPr>
        <w:pStyle w:val="BodyText1"/>
        <w:ind w:left="2727" w:hanging="567"/>
        <w:rPr>
          <w:rFonts w:cs="Arial"/>
        </w:rPr>
      </w:pPr>
      <w:r w:rsidRPr="005911E2">
        <w:rPr>
          <w:rFonts w:cs="Arial"/>
        </w:rPr>
        <w:t>(d)</w:t>
      </w:r>
      <w:r w:rsidRPr="005911E2">
        <w:rPr>
          <w:rFonts w:cs="Arial"/>
        </w:rPr>
        <w:tab/>
        <w:t xml:space="preserve">What has been the effect of the introduction of NIM on service providers? </w:t>
      </w:r>
    </w:p>
    <w:p w:rsidR="0029753C" w:rsidRPr="005911E2" w:rsidRDefault="0029753C" w:rsidP="00911315">
      <w:pPr>
        <w:pStyle w:val="BodyText1"/>
        <w:ind w:left="2160" w:hanging="425"/>
        <w:rPr>
          <w:rFonts w:cs="Arial"/>
        </w:rPr>
      </w:pPr>
      <w:r w:rsidRPr="005911E2">
        <w:rPr>
          <w:rFonts w:cs="Arial"/>
        </w:rPr>
        <w:t xml:space="preserve">2. </w:t>
      </w:r>
      <w:r w:rsidRPr="005911E2">
        <w:rPr>
          <w:rFonts w:cs="Arial"/>
        </w:rPr>
        <w:tab/>
        <w:t xml:space="preserve">What is the profile of people on the different income management streams? </w:t>
      </w:r>
    </w:p>
    <w:p w:rsidR="0029753C" w:rsidRPr="005911E2" w:rsidRDefault="0029753C" w:rsidP="00911315">
      <w:pPr>
        <w:pStyle w:val="BodyText1"/>
        <w:ind w:left="2160" w:hanging="425"/>
        <w:rPr>
          <w:rFonts w:cs="Arial"/>
        </w:rPr>
      </w:pPr>
      <w:r w:rsidRPr="005911E2">
        <w:rPr>
          <w:rFonts w:cs="Arial"/>
        </w:rPr>
        <w:t xml:space="preserve">3. </w:t>
      </w:r>
      <w:r w:rsidRPr="005911E2">
        <w:rPr>
          <w:rFonts w:cs="Arial"/>
        </w:rPr>
        <w:tab/>
        <w:t xml:space="preserve">Have there been any initial process ‘teething issues’ that need to be addressed? </w:t>
      </w:r>
    </w:p>
    <w:p w:rsidR="0029753C" w:rsidRPr="005911E2" w:rsidRDefault="0029753C" w:rsidP="00911315">
      <w:pPr>
        <w:pStyle w:val="BodyText1"/>
        <w:ind w:left="2160" w:hanging="425"/>
        <w:rPr>
          <w:rFonts w:cs="Arial"/>
        </w:rPr>
      </w:pPr>
      <w:r w:rsidRPr="005911E2">
        <w:rPr>
          <w:rFonts w:cs="Arial"/>
        </w:rPr>
        <w:t xml:space="preserve">4. </w:t>
      </w:r>
      <w:r w:rsidRPr="005911E2">
        <w:rPr>
          <w:rFonts w:cs="Arial"/>
        </w:rPr>
        <w:tab/>
        <w:t>What are the views of participants in the NIM model and their families on the implementation of the program?</w:t>
      </w:r>
      <w:r w:rsidR="00BB14C5">
        <w:rPr>
          <w:rFonts w:cs="Arial"/>
        </w:rPr>
        <w:t xml:space="preserve"> </w:t>
      </w:r>
    </w:p>
    <w:p w:rsidR="0029753C" w:rsidRPr="005911E2" w:rsidRDefault="0029753C" w:rsidP="00911315">
      <w:pPr>
        <w:pStyle w:val="BodyText1"/>
        <w:ind w:left="2160" w:hanging="425"/>
        <w:rPr>
          <w:rFonts w:cs="Arial"/>
        </w:rPr>
      </w:pPr>
      <w:r w:rsidRPr="005911E2">
        <w:rPr>
          <w:rFonts w:cs="Arial"/>
        </w:rPr>
        <w:t xml:space="preserve">5. </w:t>
      </w:r>
      <w:r w:rsidRPr="005911E2">
        <w:rPr>
          <w:rFonts w:cs="Arial"/>
        </w:rPr>
        <w:tab/>
        <w:t>Has the measure been implemented in a non-discriminatory manner?</w:t>
      </w:r>
    </w:p>
    <w:p w:rsidR="0029753C" w:rsidRPr="005911E2" w:rsidRDefault="0029753C" w:rsidP="0029753C">
      <w:pPr>
        <w:pStyle w:val="Heading7"/>
      </w:pPr>
      <w:r w:rsidRPr="005911E2">
        <w:t xml:space="preserve">Outcome evaluation </w:t>
      </w:r>
    </w:p>
    <w:p w:rsidR="0029753C" w:rsidRPr="005911E2" w:rsidRDefault="0029753C" w:rsidP="00911315">
      <w:pPr>
        <w:pStyle w:val="BodyText1"/>
        <w:ind w:left="2228" w:hanging="425"/>
        <w:rPr>
          <w:rFonts w:cs="Arial"/>
        </w:rPr>
      </w:pPr>
      <w:r w:rsidRPr="005911E2">
        <w:rPr>
          <w:rFonts w:cs="Arial"/>
        </w:rPr>
        <w:t xml:space="preserve">1. </w:t>
      </w:r>
      <w:r w:rsidR="00911315">
        <w:rPr>
          <w:rFonts w:cs="Arial"/>
        </w:rPr>
        <w:tab/>
      </w:r>
      <w:r w:rsidRPr="005911E2">
        <w:rPr>
          <w:rFonts w:cs="Arial"/>
        </w:rPr>
        <w:t xml:space="preserve">What are the short, medium and longer-term impacts of income management on individuals, their families and communities? </w:t>
      </w:r>
    </w:p>
    <w:p w:rsidR="0029753C" w:rsidRPr="005911E2" w:rsidRDefault="0029753C" w:rsidP="00911315">
      <w:pPr>
        <w:pStyle w:val="BodyText1"/>
        <w:ind w:left="2795" w:hanging="567"/>
        <w:rPr>
          <w:rFonts w:cs="Arial"/>
        </w:rPr>
      </w:pPr>
      <w:r w:rsidRPr="005911E2">
        <w:rPr>
          <w:rFonts w:cs="Arial"/>
        </w:rPr>
        <w:t>(a)</w:t>
      </w:r>
      <w:r w:rsidRPr="005911E2">
        <w:rPr>
          <w:rFonts w:cs="Arial"/>
        </w:rPr>
        <w:tab/>
        <w:t>How do these effects differ for the various streams of the program (mainstream, voluntary, child protection, vulnerable)?</w:t>
      </w:r>
    </w:p>
    <w:p w:rsidR="0029753C" w:rsidRPr="005911E2" w:rsidRDefault="0029753C" w:rsidP="00911315">
      <w:pPr>
        <w:pStyle w:val="BodyText1"/>
        <w:ind w:left="2795" w:hanging="567"/>
        <w:rPr>
          <w:rFonts w:cs="Arial"/>
        </w:rPr>
      </w:pPr>
      <w:r w:rsidRPr="005911E2">
        <w:rPr>
          <w:rFonts w:cs="Arial"/>
        </w:rPr>
        <w:t>(b)</w:t>
      </w:r>
      <w:r w:rsidRPr="005911E2">
        <w:rPr>
          <w:rFonts w:cs="Arial"/>
        </w:rPr>
        <w:tab/>
        <w:t xml:space="preserve">Have there been changes in spending patterns, food and alcohol consumption, school attendance and harassment? </w:t>
      </w:r>
    </w:p>
    <w:p w:rsidR="0029753C" w:rsidRPr="005911E2" w:rsidRDefault="0029753C" w:rsidP="00911315">
      <w:pPr>
        <w:pStyle w:val="BodyText1"/>
        <w:ind w:left="2795" w:hanging="567"/>
        <w:rPr>
          <w:rFonts w:cs="Arial"/>
        </w:rPr>
      </w:pPr>
      <w:r w:rsidRPr="005911E2">
        <w:rPr>
          <w:rFonts w:cs="Arial"/>
        </w:rPr>
        <w:t>(c)</w:t>
      </w:r>
      <w:r w:rsidRPr="005911E2">
        <w:rPr>
          <w:rFonts w:cs="Arial"/>
        </w:rPr>
        <w:tab/>
        <w:t>What impact does NIM have on movement in and out of</w:t>
      </w:r>
      <w:r w:rsidR="006435C8">
        <w:rPr>
          <w:rFonts w:cs="Arial"/>
        </w:rPr>
        <w:t xml:space="preserve"> Northern Territory </w:t>
      </w:r>
      <w:r w:rsidRPr="005911E2">
        <w:rPr>
          <w:rFonts w:cs="Arial"/>
        </w:rPr>
        <w:t xml:space="preserve">among people on the measure? </w:t>
      </w:r>
    </w:p>
    <w:p w:rsidR="0029753C" w:rsidRPr="005911E2" w:rsidRDefault="0029753C" w:rsidP="00911315">
      <w:pPr>
        <w:pStyle w:val="BodyText1"/>
        <w:ind w:left="2795" w:hanging="567"/>
        <w:rPr>
          <w:rFonts w:cs="Arial"/>
        </w:rPr>
      </w:pPr>
      <w:r w:rsidRPr="005911E2">
        <w:rPr>
          <w:rFonts w:cs="Arial"/>
        </w:rPr>
        <w:t>(d)</w:t>
      </w:r>
      <w:r w:rsidRPr="005911E2">
        <w:rPr>
          <w:rFonts w:cs="Arial"/>
        </w:rPr>
        <w:tab/>
        <w:t>Has NIM contributed to changes in financial management, child health, alcohol abuse, violence and parenting (</w:t>
      </w:r>
      <w:r w:rsidR="00A97BF6" w:rsidRPr="005911E2">
        <w:rPr>
          <w:rFonts w:cs="Arial"/>
        </w:rPr>
        <w:t>i.e.</w:t>
      </w:r>
      <w:r w:rsidRPr="005911E2">
        <w:rPr>
          <w:rFonts w:cs="Arial"/>
        </w:rPr>
        <w:t xml:space="preserve"> reduced neglect)? </w:t>
      </w:r>
    </w:p>
    <w:p w:rsidR="0029753C" w:rsidRPr="005911E2" w:rsidRDefault="0029753C" w:rsidP="00911315">
      <w:pPr>
        <w:pStyle w:val="BodyText1"/>
        <w:ind w:left="2795" w:hanging="567"/>
        <w:rPr>
          <w:rFonts w:cs="Arial"/>
        </w:rPr>
      </w:pPr>
      <w:r w:rsidRPr="005911E2">
        <w:rPr>
          <w:rFonts w:cs="Arial"/>
        </w:rPr>
        <w:t>(e)</w:t>
      </w:r>
      <w:r w:rsidRPr="005911E2">
        <w:rPr>
          <w:rFonts w:cs="Arial"/>
        </w:rPr>
        <w:tab/>
        <w:t xml:space="preserve">Do the four streams achieve appropriate outcomes for their participants? </w:t>
      </w:r>
    </w:p>
    <w:p w:rsidR="0029753C" w:rsidRPr="005911E2" w:rsidRDefault="0029753C" w:rsidP="00911315">
      <w:pPr>
        <w:pStyle w:val="BodyText1"/>
        <w:ind w:left="2795" w:hanging="567"/>
        <w:rPr>
          <w:rFonts w:cs="Arial"/>
        </w:rPr>
      </w:pPr>
      <w:r w:rsidRPr="005911E2">
        <w:rPr>
          <w:rFonts w:cs="Arial"/>
        </w:rPr>
        <w:t>(f)</w:t>
      </w:r>
      <w:r w:rsidRPr="005911E2">
        <w:rPr>
          <w:rFonts w:cs="Arial"/>
        </w:rPr>
        <w:tab/>
        <w:t xml:space="preserve">Has NIM had any unintended consequences (positive or negative)? </w:t>
      </w:r>
    </w:p>
    <w:p w:rsidR="0029753C" w:rsidRPr="005911E2" w:rsidRDefault="0029753C" w:rsidP="00911315">
      <w:pPr>
        <w:pStyle w:val="BodyText1"/>
        <w:ind w:left="2795" w:hanging="567"/>
        <w:rPr>
          <w:rFonts w:cs="Arial"/>
        </w:rPr>
      </w:pPr>
      <w:r w:rsidRPr="005911E2">
        <w:rPr>
          <w:rFonts w:cs="Arial"/>
        </w:rPr>
        <w:t>(g)</w:t>
      </w:r>
      <w:r w:rsidRPr="005911E2">
        <w:rPr>
          <w:rFonts w:cs="Arial"/>
        </w:rPr>
        <w:tab/>
        <w:t>Are there differential effects for different groups? (including</w:t>
      </w:r>
      <w:r w:rsidR="00361954">
        <w:rPr>
          <w:rFonts w:cs="Arial"/>
        </w:rPr>
        <w:t xml:space="preserve"> </w:t>
      </w:r>
      <w:r w:rsidRPr="005911E2">
        <w:rPr>
          <w:rFonts w:cs="Arial"/>
        </w:rPr>
        <w:t>—</w:t>
      </w:r>
      <w:r w:rsidR="00361954">
        <w:rPr>
          <w:rFonts w:cs="Arial"/>
        </w:rPr>
        <w:t xml:space="preserve"> </w:t>
      </w:r>
      <w:r w:rsidRPr="005911E2">
        <w:rPr>
          <w:rFonts w:cs="Arial"/>
        </w:rPr>
        <w:t>if sufficient data is available</w:t>
      </w:r>
      <w:r w:rsidR="00361954">
        <w:rPr>
          <w:rFonts w:cs="Arial"/>
        </w:rPr>
        <w:t xml:space="preserve"> </w:t>
      </w:r>
      <w:r w:rsidRPr="005911E2">
        <w:rPr>
          <w:rFonts w:cs="Arial"/>
        </w:rPr>
        <w:t>—</w:t>
      </w:r>
      <w:r w:rsidR="00361954">
        <w:rPr>
          <w:rFonts w:cs="Arial"/>
        </w:rPr>
        <w:t xml:space="preserve"> </w:t>
      </w:r>
      <w:r w:rsidRPr="005911E2">
        <w:rPr>
          <w:rFonts w:cs="Arial"/>
        </w:rPr>
        <w:t xml:space="preserve">by Indigeneity, gender, location, age, educational status, work status, income, length of time on income support, marital status, family composition and diverse cultural and linguistic background) </w:t>
      </w:r>
    </w:p>
    <w:p w:rsidR="0029753C" w:rsidRPr="005911E2" w:rsidRDefault="0029753C" w:rsidP="00911315">
      <w:pPr>
        <w:pStyle w:val="BodyText1"/>
        <w:ind w:left="2795" w:hanging="567"/>
        <w:rPr>
          <w:rFonts w:cs="Arial"/>
        </w:rPr>
      </w:pPr>
      <w:r w:rsidRPr="005911E2">
        <w:rPr>
          <w:rFonts w:cs="Arial"/>
        </w:rPr>
        <w:t>(h)</w:t>
      </w:r>
      <w:r w:rsidRPr="005911E2">
        <w:rPr>
          <w:rFonts w:cs="Arial"/>
        </w:rPr>
        <w:tab/>
        <w:t xml:space="preserve">Does </w:t>
      </w:r>
      <w:r w:rsidR="00F878E4">
        <w:rPr>
          <w:rFonts w:cs="Arial"/>
        </w:rPr>
        <w:t>income management</w:t>
      </w:r>
      <w:r w:rsidRPr="005911E2">
        <w:rPr>
          <w:rFonts w:cs="Arial"/>
        </w:rPr>
        <w:t xml:space="preserve"> provide value for money by comparison with other interventions? </w:t>
      </w:r>
    </w:p>
    <w:p w:rsidR="0029753C" w:rsidRPr="005911E2" w:rsidRDefault="0029753C" w:rsidP="00911315">
      <w:pPr>
        <w:pStyle w:val="BodyText1"/>
        <w:ind w:left="2795" w:hanging="567"/>
        <w:rPr>
          <w:rFonts w:cs="Arial"/>
        </w:rPr>
      </w:pPr>
      <w:r w:rsidRPr="005911E2">
        <w:rPr>
          <w:rFonts w:cs="Arial"/>
        </w:rPr>
        <w:t>(i)</w:t>
      </w:r>
      <w:r w:rsidRPr="005911E2">
        <w:rPr>
          <w:rFonts w:cs="Arial"/>
        </w:rPr>
        <w:tab/>
        <w:t>Does NIM provide any benefits over and above targeted service provision?</w:t>
      </w:r>
    </w:p>
    <w:p w:rsidR="0029753C" w:rsidRPr="005911E2" w:rsidRDefault="0029753C" w:rsidP="007B4471">
      <w:pPr>
        <w:pStyle w:val="Heading4"/>
      </w:pPr>
      <w:r w:rsidRPr="005911E2">
        <w:lastRenderedPageBreak/>
        <w:t>Research questions for specific streams of the NIM model</w:t>
      </w:r>
    </w:p>
    <w:p w:rsidR="0029753C" w:rsidRPr="005911E2" w:rsidRDefault="0029753C" w:rsidP="0029753C">
      <w:pPr>
        <w:pStyle w:val="Heading7"/>
      </w:pPr>
      <w:r w:rsidRPr="005911E2">
        <w:t xml:space="preserve">Questions specific to the participation/parenting stream </w:t>
      </w:r>
    </w:p>
    <w:p w:rsidR="0029753C" w:rsidRPr="005911E2" w:rsidRDefault="0029753C" w:rsidP="00911315">
      <w:pPr>
        <w:pStyle w:val="BodyText1"/>
        <w:ind w:left="2228" w:hanging="425"/>
        <w:rPr>
          <w:rFonts w:cs="Arial"/>
        </w:rPr>
      </w:pPr>
      <w:r w:rsidRPr="005911E2">
        <w:rPr>
          <w:rFonts w:cs="Arial"/>
        </w:rPr>
        <w:t xml:space="preserve">1. </w:t>
      </w:r>
      <w:r w:rsidRPr="005911E2">
        <w:rPr>
          <w:rFonts w:cs="Arial"/>
        </w:rPr>
        <w:tab/>
        <w:t xml:space="preserve">Has NIM helped to facilitate better management of finances in the short, medium and </w:t>
      </w:r>
      <w:r w:rsidR="00D3222D">
        <w:rPr>
          <w:rFonts w:cs="Arial"/>
        </w:rPr>
        <w:t>long-term</w:t>
      </w:r>
      <w:r w:rsidRPr="005911E2">
        <w:rPr>
          <w:rFonts w:cs="Arial"/>
        </w:rPr>
        <w:t xml:space="preserve"> for people on income management and their families? </w:t>
      </w:r>
    </w:p>
    <w:p w:rsidR="0029753C" w:rsidRPr="005911E2" w:rsidRDefault="0029753C" w:rsidP="00911315">
      <w:pPr>
        <w:pStyle w:val="BodyText1"/>
        <w:ind w:left="2228" w:hanging="425"/>
        <w:rPr>
          <w:rFonts w:cs="Arial"/>
        </w:rPr>
      </w:pPr>
      <w:r w:rsidRPr="005911E2">
        <w:rPr>
          <w:rFonts w:cs="Arial"/>
        </w:rPr>
        <w:t xml:space="preserve">2. </w:t>
      </w:r>
      <w:r w:rsidRPr="005911E2">
        <w:rPr>
          <w:rFonts w:cs="Arial"/>
        </w:rPr>
        <w:tab/>
        <w:t xml:space="preserve">Has access to services or interventions improved for those families? </w:t>
      </w:r>
    </w:p>
    <w:p w:rsidR="0029753C" w:rsidRPr="005911E2" w:rsidRDefault="0029753C" w:rsidP="00911315">
      <w:pPr>
        <w:pStyle w:val="BodyText1"/>
        <w:ind w:left="2228" w:hanging="425"/>
        <w:rPr>
          <w:rFonts w:cs="Arial"/>
        </w:rPr>
      </w:pPr>
      <w:r w:rsidRPr="005911E2">
        <w:rPr>
          <w:rFonts w:cs="Arial"/>
        </w:rPr>
        <w:t xml:space="preserve">3. </w:t>
      </w:r>
      <w:r w:rsidRPr="005911E2">
        <w:rPr>
          <w:rFonts w:cs="Arial"/>
        </w:rPr>
        <w:tab/>
        <w:t>Have other changes in the wellbeing and capabilities of the individuals and families occurred?</w:t>
      </w:r>
    </w:p>
    <w:p w:rsidR="0029753C" w:rsidRPr="005911E2" w:rsidRDefault="0029753C" w:rsidP="0029753C">
      <w:pPr>
        <w:pStyle w:val="Heading7"/>
      </w:pPr>
      <w:r w:rsidRPr="005911E2">
        <w:t xml:space="preserve">Questions specific to the child protection stream </w:t>
      </w:r>
    </w:p>
    <w:p w:rsidR="0029753C" w:rsidRPr="005911E2" w:rsidRDefault="0029753C" w:rsidP="00911315">
      <w:pPr>
        <w:pStyle w:val="BodyText1"/>
        <w:ind w:left="2228" w:hanging="425"/>
        <w:rPr>
          <w:rFonts w:cs="Arial"/>
        </w:rPr>
      </w:pPr>
      <w:r w:rsidRPr="005911E2">
        <w:rPr>
          <w:rFonts w:cs="Arial"/>
        </w:rPr>
        <w:t xml:space="preserve">1. </w:t>
      </w:r>
      <w:r w:rsidRPr="005911E2">
        <w:rPr>
          <w:rFonts w:cs="Arial"/>
        </w:rPr>
        <w:tab/>
        <w:t xml:space="preserve">What has been the impact of income management on child neglect? </w:t>
      </w:r>
    </w:p>
    <w:p w:rsidR="0029753C" w:rsidRPr="005911E2" w:rsidRDefault="0029753C" w:rsidP="00911315">
      <w:pPr>
        <w:pStyle w:val="BodyText1"/>
        <w:ind w:left="2228" w:hanging="425"/>
        <w:rPr>
          <w:rFonts w:cs="Arial"/>
        </w:rPr>
      </w:pPr>
      <w:r w:rsidRPr="005911E2">
        <w:rPr>
          <w:rFonts w:cs="Arial"/>
        </w:rPr>
        <w:t xml:space="preserve">2. </w:t>
      </w:r>
      <w:r w:rsidRPr="005911E2">
        <w:rPr>
          <w:rFonts w:cs="Arial"/>
        </w:rPr>
        <w:tab/>
        <w:t xml:space="preserve">What has been the impact on child wellbeing in those families referred to the child protection measure (CPIM)? </w:t>
      </w:r>
    </w:p>
    <w:p w:rsidR="0029753C" w:rsidRPr="005911E2" w:rsidRDefault="0029753C" w:rsidP="00911315">
      <w:pPr>
        <w:pStyle w:val="BodyText1"/>
        <w:ind w:left="2228" w:hanging="425"/>
        <w:rPr>
          <w:rFonts w:cs="Arial"/>
        </w:rPr>
      </w:pPr>
      <w:r w:rsidRPr="005911E2">
        <w:rPr>
          <w:rFonts w:cs="Arial"/>
        </w:rPr>
        <w:t xml:space="preserve">3. </w:t>
      </w:r>
      <w:r w:rsidRPr="005911E2">
        <w:rPr>
          <w:rFonts w:cs="Arial"/>
        </w:rPr>
        <w:tab/>
        <w:t xml:space="preserve">What are the barriers and facilitating factors </w:t>
      </w:r>
      <w:r w:rsidR="005911E2" w:rsidRPr="005911E2">
        <w:rPr>
          <w:rFonts w:cs="Arial"/>
        </w:rPr>
        <w:t>for child</w:t>
      </w:r>
      <w:r w:rsidRPr="005911E2">
        <w:rPr>
          <w:rFonts w:cs="Arial"/>
        </w:rPr>
        <w:t xml:space="preserve"> protection workers to use income management as a casework tool? </w:t>
      </w:r>
    </w:p>
    <w:p w:rsidR="0029753C" w:rsidRPr="005911E2" w:rsidRDefault="0029753C" w:rsidP="00911315">
      <w:pPr>
        <w:pStyle w:val="BodyText1"/>
        <w:ind w:left="2228" w:hanging="425"/>
        <w:rPr>
          <w:rFonts w:cs="Arial"/>
        </w:rPr>
      </w:pPr>
      <w:r w:rsidRPr="005911E2">
        <w:rPr>
          <w:rFonts w:cs="Arial"/>
        </w:rPr>
        <w:t xml:space="preserve">4. </w:t>
      </w:r>
      <w:r w:rsidRPr="005911E2">
        <w:rPr>
          <w:rFonts w:cs="Arial"/>
        </w:rPr>
        <w:tab/>
        <w:t xml:space="preserve">What (if any) service delivery gaps have impacted on the usefulness of </w:t>
      </w:r>
      <w:r w:rsidR="00E146B5">
        <w:rPr>
          <w:rFonts w:cs="Arial"/>
        </w:rPr>
        <w:t>Child Protection Income Management</w:t>
      </w:r>
      <w:r w:rsidRPr="005911E2">
        <w:rPr>
          <w:rFonts w:cs="Arial"/>
        </w:rPr>
        <w:t>?</w:t>
      </w:r>
    </w:p>
    <w:p w:rsidR="0029753C" w:rsidRPr="005911E2" w:rsidRDefault="0029753C" w:rsidP="0029753C">
      <w:pPr>
        <w:pStyle w:val="Heading7"/>
      </w:pPr>
      <w:r w:rsidRPr="005911E2">
        <w:t xml:space="preserve">Questions specific to the vulnerable stream </w:t>
      </w:r>
    </w:p>
    <w:p w:rsidR="0029753C" w:rsidRPr="005911E2" w:rsidRDefault="0029753C" w:rsidP="00911315">
      <w:pPr>
        <w:pStyle w:val="BodyText1"/>
        <w:ind w:left="2228" w:hanging="425"/>
        <w:rPr>
          <w:rFonts w:cs="Arial"/>
        </w:rPr>
      </w:pPr>
      <w:r w:rsidRPr="005911E2">
        <w:rPr>
          <w:rFonts w:cs="Arial"/>
        </w:rPr>
        <w:t xml:space="preserve">1. </w:t>
      </w:r>
      <w:r w:rsidRPr="005911E2">
        <w:rPr>
          <w:rFonts w:cs="Arial"/>
        </w:rPr>
        <w:tab/>
        <w:t xml:space="preserve">Are vulnerable people appropriately targeted by this measure? </w:t>
      </w:r>
    </w:p>
    <w:p w:rsidR="0029753C" w:rsidRPr="005911E2" w:rsidRDefault="0029753C" w:rsidP="00911315">
      <w:pPr>
        <w:pStyle w:val="BodyText1"/>
        <w:ind w:left="2228" w:hanging="425"/>
        <w:rPr>
          <w:rFonts w:cs="Arial"/>
        </w:rPr>
      </w:pPr>
      <w:r w:rsidRPr="005911E2">
        <w:rPr>
          <w:rFonts w:cs="Arial"/>
        </w:rPr>
        <w:t xml:space="preserve">2. </w:t>
      </w:r>
      <w:r w:rsidRPr="005911E2">
        <w:rPr>
          <w:rFonts w:cs="Arial"/>
        </w:rPr>
        <w:tab/>
        <w:t xml:space="preserve">How does income management impact on the vulnerability of individuals? </w:t>
      </w:r>
    </w:p>
    <w:p w:rsidR="0029753C" w:rsidRPr="005911E2" w:rsidRDefault="0029753C" w:rsidP="00911315">
      <w:pPr>
        <w:pStyle w:val="BodyText1"/>
        <w:ind w:left="2228" w:hanging="425"/>
        <w:rPr>
          <w:rFonts w:cs="Arial"/>
        </w:rPr>
      </w:pPr>
      <w:r w:rsidRPr="005911E2">
        <w:rPr>
          <w:rFonts w:cs="Arial"/>
        </w:rPr>
        <w:t xml:space="preserve">3. </w:t>
      </w:r>
      <w:r w:rsidRPr="005911E2">
        <w:rPr>
          <w:rFonts w:cs="Arial"/>
        </w:rPr>
        <w:tab/>
        <w:t>Have people on this stream experienced changes in the level of harassment (e.g. humbugging)?</w:t>
      </w:r>
    </w:p>
    <w:p w:rsidR="0029753C" w:rsidRPr="005911E2" w:rsidRDefault="0029753C" w:rsidP="0029753C">
      <w:pPr>
        <w:pStyle w:val="Heading7"/>
      </w:pPr>
      <w:r w:rsidRPr="005911E2">
        <w:t xml:space="preserve">Questions specific to the voluntary stream </w:t>
      </w:r>
    </w:p>
    <w:p w:rsidR="0029753C" w:rsidRPr="005911E2" w:rsidRDefault="0029753C" w:rsidP="00911315">
      <w:pPr>
        <w:pStyle w:val="BodyText1"/>
        <w:ind w:left="2228" w:hanging="425"/>
        <w:rPr>
          <w:rFonts w:cs="Arial"/>
        </w:rPr>
      </w:pPr>
      <w:r w:rsidRPr="005911E2">
        <w:rPr>
          <w:rFonts w:cs="Arial"/>
        </w:rPr>
        <w:t xml:space="preserve">1. </w:t>
      </w:r>
      <w:r w:rsidRPr="005911E2">
        <w:rPr>
          <w:rFonts w:cs="Arial"/>
        </w:rPr>
        <w:tab/>
        <w:t xml:space="preserve">Have people who volunteered for income management been able to make an informed choice? </w:t>
      </w:r>
    </w:p>
    <w:p w:rsidR="0029753C" w:rsidRPr="005911E2" w:rsidRDefault="0029753C" w:rsidP="00911315">
      <w:pPr>
        <w:pStyle w:val="BodyText1"/>
        <w:ind w:left="2228" w:hanging="425"/>
        <w:rPr>
          <w:rFonts w:cs="Arial"/>
        </w:rPr>
      </w:pPr>
      <w:r w:rsidRPr="005911E2">
        <w:rPr>
          <w:rFonts w:cs="Arial"/>
        </w:rPr>
        <w:t xml:space="preserve">2. </w:t>
      </w:r>
      <w:r w:rsidRPr="005911E2">
        <w:rPr>
          <w:rFonts w:cs="Arial"/>
        </w:rPr>
        <w:tab/>
        <w:t xml:space="preserve">How long do voluntary income management recipients stay on the measure? </w:t>
      </w:r>
    </w:p>
    <w:p w:rsidR="0029753C" w:rsidRPr="005911E2" w:rsidRDefault="0029753C" w:rsidP="00911315">
      <w:pPr>
        <w:pStyle w:val="BodyText1"/>
        <w:ind w:left="2228" w:hanging="425"/>
        <w:rPr>
          <w:rFonts w:cs="Arial"/>
        </w:rPr>
      </w:pPr>
      <w:r w:rsidRPr="005911E2">
        <w:rPr>
          <w:rFonts w:cs="Arial"/>
        </w:rPr>
        <w:t xml:space="preserve">3. </w:t>
      </w:r>
      <w:r w:rsidRPr="005911E2">
        <w:rPr>
          <w:rFonts w:cs="Arial"/>
        </w:rPr>
        <w:tab/>
        <w:t>What are the key motivations for people who voluntarily access income management, and why do they stop?</w:t>
      </w:r>
    </w:p>
    <w:p w:rsidR="0029753C" w:rsidRPr="005911E2" w:rsidRDefault="0029753C" w:rsidP="00BD6DFD">
      <w:pPr>
        <w:pStyle w:val="Heading3"/>
      </w:pPr>
      <w:r w:rsidRPr="005911E2">
        <w:t>Evaluation methodology</w:t>
      </w:r>
    </w:p>
    <w:p w:rsidR="0029753C" w:rsidRPr="005911E2" w:rsidRDefault="0029753C" w:rsidP="0029753C">
      <w:pPr>
        <w:pStyle w:val="BodyText"/>
        <w:rPr>
          <w:lang w:bidi="ar-SA"/>
        </w:rPr>
      </w:pPr>
      <w:r w:rsidRPr="005911E2">
        <w:rPr>
          <w:lang w:bidi="ar-SA"/>
        </w:rPr>
        <w:t>Chapter 3 contains a detailed description of the methodology adopted to implement the evaluation and address these questions</w:t>
      </w:r>
      <w:r w:rsidR="00614538" w:rsidRPr="005911E2">
        <w:rPr>
          <w:lang w:bidi="ar-SA"/>
        </w:rPr>
        <w:t>.</w:t>
      </w:r>
      <w:r w:rsidR="00614538">
        <w:rPr>
          <w:lang w:bidi="ar-SA"/>
        </w:rPr>
        <w:t xml:space="preserve"> </w:t>
      </w:r>
      <w:r w:rsidRPr="005911E2">
        <w:rPr>
          <w:lang w:bidi="ar-SA"/>
        </w:rPr>
        <w:t>It also contains a discussion of some of the difficulties faced in attempting to evaluate the program</w:t>
      </w:r>
      <w:r w:rsidR="0066437C">
        <w:rPr>
          <w:lang w:bidi="ar-SA"/>
        </w:rPr>
        <w:t>,</w:t>
      </w:r>
      <w:r w:rsidRPr="005911E2">
        <w:rPr>
          <w:lang w:bidi="ar-SA"/>
        </w:rPr>
        <w:t xml:space="preserve"> given its complexity and the extent to which it involves interactions with a wider set of policies which have significantly impacted on the population which is subject to IM in the Northern Territory. Some of these are considered below</w:t>
      </w:r>
      <w:r w:rsidRPr="009125CF">
        <w:rPr>
          <w:lang w:bidi="ar-SA"/>
        </w:rPr>
        <w:t xml:space="preserve">, </w:t>
      </w:r>
      <w:r w:rsidR="008A040D" w:rsidRPr="009125CF">
        <w:rPr>
          <w:lang w:bidi="ar-SA"/>
        </w:rPr>
        <w:t xml:space="preserve">as is the existing evaluation material on these </w:t>
      </w:r>
      <w:r w:rsidR="00901A4F" w:rsidRPr="00901A4F">
        <w:rPr>
          <w:lang w:bidi="ar-SA"/>
        </w:rPr>
        <w:t xml:space="preserve">other policy measures </w:t>
      </w:r>
      <w:r w:rsidR="008A040D" w:rsidRPr="009125CF">
        <w:rPr>
          <w:lang w:bidi="ar-SA"/>
        </w:rPr>
        <w:t xml:space="preserve">and on </w:t>
      </w:r>
      <w:r w:rsidR="00901A4F" w:rsidRPr="00901A4F">
        <w:rPr>
          <w:lang w:bidi="ar-SA"/>
        </w:rPr>
        <w:t>income management</w:t>
      </w:r>
      <w:r w:rsidR="008A040D" w:rsidRPr="009125CF">
        <w:rPr>
          <w:lang w:bidi="ar-SA"/>
        </w:rPr>
        <w:t xml:space="preserve"> itself</w:t>
      </w:r>
      <w:r w:rsidRPr="009125CF">
        <w:rPr>
          <w:lang w:bidi="ar-SA"/>
        </w:rPr>
        <w:t>.</w:t>
      </w:r>
    </w:p>
    <w:p w:rsidR="0029753C" w:rsidRPr="005911E2" w:rsidRDefault="0029753C" w:rsidP="00616B0F">
      <w:pPr>
        <w:pStyle w:val="Heading2"/>
      </w:pPr>
      <w:bookmarkStart w:id="49" w:name="_Toc321225091"/>
      <w:bookmarkStart w:id="50" w:name="_Toc321254435"/>
      <w:bookmarkStart w:id="51" w:name="_Toc321761577"/>
      <w:bookmarkStart w:id="52" w:name="_Toc328601457"/>
      <w:bookmarkStart w:id="53" w:name="_Toc329870339"/>
      <w:bookmarkStart w:id="54" w:name="_Toc335915725"/>
      <w:r w:rsidRPr="005911E2">
        <w:lastRenderedPageBreak/>
        <w:t>Context</w:t>
      </w:r>
      <w:bookmarkEnd w:id="49"/>
      <w:bookmarkEnd w:id="50"/>
      <w:bookmarkEnd w:id="51"/>
      <w:bookmarkEnd w:id="52"/>
      <w:bookmarkEnd w:id="53"/>
      <w:bookmarkEnd w:id="54"/>
    </w:p>
    <w:p w:rsidR="0029753C" w:rsidRPr="005911E2" w:rsidRDefault="0029753C" w:rsidP="0029753C">
      <w:pPr>
        <w:rPr>
          <w:lang w:eastAsia="en-AU"/>
        </w:rPr>
      </w:pPr>
      <w:r w:rsidRPr="005911E2">
        <w:rPr>
          <w:lang w:eastAsia="en-AU"/>
        </w:rPr>
        <w:t xml:space="preserve">In order to assess the impact of </w:t>
      </w:r>
      <w:r w:rsidR="00F878E4">
        <w:rPr>
          <w:lang w:eastAsia="en-AU"/>
        </w:rPr>
        <w:t>income management</w:t>
      </w:r>
      <w:r w:rsidRPr="005911E2">
        <w:rPr>
          <w:lang w:eastAsia="en-AU"/>
        </w:rPr>
        <w:t xml:space="preserve"> in the </w:t>
      </w:r>
      <w:r w:rsidR="006435C8">
        <w:rPr>
          <w:lang w:eastAsia="en-AU"/>
        </w:rPr>
        <w:t>Northern Territory,</w:t>
      </w:r>
      <w:r w:rsidRPr="005911E2">
        <w:rPr>
          <w:lang w:eastAsia="en-AU"/>
        </w:rPr>
        <w:t xml:space="preserve"> it is important to understand the context in which it is being implemented. Firstly, as noted above and described in more detail in Chapter 2, </w:t>
      </w:r>
      <w:r w:rsidR="00F878E4">
        <w:rPr>
          <w:lang w:eastAsia="en-AU"/>
        </w:rPr>
        <w:t>income management</w:t>
      </w:r>
      <w:r w:rsidRPr="005911E2">
        <w:rPr>
          <w:lang w:eastAsia="en-AU"/>
        </w:rPr>
        <w:t xml:space="preserve"> was originally introduced as part of the NTER which was geographically targeted at 73 Indigenous communities. </w:t>
      </w:r>
      <w:r w:rsidR="008A040D" w:rsidRPr="009125CF">
        <w:rPr>
          <w:lang w:eastAsia="en-AU"/>
        </w:rPr>
        <w:t xml:space="preserve">Thus </w:t>
      </w:r>
      <w:r w:rsidR="00901A4F" w:rsidRPr="00901A4F">
        <w:rPr>
          <w:lang w:eastAsia="en-AU"/>
        </w:rPr>
        <w:t>income management</w:t>
      </w:r>
      <w:r w:rsidR="008A040D" w:rsidRPr="009125CF">
        <w:rPr>
          <w:lang w:eastAsia="en-AU"/>
        </w:rPr>
        <w:t xml:space="preserve"> was originally implemented as a specifically Indigenous measure </w:t>
      </w:r>
      <w:r w:rsidR="00901A4F" w:rsidRPr="0006262D">
        <w:rPr>
          <w:lang w:eastAsia="en-AU"/>
        </w:rPr>
        <w:t>aimed at addressing the particular problems within prescribed Indigenous communities.</w:t>
      </w:r>
      <w:r w:rsidRPr="005911E2">
        <w:rPr>
          <w:lang w:eastAsia="en-AU"/>
        </w:rPr>
        <w:t xml:space="preserve"> Although the potential scope of NIM has now extended </w:t>
      </w:r>
      <w:r w:rsidR="00F878E4">
        <w:rPr>
          <w:lang w:eastAsia="en-AU"/>
        </w:rPr>
        <w:t>income management</w:t>
      </w:r>
      <w:r w:rsidRPr="005911E2">
        <w:rPr>
          <w:lang w:eastAsia="en-AU"/>
        </w:rPr>
        <w:t xml:space="preserve"> both geographically and demographically to the whole</w:t>
      </w:r>
      <w:r w:rsidR="006435C8">
        <w:rPr>
          <w:lang w:eastAsia="en-AU"/>
        </w:rPr>
        <w:t xml:space="preserve"> Northern Territory </w:t>
      </w:r>
      <w:r w:rsidRPr="005911E2">
        <w:rPr>
          <w:lang w:eastAsia="en-AU"/>
        </w:rPr>
        <w:t>population, it is still overwhelmingly a measure applied to Indigenous people. Over 90 per cent of people subject to NIM are Indigenous. In addition</w:t>
      </w:r>
      <w:r w:rsidR="00002BD4">
        <w:rPr>
          <w:lang w:eastAsia="en-AU"/>
        </w:rPr>
        <w:t>,</w:t>
      </w:r>
      <w:r w:rsidRPr="005911E2">
        <w:rPr>
          <w:lang w:eastAsia="en-AU"/>
        </w:rPr>
        <w:t xml:space="preserve"> around a quarter of the non-Indigenous people who are income managed were born outside of Australia. This has very important implications for how the program is received and perceived by the different populations, and also on the potential for NIM to impact on the different populations within the </w:t>
      </w:r>
      <w:r w:rsidR="006435C8">
        <w:rPr>
          <w:lang w:eastAsia="en-AU"/>
        </w:rPr>
        <w:t>Northern Territory.</w:t>
      </w:r>
      <w:r w:rsidRPr="005911E2">
        <w:rPr>
          <w:lang w:eastAsia="en-AU"/>
        </w:rPr>
        <w:t xml:space="preserve"> </w:t>
      </w:r>
    </w:p>
    <w:p w:rsidR="0029753C" w:rsidRPr="005911E2" w:rsidRDefault="00B455E0" w:rsidP="0029753C">
      <w:pPr>
        <w:rPr>
          <w:lang w:eastAsia="en-AU"/>
        </w:rPr>
      </w:pPr>
      <w:r>
        <w:rPr>
          <w:lang w:eastAsia="en-AU"/>
        </w:rPr>
        <w:t>It is estimated that just over</w:t>
      </w:r>
      <w:r w:rsidRPr="005911E2">
        <w:rPr>
          <w:lang w:eastAsia="en-AU"/>
        </w:rPr>
        <w:t xml:space="preserve"> </w:t>
      </w:r>
      <w:r w:rsidR="00EA1B30">
        <w:rPr>
          <w:lang w:eastAsia="en-AU"/>
        </w:rPr>
        <w:t>1</w:t>
      </w:r>
      <w:r w:rsidR="00EA1B30" w:rsidRPr="005911E2">
        <w:rPr>
          <w:lang w:eastAsia="en-AU"/>
        </w:rPr>
        <w:t xml:space="preserve"> </w:t>
      </w:r>
      <w:r w:rsidR="0029753C" w:rsidRPr="005911E2">
        <w:rPr>
          <w:lang w:eastAsia="en-AU"/>
        </w:rPr>
        <w:t>per cent of non-Indigenous adults in the</w:t>
      </w:r>
      <w:r w:rsidR="006435C8">
        <w:rPr>
          <w:lang w:eastAsia="en-AU"/>
        </w:rPr>
        <w:t xml:space="preserve"> Northern Territory </w:t>
      </w:r>
      <w:r w:rsidR="0029753C" w:rsidRPr="005911E2">
        <w:rPr>
          <w:lang w:eastAsia="en-AU"/>
        </w:rPr>
        <w:t>are income managed this means that the non-Indigenous Australian born population of the</w:t>
      </w:r>
      <w:r w:rsidR="006435C8">
        <w:rPr>
          <w:lang w:eastAsia="en-AU"/>
        </w:rPr>
        <w:t xml:space="preserve"> Northern Territory </w:t>
      </w:r>
      <w:r w:rsidR="0029753C" w:rsidRPr="005911E2">
        <w:rPr>
          <w:lang w:eastAsia="en-AU"/>
        </w:rPr>
        <w:t xml:space="preserve">(who are the majority population of the Territory) are virtually untouched by </w:t>
      </w:r>
      <w:r w:rsidR="00F878E4">
        <w:rPr>
          <w:lang w:eastAsia="en-AU"/>
        </w:rPr>
        <w:t>income management</w:t>
      </w:r>
      <w:r w:rsidR="0029753C" w:rsidRPr="005911E2">
        <w:rPr>
          <w:lang w:eastAsia="en-AU"/>
        </w:rPr>
        <w:t>. On the other hand</w:t>
      </w:r>
      <w:r w:rsidR="00654C8C">
        <w:rPr>
          <w:lang w:eastAsia="en-AU"/>
        </w:rPr>
        <w:t>,</w:t>
      </w:r>
      <w:r w:rsidR="0029753C" w:rsidRPr="005911E2">
        <w:rPr>
          <w:lang w:eastAsia="en-AU"/>
        </w:rPr>
        <w:t xml:space="preserve"> about 32 per cent of Indigenous adults are subject to </w:t>
      </w:r>
      <w:r w:rsidR="00F878E4">
        <w:rPr>
          <w:lang w:eastAsia="en-AU"/>
        </w:rPr>
        <w:t>income management</w:t>
      </w:r>
      <w:r w:rsidR="00654C8C">
        <w:rPr>
          <w:lang w:eastAsia="en-AU"/>
        </w:rPr>
        <w:t>;</w:t>
      </w:r>
      <w:r w:rsidR="0029753C" w:rsidRPr="005911E2">
        <w:rPr>
          <w:lang w:eastAsia="en-AU"/>
        </w:rPr>
        <w:t xml:space="preserve"> therefore it is likely that the majority of Indigenous people have lived in a household where someone has been, or is being, income managed. Within the Indigenous community of the </w:t>
      </w:r>
      <w:r w:rsidR="006435C8">
        <w:rPr>
          <w:lang w:eastAsia="en-AU"/>
        </w:rPr>
        <w:t>Northern Territory,</w:t>
      </w:r>
      <w:r w:rsidR="0029753C" w:rsidRPr="005911E2">
        <w:rPr>
          <w:lang w:eastAsia="en-AU"/>
        </w:rPr>
        <w:t xml:space="preserve"> over </w:t>
      </w:r>
      <w:r w:rsidR="00002BD4">
        <w:rPr>
          <w:lang w:eastAsia="en-AU"/>
        </w:rPr>
        <w:t>24 000</w:t>
      </w:r>
      <w:r w:rsidR="0029753C" w:rsidRPr="005911E2">
        <w:rPr>
          <w:lang w:eastAsia="en-AU"/>
        </w:rPr>
        <w:t xml:space="preserve"> people are receiving an </w:t>
      </w:r>
      <w:r w:rsidR="00654C8C">
        <w:rPr>
          <w:lang w:eastAsia="en-AU"/>
        </w:rPr>
        <w:t>i</w:t>
      </w:r>
      <w:r w:rsidR="0029753C" w:rsidRPr="005911E2">
        <w:rPr>
          <w:lang w:eastAsia="en-AU"/>
        </w:rPr>
        <w:t xml:space="preserve">ncome </w:t>
      </w:r>
      <w:r w:rsidR="00654C8C">
        <w:rPr>
          <w:lang w:eastAsia="en-AU"/>
        </w:rPr>
        <w:t>s</w:t>
      </w:r>
      <w:r w:rsidR="0029753C" w:rsidRPr="005911E2">
        <w:rPr>
          <w:lang w:eastAsia="en-AU"/>
        </w:rPr>
        <w:t xml:space="preserve">upport </w:t>
      </w:r>
      <w:r w:rsidR="00654C8C">
        <w:rPr>
          <w:lang w:eastAsia="en-AU"/>
        </w:rPr>
        <w:t>p</w:t>
      </w:r>
      <w:r w:rsidR="0029753C" w:rsidRPr="005911E2">
        <w:rPr>
          <w:lang w:eastAsia="en-AU"/>
        </w:rPr>
        <w:t xml:space="preserve">ayment, and of those, 62 per cent are being income managed. Of the approximately </w:t>
      </w:r>
      <w:r w:rsidR="00BB14C5">
        <w:rPr>
          <w:lang w:eastAsia="en-AU"/>
        </w:rPr>
        <w:t>15 </w:t>
      </w:r>
      <w:r w:rsidR="00002BD4">
        <w:rPr>
          <w:lang w:eastAsia="en-AU"/>
        </w:rPr>
        <w:t>000</w:t>
      </w:r>
      <w:r w:rsidR="0029753C" w:rsidRPr="005911E2">
        <w:rPr>
          <w:lang w:eastAsia="en-AU"/>
        </w:rPr>
        <w:t xml:space="preserve"> </w:t>
      </w:r>
      <w:r w:rsidR="00654C8C">
        <w:rPr>
          <w:lang w:eastAsia="en-AU"/>
        </w:rPr>
        <w:t>n</w:t>
      </w:r>
      <w:r w:rsidR="0029753C" w:rsidRPr="005911E2">
        <w:rPr>
          <w:lang w:eastAsia="en-AU"/>
        </w:rPr>
        <w:t xml:space="preserve">on-Indigenous people receiving an </w:t>
      </w:r>
      <w:r w:rsidR="00900FCF">
        <w:rPr>
          <w:lang w:eastAsia="en-AU"/>
        </w:rPr>
        <w:t>i</w:t>
      </w:r>
      <w:r w:rsidR="0029753C" w:rsidRPr="005911E2">
        <w:rPr>
          <w:lang w:eastAsia="en-AU"/>
        </w:rPr>
        <w:t xml:space="preserve">ncome </w:t>
      </w:r>
      <w:r w:rsidR="00900FCF">
        <w:rPr>
          <w:lang w:eastAsia="en-AU"/>
        </w:rPr>
        <w:t>s</w:t>
      </w:r>
      <w:r w:rsidR="0029753C" w:rsidRPr="005911E2">
        <w:rPr>
          <w:lang w:eastAsia="en-AU"/>
        </w:rPr>
        <w:t xml:space="preserve">upport </w:t>
      </w:r>
      <w:r w:rsidR="00900FCF">
        <w:rPr>
          <w:lang w:eastAsia="en-AU"/>
        </w:rPr>
        <w:t>p</w:t>
      </w:r>
      <w:r w:rsidR="0029753C" w:rsidRPr="005911E2">
        <w:rPr>
          <w:lang w:eastAsia="en-AU"/>
        </w:rPr>
        <w:t>ayment, 10 per cent are being income managed. These characteristics are considered further in Chapter 4.</w:t>
      </w:r>
    </w:p>
    <w:p w:rsidR="00B455E0" w:rsidRDefault="0029753C" w:rsidP="0029753C">
      <w:pPr>
        <w:rPr>
          <w:lang w:eastAsia="en-AU"/>
        </w:rPr>
      </w:pPr>
      <w:r w:rsidRPr="005911E2">
        <w:rPr>
          <w:lang w:eastAsia="en-AU"/>
        </w:rPr>
        <w:t>For many Indigenous people</w:t>
      </w:r>
      <w:r w:rsidR="00654C8C">
        <w:rPr>
          <w:lang w:eastAsia="en-AU"/>
        </w:rPr>
        <w:t>,</w:t>
      </w:r>
      <w:r w:rsidRPr="005911E2">
        <w:rPr>
          <w:lang w:eastAsia="en-AU"/>
        </w:rPr>
        <w:t xml:space="preserve"> the experience of </w:t>
      </w:r>
      <w:r w:rsidR="00F878E4">
        <w:rPr>
          <w:lang w:eastAsia="en-AU"/>
        </w:rPr>
        <w:t>income management</w:t>
      </w:r>
      <w:r w:rsidRPr="005911E2">
        <w:rPr>
          <w:lang w:eastAsia="en-AU"/>
        </w:rPr>
        <w:t xml:space="preserve"> stretches back to 2007. It could therefore be expected that if </w:t>
      </w:r>
      <w:r w:rsidR="00F878E4">
        <w:rPr>
          <w:lang w:eastAsia="en-AU"/>
        </w:rPr>
        <w:t>income management</w:t>
      </w:r>
      <w:r w:rsidRPr="005911E2">
        <w:rPr>
          <w:lang w:eastAsia="en-AU"/>
        </w:rPr>
        <w:t xml:space="preserve"> is to have a substantive impact on behaviour and outcomes, it should have made most difference to those who have transitioned from NTER </w:t>
      </w:r>
      <w:r w:rsidR="00E8695F">
        <w:rPr>
          <w:lang w:eastAsia="en-AU"/>
        </w:rPr>
        <w:t>IM</w:t>
      </w:r>
      <w:r w:rsidRPr="005911E2">
        <w:rPr>
          <w:lang w:eastAsia="en-AU"/>
        </w:rPr>
        <w:t xml:space="preserve"> to NIM</w:t>
      </w:r>
      <w:r w:rsidR="00B455E0">
        <w:rPr>
          <w:lang w:eastAsia="en-AU"/>
        </w:rPr>
        <w:t xml:space="preserve"> and hence have spent the longest time being subject to income management</w:t>
      </w:r>
      <w:r w:rsidRPr="005911E2">
        <w:rPr>
          <w:lang w:eastAsia="en-AU"/>
        </w:rPr>
        <w:t xml:space="preserve">. </w:t>
      </w:r>
    </w:p>
    <w:p w:rsidR="0029753C" w:rsidRPr="005911E2" w:rsidRDefault="0029753C" w:rsidP="0029753C">
      <w:pPr>
        <w:rPr>
          <w:lang w:eastAsia="en-AU"/>
        </w:rPr>
      </w:pPr>
      <w:r w:rsidRPr="005911E2">
        <w:rPr>
          <w:lang w:eastAsia="en-AU"/>
        </w:rPr>
        <w:t xml:space="preserve">Thus comparing the effects of </w:t>
      </w:r>
      <w:r w:rsidR="00F878E4">
        <w:rPr>
          <w:lang w:eastAsia="en-AU"/>
        </w:rPr>
        <w:t>income management</w:t>
      </w:r>
      <w:r w:rsidRPr="005911E2">
        <w:rPr>
          <w:lang w:eastAsia="en-AU"/>
        </w:rPr>
        <w:t xml:space="preserve"> on these different populations is complex and challenging.</w:t>
      </w:r>
      <w:r w:rsidR="00B62B2D">
        <w:rPr>
          <w:lang w:eastAsia="en-AU"/>
        </w:rPr>
        <w:t xml:space="preserve"> </w:t>
      </w:r>
      <w:r w:rsidRPr="005911E2">
        <w:rPr>
          <w:lang w:eastAsia="en-AU"/>
        </w:rPr>
        <w:t>Nevertheless</w:t>
      </w:r>
      <w:r w:rsidR="00654C8C">
        <w:rPr>
          <w:lang w:eastAsia="en-AU"/>
        </w:rPr>
        <w:t>,</w:t>
      </w:r>
      <w:r w:rsidRPr="005911E2">
        <w:rPr>
          <w:lang w:eastAsia="en-AU"/>
        </w:rPr>
        <w:t xml:space="preserve"> understanding the extent to which </w:t>
      </w:r>
      <w:r w:rsidR="00F878E4">
        <w:rPr>
          <w:lang w:eastAsia="en-AU"/>
        </w:rPr>
        <w:t>income management</w:t>
      </w:r>
      <w:r w:rsidRPr="005911E2">
        <w:rPr>
          <w:lang w:eastAsia="en-AU"/>
        </w:rPr>
        <w:t xml:space="preserve"> has a differential impact on Indigenous and non-Indigenous people is crucial.</w:t>
      </w:r>
    </w:p>
    <w:p w:rsidR="0029753C" w:rsidRPr="005911E2" w:rsidRDefault="0029753C" w:rsidP="0029753C">
      <w:pPr>
        <w:rPr>
          <w:lang w:eastAsia="en-AU"/>
        </w:rPr>
      </w:pPr>
      <w:r w:rsidRPr="005911E2">
        <w:rPr>
          <w:lang w:eastAsia="en-AU"/>
        </w:rPr>
        <w:t>Given these considerations, while we believe that the report contains substantive findings</w:t>
      </w:r>
      <w:r w:rsidR="00654C8C">
        <w:rPr>
          <w:lang w:eastAsia="en-AU"/>
        </w:rPr>
        <w:t>,</w:t>
      </w:r>
      <w:r w:rsidRPr="005911E2">
        <w:rPr>
          <w:lang w:eastAsia="en-AU"/>
        </w:rPr>
        <w:t xml:space="preserve"> it is emphasised that this is an interim report and as such it only takes account of a part of the evidence it is proposed to collect across the course of the evaluation</w:t>
      </w:r>
      <w:r w:rsidR="00614538" w:rsidRPr="005911E2">
        <w:rPr>
          <w:lang w:eastAsia="en-AU"/>
        </w:rPr>
        <w:t>.</w:t>
      </w:r>
      <w:r w:rsidR="00614538">
        <w:rPr>
          <w:lang w:eastAsia="en-AU"/>
        </w:rPr>
        <w:t xml:space="preserve"> </w:t>
      </w:r>
      <w:r w:rsidRPr="005911E2">
        <w:rPr>
          <w:lang w:eastAsia="en-AU"/>
        </w:rPr>
        <w:t xml:space="preserve">A consequence of this is that over time some of the findings reported here may be reviewed on the basis of the longer term evidence, and on the evidence of other aspects of the evaluation which have not been considered to date. In particular the analysis of the cost of the program may cast the findings of the outcomes of the program in a different light. </w:t>
      </w:r>
      <w:r w:rsidR="00901A4F" w:rsidRPr="00B455E0">
        <w:rPr>
          <w:lang w:eastAsia="en-AU"/>
        </w:rPr>
        <w:t xml:space="preserve">At the same time we are cognisant that policy decisions frequently need to </w:t>
      </w:r>
      <w:r w:rsidR="00901A4F" w:rsidRPr="00B455E0">
        <w:rPr>
          <w:lang w:eastAsia="en-AU"/>
        </w:rPr>
        <w:lastRenderedPageBreak/>
        <w:t>be informed by the best available evidence and providing this in a timely manner has been our objective in the analysis we present here.</w:t>
      </w:r>
    </w:p>
    <w:p w:rsidR="0029753C" w:rsidRPr="005911E2" w:rsidRDefault="0029753C" w:rsidP="0029753C">
      <w:pPr>
        <w:rPr>
          <w:lang w:eastAsia="en-AU"/>
        </w:rPr>
      </w:pPr>
      <w:r w:rsidRPr="005911E2">
        <w:rPr>
          <w:lang w:eastAsia="en-AU"/>
        </w:rPr>
        <w:t>Our findings are necessarily restricted to, and need to be understood in the context of, the particular circumstances of the</w:t>
      </w:r>
      <w:r w:rsidR="006435C8">
        <w:rPr>
          <w:lang w:eastAsia="en-AU"/>
        </w:rPr>
        <w:t xml:space="preserve"> Northern Territory </w:t>
      </w:r>
      <w:r w:rsidRPr="005911E2">
        <w:rPr>
          <w:lang w:eastAsia="en-AU"/>
        </w:rPr>
        <w:t xml:space="preserve">and the point in time at which the evaluation has been conducted. The evaluation </w:t>
      </w:r>
      <w:r w:rsidR="006B5BE5">
        <w:rPr>
          <w:lang w:eastAsia="en-AU"/>
        </w:rPr>
        <w:t xml:space="preserve">process </w:t>
      </w:r>
      <w:r w:rsidRPr="005911E2">
        <w:rPr>
          <w:lang w:eastAsia="en-AU"/>
        </w:rPr>
        <w:t xml:space="preserve">will continue </w:t>
      </w:r>
      <w:r w:rsidR="006B5BE5">
        <w:rPr>
          <w:lang w:eastAsia="en-AU"/>
        </w:rPr>
        <w:t>until 2014</w:t>
      </w:r>
      <w:r w:rsidRPr="005911E2">
        <w:rPr>
          <w:lang w:eastAsia="en-AU"/>
        </w:rPr>
        <w:t xml:space="preserve">, and it will only be at the end of this process that the impact of NIM, and its cost effectiveness, will be comprehensively assessed. Nevertheless, as noted above, this </w:t>
      </w:r>
      <w:r w:rsidR="00D764A4">
        <w:rPr>
          <w:lang w:eastAsia="en-AU"/>
        </w:rPr>
        <w:t xml:space="preserve">first report </w:t>
      </w:r>
      <w:r w:rsidRPr="005911E2">
        <w:rPr>
          <w:lang w:eastAsia="en-AU"/>
        </w:rPr>
        <w:t xml:space="preserve">is by far the most comprehensive analysis of </w:t>
      </w:r>
      <w:r w:rsidR="00F878E4">
        <w:rPr>
          <w:lang w:eastAsia="en-AU"/>
        </w:rPr>
        <w:t>income management</w:t>
      </w:r>
      <w:r w:rsidRPr="005911E2">
        <w:rPr>
          <w:lang w:eastAsia="en-AU"/>
        </w:rPr>
        <w:t xml:space="preserve"> to date</w:t>
      </w:r>
      <w:r w:rsidR="00D764A4">
        <w:rPr>
          <w:lang w:eastAsia="en-AU"/>
        </w:rPr>
        <w:t>;</w:t>
      </w:r>
      <w:r w:rsidRPr="005911E2">
        <w:rPr>
          <w:lang w:eastAsia="en-AU"/>
        </w:rPr>
        <w:t xml:space="preserve"> the findings provide important insights into NIM and its functioning which will have significance for the future development and refinement of the program. </w:t>
      </w:r>
    </w:p>
    <w:p w:rsidR="0029753C" w:rsidRPr="005911E2" w:rsidRDefault="0029753C" w:rsidP="00616B0F">
      <w:pPr>
        <w:pStyle w:val="Heading2"/>
      </w:pPr>
      <w:bookmarkStart w:id="55" w:name="_Toc321225092"/>
      <w:bookmarkStart w:id="56" w:name="_Toc321254436"/>
      <w:bookmarkStart w:id="57" w:name="_Toc321761578"/>
      <w:bookmarkStart w:id="58" w:name="_Toc328601458"/>
      <w:bookmarkStart w:id="59" w:name="_Toc329870340"/>
      <w:bookmarkStart w:id="60" w:name="_Toc335915726"/>
      <w:r w:rsidRPr="005911E2">
        <w:t>Existing research and evaluation of income management in the NT</w:t>
      </w:r>
      <w:bookmarkEnd w:id="55"/>
      <w:bookmarkEnd w:id="56"/>
      <w:bookmarkEnd w:id="57"/>
      <w:bookmarkEnd w:id="58"/>
      <w:bookmarkEnd w:id="59"/>
      <w:bookmarkEnd w:id="60"/>
    </w:p>
    <w:p w:rsidR="0029753C" w:rsidRPr="005911E2" w:rsidRDefault="0029753C" w:rsidP="0029753C">
      <w:pPr>
        <w:rPr>
          <w:lang w:eastAsia="en-AU"/>
        </w:rPr>
      </w:pPr>
      <w:r w:rsidRPr="005911E2">
        <w:rPr>
          <w:lang w:eastAsia="en-AU"/>
        </w:rPr>
        <w:t xml:space="preserve">There are a number of research studies and government reviews </w:t>
      </w:r>
      <w:r w:rsidR="00AD5853">
        <w:rPr>
          <w:lang w:eastAsia="en-AU"/>
        </w:rPr>
        <w:t>that</w:t>
      </w:r>
      <w:r w:rsidR="00AD5853" w:rsidRPr="005911E2">
        <w:rPr>
          <w:lang w:eastAsia="en-AU"/>
        </w:rPr>
        <w:t xml:space="preserve"> </w:t>
      </w:r>
      <w:r w:rsidRPr="005911E2">
        <w:rPr>
          <w:lang w:eastAsia="en-AU"/>
        </w:rPr>
        <w:t xml:space="preserve">provide information about </w:t>
      </w:r>
      <w:r w:rsidR="00F878E4">
        <w:rPr>
          <w:lang w:eastAsia="en-AU"/>
        </w:rPr>
        <w:t>income management</w:t>
      </w:r>
      <w:r w:rsidRPr="005911E2">
        <w:rPr>
          <w:lang w:eastAsia="en-AU"/>
        </w:rPr>
        <w:t xml:space="preserve"> in the </w:t>
      </w:r>
      <w:r w:rsidR="006435C8">
        <w:rPr>
          <w:lang w:eastAsia="en-AU"/>
        </w:rPr>
        <w:t>Northern Territory.</w:t>
      </w:r>
      <w:r w:rsidRPr="005911E2">
        <w:rPr>
          <w:lang w:eastAsia="en-AU"/>
        </w:rPr>
        <w:t xml:space="preserve"> Most of this work relates entirely or primarily to NTER </w:t>
      </w:r>
      <w:r w:rsidR="00E8695F">
        <w:rPr>
          <w:lang w:eastAsia="en-AU"/>
        </w:rPr>
        <w:t>IM</w:t>
      </w:r>
      <w:r w:rsidRPr="005911E2">
        <w:rPr>
          <w:lang w:eastAsia="en-AU"/>
        </w:rPr>
        <w:t xml:space="preserve">, with relatively little research on NIM. </w:t>
      </w:r>
      <w:r w:rsidR="00AD5853">
        <w:rPr>
          <w:lang w:eastAsia="en-AU"/>
        </w:rPr>
        <w:t xml:space="preserve">Most of the work </w:t>
      </w:r>
      <w:r w:rsidRPr="005911E2">
        <w:rPr>
          <w:lang w:eastAsia="en-AU"/>
        </w:rPr>
        <w:t>was undertaken as part of research into the impact of the broader NTER</w:t>
      </w:r>
      <w:r w:rsidR="00AD5853">
        <w:rPr>
          <w:lang w:eastAsia="en-AU"/>
        </w:rPr>
        <w:t>,</w:t>
      </w:r>
      <w:r w:rsidRPr="005911E2">
        <w:rPr>
          <w:lang w:eastAsia="en-AU"/>
        </w:rPr>
        <w:t xml:space="preserve"> thus the outcomes examined are generally linked to the NTER as a whole and not specifically to </w:t>
      </w:r>
      <w:r w:rsidR="00F878E4">
        <w:rPr>
          <w:lang w:eastAsia="en-AU"/>
        </w:rPr>
        <w:t>income management</w:t>
      </w:r>
      <w:r w:rsidRPr="005911E2">
        <w:rPr>
          <w:lang w:eastAsia="en-AU"/>
        </w:rPr>
        <w:t>. In addition</w:t>
      </w:r>
      <w:r w:rsidR="00002BD4">
        <w:rPr>
          <w:lang w:eastAsia="en-AU"/>
        </w:rPr>
        <w:t>,</w:t>
      </w:r>
      <w:r w:rsidRPr="005911E2">
        <w:rPr>
          <w:lang w:eastAsia="en-AU"/>
        </w:rPr>
        <w:t xml:space="preserve"> the research on the NTER does not tend to compare changes in the NTER areas with other locations or individuals. This section provides a brief overview of selected research and evaluation on </w:t>
      </w:r>
      <w:r w:rsidR="00F878E4">
        <w:rPr>
          <w:lang w:eastAsia="en-AU"/>
        </w:rPr>
        <w:t>income management</w:t>
      </w:r>
      <w:r w:rsidRPr="005911E2">
        <w:rPr>
          <w:lang w:eastAsia="en-AU"/>
        </w:rPr>
        <w:t xml:space="preserve">; it does not attempt </w:t>
      </w:r>
      <w:r w:rsidR="00AD5853">
        <w:rPr>
          <w:lang w:eastAsia="en-AU"/>
        </w:rPr>
        <w:t xml:space="preserve">to provide </w:t>
      </w:r>
      <w:r w:rsidRPr="005911E2">
        <w:rPr>
          <w:lang w:eastAsia="en-AU"/>
        </w:rPr>
        <w:t>a comprehensive review.</w:t>
      </w:r>
    </w:p>
    <w:p w:rsidR="0029753C" w:rsidRPr="005911E2" w:rsidRDefault="0029753C" w:rsidP="0029753C">
      <w:pPr>
        <w:rPr>
          <w:lang w:eastAsia="en-AU"/>
        </w:rPr>
      </w:pPr>
      <w:r w:rsidRPr="005911E2">
        <w:rPr>
          <w:lang w:eastAsia="en-AU"/>
        </w:rPr>
        <w:t xml:space="preserve">The existing studies on </w:t>
      </w:r>
      <w:r w:rsidR="00F878E4">
        <w:rPr>
          <w:lang w:eastAsia="en-AU"/>
        </w:rPr>
        <w:t>income management</w:t>
      </w:r>
      <w:r w:rsidR="00AD5853">
        <w:rPr>
          <w:lang w:eastAsia="en-AU"/>
        </w:rPr>
        <w:t xml:space="preserve"> </w:t>
      </w:r>
      <w:r w:rsidRPr="005911E2">
        <w:rPr>
          <w:lang w:eastAsia="en-AU"/>
        </w:rPr>
        <w:t>in the</w:t>
      </w:r>
      <w:r w:rsidR="006435C8">
        <w:rPr>
          <w:lang w:eastAsia="en-AU"/>
        </w:rPr>
        <w:t xml:space="preserve"> Northern Territory </w:t>
      </w:r>
      <w:r w:rsidRPr="005911E2">
        <w:rPr>
          <w:lang w:eastAsia="en-AU"/>
        </w:rPr>
        <w:t>have provided useful data</w:t>
      </w:r>
      <w:r w:rsidR="00AD5853">
        <w:rPr>
          <w:lang w:eastAsia="en-AU"/>
        </w:rPr>
        <w:t>; h</w:t>
      </w:r>
      <w:r w:rsidRPr="005911E2">
        <w:rPr>
          <w:lang w:eastAsia="en-AU"/>
        </w:rPr>
        <w:t xml:space="preserve">owever, they are either small-scale or are focused on very specific aspects of </w:t>
      </w:r>
      <w:r w:rsidR="00F878E4">
        <w:rPr>
          <w:lang w:eastAsia="en-AU"/>
        </w:rPr>
        <w:t>income management</w:t>
      </w:r>
      <w:r w:rsidRPr="005911E2">
        <w:rPr>
          <w:lang w:eastAsia="en-AU"/>
        </w:rPr>
        <w:t>.</w:t>
      </w:r>
    </w:p>
    <w:p w:rsidR="0029753C" w:rsidRPr="005911E2" w:rsidRDefault="0029753C" w:rsidP="0029753C">
      <w:pPr>
        <w:rPr>
          <w:rFonts w:cs="Arial"/>
          <w:lang w:eastAsia="en-AU"/>
        </w:rPr>
      </w:pPr>
      <w:r w:rsidRPr="005911E2">
        <w:rPr>
          <w:lang w:eastAsia="en-AU"/>
        </w:rPr>
        <w:t xml:space="preserve">One of the key existing evaluations is </w:t>
      </w:r>
      <w:r w:rsidRPr="005911E2">
        <w:rPr>
          <w:i/>
          <w:lang w:eastAsia="en-AU"/>
        </w:rPr>
        <w:t>The Northern Territory Emergency Response Evaluation Report 2011</w:t>
      </w:r>
      <w:r w:rsidR="00234C32">
        <w:rPr>
          <w:lang w:eastAsia="en-AU"/>
        </w:rPr>
        <w:t xml:space="preserve"> (FaHCSIA, 2011</w:t>
      </w:r>
      <w:r w:rsidR="00AD5853">
        <w:rPr>
          <w:lang w:eastAsia="en-AU"/>
        </w:rPr>
        <w:t>b</w:t>
      </w:r>
      <w:r w:rsidR="00234C32">
        <w:rPr>
          <w:lang w:eastAsia="en-AU"/>
        </w:rPr>
        <w:t>)</w:t>
      </w:r>
      <w:r w:rsidRPr="005911E2">
        <w:rPr>
          <w:i/>
          <w:lang w:eastAsia="en-AU"/>
        </w:rPr>
        <w:t xml:space="preserve">. </w:t>
      </w:r>
      <w:r w:rsidRPr="005911E2">
        <w:rPr>
          <w:lang w:eastAsia="en-AU"/>
        </w:rPr>
        <w:t>Th</w:t>
      </w:r>
      <w:r w:rsidR="00AD5853">
        <w:rPr>
          <w:lang w:eastAsia="en-AU"/>
        </w:rPr>
        <w:t>e</w:t>
      </w:r>
      <w:r w:rsidRPr="005911E2">
        <w:rPr>
          <w:lang w:eastAsia="en-AU"/>
        </w:rPr>
        <w:t xml:space="preserve"> report provides an evaluation of the NTER and its impacts</w:t>
      </w:r>
      <w:r w:rsidR="00AD5853">
        <w:rPr>
          <w:lang w:eastAsia="en-AU"/>
        </w:rPr>
        <w:t xml:space="preserve">, </w:t>
      </w:r>
      <w:r w:rsidRPr="005911E2">
        <w:rPr>
          <w:lang w:eastAsia="en-AU"/>
        </w:rPr>
        <w:t xml:space="preserve">and </w:t>
      </w:r>
      <w:r w:rsidR="00AD5853">
        <w:rPr>
          <w:rFonts w:cs="Arial"/>
          <w:lang w:eastAsia="en-AU"/>
        </w:rPr>
        <w:t xml:space="preserve">includes </w:t>
      </w:r>
      <w:r w:rsidRPr="005911E2">
        <w:rPr>
          <w:rFonts w:cs="Arial"/>
          <w:lang w:eastAsia="en-AU"/>
        </w:rPr>
        <w:t xml:space="preserve">some limited information on </w:t>
      </w:r>
      <w:r w:rsidR="00F878E4">
        <w:rPr>
          <w:rFonts w:cs="Arial"/>
          <w:lang w:eastAsia="en-AU"/>
        </w:rPr>
        <w:t>income management</w:t>
      </w:r>
      <w:r w:rsidRPr="005911E2">
        <w:rPr>
          <w:rFonts w:cs="Arial"/>
          <w:lang w:eastAsia="en-AU"/>
        </w:rPr>
        <w:t xml:space="preserve">. The key findings about </w:t>
      </w:r>
      <w:r w:rsidR="00F878E4">
        <w:rPr>
          <w:rFonts w:cs="Arial"/>
          <w:lang w:eastAsia="en-AU"/>
        </w:rPr>
        <w:t>income management</w:t>
      </w:r>
      <w:r w:rsidRPr="005911E2">
        <w:rPr>
          <w:rFonts w:cs="Arial"/>
          <w:lang w:eastAsia="en-AU"/>
        </w:rPr>
        <w:t xml:space="preserve"> (largely NTER IM) are:</w:t>
      </w:r>
    </w:p>
    <w:p w:rsidR="00BF0F6E" w:rsidRDefault="0029753C" w:rsidP="00851FBD">
      <w:pPr>
        <w:pStyle w:val="ListBullet"/>
        <w:rPr>
          <w:lang w:eastAsia="en-AU"/>
        </w:rPr>
      </w:pPr>
      <w:r w:rsidRPr="005911E2">
        <w:rPr>
          <w:lang w:eastAsia="en-AU"/>
        </w:rPr>
        <w:t xml:space="preserve">while there are mixed views about </w:t>
      </w:r>
      <w:r w:rsidR="00F878E4">
        <w:rPr>
          <w:lang w:eastAsia="en-AU"/>
        </w:rPr>
        <w:t>income management</w:t>
      </w:r>
      <w:r w:rsidRPr="005911E2">
        <w:rPr>
          <w:lang w:eastAsia="en-AU"/>
        </w:rPr>
        <w:t xml:space="preserve"> in the NTER communities, there are many people who believe that </w:t>
      </w:r>
      <w:r w:rsidR="00F878E4">
        <w:rPr>
          <w:lang w:eastAsia="en-AU"/>
        </w:rPr>
        <w:t>income management</w:t>
      </w:r>
      <w:r w:rsidRPr="005911E2">
        <w:rPr>
          <w:lang w:eastAsia="en-AU"/>
        </w:rPr>
        <w:t xml:space="preserve"> was bringing about positive outcomes, especially for children</w:t>
      </w:r>
    </w:p>
    <w:p w:rsidR="00BF0F6E" w:rsidRDefault="00AD5853" w:rsidP="00851FBD">
      <w:pPr>
        <w:pStyle w:val="ListBullet"/>
        <w:rPr>
          <w:lang w:eastAsia="en-AU"/>
        </w:rPr>
      </w:pPr>
      <w:r>
        <w:rPr>
          <w:lang w:eastAsia="en-AU"/>
        </w:rPr>
        <w:t>g</w:t>
      </w:r>
      <w:r w:rsidR="0029753C" w:rsidRPr="005911E2">
        <w:rPr>
          <w:lang w:eastAsia="en-AU"/>
        </w:rPr>
        <w:t xml:space="preserve">enerally </w:t>
      </w:r>
      <w:r w:rsidR="00F878E4">
        <w:rPr>
          <w:lang w:eastAsia="en-AU"/>
        </w:rPr>
        <w:t>income management</w:t>
      </w:r>
      <w:r w:rsidR="0029753C" w:rsidRPr="005911E2">
        <w:rPr>
          <w:lang w:eastAsia="en-AU"/>
        </w:rPr>
        <w:t xml:space="preserve"> was viewed more favourably (or less negatively) by women than men</w:t>
      </w:r>
    </w:p>
    <w:p w:rsidR="00BF0F6E" w:rsidRDefault="00AD5853" w:rsidP="00851FBD">
      <w:pPr>
        <w:pStyle w:val="ListBullet"/>
        <w:rPr>
          <w:lang w:eastAsia="en-AU"/>
        </w:rPr>
      </w:pPr>
      <w:r>
        <w:rPr>
          <w:lang w:eastAsia="en-AU"/>
        </w:rPr>
        <w:t>s</w:t>
      </w:r>
      <w:r w:rsidR="0029753C" w:rsidRPr="005911E2">
        <w:rPr>
          <w:lang w:eastAsia="en-AU"/>
        </w:rPr>
        <w:t xml:space="preserve">ome of those subject to </w:t>
      </w:r>
      <w:r w:rsidR="00F878E4">
        <w:rPr>
          <w:lang w:eastAsia="en-AU"/>
        </w:rPr>
        <w:t>income management</w:t>
      </w:r>
      <w:r w:rsidR="0029753C" w:rsidRPr="005911E2">
        <w:rPr>
          <w:lang w:eastAsia="en-AU"/>
        </w:rPr>
        <w:t xml:space="preserve"> felt shame and stigma</w:t>
      </w:r>
    </w:p>
    <w:p w:rsidR="00BF0F6E" w:rsidRDefault="00AD5853" w:rsidP="00851FBD">
      <w:pPr>
        <w:pStyle w:val="ListBullet"/>
        <w:rPr>
          <w:lang w:eastAsia="en-AU"/>
        </w:rPr>
      </w:pPr>
      <w:r>
        <w:rPr>
          <w:lang w:eastAsia="en-AU"/>
        </w:rPr>
        <w:t>t</w:t>
      </w:r>
      <w:r w:rsidR="0029753C" w:rsidRPr="005911E2">
        <w:rPr>
          <w:lang w:eastAsia="en-AU"/>
        </w:rPr>
        <w:t xml:space="preserve">he way in which </w:t>
      </w:r>
      <w:r w:rsidR="00F878E4">
        <w:rPr>
          <w:lang w:eastAsia="en-AU"/>
        </w:rPr>
        <w:t>income management</w:t>
      </w:r>
      <w:r w:rsidR="0029753C" w:rsidRPr="005911E2">
        <w:rPr>
          <w:lang w:eastAsia="en-AU"/>
        </w:rPr>
        <w:t xml:space="preserve"> was initially implemented under the NTER as a universal measure in prescribed communities without consultation, and requiring the suspension of the </w:t>
      </w:r>
      <w:r w:rsidR="0029753C" w:rsidRPr="00AB1845">
        <w:rPr>
          <w:i/>
          <w:lang w:eastAsia="en-AU"/>
        </w:rPr>
        <w:t>Racial Discrimination Act</w:t>
      </w:r>
      <w:r>
        <w:rPr>
          <w:lang w:eastAsia="en-AU"/>
        </w:rPr>
        <w:t>,</w:t>
      </w:r>
      <w:r w:rsidR="0029753C" w:rsidRPr="005911E2">
        <w:rPr>
          <w:lang w:eastAsia="en-AU"/>
        </w:rPr>
        <w:t xml:space="preserve"> caused anger</w:t>
      </w:r>
    </w:p>
    <w:p w:rsidR="00BF0F6E" w:rsidRDefault="00FF2CB4" w:rsidP="00851FBD">
      <w:pPr>
        <w:pStyle w:val="ListBullet"/>
        <w:rPr>
          <w:szCs w:val="24"/>
          <w:lang w:eastAsia="en-AU"/>
        </w:rPr>
      </w:pPr>
      <w:r>
        <w:rPr>
          <w:lang w:eastAsia="en-AU"/>
        </w:rPr>
        <w:t>t</w:t>
      </w:r>
      <w:r w:rsidR="0029753C" w:rsidRPr="005911E2">
        <w:rPr>
          <w:lang w:eastAsia="en-AU"/>
        </w:rPr>
        <w:t>here are practical difficulties in using the BasicsCard including that it is not accepted by all retailers, it could be difficult for people to know their BasicsCard balances</w:t>
      </w:r>
      <w:r>
        <w:rPr>
          <w:lang w:eastAsia="en-AU"/>
        </w:rPr>
        <w:t>,</w:t>
      </w:r>
      <w:r w:rsidR="0029753C" w:rsidRPr="005911E2">
        <w:rPr>
          <w:lang w:eastAsia="en-AU"/>
        </w:rPr>
        <w:t xml:space="preserve"> and it made travel more difficult. </w:t>
      </w:r>
    </w:p>
    <w:p w:rsidR="0029753C" w:rsidRPr="005911E2" w:rsidRDefault="0029753C" w:rsidP="0029753C">
      <w:pPr>
        <w:rPr>
          <w:rFonts w:ascii="TTFF578298t00" w:hAnsi="TTFF578298t00" w:cs="TTFF578298t00"/>
          <w:szCs w:val="24"/>
          <w:lang w:eastAsia="en-AU"/>
        </w:rPr>
      </w:pPr>
      <w:r w:rsidRPr="005911E2">
        <w:rPr>
          <w:lang w:eastAsia="en-AU"/>
        </w:rPr>
        <w:lastRenderedPageBreak/>
        <w:t xml:space="preserve">A study by the Equality Rights Alliance (2011) which focused on women’s experience of </w:t>
      </w:r>
      <w:r w:rsidR="00F878E4">
        <w:rPr>
          <w:lang w:eastAsia="en-AU"/>
        </w:rPr>
        <w:t>income management</w:t>
      </w:r>
      <w:r w:rsidRPr="005911E2">
        <w:rPr>
          <w:lang w:eastAsia="en-AU"/>
        </w:rPr>
        <w:t xml:space="preserve"> in the</w:t>
      </w:r>
      <w:r w:rsidR="006435C8">
        <w:rPr>
          <w:lang w:eastAsia="en-AU"/>
        </w:rPr>
        <w:t xml:space="preserve"> Northern Territory </w:t>
      </w:r>
      <w:r w:rsidRPr="005911E2">
        <w:rPr>
          <w:lang w:eastAsia="en-AU"/>
        </w:rPr>
        <w:t xml:space="preserve">(including NIM) was much more negative in its conclusion. This small-scale study involved group discussions and a survey of 168 women with direct experience of </w:t>
      </w:r>
      <w:r w:rsidR="00F878E4">
        <w:rPr>
          <w:lang w:eastAsia="en-AU"/>
        </w:rPr>
        <w:t>income management</w:t>
      </w:r>
      <w:r w:rsidRPr="005911E2">
        <w:rPr>
          <w:lang w:eastAsia="en-AU"/>
        </w:rPr>
        <w:t xml:space="preserve">. The study found </w:t>
      </w:r>
      <w:r w:rsidR="00BA05E4">
        <w:rPr>
          <w:lang w:eastAsia="en-AU"/>
        </w:rPr>
        <w:t>that</w:t>
      </w:r>
      <w:r w:rsidR="00637712">
        <w:rPr>
          <w:lang w:eastAsia="en-AU"/>
        </w:rPr>
        <w:t>:</w:t>
      </w:r>
      <w:r w:rsidR="00BA05E4">
        <w:rPr>
          <w:lang w:eastAsia="en-AU"/>
        </w:rPr>
        <w:t xml:space="preserve"> many people had </w:t>
      </w:r>
      <w:r w:rsidRPr="005911E2">
        <w:rPr>
          <w:lang w:eastAsia="en-AU"/>
        </w:rPr>
        <w:t>difficulties in understanding and using the BasicsCard</w:t>
      </w:r>
      <w:r w:rsidR="00637712">
        <w:rPr>
          <w:lang w:eastAsia="en-AU"/>
        </w:rPr>
        <w:t>;</w:t>
      </w:r>
      <w:r w:rsidR="00BA05E4">
        <w:rPr>
          <w:lang w:eastAsia="en-AU"/>
        </w:rPr>
        <w:t xml:space="preserve"> </w:t>
      </w:r>
      <w:r w:rsidRPr="005911E2">
        <w:rPr>
          <w:lang w:eastAsia="en-AU"/>
        </w:rPr>
        <w:t>most women thought the BasicsCard had not changed what they buy</w:t>
      </w:r>
      <w:r w:rsidR="00637712">
        <w:rPr>
          <w:lang w:eastAsia="en-AU"/>
        </w:rPr>
        <w:t>;</w:t>
      </w:r>
      <w:r w:rsidRPr="005911E2">
        <w:rPr>
          <w:lang w:eastAsia="en-AU"/>
        </w:rPr>
        <w:t xml:space="preserve"> had no effect on safety</w:t>
      </w:r>
      <w:r w:rsidR="00637712">
        <w:rPr>
          <w:lang w:eastAsia="en-AU"/>
        </w:rPr>
        <w:t>;</w:t>
      </w:r>
      <w:r w:rsidRPr="005911E2">
        <w:rPr>
          <w:lang w:eastAsia="en-AU"/>
        </w:rPr>
        <w:t xml:space="preserve"> and that </w:t>
      </w:r>
      <w:r w:rsidR="002C4832">
        <w:rPr>
          <w:lang w:eastAsia="en-AU"/>
        </w:rPr>
        <w:t>‘</w:t>
      </w:r>
      <w:r w:rsidRPr="005911E2">
        <w:rPr>
          <w:i/>
        </w:rPr>
        <w:t>Centrelink and others in their community do not have respect for them, or consider them to be less competent with money or as parents</w:t>
      </w:r>
      <w:r w:rsidR="00FF2CB4">
        <w:rPr>
          <w:i/>
        </w:rPr>
        <w:t>,</w:t>
      </w:r>
      <w:r w:rsidRPr="005911E2">
        <w:rPr>
          <w:i/>
        </w:rPr>
        <w:t xml:space="preserve"> because they have a BasicsCard</w:t>
      </w:r>
      <w:r w:rsidR="002C4832">
        <w:rPr>
          <w:lang w:eastAsia="en-AU"/>
        </w:rPr>
        <w:t>’</w:t>
      </w:r>
      <w:r w:rsidRPr="005911E2">
        <w:rPr>
          <w:lang w:eastAsia="en-AU"/>
        </w:rPr>
        <w:t xml:space="preserve"> (Equality Rights Alliance, 2011</w:t>
      </w:r>
      <w:r w:rsidR="00FA2BC6">
        <w:rPr>
          <w:lang w:eastAsia="en-AU"/>
        </w:rPr>
        <w:t>,</w:t>
      </w:r>
      <w:r w:rsidR="00B76A8E">
        <w:rPr>
          <w:lang w:eastAsia="en-AU"/>
        </w:rPr>
        <w:t xml:space="preserve"> p.</w:t>
      </w:r>
      <w:r w:rsidR="00FA2BC6">
        <w:rPr>
          <w:lang w:eastAsia="en-AU"/>
        </w:rPr>
        <w:t> </w:t>
      </w:r>
      <w:r w:rsidRPr="005911E2">
        <w:rPr>
          <w:lang w:eastAsia="en-AU"/>
        </w:rPr>
        <w:t xml:space="preserve">40). There was, however, a substantial minority of women who reported that the </w:t>
      </w:r>
      <w:r w:rsidR="00F878E4">
        <w:rPr>
          <w:lang w:eastAsia="en-AU"/>
        </w:rPr>
        <w:t>income management</w:t>
      </w:r>
      <w:r w:rsidRPr="005911E2">
        <w:rPr>
          <w:lang w:eastAsia="en-AU"/>
        </w:rPr>
        <w:t xml:space="preserve"> had helped them to save money (22 per cent), made it easier to look after their family (23 per cent), had made them safer (28 per cent)</w:t>
      </w:r>
      <w:r w:rsidR="00FF2CB4">
        <w:rPr>
          <w:lang w:eastAsia="en-AU"/>
        </w:rPr>
        <w:t>,</w:t>
      </w:r>
      <w:r w:rsidRPr="005911E2">
        <w:rPr>
          <w:lang w:eastAsia="en-AU"/>
        </w:rPr>
        <w:t xml:space="preserve"> and had reduced ‘humbugging’.</w:t>
      </w:r>
      <w:r w:rsidRPr="005911E2">
        <w:rPr>
          <w:rFonts w:ascii="Verdana" w:hAnsi="Verdana"/>
          <w:vertAlign w:val="superscript"/>
          <w:lang w:eastAsia="en-AU"/>
        </w:rPr>
        <w:footnoteReference w:id="11"/>
      </w:r>
      <w:r w:rsidRPr="005911E2">
        <w:rPr>
          <w:lang w:eastAsia="en-AU"/>
        </w:rPr>
        <w:t xml:space="preserve"> While this study produces some insightful analysis, the scale </w:t>
      </w:r>
      <w:r w:rsidR="00927559">
        <w:rPr>
          <w:lang w:eastAsia="en-AU"/>
        </w:rPr>
        <w:t xml:space="preserve">and </w:t>
      </w:r>
      <w:r w:rsidRPr="005911E2">
        <w:rPr>
          <w:lang w:eastAsia="en-AU"/>
        </w:rPr>
        <w:t xml:space="preserve">non-random nature of the sample means that the findings cannot be generalised </w:t>
      </w:r>
      <w:r w:rsidR="00927559">
        <w:rPr>
          <w:lang w:eastAsia="en-AU"/>
        </w:rPr>
        <w:t xml:space="preserve">as an overall population </w:t>
      </w:r>
      <w:r w:rsidR="00002BD4">
        <w:rPr>
          <w:lang w:eastAsia="en-AU"/>
        </w:rPr>
        <w:t>response</w:t>
      </w:r>
      <w:r w:rsidR="00927559">
        <w:rPr>
          <w:lang w:eastAsia="en-AU"/>
        </w:rPr>
        <w:t>.</w:t>
      </w:r>
    </w:p>
    <w:p w:rsidR="0029753C" w:rsidRPr="005911E2" w:rsidRDefault="0029753C" w:rsidP="0029753C">
      <w:pPr>
        <w:rPr>
          <w:lang w:eastAsia="en-AU"/>
        </w:rPr>
      </w:pPr>
      <w:r w:rsidRPr="005911E2">
        <w:rPr>
          <w:lang w:eastAsia="en-AU"/>
        </w:rPr>
        <w:t xml:space="preserve">An early study of NTER </w:t>
      </w:r>
      <w:r w:rsidR="00E8695F">
        <w:rPr>
          <w:lang w:eastAsia="en-AU"/>
        </w:rPr>
        <w:t>IM</w:t>
      </w:r>
      <w:r w:rsidRPr="005911E2">
        <w:rPr>
          <w:lang w:eastAsia="en-AU"/>
        </w:rPr>
        <w:t xml:space="preserve"> was undertaken by the Australian Institute of Health and Welfare (AIHW, 2010). The AIHW study was based upon a range of data</w:t>
      </w:r>
      <w:r w:rsidR="00FF2CB4">
        <w:rPr>
          <w:lang w:eastAsia="en-AU"/>
        </w:rPr>
        <w:t>,</w:t>
      </w:r>
      <w:r w:rsidRPr="005911E2">
        <w:rPr>
          <w:lang w:eastAsia="en-AU"/>
        </w:rPr>
        <w:t xml:space="preserve"> including information collected from a relatively small number of people subject to </w:t>
      </w:r>
      <w:r w:rsidR="00F878E4">
        <w:rPr>
          <w:lang w:eastAsia="en-AU"/>
        </w:rPr>
        <w:t>income management</w:t>
      </w:r>
      <w:r w:rsidRPr="005911E2">
        <w:rPr>
          <w:lang w:eastAsia="en-AU"/>
        </w:rPr>
        <w:t xml:space="preserve"> (76</w:t>
      </w:r>
      <w:r w:rsidR="008451F6" w:rsidRPr="005911E2">
        <w:rPr>
          <w:lang w:eastAsia="en-AU"/>
        </w:rPr>
        <w:t xml:space="preserve"> were interviewed</w:t>
      </w:r>
      <w:r w:rsidRPr="005911E2">
        <w:rPr>
          <w:lang w:eastAsia="en-AU"/>
        </w:rPr>
        <w:t>)</w:t>
      </w:r>
      <w:r w:rsidR="00FF2CB4">
        <w:rPr>
          <w:lang w:eastAsia="en-AU"/>
        </w:rPr>
        <w:t>;</w:t>
      </w:r>
      <w:r w:rsidRPr="005911E2">
        <w:rPr>
          <w:lang w:eastAsia="en-AU"/>
        </w:rPr>
        <w:t xml:space="preserve"> stakeholder consultations</w:t>
      </w:r>
      <w:r w:rsidR="00FF2CB4">
        <w:rPr>
          <w:lang w:eastAsia="en-AU"/>
        </w:rPr>
        <w:t>;</w:t>
      </w:r>
      <w:r w:rsidRPr="005911E2">
        <w:rPr>
          <w:lang w:eastAsia="en-AU"/>
        </w:rPr>
        <w:t xml:space="preserve"> and surveys of store operators (merchants) and Government Business Managers. The AIHW evaluation report found evidence (classified by AIHW as evidence at the weaker end of the evidence hierarchy) that while there were mixed views about </w:t>
      </w:r>
      <w:r w:rsidR="00F878E4">
        <w:rPr>
          <w:lang w:eastAsia="en-AU"/>
        </w:rPr>
        <w:t>income management</w:t>
      </w:r>
      <w:r w:rsidRPr="005911E2">
        <w:rPr>
          <w:lang w:eastAsia="en-AU"/>
        </w:rPr>
        <w:t>, more were positive than negative</w:t>
      </w:r>
      <w:r w:rsidR="00643F10">
        <w:rPr>
          <w:lang w:eastAsia="en-AU"/>
        </w:rPr>
        <w:t xml:space="preserve">. It also </w:t>
      </w:r>
      <w:r w:rsidR="00002BD4">
        <w:rPr>
          <w:lang w:eastAsia="en-AU"/>
        </w:rPr>
        <w:t>reported that</w:t>
      </w:r>
      <w:r w:rsidRPr="005911E2">
        <w:rPr>
          <w:lang w:eastAsia="en-AU"/>
        </w:rPr>
        <w:t xml:space="preserve"> there were some improvements in child health and community wellbeing</w:t>
      </w:r>
      <w:r w:rsidR="007E1C3B">
        <w:rPr>
          <w:lang w:eastAsia="en-AU"/>
        </w:rPr>
        <w:t>, financial management skills</w:t>
      </w:r>
      <w:r w:rsidRPr="005911E2">
        <w:rPr>
          <w:lang w:eastAsia="en-AU"/>
        </w:rPr>
        <w:t xml:space="preserve"> and more money was being spent on food </w:t>
      </w:r>
      <w:r w:rsidR="00FF2CB4">
        <w:rPr>
          <w:lang w:eastAsia="en-AU"/>
        </w:rPr>
        <w:t xml:space="preserve">and </w:t>
      </w:r>
      <w:r w:rsidRPr="005911E2">
        <w:rPr>
          <w:lang w:eastAsia="en-AU"/>
        </w:rPr>
        <w:t>less on the excluded items.</w:t>
      </w:r>
    </w:p>
    <w:p w:rsidR="0029753C" w:rsidRPr="005911E2" w:rsidRDefault="00FF2CB4" w:rsidP="0029753C">
      <w:pPr>
        <w:rPr>
          <w:lang w:eastAsia="en-AU"/>
        </w:rPr>
      </w:pPr>
      <w:r>
        <w:rPr>
          <w:lang w:eastAsia="en-AU"/>
        </w:rPr>
        <w:t>T</w:t>
      </w:r>
      <w:r w:rsidR="0029753C" w:rsidRPr="005911E2">
        <w:rPr>
          <w:lang w:eastAsia="en-AU"/>
        </w:rPr>
        <w:t xml:space="preserve">wo </w:t>
      </w:r>
      <w:r>
        <w:rPr>
          <w:lang w:eastAsia="en-AU"/>
        </w:rPr>
        <w:t xml:space="preserve">other </w:t>
      </w:r>
      <w:r w:rsidR="0029753C" w:rsidRPr="005911E2">
        <w:rPr>
          <w:lang w:eastAsia="en-AU"/>
        </w:rPr>
        <w:t xml:space="preserve">studies have used store expenditure data for selected communities to examine whether there is evidence of </w:t>
      </w:r>
      <w:r w:rsidR="00F878E4">
        <w:rPr>
          <w:lang w:eastAsia="en-AU"/>
        </w:rPr>
        <w:t>income management</w:t>
      </w:r>
      <w:r w:rsidR="0029753C" w:rsidRPr="005911E2">
        <w:rPr>
          <w:lang w:eastAsia="en-AU"/>
        </w:rPr>
        <w:t xml:space="preserve"> hav</w:t>
      </w:r>
      <w:r w:rsidR="00485F23">
        <w:rPr>
          <w:lang w:eastAsia="en-AU"/>
        </w:rPr>
        <w:t>ing</w:t>
      </w:r>
      <w:r w:rsidR="0029753C" w:rsidRPr="005911E2">
        <w:rPr>
          <w:lang w:eastAsia="en-AU"/>
        </w:rPr>
        <w:t xml:space="preserve"> had an impact on expenditure patterns in the store</w:t>
      </w:r>
      <w:r w:rsidR="00485F23">
        <w:rPr>
          <w:lang w:eastAsia="en-AU"/>
        </w:rPr>
        <w:t>.</w:t>
      </w:r>
      <w:r w:rsidR="00485F23">
        <w:rPr>
          <w:rStyle w:val="FootnoteReference"/>
          <w:lang w:eastAsia="en-AU"/>
        </w:rPr>
        <w:footnoteReference w:id="12"/>
      </w:r>
      <w:r w:rsidR="0029753C" w:rsidRPr="005911E2">
        <w:rPr>
          <w:lang w:eastAsia="en-AU"/>
        </w:rPr>
        <w:t xml:space="preserve"> </w:t>
      </w:r>
      <w:r w:rsidR="00485F23">
        <w:rPr>
          <w:lang w:eastAsia="en-AU"/>
        </w:rPr>
        <w:t>The</w:t>
      </w:r>
      <w:r w:rsidR="00485F23" w:rsidRPr="005911E2">
        <w:rPr>
          <w:lang w:eastAsia="en-AU"/>
        </w:rPr>
        <w:t xml:space="preserve"> </w:t>
      </w:r>
      <w:r w:rsidR="0029753C" w:rsidRPr="005911E2">
        <w:rPr>
          <w:lang w:eastAsia="en-AU"/>
        </w:rPr>
        <w:t>C</w:t>
      </w:r>
      <w:r w:rsidR="00485F23">
        <w:rPr>
          <w:lang w:eastAsia="en-AU"/>
        </w:rPr>
        <w:t xml:space="preserve">entral </w:t>
      </w:r>
      <w:r w:rsidR="0029753C" w:rsidRPr="005911E2">
        <w:rPr>
          <w:lang w:eastAsia="en-AU"/>
        </w:rPr>
        <w:t>L</w:t>
      </w:r>
      <w:r w:rsidR="00485F23">
        <w:rPr>
          <w:lang w:eastAsia="en-AU"/>
        </w:rPr>
        <w:t xml:space="preserve">and </w:t>
      </w:r>
      <w:r w:rsidR="0029753C" w:rsidRPr="005911E2">
        <w:rPr>
          <w:lang w:eastAsia="en-AU"/>
        </w:rPr>
        <w:t>C</w:t>
      </w:r>
      <w:r w:rsidR="00485F23">
        <w:rPr>
          <w:lang w:eastAsia="en-AU"/>
        </w:rPr>
        <w:t>ouncil (CLC)</w:t>
      </w:r>
      <w:r>
        <w:rPr>
          <w:lang w:eastAsia="en-AU"/>
        </w:rPr>
        <w:t>,</w:t>
      </w:r>
      <w:r w:rsidR="0029753C" w:rsidRPr="005911E2">
        <w:rPr>
          <w:lang w:eastAsia="en-AU"/>
        </w:rPr>
        <w:t xml:space="preserve"> using data for a single store in a remote Indigenous community</w:t>
      </w:r>
      <w:r>
        <w:rPr>
          <w:lang w:eastAsia="en-AU"/>
        </w:rPr>
        <w:t>,</w:t>
      </w:r>
      <w:r w:rsidR="0029753C" w:rsidRPr="005911E2">
        <w:rPr>
          <w:lang w:eastAsia="en-AU"/>
        </w:rPr>
        <w:t xml:space="preserve"> found an increase in spending on food and a decrease in expenditure on tobacco following the introduction of NTER </w:t>
      </w:r>
      <w:r w:rsidR="00E8695F">
        <w:rPr>
          <w:lang w:eastAsia="en-AU"/>
        </w:rPr>
        <w:t>IM</w:t>
      </w:r>
      <w:r w:rsidR="00485F23">
        <w:rPr>
          <w:lang w:eastAsia="en-AU"/>
        </w:rPr>
        <w:t xml:space="preserve"> (CLC, 2008)</w:t>
      </w:r>
      <w:r w:rsidR="0029753C" w:rsidRPr="005911E2">
        <w:rPr>
          <w:lang w:eastAsia="en-AU"/>
        </w:rPr>
        <w:t>. Brimblecombe et al. (2010)</w:t>
      </w:r>
      <w:r>
        <w:rPr>
          <w:lang w:eastAsia="en-AU"/>
        </w:rPr>
        <w:t>,</w:t>
      </w:r>
      <w:r w:rsidR="0029753C" w:rsidRPr="005911E2">
        <w:rPr>
          <w:lang w:eastAsia="en-AU"/>
        </w:rPr>
        <w:t xml:space="preserve"> us</w:t>
      </w:r>
      <w:r w:rsidR="00485F23">
        <w:rPr>
          <w:lang w:eastAsia="en-AU"/>
        </w:rPr>
        <w:t>ing</w:t>
      </w:r>
      <w:r w:rsidR="0029753C" w:rsidRPr="005911E2">
        <w:rPr>
          <w:lang w:eastAsia="en-AU"/>
        </w:rPr>
        <w:t xml:space="preserve"> data from ten Arnhem Land Progress Aboriginal Corporation (ALPA) </w:t>
      </w:r>
      <w:r w:rsidR="0029753C" w:rsidRPr="005911E2">
        <w:rPr>
          <w:lang w:eastAsia="en-AU"/>
        </w:rPr>
        <w:lastRenderedPageBreak/>
        <w:t>stores over the period 2006 to 2009</w:t>
      </w:r>
      <w:r>
        <w:rPr>
          <w:lang w:eastAsia="en-AU"/>
        </w:rPr>
        <w:t xml:space="preserve">, </w:t>
      </w:r>
      <w:r w:rsidR="0029753C" w:rsidRPr="005911E2">
        <w:rPr>
          <w:lang w:eastAsia="en-AU"/>
        </w:rPr>
        <w:t>concluded that the introduction had no impact upon expenditure patterns in the ten ALPA stores.</w:t>
      </w:r>
      <w:r w:rsidR="0029753C" w:rsidRPr="005911E2">
        <w:rPr>
          <w:rStyle w:val="FootnoteReference"/>
          <w:rFonts w:ascii="Arial" w:hAnsi="Arial"/>
          <w:lang w:eastAsia="en-AU"/>
        </w:rPr>
        <w:footnoteReference w:id="13"/>
      </w:r>
      <w:r w:rsidR="0029753C" w:rsidRPr="005911E2">
        <w:rPr>
          <w:lang w:eastAsia="en-AU"/>
        </w:rPr>
        <w:t xml:space="preserve"> </w:t>
      </w:r>
    </w:p>
    <w:p w:rsidR="0029753C" w:rsidRPr="005911E2" w:rsidRDefault="0029753C" w:rsidP="0029753C">
      <w:pPr>
        <w:rPr>
          <w:lang w:eastAsia="en-AU"/>
        </w:rPr>
      </w:pPr>
      <w:r w:rsidRPr="005911E2">
        <w:rPr>
          <w:lang w:eastAsia="en-AU"/>
        </w:rPr>
        <w:t xml:space="preserve">A major review of the NTER was undertaken in 2008 by the </w:t>
      </w:r>
      <w:r w:rsidR="00485F23">
        <w:rPr>
          <w:lang w:eastAsia="en-AU"/>
        </w:rPr>
        <w:t xml:space="preserve">NTER Review Board </w:t>
      </w:r>
      <w:r w:rsidRPr="005911E2">
        <w:rPr>
          <w:lang w:eastAsia="en-AU"/>
        </w:rPr>
        <w:t>(</w:t>
      </w:r>
      <w:r w:rsidR="00FA2BC6">
        <w:rPr>
          <w:lang w:eastAsia="en-AU"/>
        </w:rPr>
        <w:t xml:space="preserve">Yu, Duncan </w:t>
      </w:r>
      <w:r w:rsidR="00F8413B">
        <w:rPr>
          <w:lang w:eastAsia="en-AU"/>
        </w:rPr>
        <w:t>&amp;</w:t>
      </w:r>
      <w:r w:rsidR="00FA2BC6">
        <w:rPr>
          <w:lang w:eastAsia="en-AU"/>
        </w:rPr>
        <w:t xml:space="preserve"> Gray, </w:t>
      </w:r>
      <w:r w:rsidRPr="005911E2">
        <w:rPr>
          <w:lang w:eastAsia="en-AU"/>
        </w:rPr>
        <w:t>2008).</w:t>
      </w:r>
      <w:r w:rsidRPr="005911E2">
        <w:rPr>
          <w:vertAlign w:val="superscript"/>
          <w:lang w:eastAsia="en-AU"/>
        </w:rPr>
        <w:footnoteReference w:id="14"/>
      </w:r>
      <w:r w:rsidRPr="005911E2">
        <w:rPr>
          <w:vertAlign w:val="superscript"/>
          <w:lang w:eastAsia="en-AU"/>
        </w:rPr>
        <w:t xml:space="preserve"> </w:t>
      </w:r>
      <w:r w:rsidRPr="005911E2">
        <w:rPr>
          <w:lang w:eastAsia="en-AU"/>
        </w:rPr>
        <w:t xml:space="preserve">In relation to </w:t>
      </w:r>
      <w:r w:rsidR="00F878E4">
        <w:rPr>
          <w:lang w:eastAsia="en-AU"/>
        </w:rPr>
        <w:t>income management</w:t>
      </w:r>
      <w:r w:rsidRPr="005911E2">
        <w:rPr>
          <w:lang w:eastAsia="en-AU"/>
        </w:rPr>
        <w:t xml:space="preserve"> in the </w:t>
      </w:r>
      <w:r w:rsidR="006435C8">
        <w:rPr>
          <w:lang w:eastAsia="en-AU"/>
        </w:rPr>
        <w:t>Northern Territory,</w:t>
      </w:r>
      <w:r w:rsidRPr="005911E2">
        <w:rPr>
          <w:lang w:eastAsia="en-AU"/>
        </w:rPr>
        <w:t xml:space="preserve"> the Review Board found that there were a range of competing views about its value and impact. </w:t>
      </w:r>
      <w:r w:rsidR="00A97BF6" w:rsidRPr="005911E2">
        <w:rPr>
          <w:lang w:eastAsia="en-AU"/>
        </w:rPr>
        <w:t xml:space="preserve">They also found that some Aboriginal people living or shopping in the major regional centres </w:t>
      </w:r>
      <w:r w:rsidR="00A97BF6">
        <w:rPr>
          <w:lang w:eastAsia="en-AU"/>
        </w:rPr>
        <w:t>‘</w:t>
      </w:r>
      <w:r w:rsidR="00A97BF6" w:rsidRPr="005911E2">
        <w:rPr>
          <w:i/>
        </w:rPr>
        <w:t>experienced frustration, embarrassment, humiliation and overt racism because of the difficulties associated with acquiring and using store cards</w:t>
      </w:r>
      <w:r w:rsidR="00A97BF6">
        <w:rPr>
          <w:lang w:eastAsia="en-AU"/>
        </w:rPr>
        <w:t>’</w:t>
      </w:r>
      <w:r w:rsidR="00A97BF6" w:rsidRPr="005911E2">
        <w:rPr>
          <w:lang w:eastAsia="en-AU"/>
        </w:rPr>
        <w:t xml:space="preserve"> (</w:t>
      </w:r>
      <w:r w:rsidR="00FA2BC6">
        <w:rPr>
          <w:lang w:eastAsia="en-AU"/>
        </w:rPr>
        <w:t xml:space="preserve">Yu, Duncan </w:t>
      </w:r>
      <w:r w:rsidR="00F8413B">
        <w:rPr>
          <w:lang w:eastAsia="en-AU"/>
        </w:rPr>
        <w:t>&amp;</w:t>
      </w:r>
      <w:r w:rsidR="00FA2BC6">
        <w:rPr>
          <w:lang w:eastAsia="en-AU"/>
        </w:rPr>
        <w:t xml:space="preserve"> Gray</w:t>
      </w:r>
      <w:r w:rsidR="00A97BF6">
        <w:rPr>
          <w:lang w:eastAsia="en-AU"/>
        </w:rPr>
        <w:t>, 2008</w:t>
      </w:r>
      <w:r w:rsidR="00F8413B">
        <w:rPr>
          <w:lang w:eastAsia="en-AU"/>
        </w:rPr>
        <w:t>,</w:t>
      </w:r>
      <w:r w:rsidR="00A97BF6">
        <w:rPr>
          <w:lang w:eastAsia="en-AU"/>
        </w:rPr>
        <w:t xml:space="preserve"> </w:t>
      </w:r>
      <w:r w:rsidR="00F8413B">
        <w:rPr>
          <w:lang w:eastAsia="en-AU"/>
        </w:rPr>
        <w:t>p. </w:t>
      </w:r>
      <w:r w:rsidR="00A97BF6" w:rsidRPr="005911E2">
        <w:rPr>
          <w:lang w:eastAsia="en-AU"/>
        </w:rPr>
        <w:t xml:space="preserve">20). </w:t>
      </w:r>
      <w:r w:rsidR="001B1BB4">
        <w:rPr>
          <w:lang w:eastAsia="en-AU"/>
        </w:rPr>
        <w:t>However, t</w:t>
      </w:r>
      <w:r w:rsidRPr="005911E2">
        <w:rPr>
          <w:lang w:eastAsia="en-AU"/>
        </w:rPr>
        <w:t xml:space="preserve">hey also found that many people </w:t>
      </w:r>
      <w:r w:rsidR="002C4832">
        <w:rPr>
          <w:lang w:eastAsia="en-AU"/>
        </w:rPr>
        <w:t>‘</w:t>
      </w:r>
      <w:r w:rsidRPr="005911E2">
        <w:rPr>
          <w:i/>
        </w:rPr>
        <w:t>believed that income management provided a new opportunity to manage their income and family budgets in a way that they wanted to see continue</w:t>
      </w:r>
      <w:r w:rsidR="002C4832">
        <w:rPr>
          <w:lang w:eastAsia="en-AU"/>
        </w:rPr>
        <w:t>’</w:t>
      </w:r>
      <w:r w:rsidR="001B1BB4">
        <w:rPr>
          <w:lang w:eastAsia="en-AU"/>
        </w:rPr>
        <w:t>,</w:t>
      </w:r>
      <w:r w:rsidRPr="005911E2">
        <w:rPr>
          <w:lang w:eastAsia="en-AU"/>
        </w:rPr>
        <w:t xml:space="preserve"> and that there</w:t>
      </w:r>
      <w:r w:rsidRPr="005911E2">
        <w:t xml:space="preserve"> </w:t>
      </w:r>
      <w:r w:rsidRPr="005911E2">
        <w:rPr>
          <w:lang w:eastAsia="en-AU"/>
        </w:rPr>
        <w:t xml:space="preserve">was some evidence for the view that a </w:t>
      </w:r>
      <w:r w:rsidR="002C4832">
        <w:rPr>
          <w:lang w:eastAsia="en-AU"/>
        </w:rPr>
        <w:t>‘</w:t>
      </w:r>
      <w:r w:rsidRPr="005911E2">
        <w:rPr>
          <w:i/>
        </w:rPr>
        <w:t>substantial number of families and children had benefited from income managem</w:t>
      </w:r>
      <w:r w:rsidRPr="00FA2BC6">
        <w:rPr>
          <w:i/>
        </w:rPr>
        <w:t>ent</w:t>
      </w:r>
      <w:r w:rsidR="002C4832" w:rsidRPr="00FA2BC6">
        <w:rPr>
          <w:lang w:eastAsia="en-AU"/>
        </w:rPr>
        <w:t>’</w:t>
      </w:r>
      <w:r w:rsidRPr="00FA2BC6">
        <w:rPr>
          <w:lang w:eastAsia="en-AU"/>
        </w:rPr>
        <w:t xml:space="preserve"> (</w:t>
      </w:r>
      <w:r w:rsidR="00FA2BC6" w:rsidRPr="00FA2BC6">
        <w:rPr>
          <w:lang w:eastAsia="en-AU"/>
        </w:rPr>
        <w:t xml:space="preserve">Yu, Duncan </w:t>
      </w:r>
      <w:r w:rsidR="00F8413B">
        <w:rPr>
          <w:lang w:eastAsia="en-AU"/>
        </w:rPr>
        <w:t>&amp;</w:t>
      </w:r>
      <w:r w:rsidR="00FA2BC6" w:rsidRPr="00FA2BC6">
        <w:rPr>
          <w:lang w:eastAsia="en-AU"/>
        </w:rPr>
        <w:t xml:space="preserve"> Gray</w:t>
      </w:r>
      <w:r w:rsidR="00FA2BC6">
        <w:rPr>
          <w:lang w:eastAsia="en-AU"/>
        </w:rPr>
        <w:t>,</w:t>
      </w:r>
      <w:r w:rsidRPr="00FA2BC6">
        <w:rPr>
          <w:lang w:eastAsia="en-AU"/>
        </w:rPr>
        <w:t xml:space="preserve"> </w:t>
      </w:r>
      <w:r w:rsidR="00B455E0" w:rsidRPr="00FA2BC6">
        <w:rPr>
          <w:lang w:eastAsia="en-AU"/>
        </w:rPr>
        <w:t>2008</w:t>
      </w:r>
      <w:r w:rsidR="00FA2BC6">
        <w:rPr>
          <w:lang w:eastAsia="en-AU"/>
        </w:rPr>
        <w:t>,</w:t>
      </w:r>
      <w:r w:rsidR="00B455E0" w:rsidRPr="00FA2BC6">
        <w:rPr>
          <w:lang w:eastAsia="en-AU"/>
        </w:rPr>
        <w:t xml:space="preserve"> </w:t>
      </w:r>
      <w:r w:rsidRPr="00FA2BC6">
        <w:rPr>
          <w:lang w:eastAsia="en-AU"/>
        </w:rPr>
        <w:t>p.</w:t>
      </w:r>
      <w:r w:rsidR="00F8413B">
        <w:rPr>
          <w:lang w:eastAsia="en-AU"/>
        </w:rPr>
        <w:t> </w:t>
      </w:r>
      <w:r w:rsidRPr="00FA2BC6">
        <w:rPr>
          <w:lang w:eastAsia="en-AU"/>
        </w:rPr>
        <w:t>21).</w:t>
      </w:r>
    </w:p>
    <w:p w:rsidR="0029753C" w:rsidRPr="005911E2" w:rsidRDefault="0029753C" w:rsidP="0029753C">
      <w:pPr>
        <w:rPr>
          <w:lang w:eastAsia="en-AU"/>
        </w:rPr>
      </w:pPr>
      <w:r w:rsidRPr="005911E2">
        <w:rPr>
          <w:lang w:eastAsia="en-AU"/>
        </w:rPr>
        <w:t>It is interesting to note that the Review Board reported that:</w:t>
      </w:r>
    </w:p>
    <w:p w:rsidR="0029753C" w:rsidRPr="005911E2" w:rsidRDefault="002C4832" w:rsidP="0029753C">
      <w:pPr>
        <w:rPr>
          <w:lang w:eastAsia="en-AU"/>
        </w:rPr>
      </w:pPr>
      <w:r>
        <w:rPr>
          <w:lang w:eastAsia="en-AU"/>
        </w:rPr>
        <w:t>‘</w:t>
      </w:r>
      <w:r w:rsidR="0029753C" w:rsidRPr="005911E2">
        <w:rPr>
          <w:i/>
          <w:lang w:eastAsia="en-AU"/>
        </w:rPr>
        <w:t>The most common view expressed in consultations, however, was that if people wanted to take advantage of a voluntary income management scheme they should be allowed to do so. There was also general support for the notion that income management should be made compulsory for those who had demonstrated in some way that they were not meeting their family or community responsibilities, especially if the wellbeing of children was at risk or if alcohol and drugs were being abused to the detriment of the community</w:t>
      </w:r>
      <w:r w:rsidR="00771422">
        <w:rPr>
          <w:lang w:eastAsia="en-AU"/>
        </w:rPr>
        <w:t xml:space="preserve"> </w:t>
      </w:r>
      <w:r w:rsidR="0029753C" w:rsidRPr="005911E2">
        <w:rPr>
          <w:lang w:eastAsia="en-AU"/>
        </w:rPr>
        <w:t>(</w:t>
      </w:r>
      <w:r w:rsidR="00FA2BC6" w:rsidRPr="00FA2BC6">
        <w:rPr>
          <w:lang w:eastAsia="en-AU"/>
        </w:rPr>
        <w:t xml:space="preserve">Yu, Duncan </w:t>
      </w:r>
      <w:r w:rsidR="00F8413B">
        <w:rPr>
          <w:lang w:eastAsia="en-AU"/>
        </w:rPr>
        <w:t>&amp;</w:t>
      </w:r>
      <w:r w:rsidR="00FA2BC6" w:rsidRPr="00FA2BC6">
        <w:rPr>
          <w:lang w:eastAsia="en-AU"/>
        </w:rPr>
        <w:t xml:space="preserve"> Gray</w:t>
      </w:r>
      <w:r w:rsidR="00FA2BC6">
        <w:rPr>
          <w:lang w:eastAsia="en-AU"/>
        </w:rPr>
        <w:t>,</w:t>
      </w:r>
      <w:r w:rsidR="0029753C" w:rsidRPr="005911E2">
        <w:rPr>
          <w:lang w:eastAsia="en-AU"/>
        </w:rPr>
        <w:t xml:space="preserve"> 2008</w:t>
      </w:r>
      <w:r w:rsidR="00FA2BC6">
        <w:rPr>
          <w:lang w:eastAsia="en-AU"/>
        </w:rPr>
        <w:t>,</w:t>
      </w:r>
      <w:r w:rsidR="00F8413B">
        <w:rPr>
          <w:lang w:eastAsia="en-AU"/>
        </w:rPr>
        <w:t xml:space="preserve"> p. </w:t>
      </w:r>
      <w:r w:rsidR="0029753C" w:rsidRPr="005911E2">
        <w:rPr>
          <w:lang w:eastAsia="en-AU"/>
        </w:rPr>
        <w:t>21)</w:t>
      </w:r>
      <w:r w:rsidR="00771422">
        <w:rPr>
          <w:lang w:eastAsia="en-AU"/>
        </w:rPr>
        <w:t>.</w:t>
      </w:r>
    </w:p>
    <w:p w:rsidR="0029753C" w:rsidRPr="005911E2" w:rsidRDefault="0029753C" w:rsidP="0029753C">
      <w:pPr>
        <w:rPr>
          <w:lang w:eastAsia="en-AU"/>
        </w:rPr>
      </w:pPr>
      <w:r w:rsidRPr="005911E2">
        <w:rPr>
          <w:lang w:eastAsia="en-AU"/>
        </w:rPr>
        <w:t>In summary</w:t>
      </w:r>
      <w:r w:rsidR="00B76A8E">
        <w:rPr>
          <w:lang w:eastAsia="en-AU"/>
        </w:rPr>
        <w:t>,</w:t>
      </w:r>
      <w:r w:rsidRPr="005911E2">
        <w:rPr>
          <w:lang w:eastAsia="en-AU"/>
        </w:rPr>
        <w:t xml:space="preserve"> there is very little robust research evidence for the effectiveness (or otherwise) of </w:t>
      </w:r>
      <w:r w:rsidR="00F878E4">
        <w:rPr>
          <w:lang w:eastAsia="en-AU"/>
        </w:rPr>
        <w:t>income management</w:t>
      </w:r>
      <w:r w:rsidRPr="005911E2">
        <w:rPr>
          <w:lang w:eastAsia="en-AU"/>
        </w:rPr>
        <w:t xml:space="preserve"> more generally and NIM in particular.</w:t>
      </w:r>
      <w:r w:rsidR="00B62B2D">
        <w:rPr>
          <w:lang w:eastAsia="en-AU"/>
        </w:rPr>
        <w:t xml:space="preserve"> </w:t>
      </w:r>
      <w:r w:rsidRPr="005911E2">
        <w:rPr>
          <w:lang w:eastAsia="en-AU"/>
        </w:rPr>
        <w:t xml:space="preserve">The differential impact of </w:t>
      </w:r>
      <w:r w:rsidR="00F878E4">
        <w:rPr>
          <w:lang w:eastAsia="en-AU"/>
        </w:rPr>
        <w:t>income management</w:t>
      </w:r>
      <w:r w:rsidRPr="005911E2">
        <w:rPr>
          <w:lang w:eastAsia="en-AU"/>
        </w:rPr>
        <w:t xml:space="preserve"> on different sectors of the population has not been previously studied at all, and there have been no comparisons between people subject to </w:t>
      </w:r>
      <w:r w:rsidR="00F878E4">
        <w:rPr>
          <w:lang w:eastAsia="en-AU"/>
        </w:rPr>
        <w:t>income management</w:t>
      </w:r>
      <w:r w:rsidRPr="005911E2">
        <w:rPr>
          <w:lang w:eastAsia="en-AU"/>
        </w:rPr>
        <w:t xml:space="preserve"> and similar populations without </w:t>
      </w:r>
      <w:r w:rsidR="00F878E4">
        <w:rPr>
          <w:lang w:eastAsia="en-AU"/>
        </w:rPr>
        <w:t>income management</w:t>
      </w:r>
      <w:r w:rsidRPr="005911E2">
        <w:rPr>
          <w:lang w:eastAsia="en-AU"/>
        </w:rPr>
        <w:t>.</w:t>
      </w:r>
      <w:r w:rsidR="00B62B2D">
        <w:rPr>
          <w:lang w:eastAsia="en-AU"/>
        </w:rPr>
        <w:t xml:space="preserve"> </w:t>
      </w:r>
    </w:p>
    <w:p w:rsidR="0029753C" w:rsidRPr="005911E2" w:rsidRDefault="0029753C" w:rsidP="0029753C">
      <w:pPr>
        <w:rPr>
          <w:lang w:eastAsia="en-AU"/>
        </w:rPr>
      </w:pPr>
      <w:r w:rsidRPr="005911E2">
        <w:rPr>
          <w:lang w:eastAsia="en-AU"/>
        </w:rPr>
        <w:t xml:space="preserve">If </w:t>
      </w:r>
      <w:r w:rsidR="00F878E4">
        <w:rPr>
          <w:lang w:eastAsia="en-AU"/>
        </w:rPr>
        <w:t>income management</w:t>
      </w:r>
      <w:r w:rsidRPr="005911E2">
        <w:rPr>
          <w:lang w:eastAsia="en-AU"/>
        </w:rPr>
        <w:t xml:space="preserve"> is having a substantially positive impact then this should be apparent over time in aggregate measures of various outcomes for the </w:t>
      </w:r>
      <w:r w:rsidR="006435C8">
        <w:rPr>
          <w:lang w:eastAsia="en-AU"/>
        </w:rPr>
        <w:t>Northern Territory,</w:t>
      </w:r>
      <w:r w:rsidRPr="005911E2">
        <w:rPr>
          <w:lang w:eastAsia="en-AU"/>
        </w:rPr>
        <w:t xml:space="preserve"> although these data will not disaggregate the differential effects of </w:t>
      </w:r>
      <w:r w:rsidR="00F878E4">
        <w:rPr>
          <w:lang w:eastAsia="en-AU"/>
        </w:rPr>
        <w:t>income management</w:t>
      </w:r>
      <w:r w:rsidRPr="005911E2">
        <w:rPr>
          <w:lang w:eastAsia="en-AU"/>
        </w:rPr>
        <w:t xml:space="preserve"> from the raft of other initiatives in the </w:t>
      </w:r>
      <w:r w:rsidR="006435C8">
        <w:rPr>
          <w:lang w:eastAsia="en-AU"/>
        </w:rPr>
        <w:t>Northern Territory.</w:t>
      </w:r>
      <w:r w:rsidRPr="005911E2">
        <w:rPr>
          <w:vertAlign w:val="superscript"/>
          <w:lang w:eastAsia="en-AU"/>
        </w:rPr>
        <w:footnoteReference w:id="15"/>
      </w:r>
      <w:r w:rsidRPr="005911E2">
        <w:rPr>
          <w:lang w:eastAsia="en-AU"/>
        </w:rPr>
        <w:t xml:space="preserve"> Examples of outcomes for which publicly provided administrative data is available are alcohol sales, school attendance, rate of hospitalisation of children, child protection notifications and substantiations, and crime and arrest rates. There is also data available on educational outcomes (NAPLAN data) </w:t>
      </w:r>
      <w:r w:rsidRPr="005911E2">
        <w:rPr>
          <w:lang w:eastAsia="en-AU"/>
        </w:rPr>
        <w:lastRenderedPageBreak/>
        <w:t>and health of children (</w:t>
      </w:r>
      <w:r w:rsidR="00B76A8E">
        <w:rPr>
          <w:lang w:eastAsia="en-AU"/>
        </w:rPr>
        <w:t xml:space="preserve">being </w:t>
      </w:r>
      <w:r w:rsidRPr="005911E2">
        <w:rPr>
          <w:lang w:eastAsia="en-AU"/>
        </w:rPr>
        <w:t>underweight, obese, and anaemi</w:t>
      </w:r>
      <w:r w:rsidR="00B76A8E">
        <w:rPr>
          <w:lang w:eastAsia="en-AU"/>
        </w:rPr>
        <w:t>c</w:t>
      </w:r>
      <w:r w:rsidRPr="005911E2">
        <w:rPr>
          <w:lang w:eastAsia="en-AU"/>
        </w:rPr>
        <w:t>). In order to use the aggregate data to assess whether there are improvements in the outcomes measured at the</w:t>
      </w:r>
      <w:r w:rsidR="006435C8">
        <w:rPr>
          <w:lang w:eastAsia="en-AU"/>
        </w:rPr>
        <w:t xml:space="preserve"> Northern Territory </w:t>
      </w:r>
      <w:r w:rsidRPr="005911E2">
        <w:rPr>
          <w:lang w:eastAsia="en-AU"/>
        </w:rPr>
        <w:t xml:space="preserve">wide </w:t>
      </w:r>
      <w:r w:rsidR="00B76A8E">
        <w:rPr>
          <w:lang w:eastAsia="en-AU"/>
        </w:rPr>
        <w:t xml:space="preserve">scale </w:t>
      </w:r>
      <w:r w:rsidRPr="005911E2">
        <w:rPr>
          <w:lang w:eastAsia="en-AU"/>
        </w:rPr>
        <w:t>(or fo</w:t>
      </w:r>
      <w:r w:rsidR="00DD1E12">
        <w:rPr>
          <w:lang w:eastAsia="en-AU"/>
        </w:rPr>
        <w:t>r particular areas within the Northern Territory</w:t>
      </w:r>
      <w:r w:rsidRPr="005911E2">
        <w:rPr>
          <w:lang w:eastAsia="en-AU"/>
        </w:rPr>
        <w:t>)</w:t>
      </w:r>
      <w:r w:rsidR="00B76A8E">
        <w:rPr>
          <w:lang w:eastAsia="en-AU"/>
        </w:rPr>
        <w:t>,</w:t>
      </w:r>
      <w:r w:rsidRPr="005911E2">
        <w:rPr>
          <w:lang w:eastAsia="en-AU"/>
        </w:rPr>
        <w:t xml:space="preserve"> data is needed prior to August 2010 (when NIM was implemented</w:t>
      </w:r>
      <w:r w:rsidR="00B76A8E">
        <w:rPr>
          <w:lang w:eastAsia="en-AU"/>
        </w:rPr>
        <w:t>)</w:t>
      </w:r>
      <w:r w:rsidRPr="005911E2">
        <w:rPr>
          <w:lang w:eastAsia="en-AU"/>
        </w:rPr>
        <w:t xml:space="preserve"> and for 2011 and 2012. At the time of writing, data for 2011 was in general not available</w:t>
      </w:r>
      <w:r w:rsidR="00B76A8E">
        <w:rPr>
          <w:lang w:eastAsia="en-AU"/>
        </w:rPr>
        <w:t>,</w:t>
      </w:r>
      <w:r w:rsidRPr="005911E2">
        <w:rPr>
          <w:lang w:eastAsia="en-AU"/>
        </w:rPr>
        <w:t xml:space="preserve"> and so it </w:t>
      </w:r>
      <w:r w:rsidR="00C01C95" w:rsidRPr="005911E2">
        <w:rPr>
          <w:lang w:eastAsia="en-AU"/>
        </w:rPr>
        <w:t xml:space="preserve">is </w:t>
      </w:r>
      <w:r w:rsidRPr="005911E2">
        <w:rPr>
          <w:lang w:eastAsia="en-AU"/>
        </w:rPr>
        <w:t xml:space="preserve">not possible to examine in any systematic way the aggregate outcome data for any evidence of the potential aggregate impact of NIM. </w:t>
      </w:r>
    </w:p>
    <w:p w:rsidR="006F0C62" w:rsidRDefault="0029753C" w:rsidP="0029753C">
      <w:pPr>
        <w:rPr>
          <w:lang w:eastAsia="en-AU"/>
        </w:rPr>
      </w:pPr>
      <w:r w:rsidRPr="005911E2">
        <w:rPr>
          <w:lang w:eastAsia="en-AU"/>
        </w:rPr>
        <w:t>The Northern Territory Emergency Response Evaluation Report 2011</w:t>
      </w:r>
      <w:r w:rsidR="00B76C81">
        <w:rPr>
          <w:lang w:eastAsia="en-AU"/>
        </w:rPr>
        <w:t xml:space="preserve"> (FaHCSIA</w:t>
      </w:r>
      <w:r w:rsidR="00E87E0D">
        <w:rPr>
          <w:lang w:eastAsia="en-AU"/>
        </w:rPr>
        <w:t>,</w:t>
      </w:r>
      <w:r w:rsidR="00B76C81">
        <w:rPr>
          <w:lang w:eastAsia="en-AU"/>
        </w:rPr>
        <w:t xml:space="preserve"> 2011b)</w:t>
      </w:r>
      <w:r w:rsidRPr="005911E2">
        <w:rPr>
          <w:lang w:eastAsia="en-AU"/>
        </w:rPr>
        <w:t xml:space="preserve"> provides detailed information on the trends in many of the aggregate outcomes up to and including for 2010. For some of the outcome measures there has been little change, including for school attendance. However, there has been some improvement for reading at year 3 (NAPLAN), children’s hearing, as well as a decline in middle ear conditions and reductions in the proportion of children with anaemia or who are underweight. </w:t>
      </w:r>
    </w:p>
    <w:p w:rsidR="006F0C62" w:rsidRDefault="006F0C62" w:rsidP="0029753C">
      <w:pPr>
        <w:rPr>
          <w:lang w:eastAsia="en-AU"/>
        </w:rPr>
      </w:pPr>
      <w:r>
        <w:rPr>
          <w:lang w:eastAsia="en-AU"/>
        </w:rPr>
        <w:t xml:space="preserve">In June 2012 the Commonwealth </w:t>
      </w:r>
      <w:r w:rsidRPr="006F0C62">
        <w:rPr>
          <w:lang w:eastAsia="en-AU"/>
        </w:rPr>
        <w:t xml:space="preserve">Ombudsman </w:t>
      </w:r>
      <w:r>
        <w:rPr>
          <w:lang w:eastAsia="en-AU"/>
        </w:rPr>
        <w:t xml:space="preserve">reported on </w:t>
      </w:r>
      <w:r w:rsidRPr="006F0C62">
        <w:rPr>
          <w:lang w:eastAsia="en-AU"/>
        </w:rPr>
        <w:t xml:space="preserve">decision </w:t>
      </w:r>
      <w:r>
        <w:rPr>
          <w:lang w:eastAsia="en-AU"/>
        </w:rPr>
        <w:t xml:space="preserve">making in relation to the </w:t>
      </w:r>
      <w:r w:rsidRPr="006F0C62">
        <w:rPr>
          <w:lang w:eastAsia="en-AU"/>
        </w:rPr>
        <w:t>Financial Vulnerability Exemption</w:t>
      </w:r>
      <w:r>
        <w:rPr>
          <w:lang w:eastAsia="en-AU"/>
        </w:rPr>
        <w:t xml:space="preserve"> test and under </w:t>
      </w:r>
      <w:r w:rsidR="001429AF">
        <w:rPr>
          <w:lang w:eastAsia="en-AU"/>
        </w:rPr>
        <w:t xml:space="preserve">the </w:t>
      </w:r>
      <w:r w:rsidR="001429AF" w:rsidRPr="006F0C62">
        <w:rPr>
          <w:lang w:eastAsia="en-AU"/>
        </w:rPr>
        <w:t>Vulnerable</w:t>
      </w:r>
      <w:r w:rsidRPr="006F0C62">
        <w:rPr>
          <w:lang w:eastAsia="en-AU"/>
        </w:rPr>
        <w:t xml:space="preserve"> Welfare Payment Recipient</w:t>
      </w:r>
      <w:r>
        <w:rPr>
          <w:lang w:eastAsia="en-AU"/>
        </w:rPr>
        <w:t xml:space="preserve"> measure</w:t>
      </w:r>
      <w:r w:rsidRPr="006F0C62">
        <w:rPr>
          <w:lang w:eastAsia="en-AU"/>
        </w:rPr>
        <w:t xml:space="preserve"> (Commonwealth Ombudsman, 2012</w:t>
      </w:r>
      <w:r>
        <w:rPr>
          <w:lang w:eastAsia="en-AU"/>
        </w:rPr>
        <w:t>a</w:t>
      </w:r>
      <w:r w:rsidRPr="006F0C62">
        <w:rPr>
          <w:lang w:eastAsia="en-AU"/>
        </w:rPr>
        <w:t xml:space="preserve">). </w:t>
      </w:r>
      <w:r>
        <w:rPr>
          <w:lang w:eastAsia="en-AU"/>
        </w:rPr>
        <w:t>This contained 20 recommendations</w:t>
      </w:r>
      <w:r w:rsidRPr="006F0C62">
        <w:rPr>
          <w:lang w:eastAsia="en-AU"/>
        </w:rPr>
        <w:t xml:space="preserve">. </w:t>
      </w:r>
      <w:r>
        <w:rPr>
          <w:lang w:eastAsia="en-AU"/>
        </w:rPr>
        <w:t xml:space="preserve">The Ombudsman reported that these were all accepted and </w:t>
      </w:r>
      <w:r w:rsidR="003B5477">
        <w:rPr>
          <w:lang w:eastAsia="en-AU"/>
        </w:rPr>
        <w:t>they were</w:t>
      </w:r>
      <w:r>
        <w:rPr>
          <w:lang w:eastAsia="en-AU"/>
        </w:rPr>
        <w:t xml:space="preserve"> intending to review progress in three </w:t>
      </w:r>
      <w:r w:rsidR="00F34C94">
        <w:rPr>
          <w:lang w:eastAsia="en-AU"/>
        </w:rPr>
        <w:t>months’ time</w:t>
      </w:r>
      <w:r>
        <w:rPr>
          <w:lang w:eastAsia="en-AU"/>
        </w:rPr>
        <w:t xml:space="preserve"> (Ombudsman</w:t>
      </w:r>
      <w:r w:rsidR="003B5477">
        <w:rPr>
          <w:lang w:eastAsia="en-AU"/>
        </w:rPr>
        <w:t>,</w:t>
      </w:r>
      <w:r>
        <w:rPr>
          <w:lang w:eastAsia="en-AU"/>
        </w:rPr>
        <w:t xml:space="preserve"> 2012b)</w:t>
      </w:r>
      <w:r w:rsidR="003B5477">
        <w:rPr>
          <w:lang w:eastAsia="en-AU"/>
        </w:rPr>
        <w:t>.</w:t>
      </w:r>
      <w:r w:rsidR="00BB14C5">
        <w:rPr>
          <w:lang w:eastAsia="en-AU"/>
        </w:rPr>
        <w:t xml:space="preserve"> </w:t>
      </w:r>
      <w:r w:rsidR="0034325F">
        <w:rPr>
          <w:lang w:eastAsia="en-AU"/>
        </w:rPr>
        <w:t xml:space="preserve">Material from this review has however not been able to be drawn on for this report. </w:t>
      </w:r>
    </w:p>
    <w:p w:rsidR="0029753C" w:rsidRPr="005911E2" w:rsidRDefault="00106E39" w:rsidP="0029753C">
      <w:pPr>
        <w:rPr>
          <w:lang w:eastAsia="en-AU"/>
        </w:rPr>
      </w:pPr>
      <w:r>
        <w:rPr>
          <w:lang w:eastAsia="en-AU"/>
        </w:rPr>
        <w:t>Although not directly related to the evaluation of income management</w:t>
      </w:r>
      <w:r w:rsidR="004379B2">
        <w:rPr>
          <w:lang w:eastAsia="en-AU"/>
        </w:rPr>
        <w:t xml:space="preserve">, but </w:t>
      </w:r>
      <w:r>
        <w:rPr>
          <w:lang w:eastAsia="en-AU"/>
        </w:rPr>
        <w:t xml:space="preserve">also of relevance, given some of </w:t>
      </w:r>
      <w:r w:rsidR="004379B2">
        <w:rPr>
          <w:lang w:eastAsia="en-AU"/>
        </w:rPr>
        <w:t xml:space="preserve">its </w:t>
      </w:r>
      <w:r>
        <w:rPr>
          <w:lang w:eastAsia="en-AU"/>
        </w:rPr>
        <w:t>findings</w:t>
      </w:r>
      <w:r w:rsidR="004379B2">
        <w:rPr>
          <w:lang w:eastAsia="en-AU"/>
        </w:rPr>
        <w:t>,</w:t>
      </w:r>
      <w:r>
        <w:rPr>
          <w:lang w:eastAsia="en-AU"/>
        </w:rPr>
        <w:t xml:space="preserve"> is the February 2011 report </w:t>
      </w:r>
      <w:r w:rsidR="00002BD4">
        <w:rPr>
          <w:lang w:eastAsia="en-AU"/>
        </w:rPr>
        <w:t xml:space="preserve">on ‘Indigenous ATM issues’ produced by </w:t>
      </w:r>
      <w:r>
        <w:rPr>
          <w:lang w:eastAsia="en-AU"/>
        </w:rPr>
        <w:t xml:space="preserve">the joint Treasury and Reserve Bank of Australia </w:t>
      </w:r>
      <w:r w:rsidR="00002BD4">
        <w:rPr>
          <w:lang w:eastAsia="en-AU"/>
        </w:rPr>
        <w:t xml:space="preserve">ATM </w:t>
      </w:r>
      <w:r>
        <w:rPr>
          <w:lang w:eastAsia="en-AU"/>
        </w:rPr>
        <w:t>Taskforce</w:t>
      </w:r>
      <w:r w:rsidR="00002BD4">
        <w:rPr>
          <w:lang w:eastAsia="en-AU"/>
        </w:rPr>
        <w:t xml:space="preserve"> </w:t>
      </w:r>
      <w:r>
        <w:rPr>
          <w:lang w:eastAsia="en-AU"/>
        </w:rPr>
        <w:t>(Treasury &amp; RBA 2012). Following this the government has announced ‘</w:t>
      </w:r>
      <w:r w:rsidRPr="00106E39">
        <w:rPr>
          <w:lang w:eastAsia="en-AU"/>
        </w:rPr>
        <w:t>a new commitment by the Australian banking industry and two major independent ATM companies to voluntarily provide free transactions at 76 ATMs across very remote Indigenous communities in the Northern Territory, Queensland, Western Australia and South Australia</w:t>
      </w:r>
      <w:r>
        <w:rPr>
          <w:lang w:eastAsia="en-AU"/>
        </w:rPr>
        <w:t>’ (Swan, &amp; Macklin</w:t>
      </w:r>
      <w:r w:rsidR="003B5477">
        <w:rPr>
          <w:lang w:eastAsia="en-AU"/>
        </w:rPr>
        <w:t>,</w:t>
      </w:r>
      <w:r>
        <w:rPr>
          <w:lang w:eastAsia="en-AU"/>
        </w:rPr>
        <w:t xml:space="preserve"> 2012).</w:t>
      </w:r>
    </w:p>
    <w:p w:rsidR="0029753C" w:rsidRPr="005911E2" w:rsidRDefault="0029753C" w:rsidP="00616B0F">
      <w:pPr>
        <w:pStyle w:val="Heading2"/>
      </w:pPr>
      <w:bookmarkStart w:id="61" w:name="_Toc321225093"/>
      <w:bookmarkStart w:id="62" w:name="_Toc321254437"/>
      <w:bookmarkStart w:id="63" w:name="_Toc321761579"/>
      <w:bookmarkStart w:id="64" w:name="_Toc328601459"/>
      <w:bookmarkStart w:id="65" w:name="_Toc329870341"/>
      <w:bookmarkStart w:id="66" w:name="_Toc335915727"/>
      <w:r w:rsidRPr="005911E2">
        <w:t>Structure of this report</w:t>
      </w:r>
      <w:bookmarkEnd w:id="61"/>
      <w:bookmarkEnd w:id="62"/>
      <w:bookmarkEnd w:id="63"/>
      <w:bookmarkEnd w:id="64"/>
      <w:bookmarkEnd w:id="65"/>
      <w:bookmarkEnd w:id="66"/>
    </w:p>
    <w:p w:rsidR="0029753C" w:rsidRPr="005911E2" w:rsidRDefault="0029753C" w:rsidP="00A85192">
      <w:pPr>
        <w:pStyle w:val="BodyText1"/>
      </w:pPr>
      <w:r w:rsidRPr="00A85192">
        <w:t>The</w:t>
      </w:r>
      <w:r w:rsidRPr="005911E2">
        <w:t xml:space="preserve"> </w:t>
      </w:r>
      <w:r w:rsidR="008609DB">
        <w:t>rest</w:t>
      </w:r>
      <w:r w:rsidR="008609DB" w:rsidRPr="005911E2">
        <w:t xml:space="preserve"> </w:t>
      </w:r>
      <w:r w:rsidRPr="005911E2">
        <w:t>of this report is structured as follows:</w:t>
      </w:r>
    </w:p>
    <w:p w:rsidR="00485F23" w:rsidRPr="00A85192" w:rsidRDefault="006E287C" w:rsidP="00A85192">
      <w:pPr>
        <w:pStyle w:val="ListBullet"/>
      </w:pPr>
      <w:r>
        <w:t>Chapter 2 provides a detailed description of NIM, how the measure was rolled out</w:t>
      </w:r>
      <w:r w:rsidR="008609DB">
        <w:t>,</w:t>
      </w:r>
      <w:r>
        <w:t xml:space="preserve"> and how the differen</w:t>
      </w:r>
      <w:r w:rsidR="00B76C81">
        <w:t>t streams</w:t>
      </w:r>
      <w:r w:rsidR="008609DB">
        <w:t xml:space="preserve"> of N</w:t>
      </w:r>
      <w:r w:rsidR="00F3291D">
        <w:t>IM</w:t>
      </w:r>
      <w:r w:rsidR="008609DB">
        <w:t xml:space="preserve"> </w:t>
      </w:r>
      <w:r>
        <w:t>function.</w:t>
      </w:r>
    </w:p>
    <w:p w:rsidR="00930638" w:rsidRDefault="006E287C">
      <w:pPr>
        <w:pStyle w:val="ListBullet"/>
      </w:pPr>
      <w:r>
        <w:t>Chapter 3 describes the methodology of the evaluation and the rationale for the approach taken, as well as highlighting some of the major challenges faced in evaluating the program.</w:t>
      </w:r>
    </w:p>
    <w:p w:rsidR="00E81107" w:rsidRDefault="006E287C" w:rsidP="00911315">
      <w:pPr>
        <w:pStyle w:val="BodyText"/>
      </w:pPr>
      <w:r>
        <w:t>Chapters 4 to 11 set out the baseline and early implementation findings from each component of the evaluation</w:t>
      </w:r>
      <w:r w:rsidR="00F3291D">
        <w:t>. In particular:</w:t>
      </w:r>
    </w:p>
    <w:p w:rsidR="00E81107" w:rsidRPr="00911315" w:rsidRDefault="006E287C" w:rsidP="00911315">
      <w:pPr>
        <w:pStyle w:val="ListBullet"/>
      </w:pPr>
      <w:r>
        <w:t>Chapter 4 draws o</w:t>
      </w:r>
      <w:r w:rsidRPr="00911315">
        <w:t>n administrative data to describe the characteristics of people subject to income management and documents the rollout of the program</w:t>
      </w:r>
      <w:r w:rsidR="00DD1E12">
        <w:t>.</w:t>
      </w:r>
    </w:p>
    <w:p w:rsidR="00E81107" w:rsidRPr="00911315" w:rsidRDefault="006E287C" w:rsidP="00911315">
      <w:pPr>
        <w:pStyle w:val="ListBullet"/>
      </w:pPr>
      <w:r w:rsidRPr="00911315">
        <w:t>Chapter 5 reports on how funds</w:t>
      </w:r>
      <w:r w:rsidR="00F3291D" w:rsidRPr="00911315">
        <w:t>,</w:t>
      </w:r>
      <w:r w:rsidRPr="00911315">
        <w:t xml:space="preserve"> subject to income management</w:t>
      </w:r>
      <w:r w:rsidR="00F3291D" w:rsidRPr="00911315">
        <w:t>,</w:t>
      </w:r>
      <w:r w:rsidRPr="00911315">
        <w:t xml:space="preserve"> are allocated and spent</w:t>
      </w:r>
      <w:r w:rsidR="00DD1E12">
        <w:t>.</w:t>
      </w:r>
    </w:p>
    <w:p w:rsidR="00E81107" w:rsidRPr="00911315" w:rsidRDefault="006E287C" w:rsidP="00911315">
      <w:pPr>
        <w:pStyle w:val="ListBullet"/>
      </w:pPr>
      <w:r w:rsidRPr="00911315">
        <w:lastRenderedPageBreak/>
        <w:t xml:space="preserve">Chapter 6 examines the operation of the BasicsCard which is the main mechanism through which </w:t>
      </w:r>
      <w:r w:rsidR="00F878E4" w:rsidRPr="00911315">
        <w:t>income management</w:t>
      </w:r>
      <w:r w:rsidRPr="00911315">
        <w:t xml:space="preserve"> funds are spent</w:t>
      </w:r>
      <w:r w:rsidR="00DD1E12">
        <w:t>.</w:t>
      </w:r>
    </w:p>
    <w:p w:rsidR="00E81107" w:rsidRPr="00911315" w:rsidRDefault="006E287C" w:rsidP="00911315">
      <w:pPr>
        <w:pStyle w:val="ListBullet"/>
      </w:pPr>
      <w:r w:rsidRPr="00911315">
        <w:t xml:space="preserve">Chapter 7 reports on the </w:t>
      </w:r>
      <w:r w:rsidR="00F3291D" w:rsidRPr="00911315">
        <w:t>M</w:t>
      </w:r>
      <w:r w:rsidRPr="00911315">
        <w:t xml:space="preserve">atched </w:t>
      </w:r>
      <w:r w:rsidR="00F3291D" w:rsidRPr="00911315">
        <w:t>S</w:t>
      </w:r>
      <w:r w:rsidRPr="00911315">
        <w:t xml:space="preserve">avings </w:t>
      </w:r>
      <w:r w:rsidR="00F3291D" w:rsidRPr="00911315">
        <w:t>P</w:t>
      </w:r>
      <w:r w:rsidRPr="00911315">
        <w:t xml:space="preserve">rogram and </w:t>
      </w:r>
      <w:r w:rsidR="00927559" w:rsidRPr="00911315">
        <w:t>money management</w:t>
      </w:r>
      <w:r w:rsidR="00643F10" w:rsidRPr="00911315">
        <w:t xml:space="preserve">, education </w:t>
      </w:r>
      <w:r w:rsidR="00DD1E12">
        <w:t>and financial counselling.</w:t>
      </w:r>
    </w:p>
    <w:p w:rsidR="00E81107" w:rsidRPr="00911315" w:rsidRDefault="006E287C" w:rsidP="00911315">
      <w:pPr>
        <w:pStyle w:val="ListBullet"/>
      </w:pPr>
      <w:r w:rsidRPr="00911315">
        <w:t xml:space="preserve">Chapter 8 examines the operation of exemptions from </w:t>
      </w:r>
      <w:r w:rsidR="00F878E4" w:rsidRPr="00911315">
        <w:t>income management</w:t>
      </w:r>
      <w:r w:rsidR="00DD1E12">
        <w:t>.</w:t>
      </w:r>
    </w:p>
    <w:p w:rsidR="00E81107" w:rsidRPr="00911315" w:rsidRDefault="006E287C" w:rsidP="00911315">
      <w:pPr>
        <w:pStyle w:val="ListBullet"/>
      </w:pPr>
      <w:r w:rsidRPr="00911315">
        <w:t xml:space="preserve">Chapter 9 reports on the perspective on ‘intermediaries’ – those involved in various aspects of the operation of </w:t>
      </w:r>
      <w:r w:rsidR="00F878E4" w:rsidRPr="00911315">
        <w:t>income management</w:t>
      </w:r>
      <w:r w:rsidR="00DD1E12">
        <w:t>.</w:t>
      </w:r>
    </w:p>
    <w:p w:rsidR="00E81107" w:rsidRPr="00911315" w:rsidRDefault="006E287C" w:rsidP="00911315">
      <w:pPr>
        <w:pStyle w:val="ListBullet"/>
      </w:pPr>
      <w:r w:rsidRPr="00911315">
        <w:t xml:space="preserve">Chapter 10 presents quantitative analysis from the first wave of the survey of people subject to </w:t>
      </w:r>
      <w:r w:rsidR="00F878E4" w:rsidRPr="00911315">
        <w:t>income management</w:t>
      </w:r>
      <w:r w:rsidR="00DD1E12">
        <w:t>.</w:t>
      </w:r>
    </w:p>
    <w:p w:rsidR="00E81107" w:rsidRPr="00911315" w:rsidRDefault="006E287C" w:rsidP="00911315">
      <w:pPr>
        <w:pStyle w:val="ListBullet"/>
      </w:pPr>
      <w:r w:rsidRPr="00911315">
        <w:t xml:space="preserve">Chapter 11 draws on the qualitative aspects of the same study. </w:t>
      </w:r>
    </w:p>
    <w:p w:rsidR="00E81107" w:rsidRDefault="00F3291D" w:rsidP="00911315">
      <w:pPr>
        <w:pStyle w:val="BodyText1"/>
      </w:pPr>
      <w:r>
        <w:t>Then:</w:t>
      </w:r>
    </w:p>
    <w:p w:rsidR="00E81107" w:rsidRPr="00911315" w:rsidRDefault="006E287C" w:rsidP="00911315">
      <w:pPr>
        <w:pStyle w:val="ListBullet"/>
      </w:pPr>
      <w:r w:rsidRPr="00911315">
        <w:t xml:space="preserve">Chapter 12 specifically considers the potential impact of the implementation of </w:t>
      </w:r>
      <w:r w:rsidR="00F878E4" w:rsidRPr="00911315">
        <w:t>income management</w:t>
      </w:r>
      <w:r w:rsidRPr="00911315">
        <w:t xml:space="preserve"> on patterns of receipt of income support</w:t>
      </w:r>
      <w:r w:rsidR="00DD1E12">
        <w:t>.</w:t>
      </w:r>
    </w:p>
    <w:p w:rsidR="00930638" w:rsidRPr="00911315" w:rsidRDefault="006E287C" w:rsidP="00911315">
      <w:pPr>
        <w:pStyle w:val="ListBullet"/>
      </w:pPr>
      <w:r w:rsidRPr="00911315">
        <w:t xml:space="preserve">Chapter 13 draws together the findings from the three </w:t>
      </w:r>
      <w:r w:rsidR="00F3291D" w:rsidRPr="00911315">
        <w:t xml:space="preserve">evaluation </w:t>
      </w:r>
      <w:r w:rsidRPr="00911315">
        <w:t>methodologies to draw conclusions about the implementation and early impacts of NIM</w:t>
      </w:r>
      <w:r w:rsidR="00F3291D" w:rsidRPr="00911315">
        <w:t>.</w:t>
      </w:r>
    </w:p>
    <w:p w:rsidR="00E81107" w:rsidRDefault="00F3291D" w:rsidP="00911315">
      <w:pPr>
        <w:pStyle w:val="BodyText1"/>
      </w:pPr>
      <w:r>
        <w:t>A</w:t>
      </w:r>
      <w:r w:rsidR="006E287C">
        <w:t xml:space="preserve">ppendices provide some supplementary material, including further documentation of </w:t>
      </w:r>
      <w:r>
        <w:t xml:space="preserve">different </w:t>
      </w:r>
      <w:r w:rsidR="006E287C">
        <w:t xml:space="preserve">aspects of </w:t>
      </w:r>
      <w:r w:rsidR="00F878E4">
        <w:t>income management</w:t>
      </w:r>
      <w:r w:rsidR="00B76C81">
        <w:t xml:space="preserve"> and this evaluation</w:t>
      </w:r>
      <w:r>
        <w:t>.</w:t>
      </w:r>
    </w:p>
    <w:p w:rsidR="00B26206" w:rsidRPr="005911E2" w:rsidRDefault="00B26206" w:rsidP="00C0582B">
      <w:pPr>
        <w:pStyle w:val="chapterend"/>
      </w:pPr>
    </w:p>
    <w:p w:rsidR="00B26206" w:rsidRPr="005911E2" w:rsidRDefault="00B26206" w:rsidP="00B26206">
      <w:pPr>
        <w:pStyle w:val="BodyText"/>
        <w:sectPr w:rsidR="00B26206" w:rsidRPr="005911E2" w:rsidSect="00E24340">
          <w:headerReference w:type="default" r:id="rId24"/>
          <w:pgSz w:w="11906" w:h="16838" w:code="9"/>
          <w:pgMar w:top="1418" w:right="1797" w:bottom="1418" w:left="1230" w:header="567" w:footer="284" w:gutter="0"/>
          <w:pgNumType w:start="1"/>
          <w:cols w:space="708"/>
          <w:docGrid w:linePitch="360"/>
        </w:sectPr>
      </w:pPr>
    </w:p>
    <w:p w:rsidR="00BD7CE5" w:rsidRPr="005911E2" w:rsidRDefault="00BD7CE5" w:rsidP="00964B09">
      <w:pPr>
        <w:pStyle w:val="Heading1"/>
      </w:pPr>
      <w:bookmarkStart w:id="67" w:name="_Toc328601460"/>
      <w:bookmarkStart w:id="68" w:name="_Toc329870342"/>
      <w:bookmarkStart w:id="69" w:name="_Toc335915728"/>
      <w:bookmarkStart w:id="70" w:name="_Toc321225095"/>
      <w:bookmarkStart w:id="71" w:name="_Toc321254439"/>
      <w:bookmarkStart w:id="72" w:name="_Toc324196508"/>
      <w:bookmarkStart w:id="73" w:name="_Toc321225094"/>
      <w:bookmarkStart w:id="74" w:name="_Ref321228826"/>
      <w:bookmarkStart w:id="75" w:name="_Ref321229014"/>
      <w:bookmarkStart w:id="76" w:name="_Ref321687626"/>
      <w:bookmarkStart w:id="77" w:name="_Ref321729650"/>
      <w:bookmarkStart w:id="78" w:name="_Toc321254438"/>
      <w:r w:rsidRPr="005911E2">
        <w:lastRenderedPageBreak/>
        <w:t>Overview of New Income Management in the Northern Territory</w:t>
      </w:r>
      <w:bookmarkEnd w:id="67"/>
      <w:bookmarkEnd w:id="68"/>
      <w:bookmarkEnd w:id="69"/>
      <w:r w:rsidRPr="005911E2">
        <w:t xml:space="preserve"> </w:t>
      </w:r>
    </w:p>
    <w:p w:rsidR="00BD7CE5" w:rsidRPr="005911E2" w:rsidRDefault="00BD7CE5" w:rsidP="00616B0F">
      <w:pPr>
        <w:pStyle w:val="Heading2"/>
      </w:pPr>
      <w:bookmarkStart w:id="79" w:name="_Toc328601461"/>
      <w:bookmarkStart w:id="80" w:name="_Toc329870343"/>
      <w:bookmarkStart w:id="81" w:name="_Toc335915729"/>
      <w:r w:rsidRPr="005911E2">
        <w:t>Introduction</w:t>
      </w:r>
      <w:bookmarkEnd w:id="70"/>
      <w:bookmarkEnd w:id="71"/>
      <w:bookmarkEnd w:id="72"/>
      <w:bookmarkEnd w:id="79"/>
      <w:bookmarkEnd w:id="80"/>
      <w:bookmarkEnd w:id="81"/>
    </w:p>
    <w:p w:rsidR="00643F10" w:rsidRPr="005911E2" w:rsidRDefault="00BD7CE5" w:rsidP="00BD7CE5">
      <w:r w:rsidRPr="005911E2">
        <w:t xml:space="preserve">This chapter provides an overview of operation of NIM in the </w:t>
      </w:r>
      <w:r w:rsidR="006435C8">
        <w:t>Northern Territory.</w:t>
      </w:r>
      <w:r w:rsidRPr="005911E2">
        <w:t xml:space="preserve"> NIM has a number of different components</w:t>
      </w:r>
      <w:r w:rsidR="009D71B7">
        <w:t xml:space="preserve">; </w:t>
      </w:r>
      <w:r w:rsidRPr="005911E2">
        <w:t xml:space="preserve">having a clear understanding of </w:t>
      </w:r>
      <w:r w:rsidR="009D71B7">
        <w:t>the</w:t>
      </w:r>
      <w:r w:rsidRPr="005911E2">
        <w:t xml:space="preserve"> design and operation </w:t>
      </w:r>
      <w:r w:rsidR="009D71B7">
        <w:t xml:space="preserve">of NIM </w:t>
      </w:r>
      <w:r w:rsidRPr="005911E2">
        <w:t>is crucial for the evaluation</w:t>
      </w:r>
      <w:r w:rsidR="009D71B7">
        <w:t xml:space="preserve"> exercise</w:t>
      </w:r>
      <w:r w:rsidRPr="005911E2">
        <w:t>. As with most policies, understanding the history of its development is important to understanding why it is designed the way it is and how it operates. This is particularly important in the case of NIM</w:t>
      </w:r>
      <w:r w:rsidR="00002BD4">
        <w:t>,</w:t>
      </w:r>
      <w:r w:rsidRPr="005911E2">
        <w:t xml:space="preserve"> given that it arose from a form of income management that operated as part of the Northern Territory Emergency Response (NTER). The chapter begins with the background to income management</w:t>
      </w:r>
      <w:r w:rsidR="004A45A4">
        <w:t xml:space="preserve"> </w:t>
      </w:r>
      <w:r w:rsidRPr="005911E2">
        <w:t>in the</w:t>
      </w:r>
      <w:r w:rsidR="006435C8">
        <w:t xml:space="preserve"> Northern Territory </w:t>
      </w:r>
      <w:r w:rsidRPr="005911E2">
        <w:t>and then describes NIM</w:t>
      </w:r>
      <w:r w:rsidR="004A45A4">
        <w:t xml:space="preserve"> - </w:t>
      </w:r>
      <w:r w:rsidRPr="005911E2">
        <w:t xml:space="preserve">the current form of income management operating in the </w:t>
      </w:r>
      <w:r w:rsidR="006435C8">
        <w:t>Northern Territory.</w:t>
      </w:r>
    </w:p>
    <w:p w:rsidR="00BD7CE5" w:rsidRPr="005911E2" w:rsidRDefault="00BD7CE5" w:rsidP="00616B0F">
      <w:pPr>
        <w:pStyle w:val="Heading2"/>
      </w:pPr>
      <w:bookmarkStart w:id="82" w:name="_Toc321225096"/>
      <w:bookmarkStart w:id="83" w:name="_Toc321254440"/>
      <w:bookmarkStart w:id="84" w:name="_Toc324196509"/>
      <w:bookmarkStart w:id="85" w:name="_Toc328601462"/>
      <w:bookmarkStart w:id="86" w:name="_Toc329870344"/>
      <w:bookmarkStart w:id="87" w:name="_Toc335915730"/>
      <w:r w:rsidRPr="005911E2">
        <w:t>Background to the introduction of income management in the NT</w:t>
      </w:r>
      <w:bookmarkEnd w:id="82"/>
      <w:bookmarkEnd w:id="83"/>
      <w:bookmarkEnd w:id="84"/>
      <w:bookmarkEnd w:id="85"/>
      <w:bookmarkEnd w:id="86"/>
      <w:bookmarkEnd w:id="87"/>
    </w:p>
    <w:p w:rsidR="00BD7CE5" w:rsidRPr="005911E2" w:rsidRDefault="00BD7CE5" w:rsidP="00BD7CE5">
      <w:r w:rsidRPr="005911E2">
        <w:t xml:space="preserve">Australian Government compulsory </w:t>
      </w:r>
      <w:r w:rsidR="00F878E4">
        <w:t>income management</w:t>
      </w:r>
      <w:r w:rsidR="001C4D27">
        <w:t xml:space="preserve"> </w:t>
      </w:r>
      <w:r w:rsidRPr="005911E2">
        <w:t>for income support recipients was first introduced as part of the NTER. The NTER was announced in July 2007 and involved a number of policy changes, programs and changes in the provision of services. One of the catalysts for the NTER was the</w:t>
      </w:r>
      <w:r w:rsidR="00A64990">
        <w:t xml:space="preserve"> report</w:t>
      </w:r>
      <w:r w:rsidRPr="005911E2">
        <w:t xml:space="preserve"> </w:t>
      </w:r>
      <w:r w:rsidRPr="005911E2">
        <w:rPr>
          <w:i/>
        </w:rPr>
        <w:t>Protection of Aboriginal Children from Sexual Abuse, Ampe akelyernemane meke mekarle: ‘Little children are sacred’</w:t>
      </w:r>
      <w:r w:rsidRPr="005911E2">
        <w:t xml:space="preserve"> (</w:t>
      </w:r>
      <w:r w:rsidR="006435C8">
        <w:t xml:space="preserve">Northern Territory </w:t>
      </w:r>
      <w:r w:rsidR="00FA2BC6">
        <w:t>Government</w:t>
      </w:r>
      <w:r w:rsidR="00A64990">
        <w:t>,</w:t>
      </w:r>
      <w:r w:rsidRPr="005911E2">
        <w:t xml:space="preserve"> 2007) which highlighted the issue of child sexual abuse in the </w:t>
      </w:r>
      <w:r w:rsidR="006435C8">
        <w:t>Northern Territory.</w:t>
      </w:r>
      <w:r w:rsidRPr="005911E2">
        <w:t xml:space="preserve"> </w:t>
      </w:r>
    </w:p>
    <w:p w:rsidR="00BD7CE5" w:rsidRPr="005911E2" w:rsidRDefault="00BD7CE5" w:rsidP="00BD7CE5">
      <w:r w:rsidRPr="005911E2">
        <w:t xml:space="preserve">Although </w:t>
      </w:r>
      <w:r w:rsidR="00F878E4">
        <w:t>income management</w:t>
      </w:r>
      <w:r w:rsidRPr="005911E2">
        <w:t xml:space="preserve"> was only one of 37 initiatives that </w:t>
      </w:r>
      <w:r w:rsidR="00A64990">
        <w:t xml:space="preserve">made up </w:t>
      </w:r>
      <w:r w:rsidRPr="005911E2">
        <w:t>the NTER, it was probably the most widel</w:t>
      </w:r>
      <w:r w:rsidR="00141D97">
        <w:t>y recognised aspect of the NTER</w:t>
      </w:r>
      <w:r w:rsidRPr="005911E2">
        <w:t xml:space="preserve"> (Yu, Duncan </w:t>
      </w:r>
      <w:r w:rsidR="00A64990">
        <w:t>&amp;</w:t>
      </w:r>
      <w:r w:rsidR="00A64990" w:rsidRPr="005911E2">
        <w:t xml:space="preserve"> </w:t>
      </w:r>
      <w:r w:rsidRPr="005911E2">
        <w:t>Gray</w:t>
      </w:r>
      <w:r w:rsidR="00A64990">
        <w:t>,</w:t>
      </w:r>
      <w:r w:rsidRPr="005911E2">
        <w:t xml:space="preserve"> 2008)</w:t>
      </w:r>
      <w:r w:rsidR="00141D97">
        <w:t>.</w:t>
      </w:r>
    </w:p>
    <w:p w:rsidR="00BD7CE5" w:rsidRPr="005911E2" w:rsidRDefault="00BD7CE5" w:rsidP="00BD7CE5">
      <w:r w:rsidRPr="005911E2">
        <w:t xml:space="preserve">The NTER applied to 73 prescribed communities, their associated outstations and the 10 town camp regions of the Northern Territory. This covered all land held under the </w:t>
      </w:r>
      <w:r w:rsidR="00901A4F" w:rsidRPr="00901A4F">
        <w:rPr>
          <w:i/>
        </w:rPr>
        <w:t>Aboriginal Land Rights Act (Northern Territory) 1976</w:t>
      </w:r>
      <w:r w:rsidR="00A64990">
        <w:t xml:space="preserve"> (Cwth)</w:t>
      </w:r>
      <w:r w:rsidRPr="005911E2">
        <w:t>, all Aboriginal community living areas</w:t>
      </w:r>
      <w:r w:rsidR="00A64990">
        <w:t>,</w:t>
      </w:r>
      <w:r w:rsidRPr="005911E2">
        <w:t xml:space="preserve"> and all Aboriginal town camps – in total an area of over 600</w:t>
      </w:r>
      <w:r w:rsidR="002F18E7">
        <w:t> </w:t>
      </w:r>
      <w:r w:rsidRPr="005911E2">
        <w:t xml:space="preserve">000 square kilometres (Yu, Duncan </w:t>
      </w:r>
      <w:r w:rsidR="00A64990">
        <w:t>&amp;</w:t>
      </w:r>
      <w:r w:rsidRPr="005911E2">
        <w:t xml:space="preserve"> Gray</w:t>
      </w:r>
      <w:r w:rsidR="00A64990">
        <w:t>,</w:t>
      </w:r>
      <w:r w:rsidRPr="005911E2">
        <w:t xml:space="preserve"> 2008</w:t>
      </w:r>
      <w:r w:rsidR="00A64990">
        <w:t>).</w:t>
      </w:r>
      <w:r w:rsidRPr="005911E2">
        <w:t xml:space="preserve"> The prescribed areas are shown in Figure </w:t>
      </w:r>
      <w:r w:rsidRPr="005911E2">
        <w:rPr>
          <w:noProof/>
        </w:rPr>
        <w:t>2</w:t>
      </w:r>
      <w:r w:rsidRPr="005911E2">
        <w:noBreakHyphen/>
      </w:r>
      <w:r w:rsidRPr="005911E2">
        <w:rPr>
          <w:noProof/>
        </w:rPr>
        <w:t>1</w:t>
      </w:r>
      <w:r w:rsidRPr="005911E2">
        <w:t xml:space="preserve"> and Figure </w:t>
      </w:r>
      <w:r w:rsidRPr="005911E2">
        <w:rPr>
          <w:noProof/>
        </w:rPr>
        <w:t>2</w:t>
      </w:r>
      <w:r w:rsidRPr="005911E2">
        <w:noBreakHyphen/>
      </w:r>
      <w:r w:rsidRPr="005911E2">
        <w:rPr>
          <w:noProof/>
        </w:rPr>
        <w:t>2</w:t>
      </w:r>
      <w:r w:rsidRPr="005911E2">
        <w:t>. In 2008, over 70 per cent of Indigenous people in the</w:t>
      </w:r>
      <w:r w:rsidR="006435C8">
        <w:t xml:space="preserve"> Northern Territory </w:t>
      </w:r>
      <w:r w:rsidRPr="005911E2">
        <w:t>lived within prescribed areas</w:t>
      </w:r>
      <w:r w:rsidR="00A64990">
        <w:t xml:space="preserve">; </w:t>
      </w:r>
      <w:r w:rsidRPr="005911E2">
        <w:t>approximately 45</w:t>
      </w:r>
      <w:r w:rsidR="00A7506C">
        <w:t> </w:t>
      </w:r>
      <w:r w:rsidRPr="005911E2">
        <w:t xml:space="preserve">500 Indigenous people. </w:t>
      </w:r>
    </w:p>
    <w:p w:rsidR="00BD7CE5" w:rsidRPr="005911E2" w:rsidRDefault="00BD7CE5" w:rsidP="00BD7CE5">
      <w:pPr>
        <w:pStyle w:val="tabfighead"/>
      </w:pPr>
      <w:bookmarkStart w:id="88" w:name="_Ref321239136"/>
      <w:bookmarkStart w:id="89" w:name="_Toc321254593"/>
      <w:bookmarkStart w:id="90" w:name="_Toc324196674"/>
      <w:bookmarkStart w:id="91" w:name="_Toc328601644"/>
      <w:bookmarkStart w:id="92" w:name="_Toc335915910"/>
      <w:r w:rsidRPr="005911E2">
        <w:lastRenderedPageBreak/>
        <w:t xml:space="preserve">Figure </w:t>
      </w:r>
      <w:r w:rsidR="00C7347D">
        <w:fldChar w:fldCharType="begin"/>
      </w:r>
      <w:r w:rsidR="00E74851">
        <w:instrText xml:space="preserve"> STYLEREF 1 \s </w:instrText>
      </w:r>
      <w:r w:rsidR="00C7347D">
        <w:fldChar w:fldCharType="separate"/>
      </w:r>
      <w:r w:rsidR="007D7E45">
        <w:rPr>
          <w:noProof/>
        </w:rPr>
        <w:t>2</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1</w:t>
      </w:r>
      <w:r w:rsidR="00C7347D">
        <w:fldChar w:fldCharType="end"/>
      </w:r>
      <w:bookmarkEnd w:id="88"/>
      <w:r w:rsidRPr="005911E2">
        <w:tab/>
        <w:t>Map of NTER Prescribed areas, Aboriginal (ALRA) land and community living areas</w:t>
      </w:r>
      <w:bookmarkEnd w:id="89"/>
      <w:bookmarkEnd w:id="90"/>
      <w:bookmarkEnd w:id="91"/>
      <w:bookmarkEnd w:id="92"/>
    </w:p>
    <w:p w:rsidR="00BD7CE5" w:rsidRPr="005911E2" w:rsidRDefault="00E75F1A" w:rsidP="00BD7CE5">
      <w:pPr>
        <w:ind w:left="993"/>
        <w:jc w:val="center"/>
      </w:pPr>
      <w:r>
        <w:rPr>
          <w:noProof/>
          <w:lang w:eastAsia="en-AU" w:bidi="ar-SA"/>
        </w:rPr>
        <w:drawing>
          <wp:inline distT="0" distB="0" distL="0" distR="0">
            <wp:extent cx="5347970" cy="7848600"/>
            <wp:effectExtent l="0" t="0" r="5080" b="0"/>
            <wp:docPr id="32" name="Picture 24" descr="Figure 2-1 Map of NTER Prescribed areas, Aboriginal (ALRA) land and community living areas" title="Figure 2-1 Map of NTER Prescribed areas, Aboriginal (ALRA) land and community living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7970" cy="7848600"/>
                    </a:xfrm>
                    <a:prstGeom prst="rect">
                      <a:avLst/>
                    </a:prstGeom>
                    <a:noFill/>
                    <a:ln>
                      <a:noFill/>
                    </a:ln>
                  </pic:spPr>
                </pic:pic>
              </a:graphicData>
            </a:graphic>
          </wp:inline>
        </w:drawing>
      </w:r>
    </w:p>
    <w:p w:rsidR="00B76C81" w:rsidRDefault="00B76C81" w:rsidP="00E24340">
      <w:pPr>
        <w:pStyle w:val="tablefootnotes"/>
      </w:pPr>
      <w:r>
        <w:t>Note</w:t>
      </w:r>
      <w:r w:rsidR="00EC1B1F">
        <w:t>:</w:t>
      </w:r>
      <w:r>
        <w:t xml:space="preserve"> </w:t>
      </w:r>
      <w:r w:rsidR="00EC1B1F">
        <w:tab/>
      </w:r>
      <w:r>
        <w:t>ALRA Land is land held under</w:t>
      </w:r>
      <w:r w:rsidRPr="00B76C81">
        <w:t xml:space="preserve"> the Aboriginal Land Rights (Northern Territory) Act 1976 (C</w:t>
      </w:r>
      <w:r w:rsidR="001429AF">
        <w:t>w</w:t>
      </w:r>
      <w:r w:rsidRPr="00B76C81">
        <w:t>th</w:t>
      </w:r>
      <w:r w:rsidR="00614538" w:rsidRPr="00B76C81">
        <w:t>)</w:t>
      </w:r>
      <w:r w:rsidR="00614538">
        <w:t xml:space="preserve"> </w:t>
      </w:r>
    </w:p>
    <w:p w:rsidR="00D96A58" w:rsidRDefault="00BD7CE5" w:rsidP="00E24340">
      <w:pPr>
        <w:pStyle w:val="tablefootnoteslastline"/>
      </w:pPr>
      <w:r w:rsidRPr="005911E2">
        <w:t xml:space="preserve">Source: </w:t>
      </w:r>
      <w:r w:rsidR="00EC1B1F">
        <w:tab/>
      </w:r>
      <w:r w:rsidRPr="00D53477">
        <w:rPr>
          <w:i/>
        </w:rPr>
        <w:t>Report of the NTER Review Board</w:t>
      </w:r>
      <w:r w:rsidRPr="005911E2">
        <w:t>, 2008; Appendix 4.</w:t>
      </w:r>
    </w:p>
    <w:p w:rsidR="00BD7CE5" w:rsidRPr="005911E2" w:rsidRDefault="00BD7CE5" w:rsidP="00BD7CE5">
      <w:pPr>
        <w:pStyle w:val="tabfighead"/>
      </w:pPr>
      <w:bookmarkStart w:id="93" w:name="_Ref321239141"/>
      <w:bookmarkStart w:id="94" w:name="_Toc321254594"/>
      <w:bookmarkStart w:id="95" w:name="_Toc324196675"/>
      <w:bookmarkStart w:id="96" w:name="_Toc328601645"/>
      <w:bookmarkStart w:id="97" w:name="_Toc335915911"/>
      <w:r w:rsidRPr="005911E2">
        <w:lastRenderedPageBreak/>
        <w:t xml:space="preserve">Figure </w:t>
      </w:r>
      <w:r w:rsidR="00C7347D">
        <w:fldChar w:fldCharType="begin"/>
      </w:r>
      <w:r w:rsidR="00E74851">
        <w:instrText xml:space="preserve"> STYLEREF 1 \s </w:instrText>
      </w:r>
      <w:r w:rsidR="00C7347D">
        <w:fldChar w:fldCharType="separate"/>
      </w:r>
      <w:r w:rsidR="007D7E45">
        <w:rPr>
          <w:noProof/>
        </w:rPr>
        <w:t>2</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2</w:t>
      </w:r>
      <w:r w:rsidR="00C7347D">
        <w:fldChar w:fldCharType="end"/>
      </w:r>
      <w:bookmarkEnd w:id="93"/>
      <w:r w:rsidRPr="005911E2">
        <w:t xml:space="preserve"> </w:t>
      </w:r>
      <w:r w:rsidRPr="005911E2">
        <w:tab/>
        <w:t>Map of NTER Prescribed areas, town camps</w:t>
      </w:r>
      <w:bookmarkEnd w:id="94"/>
      <w:bookmarkEnd w:id="95"/>
      <w:bookmarkEnd w:id="96"/>
      <w:bookmarkEnd w:id="97"/>
    </w:p>
    <w:p w:rsidR="00BD7CE5" w:rsidRPr="005911E2" w:rsidRDefault="00BD7CE5" w:rsidP="00BD7CE5">
      <w:pPr>
        <w:pStyle w:val="BodyText"/>
        <w:ind w:left="1134"/>
      </w:pPr>
      <w:r w:rsidRPr="005911E2">
        <w:rPr>
          <w:noProof/>
          <w:lang w:bidi="ar-SA"/>
        </w:rPr>
        <w:drawing>
          <wp:inline distT="0" distB="0" distL="0" distR="0">
            <wp:extent cx="5495925" cy="7885759"/>
            <wp:effectExtent l="0" t="0" r="0" b="1270"/>
            <wp:docPr id="12" name="Picture 0" descr="Figure 2-2 Map of NTER Prescribed areas, town camps" title="Figure 2-2 Map of NTER Prescribed areas, town c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b-large.gif"/>
                    <pic:cNvPicPr/>
                  </pic:nvPicPr>
                  <pic:blipFill>
                    <a:blip r:embed="rId26" cstate="print"/>
                    <a:stretch>
                      <a:fillRect/>
                    </a:stretch>
                  </pic:blipFill>
                  <pic:spPr>
                    <a:xfrm>
                      <a:off x="0" y="0"/>
                      <a:ext cx="5498049" cy="7888807"/>
                    </a:xfrm>
                    <a:prstGeom prst="rect">
                      <a:avLst/>
                    </a:prstGeom>
                  </pic:spPr>
                </pic:pic>
              </a:graphicData>
            </a:graphic>
          </wp:inline>
        </w:drawing>
      </w:r>
    </w:p>
    <w:p w:rsidR="00D96A58" w:rsidRDefault="00BD7CE5" w:rsidP="00E24340">
      <w:pPr>
        <w:pStyle w:val="tablefootnoteslastline"/>
      </w:pPr>
      <w:r w:rsidRPr="005911E2">
        <w:t>Source:</w:t>
      </w:r>
      <w:r w:rsidRPr="00D53477">
        <w:rPr>
          <w:i/>
        </w:rPr>
        <w:t xml:space="preserve"> Report of the NTER Review Board</w:t>
      </w:r>
      <w:r w:rsidRPr="005911E2">
        <w:t>, 2008; Appendix 4.</w:t>
      </w:r>
    </w:p>
    <w:p w:rsidR="00B76C81" w:rsidRDefault="00B76C81" w:rsidP="00E24340">
      <w:pPr>
        <w:pStyle w:val="tablefootnoteslastline"/>
      </w:pPr>
    </w:p>
    <w:p w:rsidR="00E24340" w:rsidRPr="005911E2" w:rsidRDefault="00E24340" w:rsidP="00E24340">
      <w:pPr>
        <w:pStyle w:val="tablefootnoteslastline"/>
      </w:pPr>
    </w:p>
    <w:p w:rsidR="00C5227F" w:rsidRPr="005911E2" w:rsidRDefault="00C5227F" w:rsidP="00C5227F">
      <w:r w:rsidRPr="005911E2">
        <w:lastRenderedPageBreak/>
        <w:t xml:space="preserve">Under the NTER model of income management, people living in the prescribed areas who received government income support payments had half of their income support payments income managed. Income-managed funds </w:t>
      </w:r>
      <w:r>
        <w:t>were</w:t>
      </w:r>
      <w:r w:rsidRPr="005911E2">
        <w:t xml:space="preserve"> directed towards agreed priority needs and services such as food, rent and utilities. Income-managed funds could not be used to purchase excluded items such as alcohol, tobacco, pornography or gambling products. Because of the targeting of largely Indigenous communities, the implementation of the NTER required the suspension of the </w:t>
      </w:r>
      <w:r w:rsidRPr="00AB1845">
        <w:rPr>
          <w:i/>
        </w:rPr>
        <w:t>Racial Discrimination Act</w:t>
      </w:r>
      <w:r>
        <w:t xml:space="preserve">. </w:t>
      </w:r>
      <w:r w:rsidRPr="005911E2">
        <w:t>NTER IM applied to all income support recipients</w:t>
      </w:r>
      <w:r w:rsidR="00D53477">
        <w:t xml:space="preserve"> </w:t>
      </w:r>
      <w:r w:rsidR="00D53477" w:rsidRPr="005911E2">
        <w:t>who were living in a prescribed area on 21 June 2007</w:t>
      </w:r>
      <w:r w:rsidRPr="00901A4F">
        <w:rPr>
          <w:vertAlign w:val="superscript"/>
          <w:lang w:eastAsia="en-AU"/>
        </w:rPr>
        <w:footnoteReference w:id="16"/>
      </w:r>
      <w:r w:rsidRPr="005911E2">
        <w:t xml:space="preserve">. </w:t>
      </w:r>
    </w:p>
    <w:p w:rsidR="00C5227F" w:rsidRPr="005911E2" w:rsidRDefault="00C5227F" w:rsidP="00C5227F">
      <w:bookmarkStart w:id="98" w:name="_Ref320972031"/>
      <w:r w:rsidRPr="005911E2">
        <w:t xml:space="preserve">In July 2010, just prior to the introduction of NIM in the </w:t>
      </w:r>
      <w:r w:rsidR="006435C8">
        <w:t>Northern Territory,</w:t>
      </w:r>
      <w:r w:rsidRPr="005911E2">
        <w:t xml:space="preserve"> there were 16</w:t>
      </w:r>
      <w:r>
        <w:t> </w:t>
      </w:r>
      <w:r w:rsidRPr="005911E2">
        <w:t>726 income support recipients on NTER IM and 22</w:t>
      </w:r>
      <w:r>
        <w:t> </w:t>
      </w:r>
      <w:r w:rsidRPr="005911E2">
        <w:t xml:space="preserve">515 income support recipients not being income managed. </w:t>
      </w:r>
    </w:p>
    <w:p w:rsidR="00C5227F" w:rsidRPr="005911E2" w:rsidRDefault="00C5227F" w:rsidP="00C5227F">
      <w:pPr>
        <w:pStyle w:val="tabfighead"/>
      </w:pPr>
      <w:bookmarkStart w:id="99" w:name="_Toc328601567"/>
      <w:bookmarkStart w:id="100" w:name="_Toc329051345"/>
      <w:bookmarkStart w:id="101" w:name="_Toc335915833"/>
      <w:bookmarkEnd w:id="98"/>
      <w:r w:rsidRPr="005911E2">
        <w:t xml:space="preserve">Table </w:t>
      </w:r>
      <w:r w:rsidR="00C7347D">
        <w:fldChar w:fldCharType="begin"/>
      </w:r>
      <w:r w:rsidR="000401CF">
        <w:instrText xml:space="preserve"> STYLEREF 1 \s </w:instrText>
      </w:r>
      <w:r w:rsidR="00C7347D">
        <w:fldChar w:fldCharType="separate"/>
      </w:r>
      <w:r w:rsidR="007D7E45">
        <w:rPr>
          <w:noProof/>
        </w:rPr>
        <w:t>2</w:t>
      </w:r>
      <w:r w:rsidR="00C7347D">
        <w:rPr>
          <w:noProof/>
        </w:rPr>
        <w:fldChar w:fldCharType="end"/>
      </w:r>
      <w:r w:rsidRPr="005911E2">
        <w:noBreakHyphen/>
      </w:r>
      <w:r w:rsidR="00C7347D">
        <w:fldChar w:fldCharType="begin"/>
      </w:r>
      <w:r w:rsidR="000401CF">
        <w:instrText xml:space="preserve"> SEQ Table \* ARABIC \s 1 </w:instrText>
      </w:r>
      <w:r w:rsidR="00C7347D">
        <w:fldChar w:fldCharType="separate"/>
      </w:r>
      <w:r w:rsidR="007D7E45">
        <w:rPr>
          <w:noProof/>
        </w:rPr>
        <w:t>1</w:t>
      </w:r>
      <w:r w:rsidR="00C7347D">
        <w:rPr>
          <w:noProof/>
        </w:rPr>
        <w:fldChar w:fldCharType="end"/>
      </w:r>
      <w:r w:rsidRPr="005911E2">
        <w:tab/>
        <w:t xml:space="preserve">Proportion of income support recipients subject to NTER </w:t>
      </w:r>
      <w:r>
        <w:t>income management</w:t>
      </w:r>
      <w:r w:rsidR="00CD6407">
        <w:t xml:space="preserve"> by Statistical Sub</w:t>
      </w:r>
      <w:r w:rsidRPr="005911E2">
        <w:t>division, June 2010</w:t>
      </w:r>
      <w:bookmarkEnd w:id="99"/>
      <w:bookmarkEnd w:id="100"/>
      <w:bookmarkEnd w:id="101"/>
      <w:r w:rsidRPr="005911E2">
        <w:t xml:space="preserve"> </w:t>
      </w:r>
    </w:p>
    <w:tbl>
      <w:tblPr>
        <w:tblW w:w="4733" w:type="dxa"/>
        <w:tblCellSpacing w:w="5" w:type="dxa"/>
        <w:tblInd w:w="1961" w:type="dxa"/>
        <w:tblLook w:val="04A0" w:firstRow="1" w:lastRow="0" w:firstColumn="1" w:lastColumn="0" w:noHBand="0" w:noVBand="1"/>
      </w:tblPr>
      <w:tblGrid>
        <w:gridCol w:w="2324"/>
        <w:gridCol w:w="2409"/>
      </w:tblGrid>
      <w:tr w:rsidR="00C5227F" w:rsidRPr="005911E2" w:rsidTr="00D53477">
        <w:trPr>
          <w:trHeight w:val="20"/>
          <w:tblCellSpacing w:w="5" w:type="dxa"/>
        </w:trPr>
        <w:tc>
          <w:tcPr>
            <w:tcW w:w="2309" w:type="dxa"/>
            <w:tcBorders>
              <w:top w:val="single" w:sz="4" w:space="0" w:color="auto"/>
            </w:tcBorders>
            <w:shd w:val="clear" w:color="auto" w:fill="auto"/>
            <w:noWrap/>
            <w:hideMark/>
          </w:tcPr>
          <w:p w:rsidR="00C5227F" w:rsidRPr="005911E2" w:rsidRDefault="00CD6407" w:rsidP="00C5227F">
            <w:pPr>
              <w:pStyle w:val="TableText"/>
            </w:pPr>
            <w:r>
              <w:t>Statistical Subd</w:t>
            </w:r>
            <w:r w:rsidR="00C5227F" w:rsidRPr="005911E2">
              <w:t>ivision</w:t>
            </w:r>
          </w:p>
        </w:tc>
        <w:tc>
          <w:tcPr>
            <w:tcW w:w="2394" w:type="dxa"/>
            <w:tcBorders>
              <w:top w:val="single" w:sz="4" w:space="0" w:color="auto"/>
            </w:tcBorders>
            <w:shd w:val="clear" w:color="auto" w:fill="auto"/>
            <w:noWrap/>
            <w:vAlign w:val="bottom"/>
            <w:hideMark/>
          </w:tcPr>
          <w:p w:rsidR="00C5227F" w:rsidRPr="005911E2" w:rsidRDefault="00C5227F" w:rsidP="00C5227F">
            <w:pPr>
              <w:pStyle w:val="TableText"/>
              <w:jc w:val="right"/>
            </w:pPr>
            <w:r w:rsidRPr="005911E2">
              <w:t>Proportion of income support recipients being income managed</w:t>
            </w:r>
          </w:p>
        </w:tc>
      </w:tr>
      <w:tr w:rsidR="00C5227F" w:rsidRPr="005911E2" w:rsidTr="00D53477">
        <w:trPr>
          <w:trHeight w:val="20"/>
          <w:tblCellSpacing w:w="5" w:type="dxa"/>
        </w:trPr>
        <w:tc>
          <w:tcPr>
            <w:tcW w:w="2309" w:type="dxa"/>
            <w:tcBorders>
              <w:top w:val="single" w:sz="4" w:space="0" w:color="auto"/>
            </w:tcBorders>
            <w:shd w:val="clear" w:color="auto" w:fill="auto"/>
            <w:noWrap/>
            <w:vAlign w:val="bottom"/>
          </w:tcPr>
          <w:p w:rsidR="00C5227F" w:rsidRPr="005911E2" w:rsidRDefault="00C5227F" w:rsidP="00C5227F">
            <w:pPr>
              <w:pStyle w:val="TableText"/>
            </w:pPr>
          </w:p>
        </w:tc>
        <w:tc>
          <w:tcPr>
            <w:tcW w:w="2394" w:type="dxa"/>
            <w:tcBorders>
              <w:top w:val="single" w:sz="4" w:space="0" w:color="auto"/>
            </w:tcBorders>
            <w:shd w:val="clear" w:color="auto" w:fill="auto"/>
            <w:noWrap/>
            <w:vAlign w:val="bottom"/>
          </w:tcPr>
          <w:p w:rsidR="00C5227F" w:rsidRPr="005911E2" w:rsidRDefault="00C5227F" w:rsidP="00C5227F">
            <w:pPr>
              <w:pStyle w:val="TableText"/>
              <w:jc w:val="right"/>
            </w:pPr>
            <w:r w:rsidRPr="005911E2">
              <w:t>- % -</w:t>
            </w:r>
          </w:p>
        </w:tc>
      </w:tr>
      <w:tr w:rsidR="00C5227F" w:rsidRPr="005911E2" w:rsidTr="00D53477">
        <w:trPr>
          <w:trHeight w:val="20"/>
          <w:tblCellSpacing w:w="5" w:type="dxa"/>
        </w:trPr>
        <w:tc>
          <w:tcPr>
            <w:tcW w:w="2309" w:type="dxa"/>
            <w:shd w:val="clear" w:color="auto" w:fill="auto"/>
            <w:noWrap/>
            <w:vAlign w:val="bottom"/>
            <w:hideMark/>
          </w:tcPr>
          <w:p w:rsidR="00C5227F" w:rsidRPr="005911E2" w:rsidRDefault="00C5227F" w:rsidP="00C5227F">
            <w:pPr>
              <w:pStyle w:val="TableText"/>
            </w:pPr>
            <w:r w:rsidRPr="005911E2">
              <w:t>Darwin City</w:t>
            </w:r>
          </w:p>
        </w:tc>
        <w:tc>
          <w:tcPr>
            <w:tcW w:w="2394" w:type="dxa"/>
            <w:shd w:val="clear" w:color="auto" w:fill="auto"/>
            <w:noWrap/>
            <w:vAlign w:val="bottom"/>
            <w:hideMark/>
          </w:tcPr>
          <w:p w:rsidR="00C5227F" w:rsidRPr="005911E2" w:rsidRDefault="00C5227F" w:rsidP="00C5227F">
            <w:pPr>
              <w:pStyle w:val="TableText"/>
              <w:jc w:val="right"/>
            </w:pPr>
            <w:r w:rsidRPr="005911E2">
              <w:t>10.7</w:t>
            </w:r>
          </w:p>
        </w:tc>
      </w:tr>
      <w:tr w:rsidR="00C5227F" w:rsidRPr="005911E2" w:rsidTr="00D53477">
        <w:trPr>
          <w:trHeight w:val="20"/>
          <w:tblCellSpacing w:w="5" w:type="dxa"/>
        </w:trPr>
        <w:tc>
          <w:tcPr>
            <w:tcW w:w="2309" w:type="dxa"/>
            <w:shd w:val="clear" w:color="auto" w:fill="auto"/>
            <w:noWrap/>
            <w:vAlign w:val="bottom"/>
            <w:hideMark/>
          </w:tcPr>
          <w:p w:rsidR="00C5227F" w:rsidRPr="005911E2" w:rsidRDefault="00C5227F" w:rsidP="00C5227F">
            <w:pPr>
              <w:pStyle w:val="TableText"/>
            </w:pPr>
            <w:r w:rsidRPr="005911E2">
              <w:t>Palmerston-East Arm</w:t>
            </w:r>
          </w:p>
        </w:tc>
        <w:tc>
          <w:tcPr>
            <w:tcW w:w="2394" w:type="dxa"/>
            <w:shd w:val="clear" w:color="auto" w:fill="auto"/>
            <w:noWrap/>
            <w:vAlign w:val="bottom"/>
            <w:hideMark/>
          </w:tcPr>
          <w:p w:rsidR="00C5227F" w:rsidRPr="005911E2" w:rsidRDefault="00C5227F" w:rsidP="00C5227F">
            <w:pPr>
              <w:pStyle w:val="TableText"/>
              <w:jc w:val="right"/>
            </w:pPr>
            <w:r w:rsidRPr="005911E2">
              <w:t>4.0</w:t>
            </w:r>
          </w:p>
        </w:tc>
      </w:tr>
      <w:tr w:rsidR="00C5227F" w:rsidRPr="005911E2" w:rsidTr="00D53477">
        <w:trPr>
          <w:trHeight w:val="20"/>
          <w:tblCellSpacing w:w="5" w:type="dxa"/>
        </w:trPr>
        <w:tc>
          <w:tcPr>
            <w:tcW w:w="2309" w:type="dxa"/>
            <w:shd w:val="clear" w:color="auto" w:fill="auto"/>
            <w:noWrap/>
            <w:vAlign w:val="bottom"/>
            <w:hideMark/>
          </w:tcPr>
          <w:p w:rsidR="00C5227F" w:rsidRPr="005911E2" w:rsidRDefault="00C5227F" w:rsidP="00C5227F">
            <w:pPr>
              <w:pStyle w:val="TableText"/>
            </w:pPr>
            <w:r w:rsidRPr="005911E2">
              <w:t>Litchfield</w:t>
            </w:r>
          </w:p>
        </w:tc>
        <w:tc>
          <w:tcPr>
            <w:tcW w:w="2394" w:type="dxa"/>
            <w:shd w:val="clear" w:color="auto" w:fill="auto"/>
            <w:noWrap/>
            <w:vAlign w:val="bottom"/>
            <w:hideMark/>
          </w:tcPr>
          <w:p w:rsidR="00C5227F" w:rsidRPr="005911E2" w:rsidRDefault="00C5227F" w:rsidP="00C5227F">
            <w:pPr>
              <w:pStyle w:val="TableText"/>
              <w:jc w:val="right"/>
            </w:pPr>
            <w:r w:rsidRPr="005911E2">
              <w:t>2.8</w:t>
            </w:r>
          </w:p>
        </w:tc>
      </w:tr>
      <w:tr w:rsidR="00C5227F" w:rsidRPr="005911E2" w:rsidTr="00D53477">
        <w:trPr>
          <w:trHeight w:val="20"/>
          <w:tblCellSpacing w:w="5" w:type="dxa"/>
        </w:trPr>
        <w:tc>
          <w:tcPr>
            <w:tcW w:w="2309" w:type="dxa"/>
            <w:shd w:val="clear" w:color="auto" w:fill="auto"/>
            <w:noWrap/>
            <w:vAlign w:val="bottom"/>
            <w:hideMark/>
          </w:tcPr>
          <w:p w:rsidR="00C5227F" w:rsidRPr="005911E2" w:rsidRDefault="00C5227F" w:rsidP="00C5227F">
            <w:pPr>
              <w:pStyle w:val="TableText"/>
            </w:pPr>
            <w:r w:rsidRPr="005911E2">
              <w:t>Finniss</w:t>
            </w:r>
          </w:p>
        </w:tc>
        <w:tc>
          <w:tcPr>
            <w:tcW w:w="2394" w:type="dxa"/>
            <w:shd w:val="clear" w:color="auto" w:fill="auto"/>
            <w:noWrap/>
            <w:vAlign w:val="bottom"/>
            <w:hideMark/>
          </w:tcPr>
          <w:p w:rsidR="00C5227F" w:rsidRPr="005911E2" w:rsidRDefault="00C5227F" w:rsidP="00C5227F">
            <w:pPr>
              <w:pStyle w:val="TableText"/>
              <w:jc w:val="right"/>
            </w:pPr>
            <w:r w:rsidRPr="005911E2">
              <w:t>14.7</w:t>
            </w:r>
          </w:p>
        </w:tc>
      </w:tr>
      <w:tr w:rsidR="00C5227F" w:rsidRPr="005911E2" w:rsidTr="00D53477">
        <w:trPr>
          <w:trHeight w:val="20"/>
          <w:tblCellSpacing w:w="5" w:type="dxa"/>
        </w:trPr>
        <w:tc>
          <w:tcPr>
            <w:tcW w:w="2309" w:type="dxa"/>
            <w:shd w:val="clear" w:color="auto" w:fill="auto"/>
            <w:noWrap/>
            <w:vAlign w:val="bottom"/>
            <w:hideMark/>
          </w:tcPr>
          <w:p w:rsidR="00C5227F" w:rsidRPr="005911E2" w:rsidRDefault="00C5227F" w:rsidP="00C5227F">
            <w:pPr>
              <w:pStyle w:val="TableText"/>
            </w:pPr>
            <w:r w:rsidRPr="005911E2">
              <w:t>Bathurst-Melville</w:t>
            </w:r>
          </w:p>
        </w:tc>
        <w:tc>
          <w:tcPr>
            <w:tcW w:w="2394" w:type="dxa"/>
            <w:shd w:val="clear" w:color="auto" w:fill="auto"/>
            <w:noWrap/>
            <w:vAlign w:val="bottom"/>
            <w:hideMark/>
          </w:tcPr>
          <w:p w:rsidR="00C5227F" w:rsidRPr="005911E2" w:rsidRDefault="00C5227F" w:rsidP="00C5227F">
            <w:pPr>
              <w:pStyle w:val="TableText"/>
              <w:jc w:val="right"/>
            </w:pPr>
            <w:r w:rsidRPr="005911E2">
              <w:t>79.3</w:t>
            </w:r>
          </w:p>
        </w:tc>
      </w:tr>
      <w:tr w:rsidR="00C5227F" w:rsidRPr="005911E2" w:rsidTr="00D53477">
        <w:trPr>
          <w:trHeight w:val="20"/>
          <w:tblCellSpacing w:w="5" w:type="dxa"/>
        </w:trPr>
        <w:tc>
          <w:tcPr>
            <w:tcW w:w="2309" w:type="dxa"/>
            <w:shd w:val="clear" w:color="auto" w:fill="auto"/>
            <w:noWrap/>
            <w:vAlign w:val="bottom"/>
            <w:hideMark/>
          </w:tcPr>
          <w:p w:rsidR="00C5227F" w:rsidRPr="005911E2" w:rsidRDefault="00C5227F" w:rsidP="00C5227F">
            <w:pPr>
              <w:pStyle w:val="TableText"/>
            </w:pPr>
            <w:r w:rsidRPr="005911E2">
              <w:t>Alligator</w:t>
            </w:r>
          </w:p>
        </w:tc>
        <w:tc>
          <w:tcPr>
            <w:tcW w:w="2394" w:type="dxa"/>
            <w:shd w:val="clear" w:color="auto" w:fill="auto"/>
            <w:noWrap/>
            <w:vAlign w:val="bottom"/>
            <w:hideMark/>
          </w:tcPr>
          <w:p w:rsidR="00C5227F" w:rsidRPr="005911E2" w:rsidRDefault="00C5227F" w:rsidP="00C5227F">
            <w:pPr>
              <w:pStyle w:val="TableText"/>
              <w:jc w:val="right"/>
            </w:pPr>
            <w:r w:rsidRPr="005911E2">
              <w:t>71.7</w:t>
            </w:r>
          </w:p>
        </w:tc>
      </w:tr>
      <w:tr w:rsidR="00C5227F" w:rsidRPr="005911E2" w:rsidTr="00D53477">
        <w:trPr>
          <w:trHeight w:val="20"/>
          <w:tblCellSpacing w:w="5" w:type="dxa"/>
        </w:trPr>
        <w:tc>
          <w:tcPr>
            <w:tcW w:w="2309" w:type="dxa"/>
            <w:shd w:val="clear" w:color="auto" w:fill="auto"/>
            <w:noWrap/>
            <w:vAlign w:val="bottom"/>
            <w:hideMark/>
          </w:tcPr>
          <w:p w:rsidR="00C5227F" w:rsidRPr="005911E2" w:rsidRDefault="00C5227F" w:rsidP="00C5227F">
            <w:pPr>
              <w:pStyle w:val="TableText"/>
            </w:pPr>
            <w:r w:rsidRPr="005911E2">
              <w:t>East Arnhem</w:t>
            </w:r>
          </w:p>
        </w:tc>
        <w:tc>
          <w:tcPr>
            <w:tcW w:w="2394" w:type="dxa"/>
            <w:shd w:val="clear" w:color="auto" w:fill="auto"/>
            <w:noWrap/>
            <w:vAlign w:val="bottom"/>
            <w:hideMark/>
          </w:tcPr>
          <w:p w:rsidR="00C5227F" w:rsidRPr="005911E2" w:rsidRDefault="00C5227F" w:rsidP="00C5227F">
            <w:pPr>
              <w:pStyle w:val="TableText"/>
              <w:jc w:val="right"/>
            </w:pPr>
            <w:r w:rsidRPr="005911E2">
              <w:t>82.1</w:t>
            </w:r>
          </w:p>
        </w:tc>
      </w:tr>
      <w:tr w:rsidR="00C5227F" w:rsidRPr="005911E2" w:rsidTr="00D53477">
        <w:trPr>
          <w:trHeight w:val="20"/>
          <w:tblCellSpacing w:w="5" w:type="dxa"/>
        </w:trPr>
        <w:tc>
          <w:tcPr>
            <w:tcW w:w="2309" w:type="dxa"/>
            <w:shd w:val="clear" w:color="auto" w:fill="auto"/>
            <w:noWrap/>
            <w:vAlign w:val="bottom"/>
            <w:hideMark/>
          </w:tcPr>
          <w:p w:rsidR="00C5227F" w:rsidRPr="005911E2" w:rsidRDefault="00C5227F" w:rsidP="00C5227F">
            <w:pPr>
              <w:pStyle w:val="TableText"/>
            </w:pPr>
            <w:r w:rsidRPr="005911E2">
              <w:t>Lower Top End NT</w:t>
            </w:r>
          </w:p>
        </w:tc>
        <w:tc>
          <w:tcPr>
            <w:tcW w:w="2394" w:type="dxa"/>
            <w:shd w:val="clear" w:color="auto" w:fill="auto"/>
            <w:noWrap/>
            <w:vAlign w:val="bottom"/>
            <w:hideMark/>
          </w:tcPr>
          <w:p w:rsidR="00C5227F" w:rsidRPr="005911E2" w:rsidRDefault="00C5227F" w:rsidP="00C5227F">
            <w:pPr>
              <w:pStyle w:val="TableText"/>
              <w:jc w:val="right"/>
            </w:pPr>
            <w:r w:rsidRPr="005911E2">
              <w:t>60.8</w:t>
            </w:r>
          </w:p>
        </w:tc>
      </w:tr>
      <w:tr w:rsidR="00C5227F" w:rsidRPr="005911E2" w:rsidTr="00D53477">
        <w:trPr>
          <w:trHeight w:val="69"/>
          <w:tblCellSpacing w:w="5" w:type="dxa"/>
        </w:trPr>
        <w:tc>
          <w:tcPr>
            <w:tcW w:w="2309" w:type="dxa"/>
            <w:shd w:val="clear" w:color="auto" w:fill="auto"/>
            <w:noWrap/>
            <w:vAlign w:val="bottom"/>
            <w:hideMark/>
          </w:tcPr>
          <w:p w:rsidR="00C5227F" w:rsidRPr="005911E2" w:rsidRDefault="00C5227F" w:rsidP="00C5227F">
            <w:pPr>
              <w:pStyle w:val="TableText"/>
            </w:pPr>
            <w:r w:rsidRPr="005911E2">
              <w:t>Barkly</w:t>
            </w:r>
          </w:p>
        </w:tc>
        <w:tc>
          <w:tcPr>
            <w:tcW w:w="2394" w:type="dxa"/>
            <w:shd w:val="clear" w:color="auto" w:fill="auto"/>
            <w:noWrap/>
            <w:vAlign w:val="bottom"/>
            <w:hideMark/>
          </w:tcPr>
          <w:p w:rsidR="00C5227F" w:rsidRPr="005911E2" w:rsidRDefault="00C5227F" w:rsidP="00C5227F">
            <w:pPr>
              <w:pStyle w:val="TableText"/>
              <w:jc w:val="right"/>
            </w:pPr>
            <w:r w:rsidRPr="005911E2">
              <w:t>63.1</w:t>
            </w:r>
          </w:p>
        </w:tc>
      </w:tr>
      <w:tr w:rsidR="00C5227F" w:rsidRPr="005911E2" w:rsidTr="00D53477">
        <w:trPr>
          <w:trHeight w:val="20"/>
          <w:tblCellSpacing w:w="5" w:type="dxa"/>
        </w:trPr>
        <w:tc>
          <w:tcPr>
            <w:tcW w:w="2309" w:type="dxa"/>
            <w:shd w:val="clear" w:color="auto" w:fill="auto"/>
            <w:noWrap/>
            <w:vAlign w:val="bottom"/>
            <w:hideMark/>
          </w:tcPr>
          <w:p w:rsidR="00C5227F" w:rsidRPr="005911E2" w:rsidRDefault="00C5227F" w:rsidP="00C5227F">
            <w:pPr>
              <w:pStyle w:val="TableText"/>
            </w:pPr>
            <w:r w:rsidRPr="005911E2">
              <w:t>Central NT</w:t>
            </w:r>
          </w:p>
        </w:tc>
        <w:tc>
          <w:tcPr>
            <w:tcW w:w="2394" w:type="dxa"/>
            <w:shd w:val="clear" w:color="auto" w:fill="auto"/>
            <w:noWrap/>
            <w:vAlign w:val="bottom"/>
            <w:hideMark/>
          </w:tcPr>
          <w:p w:rsidR="00C5227F" w:rsidRPr="005911E2" w:rsidRDefault="00C5227F" w:rsidP="00C5227F">
            <w:pPr>
              <w:pStyle w:val="TableText"/>
              <w:jc w:val="right"/>
            </w:pPr>
            <w:r w:rsidRPr="005911E2">
              <w:t>53.6</w:t>
            </w:r>
          </w:p>
        </w:tc>
      </w:tr>
      <w:tr w:rsidR="00C5227F" w:rsidRPr="005911E2" w:rsidTr="00D53477">
        <w:trPr>
          <w:trHeight w:val="20"/>
          <w:tblCellSpacing w:w="5" w:type="dxa"/>
        </w:trPr>
        <w:tc>
          <w:tcPr>
            <w:tcW w:w="2309" w:type="dxa"/>
            <w:tcBorders>
              <w:bottom w:val="single" w:sz="4" w:space="0" w:color="auto"/>
            </w:tcBorders>
            <w:shd w:val="clear" w:color="auto" w:fill="auto"/>
            <w:noWrap/>
            <w:vAlign w:val="bottom"/>
            <w:hideMark/>
          </w:tcPr>
          <w:p w:rsidR="00C5227F" w:rsidRPr="005911E2" w:rsidRDefault="00C5227F" w:rsidP="00C5227F">
            <w:pPr>
              <w:pStyle w:val="TableText"/>
            </w:pPr>
            <w:r w:rsidRPr="005911E2">
              <w:t>Total NT</w:t>
            </w:r>
          </w:p>
        </w:tc>
        <w:tc>
          <w:tcPr>
            <w:tcW w:w="2394" w:type="dxa"/>
            <w:tcBorders>
              <w:bottom w:val="single" w:sz="4" w:space="0" w:color="auto"/>
            </w:tcBorders>
            <w:shd w:val="clear" w:color="auto" w:fill="auto"/>
            <w:noWrap/>
            <w:vAlign w:val="bottom"/>
            <w:hideMark/>
          </w:tcPr>
          <w:p w:rsidR="00C5227F" w:rsidRPr="005911E2" w:rsidRDefault="00C5227F" w:rsidP="00C5227F">
            <w:pPr>
              <w:pStyle w:val="TableText"/>
              <w:jc w:val="right"/>
            </w:pPr>
            <w:r w:rsidRPr="005911E2">
              <w:t>40.4</w:t>
            </w:r>
          </w:p>
        </w:tc>
      </w:tr>
    </w:tbl>
    <w:p w:rsidR="00C5227F" w:rsidRPr="008C279E" w:rsidRDefault="00C5227F" w:rsidP="00C5227F">
      <w:pPr>
        <w:pStyle w:val="tablefootnotes"/>
      </w:pPr>
      <w:r w:rsidRPr="008C279E">
        <w:t xml:space="preserve">Note: </w:t>
      </w:r>
      <w:r>
        <w:tab/>
      </w:r>
      <w:r w:rsidRPr="008C279E">
        <w:t xml:space="preserve">Table population is all income support recipients resident in the </w:t>
      </w:r>
      <w:r w:rsidR="006435C8">
        <w:t>Northern Territory.</w:t>
      </w:r>
    </w:p>
    <w:p w:rsidR="00C5227F" w:rsidRDefault="00C5227F" w:rsidP="00C5227F">
      <w:pPr>
        <w:pStyle w:val="tablefootnotes"/>
      </w:pPr>
      <w:r w:rsidRPr="008C279E">
        <w:t>Source</w:t>
      </w:r>
      <w:r>
        <w:tab/>
      </w:r>
      <w:r w:rsidRPr="008C279E">
        <w:t>Derived from the FaHCSIA Housing Dataset.</w:t>
      </w:r>
    </w:p>
    <w:p w:rsidR="00C5227F" w:rsidRPr="005911E2" w:rsidRDefault="00C5227F" w:rsidP="00C5227F">
      <w:pPr>
        <w:pStyle w:val="tablefootnoteslastline"/>
      </w:pPr>
    </w:p>
    <w:p w:rsidR="00141D97" w:rsidRDefault="00E24340" w:rsidP="00E24340">
      <w:r w:rsidRPr="005911E2">
        <w:t xml:space="preserve">People who were subject to </w:t>
      </w:r>
      <w:r>
        <w:t>income management</w:t>
      </w:r>
      <w:r w:rsidRPr="005911E2">
        <w:t xml:space="preserve"> because they lived in a prescribed area and subsequently moved within the</w:t>
      </w:r>
      <w:r w:rsidR="006435C8">
        <w:t xml:space="preserve"> Northern Territory </w:t>
      </w:r>
      <w:r w:rsidRPr="005911E2">
        <w:t xml:space="preserve">continued to be subject to </w:t>
      </w:r>
      <w:r>
        <w:t>income management</w:t>
      </w:r>
      <w:r w:rsidRPr="005911E2">
        <w:t>. This meant that by June 2010, there were a number of people in the</w:t>
      </w:r>
      <w:r w:rsidR="006435C8">
        <w:t xml:space="preserve"> Northern Territory </w:t>
      </w:r>
      <w:r w:rsidRPr="005911E2">
        <w:t xml:space="preserve">living outside of prescribed communities who were subject to </w:t>
      </w:r>
      <w:r>
        <w:t>income management</w:t>
      </w:r>
      <w:r w:rsidRPr="005911E2">
        <w:t xml:space="preserve"> because they were previously living in a prescribed area. Table </w:t>
      </w:r>
      <w:r w:rsidRPr="005911E2">
        <w:rPr>
          <w:noProof/>
        </w:rPr>
        <w:t>2</w:t>
      </w:r>
      <w:r w:rsidRPr="005911E2">
        <w:noBreakHyphen/>
      </w:r>
      <w:r w:rsidRPr="005911E2">
        <w:rPr>
          <w:noProof/>
        </w:rPr>
        <w:t>1</w:t>
      </w:r>
      <w:r w:rsidRPr="005911E2">
        <w:t xml:space="preserve"> shows the numbers being inc</w:t>
      </w:r>
      <w:r w:rsidR="00CD6407">
        <w:t>ome managed by Statistical Subd</w:t>
      </w:r>
      <w:r w:rsidRPr="005911E2">
        <w:t>ivision in June 2010.</w:t>
      </w:r>
    </w:p>
    <w:p w:rsidR="002F18E7" w:rsidRDefault="00B76C81" w:rsidP="00C5227F">
      <w:pPr>
        <w:pageBreakBefore/>
      </w:pPr>
      <w:r w:rsidRPr="005911E2">
        <w:lastRenderedPageBreak/>
        <w:t xml:space="preserve">Following the change of government in 2007, the incoming government decided to continue </w:t>
      </w:r>
      <w:r>
        <w:t>income management</w:t>
      </w:r>
      <w:r w:rsidRPr="005911E2">
        <w:t xml:space="preserve"> in the </w:t>
      </w:r>
      <w:r w:rsidR="006435C8">
        <w:t>Northern Territory,</w:t>
      </w:r>
      <w:r w:rsidRPr="005911E2">
        <w:t xml:space="preserve"> but to change the way it worked so that the </w:t>
      </w:r>
      <w:r w:rsidRPr="00AB1845">
        <w:rPr>
          <w:i/>
        </w:rPr>
        <w:t>Racial Discrimination Act</w:t>
      </w:r>
      <w:r w:rsidRPr="005911E2">
        <w:t xml:space="preserve"> could be reinstated. This led to NTER IM being replaced with NIM (Macklin </w:t>
      </w:r>
      <w:r>
        <w:t>&amp;</w:t>
      </w:r>
      <w:r w:rsidRPr="005911E2">
        <w:t xml:space="preserve"> Snowden</w:t>
      </w:r>
      <w:r>
        <w:t>,</w:t>
      </w:r>
      <w:r w:rsidRPr="005911E2">
        <w:t xml:space="preserve"> 2010)</w:t>
      </w:r>
      <w:r>
        <w:t>.</w:t>
      </w:r>
      <w:r w:rsidRPr="005911E2">
        <w:t xml:space="preserve"> </w:t>
      </w:r>
    </w:p>
    <w:p w:rsidR="00B76C81" w:rsidRPr="005911E2" w:rsidRDefault="00B76C81" w:rsidP="00B76C81">
      <w:r w:rsidRPr="005911E2">
        <w:t xml:space="preserve">A timeline for </w:t>
      </w:r>
      <w:r>
        <w:t>income management</w:t>
      </w:r>
      <w:r w:rsidRPr="005911E2">
        <w:t xml:space="preserve"> in the</w:t>
      </w:r>
      <w:r w:rsidR="006435C8">
        <w:t xml:space="preserve"> Northern Territory </w:t>
      </w:r>
      <w:r w:rsidRPr="005911E2">
        <w:t xml:space="preserve">is provided in </w:t>
      </w:r>
      <w:r w:rsidR="00C7347D">
        <w:fldChar w:fldCharType="begin"/>
      </w:r>
      <w:r w:rsidR="00CF518E">
        <w:instrText xml:space="preserve"> REF _Ref328300580 \h </w:instrText>
      </w:r>
      <w:r w:rsidR="00C7347D">
        <w:fldChar w:fldCharType="separate"/>
      </w:r>
      <w:r w:rsidR="007D7E45" w:rsidRPr="005911E2">
        <w:t xml:space="preserve">Table </w:t>
      </w:r>
      <w:r w:rsidR="007D7E45">
        <w:rPr>
          <w:noProof/>
        </w:rPr>
        <w:t>2</w:t>
      </w:r>
      <w:r w:rsidR="007D7E45" w:rsidRPr="005911E2">
        <w:noBreakHyphen/>
      </w:r>
      <w:r w:rsidR="007D7E45">
        <w:rPr>
          <w:noProof/>
        </w:rPr>
        <w:t>2</w:t>
      </w:r>
      <w:r w:rsidR="00C7347D">
        <w:fldChar w:fldCharType="end"/>
      </w:r>
      <w:r w:rsidR="00CF518E">
        <w:t xml:space="preserve"> </w:t>
      </w:r>
      <w:r>
        <w:t>and t</w:t>
      </w:r>
      <w:r w:rsidRPr="005911E2">
        <w:t>he operation of NIM is described in the next section.</w:t>
      </w:r>
    </w:p>
    <w:p w:rsidR="00B76C81" w:rsidRPr="005911E2" w:rsidRDefault="00B76C81" w:rsidP="00B76C81">
      <w:pPr>
        <w:pStyle w:val="tabfighead"/>
      </w:pPr>
      <w:bookmarkStart w:id="102" w:name="_Ref328300580"/>
      <w:bookmarkStart w:id="103" w:name="_Toc328601568"/>
      <w:bookmarkStart w:id="104" w:name="_Toc329051346"/>
      <w:bookmarkStart w:id="105" w:name="_Toc335915834"/>
      <w:r w:rsidRPr="005911E2">
        <w:t xml:space="preserve">Table </w:t>
      </w:r>
      <w:r w:rsidR="00C7347D">
        <w:fldChar w:fldCharType="begin"/>
      </w:r>
      <w:r w:rsidR="00A7506C">
        <w:instrText xml:space="preserve"> STYLEREF 1 \s </w:instrText>
      </w:r>
      <w:r w:rsidR="00C7347D">
        <w:fldChar w:fldCharType="separate"/>
      </w:r>
      <w:r w:rsidR="007D7E45">
        <w:rPr>
          <w:noProof/>
        </w:rPr>
        <w:t>2</w:t>
      </w:r>
      <w:r w:rsidR="00C7347D">
        <w:rPr>
          <w:noProof/>
        </w:rPr>
        <w:fldChar w:fldCharType="end"/>
      </w:r>
      <w:r w:rsidRPr="005911E2">
        <w:noBreakHyphen/>
      </w:r>
      <w:r w:rsidR="00C7347D">
        <w:fldChar w:fldCharType="begin"/>
      </w:r>
      <w:r w:rsidR="00A7506C">
        <w:instrText xml:space="preserve"> SEQ Table \* ARABIC \s 1 </w:instrText>
      </w:r>
      <w:r w:rsidR="00C7347D">
        <w:fldChar w:fldCharType="separate"/>
      </w:r>
      <w:r w:rsidR="007D7E45">
        <w:rPr>
          <w:noProof/>
        </w:rPr>
        <w:t>2</w:t>
      </w:r>
      <w:r w:rsidR="00C7347D">
        <w:rPr>
          <w:noProof/>
        </w:rPr>
        <w:fldChar w:fldCharType="end"/>
      </w:r>
      <w:bookmarkEnd w:id="102"/>
      <w:r w:rsidRPr="005911E2">
        <w:rPr>
          <w:noProof/>
        </w:rPr>
        <w:tab/>
      </w:r>
      <w:r w:rsidRPr="005911E2">
        <w:t>Timeline for income management in the Northern Territory</w:t>
      </w:r>
      <w:bookmarkEnd w:id="103"/>
      <w:bookmarkEnd w:id="104"/>
      <w:bookmarkEnd w:id="105"/>
    </w:p>
    <w:tbl>
      <w:tblPr>
        <w:tblStyle w:val="TableGrid"/>
        <w:tblW w:w="0" w:type="auto"/>
        <w:tblInd w:w="18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Caption w:val="Table 2-2 Timeline for income management in the Northern Territory"/>
        <w:tblDescription w:val="Table 2-2 Timeline for income management in the Northern Territory"/>
      </w:tblPr>
      <w:tblGrid>
        <w:gridCol w:w="1559"/>
        <w:gridCol w:w="4769"/>
      </w:tblGrid>
      <w:tr w:rsidR="00B76C81" w:rsidRPr="00355382" w:rsidTr="009D15E2">
        <w:trPr>
          <w:tblHeader/>
        </w:trPr>
        <w:tc>
          <w:tcPr>
            <w:tcW w:w="1559" w:type="dxa"/>
            <w:tcBorders>
              <w:top w:val="single" w:sz="4" w:space="0" w:color="000000"/>
            </w:tcBorders>
          </w:tcPr>
          <w:p w:rsidR="00B76C81" w:rsidRPr="00355382" w:rsidRDefault="00B76C81" w:rsidP="00141D97">
            <w:pPr>
              <w:pStyle w:val="TableText"/>
              <w:spacing w:after="80"/>
              <w:rPr>
                <w:b/>
                <w:szCs w:val="18"/>
              </w:rPr>
            </w:pPr>
            <w:r w:rsidRPr="00901A4F">
              <w:rPr>
                <w:b/>
                <w:szCs w:val="18"/>
              </w:rPr>
              <w:t>2007</w:t>
            </w:r>
          </w:p>
        </w:tc>
        <w:tc>
          <w:tcPr>
            <w:tcW w:w="4769" w:type="dxa"/>
            <w:tcBorders>
              <w:top w:val="single" w:sz="4" w:space="0" w:color="000000"/>
            </w:tcBorders>
          </w:tcPr>
          <w:p w:rsidR="00B76C81" w:rsidRPr="00355382" w:rsidRDefault="00B76C81" w:rsidP="00141D97">
            <w:pPr>
              <w:pStyle w:val="TableText"/>
              <w:spacing w:after="80"/>
              <w:rPr>
                <w:szCs w:val="18"/>
              </w:rPr>
            </w:pPr>
          </w:p>
        </w:tc>
      </w:tr>
      <w:tr w:rsidR="00B76C81" w:rsidRPr="00355382" w:rsidTr="00D53477">
        <w:tc>
          <w:tcPr>
            <w:tcW w:w="1559" w:type="dxa"/>
          </w:tcPr>
          <w:p w:rsidR="00B76C81" w:rsidRPr="00355382" w:rsidRDefault="00B76C81" w:rsidP="00141D97">
            <w:pPr>
              <w:pStyle w:val="TableText"/>
              <w:spacing w:after="80"/>
              <w:rPr>
                <w:szCs w:val="18"/>
              </w:rPr>
            </w:pPr>
            <w:r w:rsidRPr="00901A4F">
              <w:rPr>
                <w:szCs w:val="18"/>
              </w:rPr>
              <w:t>15 June</w:t>
            </w:r>
          </w:p>
        </w:tc>
        <w:tc>
          <w:tcPr>
            <w:tcW w:w="4769" w:type="dxa"/>
          </w:tcPr>
          <w:p w:rsidR="00B76C81" w:rsidRPr="00355382" w:rsidRDefault="00B76C81" w:rsidP="00141D97">
            <w:pPr>
              <w:pStyle w:val="TableText"/>
              <w:spacing w:after="80"/>
              <w:rPr>
                <w:szCs w:val="18"/>
              </w:rPr>
            </w:pPr>
            <w:r w:rsidRPr="00901A4F">
              <w:rPr>
                <w:szCs w:val="18"/>
              </w:rPr>
              <w:t>Little Children are Sacred report released</w:t>
            </w:r>
          </w:p>
        </w:tc>
      </w:tr>
      <w:tr w:rsidR="00B76C81" w:rsidRPr="00355382" w:rsidTr="00D53477">
        <w:tc>
          <w:tcPr>
            <w:tcW w:w="1559" w:type="dxa"/>
          </w:tcPr>
          <w:p w:rsidR="00B76C81" w:rsidRPr="00355382" w:rsidRDefault="00B76C81" w:rsidP="00141D97">
            <w:pPr>
              <w:pStyle w:val="TableText"/>
              <w:spacing w:after="80"/>
              <w:rPr>
                <w:szCs w:val="18"/>
              </w:rPr>
            </w:pPr>
            <w:r w:rsidRPr="00901A4F">
              <w:rPr>
                <w:szCs w:val="18"/>
              </w:rPr>
              <w:t>21 June</w:t>
            </w:r>
          </w:p>
        </w:tc>
        <w:tc>
          <w:tcPr>
            <w:tcW w:w="4769" w:type="dxa"/>
          </w:tcPr>
          <w:p w:rsidR="00B76C81" w:rsidRPr="00355382" w:rsidRDefault="00B76C81" w:rsidP="00141D97">
            <w:pPr>
              <w:pStyle w:val="TableText"/>
              <w:spacing w:after="80"/>
              <w:rPr>
                <w:szCs w:val="18"/>
              </w:rPr>
            </w:pPr>
            <w:r w:rsidRPr="00901A4F">
              <w:rPr>
                <w:szCs w:val="18"/>
              </w:rPr>
              <w:t>NTER announced</w:t>
            </w:r>
          </w:p>
        </w:tc>
      </w:tr>
      <w:tr w:rsidR="00B76C81" w:rsidRPr="00355382" w:rsidTr="00D53477">
        <w:tc>
          <w:tcPr>
            <w:tcW w:w="1559" w:type="dxa"/>
          </w:tcPr>
          <w:p w:rsidR="00B76C81" w:rsidRPr="00355382" w:rsidRDefault="00B76C81" w:rsidP="00141D97">
            <w:pPr>
              <w:pStyle w:val="TableText"/>
              <w:spacing w:after="80"/>
              <w:rPr>
                <w:szCs w:val="18"/>
              </w:rPr>
            </w:pPr>
            <w:r w:rsidRPr="00901A4F">
              <w:rPr>
                <w:szCs w:val="18"/>
              </w:rPr>
              <w:t>17 July</w:t>
            </w:r>
          </w:p>
        </w:tc>
        <w:tc>
          <w:tcPr>
            <w:tcW w:w="4769" w:type="dxa"/>
          </w:tcPr>
          <w:p w:rsidR="00B76C81" w:rsidRPr="00355382" w:rsidRDefault="00B76C81" w:rsidP="00141D97">
            <w:pPr>
              <w:pStyle w:val="TableText"/>
              <w:spacing w:after="80"/>
              <w:rPr>
                <w:szCs w:val="18"/>
              </w:rPr>
            </w:pPr>
            <w:r w:rsidRPr="00901A4F">
              <w:rPr>
                <w:szCs w:val="18"/>
              </w:rPr>
              <w:t>Legislation passed and assented (introduced 7 July 2007) which allowed for a variety of changes including the introduction of income management</w:t>
            </w:r>
          </w:p>
        </w:tc>
      </w:tr>
      <w:tr w:rsidR="00B76C81" w:rsidRPr="00355382" w:rsidTr="00D53477">
        <w:tc>
          <w:tcPr>
            <w:tcW w:w="1559" w:type="dxa"/>
          </w:tcPr>
          <w:p w:rsidR="00B76C81" w:rsidRPr="00355382" w:rsidRDefault="00B76C81" w:rsidP="00141D97">
            <w:pPr>
              <w:pStyle w:val="TableText"/>
              <w:spacing w:after="80"/>
              <w:rPr>
                <w:szCs w:val="18"/>
              </w:rPr>
            </w:pPr>
            <w:r w:rsidRPr="00901A4F">
              <w:rPr>
                <w:szCs w:val="18"/>
              </w:rPr>
              <w:t xml:space="preserve">21 July </w:t>
            </w:r>
          </w:p>
        </w:tc>
        <w:tc>
          <w:tcPr>
            <w:tcW w:w="4769" w:type="dxa"/>
          </w:tcPr>
          <w:p w:rsidR="00B76C81" w:rsidRPr="00355382" w:rsidRDefault="00B76C81" w:rsidP="00141D97">
            <w:pPr>
              <w:pStyle w:val="TableText"/>
              <w:spacing w:after="80"/>
              <w:rPr>
                <w:szCs w:val="18"/>
              </w:rPr>
            </w:pPr>
            <w:r w:rsidRPr="00901A4F">
              <w:rPr>
                <w:szCs w:val="18"/>
              </w:rPr>
              <w:t>Cut-off date for residential eligibility for income management</w:t>
            </w:r>
          </w:p>
        </w:tc>
      </w:tr>
      <w:tr w:rsidR="00B76C81" w:rsidRPr="00355382" w:rsidTr="00D53477">
        <w:tc>
          <w:tcPr>
            <w:tcW w:w="1559" w:type="dxa"/>
          </w:tcPr>
          <w:p w:rsidR="00B76C81" w:rsidRPr="00355382" w:rsidRDefault="00B76C81" w:rsidP="00141D97">
            <w:pPr>
              <w:pStyle w:val="TableText"/>
              <w:spacing w:after="80"/>
              <w:rPr>
                <w:szCs w:val="18"/>
              </w:rPr>
            </w:pPr>
            <w:r w:rsidRPr="00901A4F">
              <w:rPr>
                <w:szCs w:val="18"/>
              </w:rPr>
              <w:t>20 August</w:t>
            </w:r>
          </w:p>
        </w:tc>
        <w:tc>
          <w:tcPr>
            <w:tcW w:w="4769" w:type="dxa"/>
          </w:tcPr>
          <w:p w:rsidR="00B76C81" w:rsidRPr="00355382" w:rsidRDefault="00B76C81" w:rsidP="00141D97">
            <w:pPr>
              <w:pStyle w:val="TableText"/>
              <w:spacing w:after="80"/>
              <w:rPr>
                <w:szCs w:val="18"/>
              </w:rPr>
            </w:pPr>
            <w:r w:rsidRPr="00901A4F">
              <w:rPr>
                <w:szCs w:val="18"/>
              </w:rPr>
              <w:t>Community engagement before income management commenced</w:t>
            </w:r>
          </w:p>
        </w:tc>
      </w:tr>
      <w:tr w:rsidR="00B76C81" w:rsidRPr="00355382" w:rsidTr="00D53477">
        <w:tc>
          <w:tcPr>
            <w:tcW w:w="1559" w:type="dxa"/>
            <w:tcBorders>
              <w:bottom w:val="single" w:sz="4" w:space="0" w:color="000000"/>
            </w:tcBorders>
          </w:tcPr>
          <w:p w:rsidR="00B76C81" w:rsidRPr="00355382" w:rsidRDefault="00B76C81" w:rsidP="00141D97">
            <w:pPr>
              <w:pStyle w:val="TableText"/>
              <w:spacing w:after="80"/>
              <w:rPr>
                <w:szCs w:val="18"/>
              </w:rPr>
            </w:pPr>
            <w:r w:rsidRPr="00901A4F">
              <w:rPr>
                <w:szCs w:val="18"/>
              </w:rPr>
              <w:t>17 September</w:t>
            </w:r>
          </w:p>
        </w:tc>
        <w:tc>
          <w:tcPr>
            <w:tcW w:w="4769" w:type="dxa"/>
            <w:tcBorders>
              <w:bottom w:val="single" w:sz="4" w:space="0" w:color="000000"/>
            </w:tcBorders>
          </w:tcPr>
          <w:p w:rsidR="00B76C81" w:rsidRPr="00355382" w:rsidRDefault="00B76C81" w:rsidP="00141D97">
            <w:pPr>
              <w:pStyle w:val="TableText"/>
              <w:spacing w:after="80"/>
              <w:rPr>
                <w:szCs w:val="18"/>
              </w:rPr>
            </w:pPr>
            <w:r w:rsidRPr="00901A4F">
              <w:rPr>
                <w:szCs w:val="18"/>
              </w:rPr>
              <w:t>Rollout of income management commenced</w:t>
            </w:r>
          </w:p>
        </w:tc>
      </w:tr>
      <w:tr w:rsidR="00B76C81" w:rsidRPr="00355382" w:rsidTr="00D53477">
        <w:tc>
          <w:tcPr>
            <w:tcW w:w="1559" w:type="dxa"/>
            <w:tcBorders>
              <w:top w:val="single" w:sz="4" w:space="0" w:color="000000"/>
            </w:tcBorders>
          </w:tcPr>
          <w:p w:rsidR="00B76C81" w:rsidRPr="00355382" w:rsidRDefault="00B76C81" w:rsidP="00141D97">
            <w:pPr>
              <w:pStyle w:val="TableText"/>
              <w:spacing w:after="80"/>
              <w:rPr>
                <w:b/>
                <w:szCs w:val="18"/>
              </w:rPr>
            </w:pPr>
            <w:r w:rsidRPr="00901A4F">
              <w:rPr>
                <w:b/>
                <w:szCs w:val="18"/>
              </w:rPr>
              <w:t>2008</w:t>
            </w:r>
          </w:p>
        </w:tc>
        <w:tc>
          <w:tcPr>
            <w:tcW w:w="4769" w:type="dxa"/>
            <w:tcBorders>
              <w:top w:val="single" w:sz="4" w:space="0" w:color="000000"/>
            </w:tcBorders>
          </w:tcPr>
          <w:p w:rsidR="00B76C81" w:rsidRPr="00355382" w:rsidRDefault="00B76C81" w:rsidP="00141D97">
            <w:pPr>
              <w:pStyle w:val="TableText"/>
              <w:spacing w:after="80"/>
              <w:rPr>
                <w:szCs w:val="18"/>
              </w:rPr>
            </w:pPr>
          </w:p>
        </w:tc>
      </w:tr>
      <w:tr w:rsidR="00B76C81" w:rsidRPr="00355382" w:rsidTr="00D53477">
        <w:tc>
          <w:tcPr>
            <w:tcW w:w="1559" w:type="dxa"/>
          </w:tcPr>
          <w:p w:rsidR="00B76C81" w:rsidRPr="00355382" w:rsidRDefault="00B76C81" w:rsidP="00141D97">
            <w:pPr>
              <w:pStyle w:val="TableText"/>
              <w:spacing w:after="80"/>
              <w:rPr>
                <w:szCs w:val="18"/>
              </w:rPr>
            </w:pPr>
            <w:r w:rsidRPr="00901A4F">
              <w:rPr>
                <w:szCs w:val="18"/>
              </w:rPr>
              <w:t>8 September</w:t>
            </w:r>
          </w:p>
        </w:tc>
        <w:tc>
          <w:tcPr>
            <w:tcW w:w="4769" w:type="dxa"/>
          </w:tcPr>
          <w:p w:rsidR="00B76C81" w:rsidRPr="00355382" w:rsidRDefault="00B76C81" w:rsidP="00141D97">
            <w:pPr>
              <w:pStyle w:val="TableText"/>
              <w:spacing w:after="80"/>
              <w:rPr>
                <w:szCs w:val="18"/>
              </w:rPr>
            </w:pPr>
            <w:r w:rsidRPr="00901A4F">
              <w:rPr>
                <w:szCs w:val="18"/>
              </w:rPr>
              <w:t>BasicsCard rollout commenced</w:t>
            </w:r>
          </w:p>
        </w:tc>
      </w:tr>
      <w:tr w:rsidR="00B76C81" w:rsidRPr="00355382" w:rsidTr="00D53477">
        <w:tc>
          <w:tcPr>
            <w:tcW w:w="1559" w:type="dxa"/>
          </w:tcPr>
          <w:p w:rsidR="00B76C81" w:rsidRPr="00355382" w:rsidRDefault="00B76C81" w:rsidP="00141D97">
            <w:pPr>
              <w:pStyle w:val="TableText"/>
              <w:spacing w:after="80"/>
              <w:rPr>
                <w:szCs w:val="18"/>
              </w:rPr>
            </w:pPr>
            <w:r w:rsidRPr="00901A4F">
              <w:rPr>
                <w:szCs w:val="18"/>
              </w:rPr>
              <w:t>23 October</w:t>
            </w:r>
          </w:p>
        </w:tc>
        <w:tc>
          <w:tcPr>
            <w:tcW w:w="4769" w:type="dxa"/>
          </w:tcPr>
          <w:p w:rsidR="00B76C81" w:rsidRPr="00355382" w:rsidRDefault="00B76C81" w:rsidP="00C04728">
            <w:pPr>
              <w:pStyle w:val="TableText"/>
              <w:spacing w:after="80"/>
              <w:rPr>
                <w:szCs w:val="18"/>
              </w:rPr>
            </w:pPr>
            <w:r w:rsidRPr="00901A4F">
              <w:rPr>
                <w:szCs w:val="18"/>
              </w:rPr>
              <w:t xml:space="preserve">NTER Income Management extended </w:t>
            </w:r>
          </w:p>
        </w:tc>
      </w:tr>
      <w:tr w:rsidR="00B76C81" w:rsidRPr="00355382" w:rsidTr="00D53477">
        <w:tc>
          <w:tcPr>
            <w:tcW w:w="1559" w:type="dxa"/>
          </w:tcPr>
          <w:p w:rsidR="00B76C81" w:rsidRPr="00355382" w:rsidRDefault="00B76C81" w:rsidP="00141D97">
            <w:pPr>
              <w:pStyle w:val="TableText"/>
              <w:spacing w:after="80"/>
              <w:rPr>
                <w:szCs w:val="18"/>
              </w:rPr>
            </w:pPr>
            <w:r w:rsidRPr="00901A4F">
              <w:rPr>
                <w:szCs w:val="18"/>
              </w:rPr>
              <w:t>27 October</w:t>
            </w:r>
          </w:p>
        </w:tc>
        <w:tc>
          <w:tcPr>
            <w:tcW w:w="4769" w:type="dxa"/>
          </w:tcPr>
          <w:p w:rsidR="00B76C81" w:rsidRPr="00355382" w:rsidRDefault="00B76C81" w:rsidP="00141D97">
            <w:pPr>
              <w:pStyle w:val="TableText"/>
              <w:spacing w:after="80"/>
              <w:rPr>
                <w:szCs w:val="18"/>
              </w:rPr>
            </w:pPr>
            <w:r w:rsidRPr="00901A4F">
              <w:rPr>
                <w:szCs w:val="18"/>
              </w:rPr>
              <w:t>Rollout of income management completed</w:t>
            </w:r>
          </w:p>
        </w:tc>
      </w:tr>
      <w:tr w:rsidR="00B76C81" w:rsidRPr="00355382" w:rsidTr="00D53477">
        <w:tc>
          <w:tcPr>
            <w:tcW w:w="1559" w:type="dxa"/>
            <w:tcBorders>
              <w:bottom w:val="single" w:sz="4" w:space="0" w:color="000000"/>
            </w:tcBorders>
          </w:tcPr>
          <w:p w:rsidR="00B76C81" w:rsidRPr="00355382" w:rsidRDefault="00B76C81" w:rsidP="00141D97">
            <w:pPr>
              <w:pStyle w:val="TableText"/>
              <w:spacing w:after="80"/>
              <w:rPr>
                <w:szCs w:val="18"/>
              </w:rPr>
            </w:pPr>
            <w:r w:rsidRPr="00901A4F">
              <w:rPr>
                <w:szCs w:val="18"/>
              </w:rPr>
              <w:t>15 December</w:t>
            </w:r>
          </w:p>
        </w:tc>
        <w:tc>
          <w:tcPr>
            <w:tcW w:w="4769" w:type="dxa"/>
            <w:tcBorders>
              <w:bottom w:val="single" w:sz="4" w:space="0" w:color="000000"/>
            </w:tcBorders>
          </w:tcPr>
          <w:p w:rsidR="00B76C81" w:rsidRPr="00355382" w:rsidRDefault="00B76C81" w:rsidP="00141D97">
            <w:pPr>
              <w:pStyle w:val="TableText"/>
              <w:spacing w:after="80"/>
              <w:rPr>
                <w:szCs w:val="18"/>
              </w:rPr>
            </w:pPr>
            <w:r w:rsidRPr="00901A4F">
              <w:rPr>
                <w:szCs w:val="18"/>
              </w:rPr>
              <w:t>BasicsCard rollout completed</w:t>
            </w:r>
          </w:p>
        </w:tc>
      </w:tr>
      <w:tr w:rsidR="00B76C81" w:rsidRPr="00355382" w:rsidTr="00D53477">
        <w:tc>
          <w:tcPr>
            <w:tcW w:w="1559" w:type="dxa"/>
            <w:tcBorders>
              <w:top w:val="single" w:sz="4" w:space="0" w:color="000000"/>
            </w:tcBorders>
          </w:tcPr>
          <w:p w:rsidR="00B76C81" w:rsidRPr="00355382" w:rsidRDefault="00B76C81" w:rsidP="00141D97">
            <w:pPr>
              <w:pStyle w:val="TableText"/>
              <w:spacing w:after="80"/>
              <w:rPr>
                <w:b/>
                <w:szCs w:val="18"/>
              </w:rPr>
            </w:pPr>
            <w:r w:rsidRPr="00901A4F">
              <w:rPr>
                <w:b/>
                <w:szCs w:val="18"/>
              </w:rPr>
              <w:t>2010</w:t>
            </w:r>
          </w:p>
        </w:tc>
        <w:tc>
          <w:tcPr>
            <w:tcW w:w="4769" w:type="dxa"/>
            <w:tcBorders>
              <w:top w:val="single" w:sz="4" w:space="0" w:color="000000"/>
            </w:tcBorders>
          </w:tcPr>
          <w:p w:rsidR="00B76C81" w:rsidRPr="00355382" w:rsidRDefault="00B76C81" w:rsidP="00141D97">
            <w:pPr>
              <w:pStyle w:val="TableText"/>
              <w:spacing w:after="80"/>
              <w:rPr>
                <w:szCs w:val="18"/>
              </w:rPr>
            </w:pPr>
          </w:p>
        </w:tc>
      </w:tr>
      <w:tr w:rsidR="00B76C81" w:rsidRPr="00355382" w:rsidTr="00D53477">
        <w:tc>
          <w:tcPr>
            <w:tcW w:w="1559" w:type="dxa"/>
          </w:tcPr>
          <w:p w:rsidR="00B76C81" w:rsidRPr="00355382" w:rsidRDefault="00B76C81" w:rsidP="00141D97">
            <w:pPr>
              <w:pStyle w:val="TableText"/>
              <w:spacing w:after="80"/>
              <w:rPr>
                <w:szCs w:val="18"/>
              </w:rPr>
            </w:pPr>
            <w:r w:rsidRPr="00901A4F">
              <w:rPr>
                <w:szCs w:val="18"/>
              </w:rPr>
              <w:t xml:space="preserve">1 July </w:t>
            </w:r>
          </w:p>
        </w:tc>
        <w:tc>
          <w:tcPr>
            <w:tcW w:w="4769" w:type="dxa"/>
          </w:tcPr>
          <w:p w:rsidR="00B76C81" w:rsidRPr="00355382" w:rsidRDefault="00B76C81" w:rsidP="00141D97">
            <w:pPr>
              <w:pStyle w:val="TableText"/>
              <w:spacing w:after="80"/>
              <w:rPr>
                <w:szCs w:val="18"/>
              </w:rPr>
            </w:pPr>
            <w:r w:rsidRPr="00901A4F">
              <w:rPr>
                <w:szCs w:val="18"/>
              </w:rPr>
              <w:t>Legislation for NIM passed Parliament</w:t>
            </w:r>
          </w:p>
        </w:tc>
      </w:tr>
      <w:tr w:rsidR="00B76C81" w:rsidRPr="00355382" w:rsidTr="00D53477">
        <w:tc>
          <w:tcPr>
            <w:tcW w:w="1559" w:type="dxa"/>
          </w:tcPr>
          <w:p w:rsidR="00B76C81" w:rsidRPr="00355382" w:rsidRDefault="00B76C81" w:rsidP="00141D97">
            <w:pPr>
              <w:pStyle w:val="TableText"/>
              <w:spacing w:after="80"/>
              <w:rPr>
                <w:szCs w:val="18"/>
              </w:rPr>
            </w:pPr>
            <w:r w:rsidRPr="00901A4F">
              <w:rPr>
                <w:szCs w:val="18"/>
              </w:rPr>
              <w:t xml:space="preserve"> 9 August </w:t>
            </w:r>
          </w:p>
        </w:tc>
        <w:tc>
          <w:tcPr>
            <w:tcW w:w="4769" w:type="dxa"/>
          </w:tcPr>
          <w:p w:rsidR="00B76C81" w:rsidRPr="00355382" w:rsidRDefault="00B76C81" w:rsidP="00141D97">
            <w:pPr>
              <w:pStyle w:val="TableText"/>
              <w:spacing w:after="80"/>
              <w:rPr>
                <w:szCs w:val="18"/>
              </w:rPr>
            </w:pPr>
            <w:r w:rsidRPr="00901A4F">
              <w:rPr>
                <w:szCs w:val="18"/>
              </w:rPr>
              <w:t>Rollout</w:t>
            </w:r>
            <w:r w:rsidR="00691035">
              <w:rPr>
                <w:szCs w:val="18"/>
              </w:rPr>
              <w:t xml:space="preserve"> of</w:t>
            </w:r>
            <w:r w:rsidRPr="00901A4F">
              <w:rPr>
                <w:szCs w:val="18"/>
              </w:rPr>
              <w:t xml:space="preserve"> NIM commenced (Barkly Region – Zone 1)</w:t>
            </w:r>
          </w:p>
        </w:tc>
      </w:tr>
      <w:tr w:rsidR="00B76C81" w:rsidRPr="00355382" w:rsidTr="00D53477">
        <w:tc>
          <w:tcPr>
            <w:tcW w:w="1559" w:type="dxa"/>
          </w:tcPr>
          <w:p w:rsidR="00B76C81" w:rsidRPr="00355382" w:rsidRDefault="00B76C81" w:rsidP="00141D97">
            <w:pPr>
              <w:pStyle w:val="TableText"/>
              <w:spacing w:after="80"/>
              <w:rPr>
                <w:szCs w:val="18"/>
              </w:rPr>
            </w:pPr>
            <w:r w:rsidRPr="00901A4F">
              <w:rPr>
                <w:szCs w:val="18"/>
              </w:rPr>
              <w:t>30 August</w:t>
            </w:r>
          </w:p>
        </w:tc>
        <w:tc>
          <w:tcPr>
            <w:tcW w:w="4769" w:type="dxa"/>
          </w:tcPr>
          <w:p w:rsidR="00B76C81" w:rsidRPr="00355382" w:rsidRDefault="00B76C81" w:rsidP="00141D97">
            <w:pPr>
              <w:pStyle w:val="TableText"/>
              <w:spacing w:after="80"/>
              <w:rPr>
                <w:szCs w:val="18"/>
              </w:rPr>
            </w:pPr>
            <w:r w:rsidRPr="00901A4F">
              <w:rPr>
                <w:szCs w:val="18"/>
              </w:rPr>
              <w:t xml:space="preserve">Rollout </w:t>
            </w:r>
            <w:r w:rsidR="00691035">
              <w:rPr>
                <w:szCs w:val="18"/>
              </w:rPr>
              <w:t xml:space="preserve">of </w:t>
            </w:r>
            <w:r w:rsidRPr="00901A4F">
              <w:rPr>
                <w:szCs w:val="18"/>
              </w:rPr>
              <w:t>NIM commenced in Alice Springs, Katherine, East Arnhem Land and other outback areas – Zone 2)</w:t>
            </w:r>
          </w:p>
        </w:tc>
      </w:tr>
      <w:tr w:rsidR="00B76C81" w:rsidRPr="00355382" w:rsidTr="00D53477">
        <w:tc>
          <w:tcPr>
            <w:tcW w:w="1559" w:type="dxa"/>
          </w:tcPr>
          <w:p w:rsidR="00B76C81" w:rsidRPr="00355382" w:rsidRDefault="00B76C81" w:rsidP="00141D97">
            <w:pPr>
              <w:pStyle w:val="TableText"/>
              <w:spacing w:after="80"/>
              <w:rPr>
                <w:szCs w:val="18"/>
              </w:rPr>
            </w:pPr>
            <w:r w:rsidRPr="00901A4F">
              <w:rPr>
                <w:szCs w:val="18"/>
              </w:rPr>
              <w:t>2 September</w:t>
            </w:r>
          </w:p>
        </w:tc>
        <w:tc>
          <w:tcPr>
            <w:tcW w:w="4769" w:type="dxa"/>
          </w:tcPr>
          <w:p w:rsidR="00B76C81" w:rsidRPr="00355382" w:rsidRDefault="00B76C81" w:rsidP="00141D97">
            <w:pPr>
              <w:pStyle w:val="TableText"/>
              <w:spacing w:after="80"/>
              <w:rPr>
                <w:szCs w:val="18"/>
              </w:rPr>
            </w:pPr>
            <w:r w:rsidRPr="00901A4F">
              <w:rPr>
                <w:szCs w:val="18"/>
              </w:rPr>
              <w:t xml:space="preserve">Rollout </w:t>
            </w:r>
            <w:r w:rsidR="00691035">
              <w:rPr>
                <w:szCs w:val="18"/>
              </w:rPr>
              <w:t xml:space="preserve">of </w:t>
            </w:r>
            <w:r w:rsidRPr="00901A4F">
              <w:rPr>
                <w:szCs w:val="18"/>
              </w:rPr>
              <w:t xml:space="preserve">NIM commenced in remaining outback areas </w:t>
            </w:r>
          </w:p>
        </w:tc>
      </w:tr>
      <w:tr w:rsidR="00B76C81" w:rsidRPr="00355382" w:rsidTr="00D53477">
        <w:tc>
          <w:tcPr>
            <w:tcW w:w="1559" w:type="dxa"/>
          </w:tcPr>
          <w:p w:rsidR="00B76C81" w:rsidRPr="00355382" w:rsidRDefault="00B76C81" w:rsidP="00141D97">
            <w:pPr>
              <w:pStyle w:val="TableText"/>
              <w:spacing w:after="80"/>
              <w:rPr>
                <w:szCs w:val="18"/>
              </w:rPr>
            </w:pPr>
            <w:r w:rsidRPr="00901A4F">
              <w:rPr>
                <w:szCs w:val="18"/>
              </w:rPr>
              <w:t>4 October</w:t>
            </w:r>
          </w:p>
        </w:tc>
        <w:tc>
          <w:tcPr>
            <w:tcW w:w="4769" w:type="dxa"/>
          </w:tcPr>
          <w:p w:rsidR="00B76C81" w:rsidRPr="00355382" w:rsidRDefault="00B76C81" w:rsidP="00141D97">
            <w:pPr>
              <w:pStyle w:val="TableText"/>
              <w:numPr>
                <w:ilvl w:val="2"/>
                <w:numId w:val="3"/>
              </w:numPr>
              <w:spacing w:before="120" w:after="80"/>
              <w:ind w:left="0"/>
              <w:contextualSpacing/>
              <w:outlineLvl w:val="2"/>
              <w:rPr>
                <w:szCs w:val="18"/>
              </w:rPr>
            </w:pPr>
            <w:r w:rsidRPr="00901A4F">
              <w:rPr>
                <w:szCs w:val="18"/>
              </w:rPr>
              <w:t xml:space="preserve">Rollout </w:t>
            </w:r>
            <w:r w:rsidR="00691035">
              <w:rPr>
                <w:szCs w:val="18"/>
              </w:rPr>
              <w:t xml:space="preserve">of </w:t>
            </w:r>
            <w:r w:rsidRPr="00901A4F">
              <w:rPr>
                <w:szCs w:val="18"/>
              </w:rPr>
              <w:t>NIM commenced in Darwin and Palmerston</w:t>
            </w:r>
          </w:p>
        </w:tc>
      </w:tr>
      <w:tr w:rsidR="00B76C81" w:rsidRPr="00355382" w:rsidTr="00D53477">
        <w:tc>
          <w:tcPr>
            <w:tcW w:w="1559" w:type="dxa"/>
            <w:tcBorders>
              <w:bottom w:val="single" w:sz="4" w:space="0" w:color="000000"/>
            </w:tcBorders>
          </w:tcPr>
          <w:p w:rsidR="00B76C81" w:rsidRPr="00355382" w:rsidRDefault="00B76C81" w:rsidP="00141D97">
            <w:pPr>
              <w:pStyle w:val="TableText"/>
              <w:spacing w:after="80"/>
              <w:rPr>
                <w:szCs w:val="18"/>
              </w:rPr>
            </w:pPr>
            <w:r w:rsidRPr="00901A4F">
              <w:rPr>
                <w:szCs w:val="18"/>
              </w:rPr>
              <w:t>31 December</w:t>
            </w:r>
          </w:p>
        </w:tc>
        <w:tc>
          <w:tcPr>
            <w:tcW w:w="4769" w:type="dxa"/>
            <w:tcBorders>
              <w:bottom w:val="single" w:sz="4" w:space="0" w:color="000000"/>
            </w:tcBorders>
          </w:tcPr>
          <w:p w:rsidR="00B76C81" w:rsidRPr="00355382" w:rsidRDefault="00B76C81" w:rsidP="00141D97">
            <w:pPr>
              <w:pStyle w:val="TableText"/>
              <w:spacing w:after="80"/>
              <w:rPr>
                <w:szCs w:val="18"/>
              </w:rPr>
            </w:pPr>
            <w:r w:rsidRPr="00901A4F">
              <w:rPr>
                <w:i/>
                <w:szCs w:val="18"/>
              </w:rPr>
              <w:t>Racial Discrimination Act 1975</w:t>
            </w:r>
            <w:r w:rsidRPr="00901A4F">
              <w:rPr>
                <w:szCs w:val="18"/>
              </w:rPr>
              <w:t xml:space="preserve"> </w:t>
            </w:r>
            <w:r>
              <w:rPr>
                <w:szCs w:val="18"/>
              </w:rPr>
              <w:t xml:space="preserve">(Cwth) </w:t>
            </w:r>
            <w:r w:rsidRPr="00901A4F">
              <w:rPr>
                <w:szCs w:val="18"/>
              </w:rPr>
              <w:t>fully reinstated</w:t>
            </w:r>
          </w:p>
        </w:tc>
      </w:tr>
      <w:tr w:rsidR="00B76C81" w:rsidRPr="00355382" w:rsidTr="00D53477">
        <w:tc>
          <w:tcPr>
            <w:tcW w:w="1559" w:type="dxa"/>
            <w:tcBorders>
              <w:top w:val="single" w:sz="4" w:space="0" w:color="000000"/>
            </w:tcBorders>
          </w:tcPr>
          <w:p w:rsidR="00B76C81" w:rsidRPr="00355382" w:rsidRDefault="00B76C81" w:rsidP="00141D97">
            <w:pPr>
              <w:pStyle w:val="TableText"/>
              <w:spacing w:after="80"/>
              <w:rPr>
                <w:b/>
                <w:szCs w:val="18"/>
              </w:rPr>
            </w:pPr>
            <w:r w:rsidRPr="00901A4F">
              <w:rPr>
                <w:b/>
                <w:szCs w:val="18"/>
              </w:rPr>
              <w:t>2011</w:t>
            </w:r>
          </w:p>
        </w:tc>
        <w:tc>
          <w:tcPr>
            <w:tcW w:w="4769" w:type="dxa"/>
            <w:tcBorders>
              <w:top w:val="single" w:sz="4" w:space="0" w:color="000000"/>
            </w:tcBorders>
          </w:tcPr>
          <w:p w:rsidR="00B76C81" w:rsidRPr="00355382" w:rsidRDefault="00B76C81" w:rsidP="00141D97">
            <w:pPr>
              <w:pStyle w:val="TableText"/>
              <w:spacing w:after="80"/>
              <w:rPr>
                <w:szCs w:val="18"/>
              </w:rPr>
            </w:pPr>
          </w:p>
        </w:tc>
      </w:tr>
      <w:tr w:rsidR="00B76C81" w:rsidRPr="00355382" w:rsidTr="00D53477">
        <w:tc>
          <w:tcPr>
            <w:tcW w:w="1559" w:type="dxa"/>
            <w:tcBorders>
              <w:bottom w:val="single" w:sz="4" w:space="0" w:color="000000"/>
            </w:tcBorders>
          </w:tcPr>
          <w:p w:rsidR="00B76C81" w:rsidRPr="00355382" w:rsidRDefault="00691035" w:rsidP="00141D97">
            <w:pPr>
              <w:pStyle w:val="TableText"/>
              <w:spacing w:after="80"/>
              <w:rPr>
                <w:szCs w:val="18"/>
              </w:rPr>
            </w:pPr>
            <w:r>
              <w:rPr>
                <w:szCs w:val="18"/>
              </w:rPr>
              <w:t xml:space="preserve">25 </w:t>
            </w:r>
            <w:r w:rsidR="00B76C81" w:rsidRPr="00901A4F">
              <w:rPr>
                <w:szCs w:val="18"/>
              </w:rPr>
              <w:t>February</w:t>
            </w:r>
          </w:p>
        </w:tc>
        <w:tc>
          <w:tcPr>
            <w:tcW w:w="4769" w:type="dxa"/>
            <w:tcBorders>
              <w:bottom w:val="single" w:sz="4" w:space="0" w:color="000000"/>
            </w:tcBorders>
          </w:tcPr>
          <w:p w:rsidR="00B76C81" w:rsidRPr="00355382" w:rsidRDefault="00B76C81" w:rsidP="00141D97">
            <w:pPr>
              <w:pStyle w:val="TableText"/>
              <w:spacing w:after="80"/>
              <w:rPr>
                <w:szCs w:val="18"/>
              </w:rPr>
            </w:pPr>
            <w:r w:rsidRPr="00901A4F">
              <w:rPr>
                <w:szCs w:val="18"/>
              </w:rPr>
              <w:t xml:space="preserve">Transition from NTER </w:t>
            </w:r>
            <w:r>
              <w:rPr>
                <w:szCs w:val="18"/>
              </w:rPr>
              <w:t>IM</w:t>
            </w:r>
            <w:r w:rsidRPr="00901A4F">
              <w:rPr>
                <w:szCs w:val="18"/>
              </w:rPr>
              <w:t xml:space="preserve"> to NIM largely completed (just </w:t>
            </w:r>
            <w:r w:rsidR="0011538A">
              <w:rPr>
                <w:szCs w:val="18"/>
              </w:rPr>
              <w:t xml:space="preserve">118 </w:t>
            </w:r>
            <w:r w:rsidRPr="00901A4F">
              <w:rPr>
                <w:szCs w:val="18"/>
              </w:rPr>
              <w:t xml:space="preserve">people remaining on NTER </w:t>
            </w:r>
            <w:r>
              <w:rPr>
                <w:szCs w:val="18"/>
              </w:rPr>
              <w:t>IM</w:t>
            </w:r>
            <w:r w:rsidRPr="00901A4F">
              <w:rPr>
                <w:szCs w:val="18"/>
              </w:rPr>
              <w:t>)</w:t>
            </w:r>
          </w:p>
        </w:tc>
      </w:tr>
    </w:tbl>
    <w:p w:rsidR="00D96A58" w:rsidRDefault="00B76C81" w:rsidP="002955BA">
      <w:pPr>
        <w:pStyle w:val="tablefootnotes"/>
      </w:pPr>
      <w:r>
        <w:t xml:space="preserve"> </w:t>
      </w:r>
    </w:p>
    <w:p w:rsidR="00141D97" w:rsidRDefault="00141D97" w:rsidP="002955BA">
      <w:pPr>
        <w:pStyle w:val="tablefootnotes"/>
      </w:pPr>
    </w:p>
    <w:p w:rsidR="00BD7CE5" w:rsidRPr="005911E2" w:rsidRDefault="00BD7CE5" w:rsidP="00BD7CE5">
      <w:r w:rsidRPr="005911E2">
        <w:t xml:space="preserve">Income </w:t>
      </w:r>
      <w:r w:rsidR="0003166C" w:rsidRPr="005911E2">
        <w:t xml:space="preserve">management </w:t>
      </w:r>
      <w:r w:rsidRPr="005911E2">
        <w:t>was only one of a number of measures implemented as part of the NTER. The NTER policies and program can be grouped into the seven measures</w:t>
      </w:r>
      <w:r w:rsidR="00F82DB5">
        <w:t xml:space="preserve"> outlined in Table 2-3.</w:t>
      </w:r>
    </w:p>
    <w:p w:rsidR="00BD7CE5" w:rsidRPr="005911E2" w:rsidRDefault="00BD7CE5" w:rsidP="00BD7CE5">
      <w:pPr>
        <w:pStyle w:val="tabfighead"/>
      </w:pPr>
      <w:bookmarkStart w:id="106" w:name="_Toc321430404"/>
      <w:bookmarkStart w:id="107" w:name="_Toc321254523"/>
      <w:bookmarkStart w:id="108" w:name="_Toc324196601"/>
      <w:bookmarkStart w:id="109" w:name="_Toc328601569"/>
      <w:bookmarkStart w:id="110" w:name="_Toc329051347"/>
      <w:bookmarkStart w:id="111" w:name="_Toc335915835"/>
      <w:r w:rsidRPr="005911E2">
        <w:lastRenderedPageBreak/>
        <w:t xml:space="preserve">Table </w:t>
      </w:r>
      <w:r w:rsidR="00C7347D">
        <w:fldChar w:fldCharType="begin"/>
      </w:r>
      <w:r w:rsidR="00A7506C">
        <w:instrText xml:space="preserve"> STYLEREF 1 \s </w:instrText>
      </w:r>
      <w:r w:rsidR="00C7347D">
        <w:fldChar w:fldCharType="separate"/>
      </w:r>
      <w:r w:rsidR="007D7E45">
        <w:rPr>
          <w:noProof/>
        </w:rPr>
        <w:t>2</w:t>
      </w:r>
      <w:r w:rsidR="00C7347D">
        <w:rPr>
          <w:noProof/>
        </w:rPr>
        <w:fldChar w:fldCharType="end"/>
      </w:r>
      <w:r w:rsidRPr="005911E2">
        <w:noBreakHyphen/>
      </w:r>
      <w:r w:rsidR="00C7347D">
        <w:fldChar w:fldCharType="begin"/>
      </w:r>
      <w:r w:rsidR="00A7506C">
        <w:instrText xml:space="preserve"> SEQ Table \* ARABIC \s 1 </w:instrText>
      </w:r>
      <w:r w:rsidR="00C7347D">
        <w:fldChar w:fldCharType="separate"/>
      </w:r>
      <w:r w:rsidR="007D7E45">
        <w:rPr>
          <w:noProof/>
        </w:rPr>
        <w:t>3</w:t>
      </w:r>
      <w:r w:rsidR="00C7347D">
        <w:rPr>
          <w:noProof/>
        </w:rPr>
        <w:fldChar w:fldCharType="end"/>
      </w:r>
      <w:r w:rsidRPr="005911E2">
        <w:t xml:space="preserve"> </w:t>
      </w:r>
      <w:r w:rsidRPr="005911E2">
        <w:tab/>
        <w:t>NTER measures</w:t>
      </w:r>
      <w:bookmarkEnd w:id="106"/>
      <w:bookmarkEnd w:id="107"/>
      <w:bookmarkEnd w:id="108"/>
      <w:bookmarkEnd w:id="109"/>
      <w:bookmarkEnd w:id="110"/>
      <w:bookmarkEnd w:id="111"/>
    </w:p>
    <w:tbl>
      <w:tblPr>
        <w:tblStyle w:val="TableGrid"/>
        <w:tblW w:w="0" w:type="auto"/>
        <w:jc w:val="right"/>
        <w:tblBorders>
          <w:left w:val="none" w:sz="0" w:space="0" w:color="auto"/>
          <w:right w:val="none" w:sz="0" w:space="0" w:color="auto"/>
          <w:insideV w:val="none" w:sz="0" w:space="0" w:color="auto"/>
        </w:tblBorders>
        <w:tblLook w:val="04A0" w:firstRow="1" w:lastRow="0" w:firstColumn="1" w:lastColumn="0" w:noHBand="0" w:noVBand="1"/>
        <w:tblCaption w:val="Table 2-3 NTER measures"/>
        <w:tblDescription w:val="Table 2-3 NTER measures"/>
      </w:tblPr>
      <w:tblGrid>
        <w:gridCol w:w="4451"/>
        <w:gridCol w:w="3969"/>
      </w:tblGrid>
      <w:tr w:rsidR="00BD7CE5" w:rsidRPr="005911E2" w:rsidTr="009D15E2">
        <w:trPr>
          <w:tblHeader/>
          <w:jc w:val="right"/>
        </w:trPr>
        <w:tc>
          <w:tcPr>
            <w:tcW w:w="4451" w:type="dxa"/>
          </w:tcPr>
          <w:p w:rsidR="00F82DB5" w:rsidRDefault="00F82DB5" w:rsidP="00BD7CE5">
            <w:pPr>
              <w:pStyle w:val="TableText"/>
              <w:rPr>
                <w:b/>
                <w:i/>
              </w:rPr>
            </w:pPr>
          </w:p>
          <w:p w:rsidR="00BD7CE5" w:rsidRPr="005911E2" w:rsidRDefault="00BD7CE5" w:rsidP="00E24340">
            <w:pPr>
              <w:pStyle w:val="TableText"/>
              <w:spacing w:after="120"/>
              <w:rPr>
                <w:b/>
                <w:i/>
              </w:rPr>
            </w:pPr>
            <w:r w:rsidRPr="005911E2">
              <w:rPr>
                <w:b/>
                <w:i/>
              </w:rPr>
              <w:t>Measure 1: Welfare reform and employment</w:t>
            </w:r>
          </w:p>
          <w:p w:rsidR="00BD7CE5" w:rsidRPr="002F18E7" w:rsidRDefault="00BD7CE5" w:rsidP="00BD7CE5">
            <w:pPr>
              <w:pStyle w:val="TableText"/>
              <w:rPr>
                <w:rFonts w:cs="Arial"/>
              </w:rPr>
            </w:pPr>
            <w:r w:rsidRPr="002F18E7">
              <w:rPr>
                <w:rFonts w:cs="Arial"/>
              </w:rPr>
              <w:t>Income management and community stores</w:t>
            </w:r>
          </w:p>
          <w:p w:rsidR="00BD7CE5" w:rsidRPr="002955BA" w:rsidRDefault="00BD7CE5" w:rsidP="00BD7CE5">
            <w:pPr>
              <w:pStyle w:val="TableText"/>
              <w:rPr>
                <w:rFonts w:cs="Arial"/>
              </w:rPr>
            </w:pPr>
            <w:r w:rsidRPr="002955BA">
              <w:rPr>
                <w:rFonts w:cs="Arial"/>
              </w:rPr>
              <w:t>Increased participation opportunities for people on income support in remote communities</w:t>
            </w:r>
          </w:p>
          <w:p w:rsidR="00BD7CE5" w:rsidRPr="002955BA" w:rsidRDefault="00BD7CE5" w:rsidP="00BD7CE5">
            <w:pPr>
              <w:pStyle w:val="TableText"/>
              <w:rPr>
                <w:rFonts w:cs="Arial"/>
              </w:rPr>
            </w:pPr>
            <w:r w:rsidRPr="002955BA">
              <w:rPr>
                <w:rFonts w:cs="Arial"/>
              </w:rPr>
              <w:t>CDEP transition to jobs and employment services</w:t>
            </w:r>
          </w:p>
          <w:p w:rsidR="00BD7CE5" w:rsidRPr="002955BA" w:rsidRDefault="00BD7CE5" w:rsidP="00BD7CE5">
            <w:pPr>
              <w:pStyle w:val="TableText"/>
              <w:rPr>
                <w:rFonts w:cs="Arial"/>
              </w:rPr>
            </w:pPr>
            <w:r w:rsidRPr="002955BA">
              <w:rPr>
                <w:rFonts w:cs="Arial"/>
              </w:rPr>
              <w:t>Active school participation</w:t>
            </w:r>
          </w:p>
          <w:p w:rsidR="00BD7CE5" w:rsidRPr="002955BA" w:rsidRDefault="00BD7CE5" w:rsidP="00BD7CE5">
            <w:pPr>
              <w:pStyle w:val="TableText"/>
              <w:rPr>
                <w:rFonts w:cs="Arial"/>
              </w:rPr>
            </w:pPr>
            <w:r w:rsidRPr="002955BA">
              <w:rPr>
                <w:rFonts w:cs="Arial"/>
              </w:rPr>
              <w:t>Community employment brokers</w:t>
            </w:r>
          </w:p>
          <w:p w:rsidR="00BD7CE5" w:rsidRPr="005911E2" w:rsidRDefault="00BD7CE5" w:rsidP="00BD7CE5">
            <w:pPr>
              <w:pStyle w:val="TableText"/>
              <w:rPr>
                <w:b/>
                <w:i/>
              </w:rPr>
            </w:pPr>
          </w:p>
          <w:p w:rsidR="00BD7CE5" w:rsidRPr="005911E2" w:rsidRDefault="00BD7CE5" w:rsidP="00E24340">
            <w:pPr>
              <w:pStyle w:val="TableText"/>
              <w:spacing w:after="120"/>
              <w:rPr>
                <w:b/>
                <w:i/>
              </w:rPr>
            </w:pPr>
            <w:r w:rsidRPr="005911E2">
              <w:rPr>
                <w:b/>
                <w:i/>
              </w:rPr>
              <w:t>Measure 2: Law and order</w:t>
            </w:r>
          </w:p>
          <w:p w:rsidR="00BD7CE5" w:rsidRPr="005911E2" w:rsidRDefault="00BD7CE5" w:rsidP="00BD7CE5">
            <w:pPr>
              <w:pStyle w:val="TableText"/>
            </w:pPr>
            <w:r w:rsidRPr="005911E2">
              <w:t>Alcohol, drugs and pornography</w:t>
            </w:r>
          </w:p>
          <w:p w:rsidR="00BD7CE5" w:rsidRPr="005911E2" w:rsidRDefault="00BD7CE5" w:rsidP="00BD7CE5">
            <w:pPr>
              <w:pStyle w:val="TableText"/>
            </w:pPr>
            <w:r w:rsidRPr="005911E2">
              <w:t>Increased police presence in communities</w:t>
            </w:r>
          </w:p>
          <w:p w:rsidR="00BD7CE5" w:rsidRPr="005911E2" w:rsidRDefault="00BD7CE5" w:rsidP="00BD7CE5">
            <w:pPr>
              <w:pStyle w:val="TableText"/>
            </w:pPr>
            <w:r w:rsidRPr="005911E2">
              <w:t>National Indigenous Intelligence Taskforce</w:t>
            </w:r>
          </w:p>
          <w:p w:rsidR="00BD7CE5" w:rsidRPr="005911E2" w:rsidRDefault="00BD7CE5" w:rsidP="00BD7CE5">
            <w:pPr>
              <w:pStyle w:val="TableText"/>
            </w:pPr>
            <w:r w:rsidRPr="005911E2">
              <w:t>Child Abuse Desk</w:t>
            </w:r>
          </w:p>
          <w:p w:rsidR="00BD7CE5" w:rsidRPr="005911E2" w:rsidRDefault="00BD7CE5" w:rsidP="00BD7CE5">
            <w:pPr>
              <w:pStyle w:val="TableText"/>
            </w:pPr>
            <w:r w:rsidRPr="005911E2">
              <w:t>Northern Territory Aboriginal Interpreter Services</w:t>
            </w:r>
          </w:p>
          <w:p w:rsidR="00BD7CE5" w:rsidRPr="005911E2" w:rsidRDefault="00BD7CE5" w:rsidP="00BD7CE5">
            <w:pPr>
              <w:pStyle w:val="TableText"/>
            </w:pPr>
            <w:r w:rsidRPr="005911E2">
              <w:t>Expansion of Northern Territory night patrol services</w:t>
            </w:r>
          </w:p>
          <w:p w:rsidR="00BD7CE5" w:rsidRPr="005911E2" w:rsidRDefault="00BD7CE5" w:rsidP="00BD7CE5">
            <w:pPr>
              <w:pStyle w:val="TableText"/>
            </w:pPr>
            <w:r w:rsidRPr="005911E2">
              <w:t>Additional legal services for Indigenous Australians</w:t>
            </w:r>
          </w:p>
          <w:p w:rsidR="00BD7CE5" w:rsidRPr="005911E2" w:rsidRDefault="00BD7CE5" w:rsidP="00BD7CE5">
            <w:pPr>
              <w:pStyle w:val="TableText"/>
            </w:pPr>
          </w:p>
          <w:p w:rsidR="00BD7CE5" w:rsidRPr="005911E2" w:rsidRDefault="00BD7CE5" w:rsidP="00E24340">
            <w:pPr>
              <w:pStyle w:val="TableText"/>
              <w:spacing w:after="120"/>
              <w:rPr>
                <w:b/>
                <w:i/>
              </w:rPr>
            </w:pPr>
            <w:r w:rsidRPr="005911E2">
              <w:rPr>
                <w:b/>
                <w:i/>
              </w:rPr>
              <w:t>Measure 3: Enhancing education</w:t>
            </w:r>
          </w:p>
          <w:p w:rsidR="00BD7CE5" w:rsidRPr="005911E2" w:rsidRDefault="00BD7CE5" w:rsidP="00BD7CE5">
            <w:pPr>
              <w:pStyle w:val="TableText"/>
            </w:pPr>
            <w:r w:rsidRPr="005911E2">
              <w:t>Additional classrooms</w:t>
            </w:r>
          </w:p>
          <w:p w:rsidR="00BD7CE5" w:rsidRPr="005911E2" w:rsidRDefault="00BD7CE5" w:rsidP="00BD7CE5">
            <w:pPr>
              <w:pStyle w:val="TableText"/>
            </w:pPr>
            <w:r w:rsidRPr="005911E2">
              <w:t>Accelerated literacy program</w:t>
            </w:r>
          </w:p>
          <w:p w:rsidR="00BD7CE5" w:rsidRPr="005911E2" w:rsidRDefault="00BD7CE5" w:rsidP="00BD7CE5">
            <w:pPr>
              <w:pStyle w:val="TableText"/>
            </w:pPr>
            <w:r w:rsidRPr="005911E2">
              <w:t>School nutrition program</w:t>
            </w:r>
          </w:p>
          <w:p w:rsidR="00BD7CE5" w:rsidRPr="005911E2" w:rsidRDefault="00BD7CE5" w:rsidP="00BD7CE5">
            <w:pPr>
              <w:pStyle w:val="TableText"/>
            </w:pPr>
            <w:r w:rsidRPr="005911E2">
              <w:t>Volunteer teacher initiative</w:t>
            </w:r>
          </w:p>
          <w:p w:rsidR="00BD7CE5" w:rsidRPr="005911E2" w:rsidRDefault="00BD7CE5" w:rsidP="00BD7CE5">
            <w:pPr>
              <w:pStyle w:val="TableText"/>
            </w:pPr>
            <w:r w:rsidRPr="005911E2">
              <w:t>Quality teaching package</w:t>
            </w:r>
          </w:p>
          <w:p w:rsidR="00BD7CE5" w:rsidRPr="005911E2" w:rsidRDefault="00BD7CE5" w:rsidP="00BD7CE5">
            <w:pPr>
              <w:pStyle w:val="TableText"/>
              <w:rPr>
                <w:b/>
                <w:i/>
              </w:rPr>
            </w:pPr>
          </w:p>
          <w:p w:rsidR="00BD7CE5" w:rsidRPr="005911E2" w:rsidRDefault="00BD7CE5" w:rsidP="00E24340">
            <w:pPr>
              <w:pStyle w:val="TableText"/>
              <w:spacing w:after="120"/>
              <w:rPr>
                <w:b/>
                <w:i/>
              </w:rPr>
            </w:pPr>
            <w:r w:rsidRPr="005911E2">
              <w:rPr>
                <w:b/>
                <w:i/>
              </w:rPr>
              <w:t>Measure 4: Supporting families</w:t>
            </w:r>
          </w:p>
          <w:p w:rsidR="00BD7CE5" w:rsidRPr="005911E2" w:rsidRDefault="00BD7CE5" w:rsidP="00BD7CE5">
            <w:pPr>
              <w:pStyle w:val="TableText"/>
            </w:pPr>
            <w:r w:rsidRPr="005911E2">
              <w:t>Children's services and family support (crèches, playgroups and early childhood services)</w:t>
            </w:r>
          </w:p>
          <w:p w:rsidR="00BD7CE5" w:rsidRPr="005911E2" w:rsidRDefault="00BD7CE5" w:rsidP="00BD7CE5">
            <w:pPr>
              <w:pStyle w:val="TableText"/>
            </w:pPr>
            <w:r w:rsidRPr="005911E2">
              <w:t>Child-at-risk workers for Northern Territory Child Protection Services</w:t>
            </w:r>
          </w:p>
          <w:p w:rsidR="00BD7CE5" w:rsidRPr="005911E2" w:rsidRDefault="00BD7CE5" w:rsidP="00BD7CE5">
            <w:pPr>
              <w:pStyle w:val="TableText"/>
            </w:pPr>
            <w:r w:rsidRPr="005911E2">
              <w:t>Safe place for families escaping family violence</w:t>
            </w:r>
          </w:p>
          <w:p w:rsidR="00BD7CE5" w:rsidRPr="005911E2" w:rsidRDefault="00BD7CE5" w:rsidP="00C5227F">
            <w:pPr>
              <w:pStyle w:val="TableText"/>
            </w:pPr>
            <w:r w:rsidRPr="005911E2">
              <w:t>Youth alcohol diversionary services</w:t>
            </w:r>
          </w:p>
        </w:tc>
        <w:tc>
          <w:tcPr>
            <w:tcW w:w="3969" w:type="dxa"/>
          </w:tcPr>
          <w:p w:rsidR="00BD7CE5" w:rsidRPr="005911E2" w:rsidRDefault="00BD7CE5" w:rsidP="00BD7CE5">
            <w:pPr>
              <w:pStyle w:val="TableText"/>
            </w:pPr>
          </w:p>
          <w:p w:rsidR="00BD7CE5" w:rsidRPr="005911E2" w:rsidRDefault="00BD7CE5" w:rsidP="00E24340">
            <w:pPr>
              <w:pStyle w:val="TableText"/>
              <w:spacing w:after="120"/>
              <w:rPr>
                <w:b/>
                <w:i/>
              </w:rPr>
            </w:pPr>
            <w:r w:rsidRPr="005911E2">
              <w:rPr>
                <w:b/>
                <w:i/>
              </w:rPr>
              <w:t>Measure 5: Improving child and family health</w:t>
            </w:r>
          </w:p>
          <w:p w:rsidR="00BD7CE5" w:rsidRPr="005911E2" w:rsidRDefault="00BD7CE5" w:rsidP="00BD7CE5">
            <w:pPr>
              <w:pStyle w:val="TableText"/>
            </w:pPr>
            <w:r w:rsidRPr="005911E2">
              <w:t>Child health checks, medical follow-up and treatment</w:t>
            </w:r>
          </w:p>
          <w:p w:rsidR="00BD7CE5" w:rsidRPr="005911E2" w:rsidRDefault="00BD7CE5" w:rsidP="00BD7CE5">
            <w:pPr>
              <w:pStyle w:val="TableText"/>
            </w:pPr>
            <w:r w:rsidRPr="005911E2">
              <w:t>Child special services</w:t>
            </w:r>
          </w:p>
          <w:p w:rsidR="00BD7CE5" w:rsidRPr="005911E2" w:rsidRDefault="00BD7CE5" w:rsidP="00BD7CE5">
            <w:pPr>
              <w:pStyle w:val="TableText"/>
            </w:pPr>
            <w:r w:rsidRPr="005911E2">
              <w:t>Drug and alcohol response</w:t>
            </w:r>
          </w:p>
          <w:p w:rsidR="00BD7CE5" w:rsidRPr="005911E2" w:rsidRDefault="00BD7CE5" w:rsidP="00BD7CE5">
            <w:pPr>
              <w:pStyle w:val="TableText"/>
            </w:pPr>
          </w:p>
          <w:p w:rsidR="00BD7CE5" w:rsidRPr="005911E2" w:rsidRDefault="00BD7CE5" w:rsidP="00E24340">
            <w:pPr>
              <w:pStyle w:val="TableText"/>
              <w:spacing w:after="120"/>
              <w:rPr>
                <w:b/>
                <w:i/>
              </w:rPr>
            </w:pPr>
            <w:r w:rsidRPr="005911E2">
              <w:rPr>
                <w:b/>
                <w:i/>
              </w:rPr>
              <w:t xml:space="preserve">Measure 6: </w:t>
            </w:r>
            <w:r w:rsidRPr="00904FBF">
              <w:rPr>
                <w:b/>
                <w:i/>
              </w:rPr>
              <w:t>Housing</w:t>
            </w:r>
            <w:r w:rsidRPr="005911E2">
              <w:rPr>
                <w:b/>
                <w:i/>
              </w:rPr>
              <w:t xml:space="preserve"> and land reform</w:t>
            </w:r>
          </w:p>
          <w:p w:rsidR="00BD7CE5" w:rsidRPr="005911E2" w:rsidRDefault="00BD7CE5" w:rsidP="00BD7CE5">
            <w:pPr>
              <w:pStyle w:val="TableText"/>
            </w:pPr>
            <w:r w:rsidRPr="005911E2">
              <w:t>Five-year lease program</w:t>
            </w:r>
          </w:p>
          <w:p w:rsidR="00BD7CE5" w:rsidRPr="005911E2" w:rsidRDefault="00BD7CE5" w:rsidP="00BD7CE5">
            <w:pPr>
              <w:pStyle w:val="TableText"/>
            </w:pPr>
            <w:r w:rsidRPr="005911E2">
              <w:t>Urgent repairs to infrastructure</w:t>
            </w:r>
          </w:p>
          <w:p w:rsidR="00BD7CE5" w:rsidRPr="005911E2" w:rsidRDefault="00BD7CE5" w:rsidP="00BD7CE5">
            <w:pPr>
              <w:pStyle w:val="TableText"/>
            </w:pPr>
            <w:r w:rsidRPr="005911E2">
              <w:t>Permits</w:t>
            </w:r>
          </w:p>
          <w:p w:rsidR="00BD7CE5" w:rsidRPr="005911E2" w:rsidRDefault="00BD7CE5" w:rsidP="00BD7CE5">
            <w:pPr>
              <w:pStyle w:val="TableText"/>
            </w:pPr>
            <w:r w:rsidRPr="005911E2">
              <w:t>Community clean up</w:t>
            </w:r>
          </w:p>
          <w:p w:rsidR="00BD7CE5" w:rsidRPr="005911E2" w:rsidRDefault="00BD7CE5" w:rsidP="00BD7CE5">
            <w:pPr>
              <w:pStyle w:val="TableText"/>
            </w:pPr>
            <w:r w:rsidRPr="005911E2">
              <w:t>Land compensation</w:t>
            </w:r>
          </w:p>
          <w:p w:rsidR="00BD7CE5" w:rsidRPr="005911E2" w:rsidRDefault="00BD7CE5" w:rsidP="00E24340">
            <w:pPr>
              <w:pStyle w:val="TableText"/>
              <w:spacing w:after="120"/>
            </w:pPr>
          </w:p>
          <w:p w:rsidR="00BD7CE5" w:rsidRPr="005911E2" w:rsidRDefault="00BD7CE5" w:rsidP="00BD7CE5">
            <w:pPr>
              <w:pStyle w:val="TableText"/>
              <w:rPr>
                <w:b/>
                <w:i/>
              </w:rPr>
            </w:pPr>
            <w:r w:rsidRPr="005911E2">
              <w:rPr>
                <w:b/>
                <w:i/>
              </w:rPr>
              <w:t>Measure 7: Coordination</w:t>
            </w:r>
          </w:p>
          <w:p w:rsidR="00BD7CE5" w:rsidRPr="005911E2" w:rsidRDefault="00BD7CE5" w:rsidP="00BD7CE5">
            <w:pPr>
              <w:pStyle w:val="TableText"/>
            </w:pPr>
            <w:r w:rsidRPr="005911E2">
              <w:t>NTER Taskforce</w:t>
            </w:r>
          </w:p>
          <w:p w:rsidR="00BD7CE5" w:rsidRPr="005911E2" w:rsidRDefault="00BD7CE5" w:rsidP="00BD7CE5">
            <w:pPr>
              <w:pStyle w:val="TableText"/>
            </w:pPr>
            <w:r w:rsidRPr="005911E2">
              <w:t xml:space="preserve">Government Business Managers </w:t>
            </w:r>
          </w:p>
          <w:p w:rsidR="00BD7CE5" w:rsidRPr="005911E2" w:rsidRDefault="00BD7CE5" w:rsidP="00BD7CE5">
            <w:pPr>
              <w:pStyle w:val="TableText"/>
            </w:pPr>
            <w:r w:rsidRPr="005911E2">
              <w:t>Operations Centre</w:t>
            </w:r>
          </w:p>
          <w:p w:rsidR="00BD7CE5" w:rsidRPr="005911E2" w:rsidRDefault="00BD7CE5" w:rsidP="00BD7CE5">
            <w:pPr>
              <w:pStyle w:val="TableText"/>
            </w:pPr>
            <w:r w:rsidRPr="005911E2">
              <w:t>Community engagement and volunteering</w:t>
            </w:r>
          </w:p>
          <w:p w:rsidR="00BD7CE5" w:rsidRPr="005911E2" w:rsidRDefault="00BD7CE5" w:rsidP="00BD7CE5">
            <w:pPr>
              <w:pStyle w:val="TableText"/>
            </w:pPr>
            <w:r w:rsidRPr="005911E2">
              <w:t>Temporary accommodation of whole-of government staff</w:t>
            </w:r>
          </w:p>
          <w:p w:rsidR="00BD7CE5" w:rsidRPr="005911E2" w:rsidRDefault="00BD7CE5" w:rsidP="00BD7CE5">
            <w:pPr>
              <w:pStyle w:val="TableText"/>
            </w:pPr>
            <w:r w:rsidRPr="005911E2">
              <w:t>Commonwealth Ombudsman support for NTER</w:t>
            </w:r>
          </w:p>
          <w:p w:rsidR="00BD7CE5" w:rsidRPr="005911E2" w:rsidRDefault="00BD7CE5" w:rsidP="00BD7CE5">
            <w:pPr>
              <w:pStyle w:val="TableText"/>
            </w:pPr>
            <w:r w:rsidRPr="005911E2">
              <w:t>Logistical support for NTER</w:t>
            </w:r>
          </w:p>
          <w:p w:rsidR="00BD7CE5" w:rsidRPr="005911E2" w:rsidRDefault="00BD7CE5" w:rsidP="00BD7CE5">
            <w:pPr>
              <w:pStyle w:val="TableText"/>
            </w:pPr>
          </w:p>
        </w:tc>
      </w:tr>
    </w:tbl>
    <w:p w:rsidR="00D96A58" w:rsidRPr="002F18E7" w:rsidRDefault="003B3BD2" w:rsidP="00C5227F">
      <w:pPr>
        <w:pStyle w:val="tablefootnoteslastline"/>
      </w:pPr>
      <w:r w:rsidRPr="002F18E7">
        <w:t xml:space="preserve">Source: </w:t>
      </w:r>
      <w:r w:rsidR="00EC1B1F">
        <w:tab/>
      </w:r>
      <w:r w:rsidRPr="002F18E7">
        <w:t>AIHW (2010)</w:t>
      </w:r>
      <w:r w:rsidR="00141D97">
        <w:t>.</w:t>
      </w:r>
    </w:p>
    <w:p w:rsidR="00BD7CE5" w:rsidRPr="005911E2" w:rsidRDefault="00BD7CE5" w:rsidP="00616B0F">
      <w:pPr>
        <w:pStyle w:val="Heading2"/>
      </w:pPr>
      <w:bookmarkStart w:id="112" w:name="_Toc321225097"/>
      <w:bookmarkStart w:id="113" w:name="_Toc321254441"/>
      <w:bookmarkStart w:id="114" w:name="_Toc324196510"/>
      <w:bookmarkStart w:id="115" w:name="_Toc328601463"/>
      <w:bookmarkStart w:id="116" w:name="_Toc329870345"/>
      <w:bookmarkStart w:id="117" w:name="_Toc335915731"/>
      <w:r w:rsidRPr="005911E2">
        <w:t>Objectives of NIM</w:t>
      </w:r>
      <w:bookmarkEnd w:id="112"/>
      <w:bookmarkEnd w:id="113"/>
      <w:bookmarkEnd w:id="114"/>
      <w:bookmarkEnd w:id="115"/>
      <w:bookmarkEnd w:id="116"/>
      <w:bookmarkEnd w:id="117"/>
    </w:p>
    <w:p w:rsidR="00BD7CE5" w:rsidRPr="005911E2" w:rsidRDefault="00BD7CE5" w:rsidP="00BD7CE5">
      <w:r w:rsidRPr="005911E2">
        <w:t>The Evaluation Framework developed to guide th</w:t>
      </w:r>
      <w:r w:rsidR="00F82DB5">
        <w:t>is</w:t>
      </w:r>
      <w:r w:rsidRPr="005911E2">
        <w:t xml:space="preserve"> evaluation (SPRC </w:t>
      </w:r>
      <w:r w:rsidR="00F82DB5">
        <w:t xml:space="preserve">&amp; AIFS, </w:t>
      </w:r>
      <w:r w:rsidRPr="005911E2">
        <w:t>2010) provides an overview of the objectives of NIM. As documented</w:t>
      </w:r>
      <w:r w:rsidR="00F82DB5">
        <w:t xml:space="preserve">, a </w:t>
      </w:r>
      <w:r w:rsidRPr="005911E2">
        <w:t>number of different policy statements have talked about the objectives of NIM</w:t>
      </w:r>
      <w:r w:rsidR="00F82DB5">
        <w:t>;</w:t>
      </w:r>
      <w:r w:rsidRPr="005911E2">
        <w:t xml:space="preserve"> central to these </w:t>
      </w:r>
      <w:r w:rsidR="00F82DB5">
        <w:t>are</w:t>
      </w:r>
      <w:r w:rsidR="00F82DB5" w:rsidRPr="005911E2">
        <w:t xml:space="preserve"> </w:t>
      </w:r>
      <w:r w:rsidRPr="005911E2">
        <w:t>Minister Macklin’s second reading speech</w:t>
      </w:r>
      <w:r w:rsidR="00311A9C">
        <w:t xml:space="preserve"> (Macklin</w:t>
      </w:r>
      <w:r w:rsidR="00E87E0D">
        <w:t>,</w:t>
      </w:r>
      <w:r w:rsidR="00311A9C">
        <w:t xml:space="preserve"> 2010b)</w:t>
      </w:r>
      <w:r w:rsidRPr="005911E2">
        <w:t xml:space="preserve">, and the Government’s Policy Statement </w:t>
      </w:r>
      <w:r w:rsidR="002C4832">
        <w:t>‘</w:t>
      </w:r>
      <w:r w:rsidR="00901A4F" w:rsidRPr="00901A4F">
        <w:rPr>
          <w:i/>
        </w:rPr>
        <w:t>Landmark Reform to the Welfare System, Reinstatement of the Racial Discrimination Act and Strengthening of the Northern Territory Emergency Response</w:t>
      </w:r>
      <w:r w:rsidR="00A97BF6">
        <w:t>’</w:t>
      </w:r>
      <w:r w:rsidR="003930F9">
        <w:t xml:space="preserve"> (Australian Government, 2009); which identifies </w:t>
      </w:r>
      <w:r w:rsidRPr="005911E2">
        <w:t>the aims of NIM being to:</w:t>
      </w:r>
    </w:p>
    <w:p w:rsidR="00BD7CE5" w:rsidRPr="005911E2" w:rsidRDefault="002C4832" w:rsidP="00BD7CE5">
      <w:pPr>
        <w:rPr>
          <w:i/>
        </w:rPr>
      </w:pPr>
      <w:r>
        <w:rPr>
          <w:i/>
        </w:rPr>
        <w:t>‘</w:t>
      </w:r>
      <w:r w:rsidR="00BD7CE5" w:rsidRPr="005911E2">
        <w:rPr>
          <w:i/>
        </w:rPr>
        <w:t>…provide for the welfare of individuals and families, and particularly children… by ensuring that people meet their immediate priority needs and those of their children and other dependents. Income management can reduce the amount of welfare funds available to be spent on alcohol, gambling, tobacco products and pornography</w:t>
      </w:r>
      <w:r w:rsidR="003930F9">
        <w:rPr>
          <w:i/>
        </w:rPr>
        <w:t>,</w:t>
      </w:r>
      <w:r w:rsidR="00BD7CE5" w:rsidRPr="005911E2">
        <w:rPr>
          <w:i/>
        </w:rPr>
        <w:t xml:space="preserve"> and can reduce the likelihood that a person will be at risk of harassment or financial abuse in relation to their welfare payments.</w:t>
      </w:r>
      <w:r>
        <w:rPr>
          <w:i/>
        </w:rPr>
        <w:t>’</w:t>
      </w:r>
    </w:p>
    <w:p w:rsidR="00BD7CE5" w:rsidRPr="005911E2" w:rsidRDefault="002C4832" w:rsidP="00BD7CE5">
      <w:pPr>
        <w:rPr>
          <w:i/>
          <w:iCs/>
        </w:rPr>
      </w:pPr>
      <w:r>
        <w:rPr>
          <w:i/>
          <w:iCs/>
        </w:rPr>
        <w:t>‘</w:t>
      </w:r>
      <w:r w:rsidR="00BD7CE5" w:rsidRPr="005911E2">
        <w:rPr>
          <w:i/>
          <w:iCs/>
        </w:rPr>
        <w:t>Governments have a responsibility – particularly in relation to vulnerable and at risk citizens – to ensure income support payments are allocated in beneficial ways. The Government believes that the first call on welfare payments should be life essentials and the interests of children.</w:t>
      </w:r>
      <w:r>
        <w:rPr>
          <w:i/>
          <w:iCs/>
        </w:rPr>
        <w:t>’</w:t>
      </w:r>
    </w:p>
    <w:p w:rsidR="00BD7CE5" w:rsidRPr="005911E2" w:rsidRDefault="002C4832" w:rsidP="00BD7CE5">
      <w:pPr>
        <w:rPr>
          <w:i/>
          <w:iCs/>
        </w:rPr>
      </w:pPr>
      <w:r>
        <w:rPr>
          <w:i/>
          <w:iCs/>
        </w:rPr>
        <w:lastRenderedPageBreak/>
        <w:t>‘</w:t>
      </w:r>
      <w:r w:rsidR="00BD7CE5" w:rsidRPr="005911E2">
        <w:rPr>
          <w:i/>
          <w:iCs/>
        </w:rPr>
        <w:t>In the Government’s view the substantial benefits that can be achieved for these individuals through income management include: putting food on the table; stabilising housing; ensuring key bills are paid; helping minimise harassment; and helping people save money. In this way, income management lays the foundations for pathways to economic and social participation through helping to stabilise household budgeting that assists people to meet the basic needs of life. We recognise that these are benefits which are relevant to Indigenous people and non-Indigenous people in similar situations.</w:t>
      </w:r>
      <w:r>
        <w:rPr>
          <w:i/>
          <w:iCs/>
        </w:rPr>
        <w:t>’</w:t>
      </w:r>
      <w:r w:rsidR="003930F9">
        <w:rPr>
          <w:i/>
          <w:iCs/>
        </w:rPr>
        <w:t xml:space="preserve"> </w:t>
      </w:r>
      <w:r w:rsidR="00901A4F" w:rsidRPr="00901A4F">
        <w:rPr>
          <w:iCs/>
        </w:rPr>
        <w:t>(</w:t>
      </w:r>
      <w:r w:rsidR="00141D97" w:rsidRPr="00141D97">
        <w:rPr>
          <w:iCs/>
        </w:rPr>
        <w:t>Australian Government, 2009</w:t>
      </w:r>
      <w:r w:rsidR="00FA2BC6">
        <w:rPr>
          <w:iCs/>
        </w:rPr>
        <w:t>,</w:t>
      </w:r>
      <w:r w:rsidR="00141D97">
        <w:rPr>
          <w:iCs/>
        </w:rPr>
        <w:t xml:space="preserve"> </w:t>
      </w:r>
      <w:r w:rsidR="00901A4F" w:rsidRPr="00901A4F">
        <w:rPr>
          <w:iCs/>
        </w:rPr>
        <w:t>p.</w:t>
      </w:r>
      <w:r w:rsidR="00BA5565">
        <w:rPr>
          <w:iCs/>
        </w:rPr>
        <w:t> </w:t>
      </w:r>
      <w:r w:rsidR="00901A4F" w:rsidRPr="00901A4F">
        <w:rPr>
          <w:iCs/>
        </w:rPr>
        <w:t>1)</w:t>
      </w:r>
    </w:p>
    <w:p w:rsidR="00BD7CE5" w:rsidRDefault="00BD7CE5" w:rsidP="00BD7CE5">
      <w:r w:rsidRPr="005911E2">
        <w:t>The policy statement also identifies income management as a key tool in the Government's broader welfare reforms to promote responsibility and strengthen families by ensuring that income support payments are spent where they are intended.</w:t>
      </w:r>
    </w:p>
    <w:p w:rsidR="0011026F" w:rsidRDefault="0011026F" w:rsidP="0011026F">
      <w:pPr>
        <w:pStyle w:val="BodyText"/>
      </w:pPr>
      <w:r>
        <w:t xml:space="preserve">The objectives of income management embedded in the legislation </w:t>
      </w:r>
      <w:r w:rsidR="001429AF">
        <w:t>are:</w:t>
      </w:r>
    </w:p>
    <w:p w:rsidR="0011026F" w:rsidRPr="007B4471" w:rsidRDefault="0011026F" w:rsidP="0011026F">
      <w:pPr>
        <w:pStyle w:val="BodyText"/>
        <w:rPr>
          <w:i/>
        </w:rPr>
      </w:pPr>
      <w:r w:rsidRPr="007B4471">
        <w:rPr>
          <w:i/>
        </w:rPr>
        <w:t>(a)</w:t>
      </w:r>
      <w:r w:rsidR="00BB14C5">
        <w:rPr>
          <w:i/>
        </w:rPr>
        <w:t xml:space="preserve"> </w:t>
      </w:r>
      <w:r w:rsidRPr="007B4471">
        <w:rPr>
          <w:i/>
        </w:rPr>
        <w:t>to reduce immediate hardship and deprivation by ensuring that the whole or part of certain welfare payments is directed to meeting the priority needs of:</w:t>
      </w:r>
    </w:p>
    <w:p w:rsidR="0011026F" w:rsidRPr="007B4471" w:rsidRDefault="0011026F" w:rsidP="0011026F">
      <w:pPr>
        <w:pStyle w:val="BodyText"/>
        <w:rPr>
          <w:i/>
        </w:rPr>
      </w:pPr>
      <w:r w:rsidRPr="007B4471">
        <w:rPr>
          <w:i/>
        </w:rPr>
        <w:tab/>
        <w:t xml:space="preserve"> (i)</w:t>
      </w:r>
      <w:r w:rsidR="00BB14C5">
        <w:rPr>
          <w:i/>
        </w:rPr>
        <w:t xml:space="preserve"> </w:t>
      </w:r>
      <w:r w:rsidRPr="007B4471">
        <w:rPr>
          <w:i/>
        </w:rPr>
        <w:t>the recipient of the welfare payment; and</w:t>
      </w:r>
    </w:p>
    <w:p w:rsidR="0011026F" w:rsidRPr="007B4471" w:rsidRDefault="0011026F" w:rsidP="0011026F">
      <w:pPr>
        <w:pStyle w:val="BodyText"/>
        <w:rPr>
          <w:i/>
        </w:rPr>
      </w:pPr>
      <w:r w:rsidRPr="007B4471">
        <w:rPr>
          <w:i/>
        </w:rPr>
        <w:tab/>
        <w:t xml:space="preserve"> (ii)</w:t>
      </w:r>
      <w:r w:rsidR="00BB14C5">
        <w:rPr>
          <w:i/>
        </w:rPr>
        <w:t xml:space="preserve"> </w:t>
      </w:r>
      <w:r w:rsidRPr="007B4471">
        <w:rPr>
          <w:i/>
        </w:rPr>
        <w:t>the recipient’s children (if any); and</w:t>
      </w:r>
    </w:p>
    <w:p w:rsidR="0011026F" w:rsidRPr="007B4471" w:rsidRDefault="0011026F" w:rsidP="0011026F">
      <w:pPr>
        <w:pStyle w:val="BodyText"/>
        <w:rPr>
          <w:i/>
        </w:rPr>
      </w:pPr>
      <w:r w:rsidRPr="007B4471">
        <w:rPr>
          <w:i/>
        </w:rPr>
        <w:tab/>
        <w:t xml:space="preserve"> (iii)</w:t>
      </w:r>
      <w:r w:rsidR="00BB14C5">
        <w:rPr>
          <w:i/>
        </w:rPr>
        <w:t xml:space="preserve"> </w:t>
      </w:r>
      <w:r w:rsidRPr="007B4471">
        <w:rPr>
          <w:i/>
        </w:rPr>
        <w:t>the recipient’s partner (if any); and</w:t>
      </w:r>
    </w:p>
    <w:p w:rsidR="0011026F" w:rsidRPr="007B4471" w:rsidRDefault="0011026F" w:rsidP="0011026F">
      <w:pPr>
        <w:pStyle w:val="BodyText"/>
        <w:rPr>
          <w:i/>
        </w:rPr>
      </w:pPr>
      <w:r w:rsidRPr="007B4471">
        <w:rPr>
          <w:i/>
        </w:rPr>
        <w:tab/>
        <w:t xml:space="preserve"> (iv)</w:t>
      </w:r>
      <w:r w:rsidR="00BB14C5">
        <w:rPr>
          <w:i/>
        </w:rPr>
        <w:t xml:space="preserve"> </w:t>
      </w:r>
      <w:r w:rsidRPr="007B4471">
        <w:rPr>
          <w:i/>
        </w:rPr>
        <w:t>any other dependants of the recipient;</w:t>
      </w:r>
    </w:p>
    <w:p w:rsidR="0011026F" w:rsidRPr="007B4471" w:rsidRDefault="0011026F" w:rsidP="0011026F">
      <w:pPr>
        <w:pStyle w:val="BodyText"/>
        <w:rPr>
          <w:i/>
        </w:rPr>
      </w:pPr>
      <w:r w:rsidRPr="007B4471">
        <w:rPr>
          <w:i/>
        </w:rPr>
        <w:t>(b)</w:t>
      </w:r>
      <w:r w:rsidR="00BB14C5">
        <w:rPr>
          <w:i/>
        </w:rPr>
        <w:t xml:space="preserve"> </w:t>
      </w:r>
      <w:r w:rsidRPr="007B4471">
        <w:rPr>
          <w:i/>
        </w:rPr>
        <w:t>to ensure that recipients of certain welfare payments are given support in budgeting to meet priority needs;</w:t>
      </w:r>
    </w:p>
    <w:p w:rsidR="0011026F" w:rsidRPr="007B4471" w:rsidRDefault="0011026F" w:rsidP="0011026F">
      <w:pPr>
        <w:pStyle w:val="BodyText"/>
        <w:rPr>
          <w:i/>
        </w:rPr>
      </w:pPr>
      <w:r w:rsidRPr="007B4471">
        <w:rPr>
          <w:i/>
        </w:rPr>
        <w:t xml:space="preserve"> (c)</w:t>
      </w:r>
      <w:r w:rsidR="00BB14C5">
        <w:rPr>
          <w:i/>
        </w:rPr>
        <w:t xml:space="preserve"> </w:t>
      </w:r>
      <w:r w:rsidRPr="007B4471">
        <w:rPr>
          <w:i/>
        </w:rPr>
        <w:t>to reduce the amount of certain welfare payments available to be spent on alcoholic beverages, gambling, tobacco products and pornographic material;</w:t>
      </w:r>
    </w:p>
    <w:p w:rsidR="0011026F" w:rsidRPr="007B4471" w:rsidRDefault="0011026F" w:rsidP="0011026F">
      <w:pPr>
        <w:pStyle w:val="BodyText"/>
        <w:rPr>
          <w:i/>
        </w:rPr>
      </w:pPr>
      <w:r w:rsidRPr="007B4471">
        <w:rPr>
          <w:i/>
        </w:rPr>
        <w:t>(d)</w:t>
      </w:r>
      <w:r w:rsidR="00BB14C5">
        <w:rPr>
          <w:i/>
        </w:rPr>
        <w:t xml:space="preserve"> </w:t>
      </w:r>
      <w:r w:rsidRPr="007B4471">
        <w:rPr>
          <w:i/>
        </w:rPr>
        <w:t>to reduce the likelihood that recipients of welfare payments will be subject to harassment and abuse in relation to their welfare payments;</w:t>
      </w:r>
    </w:p>
    <w:p w:rsidR="0011026F" w:rsidRPr="007B4471" w:rsidRDefault="0011026F" w:rsidP="0011026F">
      <w:pPr>
        <w:pStyle w:val="BodyText"/>
        <w:rPr>
          <w:i/>
        </w:rPr>
      </w:pPr>
      <w:r w:rsidRPr="007B4471">
        <w:rPr>
          <w:i/>
        </w:rPr>
        <w:t xml:space="preserve"> (e)</w:t>
      </w:r>
      <w:r w:rsidR="00BB14C5">
        <w:rPr>
          <w:i/>
        </w:rPr>
        <w:t xml:space="preserve"> </w:t>
      </w:r>
      <w:r w:rsidRPr="007B4471">
        <w:rPr>
          <w:i/>
        </w:rPr>
        <w:t>to encourage socially responsible behaviour, including in relation to the care and education of children;</w:t>
      </w:r>
    </w:p>
    <w:p w:rsidR="0011026F" w:rsidRDefault="0011026F" w:rsidP="0011026F">
      <w:pPr>
        <w:pStyle w:val="BodyText"/>
      </w:pPr>
      <w:r w:rsidRPr="007B4471">
        <w:rPr>
          <w:i/>
        </w:rPr>
        <w:t>(f)</w:t>
      </w:r>
      <w:r w:rsidR="00BB14C5">
        <w:rPr>
          <w:i/>
        </w:rPr>
        <w:t xml:space="preserve"> </w:t>
      </w:r>
      <w:r w:rsidRPr="007B4471">
        <w:rPr>
          <w:i/>
        </w:rPr>
        <w:t>to improve the level of protection afforded to welfare recipients and their families</w:t>
      </w:r>
      <w:r w:rsidR="00E172FE">
        <w:t xml:space="preserve"> (</w:t>
      </w:r>
      <w:r w:rsidR="003B5477">
        <w:t>Social Security</w:t>
      </w:r>
      <w:r w:rsidR="003B5477" w:rsidRPr="003B5477">
        <w:t xml:space="preserve"> (A</w:t>
      </w:r>
      <w:r w:rsidR="003B5477">
        <w:t>dministration) Act 1999 - Section</w:t>
      </w:r>
      <w:r w:rsidR="003B5477" w:rsidRPr="003B5477">
        <w:t xml:space="preserve"> 123TB</w:t>
      </w:r>
      <w:r w:rsidR="003B5477">
        <w:t>)</w:t>
      </w:r>
      <w:r w:rsidR="00141D97">
        <w:t>.</w:t>
      </w:r>
    </w:p>
    <w:p w:rsidR="00BD7CE5" w:rsidRPr="005911E2" w:rsidRDefault="00BD7CE5" w:rsidP="00BD7CE5">
      <w:r w:rsidRPr="005911E2">
        <w:t xml:space="preserve">Income management limits expenditure of income support payments on excluded items, including alcohol, tobacco, pornography, gambling goods and </w:t>
      </w:r>
      <w:r w:rsidR="00311A9C">
        <w:t>gambling</w:t>
      </w:r>
      <w:r w:rsidRPr="005911E2">
        <w:t>. It ensures that money is available for life essentials and provides a tool to stabilise people’s circumstances, easing immediate financial stress.</w:t>
      </w:r>
    </w:p>
    <w:p w:rsidR="00BD7CE5" w:rsidRPr="005911E2" w:rsidRDefault="00BD7CE5" w:rsidP="00BD7CE5">
      <w:r w:rsidRPr="005911E2">
        <w:t xml:space="preserve">According to the program logic, this change in expenditure patterns is expected to result in a number of other benefits for children, parents and the broader community. A reduction in negative expenditures may result in reductions in alcohol fuelled violence, substance abuse and risky behaviour. The promotion of positive expenditure patterns may result in meeting children’s needs </w:t>
      </w:r>
      <w:r w:rsidR="003930F9">
        <w:t xml:space="preserve">more effectively, </w:t>
      </w:r>
      <w:r w:rsidRPr="005911E2">
        <w:t>including improved nutrition and increased spending on children’s clothing and school-related expenses.</w:t>
      </w:r>
    </w:p>
    <w:p w:rsidR="00BD7CE5" w:rsidRPr="005911E2" w:rsidRDefault="00BD7CE5" w:rsidP="00BD7CE5">
      <w:r w:rsidRPr="005911E2">
        <w:lastRenderedPageBreak/>
        <w:t>As a consequence of better spending on children, there may be improvements in positive health behaviours and improved educational attendance, which in turn could lead to improved educational outcomes.</w:t>
      </w:r>
    </w:p>
    <w:p w:rsidR="00BD7CE5" w:rsidRPr="005911E2" w:rsidRDefault="00BD7CE5" w:rsidP="00BD7CE5">
      <w:r w:rsidRPr="005911E2">
        <w:t>In addition, the exemption criteria are intended to reinforce some of these positive outcomes. For example, families may be able to secure exemptions if their children are immunised and if they are attending school. Additionally, exemptions are available on demonstrating that children are engaged in activities such as structured, age appropriate social, learning or physical activities.</w:t>
      </w:r>
    </w:p>
    <w:p w:rsidR="00BD7CE5" w:rsidRPr="005911E2" w:rsidRDefault="00BD7CE5" w:rsidP="00BD7CE5">
      <w:r w:rsidRPr="005911E2">
        <w:t xml:space="preserve">Overall, the program is intended to reinforce responsible parenting and more generally promote principles of engagement, participation and personal responsibility. </w:t>
      </w:r>
    </w:p>
    <w:p w:rsidR="00BD7CE5" w:rsidRPr="005911E2" w:rsidRDefault="00BD7CE5" w:rsidP="00311A9C">
      <w:r w:rsidRPr="005911E2">
        <w:t>The Australian Government funds</w:t>
      </w:r>
      <w:r w:rsidR="00BA26FB">
        <w:t xml:space="preserve"> money management and</w:t>
      </w:r>
      <w:r w:rsidRPr="005911E2">
        <w:t xml:space="preserve"> financial counselling services through the Financial Management Program, which was established to build financial resilience and wellbeing among those most at risk of financial and social exclusion and disadvantage. The Program aims to help vulnerable people across a range of income and financial literacy levels to manage their money, overcome financial adversity, participate in their communities</w:t>
      </w:r>
      <w:r w:rsidR="003D46AC">
        <w:t>,</w:t>
      </w:r>
      <w:r w:rsidRPr="005911E2">
        <w:t xml:space="preserve"> and plan for the medium to </w:t>
      </w:r>
      <w:r w:rsidR="00D3222D">
        <w:t>long-term</w:t>
      </w:r>
      <w:r w:rsidR="00311A9C">
        <w:t xml:space="preserve"> by fostering the improved use and management of money and helping people address immediate needs in times of financial </w:t>
      </w:r>
      <w:r w:rsidR="00A97BF6">
        <w:t>crisis.</w:t>
      </w:r>
    </w:p>
    <w:p w:rsidR="00BD7CE5" w:rsidRPr="005911E2" w:rsidRDefault="00BD7CE5" w:rsidP="00BD7CE5">
      <w:r w:rsidRPr="005911E2">
        <w:t xml:space="preserve">The provision of financial </w:t>
      </w:r>
      <w:r w:rsidR="00927559">
        <w:t>information, education and services</w:t>
      </w:r>
      <w:r w:rsidRPr="005911E2">
        <w:t xml:space="preserve"> and the new incentives for saving could lead to improved savings and household budgeting, which in turn could result, for example, in the ability to purchase needed consumer durables. Better financial management is intended to assist families in meeting important bills such as rent and utilities, which could in turn </w:t>
      </w:r>
      <w:r w:rsidR="008C3677">
        <w:t xml:space="preserve">lead to more </w:t>
      </w:r>
      <w:r w:rsidRPr="005911E2">
        <w:t xml:space="preserve">stable housing </w:t>
      </w:r>
      <w:r w:rsidR="008C3677">
        <w:t>thereby</w:t>
      </w:r>
      <w:r w:rsidRPr="005911E2">
        <w:t xml:space="preserve"> reduc</w:t>
      </w:r>
      <w:r w:rsidR="008C3677">
        <w:t>ing the</w:t>
      </w:r>
      <w:r w:rsidRPr="005911E2">
        <w:t xml:space="preserve"> risk of eviction</w:t>
      </w:r>
      <w:r w:rsidR="008C3677">
        <w:t>,</w:t>
      </w:r>
      <w:r w:rsidRPr="005911E2">
        <w:t xml:space="preserve"> homelessness or sleeping rough.</w:t>
      </w:r>
    </w:p>
    <w:p w:rsidR="00BD7CE5" w:rsidRPr="005911E2" w:rsidRDefault="00BD7CE5" w:rsidP="00BD7CE5">
      <w:r w:rsidRPr="005911E2">
        <w:t>It is also expected that certain sorts of child neglect could well be exacerbated by poor household financial management, for example, poor management may mean that children are hungry. It is also anticipated that income management will assist some individuals in resisting undesirable behaviour by their relatives and kin (i.e. harassment for money).</w:t>
      </w:r>
    </w:p>
    <w:p w:rsidR="00BD7CE5" w:rsidRPr="005911E2" w:rsidRDefault="00BD7CE5" w:rsidP="00BD7CE5">
      <w:r w:rsidRPr="005911E2">
        <w:t xml:space="preserve">In broad terms, NIM is intended to set in motion a series of positive behaviours that will be mutually reinforcing. Outcomes are therefore expected to </w:t>
      </w:r>
      <w:r w:rsidR="008C3677">
        <w:t>be</w:t>
      </w:r>
      <w:r w:rsidRPr="005911E2">
        <w:t>:</w:t>
      </w:r>
    </w:p>
    <w:p w:rsidR="002973F2" w:rsidRDefault="00D3222D" w:rsidP="00F878E4">
      <w:pPr>
        <w:pStyle w:val="ListBullet"/>
      </w:pPr>
      <w:r>
        <w:t>short-term</w:t>
      </w:r>
      <w:r w:rsidR="008C3677">
        <w:t>,</w:t>
      </w:r>
      <w:r w:rsidR="00BD7CE5" w:rsidRPr="005911E2">
        <w:t xml:space="preserve"> e.g. changed expenditure patterns, less expenditure on excluded goods, more expenditure on priority items </w:t>
      </w:r>
    </w:p>
    <w:p w:rsidR="004808B3" w:rsidRDefault="00BD7CE5">
      <w:pPr>
        <w:pStyle w:val="ListBullet"/>
      </w:pPr>
      <w:r w:rsidRPr="005911E2">
        <w:t>medium-term</w:t>
      </w:r>
      <w:r w:rsidR="008C3677">
        <w:t>,</w:t>
      </w:r>
      <w:r w:rsidRPr="005911E2">
        <w:t xml:space="preserve"> e.g. take-up of referrals to </w:t>
      </w:r>
      <w:r w:rsidR="00B450CA">
        <w:t>m</w:t>
      </w:r>
      <w:r w:rsidRPr="005911E2">
        <w:t xml:space="preserve">oney </w:t>
      </w:r>
      <w:r w:rsidR="00B450CA">
        <w:t>m</w:t>
      </w:r>
      <w:r w:rsidRPr="005911E2">
        <w:t xml:space="preserve">anagement and financial counselling service providers, improved educational attendance </w:t>
      </w:r>
    </w:p>
    <w:p w:rsidR="004808B3" w:rsidRDefault="00BD7CE5">
      <w:pPr>
        <w:pStyle w:val="ListBullet"/>
      </w:pPr>
      <w:r w:rsidRPr="005911E2">
        <w:t>long-term</w:t>
      </w:r>
      <w:r w:rsidR="008C3677">
        <w:t xml:space="preserve">, </w:t>
      </w:r>
      <w:r w:rsidRPr="005911E2">
        <w:t xml:space="preserve">e.g. acquisition of </w:t>
      </w:r>
      <w:r w:rsidR="00B450CA">
        <w:t>m</w:t>
      </w:r>
      <w:r w:rsidRPr="005911E2">
        <w:t xml:space="preserve">oney </w:t>
      </w:r>
      <w:r w:rsidR="00B450CA">
        <w:t>m</w:t>
      </w:r>
      <w:r w:rsidRPr="005911E2">
        <w:t>anagement skills, improved employment opportunities and improved educational attainment.</w:t>
      </w:r>
    </w:p>
    <w:p w:rsidR="00BD7CE5" w:rsidRPr="005911E2" w:rsidRDefault="00BD7CE5" w:rsidP="00BD7CE5">
      <w:r w:rsidRPr="005911E2">
        <w:t>The potential impacts of the model are not only expected to occur at the level of the individuals directly affected and their immediate families, but more generally in the communities in which these individuals live.</w:t>
      </w:r>
    </w:p>
    <w:p w:rsidR="00BD7CE5" w:rsidRDefault="00BD7CE5" w:rsidP="00BD7CE5">
      <w:r w:rsidRPr="005911E2">
        <w:lastRenderedPageBreak/>
        <w:t>In addition from the perspective of evaluation</w:t>
      </w:r>
      <w:r w:rsidR="008C3677">
        <w:t>,</w:t>
      </w:r>
      <w:r w:rsidRPr="005911E2">
        <w:t xml:space="preserve"> it is not only necessary to consider the outcomes of people while they are on </w:t>
      </w:r>
      <w:r w:rsidR="00F878E4">
        <w:t>income management</w:t>
      </w:r>
      <w:r w:rsidRPr="005911E2">
        <w:t xml:space="preserve"> </w:t>
      </w:r>
      <w:r w:rsidR="00901A4F" w:rsidRPr="00901A4F">
        <w:t>but also when they may move off the program.</w:t>
      </w:r>
    </w:p>
    <w:p w:rsidR="00E172FE" w:rsidRPr="005911E2" w:rsidRDefault="00E172FE" w:rsidP="00E172FE">
      <w:pPr>
        <w:pStyle w:val="BodyText"/>
      </w:pPr>
      <w:r>
        <w:t>An important question in terms of the program structure is the relationship between the various program goals and the operation of the program.</w:t>
      </w:r>
      <w:r w:rsidR="00BB14C5">
        <w:t xml:space="preserve"> </w:t>
      </w:r>
      <w:r>
        <w:t>Specific here is the relationship between the actual control of spending through income management and the achievement of the ‘socially responsible’ behaviour which has been identified as one of the objectives. That is</w:t>
      </w:r>
      <w:r w:rsidR="00904FBF">
        <w:t>,</w:t>
      </w:r>
      <w:r>
        <w:t xml:space="preserve"> to what degree is the type of virtuous circle that is identified above actually perceived on the ground and achieved in practice.</w:t>
      </w:r>
    </w:p>
    <w:p w:rsidR="00BD7CE5" w:rsidRPr="005911E2" w:rsidRDefault="00BD7CE5" w:rsidP="00616B0F">
      <w:pPr>
        <w:pStyle w:val="Heading2"/>
      </w:pPr>
      <w:bookmarkStart w:id="118" w:name="_Toc321225098"/>
      <w:bookmarkStart w:id="119" w:name="_Toc321254442"/>
      <w:bookmarkStart w:id="120" w:name="_Toc324196511"/>
      <w:bookmarkStart w:id="121" w:name="_Toc328601464"/>
      <w:bookmarkStart w:id="122" w:name="_Toc329870346"/>
      <w:bookmarkStart w:id="123" w:name="_Toc335915732"/>
      <w:r w:rsidRPr="005911E2">
        <w:t>Overview of NIM</w:t>
      </w:r>
      <w:bookmarkEnd w:id="118"/>
      <w:bookmarkEnd w:id="119"/>
      <w:bookmarkEnd w:id="120"/>
      <w:bookmarkEnd w:id="121"/>
      <w:bookmarkEnd w:id="122"/>
      <w:bookmarkEnd w:id="123"/>
    </w:p>
    <w:p w:rsidR="00BD7CE5" w:rsidRPr="005911E2" w:rsidRDefault="00572466" w:rsidP="00BD7CE5">
      <w:r>
        <w:t>New Income Management (</w:t>
      </w:r>
      <w:r w:rsidR="00BD7CE5" w:rsidRPr="005911E2">
        <w:t>NIM</w:t>
      </w:r>
      <w:r>
        <w:t>)</w:t>
      </w:r>
      <w:r w:rsidR="00BD7CE5" w:rsidRPr="005911E2">
        <w:t xml:space="preserve"> is a policy which involves limiting the ways in which income support recipients can spend a proportion, usually half, of their income support payments so as to ensure this money is spent on priority needs.</w:t>
      </w:r>
    </w:p>
    <w:p w:rsidR="00BD7CE5" w:rsidRPr="005911E2" w:rsidRDefault="00BD7CE5" w:rsidP="00FC65A3">
      <w:r w:rsidRPr="005911E2">
        <w:t>The actual income management component of the policy involves setting aside a proportion of a person’s welfare payments which is to be used for the priority needs of the individual and children who are dependent on them. This objective is given effect by income managed money being provided in such a way (either through payments directly from Centrelink, the BasicsCard or other payment mechanisms) so that they are not able to be used to purchase ‘excluded’ goods. As noted above</w:t>
      </w:r>
      <w:r w:rsidR="00FC65A3">
        <w:t>,</w:t>
      </w:r>
      <w:r w:rsidRPr="005911E2">
        <w:t xml:space="preserve"> these include alcohol, home brew kits, home brew concentrates, tobacco products, pornographic material</w:t>
      </w:r>
      <w:r w:rsidR="00FC65A3">
        <w:t>,</w:t>
      </w:r>
      <w:r w:rsidRPr="005911E2">
        <w:t xml:space="preserve"> and gambling goods and activities.</w:t>
      </w:r>
    </w:p>
    <w:p w:rsidR="00FC65A3" w:rsidRPr="005911E2" w:rsidRDefault="00FC65A3" w:rsidP="00FC65A3">
      <w:r w:rsidRPr="005911E2">
        <w:t xml:space="preserve">New Income Management </w:t>
      </w:r>
      <w:r>
        <w:t>(NIM)</w:t>
      </w:r>
      <w:r w:rsidR="00311A9C">
        <w:t xml:space="preserve"> encompasses</w:t>
      </w:r>
      <w:r w:rsidRPr="005911E2">
        <w:t xml:space="preserve"> four </w:t>
      </w:r>
      <w:r w:rsidR="00311A9C">
        <w:t xml:space="preserve">major </w:t>
      </w:r>
      <w:r w:rsidRPr="005911E2">
        <w:t>streams of income management. These are Compulsory Income Management</w:t>
      </w:r>
      <w:r>
        <w:t xml:space="preserve"> (CIM)</w:t>
      </w:r>
      <w:r w:rsidR="00311A9C">
        <w:t xml:space="preserve"> – which in turn comprises the Disengaged Youth and Long-term Welfare </w:t>
      </w:r>
      <w:r w:rsidR="00D3222D">
        <w:t>Payment Recipients</w:t>
      </w:r>
      <w:r w:rsidR="00311A9C">
        <w:t xml:space="preserve"> </w:t>
      </w:r>
      <w:r w:rsidR="00A97BF6">
        <w:t>measures,</w:t>
      </w:r>
      <w:r w:rsidRPr="005911E2">
        <w:t xml:space="preserve"> </w:t>
      </w:r>
      <w:r w:rsidR="001732D1">
        <w:t xml:space="preserve">the Vulnerable Welfare Payment Recipients measure – referred to here as </w:t>
      </w:r>
      <w:r w:rsidRPr="005911E2">
        <w:t>Vulnerable Income Management</w:t>
      </w:r>
      <w:r>
        <w:t xml:space="preserve"> (VULIM)</w:t>
      </w:r>
      <w:r w:rsidRPr="005911E2">
        <w:t xml:space="preserve">, Child Protection Income </w:t>
      </w:r>
      <w:r>
        <w:t>M</w:t>
      </w:r>
      <w:r w:rsidRPr="005911E2">
        <w:t>anagement</w:t>
      </w:r>
      <w:r>
        <w:t xml:space="preserve"> (CPIM)</w:t>
      </w:r>
      <w:r w:rsidRPr="005911E2">
        <w:t xml:space="preserve"> and Voluntary Income Management</w:t>
      </w:r>
      <w:r>
        <w:t xml:space="preserve"> (VIM)</w:t>
      </w:r>
      <w:r w:rsidRPr="005911E2">
        <w:t>.</w:t>
      </w:r>
    </w:p>
    <w:p w:rsidR="00BD7CE5" w:rsidRDefault="00BD7CE5" w:rsidP="00BD7CE5">
      <w:r w:rsidRPr="005911E2">
        <w:t>Compulsory Income Management is for people who have been on certain income support payment</w:t>
      </w:r>
      <w:r w:rsidR="00FC65A3">
        <w:t>s</w:t>
      </w:r>
      <w:r w:rsidRPr="005911E2">
        <w:t xml:space="preserve"> for an extended period</w:t>
      </w:r>
      <w:r w:rsidR="00311A9C">
        <w:t>,</w:t>
      </w:r>
      <w:r w:rsidRPr="005911E2">
        <w:t xml:space="preserve"> </w:t>
      </w:r>
      <w:r w:rsidR="009B54EC">
        <w:t xml:space="preserve">three </w:t>
      </w:r>
      <w:r w:rsidR="00311A9C">
        <w:t xml:space="preserve">months in the case of </w:t>
      </w:r>
      <w:r w:rsidRPr="005911E2">
        <w:t xml:space="preserve">Disengaged Youth and </w:t>
      </w:r>
      <w:r w:rsidR="00311A9C">
        <w:t xml:space="preserve">12 months for those affected by the </w:t>
      </w:r>
      <w:r w:rsidRPr="005911E2">
        <w:t xml:space="preserve">Long-term Welfare </w:t>
      </w:r>
      <w:r w:rsidR="00D3222D">
        <w:t>Payment Recipients</w:t>
      </w:r>
      <w:r w:rsidR="00021FA7">
        <w:t xml:space="preserve"> </w:t>
      </w:r>
      <w:r w:rsidR="00311A9C">
        <w:t>measure</w:t>
      </w:r>
      <w:r w:rsidRPr="005911E2">
        <w:t xml:space="preserve">. Vulnerable income management applies to Centrelink customers who are identified as being vulnerable by a Centrelink </w:t>
      </w:r>
      <w:r w:rsidR="00FC65A3">
        <w:t>s</w:t>
      </w:r>
      <w:r w:rsidRPr="005911E2">
        <w:t xml:space="preserve">ocial </w:t>
      </w:r>
      <w:r w:rsidR="00FC65A3">
        <w:t>w</w:t>
      </w:r>
      <w:r w:rsidRPr="005911E2">
        <w:t xml:space="preserve">orker. Child Protection Income Management is for Centrelink customers referred for income management by Northern Territory Department of </w:t>
      </w:r>
      <w:r w:rsidR="00B62B2D">
        <w:t>Children</w:t>
      </w:r>
      <w:r w:rsidR="00B62B2D" w:rsidRPr="005911E2">
        <w:t xml:space="preserve"> </w:t>
      </w:r>
      <w:r w:rsidRPr="005911E2">
        <w:t xml:space="preserve">and Families who have responsibility for </w:t>
      </w:r>
      <w:r w:rsidR="00FC65A3">
        <w:t>c</w:t>
      </w:r>
      <w:r w:rsidRPr="005911E2">
        <w:t xml:space="preserve">hild </w:t>
      </w:r>
      <w:r w:rsidR="005015A4">
        <w:t>p</w:t>
      </w:r>
      <w:r w:rsidRPr="005911E2">
        <w:t xml:space="preserve">rotection issues in the </w:t>
      </w:r>
      <w:r w:rsidR="006435C8">
        <w:t>Northern Territory.</w:t>
      </w:r>
      <w:r w:rsidRPr="005911E2">
        <w:t xml:space="preserve"> Voluntary Income Management is open to all income support recipients who decide that they would like to be income managed and who are not subject to one of the other streams of income management.</w:t>
      </w:r>
    </w:p>
    <w:p w:rsidR="00311A9C" w:rsidRPr="005911E2" w:rsidRDefault="00311A9C" w:rsidP="00311A9C">
      <w:r w:rsidRPr="005911E2">
        <w:t xml:space="preserve">People who choose to go onto </w:t>
      </w:r>
      <w:r>
        <w:t>N</w:t>
      </w:r>
      <w:r w:rsidRPr="005911E2">
        <w:t xml:space="preserve">IM as part of the </w:t>
      </w:r>
      <w:r>
        <w:t xml:space="preserve">Voluntary Income Management </w:t>
      </w:r>
      <w:r w:rsidRPr="005911E2">
        <w:t xml:space="preserve">stream receive an incentive payment, while those on the compulsory </w:t>
      </w:r>
      <w:r>
        <w:t xml:space="preserve">program (compulsory, vulnerable or child protection income management) </w:t>
      </w:r>
      <w:r w:rsidRPr="005911E2">
        <w:t>are eligible to participate in a program of matched savings. In addition</w:t>
      </w:r>
      <w:r>
        <w:t>,</w:t>
      </w:r>
      <w:r w:rsidRPr="005911E2">
        <w:t xml:space="preserve"> there has been an expansion of money management and financial </w:t>
      </w:r>
      <w:r w:rsidRPr="005911E2">
        <w:lastRenderedPageBreak/>
        <w:t xml:space="preserve">counselling services specifically designed to support the </w:t>
      </w:r>
      <w:r>
        <w:t>income management</w:t>
      </w:r>
      <w:r w:rsidRPr="005911E2">
        <w:t xml:space="preserve"> strategy.</w:t>
      </w:r>
    </w:p>
    <w:p w:rsidR="00BD7CE5" w:rsidRPr="005911E2" w:rsidRDefault="00BD7CE5" w:rsidP="00BD7CE5">
      <w:pPr>
        <w:pStyle w:val="tabfighead"/>
      </w:pPr>
      <w:bookmarkStart w:id="124" w:name="_Ref320972441"/>
      <w:bookmarkStart w:id="125" w:name="_Toc321430405"/>
      <w:bookmarkStart w:id="126" w:name="_Toc321254524"/>
      <w:bookmarkStart w:id="127" w:name="_Toc324196602"/>
      <w:bookmarkStart w:id="128" w:name="_Toc328601570"/>
      <w:bookmarkStart w:id="129" w:name="_Toc329051348"/>
      <w:bookmarkStart w:id="130" w:name="_Toc335915836"/>
      <w:r w:rsidRPr="005911E2">
        <w:t xml:space="preserve">Table </w:t>
      </w:r>
      <w:r w:rsidR="00C7347D">
        <w:fldChar w:fldCharType="begin"/>
      </w:r>
      <w:r w:rsidR="00A7506C">
        <w:instrText xml:space="preserve"> STYLEREF 1 \s </w:instrText>
      </w:r>
      <w:r w:rsidR="00C7347D">
        <w:fldChar w:fldCharType="separate"/>
      </w:r>
      <w:r w:rsidR="007D7E45">
        <w:rPr>
          <w:noProof/>
        </w:rPr>
        <w:t>2</w:t>
      </w:r>
      <w:r w:rsidR="00C7347D">
        <w:rPr>
          <w:noProof/>
        </w:rPr>
        <w:fldChar w:fldCharType="end"/>
      </w:r>
      <w:r w:rsidRPr="005911E2">
        <w:noBreakHyphen/>
      </w:r>
      <w:r w:rsidR="00C7347D">
        <w:fldChar w:fldCharType="begin"/>
      </w:r>
      <w:r w:rsidR="00A7506C">
        <w:instrText xml:space="preserve"> SEQ Table \* ARABIC \s 1 </w:instrText>
      </w:r>
      <w:r w:rsidR="00C7347D">
        <w:fldChar w:fldCharType="separate"/>
      </w:r>
      <w:r w:rsidR="007D7E45">
        <w:rPr>
          <w:noProof/>
        </w:rPr>
        <w:t>4</w:t>
      </w:r>
      <w:r w:rsidR="00C7347D">
        <w:rPr>
          <w:noProof/>
        </w:rPr>
        <w:fldChar w:fldCharType="end"/>
      </w:r>
      <w:bookmarkEnd w:id="124"/>
      <w:r w:rsidRPr="005911E2">
        <w:t xml:space="preserve"> </w:t>
      </w:r>
      <w:r w:rsidRPr="005911E2">
        <w:tab/>
      </w:r>
      <w:r w:rsidR="007A148C">
        <w:t>Australian Government p</w:t>
      </w:r>
      <w:r w:rsidRPr="005911E2">
        <w:t>ayments that may be subject to income management</w:t>
      </w:r>
      <w:bookmarkEnd w:id="125"/>
      <w:bookmarkEnd w:id="126"/>
      <w:bookmarkEnd w:id="127"/>
      <w:bookmarkEnd w:id="128"/>
      <w:bookmarkEnd w:id="129"/>
      <w:bookmarkEnd w:id="130"/>
    </w:p>
    <w:tbl>
      <w:tblPr>
        <w:tblW w:w="8222" w:type="dxa"/>
        <w:tblInd w:w="817" w:type="dxa"/>
        <w:tblBorders>
          <w:top w:val="single" w:sz="4" w:space="0" w:color="000000"/>
          <w:bottom w:val="single" w:sz="4" w:space="0" w:color="000000"/>
        </w:tblBorders>
        <w:tblLook w:val="04A0" w:firstRow="1" w:lastRow="0" w:firstColumn="1" w:lastColumn="0" w:noHBand="0" w:noVBand="1"/>
      </w:tblPr>
      <w:tblGrid>
        <w:gridCol w:w="3686"/>
        <w:gridCol w:w="4536"/>
      </w:tblGrid>
      <w:tr w:rsidR="00BD7CE5" w:rsidRPr="005911E2" w:rsidTr="00FB6A20">
        <w:trPr>
          <w:trHeight w:val="285"/>
        </w:trPr>
        <w:tc>
          <w:tcPr>
            <w:tcW w:w="3686" w:type="dxa"/>
            <w:shd w:val="clear" w:color="auto" w:fill="auto"/>
            <w:vAlign w:val="center"/>
            <w:hideMark/>
          </w:tcPr>
          <w:p w:rsidR="00BD7CE5" w:rsidRPr="005911E2" w:rsidRDefault="00BD7CE5" w:rsidP="000C7855">
            <w:pPr>
              <w:pStyle w:val="TableText"/>
            </w:pPr>
            <w:bookmarkStart w:id="131" w:name="_Hlk324359898"/>
            <w:r w:rsidRPr="005911E2">
              <w:rPr>
                <w:lang w:eastAsia="en-AU"/>
              </w:rPr>
              <w:t xml:space="preserve">Widow Allowance </w:t>
            </w:r>
          </w:p>
        </w:tc>
        <w:tc>
          <w:tcPr>
            <w:tcW w:w="4536" w:type="dxa"/>
            <w:vAlign w:val="center"/>
          </w:tcPr>
          <w:p w:rsidR="00BD7CE5" w:rsidRPr="005911E2" w:rsidRDefault="00BD7CE5" w:rsidP="000C7855">
            <w:pPr>
              <w:pStyle w:val="TableText"/>
            </w:pPr>
            <w:r w:rsidRPr="005911E2">
              <w:t>Income Support Supplement</w:t>
            </w:r>
          </w:p>
        </w:tc>
      </w:tr>
      <w:tr w:rsidR="00BD7CE5" w:rsidRPr="005911E2" w:rsidTr="00FB6A20">
        <w:trPr>
          <w:trHeight w:val="285"/>
        </w:trPr>
        <w:tc>
          <w:tcPr>
            <w:tcW w:w="3686" w:type="dxa"/>
            <w:shd w:val="clear" w:color="auto" w:fill="auto"/>
            <w:vAlign w:val="center"/>
            <w:hideMark/>
          </w:tcPr>
          <w:p w:rsidR="00BD7CE5" w:rsidRPr="005911E2" w:rsidRDefault="00BD7CE5" w:rsidP="000C7855">
            <w:pPr>
              <w:pStyle w:val="TableText"/>
            </w:pPr>
            <w:r w:rsidRPr="005911E2">
              <w:rPr>
                <w:lang w:eastAsia="en-AU"/>
              </w:rPr>
              <w:t xml:space="preserve">Youth Allowance </w:t>
            </w:r>
          </w:p>
        </w:tc>
        <w:tc>
          <w:tcPr>
            <w:tcW w:w="4536" w:type="dxa"/>
            <w:vAlign w:val="center"/>
          </w:tcPr>
          <w:p w:rsidR="00BD7CE5" w:rsidRPr="005911E2" w:rsidRDefault="00BD7CE5" w:rsidP="000C7855">
            <w:pPr>
              <w:pStyle w:val="TableText"/>
            </w:pPr>
            <w:r w:rsidRPr="005911E2">
              <w:t>Defence Force Income Support Allowance</w:t>
            </w:r>
          </w:p>
        </w:tc>
      </w:tr>
      <w:tr w:rsidR="00BD7CE5" w:rsidRPr="005911E2" w:rsidTr="00FB6A20">
        <w:trPr>
          <w:trHeight w:val="285"/>
        </w:trPr>
        <w:tc>
          <w:tcPr>
            <w:tcW w:w="3686" w:type="dxa"/>
            <w:shd w:val="clear" w:color="auto" w:fill="auto"/>
            <w:vAlign w:val="center"/>
            <w:hideMark/>
          </w:tcPr>
          <w:p w:rsidR="00BD7CE5" w:rsidRPr="005911E2" w:rsidRDefault="00BD7CE5" w:rsidP="000C7855">
            <w:pPr>
              <w:pStyle w:val="TableText"/>
            </w:pPr>
            <w:r w:rsidRPr="005911E2">
              <w:rPr>
                <w:lang w:eastAsia="en-AU"/>
              </w:rPr>
              <w:t xml:space="preserve">AUSTUDY payment </w:t>
            </w:r>
          </w:p>
        </w:tc>
        <w:tc>
          <w:tcPr>
            <w:tcW w:w="4536" w:type="dxa"/>
            <w:vAlign w:val="center"/>
          </w:tcPr>
          <w:p w:rsidR="00BD7CE5" w:rsidRPr="005911E2" w:rsidRDefault="00BD7CE5" w:rsidP="000C7855">
            <w:pPr>
              <w:pStyle w:val="TableText"/>
            </w:pPr>
            <w:r w:rsidRPr="005911E2">
              <w:t>Double Orphan Pension</w:t>
            </w:r>
          </w:p>
        </w:tc>
      </w:tr>
      <w:tr w:rsidR="00BD7CE5" w:rsidRPr="005911E2" w:rsidTr="00FB6A20">
        <w:trPr>
          <w:trHeight w:val="285"/>
        </w:trPr>
        <w:tc>
          <w:tcPr>
            <w:tcW w:w="3686" w:type="dxa"/>
            <w:shd w:val="clear" w:color="auto" w:fill="auto"/>
            <w:vAlign w:val="center"/>
            <w:hideMark/>
          </w:tcPr>
          <w:p w:rsidR="00BD7CE5" w:rsidRPr="005911E2" w:rsidRDefault="00BD7CE5" w:rsidP="000C7855">
            <w:pPr>
              <w:pStyle w:val="TableText"/>
            </w:pPr>
            <w:r w:rsidRPr="005911E2">
              <w:rPr>
                <w:lang w:eastAsia="en-AU"/>
              </w:rPr>
              <w:t xml:space="preserve">Newstart </w:t>
            </w:r>
            <w:r w:rsidRPr="005911E2">
              <w:t>Allowance</w:t>
            </w:r>
          </w:p>
        </w:tc>
        <w:tc>
          <w:tcPr>
            <w:tcW w:w="4536" w:type="dxa"/>
            <w:vAlign w:val="center"/>
          </w:tcPr>
          <w:p w:rsidR="00BD7CE5" w:rsidRPr="005911E2" w:rsidRDefault="00BD7CE5" w:rsidP="000C7855">
            <w:pPr>
              <w:pStyle w:val="TableText"/>
            </w:pPr>
            <w:r w:rsidRPr="005911E2">
              <w:t>Family Tax Benefit</w:t>
            </w:r>
          </w:p>
        </w:tc>
      </w:tr>
      <w:tr w:rsidR="00BD7CE5" w:rsidRPr="005911E2" w:rsidTr="00FB6A20">
        <w:trPr>
          <w:trHeight w:val="285"/>
        </w:trPr>
        <w:tc>
          <w:tcPr>
            <w:tcW w:w="3686" w:type="dxa"/>
            <w:shd w:val="clear" w:color="auto" w:fill="auto"/>
            <w:vAlign w:val="center"/>
            <w:hideMark/>
          </w:tcPr>
          <w:p w:rsidR="00BD7CE5" w:rsidRPr="005911E2" w:rsidRDefault="00BD7CE5" w:rsidP="000C7855">
            <w:pPr>
              <w:pStyle w:val="TableText"/>
            </w:pPr>
            <w:r w:rsidRPr="005911E2">
              <w:rPr>
                <w:lang w:eastAsia="en-AU"/>
              </w:rPr>
              <w:t xml:space="preserve">Sickness </w:t>
            </w:r>
            <w:r w:rsidRPr="005911E2">
              <w:t>Allowance</w:t>
            </w:r>
            <w:r w:rsidRPr="005911E2">
              <w:rPr>
                <w:lang w:eastAsia="en-AU"/>
              </w:rPr>
              <w:t xml:space="preserve"> </w:t>
            </w:r>
          </w:p>
        </w:tc>
        <w:tc>
          <w:tcPr>
            <w:tcW w:w="4536" w:type="dxa"/>
            <w:vAlign w:val="center"/>
          </w:tcPr>
          <w:p w:rsidR="00BD7CE5" w:rsidRPr="005911E2" w:rsidRDefault="00BD7CE5" w:rsidP="000C7855">
            <w:pPr>
              <w:pStyle w:val="TableText"/>
            </w:pPr>
            <w:r w:rsidRPr="005911E2">
              <w:t>Baby Bonus</w:t>
            </w:r>
          </w:p>
        </w:tc>
      </w:tr>
      <w:tr w:rsidR="00BD7CE5" w:rsidRPr="005911E2" w:rsidTr="00FB6A20">
        <w:trPr>
          <w:trHeight w:val="285"/>
        </w:trPr>
        <w:tc>
          <w:tcPr>
            <w:tcW w:w="3686" w:type="dxa"/>
            <w:shd w:val="clear" w:color="auto" w:fill="auto"/>
            <w:vAlign w:val="center"/>
            <w:hideMark/>
          </w:tcPr>
          <w:p w:rsidR="00BD7CE5" w:rsidRPr="005911E2" w:rsidRDefault="00BD7CE5" w:rsidP="000C7855">
            <w:pPr>
              <w:pStyle w:val="TableText"/>
              <w:rPr>
                <w:lang w:eastAsia="en-AU"/>
              </w:rPr>
            </w:pPr>
            <w:r w:rsidRPr="005911E2">
              <w:rPr>
                <w:lang w:eastAsia="en-AU"/>
              </w:rPr>
              <w:t xml:space="preserve">Special Benefit </w:t>
            </w:r>
          </w:p>
        </w:tc>
        <w:tc>
          <w:tcPr>
            <w:tcW w:w="4536" w:type="dxa"/>
            <w:vAlign w:val="center"/>
          </w:tcPr>
          <w:p w:rsidR="00BD7CE5" w:rsidRPr="005911E2" w:rsidRDefault="00BD7CE5" w:rsidP="000C7855">
            <w:pPr>
              <w:pStyle w:val="TableText"/>
            </w:pPr>
            <w:r w:rsidRPr="005911E2">
              <w:t>Maternity Immunisation Allowance</w:t>
            </w:r>
          </w:p>
        </w:tc>
      </w:tr>
      <w:tr w:rsidR="00BD7CE5" w:rsidRPr="005911E2" w:rsidTr="00FB6A20">
        <w:trPr>
          <w:trHeight w:val="285"/>
        </w:trPr>
        <w:tc>
          <w:tcPr>
            <w:tcW w:w="3686" w:type="dxa"/>
            <w:shd w:val="clear" w:color="auto" w:fill="auto"/>
            <w:vAlign w:val="center"/>
            <w:hideMark/>
          </w:tcPr>
          <w:p w:rsidR="00BD7CE5" w:rsidRPr="005911E2" w:rsidRDefault="00BD7CE5" w:rsidP="000C7855">
            <w:pPr>
              <w:pStyle w:val="TableText"/>
              <w:rPr>
                <w:lang w:eastAsia="en-AU"/>
              </w:rPr>
            </w:pPr>
            <w:r w:rsidRPr="005911E2">
              <w:rPr>
                <w:lang w:eastAsia="en-AU"/>
              </w:rPr>
              <w:t xml:space="preserve">Partner </w:t>
            </w:r>
            <w:r w:rsidRPr="005911E2">
              <w:t>Allowance</w:t>
            </w:r>
            <w:r w:rsidRPr="005911E2">
              <w:rPr>
                <w:lang w:eastAsia="en-AU"/>
              </w:rPr>
              <w:t xml:space="preserve"> </w:t>
            </w:r>
          </w:p>
        </w:tc>
        <w:tc>
          <w:tcPr>
            <w:tcW w:w="4536" w:type="dxa"/>
            <w:vAlign w:val="center"/>
          </w:tcPr>
          <w:p w:rsidR="00BD7CE5" w:rsidRPr="005911E2" w:rsidRDefault="00BD7CE5" w:rsidP="000C7855">
            <w:pPr>
              <w:pStyle w:val="TableText"/>
            </w:pPr>
            <w:r w:rsidRPr="005911E2">
              <w:t>Carer Allowance</w:t>
            </w:r>
          </w:p>
        </w:tc>
      </w:tr>
      <w:tr w:rsidR="00BD7CE5" w:rsidRPr="005911E2" w:rsidTr="00FB6A20">
        <w:trPr>
          <w:trHeight w:val="285"/>
        </w:trPr>
        <w:tc>
          <w:tcPr>
            <w:tcW w:w="3686" w:type="dxa"/>
            <w:shd w:val="clear" w:color="auto" w:fill="auto"/>
            <w:vAlign w:val="center"/>
            <w:hideMark/>
          </w:tcPr>
          <w:p w:rsidR="00BD7CE5" w:rsidRPr="005911E2" w:rsidRDefault="00BD7CE5" w:rsidP="000C7855">
            <w:pPr>
              <w:pStyle w:val="TableText"/>
            </w:pPr>
            <w:r w:rsidRPr="005911E2">
              <w:rPr>
                <w:lang w:eastAsia="en-AU"/>
              </w:rPr>
              <w:t xml:space="preserve">Mature Age </w:t>
            </w:r>
            <w:r w:rsidRPr="005911E2">
              <w:t>Allowance</w:t>
            </w:r>
            <w:r w:rsidRPr="005911E2">
              <w:rPr>
                <w:lang w:eastAsia="en-AU"/>
              </w:rPr>
              <w:t xml:space="preserve"> under Part 2.12B</w:t>
            </w:r>
          </w:p>
        </w:tc>
        <w:tc>
          <w:tcPr>
            <w:tcW w:w="4536" w:type="dxa"/>
            <w:vAlign w:val="center"/>
          </w:tcPr>
          <w:p w:rsidR="00BD7CE5" w:rsidRPr="005911E2" w:rsidRDefault="00BD7CE5" w:rsidP="000C7855">
            <w:pPr>
              <w:pStyle w:val="TableText"/>
            </w:pPr>
            <w:r w:rsidRPr="005911E2">
              <w:t>Child Disability Assistance</w:t>
            </w:r>
          </w:p>
        </w:tc>
      </w:tr>
      <w:tr w:rsidR="00BD7CE5" w:rsidRPr="005911E2" w:rsidTr="00FB6A20">
        <w:trPr>
          <w:trHeight w:val="285"/>
        </w:trPr>
        <w:tc>
          <w:tcPr>
            <w:tcW w:w="3686" w:type="dxa"/>
            <w:shd w:val="clear" w:color="auto" w:fill="auto"/>
            <w:vAlign w:val="center"/>
            <w:hideMark/>
          </w:tcPr>
          <w:p w:rsidR="00BD7CE5" w:rsidRPr="005911E2" w:rsidRDefault="00BD7CE5" w:rsidP="000C7855">
            <w:pPr>
              <w:pStyle w:val="TableText"/>
            </w:pPr>
            <w:r w:rsidRPr="005911E2">
              <w:rPr>
                <w:lang w:eastAsia="en-AU"/>
              </w:rPr>
              <w:t xml:space="preserve">Parenting </w:t>
            </w:r>
            <w:r w:rsidRPr="005911E2">
              <w:t>Payment</w:t>
            </w:r>
            <w:r w:rsidRPr="005911E2">
              <w:rPr>
                <w:lang w:eastAsia="en-AU"/>
              </w:rPr>
              <w:t xml:space="preserve"> (Partnered)</w:t>
            </w:r>
          </w:p>
        </w:tc>
        <w:tc>
          <w:tcPr>
            <w:tcW w:w="4536" w:type="dxa"/>
            <w:vAlign w:val="center"/>
          </w:tcPr>
          <w:p w:rsidR="00BD7CE5" w:rsidRPr="005911E2" w:rsidRDefault="00BD7CE5" w:rsidP="000C7855">
            <w:pPr>
              <w:pStyle w:val="TableText"/>
            </w:pPr>
            <w:r w:rsidRPr="005911E2">
              <w:t>Carer Supplement</w:t>
            </w:r>
          </w:p>
        </w:tc>
      </w:tr>
      <w:tr w:rsidR="00BD7CE5" w:rsidRPr="005911E2" w:rsidTr="00FB6A20">
        <w:trPr>
          <w:trHeight w:val="285"/>
        </w:trPr>
        <w:tc>
          <w:tcPr>
            <w:tcW w:w="3686" w:type="dxa"/>
            <w:shd w:val="clear" w:color="auto" w:fill="auto"/>
            <w:vAlign w:val="center"/>
            <w:hideMark/>
          </w:tcPr>
          <w:p w:rsidR="00BD7CE5" w:rsidRPr="005911E2" w:rsidRDefault="00BD7CE5" w:rsidP="000C7855">
            <w:pPr>
              <w:pStyle w:val="TableText"/>
            </w:pPr>
            <w:r w:rsidRPr="005911E2">
              <w:t xml:space="preserve">Parenting Allowance </w:t>
            </w:r>
            <w:r w:rsidRPr="005911E2">
              <w:rPr>
                <w:lang w:eastAsia="en-AU"/>
              </w:rPr>
              <w:t>(other than non-benefit allowance)</w:t>
            </w:r>
          </w:p>
        </w:tc>
        <w:tc>
          <w:tcPr>
            <w:tcW w:w="4536" w:type="dxa"/>
            <w:vAlign w:val="center"/>
          </w:tcPr>
          <w:p w:rsidR="00BD7CE5" w:rsidRPr="005911E2" w:rsidRDefault="00BD7CE5" w:rsidP="000C7855">
            <w:pPr>
              <w:pStyle w:val="TableText"/>
            </w:pPr>
            <w:r w:rsidRPr="005911E2">
              <w:t>Mobility Allowance</w:t>
            </w:r>
          </w:p>
        </w:tc>
      </w:tr>
      <w:tr w:rsidR="00BD7CE5" w:rsidRPr="005911E2" w:rsidTr="00FB6A20">
        <w:trPr>
          <w:trHeight w:val="285"/>
        </w:trPr>
        <w:tc>
          <w:tcPr>
            <w:tcW w:w="3686" w:type="dxa"/>
            <w:shd w:val="clear" w:color="auto" w:fill="auto"/>
            <w:vAlign w:val="center"/>
            <w:hideMark/>
          </w:tcPr>
          <w:p w:rsidR="00BD7CE5" w:rsidRPr="005911E2" w:rsidRDefault="00BD7CE5" w:rsidP="000C7855">
            <w:pPr>
              <w:pStyle w:val="TableText"/>
            </w:pPr>
            <w:r w:rsidRPr="005911E2">
              <w:rPr>
                <w:lang w:eastAsia="en-AU"/>
              </w:rPr>
              <w:t>Age Pension</w:t>
            </w:r>
          </w:p>
        </w:tc>
        <w:tc>
          <w:tcPr>
            <w:tcW w:w="4536" w:type="dxa"/>
            <w:vAlign w:val="center"/>
          </w:tcPr>
          <w:p w:rsidR="00BD7CE5" w:rsidRPr="005911E2" w:rsidRDefault="00BD7CE5" w:rsidP="000C7855">
            <w:pPr>
              <w:pStyle w:val="TableText"/>
            </w:pPr>
            <w:r w:rsidRPr="005911E2">
              <w:t>Pensioner Education Supplement</w:t>
            </w:r>
          </w:p>
        </w:tc>
      </w:tr>
      <w:tr w:rsidR="00BD7CE5" w:rsidRPr="005911E2" w:rsidTr="00FB6A20">
        <w:trPr>
          <w:trHeight w:val="285"/>
        </w:trPr>
        <w:tc>
          <w:tcPr>
            <w:tcW w:w="3686" w:type="dxa"/>
            <w:shd w:val="clear" w:color="auto" w:fill="auto"/>
            <w:vAlign w:val="center"/>
            <w:hideMark/>
          </w:tcPr>
          <w:p w:rsidR="00BD7CE5" w:rsidRPr="005911E2" w:rsidRDefault="00BD7CE5" w:rsidP="000C7855">
            <w:pPr>
              <w:pStyle w:val="TableText"/>
              <w:rPr>
                <w:lang w:eastAsia="en-AU"/>
              </w:rPr>
            </w:pPr>
            <w:r w:rsidRPr="005911E2">
              <w:rPr>
                <w:lang w:eastAsia="en-AU"/>
              </w:rPr>
              <w:t>Disability Support Pension</w:t>
            </w:r>
          </w:p>
        </w:tc>
        <w:tc>
          <w:tcPr>
            <w:tcW w:w="4536" w:type="dxa"/>
            <w:vAlign w:val="center"/>
          </w:tcPr>
          <w:p w:rsidR="00BD7CE5" w:rsidRPr="005911E2" w:rsidRDefault="00BD7CE5" w:rsidP="000C7855">
            <w:pPr>
              <w:pStyle w:val="TableText"/>
            </w:pPr>
            <w:r w:rsidRPr="005911E2">
              <w:rPr>
                <w:lang w:eastAsia="en-AU"/>
              </w:rPr>
              <w:t>Telephone</w:t>
            </w:r>
            <w:r w:rsidRPr="005911E2">
              <w:t xml:space="preserve"> Allowance</w:t>
            </w:r>
          </w:p>
        </w:tc>
      </w:tr>
      <w:tr w:rsidR="00BD7CE5" w:rsidRPr="005911E2" w:rsidTr="00FB6A20">
        <w:trPr>
          <w:trHeight w:val="285"/>
        </w:trPr>
        <w:tc>
          <w:tcPr>
            <w:tcW w:w="3686" w:type="dxa"/>
            <w:shd w:val="clear" w:color="auto" w:fill="auto"/>
            <w:vAlign w:val="center"/>
            <w:hideMark/>
          </w:tcPr>
          <w:p w:rsidR="00BD7CE5" w:rsidRPr="005911E2" w:rsidRDefault="00BD7CE5" w:rsidP="000C7855">
            <w:pPr>
              <w:pStyle w:val="TableText"/>
              <w:rPr>
                <w:lang w:eastAsia="en-AU"/>
              </w:rPr>
            </w:pPr>
            <w:r w:rsidRPr="005911E2">
              <w:rPr>
                <w:lang w:eastAsia="en-AU"/>
              </w:rPr>
              <w:t>Wife Pension</w:t>
            </w:r>
          </w:p>
        </w:tc>
        <w:tc>
          <w:tcPr>
            <w:tcW w:w="4536" w:type="dxa"/>
            <w:vAlign w:val="center"/>
          </w:tcPr>
          <w:p w:rsidR="00BD7CE5" w:rsidRPr="005911E2" w:rsidRDefault="00BD7CE5" w:rsidP="000C7855">
            <w:pPr>
              <w:pStyle w:val="TableText"/>
            </w:pPr>
            <w:r w:rsidRPr="005911E2">
              <w:t xml:space="preserve">Veterans </w:t>
            </w:r>
            <w:r w:rsidRPr="005911E2">
              <w:rPr>
                <w:lang w:eastAsia="en-AU"/>
              </w:rPr>
              <w:t>Supplement</w:t>
            </w:r>
          </w:p>
        </w:tc>
      </w:tr>
      <w:tr w:rsidR="00BD7CE5" w:rsidRPr="005911E2" w:rsidTr="00FB6A20">
        <w:trPr>
          <w:trHeight w:val="285"/>
        </w:trPr>
        <w:tc>
          <w:tcPr>
            <w:tcW w:w="3686" w:type="dxa"/>
            <w:shd w:val="clear" w:color="auto" w:fill="auto"/>
            <w:vAlign w:val="center"/>
            <w:hideMark/>
          </w:tcPr>
          <w:p w:rsidR="00BD7CE5" w:rsidRPr="005911E2" w:rsidRDefault="00BD7CE5" w:rsidP="000C7855">
            <w:pPr>
              <w:pStyle w:val="TableText"/>
              <w:rPr>
                <w:lang w:eastAsia="en-AU"/>
              </w:rPr>
            </w:pPr>
            <w:r w:rsidRPr="005911E2">
              <w:rPr>
                <w:lang w:eastAsia="en-AU"/>
              </w:rPr>
              <w:t>Carer Payment</w:t>
            </w:r>
          </w:p>
        </w:tc>
        <w:tc>
          <w:tcPr>
            <w:tcW w:w="4536" w:type="dxa"/>
            <w:vAlign w:val="center"/>
          </w:tcPr>
          <w:p w:rsidR="00BD7CE5" w:rsidRPr="005911E2" w:rsidRDefault="00BD7CE5" w:rsidP="000C7855">
            <w:pPr>
              <w:pStyle w:val="TableText"/>
            </w:pPr>
            <w:r w:rsidRPr="005911E2">
              <w:t>Utilities Allowance</w:t>
            </w:r>
          </w:p>
        </w:tc>
      </w:tr>
      <w:tr w:rsidR="00BD7CE5" w:rsidRPr="005911E2" w:rsidTr="00FB6A20">
        <w:trPr>
          <w:trHeight w:val="285"/>
        </w:trPr>
        <w:tc>
          <w:tcPr>
            <w:tcW w:w="3686" w:type="dxa"/>
            <w:shd w:val="clear" w:color="auto" w:fill="auto"/>
            <w:vAlign w:val="center"/>
            <w:hideMark/>
          </w:tcPr>
          <w:p w:rsidR="00BD7CE5" w:rsidRPr="005911E2" w:rsidRDefault="00BD7CE5" w:rsidP="00FA2BC6">
            <w:pPr>
              <w:pStyle w:val="TableText"/>
              <w:rPr>
                <w:lang w:eastAsia="en-AU"/>
              </w:rPr>
            </w:pPr>
            <w:r w:rsidRPr="005911E2">
              <w:rPr>
                <w:lang w:eastAsia="en-AU"/>
              </w:rPr>
              <w:t>Parenting Payment (</w:t>
            </w:r>
            <w:r w:rsidR="00FA2BC6">
              <w:rPr>
                <w:lang w:eastAsia="en-AU"/>
              </w:rPr>
              <w:t>S</w:t>
            </w:r>
            <w:r w:rsidRPr="005911E2">
              <w:rPr>
                <w:lang w:eastAsia="en-AU"/>
              </w:rPr>
              <w:t>ingle)</w:t>
            </w:r>
          </w:p>
        </w:tc>
        <w:tc>
          <w:tcPr>
            <w:tcW w:w="4536" w:type="dxa"/>
            <w:vAlign w:val="center"/>
          </w:tcPr>
          <w:p w:rsidR="00BD7CE5" w:rsidRPr="005911E2" w:rsidRDefault="00BD7CE5" w:rsidP="000C7855">
            <w:pPr>
              <w:pStyle w:val="TableText"/>
            </w:pPr>
            <w:r w:rsidRPr="005911E2">
              <w:t>A</w:t>
            </w:r>
            <w:r w:rsidRPr="005911E2">
              <w:rPr>
                <w:lang w:eastAsia="en-AU"/>
              </w:rPr>
              <w:t>ssistance</w:t>
            </w:r>
            <w:r w:rsidRPr="005911E2">
              <w:t xml:space="preserve"> for Isolated Children Scheme, where the payment relates to a child or children at a Homelands Learning Centre</w:t>
            </w:r>
          </w:p>
        </w:tc>
      </w:tr>
      <w:tr w:rsidR="00BD7CE5" w:rsidRPr="005911E2" w:rsidTr="00FB6A20">
        <w:trPr>
          <w:trHeight w:val="285"/>
        </w:trPr>
        <w:tc>
          <w:tcPr>
            <w:tcW w:w="3686" w:type="dxa"/>
            <w:shd w:val="clear" w:color="auto" w:fill="auto"/>
            <w:vAlign w:val="center"/>
            <w:hideMark/>
          </w:tcPr>
          <w:p w:rsidR="00BD7CE5" w:rsidRPr="005911E2" w:rsidRDefault="00BD7CE5" w:rsidP="000C7855">
            <w:pPr>
              <w:pStyle w:val="TableText"/>
              <w:rPr>
                <w:lang w:eastAsia="en-AU"/>
              </w:rPr>
            </w:pPr>
            <w:r w:rsidRPr="005911E2">
              <w:rPr>
                <w:lang w:eastAsia="en-AU"/>
              </w:rPr>
              <w:t>Bereavement Allowance</w:t>
            </w:r>
          </w:p>
        </w:tc>
        <w:tc>
          <w:tcPr>
            <w:tcW w:w="4536" w:type="dxa"/>
            <w:vAlign w:val="center"/>
          </w:tcPr>
          <w:p w:rsidR="00BD7CE5" w:rsidRPr="005911E2" w:rsidRDefault="00BD7CE5" w:rsidP="000C7855">
            <w:pPr>
              <w:pStyle w:val="TableText"/>
            </w:pPr>
            <w:r w:rsidRPr="005911E2">
              <w:rPr>
                <w:lang w:eastAsia="en-AU"/>
              </w:rPr>
              <w:t>ABSTUDY</w:t>
            </w:r>
            <w:r w:rsidRPr="005911E2">
              <w:t xml:space="preserve"> payment that includes an amount identified as Pensioner Education Supplement </w:t>
            </w:r>
          </w:p>
        </w:tc>
      </w:tr>
      <w:tr w:rsidR="00BD7CE5" w:rsidRPr="005911E2" w:rsidTr="00FB6A20">
        <w:trPr>
          <w:trHeight w:val="285"/>
        </w:trPr>
        <w:tc>
          <w:tcPr>
            <w:tcW w:w="3686" w:type="dxa"/>
            <w:shd w:val="clear" w:color="auto" w:fill="auto"/>
            <w:vAlign w:val="center"/>
            <w:hideMark/>
          </w:tcPr>
          <w:p w:rsidR="00BD7CE5" w:rsidRPr="005911E2" w:rsidRDefault="00BD7CE5" w:rsidP="000C7855">
            <w:pPr>
              <w:pStyle w:val="TableText"/>
              <w:rPr>
                <w:lang w:eastAsia="en-AU"/>
              </w:rPr>
            </w:pPr>
            <w:r w:rsidRPr="005911E2">
              <w:rPr>
                <w:lang w:eastAsia="en-AU"/>
              </w:rPr>
              <w:t>Widow B Pension</w:t>
            </w:r>
          </w:p>
        </w:tc>
        <w:tc>
          <w:tcPr>
            <w:tcW w:w="4536" w:type="dxa"/>
            <w:vAlign w:val="center"/>
          </w:tcPr>
          <w:p w:rsidR="00BD7CE5" w:rsidRPr="005911E2" w:rsidRDefault="00BD7CE5" w:rsidP="000C7855">
            <w:pPr>
              <w:pStyle w:val="TableText"/>
            </w:pPr>
            <w:r w:rsidRPr="005911E2">
              <w:t xml:space="preserve">Social Security </w:t>
            </w:r>
            <w:r w:rsidRPr="005911E2">
              <w:rPr>
                <w:lang w:eastAsia="en-AU"/>
              </w:rPr>
              <w:t>Bereavement</w:t>
            </w:r>
            <w:r w:rsidRPr="005911E2">
              <w:t xml:space="preserve"> Payment</w:t>
            </w:r>
          </w:p>
        </w:tc>
      </w:tr>
      <w:tr w:rsidR="00BD7CE5" w:rsidRPr="005911E2" w:rsidTr="00FB6A20">
        <w:trPr>
          <w:trHeight w:val="285"/>
        </w:trPr>
        <w:tc>
          <w:tcPr>
            <w:tcW w:w="3686" w:type="dxa"/>
            <w:shd w:val="clear" w:color="auto" w:fill="auto"/>
            <w:vAlign w:val="center"/>
            <w:hideMark/>
          </w:tcPr>
          <w:p w:rsidR="00BD7CE5" w:rsidRPr="005911E2" w:rsidRDefault="00BD7CE5" w:rsidP="000C7855">
            <w:pPr>
              <w:pStyle w:val="TableText"/>
              <w:rPr>
                <w:lang w:eastAsia="en-AU"/>
              </w:rPr>
            </w:pPr>
            <w:r w:rsidRPr="005911E2">
              <w:rPr>
                <w:lang w:eastAsia="en-AU"/>
              </w:rPr>
              <w:t>Disability Wage Supplement</w:t>
            </w:r>
          </w:p>
        </w:tc>
        <w:tc>
          <w:tcPr>
            <w:tcW w:w="4536" w:type="dxa"/>
            <w:vAlign w:val="center"/>
          </w:tcPr>
          <w:p w:rsidR="00BD7CE5" w:rsidRPr="005911E2" w:rsidRDefault="00BD7CE5" w:rsidP="000C7855">
            <w:pPr>
              <w:pStyle w:val="TableText"/>
            </w:pPr>
            <w:r w:rsidRPr="005911E2">
              <w:t xml:space="preserve">Veterans' Entitlement </w:t>
            </w:r>
            <w:r w:rsidRPr="005911E2">
              <w:rPr>
                <w:lang w:eastAsia="en-AU"/>
              </w:rPr>
              <w:t>Bereavement</w:t>
            </w:r>
            <w:r w:rsidRPr="005911E2">
              <w:t xml:space="preserve"> Payment</w:t>
            </w:r>
          </w:p>
        </w:tc>
      </w:tr>
      <w:tr w:rsidR="00BD7CE5" w:rsidRPr="005911E2" w:rsidTr="00FB6A20">
        <w:trPr>
          <w:trHeight w:val="285"/>
        </w:trPr>
        <w:tc>
          <w:tcPr>
            <w:tcW w:w="3686" w:type="dxa"/>
            <w:shd w:val="clear" w:color="auto" w:fill="auto"/>
            <w:vAlign w:val="center"/>
            <w:hideMark/>
          </w:tcPr>
          <w:p w:rsidR="00BD7CE5" w:rsidRPr="005911E2" w:rsidRDefault="00BD7CE5" w:rsidP="000C7855">
            <w:pPr>
              <w:pStyle w:val="TableText"/>
              <w:rPr>
                <w:lang w:eastAsia="en-AU"/>
              </w:rPr>
            </w:pPr>
            <w:r w:rsidRPr="005911E2">
              <w:rPr>
                <w:lang w:eastAsia="en-AU"/>
              </w:rPr>
              <w:t>Mature Age Partner Allowance</w:t>
            </w:r>
          </w:p>
        </w:tc>
        <w:tc>
          <w:tcPr>
            <w:tcW w:w="4536" w:type="dxa"/>
            <w:vAlign w:val="center"/>
          </w:tcPr>
          <w:p w:rsidR="00BD7CE5" w:rsidRPr="005911E2" w:rsidRDefault="00BD7CE5" w:rsidP="000C7855">
            <w:pPr>
              <w:pStyle w:val="TableText"/>
            </w:pPr>
            <w:r w:rsidRPr="005911E2">
              <w:rPr>
                <w:lang w:eastAsia="en-AU"/>
              </w:rPr>
              <w:t>Northern</w:t>
            </w:r>
            <w:r w:rsidRPr="005911E2">
              <w:t xml:space="preserve"> Territory CDEP transition payment</w:t>
            </w:r>
          </w:p>
        </w:tc>
      </w:tr>
      <w:tr w:rsidR="00BD7CE5" w:rsidRPr="005911E2" w:rsidTr="00FB6A20">
        <w:trPr>
          <w:trHeight w:val="285"/>
        </w:trPr>
        <w:tc>
          <w:tcPr>
            <w:tcW w:w="3686" w:type="dxa"/>
            <w:shd w:val="clear" w:color="auto" w:fill="auto"/>
            <w:vAlign w:val="center"/>
            <w:hideMark/>
          </w:tcPr>
          <w:p w:rsidR="00BD7CE5" w:rsidRPr="005911E2" w:rsidRDefault="00BD7CE5" w:rsidP="000C7855">
            <w:pPr>
              <w:pStyle w:val="TableText"/>
              <w:rPr>
                <w:lang w:eastAsia="en-AU"/>
              </w:rPr>
            </w:pPr>
            <w:r w:rsidRPr="005911E2">
              <w:rPr>
                <w:lang w:eastAsia="en-AU"/>
              </w:rPr>
              <w:t>Special Needs Pension</w:t>
            </w:r>
          </w:p>
        </w:tc>
        <w:tc>
          <w:tcPr>
            <w:tcW w:w="4536" w:type="dxa"/>
            <w:vAlign w:val="center"/>
          </w:tcPr>
          <w:p w:rsidR="00BD7CE5" w:rsidRPr="005911E2" w:rsidRDefault="00BD7CE5" w:rsidP="000C7855">
            <w:pPr>
              <w:pStyle w:val="TableText"/>
            </w:pPr>
            <w:r w:rsidRPr="005911E2">
              <w:t>Various Advance Payments</w:t>
            </w:r>
          </w:p>
        </w:tc>
      </w:tr>
      <w:tr w:rsidR="00BD7CE5" w:rsidRPr="005911E2" w:rsidTr="00FB6A20">
        <w:trPr>
          <w:trHeight w:val="285"/>
        </w:trPr>
        <w:tc>
          <w:tcPr>
            <w:tcW w:w="3686" w:type="dxa"/>
            <w:shd w:val="clear" w:color="auto" w:fill="auto"/>
            <w:vAlign w:val="center"/>
            <w:hideMark/>
          </w:tcPr>
          <w:p w:rsidR="00BD7CE5" w:rsidRPr="005911E2" w:rsidRDefault="00BD7CE5" w:rsidP="000C7855">
            <w:pPr>
              <w:pStyle w:val="TableText"/>
            </w:pPr>
            <w:r w:rsidRPr="005911E2">
              <w:t>ABSTUDY with living allowance</w:t>
            </w:r>
          </w:p>
        </w:tc>
        <w:tc>
          <w:tcPr>
            <w:tcW w:w="4536" w:type="dxa"/>
            <w:vAlign w:val="center"/>
          </w:tcPr>
          <w:p w:rsidR="00BD7CE5" w:rsidRPr="005911E2" w:rsidRDefault="00BD7CE5" w:rsidP="000C7855">
            <w:pPr>
              <w:pStyle w:val="TableText"/>
            </w:pPr>
            <w:r w:rsidRPr="005911E2">
              <w:t>Pharmaceutical Allowance</w:t>
            </w:r>
          </w:p>
        </w:tc>
      </w:tr>
      <w:tr w:rsidR="00BD7CE5" w:rsidRPr="005911E2" w:rsidTr="00FB6A20">
        <w:trPr>
          <w:trHeight w:val="285"/>
        </w:trPr>
        <w:tc>
          <w:tcPr>
            <w:tcW w:w="3686" w:type="dxa"/>
            <w:shd w:val="clear" w:color="auto" w:fill="auto"/>
            <w:vAlign w:val="center"/>
            <w:hideMark/>
          </w:tcPr>
          <w:p w:rsidR="00BD7CE5" w:rsidRPr="005911E2" w:rsidRDefault="00BD7CE5" w:rsidP="000C7855">
            <w:pPr>
              <w:pStyle w:val="TableText"/>
            </w:pPr>
            <w:r w:rsidRPr="005911E2">
              <w:t xml:space="preserve">Service </w:t>
            </w:r>
            <w:r w:rsidRPr="005911E2">
              <w:rPr>
                <w:lang w:eastAsia="en-AU"/>
              </w:rPr>
              <w:t>Pension</w:t>
            </w:r>
          </w:p>
        </w:tc>
        <w:tc>
          <w:tcPr>
            <w:tcW w:w="4536" w:type="dxa"/>
            <w:vAlign w:val="center"/>
          </w:tcPr>
          <w:p w:rsidR="00BD7CE5" w:rsidRPr="005911E2" w:rsidRDefault="00BD7CE5" w:rsidP="000C7855">
            <w:pPr>
              <w:pStyle w:val="TableText"/>
            </w:pPr>
            <w:r w:rsidRPr="005911E2">
              <w:t xml:space="preserve"> </w:t>
            </w:r>
          </w:p>
        </w:tc>
      </w:tr>
      <w:bookmarkEnd w:id="131"/>
    </w:tbl>
    <w:p w:rsidR="00BD7CE5" w:rsidRDefault="00BD7CE5" w:rsidP="007B4471">
      <w:pPr>
        <w:pStyle w:val="tablefootnoteslastline"/>
      </w:pPr>
    </w:p>
    <w:p w:rsidR="007B4471" w:rsidRPr="005911E2" w:rsidRDefault="007B4471" w:rsidP="007B4471">
      <w:r w:rsidRPr="005911E2">
        <w:t>Individuals subject to Compulsory, Vulnerable and Voluntary Income Management</w:t>
      </w:r>
      <w:r>
        <w:t xml:space="preserve"> </w:t>
      </w:r>
      <w:r w:rsidRPr="005911E2">
        <w:t>have 50 per cent of their Centrelink payments income managed. For those on Child Protection Income Managem</w:t>
      </w:r>
      <w:r w:rsidR="00BB14C5">
        <w:t>ent this proportion rises to 70 </w:t>
      </w:r>
      <w:r w:rsidRPr="005911E2">
        <w:t>per cent. Lump sum payments are income managed in their entirety (100 per cent). Examples of the lump sum payments are ABSTUDY with a Living Allowance and Pensioner Education Supplement arrears, all advances, Study Start-up Scholarship and Relocation Scholarship.</w:t>
      </w:r>
      <w:r w:rsidRPr="005911E2">
        <w:rPr>
          <w:szCs w:val="24"/>
          <w:vertAlign w:val="superscript"/>
        </w:rPr>
        <w:footnoteReference w:id="17"/>
      </w:r>
      <w:r>
        <w:t xml:space="preserve"> In addition, </w:t>
      </w:r>
      <w:r w:rsidRPr="005911E2">
        <w:t>the Baby Bonus</w:t>
      </w:r>
      <w:r>
        <w:t xml:space="preserve"> is income managed at 100 per cent.</w:t>
      </w:r>
    </w:p>
    <w:p w:rsidR="007B4471" w:rsidRPr="005911E2" w:rsidRDefault="007B4471" w:rsidP="007B4471">
      <w:r w:rsidRPr="005911E2">
        <w:t xml:space="preserve">If a person is subject to income management, then all of the Centrelink or Department of Veteran Affairs payments shown in Table </w:t>
      </w:r>
      <w:r w:rsidRPr="005911E2">
        <w:rPr>
          <w:noProof/>
        </w:rPr>
        <w:t>2</w:t>
      </w:r>
      <w:r w:rsidRPr="005911E2">
        <w:rPr>
          <w:noProof/>
        </w:rPr>
        <w:noBreakHyphen/>
        <w:t>4</w:t>
      </w:r>
      <w:r w:rsidRPr="005911E2">
        <w:t xml:space="preserve"> will also be subject to </w:t>
      </w:r>
      <w:r>
        <w:t>income management</w:t>
      </w:r>
      <w:r w:rsidRPr="005911E2">
        <w:t xml:space="preserve">. The main Centrelink payments which can act as trigger for the </w:t>
      </w:r>
      <w:r>
        <w:t>c</w:t>
      </w:r>
      <w:r w:rsidRPr="005911E2">
        <w:t xml:space="preserve">ompulsory </w:t>
      </w:r>
      <w:r>
        <w:t xml:space="preserve">streams of </w:t>
      </w:r>
      <w:r w:rsidRPr="005911E2">
        <w:t>income management are Newstart</w:t>
      </w:r>
      <w:r>
        <w:t xml:space="preserve"> Allowance</w:t>
      </w:r>
      <w:r w:rsidRPr="005911E2">
        <w:t xml:space="preserve">, Parenting Payment and Youth Allowance. Further details are discussed in Section </w:t>
      </w:r>
      <w:r w:rsidR="00C7347D">
        <w:fldChar w:fldCharType="begin"/>
      </w:r>
      <w:r>
        <w:instrText xml:space="preserve"> REF _Ref327976237 \r \h </w:instrText>
      </w:r>
      <w:r w:rsidR="00C7347D">
        <w:fldChar w:fldCharType="separate"/>
      </w:r>
      <w:r w:rsidR="007D7E45">
        <w:t>2.4.1</w:t>
      </w:r>
      <w:r w:rsidR="00C7347D">
        <w:fldChar w:fldCharType="end"/>
      </w:r>
      <w:r w:rsidRPr="005911E2">
        <w:t xml:space="preserve">. </w:t>
      </w:r>
    </w:p>
    <w:p w:rsidR="00BD7CE5" w:rsidRPr="005911E2" w:rsidRDefault="00BD7CE5" w:rsidP="00BD7CE5">
      <w:pPr>
        <w:pStyle w:val="Heading3"/>
      </w:pPr>
      <w:bookmarkStart w:id="132" w:name="_Ref327976237"/>
      <w:r w:rsidRPr="005911E2">
        <w:lastRenderedPageBreak/>
        <w:t xml:space="preserve">Compulsory </w:t>
      </w:r>
      <w:r w:rsidR="005015A4">
        <w:t>I</w:t>
      </w:r>
      <w:r w:rsidRPr="005911E2">
        <w:t xml:space="preserve">ncome </w:t>
      </w:r>
      <w:r w:rsidR="005015A4">
        <w:t>M</w:t>
      </w:r>
      <w:r w:rsidRPr="005911E2">
        <w:t>anagement (CIM)</w:t>
      </w:r>
      <w:bookmarkEnd w:id="132"/>
    </w:p>
    <w:p w:rsidR="00BD7CE5" w:rsidRPr="005911E2" w:rsidRDefault="00BD7CE5" w:rsidP="00BD7CE5">
      <w:r w:rsidRPr="005911E2">
        <w:t>Compulsory Income Management applies to two groups of income support recipients. The first</w:t>
      </w:r>
      <w:r w:rsidR="009B54EC">
        <w:t>, under the Disengaged Youth Measure,</w:t>
      </w:r>
      <w:r w:rsidRPr="005911E2">
        <w:t xml:space="preserve"> are people aged 15 to 24 years who have been receiving one of the following payments for three of the past six months: Youth Allowance; Newstart Allowance; Special Benefit</w:t>
      </w:r>
      <w:r w:rsidR="00904FBF">
        <w:rPr>
          <w:rStyle w:val="FootnoteReference"/>
        </w:rPr>
        <w:footnoteReference w:id="18"/>
      </w:r>
      <w:r w:rsidRPr="005911E2">
        <w:t>; and Parenting Payment Partnered or Parenting Payment Single. The second</w:t>
      </w:r>
      <w:r w:rsidR="009B54EC">
        <w:t xml:space="preserve">, under the Long-term Welfare </w:t>
      </w:r>
      <w:r w:rsidR="00D3222D">
        <w:t>Payment Recipients</w:t>
      </w:r>
      <w:r w:rsidR="009B54EC">
        <w:t xml:space="preserve"> measure</w:t>
      </w:r>
      <w:r w:rsidRPr="005911E2">
        <w:t xml:space="preserve"> are people aged 25 years and older who have been receiving one of the following payments for more than one of the past two years: Youth Allowance; Newstart Allowance; Special Benefit; and Parenting Payment Partnered or Parenting Payment Single.</w:t>
      </w:r>
    </w:p>
    <w:p w:rsidR="00BD7CE5" w:rsidRPr="005911E2" w:rsidRDefault="00BD7CE5" w:rsidP="007B4471">
      <w:pPr>
        <w:pStyle w:val="Heading4"/>
      </w:pPr>
      <w:r w:rsidRPr="007B4471">
        <w:t>Exemptions</w:t>
      </w:r>
    </w:p>
    <w:p w:rsidR="00BD7CE5" w:rsidRPr="004916C7" w:rsidRDefault="00BD7CE5" w:rsidP="00BD7CE5">
      <w:r w:rsidRPr="005911E2">
        <w:t>Individuals who are subject to Compulsory Income Management because of the type of payment they receive and their duration on th</w:t>
      </w:r>
      <w:r w:rsidRPr="004916C7">
        <w:t>e payment are entitled to seek an exemption</w:t>
      </w:r>
      <w:r w:rsidR="00D53477">
        <w:t xml:space="preserve"> </w:t>
      </w:r>
      <w:r w:rsidR="00D53477" w:rsidRPr="004916C7">
        <w:t>if they believe that they can satisfy the exemption criteria</w:t>
      </w:r>
      <w:r w:rsidR="00D53477" w:rsidRPr="004916C7">
        <w:rPr>
          <w:rStyle w:val="FootnoteReference"/>
        </w:rPr>
        <w:t xml:space="preserve"> </w:t>
      </w:r>
      <w:r w:rsidRPr="004916C7">
        <w:rPr>
          <w:rStyle w:val="FootnoteReference"/>
        </w:rPr>
        <w:footnoteReference w:id="19"/>
      </w:r>
      <w:r w:rsidRPr="004916C7">
        <w:t>. The criteria for exemption differ according to whether the person has dependent children.</w:t>
      </w:r>
    </w:p>
    <w:p w:rsidR="00BD7CE5" w:rsidRPr="004916C7" w:rsidRDefault="00BD7CE5" w:rsidP="00BD7CE5">
      <w:r w:rsidRPr="004916C7">
        <w:t>Those with dependent children can obtain an exemption if they can meet two criteria</w:t>
      </w:r>
      <w:r w:rsidR="009B54EC" w:rsidRPr="004916C7">
        <w:t xml:space="preserve"> related to</w:t>
      </w:r>
      <w:r w:rsidRPr="004916C7">
        <w:t xml:space="preserve">: </w:t>
      </w:r>
    </w:p>
    <w:p w:rsidR="004808B3" w:rsidRPr="004916C7" w:rsidRDefault="00BD7CE5">
      <w:pPr>
        <w:pStyle w:val="ListBullet"/>
        <w:rPr>
          <w:szCs w:val="22"/>
        </w:rPr>
      </w:pPr>
      <w:r w:rsidRPr="004916C7">
        <w:rPr>
          <w:szCs w:val="22"/>
        </w:rPr>
        <w:t>responsible parenting</w:t>
      </w:r>
      <w:r w:rsidR="009B54EC" w:rsidRPr="004916C7">
        <w:rPr>
          <w:szCs w:val="22"/>
        </w:rPr>
        <w:t>, and</w:t>
      </w:r>
      <w:r w:rsidRPr="004916C7">
        <w:rPr>
          <w:szCs w:val="22"/>
        </w:rPr>
        <w:t xml:space="preserve"> </w:t>
      </w:r>
    </w:p>
    <w:p w:rsidR="009B54EC" w:rsidRPr="004916C7" w:rsidRDefault="009B54EC" w:rsidP="009B54EC">
      <w:pPr>
        <w:pStyle w:val="ListBullet"/>
        <w:rPr>
          <w:szCs w:val="22"/>
        </w:rPr>
      </w:pPr>
      <w:r w:rsidRPr="004916C7">
        <w:rPr>
          <w:szCs w:val="22"/>
        </w:rPr>
        <w:t>financial vulnerability</w:t>
      </w:r>
      <w:r w:rsidR="00141D97">
        <w:rPr>
          <w:szCs w:val="22"/>
        </w:rPr>
        <w:t>.</w:t>
      </w:r>
    </w:p>
    <w:p w:rsidR="00BD7CE5" w:rsidRPr="004916C7" w:rsidRDefault="009B54EC" w:rsidP="00BD7CE5">
      <w:r w:rsidRPr="004916C7">
        <w:t>In broad terms r</w:t>
      </w:r>
      <w:r w:rsidR="00BD7CE5" w:rsidRPr="004916C7">
        <w:t xml:space="preserve">esponsible parenting </w:t>
      </w:r>
      <w:r w:rsidRPr="004916C7">
        <w:t>is assessed on the basis of</w:t>
      </w:r>
      <w:r w:rsidR="00BD7CE5" w:rsidRPr="004916C7">
        <w:t xml:space="preserve"> school aged children attending school regularly for the past two terms or semesters (no more than five unexplained absences in a school term or semester)</w:t>
      </w:r>
      <w:r w:rsidR="00ED4D04" w:rsidRPr="004916C7">
        <w:t>. F</w:t>
      </w:r>
      <w:r w:rsidR="00BD7CE5" w:rsidRPr="004916C7">
        <w:t>or those with pre-school aged children</w:t>
      </w:r>
      <w:r w:rsidR="00ED4D04" w:rsidRPr="004916C7">
        <w:t>,</w:t>
      </w:r>
      <w:r w:rsidR="00BD7CE5" w:rsidRPr="004916C7">
        <w:t xml:space="preserve"> the parent must </w:t>
      </w:r>
      <w:r w:rsidRPr="004916C7">
        <w:t>meet a set of health and</w:t>
      </w:r>
      <w:r w:rsidR="00904FBF">
        <w:t>/</w:t>
      </w:r>
      <w:r w:rsidRPr="004916C7">
        <w:t>or engagement requirements</w:t>
      </w:r>
      <w:r w:rsidR="00904FBF">
        <w:t>. T</w:t>
      </w:r>
      <w:r w:rsidRPr="004916C7">
        <w:t>hese include appropriate p</w:t>
      </w:r>
      <w:r w:rsidR="00BD7CE5" w:rsidRPr="004916C7">
        <w:t>articipation in early childhood services or child care</w:t>
      </w:r>
      <w:r w:rsidRPr="004916C7">
        <w:t>, and having appropriate vaccinations and health checks</w:t>
      </w:r>
      <w:r w:rsidR="00BD7CE5" w:rsidRPr="004916C7">
        <w:t>. The exemption criteria must be satisfied for all children</w:t>
      </w:r>
      <w:r w:rsidR="00ED4D04" w:rsidRPr="004916C7">
        <w:t xml:space="preserve"> under the responsibility of the parent</w:t>
      </w:r>
      <w:r w:rsidR="00BD7CE5" w:rsidRPr="004916C7">
        <w:t>.</w:t>
      </w:r>
    </w:p>
    <w:p w:rsidR="00BD7CE5" w:rsidRPr="004916C7" w:rsidRDefault="00BD7CE5" w:rsidP="00BD7CE5">
      <w:r w:rsidRPr="004916C7">
        <w:t xml:space="preserve">Examples of the types of evidence required in order to demonstrate responsible parenting are: </w:t>
      </w:r>
    </w:p>
    <w:p w:rsidR="002973F2" w:rsidRPr="004916C7" w:rsidRDefault="00ED4D04" w:rsidP="004B4D01">
      <w:pPr>
        <w:pStyle w:val="ListBullet"/>
        <w:rPr>
          <w:szCs w:val="22"/>
        </w:rPr>
      </w:pPr>
      <w:r w:rsidRPr="004916C7">
        <w:rPr>
          <w:szCs w:val="22"/>
        </w:rPr>
        <w:t>s</w:t>
      </w:r>
      <w:r w:rsidR="00BD7CE5" w:rsidRPr="004916C7">
        <w:rPr>
          <w:szCs w:val="22"/>
        </w:rPr>
        <w:t>chool report</w:t>
      </w:r>
    </w:p>
    <w:p w:rsidR="002973F2" w:rsidRPr="004916C7" w:rsidRDefault="00ED4D04" w:rsidP="004B4D01">
      <w:pPr>
        <w:pStyle w:val="ListBullet"/>
        <w:rPr>
          <w:szCs w:val="22"/>
        </w:rPr>
      </w:pPr>
      <w:r w:rsidRPr="004916C7">
        <w:rPr>
          <w:szCs w:val="22"/>
        </w:rPr>
        <w:t>l</w:t>
      </w:r>
      <w:r w:rsidR="00BD7CE5" w:rsidRPr="004916C7">
        <w:rPr>
          <w:szCs w:val="22"/>
        </w:rPr>
        <w:t xml:space="preserve">etter from </w:t>
      </w:r>
      <w:r w:rsidRPr="004916C7">
        <w:rPr>
          <w:szCs w:val="22"/>
        </w:rPr>
        <w:t xml:space="preserve">the </w:t>
      </w:r>
      <w:r w:rsidR="00BD7CE5" w:rsidRPr="004916C7">
        <w:rPr>
          <w:szCs w:val="22"/>
        </w:rPr>
        <w:t>Department of Education</w:t>
      </w:r>
    </w:p>
    <w:p w:rsidR="002973F2" w:rsidRPr="004916C7" w:rsidRDefault="00ED4D04" w:rsidP="004B4D01">
      <w:pPr>
        <w:pStyle w:val="ListBullet"/>
        <w:rPr>
          <w:szCs w:val="22"/>
        </w:rPr>
      </w:pPr>
      <w:r w:rsidRPr="004916C7">
        <w:rPr>
          <w:szCs w:val="22"/>
        </w:rPr>
        <w:t>p</w:t>
      </w:r>
      <w:r w:rsidR="00BD7CE5" w:rsidRPr="004916C7">
        <w:rPr>
          <w:szCs w:val="22"/>
        </w:rPr>
        <w:t xml:space="preserve">roof of </w:t>
      </w:r>
      <w:r w:rsidR="004916C7" w:rsidRPr="004916C7">
        <w:rPr>
          <w:szCs w:val="22"/>
        </w:rPr>
        <w:t xml:space="preserve">vaccination </w:t>
      </w:r>
      <w:r w:rsidR="00BD7CE5" w:rsidRPr="004916C7">
        <w:rPr>
          <w:szCs w:val="22"/>
        </w:rPr>
        <w:t xml:space="preserve">or formal conscientious objection to </w:t>
      </w:r>
      <w:r w:rsidR="004916C7" w:rsidRPr="004916C7">
        <w:rPr>
          <w:szCs w:val="22"/>
        </w:rPr>
        <w:t>vaccination</w:t>
      </w:r>
    </w:p>
    <w:p w:rsidR="004808B3" w:rsidRPr="004916C7" w:rsidRDefault="00ED4D04">
      <w:pPr>
        <w:pStyle w:val="ListBullet"/>
        <w:rPr>
          <w:szCs w:val="22"/>
        </w:rPr>
      </w:pPr>
      <w:r w:rsidRPr="004916C7">
        <w:rPr>
          <w:szCs w:val="22"/>
        </w:rPr>
        <w:t>r</w:t>
      </w:r>
      <w:r w:rsidR="00BD7CE5" w:rsidRPr="004916C7">
        <w:rPr>
          <w:szCs w:val="22"/>
        </w:rPr>
        <w:t>eport from medical or nurse practitioner or allied health professional</w:t>
      </w:r>
    </w:p>
    <w:p w:rsidR="004808B3" w:rsidRPr="004916C7" w:rsidRDefault="00ED4D04">
      <w:pPr>
        <w:pStyle w:val="ListBullet"/>
        <w:rPr>
          <w:szCs w:val="22"/>
        </w:rPr>
      </w:pPr>
      <w:r w:rsidRPr="004916C7">
        <w:rPr>
          <w:szCs w:val="22"/>
        </w:rPr>
        <w:t>c</w:t>
      </w:r>
      <w:r w:rsidR="00BD7CE5" w:rsidRPr="004916C7">
        <w:rPr>
          <w:szCs w:val="22"/>
        </w:rPr>
        <w:t>hild’s personal health record</w:t>
      </w:r>
    </w:p>
    <w:p w:rsidR="004808B3" w:rsidRPr="004916C7" w:rsidRDefault="00ED4D04">
      <w:pPr>
        <w:pStyle w:val="ListBullet"/>
        <w:rPr>
          <w:szCs w:val="22"/>
        </w:rPr>
      </w:pPr>
      <w:r w:rsidRPr="004916C7">
        <w:rPr>
          <w:szCs w:val="22"/>
        </w:rPr>
        <w:lastRenderedPageBreak/>
        <w:t>c</w:t>
      </w:r>
      <w:r w:rsidR="00BD7CE5" w:rsidRPr="004916C7">
        <w:rPr>
          <w:szCs w:val="22"/>
        </w:rPr>
        <w:t>opy of customer’s Medicare record showing that the child has attended a</w:t>
      </w:r>
      <w:r w:rsidR="00141D97">
        <w:rPr>
          <w:szCs w:val="22"/>
        </w:rPr>
        <w:t xml:space="preserve"> medical appointment</w:t>
      </w:r>
    </w:p>
    <w:p w:rsidR="004808B3" w:rsidRPr="004916C7" w:rsidRDefault="00ED4D04">
      <w:pPr>
        <w:pStyle w:val="ListBullet"/>
        <w:rPr>
          <w:szCs w:val="22"/>
        </w:rPr>
      </w:pPr>
      <w:r w:rsidRPr="004916C7">
        <w:rPr>
          <w:szCs w:val="22"/>
        </w:rPr>
        <w:t>e</w:t>
      </w:r>
      <w:r w:rsidR="00BD7CE5" w:rsidRPr="004916C7">
        <w:rPr>
          <w:szCs w:val="22"/>
        </w:rPr>
        <w:t xml:space="preserve">vidence that </w:t>
      </w:r>
      <w:r w:rsidR="00904FBF">
        <w:rPr>
          <w:szCs w:val="22"/>
        </w:rPr>
        <w:t xml:space="preserve">the </w:t>
      </w:r>
      <w:r w:rsidR="00BD7CE5" w:rsidRPr="004916C7">
        <w:rPr>
          <w:szCs w:val="22"/>
        </w:rPr>
        <w:t>child is attending approved child care.</w:t>
      </w:r>
    </w:p>
    <w:p w:rsidR="004916C7" w:rsidRPr="004916C7" w:rsidRDefault="009B54EC" w:rsidP="004916C7">
      <w:pPr>
        <w:pStyle w:val="BodyText"/>
      </w:pPr>
      <w:r w:rsidRPr="004916C7">
        <w:t xml:space="preserve">Financial vulnerability </w:t>
      </w:r>
      <w:r w:rsidR="004916C7" w:rsidRPr="004916C7">
        <w:t>is assessed on the basis of a person demonstrating that they have been:</w:t>
      </w:r>
    </w:p>
    <w:p w:rsidR="004916C7" w:rsidRPr="004916C7" w:rsidRDefault="004916C7" w:rsidP="004916C7">
      <w:pPr>
        <w:pStyle w:val="ListBullet"/>
        <w:rPr>
          <w:szCs w:val="22"/>
        </w:rPr>
      </w:pPr>
      <w:r w:rsidRPr="004916C7">
        <w:rPr>
          <w:szCs w:val="22"/>
        </w:rPr>
        <w:t>applying appropriate resources to meet their priority needs and the priority needs of their family</w:t>
      </w:r>
    </w:p>
    <w:p w:rsidR="004916C7" w:rsidRPr="004916C7" w:rsidRDefault="004916C7" w:rsidP="004916C7">
      <w:pPr>
        <w:pStyle w:val="ListBullet"/>
        <w:rPr>
          <w:szCs w:val="22"/>
        </w:rPr>
      </w:pPr>
      <w:r w:rsidRPr="004916C7">
        <w:rPr>
          <w:szCs w:val="22"/>
        </w:rPr>
        <w:t>using money management strategies (such as stable payment patterns and budgeting practices) to manage their financial resources, and it is likely the person will continue to do so in the future</w:t>
      </w:r>
    </w:p>
    <w:p w:rsidR="004916C7" w:rsidRPr="004916C7" w:rsidRDefault="004916C7" w:rsidP="004916C7">
      <w:pPr>
        <w:pStyle w:val="ListBullet"/>
        <w:rPr>
          <w:szCs w:val="22"/>
        </w:rPr>
      </w:pPr>
      <w:r w:rsidRPr="004916C7">
        <w:rPr>
          <w:szCs w:val="22"/>
        </w:rPr>
        <w:t>exercising control over their money and was not subject to financial exploitation</w:t>
      </w:r>
    </w:p>
    <w:p w:rsidR="009B54EC" w:rsidRPr="004916C7" w:rsidRDefault="004916C7" w:rsidP="004916C7">
      <w:pPr>
        <w:pStyle w:val="ListBullet"/>
        <w:rPr>
          <w:szCs w:val="22"/>
        </w:rPr>
      </w:pPr>
      <w:r w:rsidRPr="004916C7">
        <w:rPr>
          <w:szCs w:val="22"/>
        </w:rPr>
        <w:t>has not regularly require</w:t>
      </w:r>
      <w:r w:rsidR="00A97BF6">
        <w:rPr>
          <w:szCs w:val="22"/>
        </w:rPr>
        <w:t>d</w:t>
      </w:r>
      <w:r w:rsidRPr="004916C7">
        <w:rPr>
          <w:szCs w:val="22"/>
        </w:rPr>
        <w:t xml:space="preserve"> urgent funds to pay for foreseeable costs, and did not frequently change their income support pay dates. Consideration must be given to the reasons for seeking the urgent payments or changing the payment dates.</w:t>
      </w:r>
    </w:p>
    <w:p w:rsidR="004916C7" w:rsidRPr="004916C7" w:rsidRDefault="004916C7" w:rsidP="004916C7">
      <w:pPr>
        <w:pStyle w:val="BodyText"/>
      </w:pPr>
      <w:r w:rsidRPr="004916C7">
        <w:t xml:space="preserve">Further details of the test are given in </w:t>
      </w:r>
      <w:r w:rsidR="00363305">
        <w:fldChar w:fldCharType="begin"/>
      </w:r>
      <w:r w:rsidR="00363305">
        <w:instrText xml:space="preserve"> REF _Ref321246337 \r \h  \* MERGEFORMAT </w:instrText>
      </w:r>
      <w:r w:rsidR="00363305">
        <w:fldChar w:fldCharType="separate"/>
      </w:r>
      <w:r w:rsidR="007D7E45">
        <w:t>Appendix F</w:t>
      </w:r>
      <w:r w:rsidR="00363305">
        <w:fldChar w:fldCharType="end"/>
      </w:r>
      <w:r w:rsidRPr="004916C7">
        <w:t>.</w:t>
      </w:r>
    </w:p>
    <w:p w:rsidR="00E81107" w:rsidRPr="004916C7" w:rsidRDefault="00BD7CE5" w:rsidP="002B2C93">
      <w:pPr>
        <w:pStyle w:val="BodyText"/>
      </w:pPr>
      <w:r w:rsidRPr="004916C7">
        <w:t xml:space="preserve">For individuals without dependent children who have been assessed as meeting the criteria for being subject to </w:t>
      </w:r>
      <w:r w:rsidR="002B2C93">
        <w:t xml:space="preserve">Compulsory Income Management, </w:t>
      </w:r>
      <w:r w:rsidRPr="004916C7">
        <w:t xml:space="preserve">an exemption </w:t>
      </w:r>
      <w:r w:rsidR="002B2C93">
        <w:t xml:space="preserve">from </w:t>
      </w:r>
      <w:r w:rsidR="00F878E4" w:rsidRPr="004916C7">
        <w:t>income management</w:t>
      </w:r>
      <w:r w:rsidR="00B26194" w:rsidRPr="004916C7">
        <w:t xml:space="preserve"> </w:t>
      </w:r>
      <w:r w:rsidRPr="004916C7">
        <w:t>is available if the person satisfies one of the following criteria</w:t>
      </w:r>
      <w:r w:rsidR="002B2C93">
        <w:t>, they</w:t>
      </w:r>
      <w:r w:rsidRPr="004916C7">
        <w:t>:</w:t>
      </w:r>
    </w:p>
    <w:p w:rsidR="008C6E1C" w:rsidRDefault="002B2C93" w:rsidP="00B26194">
      <w:pPr>
        <w:pStyle w:val="ListBullet"/>
      </w:pPr>
      <w:r>
        <w:t>are</w:t>
      </w:r>
      <w:r w:rsidRPr="005911E2">
        <w:t xml:space="preserve"> </w:t>
      </w:r>
      <w:r w:rsidR="00BD7CE5" w:rsidRPr="005911E2">
        <w:t>a full-time student or new apprentice</w:t>
      </w:r>
      <w:r w:rsidR="007D712B">
        <w:t>,</w:t>
      </w:r>
      <w:r w:rsidR="00BD7CE5" w:rsidRPr="005911E2">
        <w:t xml:space="preserve"> or </w:t>
      </w:r>
    </w:p>
    <w:p w:rsidR="002973F2" w:rsidRDefault="002B2C93" w:rsidP="004B4D01">
      <w:pPr>
        <w:pStyle w:val="ListBullet"/>
      </w:pPr>
      <w:r>
        <w:t>they have</w:t>
      </w:r>
      <w:r w:rsidRPr="005911E2">
        <w:t xml:space="preserve"> </w:t>
      </w:r>
      <w:r w:rsidR="00BD7CE5" w:rsidRPr="005911E2">
        <w:t>worked for 15 hours or more per week for at least the minimum wage for at least six of the last 12 months (FaHCSIA</w:t>
      </w:r>
      <w:r w:rsidR="00D41862">
        <w:t>,</w:t>
      </w:r>
      <w:r w:rsidR="00BD7CE5" w:rsidRPr="005911E2">
        <w:t xml:space="preserve"> 2010).</w:t>
      </w:r>
    </w:p>
    <w:p w:rsidR="00BD7CE5" w:rsidRPr="005911E2" w:rsidRDefault="00BD7CE5" w:rsidP="00BD7CE5">
      <w:pPr>
        <w:rPr>
          <w:szCs w:val="20"/>
        </w:rPr>
      </w:pPr>
      <w:r w:rsidRPr="005911E2">
        <w:rPr>
          <w:szCs w:val="20"/>
        </w:rPr>
        <w:t>Examples of the evidence required to demonstrate the meeting of these criteria are:</w:t>
      </w:r>
    </w:p>
    <w:p w:rsidR="002973F2" w:rsidRDefault="00BD7CE5" w:rsidP="004B4D01">
      <w:pPr>
        <w:pStyle w:val="ListBullet"/>
      </w:pPr>
      <w:r w:rsidRPr="005911E2">
        <w:t>payslips</w:t>
      </w:r>
    </w:p>
    <w:p w:rsidR="004808B3" w:rsidRDefault="00BD7CE5">
      <w:pPr>
        <w:pStyle w:val="ListBullet"/>
      </w:pPr>
      <w:r w:rsidRPr="005911E2">
        <w:t>details of verified work hours on the customer’s Centrelink record</w:t>
      </w:r>
    </w:p>
    <w:p w:rsidR="004808B3" w:rsidRDefault="00BD7CE5">
      <w:pPr>
        <w:pStyle w:val="ListBullet"/>
      </w:pPr>
      <w:r w:rsidRPr="005911E2">
        <w:t>a letter from their employer</w:t>
      </w:r>
    </w:p>
    <w:p w:rsidR="004808B3" w:rsidRDefault="00BD7CE5">
      <w:pPr>
        <w:pStyle w:val="ListBullet"/>
      </w:pPr>
      <w:r w:rsidRPr="005911E2">
        <w:t>profit and loss statement for customers who are self-employed.</w:t>
      </w:r>
    </w:p>
    <w:p w:rsidR="00BD7CE5" w:rsidRPr="005911E2" w:rsidRDefault="00BD7CE5" w:rsidP="00BD7CE5">
      <w:r w:rsidRPr="005911E2">
        <w:t xml:space="preserve">If granted, an exemption to being subject to Compulsory Income Managed applies for a 12 month period, except for where there is a defined end-date such as at the end of an apprenticeship, or when </w:t>
      </w:r>
      <w:r w:rsidR="005911E2" w:rsidRPr="005911E2">
        <w:t>a student</w:t>
      </w:r>
      <w:r w:rsidRPr="005911E2">
        <w:t xml:space="preserve"> ceases full-time study</w:t>
      </w:r>
      <w:r w:rsidR="00B75890">
        <w:t>, or when the person’s circumstances change significantly such as a change in dependants</w:t>
      </w:r>
      <w:r w:rsidRPr="005911E2">
        <w:t>. It is possible for an individual to have an exemption from Compulsory Income Management and then to go onto Voluntary Income Management. They may choose to do this in order to qualify for the Voluntary Income Management Financial Incentive</w:t>
      </w:r>
      <w:r w:rsidR="00B75890">
        <w:t xml:space="preserve"> Payment</w:t>
      </w:r>
      <w:r w:rsidRPr="005911E2">
        <w:t xml:space="preserve"> (see below). Similarly, it is possible </w:t>
      </w:r>
      <w:r w:rsidR="007D712B">
        <w:t>that</w:t>
      </w:r>
      <w:r w:rsidR="007D712B" w:rsidRPr="005911E2">
        <w:t xml:space="preserve"> </w:t>
      </w:r>
      <w:r w:rsidRPr="005911E2">
        <w:t>a person could have an exemption from Compulsory Income Management but be referred to income management by the</w:t>
      </w:r>
      <w:r w:rsidR="006435C8">
        <w:t xml:space="preserve"> Northern Territory </w:t>
      </w:r>
      <w:r w:rsidRPr="005911E2">
        <w:t>Child Protection Authorities.</w:t>
      </w:r>
    </w:p>
    <w:p w:rsidR="00BD7CE5" w:rsidRPr="005911E2" w:rsidRDefault="00BD7CE5" w:rsidP="00BD7CE5">
      <w:pPr>
        <w:pStyle w:val="Heading3"/>
      </w:pPr>
      <w:r w:rsidRPr="005911E2">
        <w:lastRenderedPageBreak/>
        <w:t>Vulnerable Income Management (VULIM)</w:t>
      </w:r>
    </w:p>
    <w:p w:rsidR="00BD7CE5" w:rsidRPr="005911E2" w:rsidRDefault="00BD7CE5" w:rsidP="00BD7CE5">
      <w:r w:rsidRPr="005911E2">
        <w:t>Vulnerable Income Management</w:t>
      </w:r>
      <w:r w:rsidR="00D53477" w:rsidRPr="003C211B">
        <w:rPr>
          <w:rStyle w:val="FootnoteReference"/>
          <w:rFonts w:ascii="Arial" w:hAnsi="Arial" w:cs="Arial"/>
        </w:rPr>
        <w:footnoteReference w:id="20"/>
      </w:r>
      <w:r w:rsidRPr="005911E2">
        <w:t xml:space="preserve"> is a</w:t>
      </w:r>
      <w:r w:rsidR="007D712B">
        <w:t>nother</w:t>
      </w:r>
      <w:r w:rsidRPr="005911E2">
        <w:t xml:space="preserve"> </w:t>
      </w:r>
      <w:r w:rsidR="007D712B" w:rsidRPr="005911E2">
        <w:t xml:space="preserve">compulsory </w:t>
      </w:r>
      <w:r w:rsidRPr="005911E2">
        <w:t xml:space="preserve">form of income management. It is designed to provide Centrelink </w:t>
      </w:r>
      <w:r w:rsidR="007D712B">
        <w:t>s</w:t>
      </w:r>
      <w:r w:rsidRPr="005911E2">
        <w:t xml:space="preserve">ocial </w:t>
      </w:r>
      <w:r w:rsidR="007D712B">
        <w:t>w</w:t>
      </w:r>
      <w:r w:rsidRPr="005911E2">
        <w:t>orkers with an additional tool to help individuals who are vulnerable and/or at risk (</w:t>
      </w:r>
      <w:r w:rsidR="006F315A">
        <w:t>for example,</w:t>
      </w:r>
      <w:r w:rsidRPr="005911E2">
        <w:t xml:space="preserve"> individuals on </w:t>
      </w:r>
      <w:r w:rsidR="00021FA7">
        <w:t xml:space="preserve">an </w:t>
      </w:r>
      <w:r w:rsidRPr="005911E2">
        <w:t xml:space="preserve">Age Pension or Disability Support Pension </w:t>
      </w:r>
      <w:r w:rsidR="00B75890">
        <w:t>who are</w:t>
      </w:r>
      <w:r w:rsidRPr="005911E2">
        <w:t xml:space="preserve"> subject to financial harassment</w:t>
      </w:r>
      <w:r w:rsidR="006F315A">
        <w:t>, or who have an impaired capacity to manage their finances</w:t>
      </w:r>
      <w:r w:rsidRPr="005911E2">
        <w:t xml:space="preserve">). It is a stream of </w:t>
      </w:r>
      <w:r w:rsidR="007D712B">
        <w:t>income management</w:t>
      </w:r>
      <w:r w:rsidRPr="005911E2">
        <w:t xml:space="preserve"> for people not within scope of either the </w:t>
      </w:r>
      <w:r w:rsidR="00D3222D">
        <w:t>Long-term</w:t>
      </w:r>
      <w:r w:rsidRPr="005911E2">
        <w:t xml:space="preserve"> Welfare </w:t>
      </w:r>
      <w:r w:rsidR="00021FA7">
        <w:t>Payment Recipient</w:t>
      </w:r>
      <w:r w:rsidR="00D3222D">
        <w:t>s</w:t>
      </w:r>
      <w:r w:rsidR="00021FA7">
        <w:t xml:space="preserve"> </w:t>
      </w:r>
      <w:r w:rsidRPr="005911E2">
        <w:t>or Disengaged Youth measures</w:t>
      </w:r>
      <w:r w:rsidR="007D712B">
        <w:t>,</w:t>
      </w:r>
      <w:r w:rsidRPr="005911E2">
        <w:t xml:space="preserve"> who Centrelink consider</w:t>
      </w:r>
      <w:r w:rsidR="007D712B">
        <w:t>s</w:t>
      </w:r>
      <w:r w:rsidRPr="005911E2">
        <w:t xml:space="preserve"> would benefit from income management in order to meet their social and parental responsibilities, to manage their money responsibly, and to build and maintain reasonable self-care. In order to be considered for Vulnerable Income Management a person has to be in receipt of a trigger payment (termed a Category H payment).</w:t>
      </w:r>
      <w:bookmarkStart w:id="133" w:name="_Ref327980684"/>
      <w:r w:rsidRPr="005911E2">
        <w:rPr>
          <w:rStyle w:val="FootnoteReference"/>
        </w:rPr>
        <w:footnoteReference w:id="21"/>
      </w:r>
      <w:bookmarkEnd w:id="133"/>
    </w:p>
    <w:p w:rsidR="007D712B" w:rsidRDefault="00BD7CE5" w:rsidP="00BD7CE5">
      <w:r w:rsidRPr="005911E2">
        <w:t xml:space="preserve">In deciding whether a customer should be income managed under the Vulnerable Welfare </w:t>
      </w:r>
      <w:r w:rsidR="00D3222D">
        <w:t>Payment Recipients</w:t>
      </w:r>
      <w:r w:rsidRPr="005911E2">
        <w:t xml:space="preserve"> measure, Centrelink is required by </w:t>
      </w:r>
      <w:r w:rsidR="003B3BD2" w:rsidRPr="002F18E7">
        <w:rPr>
          <w:i/>
        </w:rPr>
        <w:t>Social Security (Administration) Act 1999</w:t>
      </w:r>
      <w:r w:rsidR="00B75890">
        <w:t xml:space="preserve"> </w:t>
      </w:r>
      <w:r w:rsidRPr="005911E2">
        <w:t>to consider</w:t>
      </w:r>
      <w:r w:rsidR="007D712B">
        <w:t>:</w:t>
      </w:r>
    </w:p>
    <w:p w:rsidR="00904FBF" w:rsidRPr="00BB14C5" w:rsidRDefault="00904FBF" w:rsidP="00E24340">
      <w:pPr>
        <w:pStyle w:val="ListBullet"/>
        <w:rPr>
          <w:i/>
        </w:rPr>
      </w:pPr>
      <w:r w:rsidRPr="00BB14C5">
        <w:rPr>
          <w:i/>
        </w:rPr>
        <w:t xml:space="preserve">‘whether the person is experiencing an indicator of vulnerability </w:t>
      </w:r>
    </w:p>
    <w:p w:rsidR="00904FBF" w:rsidRPr="00BB14C5" w:rsidRDefault="00904FBF" w:rsidP="00E24340">
      <w:pPr>
        <w:pStyle w:val="ListBullet"/>
        <w:rPr>
          <w:i/>
        </w:rPr>
      </w:pPr>
      <w:r w:rsidRPr="00BB14C5">
        <w:rPr>
          <w:i/>
        </w:rPr>
        <w:t>whether the person is meeting their priority needs and the priority needs of their partner, children or other dependants</w:t>
      </w:r>
    </w:p>
    <w:p w:rsidR="00904FBF" w:rsidRDefault="00904FBF" w:rsidP="00E24340">
      <w:pPr>
        <w:pStyle w:val="ListBullet"/>
      </w:pPr>
      <w:r w:rsidRPr="00BB14C5">
        <w:rPr>
          <w:i/>
        </w:rPr>
        <w:t>whether income management is an appropriate support for the person experiencing vulnerability to meet their responsibilities, to build and maintain self-care and to manage their money</w:t>
      </w:r>
      <w:r w:rsidRPr="00904FBF">
        <w:t>.</w:t>
      </w:r>
      <w:r>
        <w:t>’ (</w:t>
      </w:r>
      <w:r w:rsidR="0025049E">
        <w:t>Australian Government, 2012</w:t>
      </w:r>
      <w:r w:rsidR="00FA2BC6">
        <w:t>,</w:t>
      </w:r>
      <w:r>
        <w:t xml:space="preserve"> Section 11.4.2.10)</w:t>
      </w:r>
      <w:r w:rsidR="002A53BE">
        <w:t>.</w:t>
      </w:r>
      <w:r w:rsidRPr="00904FBF" w:rsidDel="00904FBF">
        <w:t xml:space="preserve"> </w:t>
      </w:r>
    </w:p>
    <w:p w:rsidR="0025049E" w:rsidRDefault="0025049E" w:rsidP="002B2C93">
      <w:pPr>
        <w:pStyle w:val="BodyText"/>
      </w:pPr>
      <w:r>
        <w:t>With regard to the first of these criteria the specified ‘</w:t>
      </w:r>
      <w:r w:rsidR="0041164A">
        <w:t>I</w:t>
      </w:r>
      <w:r w:rsidR="00BD7CE5" w:rsidRPr="005911E2">
        <w:t xml:space="preserve">ndicators of </w:t>
      </w:r>
      <w:r>
        <w:t>V</w:t>
      </w:r>
      <w:r w:rsidRPr="005911E2">
        <w:t>ulnerability</w:t>
      </w:r>
      <w:r>
        <w:t>’</w:t>
      </w:r>
      <w:r w:rsidRPr="005911E2">
        <w:t xml:space="preserve"> </w:t>
      </w:r>
      <w:r w:rsidR="00BD7CE5" w:rsidRPr="005911E2">
        <w:t xml:space="preserve">are: </w:t>
      </w:r>
    </w:p>
    <w:p w:rsidR="0025049E" w:rsidRPr="00141D97" w:rsidRDefault="00141D97" w:rsidP="00E24340">
      <w:pPr>
        <w:pStyle w:val="ListBullet"/>
        <w:rPr>
          <w:rFonts w:ascii="Times New Roman" w:hAnsi="Times New Roman"/>
          <w:sz w:val="24"/>
          <w:szCs w:val="24"/>
        </w:rPr>
      </w:pPr>
      <w:r w:rsidRPr="00141D97">
        <w:t>F</w:t>
      </w:r>
      <w:r w:rsidR="00BD7CE5" w:rsidRPr="00141D97">
        <w:t>inancial hardship</w:t>
      </w:r>
      <w:r w:rsidR="0025049E" w:rsidRPr="00141D97">
        <w:t>: A person is defined as experiencing financial hardship where they are unable to access or engage in activities that meet their priority needs due to a lack of financial resources. The receipt of income support in itself does not define a person as experiencing financial hardship, rather a lack of skills or an ability to manage limited resources may result in financial hardship.</w:t>
      </w:r>
    </w:p>
    <w:p w:rsidR="0025049E" w:rsidRPr="00E24340" w:rsidRDefault="00141D97" w:rsidP="00E24340">
      <w:pPr>
        <w:pStyle w:val="ListBullet"/>
        <w:rPr>
          <w:rFonts w:ascii="Times New Roman" w:hAnsi="Times New Roman"/>
          <w:sz w:val="24"/>
          <w:szCs w:val="24"/>
        </w:rPr>
      </w:pPr>
      <w:r w:rsidRPr="00141D97">
        <w:t>F</w:t>
      </w:r>
      <w:r w:rsidR="00BD7CE5" w:rsidRPr="00141D97">
        <w:t>inancial exploitation</w:t>
      </w:r>
      <w:r w:rsidR="0025049E" w:rsidRPr="00141D97">
        <w:t>: This</w:t>
      </w:r>
      <w:r w:rsidR="0025049E">
        <w:t xml:space="preserve"> is considered to occur when a person is subject to undue pressure, harassment, violence, abuse, deception or exploitation for resources by another person or people, including other family members and community members</w:t>
      </w:r>
      <w:r w:rsidR="002A53BE">
        <w:t>.</w:t>
      </w:r>
    </w:p>
    <w:p w:rsidR="0025049E" w:rsidRPr="00E24340" w:rsidRDefault="00141D97" w:rsidP="00E24340">
      <w:pPr>
        <w:pStyle w:val="ListBullet"/>
        <w:rPr>
          <w:rFonts w:ascii="Times New Roman" w:hAnsi="Times New Roman"/>
          <w:sz w:val="24"/>
          <w:szCs w:val="24"/>
        </w:rPr>
      </w:pPr>
      <w:r w:rsidRPr="00141D97">
        <w:lastRenderedPageBreak/>
        <w:t>F</w:t>
      </w:r>
      <w:r w:rsidR="00BD7CE5" w:rsidRPr="00141D97">
        <w:t>ailure to undertake reasonable self-care</w:t>
      </w:r>
      <w:r w:rsidRPr="00141D97">
        <w:t>: This</w:t>
      </w:r>
      <w:r w:rsidR="0025049E" w:rsidRPr="0025049E">
        <w:t xml:space="preserve"> may be due to factors including, but not limited to, substance abuse issues, problem gambling, and mental health issues</w:t>
      </w:r>
      <w:r w:rsidR="002A53BE">
        <w:t>.</w:t>
      </w:r>
    </w:p>
    <w:p w:rsidR="0025049E" w:rsidRPr="00E24340" w:rsidRDefault="00141D97" w:rsidP="00E24340">
      <w:pPr>
        <w:pStyle w:val="ListBullet"/>
        <w:rPr>
          <w:rFonts w:ascii="Times New Roman" w:hAnsi="Times New Roman"/>
          <w:sz w:val="24"/>
          <w:szCs w:val="24"/>
        </w:rPr>
      </w:pPr>
      <w:r>
        <w:t>H</w:t>
      </w:r>
      <w:r w:rsidR="00BD7CE5" w:rsidRPr="005911E2">
        <w:t>omelessness or risk of homelessness</w:t>
      </w:r>
      <w:r>
        <w:t>:</w:t>
      </w:r>
      <w:r w:rsidR="0025049E">
        <w:t xml:space="preserve"> </w:t>
      </w:r>
      <w:r>
        <w:t>W</w:t>
      </w:r>
      <w:r w:rsidR="0025049E" w:rsidRPr="0025049E">
        <w:t>here the person does not have, or is at risk of not having, access to safe, secure and adequate housing</w:t>
      </w:r>
      <w:r w:rsidR="00BD7CE5" w:rsidRPr="005911E2">
        <w:t xml:space="preserve"> (</w:t>
      </w:r>
      <w:r w:rsidR="0025049E">
        <w:t>Australian Government, 2012</w:t>
      </w:r>
      <w:r w:rsidR="00FA2BC6">
        <w:t>,</w:t>
      </w:r>
      <w:r w:rsidR="0025049E">
        <w:t xml:space="preserve"> Section 11.4.2.20</w:t>
      </w:r>
      <w:r w:rsidR="00BD7CE5" w:rsidRPr="005911E2">
        <w:t>).</w:t>
      </w:r>
    </w:p>
    <w:p w:rsidR="00BD7CE5" w:rsidRPr="00D41862" w:rsidRDefault="00BD7CE5" w:rsidP="00E24340">
      <w:pPr>
        <w:pStyle w:val="BodyText1"/>
        <w:rPr>
          <w:rFonts w:ascii="Times New Roman" w:hAnsi="Times New Roman"/>
          <w:sz w:val="24"/>
          <w:szCs w:val="24"/>
        </w:rPr>
      </w:pPr>
      <w:r w:rsidRPr="005911E2">
        <w:t>The assessment of an individual as being</w:t>
      </w:r>
      <w:r w:rsidR="0041164A">
        <w:t xml:space="preserve"> a </w:t>
      </w:r>
      <w:r w:rsidR="0041164A" w:rsidRPr="0041164A">
        <w:t>Vulnerable Welfare Payment Recipient</w:t>
      </w:r>
      <w:r w:rsidRPr="005911E2">
        <w:t xml:space="preserve"> is made by a Centrelink social worker.</w:t>
      </w:r>
    </w:p>
    <w:p w:rsidR="00BD7CE5" w:rsidRPr="005911E2" w:rsidRDefault="00BD7CE5" w:rsidP="00BD7CE5">
      <w:r w:rsidRPr="005911E2">
        <w:t xml:space="preserve">While the direct involvement of Centrelink in income management for vulnerable people through this measure is new, it is important to note that a range of mechanisms have been in place for some time which effectively involve ensuring that income support and related payments for vulnerable people are managed in a way to ensure they are used </w:t>
      </w:r>
      <w:r w:rsidR="002B2C93">
        <w:t>appropriately</w:t>
      </w:r>
      <w:r w:rsidRPr="005911E2">
        <w:t>. At the most extreme</w:t>
      </w:r>
      <w:r w:rsidR="00D41862">
        <w:t>,</w:t>
      </w:r>
      <w:r w:rsidRPr="005911E2">
        <w:t xml:space="preserve"> this has involved the option of the appointment of the Public Trustee, or some other person as trustee for the management of a person’s affairs, including their income support payment. In other cases</w:t>
      </w:r>
      <w:r w:rsidR="00D41862">
        <w:t>,</w:t>
      </w:r>
      <w:r w:rsidRPr="005911E2">
        <w:t xml:space="preserve"> income support has been paid on a more frequent basis to enable people to have some funds available across the payment cycle.</w:t>
      </w:r>
    </w:p>
    <w:p w:rsidR="00BD7CE5" w:rsidRPr="005911E2" w:rsidRDefault="00BD7CE5" w:rsidP="00BD7CE5">
      <w:pPr>
        <w:pStyle w:val="Heading3"/>
      </w:pPr>
      <w:r w:rsidRPr="005911E2">
        <w:t>Child Protection Income Management (CPIM)</w:t>
      </w:r>
    </w:p>
    <w:p w:rsidR="00BD7CE5" w:rsidRPr="005911E2" w:rsidRDefault="00BD7CE5" w:rsidP="00BD7CE5">
      <w:r w:rsidRPr="005911E2">
        <w:t xml:space="preserve">Child Protection Income Management is a specific measure which involves a higher level of income being income managed. It is provided as a tool which can be used by Northern Territory Department of </w:t>
      </w:r>
      <w:r w:rsidR="00B62B2D">
        <w:t>Children</w:t>
      </w:r>
      <w:r w:rsidR="00B62B2D" w:rsidRPr="005911E2">
        <w:t xml:space="preserve"> </w:t>
      </w:r>
      <w:r w:rsidRPr="005911E2">
        <w:t>and Families to assist in the management of child abuse and neglect. This form of income management applies at the discretion of a</w:t>
      </w:r>
      <w:r w:rsidR="006435C8">
        <w:t xml:space="preserve"> Northern Territory </w:t>
      </w:r>
      <w:r w:rsidRPr="005911E2">
        <w:t xml:space="preserve">child protection caseworker and allows </w:t>
      </w:r>
      <w:r w:rsidR="00D41862">
        <w:t>people to be referred</w:t>
      </w:r>
      <w:r w:rsidRPr="005911E2">
        <w:t xml:space="preserve"> for compulsory income management if </w:t>
      </w:r>
      <w:r w:rsidR="002B2C93">
        <w:t xml:space="preserve">it is </w:t>
      </w:r>
      <w:r w:rsidRPr="005911E2">
        <w:t>deem</w:t>
      </w:r>
      <w:r w:rsidR="00D41862">
        <w:t>ed</w:t>
      </w:r>
      <w:r w:rsidRPr="005911E2">
        <w:t xml:space="preserve"> that income management might contribute to improved outcomes for children at risk. In order to be considered for C</w:t>
      </w:r>
      <w:r w:rsidR="00572466">
        <w:t xml:space="preserve">hild </w:t>
      </w:r>
      <w:r w:rsidRPr="005911E2">
        <w:t>P</w:t>
      </w:r>
      <w:r w:rsidR="00572466">
        <w:t xml:space="preserve">rotection </w:t>
      </w:r>
      <w:r w:rsidRPr="005911E2">
        <w:t>I</w:t>
      </w:r>
      <w:r w:rsidR="00572466">
        <w:t xml:space="preserve">ncome </w:t>
      </w:r>
      <w:r w:rsidRPr="005911E2">
        <w:t>M</w:t>
      </w:r>
      <w:r w:rsidR="00572466">
        <w:t>anagement</w:t>
      </w:r>
      <w:r w:rsidR="00D41862">
        <w:t>,</w:t>
      </w:r>
      <w:r w:rsidRPr="005911E2">
        <w:t xml:space="preserve"> an individual or their partner must be in receipt of a </w:t>
      </w:r>
      <w:r w:rsidR="002C4832">
        <w:t>‘</w:t>
      </w:r>
      <w:r w:rsidRPr="005911E2">
        <w:t>Category H payment</w:t>
      </w:r>
      <w:r w:rsidR="002C4832">
        <w:t>’</w:t>
      </w:r>
      <w:r w:rsidRPr="005911E2">
        <w:t xml:space="preserve">. (These have been detailed previously in footnote </w:t>
      </w:r>
      <w:r w:rsidR="00C7347D">
        <w:rPr>
          <w:highlight w:val="yellow"/>
        </w:rPr>
        <w:fldChar w:fldCharType="begin"/>
      </w:r>
      <w:r w:rsidR="002B2C93">
        <w:instrText xml:space="preserve"> NOTEREF _Ref327980684 \h </w:instrText>
      </w:r>
      <w:r w:rsidR="00C7347D">
        <w:rPr>
          <w:highlight w:val="yellow"/>
        </w:rPr>
      </w:r>
      <w:r w:rsidR="00C7347D">
        <w:rPr>
          <w:highlight w:val="yellow"/>
        </w:rPr>
        <w:fldChar w:fldCharType="separate"/>
      </w:r>
      <w:r w:rsidR="007D7E45">
        <w:t>20</w:t>
      </w:r>
      <w:r w:rsidR="00C7347D">
        <w:rPr>
          <w:highlight w:val="yellow"/>
        </w:rPr>
        <w:fldChar w:fldCharType="end"/>
      </w:r>
      <w:r w:rsidRPr="005911E2">
        <w:t>) and include, in addition to the trigger payments for C</w:t>
      </w:r>
      <w:r w:rsidR="00572466">
        <w:t xml:space="preserve">ompulsory </w:t>
      </w:r>
      <w:r w:rsidRPr="005911E2">
        <w:t>I</w:t>
      </w:r>
      <w:r w:rsidR="00572466">
        <w:t xml:space="preserve">ncome </w:t>
      </w:r>
      <w:r w:rsidRPr="005911E2">
        <w:t>M</w:t>
      </w:r>
      <w:r w:rsidR="00572466">
        <w:t>anagement</w:t>
      </w:r>
      <w:r w:rsidRPr="005911E2">
        <w:t xml:space="preserve">, payments such as </w:t>
      </w:r>
      <w:r w:rsidR="00D41862">
        <w:t xml:space="preserve">the </w:t>
      </w:r>
      <w:r w:rsidRPr="005911E2">
        <w:t>Disability Support Pension.</w:t>
      </w:r>
    </w:p>
    <w:p w:rsidR="00BD7CE5" w:rsidRPr="005911E2" w:rsidRDefault="00BD7CE5" w:rsidP="00BD7CE5">
      <w:r w:rsidRPr="005911E2">
        <w:t>In deciding to refer someone to C</w:t>
      </w:r>
      <w:r w:rsidR="00572466">
        <w:t xml:space="preserve">hild </w:t>
      </w:r>
      <w:r w:rsidRPr="005911E2">
        <w:t>P</w:t>
      </w:r>
      <w:r w:rsidR="00572466">
        <w:t xml:space="preserve">rotection </w:t>
      </w:r>
      <w:r w:rsidRPr="005911E2">
        <w:t>I</w:t>
      </w:r>
      <w:r w:rsidR="00572466">
        <w:t xml:space="preserve">ncome </w:t>
      </w:r>
      <w:r w:rsidRPr="005911E2">
        <w:t>M</w:t>
      </w:r>
      <w:r w:rsidR="00572466">
        <w:t>anagement</w:t>
      </w:r>
      <w:r w:rsidRPr="005911E2">
        <w:t xml:space="preserve"> the child protection worker is required to consider the following factors: the best interests of the child</w:t>
      </w:r>
      <w:r w:rsidR="00D41862">
        <w:t xml:space="preserve"> or child</w:t>
      </w:r>
      <w:r w:rsidRPr="005911E2">
        <w:t>ren or young person</w:t>
      </w:r>
      <w:r w:rsidR="00D41862">
        <w:t xml:space="preserve"> or </w:t>
      </w:r>
      <w:r w:rsidRPr="005911E2">
        <w:t>people; the manner in which Centrelink benefits are being used; the availability of additional support services such as financial management services; and whether income management will improve their circumstances (FaHCSIA</w:t>
      </w:r>
      <w:r w:rsidR="00D41862">
        <w:t>,</w:t>
      </w:r>
      <w:r w:rsidRPr="005911E2">
        <w:t xml:space="preserve"> 2011a)</w:t>
      </w:r>
      <w:r w:rsidR="00294159">
        <w:t>.</w:t>
      </w:r>
    </w:p>
    <w:p w:rsidR="00BD7CE5" w:rsidRPr="005911E2" w:rsidRDefault="00BD7CE5" w:rsidP="00BD7CE5">
      <w:pPr>
        <w:pStyle w:val="Heading3"/>
      </w:pPr>
      <w:r w:rsidRPr="005911E2">
        <w:t>Voluntary Income Management (VIM)</w:t>
      </w:r>
    </w:p>
    <w:p w:rsidR="00BD7CE5" w:rsidRPr="005911E2" w:rsidRDefault="00BD7CE5" w:rsidP="00BD7CE5">
      <w:r w:rsidRPr="005911E2">
        <w:t xml:space="preserve">Voluntary Income Management applies to income support recipients who volunteer for </w:t>
      </w:r>
      <w:r w:rsidR="00294159">
        <w:t>income management</w:t>
      </w:r>
      <w:r w:rsidRPr="005911E2">
        <w:t>. The intention is that V</w:t>
      </w:r>
      <w:r w:rsidR="00294159">
        <w:t xml:space="preserve">oluntary </w:t>
      </w:r>
      <w:r w:rsidRPr="005911E2">
        <w:t>I</w:t>
      </w:r>
      <w:r w:rsidR="00294159">
        <w:t xml:space="preserve">ncome </w:t>
      </w:r>
      <w:r w:rsidRPr="005911E2">
        <w:t>M</w:t>
      </w:r>
      <w:r w:rsidR="00294159">
        <w:t>anagement</w:t>
      </w:r>
      <w:r w:rsidRPr="005911E2">
        <w:t xml:space="preserve"> can assist people to meet their priority needs and to learn how to manage their finances for themselves and/or their family in the long-term. People may decide to </w:t>
      </w:r>
      <w:r w:rsidR="00614538">
        <w:t xml:space="preserve">participate </w:t>
      </w:r>
      <w:r w:rsidRPr="005911E2">
        <w:t xml:space="preserve">for a variety of reasons including the </w:t>
      </w:r>
      <w:r w:rsidR="002B2C93">
        <w:t xml:space="preserve">effective role of the BasicsCard in the </w:t>
      </w:r>
      <w:r w:rsidR="00294159">
        <w:t>provision</w:t>
      </w:r>
      <w:r w:rsidR="00D41862">
        <w:t xml:space="preserve"> of </w:t>
      </w:r>
      <w:r w:rsidRPr="005911E2">
        <w:t>fee free banking services</w:t>
      </w:r>
      <w:r w:rsidR="002B2C93">
        <w:t>, or the value of the financial incentive</w:t>
      </w:r>
      <w:r w:rsidRPr="005911E2">
        <w:t>. In order to be considered</w:t>
      </w:r>
      <w:r w:rsidR="00294159">
        <w:t xml:space="preserve">, </w:t>
      </w:r>
      <w:r w:rsidRPr="005911E2">
        <w:t xml:space="preserve">an individual or their partner must again be in receipt of a </w:t>
      </w:r>
      <w:r w:rsidR="002C4832">
        <w:t>‘</w:t>
      </w:r>
      <w:r w:rsidRPr="005911E2">
        <w:t>Category H payment</w:t>
      </w:r>
      <w:r w:rsidR="002C4832">
        <w:t>’</w:t>
      </w:r>
      <w:r w:rsidR="00D41862">
        <w:t>;</w:t>
      </w:r>
      <w:r w:rsidRPr="005911E2">
        <w:t xml:space="preserve"> Chapter 4 </w:t>
      </w:r>
      <w:r w:rsidR="00F100C4">
        <w:t xml:space="preserve">shows that </w:t>
      </w:r>
      <w:r w:rsidRPr="005911E2">
        <w:t xml:space="preserve">most </w:t>
      </w:r>
      <w:r w:rsidRPr="005911E2">
        <w:lastRenderedPageBreak/>
        <w:t>of the people on this program are on D</w:t>
      </w:r>
      <w:r w:rsidR="00294159">
        <w:t xml:space="preserve">isability </w:t>
      </w:r>
      <w:r w:rsidR="00614538" w:rsidRPr="005911E2">
        <w:t>S</w:t>
      </w:r>
      <w:r w:rsidR="00614538">
        <w:t xml:space="preserve">upport </w:t>
      </w:r>
      <w:r w:rsidR="00294159">
        <w:t>Pension</w:t>
      </w:r>
      <w:r w:rsidRPr="005911E2">
        <w:t>, the Age Pension and Carer</w:t>
      </w:r>
      <w:r w:rsidR="002B2C93">
        <w:t xml:space="preserve"> Payment</w:t>
      </w:r>
      <w:r w:rsidRPr="005911E2">
        <w:t>.</w:t>
      </w:r>
    </w:p>
    <w:p w:rsidR="00BD7CE5" w:rsidRPr="005911E2" w:rsidRDefault="00BD7CE5" w:rsidP="00BD7CE5">
      <w:r w:rsidRPr="005911E2">
        <w:t>When people start V</w:t>
      </w:r>
      <w:r w:rsidR="00294159">
        <w:t xml:space="preserve">oluntary </w:t>
      </w:r>
      <w:r w:rsidRPr="005911E2">
        <w:t>I</w:t>
      </w:r>
      <w:r w:rsidR="00294159">
        <w:t xml:space="preserve">ncome </w:t>
      </w:r>
      <w:r w:rsidRPr="005911E2">
        <w:t>M</w:t>
      </w:r>
      <w:r w:rsidR="00294159">
        <w:t>anagement</w:t>
      </w:r>
      <w:r w:rsidR="006435C8">
        <w:t xml:space="preserve"> they must wait 13 </w:t>
      </w:r>
      <w:r w:rsidRPr="005911E2">
        <w:t>week</w:t>
      </w:r>
      <w:r w:rsidR="00294159">
        <w:t>s</w:t>
      </w:r>
      <w:r w:rsidRPr="005911E2">
        <w:t xml:space="preserve"> before they can choose to stop being income managed</w:t>
      </w:r>
      <w:r w:rsidR="00294159">
        <w:t>, a</w:t>
      </w:r>
      <w:r w:rsidRPr="005911E2">
        <w:t xml:space="preserve">fter </w:t>
      </w:r>
      <w:r w:rsidR="00294159">
        <w:t>which</w:t>
      </w:r>
      <w:r w:rsidRPr="005911E2">
        <w:t xml:space="preserve"> they can stop at any time. There is no set end date to V</w:t>
      </w:r>
      <w:r w:rsidR="00294159">
        <w:t xml:space="preserve">oluntary </w:t>
      </w:r>
      <w:r w:rsidRPr="005911E2">
        <w:t>I</w:t>
      </w:r>
      <w:r w:rsidR="00294159">
        <w:t xml:space="preserve">ncome </w:t>
      </w:r>
      <w:r w:rsidRPr="005911E2">
        <w:t>M</w:t>
      </w:r>
      <w:r w:rsidR="00294159">
        <w:t>anagement</w:t>
      </w:r>
      <w:r w:rsidRPr="005911E2">
        <w:t>.</w:t>
      </w:r>
    </w:p>
    <w:p w:rsidR="00BD7CE5" w:rsidRPr="005911E2" w:rsidRDefault="00BD7CE5" w:rsidP="00BD7CE5">
      <w:r w:rsidRPr="005911E2">
        <w:t xml:space="preserve">In deciding whether or not to allow an individual to </w:t>
      </w:r>
      <w:r w:rsidR="00294159">
        <w:t>participate</w:t>
      </w:r>
      <w:r w:rsidRPr="005911E2">
        <w:t>, Centrelink need</w:t>
      </w:r>
      <w:r w:rsidR="00895F09">
        <w:t>s</w:t>
      </w:r>
      <w:r w:rsidRPr="005911E2">
        <w:t xml:space="preserve"> to assess whether the</w:t>
      </w:r>
      <w:r w:rsidR="00895F09">
        <w:t xml:space="preserve"> person</w:t>
      </w:r>
      <w:r w:rsidR="0025049E">
        <w:t>’</w:t>
      </w:r>
      <w:r w:rsidR="00895F09">
        <w:t>s</w:t>
      </w:r>
      <w:r w:rsidRPr="005911E2">
        <w:t xml:space="preserve"> circumstances make them suitable to be income managed. One factor that is taken into account is the amount of Centrelink payment</w:t>
      </w:r>
      <w:r w:rsidR="00895F09">
        <w:t>s</w:t>
      </w:r>
      <w:r w:rsidRPr="005911E2">
        <w:t xml:space="preserve"> the customer receives. If they receive only a small amount (e.g. $50 per week) then the customer may be advised that Centrepay may be a better option</w:t>
      </w:r>
      <w:r w:rsidR="00D53477" w:rsidRPr="003C211B">
        <w:rPr>
          <w:rStyle w:val="FootnoteReference"/>
          <w:rFonts w:ascii="Arial" w:hAnsi="Arial" w:cs="Arial"/>
        </w:rPr>
        <w:footnoteReference w:id="22"/>
      </w:r>
      <w:r w:rsidRPr="005911E2">
        <w:t>. Centrelink can stop the V</w:t>
      </w:r>
      <w:r w:rsidR="00294159">
        <w:t xml:space="preserve">oluntary </w:t>
      </w:r>
      <w:r w:rsidRPr="005911E2">
        <w:t>I</w:t>
      </w:r>
      <w:r w:rsidR="00294159">
        <w:t xml:space="preserve">ncome </w:t>
      </w:r>
      <w:r w:rsidRPr="005911E2">
        <w:t>M</w:t>
      </w:r>
      <w:r w:rsidR="00294159">
        <w:t>anagement</w:t>
      </w:r>
      <w:r w:rsidRPr="005911E2">
        <w:t xml:space="preserve"> agreement at any time if the person ceases to meet the eligibility criteria.</w:t>
      </w:r>
    </w:p>
    <w:p w:rsidR="00BD7CE5" w:rsidRPr="005911E2" w:rsidRDefault="00BD7CE5" w:rsidP="00BD7CE5">
      <w:r w:rsidRPr="005911E2">
        <w:t xml:space="preserve">If a person </w:t>
      </w:r>
      <w:r w:rsidR="00294159">
        <w:t xml:space="preserve">participates </w:t>
      </w:r>
      <w:r w:rsidRPr="005911E2">
        <w:t>for 26 continuous weeks</w:t>
      </w:r>
      <w:r w:rsidR="00294159">
        <w:t>,</w:t>
      </w:r>
      <w:r w:rsidRPr="005911E2">
        <w:t xml:space="preserve"> they are eligible for the Voluntary Income Management Incentive Payment of $250. This incentive payment is paid for each 26 continuous weeks spent on V</w:t>
      </w:r>
      <w:r w:rsidR="00294159">
        <w:t xml:space="preserve">oluntary </w:t>
      </w:r>
      <w:r w:rsidRPr="005911E2">
        <w:t>I</w:t>
      </w:r>
      <w:r w:rsidR="00294159">
        <w:t xml:space="preserve">ncome </w:t>
      </w:r>
      <w:r w:rsidRPr="005911E2">
        <w:t>M</w:t>
      </w:r>
      <w:r w:rsidR="00294159">
        <w:t>anagement and t</w:t>
      </w:r>
      <w:r w:rsidRPr="005911E2">
        <w:t xml:space="preserve">he </w:t>
      </w:r>
      <w:r w:rsidR="00294159">
        <w:t>p</w:t>
      </w:r>
      <w:r w:rsidRPr="005911E2">
        <w:t>ayment is income managed at 100</w:t>
      </w:r>
      <w:r w:rsidR="00A7506C">
        <w:t xml:space="preserve"> per cent</w:t>
      </w:r>
      <w:r w:rsidR="00A7506C" w:rsidRPr="005911E2">
        <w:t>.</w:t>
      </w:r>
    </w:p>
    <w:p w:rsidR="00BD7CE5" w:rsidRPr="005911E2" w:rsidRDefault="00BD7CE5" w:rsidP="00BD7CE5">
      <w:r w:rsidRPr="005911E2">
        <w:t xml:space="preserve">An individual could </w:t>
      </w:r>
      <w:r w:rsidR="005A58C3">
        <w:t>meet the criteria for</w:t>
      </w:r>
      <w:r w:rsidRPr="005911E2">
        <w:t xml:space="preserve"> more than one income management measure at the same point in time. If this occurs, there is a hierarchy of the income management measures that apply. The hierarchy from highest to lowest is Child Protection Income Management; Vulnerable Income Management; Compulsory Income Management; and V</w:t>
      </w:r>
      <w:r w:rsidR="00294159">
        <w:t xml:space="preserve">oluntary </w:t>
      </w:r>
      <w:r w:rsidRPr="005911E2">
        <w:t>I</w:t>
      </w:r>
      <w:r w:rsidR="00294159">
        <w:t xml:space="preserve">ncome </w:t>
      </w:r>
      <w:r w:rsidRPr="005911E2">
        <w:t>M</w:t>
      </w:r>
      <w:r w:rsidR="00294159">
        <w:t>anagement</w:t>
      </w:r>
      <w:r w:rsidRPr="005911E2">
        <w:t xml:space="preserve">. If an individual ceases one form of income management, and they </w:t>
      </w:r>
      <w:r w:rsidR="005A58C3">
        <w:t>meet the criteria for</w:t>
      </w:r>
      <w:r w:rsidRPr="005911E2">
        <w:t xml:space="preserve"> a measure that is lower in the hierarchy</w:t>
      </w:r>
      <w:r w:rsidR="00895F09">
        <w:t>,</w:t>
      </w:r>
      <w:r w:rsidRPr="005911E2">
        <w:t xml:space="preserve"> they will be changed to that type of income management. For example, if </w:t>
      </w:r>
      <w:r w:rsidR="00895F09">
        <w:t xml:space="preserve">a person on </w:t>
      </w:r>
      <w:r w:rsidRPr="005911E2">
        <w:t xml:space="preserve">Vulnerable Income Management </w:t>
      </w:r>
      <w:r w:rsidR="00895F09">
        <w:t xml:space="preserve">is no longer considered vulnerable </w:t>
      </w:r>
      <w:r w:rsidRPr="005911E2">
        <w:t xml:space="preserve">by Centrelink, they </w:t>
      </w:r>
      <w:r w:rsidR="00895F09">
        <w:t xml:space="preserve">may still be </w:t>
      </w:r>
      <w:r w:rsidR="0041164A">
        <w:t>subject to</w:t>
      </w:r>
      <w:r w:rsidRPr="005911E2">
        <w:t xml:space="preserve"> Compulsory Income Management </w:t>
      </w:r>
      <w:r w:rsidR="00895F09">
        <w:t xml:space="preserve">and will </w:t>
      </w:r>
      <w:r w:rsidRPr="005911E2">
        <w:t xml:space="preserve">continue </w:t>
      </w:r>
      <w:r w:rsidR="00895F09">
        <w:t xml:space="preserve">to </w:t>
      </w:r>
      <w:r w:rsidRPr="005911E2">
        <w:t>be income managed.</w:t>
      </w:r>
    </w:p>
    <w:p w:rsidR="00BD7CE5" w:rsidRPr="005911E2" w:rsidRDefault="00BD7CE5" w:rsidP="00BD7CE5">
      <w:pPr>
        <w:pStyle w:val="Heading3"/>
      </w:pPr>
      <w:r w:rsidRPr="005911E2">
        <w:t>Matched Savings Payment</w:t>
      </w:r>
    </w:p>
    <w:p w:rsidR="00BD7CE5" w:rsidRPr="005911E2" w:rsidRDefault="00BD7CE5" w:rsidP="00BD7CE5">
      <w:r w:rsidRPr="005911E2">
        <w:t xml:space="preserve">The </w:t>
      </w:r>
      <w:r w:rsidR="00F57BEF">
        <w:t>Matched Savings Payment</w:t>
      </w:r>
      <w:r w:rsidR="00B26194">
        <w:t xml:space="preserve"> </w:t>
      </w:r>
      <w:r w:rsidRPr="005911E2">
        <w:t xml:space="preserve">is a component of NIM which is designed to encourage people on income management to develop a savings pattern and increase their capacity to manage their money. Under this scheme Centrelink matches savings </w:t>
      </w:r>
      <w:r w:rsidR="00895F09">
        <w:t>dollar for dollar,</w:t>
      </w:r>
      <w:r w:rsidRPr="005911E2">
        <w:t xml:space="preserve"> up to a maximum of $500. In order to be eligible for the </w:t>
      </w:r>
      <w:r w:rsidR="00901A4F" w:rsidRPr="00901A4F">
        <w:t>Matched Savings Payment</w:t>
      </w:r>
      <w:r w:rsidR="00895F09">
        <w:t>,</w:t>
      </w:r>
      <w:r w:rsidRPr="005911E2">
        <w:t xml:space="preserve"> the person has to complete an </w:t>
      </w:r>
      <w:r w:rsidR="00901A4F" w:rsidRPr="00901A4F">
        <w:t>approved money management</w:t>
      </w:r>
      <w:r w:rsidRPr="005911E2">
        <w:t xml:space="preserve"> or similar approved course</w:t>
      </w:r>
      <w:r w:rsidR="00895F09">
        <w:t>,</w:t>
      </w:r>
      <w:r w:rsidRPr="005911E2">
        <w:t xml:space="preserve"> and have achieved a ‘pattern of saving’ over a minimum of 13 weeks.</w:t>
      </w:r>
      <w:r w:rsidRPr="005911E2">
        <w:rPr>
          <w:vertAlign w:val="superscript"/>
        </w:rPr>
        <w:footnoteReference w:id="23"/>
      </w:r>
      <w:r w:rsidRPr="005911E2">
        <w:t xml:space="preserve"> </w:t>
      </w:r>
      <w:r w:rsidR="00614538" w:rsidRPr="005911E2">
        <w:t>The</w:t>
      </w:r>
      <w:r w:rsidR="00614538">
        <w:t xml:space="preserve"> </w:t>
      </w:r>
      <w:r w:rsidR="00F57BEF">
        <w:t>Matched Savings Payment</w:t>
      </w:r>
      <w:r w:rsidR="00B26194">
        <w:t xml:space="preserve"> </w:t>
      </w:r>
      <w:r w:rsidRPr="005911E2">
        <w:t xml:space="preserve">is available to people subject to Compulsory Income Management, Child Protection Income Management and Vulnerable Income Management. A person can only receive </w:t>
      </w:r>
      <w:r w:rsidR="00614538" w:rsidRPr="005911E2">
        <w:t>a</w:t>
      </w:r>
      <w:r w:rsidR="00614538">
        <w:t xml:space="preserve"> </w:t>
      </w:r>
      <w:r w:rsidR="00F57BEF">
        <w:t>Matched Savings Payment</w:t>
      </w:r>
      <w:r w:rsidR="00B26194">
        <w:t xml:space="preserve"> </w:t>
      </w:r>
      <w:r w:rsidRPr="005911E2">
        <w:t xml:space="preserve">once. </w:t>
      </w:r>
    </w:p>
    <w:p w:rsidR="00BD7CE5" w:rsidRPr="005911E2" w:rsidRDefault="00BD7CE5" w:rsidP="00BD7CE5">
      <w:r w:rsidRPr="005911E2">
        <w:t xml:space="preserve">The matched savings have to be from non-income managed income (discretionary income) and are saved into a non-income management account that the individual needs to hold with a financial institution. In order to receive </w:t>
      </w:r>
      <w:r w:rsidRPr="005911E2">
        <w:lastRenderedPageBreak/>
        <w:t xml:space="preserve">the matched amount, the person subject to </w:t>
      </w:r>
      <w:r w:rsidR="00294159">
        <w:t>income management</w:t>
      </w:r>
      <w:r w:rsidRPr="005911E2">
        <w:t xml:space="preserve"> must </w:t>
      </w:r>
      <w:r w:rsidR="00294159">
        <w:t xml:space="preserve">provide Centrelink with </w:t>
      </w:r>
      <w:r w:rsidRPr="005911E2">
        <w:t xml:space="preserve">a certificate </w:t>
      </w:r>
      <w:r w:rsidR="00294159">
        <w:t>showing</w:t>
      </w:r>
      <w:r w:rsidRPr="005911E2">
        <w:t xml:space="preserve"> completion of an </w:t>
      </w:r>
      <w:r w:rsidR="00B450CA">
        <w:t>a</w:t>
      </w:r>
      <w:r w:rsidRPr="005911E2">
        <w:t xml:space="preserve">pproved </w:t>
      </w:r>
      <w:r w:rsidR="00B450CA">
        <w:t>m</w:t>
      </w:r>
      <w:r w:rsidRPr="005911E2">
        <w:t xml:space="preserve">oney </w:t>
      </w:r>
      <w:r w:rsidR="00B450CA">
        <w:t>m</w:t>
      </w:r>
      <w:r w:rsidRPr="005911E2">
        <w:t>anagement course to Centrelink and in addition must provide a Financial Institution Statement which shows their regular payments into their account.</w:t>
      </w:r>
    </w:p>
    <w:p w:rsidR="00BD7CE5" w:rsidRPr="005911E2" w:rsidRDefault="00BD7CE5" w:rsidP="00BD7CE5">
      <w:pPr>
        <w:pStyle w:val="Heading3"/>
      </w:pPr>
      <w:bookmarkStart w:id="134" w:name="_Ref328511163"/>
      <w:r w:rsidRPr="005911E2">
        <w:t xml:space="preserve">Money </w:t>
      </w:r>
      <w:r w:rsidR="00B450CA">
        <w:t>m</w:t>
      </w:r>
      <w:r w:rsidRPr="005911E2">
        <w:t>anagement and financial counselling</w:t>
      </w:r>
      <w:bookmarkEnd w:id="134"/>
    </w:p>
    <w:p w:rsidR="00BD7CE5" w:rsidRPr="005911E2" w:rsidRDefault="00BD7CE5" w:rsidP="00BD7CE5">
      <w:r w:rsidRPr="005911E2">
        <w:t xml:space="preserve">As part of the NIM package, $53 million </w:t>
      </w:r>
      <w:r w:rsidR="00471FF0">
        <w:t xml:space="preserve">is available </w:t>
      </w:r>
      <w:r w:rsidRPr="005911E2">
        <w:t>over four years</w:t>
      </w:r>
      <w:r w:rsidR="00471FF0">
        <w:t>,</w:t>
      </w:r>
      <w:r w:rsidRPr="005911E2">
        <w:t xml:space="preserve"> from 2010-11</w:t>
      </w:r>
      <w:r w:rsidR="00471FF0">
        <w:t>,</w:t>
      </w:r>
      <w:r w:rsidRPr="005911E2">
        <w:t xml:space="preserve"> for financial counselling via the Commonwealth Financial Counselling program</w:t>
      </w:r>
      <w:r w:rsidRPr="003C211B">
        <w:rPr>
          <w:rStyle w:val="FootnoteReference"/>
          <w:rFonts w:ascii="Arial" w:hAnsi="Arial" w:cs="Arial"/>
        </w:rPr>
        <w:footnoteReference w:id="24"/>
      </w:r>
      <w:r w:rsidRPr="005911E2">
        <w:t xml:space="preserve"> and </w:t>
      </w:r>
      <w:r w:rsidR="00B450CA">
        <w:t>m</w:t>
      </w:r>
      <w:r w:rsidRPr="005911E2">
        <w:t xml:space="preserve">oney </w:t>
      </w:r>
      <w:r w:rsidR="00B450CA">
        <w:t>m</w:t>
      </w:r>
      <w:r w:rsidRPr="005911E2">
        <w:t>anagement services. These services are designed to improve the financial literacy and ability to manage money</w:t>
      </w:r>
      <w:r w:rsidR="00771422">
        <w:t xml:space="preserve"> of people being income managed</w:t>
      </w:r>
      <w:r w:rsidRPr="005911E2">
        <w:t xml:space="preserve"> (FaHCSIA</w:t>
      </w:r>
      <w:r w:rsidR="00E87E0D">
        <w:t>,</w:t>
      </w:r>
      <w:r w:rsidRPr="005911E2">
        <w:t xml:space="preserve"> 2012a).</w:t>
      </w:r>
    </w:p>
    <w:p w:rsidR="00BD7CE5" w:rsidRPr="005911E2" w:rsidRDefault="00BD7CE5" w:rsidP="007B4471">
      <w:pPr>
        <w:pStyle w:val="Heading4"/>
      </w:pPr>
      <w:r w:rsidRPr="005911E2">
        <w:t xml:space="preserve">Money </w:t>
      </w:r>
      <w:r w:rsidR="00614538">
        <w:t>m</w:t>
      </w:r>
      <w:r w:rsidR="00614538" w:rsidRPr="005911E2">
        <w:t>anagement</w:t>
      </w:r>
      <w:r w:rsidR="00614538">
        <w:t xml:space="preserve"> </w:t>
      </w:r>
    </w:p>
    <w:p w:rsidR="00BD7CE5" w:rsidRPr="005911E2" w:rsidRDefault="00BD7CE5" w:rsidP="00BD7CE5">
      <w:r w:rsidRPr="005911E2">
        <w:t xml:space="preserve">Twelve community organisations have been contracted by the Australian Government to provide </w:t>
      </w:r>
      <w:r w:rsidR="00B450CA">
        <w:t>m</w:t>
      </w:r>
      <w:r w:rsidRPr="005911E2">
        <w:t xml:space="preserve">oney </w:t>
      </w:r>
      <w:r w:rsidR="00B450CA">
        <w:t>m</w:t>
      </w:r>
      <w:r w:rsidRPr="005911E2">
        <w:t xml:space="preserve">anagement services as part of the NIM package. As at 30 December 2011 these organisations employed 67 people in the </w:t>
      </w:r>
      <w:r w:rsidR="006435C8">
        <w:t>Northern Territory.</w:t>
      </w:r>
      <w:r w:rsidR="00614538" w:rsidRPr="005911E2">
        <w:rPr>
          <w:rStyle w:val="FootnoteReference"/>
        </w:rPr>
        <w:footnoteReference w:id="25"/>
      </w:r>
      <w:r w:rsidR="00614538">
        <w:t xml:space="preserve"> </w:t>
      </w:r>
    </w:p>
    <w:p w:rsidR="00BD7CE5" w:rsidRPr="005911E2" w:rsidRDefault="00BD7CE5" w:rsidP="00BD7CE5">
      <w:r w:rsidRPr="005911E2">
        <w:t>People with complex financial issues or those in financial stress or crisis may be referred to financial counsellors who are able to provide more detailed and a higher level of assistance.</w:t>
      </w:r>
      <w:r w:rsidRPr="005911E2">
        <w:rPr>
          <w:vertAlign w:val="superscript"/>
        </w:rPr>
        <w:footnoteReference w:id="26"/>
      </w:r>
      <w:r w:rsidRPr="005911E2">
        <w:t xml:space="preserve"> </w:t>
      </w:r>
    </w:p>
    <w:p w:rsidR="00BD7CE5" w:rsidRPr="005911E2" w:rsidRDefault="00BD7CE5" w:rsidP="00BD7CE5">
      <w:pPr>
        <w:rPr>
          <w:lang w:eastAsia="en-AU"/>
        </w:rPr>
      </w:pPr>
      <w:r w:rsidRPr="005911E2">
        <w:rPr>
          <w:lang w:eastAsia="en-AU"/>
        </w:rPr>
        <w:t xml:space="preserve">The types of </w:t>
      </w:r>
      <w:r w:rsidR="00D134DC">
        <w:rPr>
          <w:lang w:eastAsia="en-AU"/>
        </w:rPr>
        <w:t>support</w:t>
      </w:r>
      <w:r w:rsidR="00D134DC" w:rsidRPr="005911E2">
        <w:rPr>
          <w:lang w:eastAsia="en-AU"/>
        </w:rPr>
        <w:t xml:space="preserve"> </w:t>
      </w:r>
      <w:r w:rsidRPr="005911E2">
        <w:rPr>
          <w:lang w:eastAsia="en-AU"/>
        </w:rPr>
        <w:t xml:space="preserve">that can be provided by </w:t>
      </w:r>
      <w:r w:rsidR="00B450CA">
        <w:rPr>
          <w:lang w:eastAsia="en-AU"/>
        </w:rPr>
        <w:t>m</w:t>
      </w:r>
      <w:r w:rsidRPr="005911E2">
        <w:rPr>
          <w:lang w:eastAsia="en-AU"/>
        </w:rPr>
        <w:t xml:space="preserve">oney </w:t>
      </w:r>
      <w:r w:rsidR="00B450CA">
        <w:rPr>
          <w:lang w:eastAsia="en-AU"/>
        </w:rPr>
        <w:t>m</w:t>
      </w:r>
      <w:r w:rsidRPr="005911E2">
        <w:rPr>
          <w:lang w:eastAsia="en-AU"/>
        </w:rPr>
        <w:t>anagement services are:</w:t>
      </w:r>
    </w:p>
    <w:p w:rsidR="004808B3" w:rsidRDefault="00471FF0" w:rsidP="000238F6">
      <w:pPr>
        <w:pStyle w:val="ListBullet"/>
        <w:rPr>
          <w:lang w:eastAsia="en-AU"/>
        </w:rPr>
      </w:pPr>
      <w:r>
        <w:rPr>
          <w:lang w:eastAsia="en-AU"/>
        </w:rPr>
        <w:t>provid</w:t>
      </w:r>
      <w:r w:rsidR="00D134DC">
        <w:rPr>
          <w:lang w:eastAsia="en-AU"/>
        </w:rPr>
        <w:t>ing</w:t>
      </w:r>
      <w:r>
        <w:rPr>
          <w:lang w:eastAsia="en-AU"/>
        </w:rPr>
        <w:t xml:space="preserve"> </w:t>
      </w:r>
      <w:r w:rsidR="00BD7CE5" w:rsidRPr="005911E2">
        <w:rPr>
          <w:lang w:eastAsia="en-AU"/>
        </w:rPr>
        <w:t>education and intensive coaching in financial literacy and budgeting</w:t>
      </w:r>
    </w:p>
    <w:p w:rsidR="004808B3" w:rsidRDefault="00BD7CE5" w:rsidP="000238F6">
      <w:pPr>
        <w:pStyle w:val="ListBullet"/>
        <w:rPr>
          <w:lang w:eastAsia="en-AU"/>
        </w:rPr>
      </w:pPr>
      <w:r w:rsidRPr="005911E2">
        <w:rPr>
          <w:lang w:eastAsia="en-AU"/>
        </w:rPr>
        <w:t>provid</w:t>
      </w:r>
      <w:r w:rsidR="00D134DC">
        <w:rPr>
          <w:lang w:eastAsia="en-AU"/>
        </w:rPr>
        <w:t>ing</w:t>
      </w:r>
      <w:r w:rsidRPr="005911E2">
        <w:rPr>
          <w:lang w:eastAsia="en-AU"/>
        </w:rPr>
        <w:t xml:space="preserve"> tools to implement individual and family budgeting and savings, and debt management plans</w:t>
      </w:r>
      <w:r w:rsidR="00471FF0">
        <w:rPr>
          <w:lang w:eastAsia="en-AU"/>
        </w:rPr>
        <w:t>,</w:t>
      </w:r>
      <w:r w:rsidRPr="005911E2">
        <w:rPr>
          <w:lang w:eastAsia="en-AU"/>
        </w:rPr>
        <w:t xml:space="preserve"> including on-going budget monitoring</w:t>
      </w:r>
    </w:p>
    <w:p w:rsidR="004808B3" w:rsidRDefault="00BD7CE5" w:rsidP="000238F6">
      <w:pPr>
        <w:pStyle w:val="ListBullet"/>
        <w:rPr>
          <w:lang w:eastAsia="en-AU"/>
        </w:rPr>
      </w:pPr>
      <w:r w:rsidRPr="005911E2">
        <w:rPr>
          <w:lang w:eastAsia="en-AU"/>
        </w:rPr>
        <w:t>organis</w:t>
      </w:r>
      <w:r w:rsidR="00D134DC">
        <w:rPr>
          <w:lang w:eastAsia="en-AU"/>
        </w:rPr>
        <w:t>ing</w:t>
      </w:r>
      <w:r w:rsidRPr="005911E2">
        <w:rPr>
          <w:lang w:eastAsia="en-AU"/>
        </w:rPr>
        <w:t xml:space="preserve"> related family support and referrals</w:t>
      </w:r>
    </w:p>
    <w:p w:rsidR="004808B3" w:rsidRDefault="00BD7CE5" w:rsidP="000238F6">
      <w:pPr>
        <w:pStyle w:val="ListBullet"/>
        <w:rPr>
          <w:lang w:eastAsia="en-AU"/>
        </w:rPr>
      </w:pPr>
      <w:r w:rsidRPr="005911E2">
        <w:rPr>
          <w:lang w:eastAsia="en-AU"/>
        </w:rPr>
        <w:t>assist</w:t>
      </w:r>
      <w:r w:rsidR="00D134DC">
        <w:rPr>
          <w:lang w:eastAsia="en-AU"/>
        </w:rPr>
        <w:t>ing</w:t>
      </w:r>
      <w:r w:rsidRPr="005911E2">
        <w:rPr>
          <w:lang w:eastAsia="en-AU"/>
        </w:rPr>
        <w:t xml:space="preserve"> with accessing financial institutions and financial services information</w:t>
      </w:r>
    </w:p>
    <w:p w:rsidR="004808B3" w:rsidRDefault="00BD7CE5" w:rsidP="000238F6">
      <w:pPr>
        <w:pStyle w:val="ListBullet"/>
        <w:rPr>
          <w:lang w:eastAsia="en-AU"/>
        </w:rPr>
      </w:pPr>
      <w:r w:rsidRPr="005911E2">
        <w:rPr>
          <w:lang w:eastAsia="en-AU"/>
        </w:rPr>
        <w:t>deliver</w:t>
      </w:r>
      <w:r w:rsidR="00D134DC">
        <w:rPr>
          <w:lang w:eastAsia="en-AU"/>
        </w:rPr>
        <w:t>ing</w:t>
      </w:r>
      <w:r w:rsidRPr="005911E2">
        <w:rPr>
          <w:lang w:eastAsia="en-AU"/>
        </w:rPr>
        <w:t xml:space="preserve"> education and information sessions relating to </w:t>
      </w:r>
      <w:r w:rsidR="00B450CA">
        <w:rPr>
          <w:lang w:eastAsia="en-AU"/>
        </w:rPr>
        <w:t>m</w:t>
      </w:r>
      <w:r w:rsidRPr="005911E2">
        <w:rPr>
          <w:lang w:eastAsia="en-AU"/>
        </w:rPr>
        <w:t xml:space="preserve">oney </w:t>
      </w:r>
      <w:r w:rsidR="00B450CA">
        <w:rPr>
          <w:lang w:eastAsia="en-AU"/>
        </w:rPr>
        <w:t>m</w:t>
      </w:r>
      <w:r w:rsidRPr="005911E2">
        <w:rPr>
          <w:lang w:eastAsia="en-AU"/>
        </w:rPr>
        <w:t>anagement services that meet local community need</w:t>
      </w:r>
      <w:r w:rsidR="00471FF0">
        <w:rPr>
          <w:lang w:eastAsia="en-AU"/>
        </w:rPr>
        <w:t>s</w:t>
      </w:r>
    </w:p>
    <w:p w:rsidR="004808B3" w:rsidRDefault="00BD7CE5" w:rsidP="000238F6">
      <w:pPr>
        <w:pStyle w:val="ListBullet"/>
        <w:rPr>
          <w:lang w:eastAsia="en-AU"/>
        </w:rPr>
      </w:pPr>
      <w:r w:rsidRPr="005911E2">
        <w:rPr>
          <w:lang w:eastAsia="en-AU"/>
        </w:rPr>
        <w:t>deliver</w:t>
      </w:r>
      <w:r w:rsidR="00D134DC">
        <w:rPr>
          <w:lang w:eastAsia="en-AU"/>
        </w:rPr>
        <w:t>ing</w:t>
      </w:r>
      <w:r w:rsidRPr="005911E2">
        <w:rPr>
          <w:lang w:eastAsia="en-AU"/>
        </w:rPr>
        <w:t xml:space="preserve"> </w:t>
      </w:r>
      <w:r w:rsidR="00B450CA">
        <w:rPr>
          <w:lang w:eastAsia="en-AU"/>
        </w:rPr>
        <w:t>a</w:t>
      </w:r>
      <w:r w:rsidRPr="005911E2">
        <w:rPr>
          <w:lang w:eastAsia="en-AU"/>
        </w:rPr>
        <w:t xml:space="preserve">pproved </w:t>
      </w:r>
      <w:r w:rsidR="00B450CA">
        <w:rPr>
          <w:lang w:eastAsia="en-AU"/>
        </w:rPr>
        <w:t>m</w:t>
      </w:r>
      <w:r w:rsidRPr="005911E2">
        <w:rPr>
          <w:lang w:eastAsia="en-AU"/>
        </w:rPr>
        <w:t xml:space="preserve">oney </w:t>
      </w:r>
      <w:r w:rsidR="00B450CA">
        <w:rPr>
          <w:lang w:eastAsia="en-AU"/>
        </w:rPr>
        <w:t>m</w:t>
      </w:r>
      <w:r w:rsidRPr="005911E2">
        <w:rPr>
          <w:lang w:eastAsia="en-AU"/>
        </w:rPr>
        <w:t>anagement courses to improve participants</w:t>
      </w:r>
      <w:r w:rsidR="0025049E">
        <w:rPr>
          <w:lang w:eastAsia="en-AU"/>
        </w:rPr>
        <w:t>’</w:t>
      </w:r>
      <w:r w:rsidRPr="005911E2">
        <w:rPr>
          <w:lang w:eastAsia="en-AU"/>
        </w:rPr>
        <w:t xml:space="preserve"> understanding of how to manage their money, plan for the future</w:t>
      </w:r>
      <w:r w:rsidR="00471FF0">
        <w:rPr>
          <w:lang w:eastAsia="en-AU"/>
        </w:rPr>
        <w:t>,</w:t>
      </w:r>
      <w:r w:rsidRPr="005911E2">
        <w:rPr>
          <w:lang w:eastAsia="en-AU"/>
        </w:rPr>
        <w:t xml:space="preserve"> and find out what services are available to them.</w:t>
      </w:r>
    </w:p>
    <w:p w:rsidR="00BD7CE5" w:rsidRPr="005911E2" w:rsidRDefault="00BD7CE5" w:rsidP="00BD7CE5">
      <w:r w:rsidRPr="005911E2">
        <w:t xml:space="preserve">One of the services provided by </w:t>
      </w:r>
      <w:r w:rsidR="00B450CA">
        <w:t>m</w:t>
      </w:r>
      <w:r w:rsidRPr="005911E2">
        <w:t xml:space="preserve">oney </w:t>
      </w:r>
      <w:r w:rsidR="00B450CA">
        <w:t>m</w:t>
      </w:r>
      <w:r w:rsidRPr="005911E2">
        <w:t xml:space="preserve">anagement services is </w:t>
      </w:r>
      <w:r w:rsidR="00B450CA">
        <w:t>an a</w:t>
      </w:r>
      <w:r w:rsidRPr="005911E2">
        <w:t xml:space="preserve">pproved </w:t>
      </w:r>
      <w:r w:rsidR="00B450CA">
        <w:t>m</w:t>
      </w:r>
      <w:r w:rsidRPr="005911E2">
        <w:t xml:space="preserve">oney </w:t>
      </w:r>
      <w:r w:rsidR="00B450CA">
        <w:t>m</w:t>
      </w:r>
      <w:r w:rsidRPr="005911E2">
        <w:t xml:space="preserve">anagement </w:t>
      </w:r>
      <w:r w:rsidR="00B450CA">
        <w:t>c</w:t>
      </w:r>
      <w:r w:rsidRPr="005911E2">
        <w:t xml:space="preserve">ourse. </w:t>
      </w:r>
      <w:r w:rsidR="00AB5C98">
        <w:t xml:space="preserve">Such </w:t>
      </w:r>
      <w:r w:rsidR="00B450CA">
        <w:t>c</w:t>
      </w:r>
      <w:r w:rsidRPr="005911E2">
        <w:t>ourse</w:t>
      </w:r>
      <w:r w:rsidR="00AB5C98">
        <w:t>s are</w:t>
      </w:r>
      <w:r w:rsidR="00B450CA">
        <w:t xml:space="preserve"> </w:t>
      </w:r>
      <w:r w:rsidRPr="005911E2">
        <w:t xml:space="preserve">based on the Financial Literacy Competency Standards from the Financial Services Training Package. </w:t>
      </w:r>
      <w:r w:rsidR="00AB5C98">
        <w:t xml:space="preserve">The </w:t>
      </w:r>
      <w:r w:rsidR="00AB5C98">
        <w:lastRenderedPageBreak/>
        <w:t>course is to cover</w:t>
      </w:r>
      <w:r w:rsidRPr="005911E2">
        <w:t xml:space="preserve"> topics such as developing and using a personal budget, developing and using a saving plan, and developing an understanding of debt and consumer credit (Australian Government</w:t>
      </w:r>
      <w:r w:rsidR="009125CF">
        <w:t>,</w:t>
      </w:r>
      <w:r w:rsidRPr="005911E2">
        <w:t xml:space="preserve"> 2012</w:t>
      </w:r>
      <w:r w:rsidR="00FA2BC6">
        <w:t>,</w:t>
      </w:r>
      <w:r w:rsidRPr="005911E2">
        <w:t xml:space="preserve"> Section 11.1</w:t>
      </w:r>
      <w:r w:rsidR="00AB5C98">
        <w:t>.</w:t>
      </w:r>
      <w:r w:rsidRPr="005911E2">
        <w:t>15.20).</w:t>
      </w:r>
      <w:r w:rsidR="003E1902">
        <w:rPr>
          <w:rStyle w:val="FootnoteReference"/>
        </w:rPr>
        <w:footnoteReference w:id="27"/>
      </w:r>
    </w:p>
    <w:p w:rsidR="00BD7CE5" w:rsidRPr="005911E2" w:rsidRDefault="00BD7CE5" w:rsidP="00616B0F">
      <w:pPr>
        <w:pStyle w:val="Heading2"/>
      </w:pPr>
      <w:bookmarkStart w:id="135" w:name="_Toc321225099"/>
      <w:bookmarkStart w:id="136" w:name="_Toc321254443"/>
      <w:bookmarkStart w:id="137" w:name="_Toc324196512"/>
      <w:bookmarkStart w:id="138" w:name="_Toc328601465"/>
      <w:bookmarkStart w:id="139" w:name="_Toc329870347"/>
      <w:bookmarkStart w:id="140" w:name="_Toc335915733"/>
      <w:r w:rsidRPr="005911E2">
        <w:t xml:space="preserve">Entry </w:t>
      </w:r>
      <w:r w:rsidR="007A148C">
        <w:t>onto</w:t>
      </w:r>
      <w:r w:rsidRPr="005911E2">
        <w:t xml:space="preserve"> NIM</w:t>
      </w:r>
      <w:bookmarkEnd w:id="135"/>
      <w:bookmarkEnd w:id="136"/>
      <w:bookmarkEnd w:id="137"/>
      <w:bookmarkEnd w:id="138"/>
      <w:bookmarkEnd w:id="139"/>
      <w:bookmarkEnd w:id="140"/>
    </w:p>
    <w:p w:rsidR="00BD7CE5" w:rsidRPr="005911E2" w:rsidRDefault="00BD7CE5" w:rsidP="00BD7CE5">
      <w:r w:rsidRPr="005911E2">
        <w:t>Entry into NIM needs to be understood in the context of the initial rollout of NIM and the transition from NTER IM to NIM</w:t>
      </w:r>
      <w:r w:rsidR="003F515C">
        <w:t>,</w:t>
      </w:r>
      <w:r w:rsidRPr="005911E2">
        <w:t xml:space="preserve"> and how people who newly become subject to </w:t>
      </w:r>
      <w:r w:rsidR="00AB5C98">
        <w:t xml:space="preserve">income management </w:t>
      </w:r>
      <w:r w:rsidRPr="005911E2">
        <w:t>enter into NIM.</w:t>
      </w:r>
    </w:p>
    <w:p w:rsidR="00BD7CE5" w:rsidRPr="005911E2" w:rsidRDefault="00BD7CE5" w:rsidP="00BD7CE5">
      <w:pPr>
        <w:pStyle w:val="Heading3"/>
      </w:pPr>
      <w:r w:rsidRPr="005911E2">
        <w:t xml:space="preserve">Initial rollout </w:t>
      </w:r>
      <w:r w:rsidR="00B26194">
        <w:t xml:space="preserve">of </w:t>
      </w:r>
      <w:r w:rsidRPr="005911E2">
        <w:t>NIM</w:t>
      </w:r>
    </w:p>
    <w:p w:rsidR="00BD7CE5" w:rsidRPr="005911E2" w:rsidRDefault="00BD7CE5" w:rsidP="00BD7CE5">
      <w:r w:rsidRPr="005911E2">
        <w:t>Implementation of NIM commenced on 9 August 2010 in the Barkly region (Zone 1)</w:t>
      </w:r>
      <w:r w:rsidR="00C90156">
        <w:t>.</w:t>
      </w:r>
      <w:r w:rsidRPr="005911E2">
        <w:t xml:space="preserve"> </w:t>
      </w:r>
      <w:r w:rsidR="00C90156">
        <w:t>T</w:t>
      </w:r>
      <w:r w:rsidR="000005DA" w:rsidRPr="000005DA">
        <w:t xml:space="preserve">he program was </w:t>
      </w:r>
      <w:r w:rsidR="000005DA">
        <w:t xml:space="preserve">then </w:t>
      </w:r>
      <w:r w:rsidR="000005DA" w:rsidRPr="000005DA">
        <w:t xml:space="preserve">progressively rolled out geographically from the south to the north of the </w:t>
      </w:r>
      <w:r w:rsidR="006435C8">
        <w:t>Northern Territory.</w:t>
      </w:r>
      <w:r w:rsidR="000005DA">
        <w:t xml:space="preserve"> The second region to have </w:t>
      </w:r>
      <w:r w:rsidR="003F515C">
        <w:t>NIM</w:t>
      </w:r>
      <w:r w:rsidRPr="005911E2">
        <w:t xml:space="preserve"> </w:t>
      </w:r>
      <w:r w:rsidR="00C90156">
        <w:t>implemented</w:t>
      </w:r>
      <w:r w:rsidRPr="005911E2">
        <w:t xml:space="preserve"> </w:t>
      </w:r>
      <w:r w:rsidR="000005DA">
        <w:t>was</w:t>
      </w:r>
      <w:r w:rsidRPr="005911E2">
        <w:t xml:space="preserve"> Alice Springs, Katherine, East Arnhem Land and other outback areas </w:t>
      </w:r>
      <w:r w:rsidR="000005DA">
        <w:t>commencing on</w:t>
      </w:r>
      <w:r w:rsidR="000005DA" w:rsidRPr="005911E2">
        <w:t xml:space="preserve"> </w:t>
      </w:r>
      <w:r w:rsidRPr="005911E2">
        <w:t>30 August 2010</w:t>
      </w:r>
      <w:r w:rsidR="000005DA">
        <w:t>. The r</w:t>
      </w:r>
      <w:r w:rsidRPr="005911E2">
        <w:t xml:space="preserve">ollout in the remaining outback areas </w:t>
      </w:r>
      <w:r w:rsidR="000005DA" w:rsidRPr="005911E2">
        <w:t>commenc</w:t>
      </w:r>
      <w:r w:rsidR="000005DA">
        <w:t>ed on</w:t>
      </w:r>
      <w:r w:rsidR="000005DA" w:rsidRPr="005911E2">
        <w:t xml:space="preserve"> </w:t>
      </w:r>
      <w:r w:rsidR="000C6BCB">
        <w:t>2 </w:t>
      </w:r>
      <w:r w:rsidRPr="005911E2">
        <w:t xml:space="preserve">September 2010 and in Darwin and Palmerston NIM was </w:t>
      </w:r>
      <w:r w:rsidR="000005DA">
        <w:t>implemented</w:t>
      </w:r>
      <w:r w:rsidRPr="005911E2">
        <w:t xml:space="preserve"> from 4 October 2010 (Zone 3) (Macklin</w:t>
      </w:r>
      <w:r w:rsidR="00E87E0D">
        <w:t>,</w:t>
      </w:r>
      <w:r w:rsidRPr="005911E2">
        <w:t xml:space="preserve"> 2010</w:t>
      </w:r>
      <w:r w:rsidR="00FA2BC6">
        <w:t>a</w:t>
      </w:r>
      <w:r w:rsidRPr="005911E2">
        <w:t>).</w:t>
      </w:r>
    </w:p>
    <w:p w:rsidR="00BD7CE5" w:rsidRPr="005911E2" w:rsidRDefault="00BD7CE5" w:rsidP="00E24340">
      <w:pPr>
        <w:keepNext/>
        <w:keepLines/>
      </w:pPr>
      <w:r w:rsidRPr="005911E2">
        <w:t>A sense of the rollout is provided by the changes in the number of people on NTER IM. In July 2010 there were 16</w:t>
      </w:r>
      <w:r w:rsidR="002F18E7">
        <w:t> </w:t>
      </w:r>
      <w:r w:rsidRPr="005911E2">
        <w:t xml:space="preserve">726 individuals on NTER </w:t>
      </w:r>
      <w:r w:rsidR="004B4D01">
        <w:t>IM</w:t>
      </w:r>
      <w:r w:rsidRPr="005911E2">
        <w:t>. By October 2010 this had fallen to 1</w:t>
      </w:r>
      <w:r w:rsidR="002F18E7">
        <w:t> </w:t>
      </w:r>
      <w:r w:rsidRPr="005911E2">
        <w:t>713</w:t>
      </w:r>
      <w:r w:rsidR="003F515C">
        <w:t>;</w:t>
      </w:r>
      <w:r w:rsidRPr="005911E2">
        <w:t xml:space="preserve"> by February 2011 it had fallen to 118 and the number on NIM was 15</w:t>
      </w:r>
      <w:r w:rsidR="002F18E7">
        <w:t> </w:t>
      </w:r>
      <w:r w:rsidRPr="005911E2">
        <w:t>754.</w:t>
      </w:r>
      <w:r w:rsidRPr="003C211B">
        <w:rPr>
          <w:rFonts w:cs="Arial"/>
          <w:vertAlign w:val="superscript"/>
        </w:rPr>
        <w:footnoteReference w:id="28"/>
      </w:r>
      <w:r w:rsidRPr="005911E2">
        <w:t xml:space="preserve"> Thus the rollout of NIM </w:t>
      </w:r>
      <w:r w:rsidR="00930638">
        <w:t>in terms of the transition of people who had been on NTER IM</w:t>
      </w:r>
      <w:r w:rsidR="00930638" w:rsidRPr="005911E2">
        <w:t xml:space="preserve"> </w:t>
      </w:r>
      <w:r w:rsidR="00C80A53">
        <w:t xml:space="preserve">had largely been </w:t>
      </w:r>
      <w:r w:rsidRPr="005911E2">
        <w:t>complete</w:t>
      </w:r>
      <w:r w:rsidR="00C80A53">
        <w:t>d</w:t>
      </w:r>
      <w:r w:rsidRPr="005911E2">
        <w:t xml:space="preserve"> by February 2011</w:t>
      </w:r>
      <w:r w:rsidR="003F515C">
        <w:t>,</w:t>
      </w:r>
      <w:r w:rsidRPr="003C211B">
        <w:rPr>
          <w:rFonts w:cs="Arial"/>
          <w:szCs w:val="20"/>
          <w:vertAlign w:val="superscript"/>
        </w:rPr>
        <w:footnoteReference w:id="29"/>
      </w:r>
      <w:r w:rsidR="00C80A53">
        <w:t xml:space="preserve"> </w:t>
      </w:r>
      <w:r w:rsidR="00930638">
        <w:t>although</w:t>
      </w:r>
      <w:r w:rsidR="00C80A53">
        <w:t xml:space="preserve"> a substantial proportion of non-Indigenous people </w:t>
      </w:r>
      <w:r w:rsidR="00C90156">
        <w:t xml:space="preserve">subject to </w:t>
      </w:r>
      <w:r w:rsidR="00F878E4">
        <w:t>income management</w:t>
      </w:r>
      <w:r w:rsidR="00C90156">
        <w:t xml:space="preserve"> entered the program</w:t>
      </w:r>
      <w:r w:rsidR="00C80A53">
        <w:t xml:space="preserve"> </w:t>
      </w:r>
      <w:r w:rsidR="00930638">
        <w:t>between</w:t>
      </w:r>
      <w:r w:rsidR="009C7C62">
        <w:t xml:space="preserve"> </w:t>
      </w:r>
      <w:r w:rsidR="00C80A53">
        <w:t>February 2011 and July 2011.</w:t>
      </w:r>
      <w:r w:rsidR="009C7C62">
        <w:rPr>
          <w:rStyle w:val="FootnoteReference"/>
        </w:rPr>
        <w:footnoteReference w:id="30"/>
      </w:r>
    </w:p>
    <w:p w:rsidR="00BD7CE5" w:rsidRPr="005911E2" w:rsidRDefault="00BD7CE5" w:rsidP="00BD7CE5">
      <w:r w:rsidRPr="005911E2">
        <w:t>The process for moving onto NIM depended upon whether an individual was subject to NTER IM at the time of the transition from NTER IM to NIM and</w:t>
      </w:r>
      <w:r w:rsidR="00C90156">
        <w:t>,</w:t>
      </w:r>
      <w:r w:rsidRPr="005911E2">
        <w:t xml:space="preserve"> if </w:t>
      </w:r>
      <w:r w:rsidRPr="005911E2">
        <w:lastRenderedPageBreak/>
        <w:t>subject to NTER IM</w:t>
      </w:r>
      <w:r w:rsidR="00C90156">
        <w:t>,</w:t>
      </w:r>
      <w:r w:rsidRPr="005911E2">
        <w:t xml:space="preserve"> whether they would qualify for Compulsory Income Management.</w:t>
      </w:r>
    </w:p>
    <w:p w:rsidR="00BD7CE5" w:rsidRPr="005911E2" w:rsidRDefault="00BD7CE5" w:rsidP="00BD7CE5">
      <w:pPr>
        <w:pStyle w:val="tabfighead"/>
        <w:rPr>
          <w:rFonts w:asciiTheme="minorHAnsi" w:hAnsiTheme="minorHAnsi"/>
        </w:rPr>
      </w:pPr>
      <w:bookmarkStart w:id="141" w:name="_Toc328601646"/>
      <w:bookmarkStart w:id="142" w:name="_Toc335915912"/>
      <w:bookmarkStart w:id="143" w:name="_Toc321254595"/>
      <w:bookmarkStart w:id="144" w:name="_Toc324196676"/>
      <w:r w:rsidRPr="005911E2">
        <w:t xml:space="preserve">Figure </w:t>
      </w:r>
      <w:r w:rsidR="00C7347D">
        <w:fldChar w:fldCharType="begin"/>
      </w:r>
      <w:r w:rsidR="00E74851">
        <w:instrText xml:space="preserve"> STYLEREF 1 \s </w:instrText>
      </w:r>
      <w:r w:rsidR="00C7347D">
        <w:fldChar w:fldCharType="separate"/>
      </w:r>
      <w:r w:rsidR="007D7E45">
        <w:rPr>
          <w:noProof/>
        </w:rPr>
        <w:t>2</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3</w:t>
      </w:r>
      <w:r w:rsidR="00C7347D">
        <w:fldChar w:fldCharType="end"/>
      </w:r>
      <w:r w:rsidRPr="005911E2">
        <w:t xml:space="preserve"> </w:t>
      </w:r>
      <w:r w:rsidRPr="005911E2">
        <w:tab/>
        <w:t xml:space="preserve">From old to new: an illustration of major pathways </w:t>
      </w:r>
      <w:r w:rsidR="003F515C">
        <w:t xml:space="preserve">to </w:t>
      </w:r>
      <w:r w:rsidRPr="005911E2">
        <w:t>new income management</w:t>
      </w:r>
      <w:r w:rsidR="003F515C">
        <w:t xml:space="preserve"> (NIM)</w:t>
      </w:r>
      <w:bookmarkEnd w:id="141"/>
      <w:bookmarkEnd w:id="142"/>
      <w:r w:rsidRPr="005911E2">
        <w:t xml:space="preserve"> </w:t>
      </w:r>
      <w:bookmarkEnd w:id="143"/>
      <w:bookmarkEnd w:id="144"/>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2-3 From old to new: an illustration of major pathways to new income management (NIM) "/>
        <w:tblDescription w:val="Figure 2-3 From old to new: an illustration of major pathways to new income management (NIM) "/>
      </w:tblPr>
      <w:tblGrid>
        <w:gridCol w:w="8561"/>
      </w:tblGrid>
      <w:tr w:rsidR="00BD7CE5" w:rsidRPr="005911E2" w:rsidTr="009D15E2">
        <w:trPr>
          <w:cantSplit/>
          <w:tblHeader/>
        </w:trPr>
        <w:tc>
          <w:tcPr>
            <w:tcW w:w="8561" w:type="dxa"/>
          </w:tcPr>
          <w:p w:rsidR="00BD7CE5" w:rsidRPr="005911E2" w:rsidRDefault="00E75F1A" w:rsidP="00BD7CE5">
            <w:pPr>
              <w:pStyle w:val="TableText"/>
              <w:jc w:val="right"/>
            </w:pPr>
            <w:r>
              <w:rPr>
                <w:noProof/>
                <w:lang w:eastAsia="en-AU" w:bidi="ar-SA"/>
              </w:rPr>
              <w:drawing>
                <wp:inline distT="0" distB="0" distL="0" distR="0" wp14:anchorId="0C3A91C8" wp14:editId="3DF76A84">
                  <wp:extent cx="5414008" cy="4994563"/>
                  <wp:effectExtent l="0" t="0" r="0" b="0"/>
                  <wp:docPr id="35" name="Picture 7" descr="Figure 2-3 From old to new: an illustration of major pathways to new income management (NIM) " title="Figure 2-3 From old to new: an illustration of major pathways to new income management (N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2319" cy="4993005"/>
                          </a:xfrm>
                          <a:prstGeom prst="rect">
                            <a:avLst/>
                          </a:prstGeom>
                          <a:noFill/>
                        </pic:spPr>
                      </pic:pic>
                    </a:graphicData>
                  </a:graphic>
                </wp:inline>
              </w:drawing>
            </w:r>
          </w:p>
        </w:tc>
      </w:tr>
    </w:tbl>
    <w:p w:rsidR="00B26194" w:rsidRPr="005911E2" w:rsidRDefault="00B26194" w:rsidP="004E3A29">
      <w:pPr>
        <w:pStyle w:val="tablefootnotes"/>
      </w:pPr>
    </w:p>
    <w:p w:rsidR="00BD7CE5" w:rsidRPr="005911E2" w:rsidRDefault="00BD7CE5" w:rsidP="00BD7CE5">
      <w:pPr>
        <w:pStyle w:val="Heading3"/>
      </w:pPr>
      <w:r w:rsidRPr="005911E2">
        <w:t xml:space="preserve">Subject to NTER IM and subject to </w:t>
      </w:r>
      <w:r w:rsidR="004808B3">
        <w:t>Compulsory Income Management</w:t>
      </w:r>
    </w:p>
    <w:p w:rsidR="00BD7CE5" w:rsidRPr="005911E2" w:rsidRDefault="00BD7CE5" w:rsidP="00BD7CE5">
      <w:r w:rsidRPr="005911E2">
        <w:t xml:space="preserve">All individuals who were on NTER IM who became subject to </w:t>
      </w:r>
      <w:r w:rsidR="00901A4F" w:rsidRPr="00901A4F">
        <w:t>compulsory forms of NIM</w:t>
      </w:r>
      <w:r w:rsidR="003F515C">
        <w:t>,</w:t>
      </w:r>
      <w:r w:rsidRPr="005911E2">
        <w:t xml:space="preserve"> as a consequence of the type of income support payment they received and the length of time they had been in receipt of the income support payment</w:t>
      </w:r>
      <w:r w:rsidR="003F515C">
        <w:t>,</w:t>
      </w:r>
      <w:r w:rsidRPr="005911E2">
        <w:t xml:space="preserve"> were automatically transferred to Compulsory Income Management</w:t>
      </w:r>
      <w:r w:rsidR="00AB5C98">
        <w:t xml:space="preserve"> under NIM</w:t>
      </w:r>
      <w:r w:rsidR="003168AA">
        <w:t>.</w:t>
      </w:r>
      <w:r w:rsidRPr="005911E2">
        <w:rPr>
          <w:rStyle w:val="FootnoteReference"/>
        </w:rPr>
        <w:footnoteReference w:id="31"/>
      </w:r>
      <w:r w:rsidRPr="005911E2">
        <w:t xml:space="preserve"> </w:t>
      </w:r>
    </w:p>
    <w:p w:rsidR="00BD7CE5" w:rsidRPr="005911E2" w:rsidRDefault="00BD7CE5" w:rsidP="00BD7CE5">
      <w:r w:rsidRPr="005911E2">
        <w:t xml:space="preserve">The general approach taken was that when individuals came in contact with Centrelink they were advised that the form of income management they were on had changed and how </w:t>
      </w:r>
      <w:r w:rsidR="003168AA">
        <w:t xml:space="preserve">the new </w:t>
      </w:r>
      <w:r w:rsidRPr="005911E2">
        <w:t>income management operated</w:t>
      </w:r>
      <w:r w:rsidR="003168AA">
        <w:t>,</w:t>
      </w:r>
      <w:r w:rsidRPr="005911E2">
        <w:t xml:space="preserve"> and that they </w:t>
      </w:r>
      <w:r w:rsidRPr="005911E2">
        <w:lastRenderedPageBreak/>
        <w:t xml:space="preserve">could </w:t>
      </w:r>
      <w:r w:rsidR="003168AA">
        <w:t xml:space="preserve">choose to </w:t>
      </w:r>
      <w:r w:rsidRPr="005911E2">
        <w:t>apply for an exemption if they wished and believed they could meet the exemption criteria.</w:t>
      </w:r>
    </w:p>
    <w:p w:rsidR="00BD7CE5" w:rsidRPr="005911E2" w:rsidRDefault="00BD7CE5" w:rsidP="00BD7CE5">
      <w:pPr>
        <w:pStyle w:val="Heading3"/>
      </w:pPr>
      <w:r w:rsidRPr="005911E2">
        <w:t xml:space="preserve">Subject to NTER IM and </w:t>
      </w:r>
      <w:r w:rsidR="00901A4F" w:rsidRPr="00D53477">
        <w:t>not</w:t>
      </w:r>
      <w:r w:rsidRPr="00D53477">
        <w:t xml:space="preserve"> s</w:t>
      </w:r>
      <w:r w:rsidRPr="005911E2">
        <w:t xml:space="preserve">ubject to </w:t>
      </w:r>
      <w:r w:rsidR="008F7820">
        <w:t>c</w:t>
      </w:r>
      <w:r w:rsidRPr="005911E2">
        <w:t xml:space="preserve">ompulsory </w:t>
      </w:r>
      <w:r w:rsidR="00AB5C98">
        <w:t xml:space="preserve">income management under </w:t>
      </w:r>
      <w:r w:rsidR="00B26194">
        <w:t>NIM</w:t>
      </w:r>
    </w:p>
    <w:p w:rsidR="00BD7CE5" w:rsidRPr="005911E2" w:rsidRDefault="00BD7CE5" w:rsidP="00BD7CE5">
      <w:r w:rsidRPr="005911E2">
        <w:t>When the transition from NTER IM to NIM commenced in a particular area, those subject to NTER IM</w:t>
      </w:r>
      <w:r w:rsidR="009F2098">
        <w:t>,</w:t>
      </w:r>
      <w:r w:rsidRPr="005911E2">
        <w:t xml:space="preserve"> but not subject to </w:t>
      </w:r>
      <w:r w:rsidR="003168AA">
        <w:t>the c</w:t>
      </w:r>
      <w:r w:rsidRPr="005911E2">
        <w:t xml:space="preserve">ompulsory </w:t>
      </w:r>
      <w:r w:rsidR="003168AA">
        <w:t>N</w:t>
      </w:r>
      <w:r w:rsidRPr="005911E2">
        <w:t>IM</w:t>
      </w:r>
      <w:r w:rsidR="003168AA">
        <w:t xml:space="preserve"> measures</w:t>
      </w:r>
      <w:r w:rsidR="009F2098">
        <w:t>,</w:t>
      </w:r>
      <w:r w:rsidRPr="005911E2">
        <w:t xml:space="preserve"> continued under the NTER IM arrangements until they had an interview with Centrelink. In the interview with </w:t>
      </w:r>
      <w:r w:rsidR="005911E2" w:rsidRPr="005911E2">
        <w:t>Centr</w:t>
      </w:r>
      <w:r w:rsidR="005911E2">
        <w:t>e</w:t>
      </w:r>
      <w:r w:rsidR="005911E2" w:rsidRPr="005911E2">
        <w:t>link</w:t>
      </w:r>
      <w:r w:rsidRPr="005911E2">
        <w:t xml:space="preserve"> it was explained to them that they would cease being subject to NTER IM and that they could either volunteer for Voluntary Income Management or stop being </w:t>
      </w:r>
      <w:r w:rsidR="003168AA">
        <w:t>i</w:t>
      </w:r>
      <w:r w:rsidRPr="005911E2">
        <w:t xml:space="preserve">ncome </w:t>
      </w:r>
      <w:r w:rsidR="003168AA">
        <w:t>m</w:t>
      </w:r>
      <w:r w:rsidRPr="005911E2">
        <w:t>anaged</w:t>
      </w:r>
      <w:r w:rsidR="008F7820">
        <w:t xml:space="preserve"> (except for those </w:t>
      </w:r>
      <w:r w:rsidRPr="005911E2">
        <w:t>placed on Child Protection or Vulnerable Income Management</w:t>
      </w:r>
      <w:r w:rsidR="008F7820">
        <w:t>)</w:t>
      </w:r>
      <w:r w:rsidRPr="005911E2">
        <w:t xml:space="preserve">. </w:t>
      </w:r>
      <w:r w:rsidR="0041164A">
        <w:t>Those</w:t>
      </w:r>
      <w:r w:rsidRPr="005911E2">
        <w:t xml:space="preserve"> who were not transitioned to </w:t>
      </w:r>
      <w:r w:rsidR="008F7820">
        <w:t xml:space="preserve">a compulsory form of NIM </w:t>
      </w:r>
      <w:r w:rsidRPr="005911E2">
        <w:t xml:space="preserve">were </w:t>
      </w:r>
      <w:r w:rsidR="0041164A">
        <w:t xml:space="preserve">mainly </w:t>
      </w:r>
      <w:r w:rsidRPr="005911E2">
        <w:t>receiving the Disability Support Pension or the Age Pension</w:t>
      </w:r>
    </w:p>
    <w:p w:rsidR="00BD7CE5" w:rsidRPr="005911E2" w:rsidRDefault="00BD7CE5" w:rsidP="00BD7CE5">
      <w:pPr>
        <w:pStyle w:val="Heading3"/>
      </w:pPr>
      <w:r w:rsidRPr="005911E2">
        <w:t xml:space="preserve">Not subject to NTER IM but subject to </w:t>
      </w:r>
      <w:r w:rsidR="00AB5C98">
        <w:t>c</w:t>
      </w:r>
      <w:r w:rsidR="00AB5C98" w:rsidRPr="005911E2">
        <w:t xml:space="preserve">ompulsory </w:t>
      </w:r>
      <w:r w:rsidR="00AB5C98">
        <w:t>i</w:t>
      </w:r>
      <w:r w:rsidR="00AB5C98" w:rsidRPr="005911E2">
        <w:t xml:space="preserve">ncome </w:t>
      </w:r>
      <w:r w:rsidR="00AB5C98">
        <w:t>m</w:t>
      </w:r>
      <w:r w:rsidR="00AB5C98" w:rsidRPr="005911E2">
        <w:t>anagement</w:t>
      </w:r>
    </w:p>
    <w:p w:rsidR="00263B7D" w:rsidRDefault="00BD7CE5" w:rsidP="00BD7CE5">
      <w:r w:rsidRPr="005911E2">
        <w:t>This group were either</w:t>
      </w:r>
      <w:r w:rsidR="004152F4">
        <w:t>:</w:t>
      </w:r>
      <w:r w:rsidRPr="005911E2">
        <w:t xml:space="preserve"> </w:t>
      </w:r>
    </w:p>
    <w:p w:rsidR="002973F2" w:rsidRDefault="00BD7CE5" w:rsidP="000005DA">
      <w:pPr>
        <w:pStyle w:val="ListBullet"/>
      </w:pPr>
      <w:r w:rsidRPr="005911E2">
        <w:t xml:space="preserve">people who were living in an NTER area but who </w:t>
      </w:r>
      <w:r w:rsidR="009F2098" w:rsidRPr="005911E2">
        <w:t>bec</w:t>
      </w:r>
      <w:r w:rsidR="009F2098">
        <w:t>a</w:t>
      </w:r>
      <w:r w:rsidR="009F2098" w:rsidRPr="005911E2">
        <w:t xml:space="preserve">me </w:t>
      </w:r>
      <w:r w:rsidRPr="005911E2">
        <w:t>eligible for Compulsory Income Management after NIM started replacing NTER IM</w:t>
      </w:r>
      <w:r w:rsidR="009F2098">
        <w:t>,</w:t>
      </w:r>
      <w:r w:rsidRPr="005911E2">
        <w:t xml:space="preserve"> because of the</w:t>
      </w:r>
      <w:r w:rsidR="004152F4">
        <w:t xml:space="preserve"> length of time they had been </w:t>
      </w:r>
      <w:r w:rsidRPr="005911E2">
        <w:t>in receipt of income support payment</w:t>
      </w:r>
      <w:r w:rsidR="004152F4">
        <w:t xml:space="preserve">s, </w:t>
      </w:r>
      <w:r w:rsidRPr="005911E2">
        <w:t xml:space="preserve">or </w:t>
      </w:r>
    </w:p>
    <w:p w:rsidR="00E81107" w:rsidRDefault="004152F4" w:rsidP="000005DA">
      <w:pPr>
        <w:pStyle w:val="ListBullet"/>
      </w:pPr>
      <w:r>
        <w:t xml:space="preserve">people </w:t>
      </w:r>
      <w:r w:rsidR="00BD7CE5" w:rsidRPr="005911E2">
        <w:t xml:space="preserve">who are living in a non-NTER area into which income management has expanded. </w:t>
      </w:r>
    </w:p>
    <w:p w:rsidR="00BD7CE5" w:rsidRPr="005911E2" w:rsidRDefault="00BD7CE5" w:rsidP="00BD7CE5">
      <w:r w:rsidRPr="005911E2">
        <w:t xml:space="preserve">This group received a letter advising </w:t>
      </w:r>
      <w:r w:rsidR="004152F4">
        <w:t xml:space="preserve">them </w:t>
      </w:r>
      <w:r w:rsidRPr="005911E2">
        <w:t>that they were subject to Compulsory Income Management and that they needed to contact Centrelink. If they did not attend the scheduled interview with Centrelink, in urban areas they became subject to income management after 28 days. In remote areas</w:t>
      </w:r>
      <w:r w:rsidR="00BB14C5">
        <w:t xml:space="preserve"> this period was extended to 56 </w:t>
      </w:r>
      <w:r w:rsidRPr="005911E2">
        <w:t>days to take account of the potential problems with arranging a meeting with Centrelink. If they were placed on income management after failing to attend a scheduled interview, half of their payments started being placed in their income management account. The person was however unable to spend this until they obtained a BasicsCard or made other arrangements to allocate their income managed money to approved spending. This group had the opportunity to apply for an exemption if they believed that they met the criteria for exemption.</w:t>
      </w:r>
    </w:p>
    <w:p w:rsidR="00BD7CE5" w:rsidRPr="005911E2" w:rsidRDefault="00BD7CE5" w:rsidP="00616B0F">
      <w:pPr>
        <w:pStyle w:val="Heading2"/>
      </w:pPr>
      <w:bookmarkStart w:id="145" w:name="_Toc321225100"/>
      <w:bookmarkStart w:id="146" w:name="_Toc321254444"/>
      <w:bookmarkStart w:id="147" w:name="_Toc324196513"/>
      <w:bookmarkStart w:id="148" w:name="_Toc328601466"/>
      <w:bookmarkStart w:id="149" w:name="_Toc329870348"/>
      <w:bookmarkStart w:id="150" w:name="_Toc335915734"/>
      <w:r w:rsidRPr="005911E2">
        <w:t xml:space="preserve">Exiting from </w:t>
      </w:r>
      <w:r w:rsidR="00B26194">
        <w:t>i</w:t>
      </w:r>
      <w:r w:rsidRPr="005911E2">
        <w:t xml:space="preserve">ncome </w:t>
      </w:r>
      <w:r w:rsidR="00B26194">
        <w:t>m</w:t>
      </w:r>
      <w:r w:rsidRPr="005911E2">
        <w:t>anagement</w:t>
      </w:r>
      <w:bookmarkEnd w:id="145"/>
      <w:bookmarkEnd w:id="146"/>
      <w:bookmarkEnd w:id="147"/>
      <w:bookmarkEnd w:id="148"/>
      <w:bookmarkEnd w:id="149"/>
      <w:bookmarkEnd w:id="150"/>
    </w:p>
    <w:p w:rsidR="00BD7CE5" w:rsidRPr="005911E2" w:rsidRDefault="00BD7CE5" w:rsidP="002955BA">
      <w:pPr>
        <w:keepNext/>
      </w:pPr>
      <w:r w:rsidRPr="005911E2">
        <w:t>The main ways of exiting from Compulsory Income Management are:</w:t>
      </w:r>
    </w:p>
    <w:p w:rsidR="002973F2" w:rsidRDefault="00BD7CE5" w:rsidP="004B4D01">
      <w:pPr>
        <w:pStyle w:val="ListBullet"/>
      </w:pPr>
      <w:r w:rsidRPr="005911E2">
        <w:t xml:space="preserve">the individual obtains an exemption from </w:t>
      </w:r>
      <w:r w:rsidR="00F878E4">
        <w:t>income management</w:t>
      </w:r>
    </w:p>
    <w:p w:rsidR="004808B3" w:rsidRDefault="00BD7CE5">
      <w:pPr>
        <w:pStyle w:val="ListBullet"/>
      </w:pPr>
      <w:r w:rsidRPr="005911E2">
        <w:t xml:space="preserve">they no longer receive an income support payment which is subject to </w:t>
      </w:r>
      <w:r w:rsidR="004808B3">
        <w:t>Compulsory Income Management</w:t>
      </w:r>
    </w:p>
    <w:p w:rsidR="004808B3" w:rsidRDefault="00BD7CE5">
      <w:pPr>
        <w:pStyle w:val="ListBullet"/>
      </w:pPr>
      <w:r w:rsidRPr="005911E2">
        <w:lastRenderedPageBreak/>
        <w:t>an excluded payment nominee is appointed in relation to the individual (effectively an approved person takes responsibility for their money</w:t>
      </w:r>
      <w:r w:rsidR="00D53477">
        <w:rPr>
          <w:rStyle w:val="FootnoteReference"/>
        </w:rPr>
        <w:footnoteReference w:id="32"/>
      </w:r>
      <w:r w:rsidRPr="005911E2">
        <w:t>)</w:t>
      </w:r>
    </w:p>
    <w:p w:rsidR="004808B3" w:rsidRDefault="00BD7CE5">
      <w:pPr>
        <w:pStyle w:val="ListBullet"/>
      </w:pPr>
      <w:r w:rsidRPr="005911E2">
        <w:t>the person moves away from a declared income management area.</w:t>
      </w:r>
    </w:p>
    <w:p w:rsidR="00BD7CE5" w:rsidRPr="005911E2" w:rsidRDefault="004152F4" w:rsidP="00BD7CE5">
      <w:r>
        <w:t xml:space="preserve">For those participating in </w:t>
      </w:r>
      <w:r w:rsidR="00BD7CE5" w:rsidRPr="005911E2">
        <w:t>Voluntary Income Management</w:t>
      </w:r>
      <w:r>
        <w:t xml:space="preserve">, they may </w:t>
      </w:r>
      <w:r w:rsidR="00BD7CE5" w:rsidRPr="005911E2">
        <w:t>choose to leave the program at any time</w:t>
      </w:r>
      <w:r>
        <w:t xml:space="preserve"> 13 weeks after first commencing in the scheme</w:t>
      </w:r>
      <w:r w:rsidR="00BD7CE5" w:rsidRPr="005911E2">
        <w:t xml:space="preserve">, or they </w:t>
      </w:r>
      <w:r>
        <w:t xml:space="preserve">may leave the program if they </w:t>
      </w:r>
      <w:r w:rsidR="00BD7CE5" w:rsidRPr="005911E2">
        <w:t xml:space="preserve">move outside of a </w:t>
      </w:r>
      <w:r w:rsidR="002B5A5C">
        <w:t>Voluntary Income Management</w:t>
      </w:r>
      <w:r w:rsidR="00BD7CE5" w:rsidRPr="005911E2">
        <w:t xml:space="preserve"> area </w:t>
      </w:r>
      <w:r>
        <w:t xml:space="preserve">or </w:t>
      </w:r>
      <w:r w:rsidR="00BD7CE5" w:rsidRPr="005911E2">
        <w:t>are no longer eligible.</w:t>
      </w:r>
      <w:r w:rsidR="00BD7CE5" w:rsidRPr="005911E2">
        <w:rPr>
          <w:vertAlign w:val="superscript"/>
        </w:rPr>
        <w:footnoteReference w:id="33"/>
      </w:r>
      <w:r w:rsidR="00BD7CE5" w:rsidRPr="005911E2">
        <w:t xml:space="preserve"> In addition, Centrelink can end Voluntary Income Management if the individual is no longer receiving an income support payment, it is no longer feasible to deliver income management services to the person</w:t>
      </w:r>
      <w:r>
        <w:t>,</w:t>
      </w:r>
      <w:r w:rsidR="00BD7CE5" w:rsidRPr="005911E2">
        <w:t xml:space="preserve"> or an excluded payment nominee is appointed.</w:t>
      </w:r>
    </w:p>
    <w:p w:rsidR="00BD7CE5" w:rsidRPr="005911E2" w:rsidRDefault="00BD7CE5" w:rsidP="00BD7CE5">
      <w:r w:rsidRPr="005911E2">
        <w:t>Individuals on Vulnerable Income Management can exit in the following ways:</w:t>
      </w:r>
    </w:p>
    <w:p w:rsidR="002973F2" w:rsidRDefault="004152F4" w:rsidP="004B4D01">
      <w:pPr>
        <w:pStyle w:val="ListBullet"/>
      </w:pPr>
      <w:r>
        <w:t xml:space="preserve">if the </w:t>
      </w:r>
      <w:r w:rsidR="00BD7CE5" w:rsidRPr="005911E2">
        <w:t xml:space="preserve">individual </w:t>
      </w:r>
      <w:r>
        <w:t xml:space="preserve">is </w:t>
      </w:r>
      <w:r w:rsidR="00BD7CE5" w:rsidRPr="005911E2">
        <w:t xml:space="preserve">no longer </w:t>
      </w:r>
      <w:r w:rsidR="0041164A">
        <w:t>seen as requiring or benefitting from income management</w:t>
      </w:r>
    </w:p>
    <w:p w:rsidR="002973F2" w:rsidRDefault="004152F4" w:rsidP="004B4D01">
      <w:pPr>
        <w:pStyle w:val="ListBullet"/>
      </w:pPr>
      <w:r>
        <w:t xml:space="preserve">if they are </w:t>
      </w:r>
      <w:r w:rsidR="00BD7CE5" w:rsidRPr="005911E2">
        <w:t>no longer receiving income support payment</w:t>
      </w:r>
      <w:r>
        <w:t>s</w:t>
      </w:r>
    </w:p>
    <w:p w:rsidR="002973F2" w:rsidRDefault="004152F4" w:rsidP="004B4D01">
      <w:pPr>
        <w:pStyle w:val="ListBullet"/>
      </w:pPr>
      <w:r>
        <w:t xml:space="preserve">if </w:t>
      </w:r>
      <w:r w:rsidR="00BD7CE5" w:rsidRPr="005911E2">
        <w:t>an excluded payment nominee is appointed in relation to the individual</w:t>
      </w:r>
    </w:p>
    <w:p w:rsidR="002973F2" w:rsidRDefault="004152F4" w:rsidP="004B4D01">
      <w:pPr>
        <w:pStyle w:val="ListBullet"/>
      </w:pPr>
      <w:r>
        <w:t xml:space="preserve">where the </w:t>
      </w:r>
      <w:r w:rsidR="00BD7CE5" w:rsidRPr="005911E2">
        <w:t>individual moves away from a declared income management area.</w:t>
      </w:r>
    </w:p>
    <w:p w:rsidR="00BD7CE5" w:rsidRPr="005911E2" w:rsidRDefault="00BD7CE5" w:rsidP="00BD7CE5">
      <w:pPr>
        <w:pStyle w:val="BodyText"/>
      </w:pPr>
      <w:r w:rsidRPr="005911E2">
        <w:t>Individuals on Child Protection Income management can exit from income management in the following ways:</w:t>
      </w:r>
    </w:p>
    <w:p w:rsidR="002973F2" w:rsidRDefault="00BD7CE5" w:rsidP="004B4D01">
      <w:pPr>
        <w:pStyle w:val="ListBullet"/>
      </w:pPr>
      <w:r w:rsidRPr="005911E2">
        <w:t xml:space="preserve">the period of income management specified in the original notice ends </w:t>
      </w:r>
    </w:p>
    <w:p w:rsidR="002973F2" w:rsidRDefault="00BD7CE5" w:rsidP="004B4D01">
      <w:pPr>
        <w:pStyle w:val="ListBullet"/>
      </w:pPr>
      <w:r w:rsidRPr="005911E2">
        <w:t>the relevant child protection worker revokes the notice to apply income management</w:t>
      </w:r>
    </w:p>
    <w:p w:rsidR="002973F2" w:rsidRDefault="004152F4" w:rsidP="004B4D01">
      <w:pPr>
        <w:pStyle w:val="ListBullet"/>
      </w:pPr>
      <w:r>
        <w:t xml:space="preserve">the person is </w:t>
      </w:r>
      <w:r w:rsidR="00BD7CE5" w:rsidRPr="005911E2">
        <w:t>no longer receiving an income support payment (or they don’t receive an income support payment and their partner</w:t>
      </w:r>
      <w:r w:rsidR="00FA5A6B">
        <w:t>’s</w:t>
      </w:r>
      <w:r w:rsidR="00BD7CE5" w:rsidRPr="005911E2">
        <w:t xml:space="preserve"> income support payment ceases)</w:t>
      </w:r>
    </w:p>
    <w:p w:rsidR="002973F2" w:rsidRDefault="00BD7CE5" w:rsidP="004B4D01">
      <w:pPr>
        <w:pStyle w:val="ListBullet"/>
      </w:pPr>
      <w:r w:rsidRPr="005911E2">
        <w:t>an excluded payment nominee is appointed in relation to the individual.</w:t>
      </w:r>
    </w:p>
    <w:p w:rsidR="00BD7CE5" w:rsidRPr="005911E2" w:rsidRDefault="00BD7CE5" w:rsidP="00616B0F">
      <w:pPr>
        <w:pStyle w:val="Heading2"/>
      </w:pPr>
      <w:bookmarkStart w:id="151" w:name="_Toc321225101"/>
      <w:bookmarkStart w:id="152" w:name="_Toc321254445"/>
      <w:bookmarkStart w:id="153" w:name="_Toc324196514"/>
      <w:bookmarkStart w:id="154" w:name="_Toc328601467"/>
      <w:bookmarkStart w:id="155" w:name="_Toc329870349"/>
      <w:bookmarkStart w:id="156" w:name="_Toc335915735"/>
      <w:r w:rsidRPr="005911E2">
        <w:t xml:space="preserve">Spending </w:t>
      </w:r>
      <w:r w:rsidR="0093637C">
        <w:t>i</w:t>
      </w:r>
      <w:r w:rsidRPr="005911E2">
        <w:t xml:space="preserve">ncome </w:t>
      </w:r>
      <w:r w:rsidR="0093637C">
        <w:t>m</w:t>
      </w:r>
      <w:r w:rsidRPr="005911E2">
        <w:t xml:space="preserve">anaged </w:t>
      </w:r>
      <w:bookmarkEnd w:id="151"/>
      <w:bookmarkEnd w:id="152"/>
      <w:bookmarkEnd w:id="153"/>
      <w:bookmarkEnd w:id="154"/>
      <w:r w:rsidR="007A148C">
        <w:t>funds</w:t>
      </w:r>
      <w:bookmarkEnd w:id="155"/>
      <w:bookmarkEnd w:id="156"/>
    </w:p>
    <w:p w:rsidR="00BD7CE5" w:rsidRPr="005911E2" w:rsidRDefault="00BD7CE5" w:rsidP="00BD7CE5">
      <w:r w:rsidRPr="005911E2">
        <w:t>There are several ways in which individuals who are subject to Income Management can spend their income managed money. These comprise: (i) using their BasicsCard (a type of EFTPOS card) at an approved merchant; (ii) by allocating money to cover certain regular expenses (e.g. rent, utilit</w:t>
      </w:r>
      <w:r w:rsidR="0093637C">
        <w:t>y</w:t>
      </w:r>
      <w:r w:rsidRPr="005911E2">
        <w:t xml:space="preserve"> bills, school nutrition program) and having Centrelink make payments direct from the income managed money</w:t>
      </w:r>
      <w:r w:rsidRPr="005911E2">
        <w:rPr>
          <w:vertAlign w:val="superscript"/>
        </w:rPr>
        <w:footnoteReference w:id="34"/>
      </w:r>
      <w:r w:rsidRPr="005911E2">
        <w:t>; or</w:t>
      </w:r>
      <w:r w:rsidR="0093637C">
        <w:t>,</w:t>
      </w:r>
      <w:r w:rsidRPr="005911E2">
        <w:t xml:space="preserve"> (iii) by organising for Centrelink to make one-off payments to a merchant for a particular good or service.</w:t>
      </w:r>
    </w:p>
    <w:p w:rsidR="00BD7CE5" w:rsidRPr="005911E2" w:rsidRDefault="00BD7CE5" w:rsidP="007B4471">
      <w:pPr>
        <w:pStyle w:val="Heading4"/>
      </w:pPr>
      <w:r w:rsidRPr="005911E2">
        <w:lastRenderedPageBreak/>
        <w:t>Allocations</w:t>
      </w:r>
    </w:p>
    <w:p w:rsidR="00BD7CE5" w:rsidRPr="005911E2" w:rsidRDefault="00BD7CE5" w:rsidP="00BD7CE5">
      <w:r w:rsidRPr="005911E2">
        <w:t xml:space="preserve">How an individual spends their income managed money is determined in an ‘allocation interview’ with Centrelink. This occurs when they first become subject to </w:t>
      </w:r>
      <w:r w:rsidR="00836359">
        <w:t>income management</w:t>
      </w:r>
      <w:r w:rsidRPr="005911E2">
        <w:t xml:space="preserve"> and involves </w:t>
      </w:r>
      <w:r w:rsidR="0093637C">
        <w:t xml:space="preserve">the individual </w:t>
      </w:r>
      <w:r w:rsidRPr="005911E2">
        <w:t xml:space="preserve">meeting with </w:t>
      </w:r>
      <w:r w:rsidR="0093637C">
        <w:t xml:space="preserve">a </w:t>
      </w:r>
      <w:r w:rsidRPr="005911E2">
        <w:t xml:space="preserve">Centrelink </w:t>
      </w:r>
      <w:r w:rsidR="0093637C">
        <w:t>c</w:t>
      </w:r>
      <w:r w:rsidRPr="005911E2">
        <w:t xml:space="preserve">ustomer </w:t>
      </w:r>
      <w:r w:rsidR="0093637C">
        <w:t>s</w:t>
      </w:r>
      <w:r w:rsidRPr="005911E2">
        <w:t xml:space="preserve">ervice </w:t>
      </w:r>
      <w:r w:rsidR="00A97BF6">
        <w:t>a</w:t>
      </w:r>
      <w:r w:rsidR="00A97BF6" w:rsidRPr="005911E2">
        <w:t xml:space="preserve">dviser. </w:t>
      </w:r>
      <w:r w:rsidRPr="005911E2">
        <w:t xml:space="preserve">At this meeting, the individual’s priority needs (things such as food, housing, education expenses and so on) are identified and a plan </w:t>
      </w:r>
      <w:r w:rsidR="0093637C">
        <w:t xml:space="preserve">is developed </w:t>
      </w:r>
      <w:r w:rsidR="00AB5C98">
        <w:t>t</w:t>
      </w:r>
      <w:r w:rsidR="0093637C">
        <w:t xml:space="preserve">o work out </w:t>
      </w:r>
      <w:r w:rsidRPr="005911E2">
        <w:t xml:space="preserve">how these priority needs will be met. </w:t>
      </w:r>
      <w:r w:rsidR="0093637C">
        <w:t xml:space="preserve">Decisions are then made as to the relative </w:t>
      </w:r>
      <w:r w:rsidRPr="005911E2">
        <w:t>spending in different areas and the way in which this will be undertaken. The individual is able to change their allocations at any time provided that Centrelink is satisfied that priority needs continue to be met.</w:t>
      </w:r>
    </w:p>
    <w:p w:rsidR="00BD7CE5" w:rsidRPr="005911E2" w:rsidRDefault="00BD7CE5" w:rsidP="00BD7CE5">
      <w:r w:rsidRPr="005911E2">
        <w:t>The advice to Centrelink staff is that regular expense allocations for the following priority needs (where applicable) should be set</w:t>
      </w:r>
      <w:r w:rsidR="00285EC1">
        <w:t xml:space="preserve"> </w:t>
      </w:r>
      <w:r w:rsidRPr="005911E2">
        <w:t xml:space="preserve">up: school nutrition program; food; medical expenses; rent; and utilities (e.g. electricity, gas, water). If a regular expense allocation is not set up for any of these priority needs, </w:t>
      </w:r>
      <w:r w:rsidR="00AB5C98">
        <w:t xml:space="preserve">the </w:t>
      </w:r>
      <w:r w:rsidR="0093637C">
        <w:t>Centrelink</w:t>
      </w:r>
      <w:r w:rsidR="00AB5C98">
        <w:t xml:space="preserve"> customer service advis</w:t>
      </w:r>
      <w:r w:rsidR="00285EC1">
        <w:t>e</w:t>
      </w:r>
      <w:r w:rsidR="00AB5C98">
        <w:t>r</w:t>
      </w:r>
      <w:r w:rsidRPr="005911E2">
        <w:t xml:space="preserve"> needs to ascertain why and how the customer is meeting these needs. The Centrelink data on allocations shows that the majority of income managed money is allocated to the BasicsCard (Chapter 5).</w:t>
      </w:r>
    </w:p>
    <w:p w:rsidR="00BD7CE5" w:rsidRPr="005911E2" w:rsidRDefault="00BD7CE5" w:rsidP="00BD7CE5">
      <w:r w:rsidRPr="005911E2">
        <w:t>If their priority needs have been met, a person can allocate income managed funds to items that are not priority needs (as long as they are not excluded items), and they can also plan ahead to buy larger items, such as motor vehicles or whitegoods with their income managed funds.</w:t>
      </w:r>
    </w:p>
    <w:p w:rsidR="003B5477" w:rsidRPr="00FA5A6B" w:rsidRDefault="003B5477" w:rsidP="003B5477">
      <w:pPr>
        <w:rPr>
          <w:i/>
        </w:rPr>
      </w:pPr>
      <w:r>
        <w:t>The Guide to Social Security Law lists 4 guiding principles that ‘</w:t>
      </w:r>
      <w:r w:rsidRPr="00FA5A6B">
        <w:rPr>
          <w:i/>
        </w:rPr>
        <w:t>should be used in all decisions about the use of income managed funds:</w:t>
      </w:r>
    </w:p>
    <w:p w:rsidR="00366484" w:rsidRPr="00FA5A6B" w:rsidRDefault="003B5477">
      <w:pPr>
        <w:pStyle w:val="ListBullet"/>
        <w:rPr>
          <w:i/>
        </w:rPr>
      </w:pPr>
      <w:r w:rsidRPr="00FA5A6B">
        <w:rPr>
          <w:i/>
        </w:rPr>
        <w:t>While the delegate has authority to make decisions about a person's income managed payments, the person should also have significant input to these decisions. The intention is to help the person meet their priority needs.</w:t>
      </w:r>
    </w:p>
    <w:p w:rsidR="00366484" w:rsidRPr="00FA5A6B" w:rsidRDefault="003B5477">
      <w:pPr>
        <w:pStyle w:val="ListBullet"/>
        <w:rPr>
          <w:i/>
        </w:rPr>
      </w:pPr>
      <w:r w:rsidRPr="00FA5A6B">
        <w:rPr>
          <w:i/>
        </w:rPr>
        <w:t>Where a person has funds in their income management account, and the delegate is aware of an unmet priority need of the person, their partner, children and/or other dependants, then the delegate must take action to meet that need.</w:t>
      </w:r>
    </w:p>
    <w:p w:rsidR="00366484" w:rsidRPr="00FA5A6B" w:rsidRDefault="003B5477">
      <w:pPr>
        <w:pStyle w:val="ListBullet"/>
        <w:rPr>
          <w:i/>
        </w:rPr>
      </w:pPr>
      <w:r w:rsidRPr="00FA5A6B">
        <w:rPr>
          <w:i/>
        </w:rPr>
        <w:t>Income managed funds cannot be unreasonably withheld from a person. If current and reasonably foreseeable priority needs have been met and a person seeks access to unspent funds, this request should be granted. The delegate should discuss the purpose of access to unspent funds; so that the delegate is assured that the payment will not be spent on excluded goods or services.</w:t>
      </w:r>
    </w:p>
    <w:p w:rsidR="002973F2" w:rsidRDefault="003B5477">
      <w:pPr>
        <w:pStyle w:val="ListBullet"/>
      </w:pPr>
      <w:r w:rsidRPr="00FA5A6B">
        <w:rPr>
          <w:i/>
        </w:rPr>
        <w:t>If a person has children or other dependants in their care, the delegate must have regard to the best interests of those children and/or dependants in deciding how income managed funds should be used.</w:t>
      </w:r>
      <w:r>
        <w:t>’ (Australian Government</w:t>
      </w:r>
      <w:r w:rsidR="00FA2BC6">
        <w:t>,</w:t>
      </w:r>
      <w:r>
        <w:t xml:space="preserve"> 2012</w:t>
      </w:r>
      <w:r w:rsidR="00FA2BC6">
        <w:t>,</w:t>
      </w:r>
      <w:r>
        <w:t xml:space="preserve"> Section 11.1.3.10).</w:t>
      </w:r>
      <w:r w:rsidR="00BD7CE5" w:rsidRPr="005911E2">
        <w:t xml:space="preserve"> </w:t>
      </w:r>
    </w:p>
    <w:p w:rsidR="00BD7CE5" w:rsidRPr="005911E2" w:rsidRDefault="00BD7CE5" w:rsidP="007B4471">
      <w:pPr>
        <w:pStyle w:val="Heading4"/>
      </w:pPr>
      <w:r w:rsidRPr="005911E2">
        <w:lastRenderedPageBreak/>
        <w:t>BasicsCard</w:t>
      </w:r>
    </w:p>
    <w:p w:rsidR="00BD7CE5" w:rsidRPr="005911E2" w:rsidRDefault="00BD7CE5" w:rsidP="00BD7CE5">
      <w:r w:rsidRPr="005911E2">
        <w:t xml:space="preserve">All of those subject to </w:t>
      </w:r>
      <w:r w:rsidR="00F878E4">
        <w:t>income management</w:t>
      </w:r>
      <w:r w:rsidRPr="005911E2">
        <w:t xml:space="preserve"> are offered a BasicsCard, although it is not compulsory, and in some circumstances Centrelink can withdraw the card. In practice, the vast majority of individuals subject to Income Management have a BasicsCard (see Chapter 6). </w:t>
      </w:r>
    </w:p>
    <w:p w:rsidR="00BD7CE5" w:rsidRPr="005911E2" w:rsidRDefault="00BD7CE5" w:rsidP="00BD7CE5">
      <w:r w:rsidRPr="005911E2">
        <w:t>The BasicsCard is a PIN protected card that lets people spend their income managed money at approved stores and businesses using the EFTPOS system. The BasicsCard has a maximum daily spend limit of $1</w:t>
      </w:r>
      <w:r w:rsidR="000C6BCB">
        <w:t> </w:t>
      </w:r>
      <w:r w:rsidRPr="005911E2">
        <w:t>500 and its balance cannot exceed $3</w:t>
      </w:r>
      <w:r w:rsidR="000C6BCB">
        <w:t> </w:t>
      </w:r>
      <w:r w:rsidRPr="005911E2">
        <w:t xml:space="preserve">000. People being income managed have the option to set a lower daily spend limit and a lower maximum balance. Centrelink has the discretion to cancel or suspend operation of a BasicsCard. Similar to an EFTPOS or credit card, the BasicsCard has standard terms and conditions. </w:t>
      </w:r>
    </w:p>
    <w:p w:rsidR="00BD7CE5" w:rsidRPr="005911E2" w:rsidRDefault="00BD7CE5" w:rsidP="00BD7CE5">
      <w:r w:rsidRPr="005911E2">
        <w:t xml:space="preserve">The BasicsCard can, in certain circumstances, be used to make </w:t>
      </w:r>
      <w:r w:rsidR="002C4832">
        <w:t>‘</w:t>
      </w:r>
      <w:r w:rsidRPr="005911E2">
        <w:t>lay-by</w:t>
      </w:r>
      <w:r w:rsidR="002C4832">
        <w:t>’</w:t>
      </w:r>
      <w:r w:rsidRPr="005911E2">
        <w:t xml:space="preserve"> payments. If a purchased good is returned, the money is refunded back to the account attached to the BasicsCard. The rules preclude the giving of a cash refund.</w:t>
      </w:r>
    </w:p>
    <w:p w:rsidR="00BD7CE5" w:rsidRPr="005911E2" w:rsidRDefault="00BD7CE5" w:rsidP="00BD7CE5">
      <w:r w:rsidRPr="005911E2">
        <w:t xml:space="preserve">An important aspect of the BasicsCard is </w:t>
      </w:r>
      <w:r w:rsidR="00285EC1">
        <w:t>it is</w:t>
      </w:r>
      <w:r w:rsidRPr="005911E2">
        <w:t xml:space="preserve"> fee free and </w:t>
      </w:r>
      <w:r w:rsidR="00285EC1" w:rsidRPr="005911E2">
        <w:t>ha</w:t>
      </w:r>
      <w:r w:rsidR="00285EC1">
        <w:t>s</w:t>
      </w:r>
      <w:r w:rsidR="00285EC1" w:rsidRPr="005911E2">
        <w:t xml:space="preserve"> </w:t>
      </w:r>
      <w:r w:rsidRPr="005911E2">
        <w:t xml:space="preserve">no direct transaction costs associated with </w:t>
      </w:r>
      <w:r w:rsidR="00285EC1">
        <w:t>its</w:t>
      </w:r>
      <w:r w:rsidRPr="005911E2">
        <w:t xml:space="preserve"> use. Replacement cards are provided free of charge. This is important in the context of remote communities, where high bank fees and transaction costs have been a major problem (</w:t>
      </w:r>
      <w:r w:rsidRPr="005911E2">
        <w:rPr>
          <w:lang w:eastAsia="en-AU"/>
        </w:rPr>
        <w:t>House</w:t>
      </w:r>
      <w:r w:rsidR="00FA2BC6">
        <w:rPr>
          <w:lang w:eastAsia="en-AU"/>
        </w:rPr>
        <w:t xml:space="preserve"> of Representatives</w:t>
      </w:r>
      <w:r w:rsidRPr="005911E2">
        <w:rPr>
          <w:lang w:eastAsia="en-AU"/>
        </w:rPr>
        <w:t xml:space="preserve"> Standing Committee on Aboriginal and Torres Strait Islander Affairs, </w:t>
      </w:r>
      <w:r w:rsidR="00417E68" w:rsidRPr="005911E2">
        <w:rPr>
          <w:lang w:eastAsia="en-AU"/>
        </w:rPr>
        <w:t>200</w:t>
      </w:r>
      <w:r w:rsidR="00417E68">
        <w:rPr>
          <w:lang w:eastAsia="en-AU"/>
        </w:rPr>
        <w:t>9b</w:t>
      </w:r>
      <w:r w:rsidRPr="005911E2">
        <w:t>).</w:t>
      </w:r>
    </w:p>
    <w:p w:rsidR="00BD7CE5" w:rsidRPr="005911E2" w:rsidRDefault="00BD7CE5" w:rsidP="00BD7CE5">
      <w:r w:rsidRPr="005911E2">
        <w:t xml:space="preserve">BasicsCard holders receive a statement of transaction on their BasicsCard every </w:t>
      </w:r>
      <w:r w:rsidR="00AF37A1">
        <w:t>three</w:t>
      </w:r>
      <w:r w:rsidRPr="005911E2">
        <w:t xml:space="preserve"> months or upon request from Centrelink.</w:t>
      </w:r>
      <w:r w:rsidRPr="005911E2">
        <w:rPr>
          <w:rStyle w:val="FootnoteReference"/>
        </w:rPr>
        <w:footnoteReference w:id="35"/>
      </w:r>
      <w:r w:rsidRPr="005911E2">
        <w:t xml:space="preserve"> Customers can check the balance of their BasicsCard in several ways. These include by:</w:t>
      </w:r>
    </w:p>
    <w:p w:rsidR="002973F2" w:rsidRPr="003F3848" w:rsidRDefault="00BD7CE5" w:rsidP="004B4D01">
      <w:pPr>
        <w:pStyle w:val="ListBullet"/>
      </w:pPr>
      <w:r w:rsidRPr="005911E2">
        <w:t xml:space="preserve">having </w:t>
      </w:r>
      <w:r w:rsidR="005700C8">
        <w:t xml:space="preserve">a </w:t>
      </w:r>
      <w:r w:rsidRPr="005911E2">
        <w:t>BasicsCard balance printed on EFTPOS receipts</w:t>
      </w:r>
      <w:r w:rsidRPr="005700C8">
        <w:rPr>
          <w:vertAlign w:val="superscript"/>
        </w:rPr>
        <w:footnoteReference w:id="36"/>
      </w:r>
    </w:p>
    <w:p w:rsidR="002973F2" w:rsidRDefault="00BD7CE5" w:rsidP="004B4D01">
      <w:pPr>
        <w:pStyle w:val="ListBullet"/>
      </w:pPr>
      <w:r w:rsidRPr="005911E2">
        <w:t>us</w:t>
      </w:r>
      <w:r w:rsidR="005700C8">
        <w:t>ing</w:t>
      </w:r>
      <w:r w:rsidRPr="005911E2">
        <w:t xml:space="preserve"> a BasicsCard Kiosk</w:t>
      </w:r>
      <w:r w:rsidRPr="005911E2">
        <w:rPr>
          <w:vertAlign w:val="superscript"/>
        </w:rPr>
        <w:footnoteReference w:id="37"/>
      </w:r>
    </w:p>
    <w:p w:rsidR="002973F2" w:rsidRDefault="00BD7CE5" w:rsidP="004B4D01">
      <w:pPr>
        <w:pStyle w:val="ListBullet"/>
      </w:pPr>
      <w:r w:rsidRPr="005911E2">
        <w:t>by call</w:t>
      </w:r>
      <w:r w:rsidR="005700C8">
        <w:t>ing</w:t>
      </w:r>
      <w:r w:rsidRPr="005911E2">
        <w:t xml:space="preserve"> the Income Management line (run by Centrelink)</w:t>
      </w:r>
    </w:p>
    <w:p w:rsidR="002973F2" w:rsidRDefault="00BD7CE5" w:rsidP="004B4D01">
      <w:pPr>
        <w:pStyle w:val="ListBullet"/>
      </w:pPr>
      <w:r w:rsidRPr="005911E2">
        <w:t xml:space="preserve">checking the online BasicsCard balance </w:t>
      </w:r>
      <w:r w:rsidR="003F3848" w:rsidRPr="005911E2">
        <w:t>enquir</w:t>
      </w:r>
      <w:r w:rsidR="003F3848">
        <w:t xml:space="preserve">y </w:t>
      </w:r>
      <w:r w:rsidRPr="005911E2">
        <w:t xml:space="preserve">service </w:t>
      </w:r>
      <w:r w:rsidR="003F3848">
        <w:t>operated b</w:t>
      </w:r>
      <w:r w:rsidRPr="005911E2">
        <w:t>y Centrelink</w:t>
      </w:r>
    </w:p>
    <w:p w:rsidR="002973F2" w:rsidRDefault="00BD7CE5" w:rsidP="004B4D01">
      <w:pPr>
        <w:pStyle w:val="ListBullet"/>
      </w:pPr>
      <w:r w:rsidRPr="005911E2">
        <w:t>visiting any Centrelink Customer Service Centre.</w:t>
      </w:r>
    </w:p>
    <w:p w:rsidR="00BD7CE5" w:rsidRPr="005911E2" w:rsidRDefault="00AF37A1" w:rsidP="00BD7CE5">
      <w:r>
        <w:t>I</w:t>
      </w:r>
      <w:r w:rsidR="00BD7CE5" w:rsidRPr="005911E2">
        <w:t>n March 2012 there were 698 merchants in the</w:t>
      </w:r>
      <w:r w:rsidR="006435C8">
        <w:t xml:space="preserve"> Northern Territory </w:t>
      </w:r>
      <w:r w:rsidR="00BD7CE5" w:rsidRPr="005911E2">
        <w:t>able to accept a BasicsCard</w:t>
      </w:r>
      <w:r>
        <w:t xml:space="preserve"> (see Chapter 6)</w:t>
      </w:r>
      <w:r w:rsidR="00BD7CE5" w:rsidRPr="005911E2">
        <w:t>.</w:t>
      </w:r>
    </w:p>
    <w:p w:rsidR="00BD7CE5" w:rsidRPr="005911E2" w:rsidRDefault="00BD7CE5" w:rsidP="003F3848">
      <w:pPr>
        <w:pStyle w:val="Heading2"/>
      </w:pPr>
      <w:bookmarkStart w:id="157" w:name="_Toc321225102"/>
      <w:bookmarkStart w:id="158" w:name="_Toc321254446"/>
      <w:bookmarkStart w:id="159" w:name="_Toc324196515"/>
      <w:bookmarkStart w:id="160" w:name="_Toc328601468"/>
      <w:bookmarkStart w:id="161" w:name="_Toc329870350"/>
      <w:bookmarkStart w:id="162" w:name="_Toc335915736"/>
      <w:r w:rsidRPr="005911E2">
        <w:t>Reviews of income management decisions</w:t>
      </w:r>
      <w:bookmarkEnd w:id="157"/>
      <w:bookmarkEnd w:id="158"/>
      <w:bookmarkEnd w:id="159"/>
      <w:bookmarkEnd w:id="160"/>
      <w:bookmarkEnd w:id="161"/>
      <w:bookmarkEnd w:id="162"/>
    </w:p>
    <w:p w:rsidR="00BD7CE5" w:rsidRPr="005911E2" w:rsidRDefault="00BD7CE5" w:rsidP="00BD7CE5">
      <w:r w:rsidRPr="005911E2">
        <w:t>A Centrelink customer who disagrees with a</w:t>
      </w:r>
      <w:r w:rsidR="0041164A">
        <w:t>n income management</w:t>
      </w:r>
      <w:r w:rsidRPr="005911E2">
        <w:t xml:space="preserve"> decision </w:t>
      </w:r>
      <w:r w:rsidR="0041164A">
        <w:t xml:space="preserve">such as </w:t>
      </w:r>
      <w:r w:rsidRPr="005911E2">
        <w:t xml:space="preserve">to place them on Compulsory or Vulnerable Income Management or who has an application for exemption from Compulsory Income Management </w:t>
      </w:r>
      <w:r w:rsidRPr="005911E2">
        <w:lastRenderedPageBreak/>
        <w:t xml:space="preserve">rejected, as with other Centrelink decisions, </w:t>
      </w:r>
      <w:r w:rsidR="005700C8">
        <w:t xml:space="preserve">has </w:t>
      </w:r>
      <w:r w:rsidRPr="005911E2">
        <w:t>access to the full range of appeal rights through Centrelink’s Authorised Review Officers, the Social Security Appeals Tribunal, the Administrative Appeals Tribunal and court appeals. In addition, individuals on Vulnerable Income Management have access to the Centrelink Social Workers reconsideration process</w:t>
      </w:r>
      <w:r w:rsidR="00614538" w:rsidRPr="005911E2">
        <w:t>.</w:t>
      </w:r>
      <w:r w:rsidR="00614538">
        <w:t xml:space="preserve"> </w:t>
      </w:r>
    </w:p>
    <w:p w:rsidR="00BD7CE5" w:rsidRPr="005911E2" w:rsidRDefault="0041164A" w:rsidP="00BD7CE5">
      <w:r w:rsidRPr="0041164A">
        <w:t xml:space="preserve">Where a decision to place a person onto income management or </w:t>
      </w:r>
      <w:r w:rsidR="00285EC1">
        <w:t xml:space="preserve">to </w:t>
      </w:r>
      <w:r w:rsidRPr="0041164A">
        <w:t>refuse an exemption is being reviewed under Social Security Law, the person continues to be income managed while their review is considered, unless otherwise directed by the relevant tribunal or court</w:t>
      </w:r>
      <w:r w:rsidR="00BD7CE5" w:rsidRPr="005911E2">
        <w:t>.</w:t>
      </w:r>
    </w:p>
    <w:p w:rsidR="00BD7CE5" w:rsidRPr="005911E2" w:rsidRDefault="00BD7CE5" w:rsidP="00BD7CE5">
      <w:r w:rsidRPr="005911E2">
        <w:t>In the case of those subject to C</w:t>
      </w:r>
      <w:r w:rsidR="00767B5B">
        <w:t xml:space="preserve">hild </w:t>
      </w:r>
      <w:r w:rsidRPr="005911E2">
        <w:t>P</w:t>
      </w:r>
      <w:r w:rsidR="00767B5B">
        <w:t xml:space="preserve">rotection </w:t>
      </w:r>
      <w:r w:rsidRPr="005911E2">
        <w:t>I</w:t>
      </w:r>
      <w:r w:rsidR="00767B5B">
        <w:t xml:space="preserve">ncome </w:t>
      </w:r>
      <w:r w:rsidRPr="005911E2">
        <w:t>M</w:t>
      </w:r>
      <w:r w:rsidR="00767B5B">
        <w:t>anagement</w:t>
      </w:r>
      <w:r w:rsidRPr="005911E2">
        <w:t xml:space="preserve">, the imposition </w:t>
      </w:r>
      <w:r w:rsidR="00285EC1">
        <w:t xml:space="preserve">of </w:t>
      </w:r>
      <w:r w:rsidR="00F878E4">
        <w:t>income management</w:t>
      </w:r>
      <w:r w:rsidR="00892C83">
        <w:t xml:space="preserve"> </w:t>
      </w:r>
      <w:r w:rsidRPr="005911E2">
        <w:t xml:space="preserve">can be appealed by making application to the child protection authority within the Northern Territory Department of </w:t>
      </w:r>
      <w:r w:rsidR="00B450CA">
        <w:t>Children</w:t>
      </w:r>
      <w:r w:rsidR="00B450CA" w:rsidRPr="005911E2">
        <w:t xml:space="preserve"> </w:t>
      </w:r>
      <w:r w:rsidRPr="005911E2">
        <w:t xml:space="preserve">and Families (DCF) with regard to the decision by this agency to refer them for </w:t>
      </w:r>
      <w:r w:rsidR="00767B5B">
        <w:t>income management</w:t>
      </w:r>
      <w:r w:rsidRPr="005911E2">
        <w:t>. Individuals can also appeal a Centrelink decision related to how their Centrelink or Department of Veteran Affairs payments are being income managed.</w:t>
      </w:r>
    </w:p>
    <w:p w:rsidR="00BD7CE5" w:rsidRPr="005911E2" w:rsidRDefault="00BD7CE5" w:rsidP="00BD7CE5">
      <w:r w:rsidRPr="005911E2">
        <w:t>Access to exemptions and appeals are considered in detail in Chapter 8.</w:t>
      </w:r>
    </w:p>
    <w:p w:rsidR="00BD7CE5" w:rsidRPr="005911E2" w:rsidRDefault="00BD7CE5" w:rsidP="003F3848">
      <w:pPr>
        <w:pStyle w:val="Heading2"/>
      </w:pPr>
      <w:bookmarkStart w:id="163" w:name="_Toc328601469"/>
      <w:bookmarkStart w:id="164" w:name="_Toc329870351"/>
      <w:bookmarkStart w:id="165" w:name="_Toc335915737"/>
      <w:bookmarkStart w:id="166" w:name="_Toc321225103"/>
      <w:bookmarkStart w:id="167" w:name="_Toc321254447"/>
      <w:bookmarkStart w:id="168" w:name="_Toc324196516"/>
      <w:r w:rsidRPr="005911E2">
        <w:t>Broader context</w:t>
      </w:r>
      <w:bookmarkEnd w:id="163"/>
      <w:bookmarkEnd w:id="164"/>
      <w:bookmarkEnd w:id="165"/>
    </w:p>
    <w:p w:rsidR="00BD7CE5" w:rsidRPr="005911E2" w:rsidRDefault="00BD7CE5" w:rsidP="00BD7CE5">
      <w:pPr>
        <w:pStyle w:val="BodyText"/>
      </w:pPr>
      <w:r w:rsidRPr="005911E2">
        <w:rPr>
          <w:lang w:bidi="ar-SA"/>
        </w:rPr>
        <w:t>As has been indicated earlier in this chapter</w:t>
      </w:r>
      <w:r w:rsidR="005700C8">
        <w:rPr>
          <w:lang w:bidi="ar-SA"/>
        </w:rPr>
        <w:t>,</w:t>
      </w:r>
      <w:r w:rsidRPr="005911E2">
        <w:rPr>
          <w:lang w:bidi="ar-SA"/>
        </w:rPr>
        <w:t xml:space="preserve"> NIM is only one of a range of policies impacting on people in the Northern Territory. Two specific areas which should be noted, because of the extent they impact on many of the same people who are subject to NIM</w:t>
      </w:r>
      <w:r w:rsidR="005700C8">
        <w:rPr>
          <w:lang w:bidi="ar-SA"/>
        </w:rPr>
        <w:t>,</w:t>
      </w:r>
      <w:r w:rsidRPr="005911E2">
        <w:rPr>
          <w:lang w:bidi="ar-SA"/>
        </w:rPr>
        <w:t xml:space="preserve"> are the Northern Territory Intervention and the Improving School Enrolment and Attendance through Welfare Reform Measure (SEAM).</w:t>
      </w:r>
    </w:p>
    <w:p w:rsidR="00BD7CE5" w:rsidRPr="005911E2" w:rsidRDefault="00BD7CE5" w:rsidP="00BD7CE5">
      <w:pPr>
        <w:pStyle w:val="Heading3"/>
      </w:pPr>
      <w:r w:rsidRPr="005911E2">
        <w:t>N</w:t>
      </w:r>
      <w:r w:rsidR="00767B5B">
        <w:t>orthern Territory Emergency Response (NTER)</w:t>
      </w:r>
    </w:p>
    <w:p w:rsidR="00BD7CE5" w:rsidRPr="005911E2" w:rsidRDefault="00BD7CE5" w:rsidP="00BD7CE5">
      <w:pPr>
        <w:pStyle w:val="BodyText"/>
      </w:pPr>
      <w:r w:rsidRPr="005911E2">
        <w:rPr>
          <w:lang w:bidi="ar-SA"/>
        </w:rPr>
        <w:t>The N</w:t>
      </w:r>
      <w:r w:rsidR="00767B5B">
        <w:rPr>
          <w:lang w:bidi="ar-SA"/>
        </w:rPr>
        <w:t>orthern Territory Emergency Response (N</w:t>
      </w:r>
      <w:r w:rsidRPr="005911E2">
        <w:rPr>
          <w:lang w:bidi="ar-SA"/>
        </w:rPr>
        <w:t>TER</w:t>
      </w:r>
      <w:r w:rsidR="00767B5B">
        <w:rPr>
          <w:lang w:bidi="ar-SA"/>
        </w:rPr>
        <w:t>)</w:t>
      </w:r>
      <w:r w:rsidRPr="005911E2">
        <w:rPr>
          <w:lang w:bidi="ar-SA"/>
        </w:rPr>
        <w:t xml:space="preserve"> intervention has been discussed in Section 2.2.</w:t>
      </w:r>
      <w:r w:rsidR="00B62B2D">
        <w:rPr>
          <w:lang w:bidi="ar-SA"/>
        </w:rPr>
        <w:t xml:space="preserve"> </w:t>
      </w:r>
      <w:r w:rsidRPr="005911E2">
        <w:rPr>
          <w:lang w:bidi="ar-SA"/>
        </w:rPr>
        <w:t xml:space="preserve">While a number of the activities under the NTER were </w:t>
      </w:r>
      <w:r w:rsidR="00D3222D">
        <w:rPr>
          <w:lang w:bidi="ar-SA"/>
        </w:rPr>
        <w:t>short-term</w:t>
      </w:r>
      <w:r w:rsidRPr="005911E2">
        <w:rPr>
          <w:lang w:bidi="ar-SA"/>
        </w:rPr>
        <w:t xml:space="preserve"> immediate interventions, a larger share are </w:t>
      </w:r>
      <w:r w:rsidR="005911E2" w:rsidRPr="005911E2">
        <w:rPr>
          <w:lang w:bidi="ar-SA"/>
        </w:rPr>
        <w:t>ongoing</w:t>
      </w:r>
      <w:r w:rsidRPr="005911E2">
        <w:rPr>
          <w:lang w:bidi="ar-SA"/>
        </w:rPr>
        <w:t xml:space="preserve"> policies and programs. A number of these directly complement NIM</w:t>
      </w:r>
      <w:r w:rsidR="00285EC1">
        <w:rPr>
          <w:lang w:bidi="ar-SA"/>
        </w:rPr>
        <w:t>,</w:t>
      </w:r>
      <w:r w:rsidRPr="005911E2">
        <w:rPr>
          <w:lang w:bidi="ar-SA"/>
        </w:rPr>
        <w:t xml:space="preserve"> such as action to control alcohol, drugs and pornography, while many more are interventions which complement the wider goals.</w:t>
      </w:r>
    </w:p>
    <w:p w:rsidR="00BD7CE5" w:rsidRPr="005911E2" w:rsidRDefault="00BD7CE5" w:rsidP="003F3848">
      <w:pPr>
        <w:pStyle w:val="Heading3"/>
      </w:pPr>
      <w:r w:rsidRPr="005911E2">
        <w:t>Improving School Enrolment and Attendance through Welfare Reform Measure (SEAM)</w:t>
      </w:r>
    </w:p>
    <w:p w:rsidR="00BD7CE5" w:rsidRPr="005911E2" w:rsidRDefault="00BD7CE5" w:rsidP="00BD7CE5">
      <w:pPr>
        <w:pStyle w:val="BodyText"/>
        <w:rPr>
          <w:lang w:bidi="ar-SA"/>
        </w:rPr>
      </w:pPr>
      <w:r w:rsidRPr="005911E2">
        <w:rPr>
          <w:lang w:bidi="ar-SA"/>
        </w:rPr>
        <w:t>The objective of SEAM is to encourage parents (or those with responsibility for a child) to ensure that children of compulsory school age are enrolled in school and attending school regularly.</w:t>
      </w:r>
    </w:p>
    <w:p w:rsidR="00BD7CE5" w:rsidRPr="005911E2" w:rsidRDefault="00BD7CE5" w:rsidP="00BD7CE5">
      <w:pPr>
        <w:pStyle w:val="BodyText"/>
      </w:pPr>
      <w:r w:rsidRPr="005911E2">
        <w:rPr>
          <w:lang w:bidi="ar-SA"/>
        </w:rPr>
        <w:t xml:space="preserve">In the first instance SEAM seeks to identify enrolment and attendance problems and puts in place assistance, such as the offer of Centrelink social work support to families, to fix these problems. </w:t>
      </w:r>
    </w:p>
    <w:p w:rsidR="00BD7CE5" w:rsidRPr="005911E2" w:rsidRDefault="00BD7CE5" w:rsidP="00BD7CE5">
      <w:pPr>
        <w:pStyle w:val="BodyText"/>
      </w:pPr>
      <w:r w:rsidRPr="005911E2">
        <w:rPr>
          <w:lang w:bidi="ar-SA"/>
        </w:rPr>
        <w:t xml:space="preserve">Where this </w:t>
      </w:r>
      <w:r w:rsidR="003F3848">
        <w:rPr>
          <w:lang w:bidi="ar-SA"/>
        </w:rPr>
        <w:t xml:space="preserve">initial intervention </w:t>
      </w:r>
      <w:r w:rsidRPr="005911E2">
        <w:rPr>
          <w:lang w:bidi="ar-SA"/>
        </w:rPr>
        <w:t>is unsuccessful in achieving a suitable outcome the program can involve the suspension of income support payments</w:t>
      </w:r>
      <w:r w:rsidR="00614538" w:rsidRPr="005911E2">
        <w:rPr>
          <w:lang w:bidi="ar-SA"/>
        </w:rPr>
        <w:t>.</w:t>
      </w:r>
      <w:r w:rsidR="00614538">
        <w:rPr>
          <w:rStyle w:val="FootnoteReference"/>
          <w:lang w:bidi="ar-SA"/>
        </w:rPr>
        <w:footnoteReference w:id="38"/>
      </w:r>
      <w:r w:rsidR="00614538">
        <w:rPr>
          <w:lang w:bidi="ar-SA"/>
        </w:rPr>
        <w:t xml:space="preserve"> </w:t>
      </w:r>
      <w:r w:rsidRPr="005911E2">
        <w:rPr>
          <w:lang w:bidi="ar-SA"/>
        </w:rPr>
        <w:t xml:space="preserve">The </w:t>
      </w:r>
      <w:r w:rsidRPr="005911E2">
        <w:rPr>
          <w:lang w:bidi="ar-SA"/>
        </w:rPr>
        <w:lastRenderedPageBreak/>
        <w:t xml:space="preserve">purpose of this punitive element is </w:t>
      </w:r>
      <w:r w:rsidR="002C4832">
        <w:rPr>
          <w:lang w:bidi="ar-SA"/>
        </w:rPr>
        <w:t>‘</w:t>
      </w:r>
      <w:r w:rsidRPr="000C6BCB">
        <w:rPr>
          <w:i/>
          <w:lang w:bidi="ar-SA"/>
        </w:rPr>
        <w:t>to encourage responsible parental or carer action</w:t>
      </w:r>
      <w:r w:rsidR="002C4832">
        <w:rPr>
          <w:lang w:bidi="ar-SA"/>
        </w:rPr>
        <w:t>’</w:t>
      </w:r>
      <w:r w:rsidR="005911E2" w:rsidRPr="005911E2">
        <w:rPr>
          <w:lang w:bidi="ar-SA"/>
        </w:rPr>
        <w:t xml:space="preserve"> (</w:t>
      </w:r>
      <w:r w:rsidRPr="005911E2">
        <w:rPr>
          <w:lang w:bidi="ar-SA"/>
        </w:rPr>
        <w:t>DEEWR</w:t>
      </w:r>
      <w:r w:rsidR="005E64F3">
        <w:rPr>
          <w:lang w:bidi="ar-SA"/>
        </w:rPr>
        <w:t>,</w:t>
      </w:r>
      <w:r w:rsidRPr="005911E2">
        <w:rPr>
          <w:lang w:bidi="ar-SA"/>
        </w:rPr>
        <w:t xml:space="preserve"> 2012</w:t>
      </w:r>
      <w:r w:rsidR="009125CF">
        <w:rPr>
          <w:lang w:bidi="ar-SA"/>
        </w:rPr>
        <w:t>b</w:t>
      </w:r>
      <w:r w:rsidRPr="005911E2">
        <w:rPr>
          <w:lang w:bidi="ar-SA"/>
        </w:rPr>
        <w:t>)</w:t>
      </w:r>
    </w:p>
    <w:p w:rsidR="00BD7CE5" w:rsidRPr="005911E2" w:rsidRDefault="00BD7CE5" w:rsidP="00BD7CE5">
      <w:pPr>
        <w:pStyle w:val="BodyText"/>
      </w:pPr>
      <w:r w:rsidRPr="005911E2">
        <w:rPr>
          <w:lang w:bidi="ar-SA"/>
        </w:rPr>
        <w:t xml:space="preserve">The program has operated in </w:t>
      </w:r>
      <w:r w:rsidR="000B6B87">
        <w:rPr>
          <w:lang w:bidi="ar-SA"/>
        </w:rPr>
        <w:t>six</w:t>
      </w:r>
      <w:r w:rsidRPr="005911E2">
        <w:rPr>
          <w:lang w:bidi="ar-SA"/>
        </w:rPr>
        <w:t xml:space="preserve"> sites in the Northern Territory since January 2009.</w:t>
      </w:r>
      <w:r w:rsidR="00FA5A6B" w:rsidRPr="005911E2">
        <w:rPr>
          <w:rStyle w:val="FootnoteReference"/>
          <w:lang w:bidi="ar-SA"/>
        </w:rPr>
        <w:footnoteReference w:id="39"/>
      </w:r>
    </w:p>
    <w:p w:rsidR="00BD7CE5" w:rsidRPr="005911E2" w:rsidRDefault="00BD7CE5" w:rsidP="003F3848">
      <w:pPr>
        <w:pStyle w:val="Heading2"/>
      </w:pPr>
      <w:bookmarkStart w:id="169" w:name="_Toc328601470"/>
      <w:bookmarkStart w:id="170" w:name="_Toc329870352"/>
      <w:bookmarkStart w:id="171" w:name="_Toc335915738"/>
      <w:r w:rsidRPr="005911E2">
        <w:t>Conclusion</w:t>
      </w:r>
      <w:bookmarkEnd w:id="166"/>
      <w:bookmarkEnd w:id="167"/>
      <w:bookmarkEnd w:id="168"/>
      <w:bookmarkEnd w:id="169"/>
      <w:bookmarkEnd w:id="170"/>
      <w:bookmarkEnd w:id="171"/>
    </w:p>
    <w:p w:rsidR="00BD7CE5" w:rsidRPr="005911E2" w:rsidRDefault="00BD7CE5" w:rsidP="00BD7CE5">
      <w:r w:rsidRPr="005911E2">
        <w:t xml:space="preserve">This chapter provides an overview of the design of NIM and how it operates. Subsequent chapters deal with specific aspects of NIM </w:t>
      </w:r>
      <w:r w:rsidR="00C7607A">
        <w:t xml:space="preserve">and </w:t>
      </w:r>
      <w:r w:rsidRPr="005911E2">
        <w:t>provide further details on design and operation of aspects of NIM.</w:t>
      </w:r>
    </w:p>
    <w:p w:rsidR="00557394" w:rsidRPr="005911E2" w:rsidRDefault="00BD7CE5" w:rsidP="00BD7CE5">
      <w:pPr>
        <w:pStyle w:val="BodyText"/>
      </w:pPr>
      <w:r w:rsidRPr="005911E2">
        <w:t>In terms of understanding the impact of the program</w:t>
      </w:r>
      <w:r w:rsidR="00C7607A">
        <w:t>,</w:t>
      </w:r>
      <w:r w:rsidRPr="005911E2">
        <w:t xml:space="preserve"> it is important to note the extent to which it is only one of </w:t>
      </w:r>
      <w:r w:rsidR="00C7607A">
        <w:t xml:space="preserve">a </w:t>
      </w:r>
      <w:r w:rsidRPr="005911E2">
        <w:t xml:space="preserve">range of policy interventions in the </w:t>
      </w:r>
      <w:r w:rsidR="006435C8">
        <w:t>Northern Territory,</w:t>
      </w:r>
      <w:r w:rsidRPr="005911E2">
        <w:t xml:space="preserve"> and that the experience and views of individuals are likely to be shaped not just by NIM but also the preceding NTER IM arrangements. </w:t>
      </w:r>
      <w:bookmarkEnd w:id="73"/>
      <w:bookmarkEnd w:id="74"/>
      <w:bookmarkEnd w:id="75"/>
      <w:bookmarkEnd w:id="76"/>
      <w:bookmarkEnd w:id="77"/>
      <w:bookmarkEnd w:id="78"/>
    </w:p>
    <w:p w:rsidR="00B26206" w:rsidRPr="005911E2" w:rsidRDefault="00B26206" w:rsidP="00C0582B">
      <w:pPr>
        <w:pStyle w:val="chapterend"/>
      </w:pPr>
    </w:p>
    <w:p w:rsidR="00BD7CE5" w:rsidRPr="005911E2" w:rsidRDefault="00BD7CE5" w:rsidP="00C0582B">
      <w:pPr>
        <w:pStyle w:val="chapterend"/>
        <w:sectPr w:rsidR="00BD7CE5" w:rsidRPr="005911E2" w:rsidSect="00F357A2">
          <w:pgSz w:w="11906" w:h="16838" w:code="9"/>
          <w:pgMar w:top="1418" w:right="1797" w:bottom="1418" w:left="1230" w:header="567" w:footer="284" w:gutter="0"/>
          <w:cols w:space="708"/>
          <w:docGrid w:linePitch="360"/>
        </w:sectPr>
      </w:pPr>
    </w:p>
    <w:p w:rsidR="008D0446" w:rsidRPr="005911E2" w:rsidRDefault="008D0446" w:rsidP="00BD6DFD">
      <w:pPr>
        <w:pStyle w:val="Heading1"/>
      </w:pPr>
      <w:bookmarkStart w:id="172" w:name="_Toc321225104"/>
      <w:bookmarkStart w:id="173" w:name="_Ref321729504"/>
      <w:bookmarkStart w:id="174" w:name="_Toc321254448"/>
      <w:bookmarkStart w:id="175" w:name="_Toc328601471"/>
      <w:bookmarkStart w:id="176" w:name="_Toc329870353"/>
      <w:bookmarkStart w:id="177" w:name="_Toc335915739"/>
      <w:r w:rsidRPr="005911E2">
        <w:lastRenderedPageBreak/>
        <w:t>Evaluation Methods</w:t>
      </w:r>
      <w:bookmarkEnd w:id="172"/>
      <w:bookmarkEnd w:id="173"/>
      <w:bookmarkEnd w:id="174"/>
      <w:bookmarkEnd w:id="175"/>
      <w:bookmarkEnd w:id="176"/>
      <w:bookmarkEnd w:id="177"/>
    </w:p>
    <w:p w:rsidR="008D0446" w:rsidRPr="005911E2" w:rsidRDefault="008D0446" w:rsidP="00616B0F">
      <w:pPr>
        <w:pStyle w:val="Heading2"/>
      </w:pPr>
      <w:bookmarkStart w:id="178" w:name="_Toc321225105"/>
      <w:bookmarkStart w:id="179" w:name="_Toc321254449"/>
      <w:bookmarkStart w:id="180" w:name="_Toc328601472"/>
      <w:bookmarkStart w:id="181" w:name="_Toc329870354"/>
      <w:bookmarkStart w:id="182" w:name="_Toc335915740"/>
      <w:r w:rsidRPr="005911E2">
        <w:t>Introduction</w:t>
      </w:r>
      <w:bookmarkEnd w:id="178"/>
      <w:bookmarkEnd w:id="179"/>
      <w:bookmarkEnd w:id="180"/>
      <w:bookmarkEnd w:id="181"/>
      <w:bookmarkEnd w:id="182"/>
    </w:p>
    <w:p w:rsidR="008D0446" w:rsidRPr="005911E2" w:rsidRDefault="008D0446" w:rsidP="008D0446">
      <w:pPr>
        <w:pStyle w:val="BodyText"/>
      </w:pPr>
      <w:r w:rsidRPr="005911E2">
        <w:t xml:space="preserve">This </w:t>
      </w:r>
      <w:r w:rsidR="00767B5B">
        <w:t>chapter</w:t>
      </w:r>
      <w:r w:rsidR="00767B5B" w:rsidRPr="005911E2">
        <w:t xml:space="preserve"> </w:t>
      </w:r>
      <w:r w:rsidRPr="005911E2">
        <w:t xml:space="preserve">outlines the methodological approach to the evaluation and sets out the rationale for this approach. The details of the methods used in each component of the evaluation will be discussed as </w:t>
      </w:r>
      <w:r w:rsidR="00767B5B">
        <w:t xml:space="preserve">each of </w:t>
      </w:r>
      <w:r w:rsidRPr="005911E2">
        <w:t xml:space="preserve">those </w:t>
      </w:r>
      <w:r w:rsidR="00767B5B">
        <w:t xml:space="preserve">components </w:t>
      </w:r>
      <w:r w:rsidR="00F34C94" w:rsidRPr="005911E2">
        <w:t>is</w:t>
      </w:r>
      <w:r w:rsidRPr="005911E2">
        <w:t xml:space="preserve"> reported on. Here we outline the basic approach and how it has been adapted from the original Evaluation Framework (SPRC</w:t>
      </w:r>
      <w:r w:rsidR="00767B5B">
        <w:t xml:space="preserve"> &amp; AIFS</w:t>
      </w:r>
      <w:r w:rsidRPr="005911E2">
        <w:t>, 2010).</w:t>
      </w:r>
    </w:p>
    <w:p w:rsidR="008D0446" w:rsidRPr="005911E2" w:rsidRDefault="008D0446" w:rsidP="00616B0F">
      <w:pPr>
        <w:pStyle w:val="Heading2"/>
      </w:pPr>
      <w:bookmarkStart w:id="183" w:name="_Toc321225106"/>
      <w:bookmarkStart w:id="184" w:name="_Toc321254450"/>
      <w:bookmarkStart w:id="185" w:name="_Toc328601473"/>
      <w:bookmarkStart w:id="186" w:name="_Toc329870355"/>
      <w:bookmarkStart w:id="187" w:name="_Toc335915741"/>
      <w:r w:rsidRPr="005911E2">
        <w:t>Research methods</w:t>
      </w:r>
      <w:bookmarkEnd w:id="183"/>
      <w:bookmarkEnd w:id="184"/>
      <w:bookmarkEnd w:id="185"/>
      <w:bookmarkEnd w:id="186"/>
      <w:bookmarkEnd w:id="187"/>
    </w:p>
    <w:p w:rsidR="008D0446" w:rsidRPr="005911E2" w:rsidRDefault="008D0446" w:rsidP="008D0446">
      <w:pPr>
        <w:pStyle w:val="BodyText"/>
      </w:pPr>
      <w:r w:rsidRPr="005911E2">
        <w:t>The evaluation method for this report consisted of three components:</w:t>
      </w:r>
    </w:p>
    <w:p w:rsidR="002973F2" w:rsidRDefault="00ED2738" w:rsidP="004B4D01">
      <w:pPr>
        <w:pStyle w:val="ListBullet"/>
      </w:pPr>
      <w:r w:rsidRPr="005911E2">
        <w:t>a</w:t>
      </w:r>
      <w:r w:rsidR="008D0446" w:rsidRPr="005911E2">
        <w:t>nalysis of administrative data from Centrelink and other sources</w:t>
      </w:r>
    </w:p>
    <w:p w:rsidR="002973F2" w:rsidRDefault="00ED2738" w:rsidP="004B4D01">
      <w:pPr>
        <w:pStyle w:val="ListBullet"/>
      </w:pPr>
      <w:r w:rsidRPr="005911E2">
        <w:t>a</w:t>
      </w:r>
      <w:r w:rsidR="008D0446" w:rsidRPr="005911E2">
        <w:t xml:space="preserve">n online survey of service providers (intermediaries), supplemented by telephone and face to face interviews, and consultation with external stakeholders </w:t>
      </w:r>
    </w:p>
    <w:p w:rsidR="002973F2" w:rsidRDefault="00ED2738" w:rsidP="004B4D01">
      <w:pPr>
        <w:pStyle w:val="ListBullet"/>
      </w:pPr>
      <w:r w:rsidRPr="005911E2">
        <w:t>a</w:t>
      </w:r>
      <w:r w:rsidR="008D0446" w:rsidRPr="005911E2">
        <w:t xml:space="preserve"> survey of </w:t>
      </w:r>
      <w:r w:rsidR="003F3848">
        <w:t xml:space="preserve">people who were on income support payments and subject to </w:t>
      </w:r>
      <w:r w:rsidR="00767B5B">
        <w:t>income management</w:t>
      </w:r>
      <w:r w:rsidR="006435C8">
        <w:t xml:space="preserve"> </w:t>
      </w:r>
      <w:r w:rsidR="00BA05E4">
        <w:t xml:space="preserve">in the </w:t>
      </w:r>
      <w:r w:rsidR="006435C8">
        <w:t xml:space="preserve">Northern Territory </w:t>
      </w:r>
      <w:r w:rsidR="008D0446" w:rsidRPr="005911E2">
        <w:t xml:space="preserve">and </w:t>
      </w:r>
      <w:r w:rsidR="003F3848">
        <w:t>a similar survey of people on income support in locations</w:t>
      </w:r>
      <w:r w:rsidR="008D0446" w:rsidRPr="005911E2">
        <w:t xml:space="preserve"> outside of the </w:t>
      </w:r>
      <w:r w:rsidR="006435C8">
        <w:t>Northern Territory.</w:t>
      </w:r>
    </w:p>
    <w:p w:rsidR="008D0446" w:rsidRPr="005911E2" w:rsidRDefault="008D0446" w:rsidP="008D0446">
      <w:pPr>
        <w:pStyle w:val="BodyText"/>
      </w:pPr>
      <w:r w:rsidRPr="005911E2">
        <w:t>This report does not address the economic evaluation, for which findings will be provided in later reports.</w:t>
      </w:r>
      <w:r w:rsidR="0074268A" w:rsidRPr="005911E2">
        <w:t xml:space="preserve"> </w:t>
      </w:r>
    </w:p>
    <w:p w:rsidR="008D0446" w:rsidRPr="005911E2" w:rsidRDefault="008D0446" w:rsidP="00BD6DFD">
      <w:pPr>
        <w:pStyle w:val="Heading3"/>
      </w:pPr>
      <w:r w:rsidRPr="005911E2">
        <w:t xml:space="preserve">Analysis of administrative data </w:t>
      </w:r>
    </w:p>
    <w:p w:rsidR="008D0446" w:rsidRPr="005911E2" w:rsidRDefault="008D0446" w:rsidP="007B4471">
      <w:pPr>
        <w:pStyle w:val="Heading4"/>
      </w:pPr>
      <w:r w:rsidRPr="005911E2">
        <w:t>Data sources</w:t>
      </w:r>
    </w:p>
    <w:p w:rsidR="008D0446" w:rsidRPr="005911E2" w:rsidRDefault="008D0446" w:rsidP="008D0446">
      <w:pPr>
        <w:pStyle w:val="BodyText"/>
      </w:pPr>
      <w:r w:rsidRPr="005911E2">
        <w:t xml:space="preserve">All the data reported in these sections is derived from the central income support database maintained by Centrelink. This has been used by Centrelink and FaHCSIA staff to generate several secondary datasets that </w:t>
      </w:r>
      <w:r w:rsidR="00767B5B">
        <w:t xml:space="preserve">will be </w:t>
      </w:r>
      <w:r w:rsidRPr="005911E2">
        <w:t>use</w:t>
      </w:r>
      <w:r w:rsidR="00767B5B">
        <w:t>d</w:t>
      </w:r>
      <w:r w:rsidRPr="005911E2">
        <w:t xml:space="preserve"> for the analysis. These include:</w:t>
      </w:r>
    </w:p>
    <w:p w:rsidR="002973F2" w:rsidRDefault="00ED2738" w:rsidP="004B4D01">
      <w:pPr>
        <w:pStyle w:val="ListBullet"/>
      </w:pPr>
      <w:r w:rsidRPr="005911E2">
        <w:t>t</w:t>
      </w:r>
      <w:r w:rsidR="008D0446" w:rsidRPr="005911E2">
        <w:t xml:space="preserve">he FaHCSIA Housing Dataset. This dataset was originally generated for the purpose of examining housing costs and assistance policies. It has been augmented with information on income management for the purpose of this evaluation. The population </w:t>
      </w:r>
      <w:r w:rsidR="00767B5B">
        <w:t xml:space="preserve">dataset </w:t>
      </w:r>
      <w:r w:rsidR="008D0446" w:rsidRPr="005911E2">
        <w:t>is all Australians receiving income support payments, with data available for this project annually since</w:t>
      </w:r>
      <w:r w:rsidR="00F2725D" w:rsidRPr="005911E2">
        <w:t xml:space="preserve"> 2001 and quarterly since 2007</w:t>
      </w:r>
    </w:p>
    <w:p w:rsidR="002973F2" w:rsidRDefault="003F3848" w:rsidP="004B4D01">
      <w:pPr>
        <w:pStyle w:val="ListBullet"/>
      </w:pPr>
      <w:r>
        <w:t>a</w:t>
      </w:r>
      <w:r w:rsidR="00767B5B">
        <w:t xml:space="preserve"> </w:t>
      </w:r>
      <w:r w:rsidR="00ED2738" w:rsidRPr="005911E2">
        <w:t>q</w:t>
      </w:r>
      <w:r w:rsidR="008D0446" w:rsidRPr="005911E2">
        <w:t>uarterly snapshot data for all payment recipients</w:t>
      </w:r>
      <w:r w:rsidR="00F2725D" w:rsidRPr="005911E2">
        <w:t xml:space="preserve"> in Australia (since July 2010)</w:t>
      </w:r>
    </w:p>
    <w:p w:rsidR="002973F2" w:rsidRDefault="00ED2738" w:rsidP="004B4D01">
      <w:pPr>
        <w:pStyle w:val="ListBullet"/>
      </w:pPr>
      <w:r w:rsidRPr="005911E2">
        <w:t>c</w:t>
      </w:r>
      <w:r w:rsidR="008D0446" w:rsidRPr="005911E2">
        <w:t>urrent data on all income management clie</w:t>
      </w:r>
      <w:r w:rsidR="00F2725D" w:rsidRPr="005911E2">
        <w:t>nts (</w:t>
      </w:r>
      <w:r w:rsidR="00767B5B">
        <w:t>q</w:t>
      </w:r>
      <w:r w:rsidR="00F2725D" w:rsidRPr="005911E2">
        <w:t>uarterly since July 2010)</w:t>
      </w:r>
    </w:p>
    <w:p w:rsidR="002973F2" w:rsidRDefault="00ED2738" w:rsidP="004B4D01">
      <w:pPr>
        <w:pStyle w:val="ListBullet"/>
      </w:pPr>
      <w:r w:rsidRPr="005911E2">
        <w:t>t</w:t>
      </w:r>
      <w:r w:rsidR="008D0446" w:rsidRPr="005911E2">
        <w:t xml:space="preserve">ransaction data for </w:t>
      </w:r>
      <w:r w:rsidR="00767B5B">
        <w:t>income management</w:t>
      </w:r>
      <w:r w:rsidR="008D0446" w:rsidRPr="005911E2">
        <w:t xml:space="preserve"> clients, linked with data from the </w:t>
      </w:r>
      <w:r w:rsidR="00767B5B">
        <w:t>q</w:t>
      </w:r>
      <w:r w:rsidR="008D0446" w:rsidRPr="005911E2">
        <w:t xml:space="preserve">uarterly snapshots. </w:t>
      </w:r>
    </w:p>
    <w:p w:rsidR="008D0446" w:rsidRPr="005911E2" w:rsidRDefault="008D0446" w:rsidP="008D0446">
      <w:pPr>
        <w:pStyle w:val="BodyText"/>
      </w:pPr>
      <w:r w:rsidRPr="005911E2">
        <w:lastRenderedPageBreak/>
        <w:t xml:space="preserve">These data have been provided by FaHCSIA to the </w:t>
      </w:r>
      <w:r w:rsidR="00767B5B">
        <w:t xml:space="preserve">evaluation team </w:t>
      </w:r>
      <w:r w:rsidRPr="005911E2">
        <w:t>for the purposes of the evaluation of NIM under strict conditions of data security and confidentiality</w:t>
      </w:r>
      <w:r w:rsidR="00285EC1">
        <w:t>.</w:t>
      </w:r>
      <w:r w:rsidR="00907B5C">
        <w:t xml:space="preserve"> </w:t>
      </w:r>
      <w:r w:rsidR="00285EC1">
        <w:t>I</w:t>
      </w:r>
      <w:r w:rsidR="00907B5C">
        <w:t>ndividual identifiers such as names, addresses and Customer Reference Numbers were stripped from the records prior to being provided</w:t>
      </w:r>
      <w:r w:rsidR="00285EC1">
        <w:t xml:space="preserve"> to the SPRC</w:t>
      </w:r>
      <w:r w:rsidR="00FA3C10" w:rsidRPr="005911E2">
        <w:t>.</w:t>
      </w:r>
    </w:p>
    <w:p w:rsidR="008D0446" w:rsidRPr="005911E2" w:rsidRDefault="008D0446" w:rsidP="007B4471">
      <w:pPr>
        <w:pStyle w:val="Heading4"/>
      </w:pPr>
      <w:r w:rsidRPr="005911E2">
        <w:t xml:space="preserve">Availability of </w:t>
      </w:r>
      <w:r w:rsidR="00767B5B">
        <w:t>a</w:t>
      </w:r>
      <w:r w:rsidRPr="005911E2">
        <w:t xml:space="preserve">dministrative </w:t>
      </w:r>
      <w:r w:rsidR="00767B5B">
        <w:t>d</w:t>
      </w:r>
      <w:r w:rsidRPr="005911E2">
        <w:t>ata</w:t>
      </w:r>
    </w:p>
    <w:p w:rsidR="008D0446" w:rsidRPr="005911E2" w:rsidRDefault="008D0446" w:rsidP="008D0446">
      <w:pPr>
        <w:pStyle w:val="BodyText"/>
      </w:pPr>
      <w:r w:rsidRPr="005911E2">
        <w:t xml:space="preserve">During the course of the </w:t>
      </w:r>
      <w:r w:rsidR="00767B5B">
        <w:t>b</w:t>
      </w:r>
      <w:r w:rsidRPr="005911E2">
        <w:t>aseline study</w:t>
      </w:r>
      <w:r w:rsidR="00767B5B">
        <w:t>,</w:t>
      </w:r>
      <w:r w:rsidRPr="005911E2">
        <w:t xml:space="preserve"> numerous attempts were made by the evaluation team as well as </w:t>
      </w:r>
      <w:r w:rsidR="00767B5B">
        <w:t xml:space="preserve">by </w:t>
      </w:r>
      <w:r w:rsidRPr="005911E2">
        <w:t xml:space="preserve">FaHCSIA to obtain a wider range of data from sources other than Centrelink, including </w:t>
      </w:r>
      <w:r w:rsidR="00907B5C">
        <w:t>confidentialised individual le</w:t>
      </w:r>
      <w:r w:rsidR="00102C54">
        <w:t>vel</w:t>
      </w:r>
      <w:r w:rsidR="00907B5C">
        <w:t>,</w:t>
      </w:r>
      <w:r w:rsidR="00102C54">
        <w:t xml:space="preserve"> or detailed regional level</w:t>
      </w:r>
      <w:r w:rsidR="00907B5C">
        <w:t>,</w:t>
      </w:r>
      <w:r w:rsidRPr="005911E2">
        <w:t xml:space="preserve"> data on crime, hospital admissions, school attendance, alcohol consumption, health checks, NAPLAN results and school attendance.</w:t>
      </w:r>
      <w:r w:rsidR="0074268A" w:rsidRPr="005911E2">
        <w:t xml:space="preserve"> </w:t>
      </w:r>
      <w:r w:rsidRPr="005911E2">
        <w:t xml:space="preserve">Unfortunately these data </w:t>
      </w:r>
      <w:r w:rsidR="00907B5C">
        <w:t>have largely not been made available</w:t>
      </w:r>
      <w:r w:rsidR="00637712">
        <w:t>,</w:t>
      </w:r>
      <w:r w:rsidR="00907B5C">
        <w:t xml:space="preserve"> even in aggregate form</w:t>
      </w:r>
      <w:r w:rsidR="00637712">
        <w:t xml:space="preserve">. Further, </w:t>
      </w:r>
      <w:r w:rsidR="00907B5C">
        <w:t>to the extent aggregate data is available</w:t>
      </w:r>
      <w:r w:rsidR="00637712">
        <w:t>,</w:t>
      </w:r>
      <w:r w:rsidR="00907B5C">
        <w:t xml:space="preserve"> the most recent is for</w:t>
      </w:r>
      <w:r w:rsidRPr="005911E2">
        <w:t xml:space="preserve"> 2010 or </w:t>
      </w:r>
      <w:r w:rsidR="00907B5C">
        <w:t>early</w:t>
      </w:r>
      <w:r w:rsidRPr="005911E2">
        <w:t xml:space="preserve"> 2011</w:t>
      </w:r>
      <w:r w:rsidR="00907B5C">
        <w:t xml:space="preserve">. While such data may </w:t>
      </w:r>
      <w:r w:rsidRPr="005911E2">
        <w:t>provide a baseline for the evaluation of NIM</w:t>
      </w:r>
      <w:r w:rsidR="00D6034E">
        <w:t>,</w:t>
      </w:r>
      <w:r w:rsidRPr="005911E2">
        <w:t xml:space="preserve"> </w:t>
      </w:r>
      <w:r w:rsidR="00105170" w:rsidRPr="005911E2">
        <w:t xml:space="preserve">they </w:t>
      </w:r>
      <w:r w:rsidRPr="005911E2">
        <w:t>do not yet provide any insight into the effects of NIM at the population level.</w:t>
      </w:r>
      <w:r w:rsidR="0074268A" w:rsidRPr="005911E2">
        <w:t xml:space="preserve"> </w:t>
      </w:r>
      <w:r w:rsidRPr="005911E2">
        <w:t xml:space="preserve">In later reports we will provide updates of these data as they become available. It will </w:t>
      </w:r>
      <w:r w:rsidR="00102C54">
        <w:t>then</w:t>
      </w:r>
      <w:r w:rsidRPr="005911E2">
        <w:t xml:space="preserve"> be possible to track changes over time, at least at an aggregate level. The evaluation team will continue to seek individualised unit</w:t>
      </w:r>
      <w:r w:rsidR="00907B5C">
        <w:t>, or small area</w:t>
      </w:r>
      <w:r w:rsidRPr="005911E2">
        <w:t xml:space="preserve"> data which can be linked to </w:t>
      </w:r>
      <w:r w:rsidR="00D6034E">
        <w:t>income management</w:t>
      </w:r>
      <w:r w:rsidRPr="005911E2">
        <w:t xml:space="preserve"> in order to better match outcomes to individuals and families involved with </w:t>
      </w:r>
      <w:r w:rsidR="00D6034E">
        <w:t>N</w:t>
      </w:r>
      <w:r w:rsidRPr="005911E2">
        <w:t>IM.</w:t>
      </w:r>
      <w:r w:rsidR="00105170" w:rsidRPr="005911E2">
        <w:rPr>
          <w:rStyle w:val="FootnoteReference"/>
        </w:rPr>
        <w:footnoteReference w:id="40"/>
      </w:r>
    </w:p>
    <w:p w:rsidR="008D0446" w:rsidRPr="005911E2" w:rsidRDefault="008D0446" w:rsidP="008D0446">
      <w:pPr>
        <w:pStyle w:val="BodyText"/>
      </w:pPr>
      <w:r w:rsidRPr="005911E2">
        <w:t>There are some inherent limitations as to what the administrative data can tell about the operation of NIM.</w:t>
      </w:r>
      <w:r w:rsidR="0074268A" w:rsidRPr="005911E2">
        <w:t xml:space="preserve"> </w:t>
      </w:r>
      <w:r w:rsidRPr="005911E2">
        <w:t>Most notably</w:t>
      </w:r>
      <w:r w:rsidR="00102C54">
        <w:t>,</w:t>
      </w:r>
      <w:r w:rsidRPr="005911E2">
        <w:t xml:space="preserve"> the primary aim of NIM is to change the spending patterns of people on income support.</w:t>
      </w:r>
      <w:r w:rsidR="0074268A" w:rsidRPr="005911E2">
        <w:t xml:space="preserve"> </w:t>
      </w:r>
      <w:r w:rsidRPr="005911E2">
        <w:t>The financial data only provides information on what people spent with the proportion of their income which is income managed.</w:t>
      </w:r>
      <w:r w:rsidR="0074268A" w:rsidRPr="005911E2">
        <w:t xml:space="preserve"> </w:t>
      </w:r>
      <w:r w:rsidRPr="005911E2">
        <w:t>There are no data on how people spend the discretionary portion of their income (and these data will not be available to the evaluation in the future).</w:t>
      </w:r>
      <w:r w:rsidR="0074268A" w:rsidRPr="005911E2">
        <w:t xml:space="preserve"> </w:t>
      </w:r>
      <w:r w:rsidRPr="005911E2">
        <w:t xml:space="preserve">We also have no data on spending patterns before the introduction of </w:t>
      </w:r>
      <w:r w:rsidR="00F878E4">
        <w:t>income management</w:t>
      </w:r>
      <w:r w:rsidR="00102C54">
        <w:t>, nor of spending patterns of people who have exited from NIM</w:t>
      </w:r>
      <w:r w:rsidRPr="005911E2">
        <w:t>.</w:t>
      </w:r>
      <w:r w:rsidR="0074268A" w:rsidRPr="005911E2">
        <w:t xml:space="preserve"> </w:t>
      </w:r>
      <w:r w:rsidRPr="005911E2">
        <w:t>Thus the evaluation will not have a complete picture of spending patterns and how they change over time.</w:t>
      </w:r>
      <w:r w:rsidR="0074268A" w:rsidRPr="005911E2">
        <w:t xml:space="preserve"> </w:t>
      </w:r>
    </w:p>
    <w:p w:rsidR="008D0446" w:rsidRPr="005911E2" w:rsidRDefault="008D0446" w:rsidP="00BD6DFD">
      <w:pPr>
        <w:pStyle w:val="Heading3"/>
      </w:pPr>
      <w:r w:rsidRPr="005911E2">
        <w:t>Primary data collection with key stakeholders</w:t>
      </w:r>
    </w:p>
    <w:p w:rsidR="008D0446" w:rsidRPr="005911E2" w:rsidRDefault="008D0446" w:rsidP="008D0446">
      <w:pPr>
        <w:pStyle w:val="BodyText"/>
      </w:pPr>
      <w:r w:rsidRPr="005911E2">
        <w:t xml:space="preserve">The primary data collection with key stakeholders involves </w:t>
      </w:r>
      <w:r w:rsidR="002C4070">
        <w:t>four</w:t>
      </w:r>
      <w:r w:rsidRPr="005911E2">
        <w:t xml:space="preserve"> components:</w:t>
      </w:r>
    </w:p>
    <w:p w:rsidR="002973F2" w:rsidRDefault="008D0446" w:rsidP="004B4D01">
      <w:pPr>
        <w:pStyle w:val="ListBullet"/>
      </w:pPr>
      <w:r w:rsidRPr="005911E2">
        <w:t>qualitative interviews (primarily face to face, as well as via the telephone) with a sample of staff from Centrelink,</w:t>
      </w:r>
      <w:r w:rsidR="006435C8">
        <w:t xml:space="preserve"> Northern Territory </w:t>
      </w:r>
      <w:r w:rsidR="00C705F6" w:rsidRPr="005911E2">
        <w:t>Department of Children and Families (</w:t>
      </w:r>
      <w:r w:rsidRPr="005911E2">
        <w:t>DCF</w:t>
      </w:r>
      <w:r w:rsidR="00C705F6" w:rsidRPr="005911E2">
        <w:t>)</w:t>
      </w:r>
      <w:r w:rsidRPr="005911E2">
        <w:t xml:space="preserve"> child protection</w:t>
      </w:r>
      <w:r w:rsidR="00D6034E">
        <w:t>,</w:t>
      </w:r>
      <w:r w:rsidR="00B62B2D">
        <w:t xml:space="preserve"> </w:t>
      </w:r>
      <w:r w:rsidRPr="005911E2">
        <w:t xml:space="preserve">and Commonwealth funded </w:t>
      </w:r>
      <w:r w:rsidR="00B450CA">
        <w:t>m</w:t>
      </w:r>
      <w:r w:rsidR="00553384" w:rsidRPr="005911E2">
        <w:t xml:space="preserve">oney </w:t>
      </w:r>
      <w:r w:rsidR="00B450CA">
        <w:t>m</w:t>
      </w:r>
      <w:r w:rsidR="00553384" w:rsidRPr="005911E2">
        <w:t>anagement</w:t>
      </w:r>
      <w:r w:rsidRPr="005911E2">
        <w:t xml:space="preserve"> and financial counselling services</w:t>
      </w:r>
    </w:p>
    <w:p w:rsidR="002973F2" w:rsidRDefault="00102C54" w:rsidP="004B4D01">
      <w:pPr>
        <w:pStyle w:val="ListBullet"/>
      </w:pPr>
      <w:r>
        <w:t>an online</w:t>
      </w:r>
      <w:r w:rsidR="008D0446" w:rsidRPr="005911E2">
        <w:t xml:space="preserve"> survey </w:t>
      </w:r>
      <w:r w:rsidR="0041164A">
        <w:t>which invited</w:t>
      </w:r>
      <w:r w:rsidR="0041164A" w:rsidRPr="005911E2">
        <w:t xml:space="preserve"> </w:t>
      </w:r>
      <w:r w:rsidR="008D0446" w:rsidRPr="005911E2">
        <w:t>all staff involved in NIM from Centrelink,</w:t>
      </w:r>
      <w:r w:rsidR="006435C8">
        <w:t xml:space="preserve"> Northern Territory </w:t>
      </w:r>
      <w:r w:rsidR="008D0446" w:rsidRPr="005911E2">
        <w:t xml:space="preserve">Department of Children and Families </w:t>
      </w:r>
      <w:r w:rsidR="00D6034E">
        <w:t xml:space="preserve">child protection workers </w:t>
      </w:r>
      <w:r w:rsidR="008D0446" w:rsidRPr="005911E2">
        <w:t xml:space="preserve">(referred to as DCF child protection for the rest of this report) and Commonwealth funded </w:t>
      </w:r>
      <w:r w:rsidR="00B450CA">
        <w:t>m</w:t>
      </w:r>
      <w:r w:rsidR="008D0446" w:rsidRPr="005911E2">
        <w:t xml:space="preserve">oney </w:t>
      </w:r>
      <w:r w:rsidR="00B450CA">
        <w:t>m</w:t>
      </w:r>
      <w:r w:rsidR="008D0446" w:rsidRPr="005911E2">
        <w:t xml:space="preserve">anagement and </w:t>
      </w:r>
      <w:r w:rsidR="00D6034E">
        <w:t>f</w:t>
      </w:r>
      <w:r w:rsidR="008D0446" w:rsidRPr="005911E2">
        <w:t xml:space="preserve">inancial </w:t>
      </w:r>
      <w:r w:rsidR="00D6034E">
        <w:t>c</w:t>
      </w:r>
      <w:r w:rsidR="008D0446" w:rsidRPr="005911E2">
        <w:t>ounselling services</w:t>
      </w:r>
    </w:p>
    <w:p w:rsidR="002973F2" w:rsidRDefault="008D0446" w:rsidP="004B4D01">
      <w:pPr>
        <w:pStyle w:val="ListBullet"/>
      </w:pPr>
      <w:r w:rsidRPr="005911E2">
        <w:lastRenderedPageBreak/>
        <w:t xml:space="preserve">a telephone survey of a sample of </w:t>
      </w:r>
      <w:r w:rsidR="00D6034E">
        <w:t>m</w:t>
      </w:r>
      <w:r w:rsidRPr="005911E2">
        <w:t>erchants</w:t>
      </w:r>
      <w:r w:rsidR="00ED2738" w:rsidRPr="005911E2">
        <w:t xml:space="preserve"> who are registered to </w:t>
      </w:r>
      <w:r w:rsidR="00D6034E">
        <w:t xml:space="preserve">accept </w:t>
      </w:r>
      <w:r w:rsidR="00ED2738" w:rsidRPr="005911E2">
        <w:t>the BasicsCard</w:t>
      </w:r>
    </w:p>
    <w:p w:rsidR="002973F2" w:rsidRDefault="008D0446" w:rsidP="004B4D01">
      <w:pPr>
        <w:pStyle w:val="ListBullet"/>
      </w:pPr>
      <w:r w:rsidRPr="005911E2">
        <w:t xml:space="preserve">consultation with service providers and peak bodies not included in the baseline surveys/interviews. </w:t>
      </w:r>
    </w:p>
    <w:p w:rsidR="008D0446" w:rsidRPr="005911E2" w:rsidRDefault="008D0446" w:rsidP="007B4471">
      <w:pPr>
        <w:pStyle w:val="Heading4"/>
      </w:pPr>
      <w:r w:rsidRPr="005911E2">
        <w:t>Survey content</w:t>
      </w:r>
    </w:p>
    <w:p w:rsidR="008D0446" w:rsidRPr="005911E2" w:rsidRDefault="008D0446" w:rsidP="008D0446">
      <w:pPr>
        <w:pStyle w:val="BodyText"/>
      </w:pPr>
      <w:r w:rsidRPr="005911E2">
        <w:t>The survey of Centrelink, DCF child protection and money management and financial counselling services covers the following areas:</w:t>
      </w:r>
    </w:p>
    <w:p w:rsidR="002973F2" w:rsidRDefault="008D0446" w:rsidP="004B4D01">
      <w:pPr>
        <w:pStyle w:val="ListBullet"/>
      </w:pPr>
      <w:r w:rsidRPr="005911E2">
        <w:t>preparedness to implement NIM (training, information)</w:t>
      </w:r>
    </w:p>
    <w:p w:rsidR="002973F2" w:rsidRDefault="008D0446" w:rsidP="004B4D01">
      <w:pPr>
        <w:pStyle w:val="ListBullet"/>
      </w:pPr>
      <w:r w:rsidRPr="005911E2">
        <w:t>knowledge of NIM and how to implement it</w:t>
      </w:r>
    </w:p>
    <w:p w:rsidR="002973F2" w:rsidRDefault="008D0446" w:rsidP="004B4D01">
      <w:pPr>
        <w:pStyle w:val="ListBullet"/>
      </w:pPr>
      <w:r w:rsidRPr="005911E2">
        <w:t>attitudes and expectations of what it will achieve</w:t>
      </w:r>
    </w:p>
    <w:p w:rsidR="002973F2" w:rsidRDefault="008D0446" w:rsidP="004B4D01">
      <w:pPr>
        <w:pStyle w:val="ListBullet"/>
      </w:pPr>
      <w:r w:rsidRPr="005911E2">
        <w:t>resources available to staff to implement NIM (training and other resources)</w:t>
      </w:r>
    </w:p>
    <w:p w:rsidR="002973F2" w:rsidRDefault="008D0446" w:rsidP="004B4D01">
      <w:pPr>
        <w:pStyle w:val="ListBullet"/>
      </w:pPr>
      <w:r w:rsidRPr="005911E2">
        <w:t>inter-agency collaboration (referrals, protocols)</w:t>
      </w:r>
    </w:p>
    <w:p w:rsidR="002973F2" w:rsidRDefault="008D0446" w:rsidP="004B4D01">
      <w:pPr>
        <w:pStyle w:val="ListBullet"/>
      </w:pPr>
      <w:r w:rsidRPr="005911E2">
        <w:t>outcomes (early impacts on clients).</w:t>
      </w:r>
    </w:p>
    <w:p w:rsidR="008D0446" w:rsidRPr="005911E2" w:rsidRDefault="008D0446" w:rsidP="008D0446">
      <w:pPr>
        <w:pStyle w:val="BodyText"/>
      </w:pPr>
      <w:r w:rsidRPr="005911E2">
        <w:t xml:space="preserve">The survey of merchants explores the potential impact of NIM on their stores, how this might affect their customers and their own attitudes towards NIM and the use of the </w:t>
      </w:r>
      <w:r w:rsidR="00961FB9" w:rsidRPr="005911E2">
        <w:t>BasicsCard</w:t>
      </w:r>
      <w:r w:rsidRPr="005911E2">
        <w:t>.</w:t>
      </w:r>
    </w:p>
    <w:p w:rsidR="008D0446" w:rsidRPr="005911E2" w:rsidRDefault="008D0446" w:rsidP="008D0446">
      <w:pPr>
        <w:pStyle w:val="BodyText"/>
      </w:pPr>
      <w:r w:rsidRPr="005911E2">
        <w:t>A more detailed description of the primary data colle</w:t>
      </w:r>
      <w:r w:rsidR="000E1E89" w:rsidRPr="005911E2">
        <w:t xml:space="preserve">ction is provided in </w:t>
      </w:r>
      <w:r w:rsidR="0042319F" w:rsidRPr="005911E2">
        <w:t xml:space="preserve">Chapter </w:t>
      </w:r>
      <w:r w:rsidR="008476E4" w:rsidRPr="005911E2">
        <w:t>10</w:t>
      </w:r>
      <w:r w:rsidRPr="005911E2">
        <w:t xml:space="preserve">, and the survey instruments are provided in </w:t>
      </w:r>
      <w:r w:rsidR="008476E4" w:rsidRPr="005911E2">
        <w:t>Appendix</w:t>
      </w:r>
      <w:r w:rsidR="00A7506C">
        <w:t> </w:t>
      </w:r>
      <w:r w:rsidR="0027077D">
        <w:t>C</w:t>
      </w:r>
      <w:r w:rsidR="0042319F" w:rsidRPr="005911E2">
        <w:t>.</w:t>
      </w:r>
    </w:p>
    <w:p w:rsidR="008D0446" w:rsidRPr="005911E2" w:rsidRDefault="008D0446" w:rsidP="008D0446">
      <w:pPr>
        <w:pStyle w:val="BodyText"/>
      </w:pPr>
      <w:r w:rsidRPr="005911E2">
        <w:t>It is intended to conduct two further surveys of stakeholders for this evaluation – in late 2012 and again in late 2013. This will enable the evaluation to examine the longer term implications of implementing NIM and the effects of refinements to the policy which may occur over time.</w:t>
      </w:r>
    </w:p>
    <w:p w:rsidR="008D0446" w:rsidRPr="005911E2" w:rsidRDefault="00ED2738" w:rsidP="00BD6DFD">
      <w:pPr>
        <w:pStyle w:val="Heading3"/>
      </w:pPr>
      <w:r w:rsidRPr="005911E2">
        <w:t>Lon</w:t>
      </w:r>
      <w:r w:rsidR="00F812AD" w:rsidRPr="005911E2">
        <w:t xml:space="preserve">gitudinal </w:t>
      </w:r>
      <w:r w:rsidR="00900FCF">
        <w:t>s</w:t>
      </w:r>
      <w:r w:rsidR="00F812AD" w:rsidRPr="005911E2">
        <w:t>urvey of New Income Management</w:t>
      </w:r>
      <w:r w:rsidR="00C271F5" w:rsidRPr="005911E2">
        <w:t>,</w:t>
      </w:r>
      <w:r w:rsidR="008D0446" w:rsidRPr="005911E2">
        <w:t xml:space="preserve"> </w:t>
      </w:r>
      <w:r w:rsidR="00C271F5" w:rsidRPr="005911E2">
        <w:t>W</w:t>
      </w:r>
      <w:r w:rsidR="008D0446" w:rsidRPr="005911E2">
        <w:t xml:space="preserve">ave 1 </w:t>
      </w:r>
    </w:p>
    <w:p w:rsidR="008D0446" w:rsidRPr="005911E2" w:rsidRDefault="008D0446" w:rsidP="008D0446">
      <w:pPr>
        <w:pStyle w:val="BodyText"/>
      </w:pPr>
      <w:r w:rsidRPr="005911E2">
        <w:t xml:space="preserve">One of the important unknowns about NIM is the extent to which those individuals subject to </w:t>
      </w:r>
      <w:r w:rsidR="00D6034E">
        <w:t>income management</w:t>
      </w:r>
      <w:r w:rsidRPr="005911E2">
        <w:t xml:space="preserve"> believe that it has had a positive (or negative) impact on their lives, and if so, why. This question cannot be answered through analysis of administrative data and it was therefore decided to conduct a survey of people who ha</w:t>
      </w:r>
      <w:r w:rsidR="00D6034E">
        <w:t>ve</w:t>
      </w:r>
      <w:r w:rsidRPr="005911E2">
        <w:t xml:space="preserve"> experienced </w:t>
      </w:r>
      <w:r w:rsidR="00D6034E">
        <w:t>income management</w:t>
      </w:r>
      <w:r w:rsidRPr="005911E2">
        <w:t xml:space="preserve">. Another purpose of the survey is to provide an opportunity for those subject to </w:t>
      </w:r>
      <w:r w:rsidR="00D6034E">
        <w:t>income man</w:t>
      </w:r>
      <w:r w:rsidR="00900FCF">
        <w:t>a</w:t>
      </w:r>
      <w:r w:rsidR="00D6034E">
        <w:t>gement</w:t>
      </w:r>
      <w:r w:rsidRPr="005911E2">
        <w:t xml:space="preserve"> to </w:t>
      </w:r>
      <w:r w:rsidR="00D6034E">
        <w:t xml:space="preserve">provide </w:t>
      </w:r>
      <w:r w:rsidRPr="005911E2">
        <w:t>feed</w:t>
      </w:r>
      <w:r w:rsidR="00D6034E">
        <w:t>back</w:t>
      </w:r>
      <w:r w:rsidR="00102C54">
        <w:t>;</w:t>
      </w:r>
      <w:r w:rsidR="00D6034E">
        <w:t xml:space="preserve"> both</w:t>
      </w:r>
      <w:r w:rsidRPr="005911E2">
        <w:t xml:space="preserve"> into this evaluation</w:t>
      </w:r>
      <w:r w:rsidR="00CD6407">
        <w:t>,</w:t>
      </w:r>
      <w:r w:rsidRPr="005911E2">
        <w:t xml:space="preserve"> and into the </w:t>
      </w:r>
      <w:r w:rsidR="00D6034E">
        <w:t xml:space="preserve">overall </w:t>
      </w:r>
      <w:r w:rsidRPr="005911E2">
        <w:t xml:space="preserve">policy making process. This cohort will be followed up in 2013 to identify the longer term impacts of </w:t>
      </w:r>
      <w:r w:rsidR="00FA2B8A">
        <w:t>income management</w:t>
      </w:r>
      <w:r w:rsidRPr="005911E2">
        <w:t>.</w:t>
      </w:r>
      <w:r w:rsidR="0074268A" w:rsidRPr="005911E2">
        <w:t xml:space="preserve"> </w:t>
      </w:r>
    </w:p>
    <w:p w:rsidR="008D0446" w:rsidRPr="005911E2" w:rsidRDefault="008D0446" w:rsidP="008D0446">
      <w:pPr>
        <w:pStyle w:val="BodyText"/>
      </w:pPr>
      <w:r w:rsidRPr="005911E2">
        <w:t>A survey was conducted of people in the</w:t>
      </w:r>
      <w:r w:rsidR="006435C8">
        <w:t xml:space="preserve"> Northern Territory </w:t>
      </w:r>
      <w:r w:rsidRPr="005911E2">
        <w:t xml:space="preserve">who had been subject to </w:t>
      </w:r>
      <w:r w:rsidR="00FA2B8A">
        <w:t>income management</w:t>
      </w:r>
      <w:r w:rsidRPr="005911E2">
        <w:t xml:space="preserve">, and </w:t>
      </w:r>
      <w:r w:rsidR="00FA2B8A">
        <w:t xml:space="preserve">a </w:t>
      </w:r>
      <w:r w:rsidRPr="005911E2">
        <w:t>contrast group of Centrelink clients in similar circumstances in remote and regional locations in Queensland, South Australia and Western Australia. One tenth of the</w:t>
      </w:r>
      <w:r w:rsidR="006435C8">
        <w:t xml:space="preserve"> Northern Territory </w:t>
      </w:r>
      <w:r w:rsidRPr="005911E2">
        <w:t xml:space="preserve">respondents were asked to participate in a qualitative </w:t>
      </w:r>
      <w:r w:rsidR="00FA2B8A">
        <w:t xml:space="preserve">in </w:t>
      </w:r>
      <w:r w:rsidRPr="005911E2">
        <w:t xml:space="preserve">depth interview to examine in more detail the impact of </w:t>
      </w:r>
      <w:r w:rsidR="00FA2B8A">
        <w:t xml:space="preserve">income management </w:t>
      </w:r>
      <w:r w:rsidRPr="005911E2">
        <w:t>on their family, their experiences of the BasicsCard</w:t>
      </w:r>
      <w:r w:rsidR="00FA2B8A">
        <w:t>,</w:t>
      </w:r>
      <w:r w:rsidRPr="005911E2">
        <w:t xml:space="preserve"> and their motivations for staying on or attempting to move off </w:t>
      </w:r>
      <w:r w:rsidR="00FA2B8A">
        <w:t>income management</w:t>
      </w:r>
      <w:r w:rsidRPr="005911E2">
        <w:t>.</w:t>
      </w:r>
    </w:p>
    <w:p w:rsidR="008D0446" w:rsidRPr="005911E2" w:rsidRDefault="008D0446" w:rsidP="008D0446">
      <w:pPr>
        <w:pStyle w:val="BodyText"/>
      </w:pPr>
      <w:r w:rsidRPr="005911E2">
        <w:t xml:space="preserve">The purpose of the survey was to gather the views of people who had been subject to </w:t>
      </w:r>
      <w:r w:rsidR="00FA2B8A">
        <w:t xml:space="preserve">income management </w:t>
      </w:r>
      <w:r w:rsidRPr="005911E2">
        <w:t xml:space="preserve">on the impact of </w:t>
      </w:r>
      <w:r w:rsidR="00FA2B8A">
        <w:t xml:space="preserve">income management </w:t>
      </w:r>
      <w:r w:rsidRPr="005911E2">
        <w:t xml:space="preserve">on their </w:t>
      </w:r>
      <w:r w:rsidRPr="005911E2">
        <w:lastRenderedPageBreak/>
        <w:t xml:space="preserve">own wellbeing and that of their families and communities, and the changes which have taken place since the introduction of </w:t>
      </w:r>
      <w:r w:rsidR="00FA2B8A">
        <w:t>the new scheme</w:t>
      </w:r>
      <w:r w:rsidRPr="005911E2">
        <w:t>.</w:t>
      </w:r>
      <w:r w:rsidR="0074268A" w:rsidRPr="005911E2">
        <w:t xml:space="preserve"> </w:t>
      </w:r>
      <w:r w:rsidRPr="005911E2">
        <w:t xml:space="preserve">The survey also asked about their interactions with Centrelink, whether they had tried to exempt themselves from </w:t>
      </w:r>
      <w:r w:rsidR="00F878E4">
        <w:t>income management</w:t>
      </w:r>
      <w:r w:rsidR="00FA2B8A">
        <w:t>,</w:t>
      </w:r>
      <w:r w:rsidRPr="005911E2">
        <w:t xml:space="preserve"> and what other services they had accessed. A </w:t>
      </w:r>
      <w:r w:rsidR="00FA3C10" w:rsidRPr="005911E2">
        <w:t xml:space="preserve">summary </w:t>
      </w:r>
      <w:r w:rsidRPr="005911E2">
        <w:t xml:space="preserve">report of the fieldwork is provided in </w:t>
      </w:r>
      <w:r w:rsidR="008476E4" w:rsidRPr="005911E2">
        <w:t xml:space="preserve">Appendix </w:t>
      </w:r>
      <w:r w:rsidR="0027077D">
        <w:t xml:space="preserve">B </w:t>
      </w:r>
      <w:r w:rsidR="00FA2B8A">
        <w:t xml:space="preserve">and a </w:t>
      </w:r>
      <w:r w:rsidR="00FA2B8A" w:rsidRPr="005911E2">
        <w:t>copy of the questionnaire is provided at Appendix</w:t>
      </w:r>
      <w:r w:rsidR="00EC1B1F">
        <w:t> </w:t>
      </w:r>
      <w:r w:rsidR="0027077D">
        <w:t>C</w:t>
      </w:r>
      <w:r w:rsidR="00FA2B8A">
        <w:t>.</w:t>
      </w:r>
    </w:p>
    <w:p w:rsidR="008D0446" w:rsidRPr="005911E2" w:rsidRDefault="008D0446" w:rsidP="008D0446">
      <w:pPr>
        <w:pStyle w:val="BodyText"/>
      </w:pPr>
      <w:r w:rsidRPr="005911E2">
        <w:t xml:space="preserve">The survey will be repeated in 2013 and the cohort will be followed up so that the evaluation will be able to examine the longer term </w:t>
      </w:r>
      <w:r w:rsidR="00C271F5" w:rsidRPr="005911E2">
        <w:t xml:space="preserve">effects of </w:t>
      </w:r>
      <w:r w:rsidR="00FA2B8A">
        <w:t>income management</w:t>
      </w:r>
      <w:r w:rsidR="00C271F5" w:rsidRPr="005911E2">
        <w:t xml:space="preserve"> on participants. </w:t>
      </w:r>
      <w:r w:rsidR="00285EC1">
        <w:t xml:space="preserve">Eighty five per cent of respondents to the first wave of the LSNIM agreed to participate in the second wave. </w:t>
      </w:r>
      <w:r w:rsidRPr="005911E2">
        <w:t xml:space="preserve">By comparing changes in the intervention population with the comparison group who were not subject to </w:t>
      </w:r>
      <w:r w:rsidR="00FA2B8A">
        <w:t>income management,</w:t>
      </w:r>
      <w:r w:rsidRPr="005911E2">
        <w:t xml:space="preserve"> we will be </w:t>
      </w:r>
      <w:r w:rsidR="00480D29" w:rsidRPr="005911E2">
        <w:t>seeking</w:t>
      </w:r>
      <w:r w:rsidRPr="005911E2">
        <w:t xml:space="preserve"> to assess whether changes in the lives of participants and their families have been a result of IM or whether other factors are at work.</w:t>
      </w:r>
      <w:r w:rsidR="0074268A" w:rsidRPr="005911E2">
        <w:t xml:space="preserve"> </w:t>
      </w:r>
      <w:r w:rsidR="00D7627F">
        <w:t>T</w:t>
      </w:r>
      <w:r w:rsidRPr="005911E2">
        <w:t xml:space="preserve">he first wave can only tell us about participants’ perceptions of changes in their lives, and their views about the extent to which those changes have come about as a result of </w:t>
      </w:r>
      <w:r w:rsidR="00FA2B8A">
        <w:t>income management</w:t>
      </w:r>
      <w:r w:rsidR="00614538" w:rsidRPr="005911E2">
        <w:t>.</w:t>
      </w:r>
      <w:r w:rsidR="00614538">
        <w:t xml:space="preserve"> </w:t>
      </w:r>
    </w:p>
    <w:p w:rsidR="008D0446" w:rsidRPr="005911E2" w:rsidRDefault="008D0446" w:rsidP="008D0446">
      <w:pPr>
        <w:pStyle w:val="BodyText"/>
      </w:pPr>
      <w:r w:rsidRPr="005911E2">
        <w:t>The survey was conducted by Colmar Brunton Social Research.</w:t>
      </w:r>
      <w:r w:rsidR="0074268A" w:rsidRPr="005911E2">
        <w:t xml:space="preserve"> </w:t>
      </w:r>
      <w:r w:rsidRPr="005911E2">
        <w:t xml:space="preserve">Details of the sampling strategy, recruitment and survey methods are described in more detail in </w:t>
      </w:r>
      <w:r w:rsidR="008476E4" w:rsidRPr="005911E2">
        <w:t xml:space="preserve">Appendix </w:t>
      </w:r>
      <w:r w:rsidR="0027077D">
        <w:t>B</w:t>
      </w:r>
      <w:r w:rsidR="0042319F" w:rsidRPr="005911E2">
        <w:t xml:space="preserve">. </w:t>
      </w:r>
      <w:r w:rsidRPr="005911E2">
        <w:t>Here we provide a summary of the research sample.</w:t>
      </w:r>
    </w:p>
    <w:p w:rsidR="008D0446" w:rsidRPr="005911E2" w:rsidRDefault="008D0446" w:rsidP="007B4471">
      <w:pPr>
        <w:pStyle w:val="Heading4"/>
      </w:pPr>
      <w:r w:rsidRPr="005911E2">
        <w:t>Sample</w:t>
      </w:r>
    </w:p>
    <w:p w:rsidR="008D0446" w:rsidRPr="005911E2" w:rsidRDefault="008D0446" w:rsidP="008D0446">
      <w:pPr>
        <w:pStyle w:val="BodyText"/>
      </w:pPr>
      <w:r w:rsidRPr="005911E2">
        <w:t>It was originally intended to interview 1</w:t>
      </w:r>
      <w:r w:rsidR="00285EC1">
        <w:t> </w:t>
      </w:r>
      <w:r w:rsidRPr="005911E2">
        <w:t>000 people in the</w:t>
      </w:r>
      <w:r w:rsidR="006435C8">
        <w:t xml:space="preserve"> Northern Territory </w:t>
      </w:r>
      <w:r w:rsidRPr="005911E2">
        <w:t xml:space="preserve">and 300 </w:t>
      </w:r>
      <w:r w:rsidR="00B618C6">
        <w:t xml:space="preserve">in contrast sites outside of the </w:t>
      </w:r>
      <w:r w:rsidR="006435C8">
        <w:t>Northern Territory.</w:t>
      </w:r>
      <w:r w:rsidR="0074268A" w:rsidRPr="005911E2">
        <w:t xml:space="preserve"> </w:t>
      </w:r>
      <w:r w:rsidRPr="005911E2">
        <w:t xml:space="preserve">In the end the </w:t>
      </w:r>
      <w:r w:rsidR="00420C48">
        <w:t xml:space="preserve">total </w:t>
      </w:r>
      <w:r w:rsidRPr="005911E2">
        <w:t xml:space="preserve">number of participants </w:t>
      </w:r>
      <w:r w:rsidR="000D0050">
        <w:t>was 1</w:t>
      </w:r>
      <w:r w:rsidR="00285EC1">
        <w:t> </w:t>
      </w:r>
      <w:r w:rsidR="000D0050">
        <w:t>123.</w:t>
      </w:r>
      <w:r w:rsidR="00B62B2D">
        <w:t xml:space="preserve"> </w:t>
      </w:r>
      <w:r w:rsidR="000D0050">
        <w:t xml:space="preserve">This comprised 305 in the contrast sites and 818 </w:t>
      </w:r>
      <w:r w:rsidRPr="005911E2">
        <w:t>in t</w:t>
      </w:r>
      <w:r w:rsidR="00480D29" w:rsidRPr="005911E2">
        <w:t xml:space="preserve">he </w:t>
      </w:r>
      <w:r w:rsidR="006435C8">
        <w:t>Northern Territory.</w:t>
      </w:r>
      <w:r w:rsidR="00B62B2D">
        <w:t xml:space="preserve"> </w:t>
      </w:r>
      <w:r w:rsidR="00420C48">
        <w:t xml:space="preserve">The </w:t>
      </w:r>
      <w:r w:rsidR="00480D29" w:rsidRPr="005911E2">
        <w:t>10 per cent</w:t>
      </w:r>
      <w:r w:rsidRPr="005911E2">
        <w:t xml:space="preserve"> short</w:t>
      </w:r>
      <w:r w:rsidR="00420C48">
        <w:t>fall of</w:t>
      </w:r>
      <w:r w:rsidR="006435C8">
        <w:t xml:space="preserve"> Northern Territory </w:t>
      </w:r>
      <w:r w:rsidR="00420C48">
        <w:t xml:space="preserve">interviewees </w:t>
      </w:r>
      <w:r w:rsidR="000D0050">
        <w:t xml:space="preserve">was as a result of problems </w:t>
      </w:r>
      <w:r w:rsidR="00767227">
        <w:t>with gaining cooperation from the non-Indigenous population.</w:t>
      </w:r>
    </w:p>
    <w:p w:rsidR="008D0446" w:rsidRPr="005911E2" w:rsidRDefault="008D0446" w:rsidP="007B4471">
      <w:pPr>
        <w:pStyle w:val="Heading4"/>
      </w:pPr>
      <w:r w:rsidRPr="005911E2">
        <w:t>Survey sites</w:t>
      </w:r>
    </w:p>
    <w:p w:rsidR="008D0446" w:rsidRPr="005911E2" w:rsidRDefault="008D0446" w:rsidP="008D0446">
      <w:pPr>
        <w:pStyle w:val="BodyText"/>
      </w:pPr>
      <w:r w:rsidRPr="005911E2">
        <w:t>Participants were randomly selected from the Centrelink client database.</w:t>
      </w:r>
    </w:p>
    <w:p w:rsidR="008D0446" w:rsidRPr="005911E2" w:rsidRDefault="008D0446" w:rsidP="008D0446">
      <w:pPr>
        <w:pStyle w:val="BodyText"/>
      </w:pPr>
      <w:r w:rsidRPr="005911E2">
        <w:t xml:space="preserve">The research sites were chosen to reflect the diversity of the </w:t>
      </w:r>
      <w:r w:rsidR="006435C8">
        <w:t>Northern Territory.</w:t>
      </w:r>
      <w:r w:rsidR="0074268A" w:rsidRPr="005911E2">
        <w:t xml:space="preserve"> </w:t>
      </w:r>
      <w:r w:rsidRPr="005911E2">
        <w:t>Six remote Indigenous communities were chosen, three in the Top End and three in central Australia. In addition</w:t>
      </w:r>
      <w:r w:rsidR="00420C48">
        <w:t>,</w:t>
      </w:r>
      <w:r w:rsidRPr="005911E2">
        <w:t xml:space="preserve"> interviews were conducted in Darwin and Alice Springs (including nearby communities and town camps).</w:t>
      </w:r>
      <w:r w:rsidR="0074268A" w:rsidRPr="005911E2">
        <w:t xml:space="preserve"> </w:t>
      </w:r>
      <w:r w:rsidRPr="005911E2">
        <w:t xml:space="preserve">Communities were chosen because they had relatively high numbers of people subject to </w:t>
      </w:r>
      <w:r w:rsidR="00420C48">
        <w:t>income management</w:t>
      </w:r>
      <w:r w:rsidRPr="005911E2">
        <w:t>, were safe to visit during the data collection period</w:t>
      </w:r>
      <w:r w:rsidR="00420C48">
        <w:t>,</w:t>
      </w:r>
      <w:r w:rsidRPr="005911E2">
        <w:t xml:space="preserve"> and where data collection did not clash with </w:t>
      </w:r>
      <w:r w:rsidR="00420C48">
        <w:t xml:space="preserve">any </w:t>
      </w:r>
      <w:r w:rsidRPr="005911E2">
        <w:t>other research activity.</w:t>
      </w:r>
      <w:r w:rsidR="0074268A" w:rsidRPr="005911E2">
        <w:t xml:space="preserve"> </w:t>
      </w:r>
    </w:p>
    <w:p w:rsidR="008D0446" w:rsidRPr="005911E2" w:rsidRDefault="008D0446" w:rsidP="008D0446">
      <w:pPr>
        <w:pStyle w:val="BodyText"/>
      </w:pPr>
      <w:r w:rsidRPr="005911E2">
        <w:t>Non</w:t>
      </w:r>
      <w:r w:rsidR="00420C48">
        <w:t>-</w:t>
      </w:r>
      <w:r w:rsidRPr="005911E2">
        <w:t xml:space="preserve">Indigenous participants were over-sampled in order to allow for analysis at the subgroup level and also to provide some insight into the possible impact of </w:t>
      </w:r>
      <w:r w:rsidR="00420C48">
        <w:t>income management</w:t>
      </w:r>
      <w:r w:rsidRPr="005911E2">
        <w:t xml:space="preserve"> on </w:t>
      </w:r>
      <w:r w:rsidR="00945C7C" w:rsidRPr="005911E2">
        <w:t>non-Indigenous</w:t>
      </w:r>
      <w:r w:rsidRPr="005911E2">
        <w:t xml:space="preserve"> income </w:t>
      </w:r>
      <w:r w:rsidR="00480D29" w:rsidRPr="005911E2">
        <w:t>support</w:t>
      </w:r>
      <w:r w:rsidRPr="005911E2">
        <w:t xml:space="preserve"> recipients.</w:t>
      </w:r>
    </w:p>
    <w:p w:rsidR="008D0446" w:rsidRPr="005911E2" w:rsidRDefault="008D0446" w:rsidP="008D0446">
      <w:pPr>
        <w:pStyle w:val="BodyText"/>
      </w:pPr>
      <w:r w:rsidRPr="005911E2">
        <w:t>The contrast sites included Cairns, where interviews were conducted with both Indigenous and non</w:t>
      </w:r>
      <w:r w:rsidR="00BC5232" w:rsidRPr="005911E2">
        <w:t>-</w:t>
      </w:r>
      <w:r w:rsidRPr="005911E2">
        <w:t xml:space="preserve">Indigenous </w:t>
      </w:r>
      <w:r w:rsidR="00BC5232" w:rsidRPr="005911E2">
        <w:t>income s</w:t>
      </w:r>
      <w:r w:rsidRPr="005911E2">
        <w:t xml:space="preserve">upport recipients, and two remote Indigenous communities in states other than the </w:t>
      </w:r>
      <w:r w:rsidR="006435C8">
        <w:t>Northern Territory.</w:t>
      </w:r>
      <w:r w:rsidR="0074268A" w:rsidRPr="005911E2">
        <w:t xml:space="preserve"> </w:t>
      </w:r>
      <w:r w:rsidRPr="005911E2">
        <w:t>The full target of 300 participants was attained for the contrast sites.</w:t>
      </w:r>
      <w:r w:rsidR="0074268A" w:rsidRPr="005911E2">
        <w:t xml:space="preserve"> </w:t>
      </w:r>
      <w:r w:rsidRPr="005911E2">
        <w:t>Qualitative interviews were not carried out in the contrast sites.</w:t>
      </w:r>
    </w:p>
    <w:p w:rsidR="008D0446" w:rsidRPr="005911E2" w:rsidRDefault="008D0446" w:rsidP="007B4471">
      <w:pPr>
        <w:pStyle w:val="Heading4"/>
      </w:pPr>
      <w:r w:rsidRPr="005911E2">
        <w:lastRenderedPageBreak/>
        <w:t xml:space="preserve">Community </w:t>
      </w:r>
      <w:r w:rsidR="00900FCF">
        <w:t>c</w:t>
      </w:r>
      <w:r w:rsidRPr="005911E2">
        <w:t xml:space="preserve">onsent </w:t>
      </w:r>
    </w:p>
    <w:p w:rsidR="008D0446" w:rsidRPr="005911E2" w:rsidRDefault="00207FDC" w:rsidP="008D0446">
      <w:pPr>
        <w:pStyle w:val="BodyText"/>
      </w:pPr>
      <w:r w:rsidRPr="005911E2">
        <w:t>Community c</w:t>
      </w:r>
      <w:r w:rsidR="008D0446" w:rsidRPr="005911E2">
        <w:t>onsent to undertake the research was obtained in each of the Indigenous remote communities and urban town camps.</w:t>
      </w:r>
      <w:r w:rsidR="0074268A" w:rsidRPr="005911E2">
        <w:t xml:space="preserve"> </w:t>
      </w:r>
      <w:r w:rsidR="008D0446" w:rsidRPr="005911E2">
        <w:t>Consent to undertake research in the urban areas of Alice Springs, Darwin and Cairns was not required.</w:t>
      </w:r>
      <w:r w:rsidR="0074268A" w:rsidRPr="005911E2">
        <w:t xml:space="preserve"> </w:t>
      </w:r>
      <w:r w:rsidR="008D0446" w:rsidRPr="005911E2">
        <w:t>The approach to community con</w:t>
      </w:r>
      <w:r w:rsidR="00C271F5" w:rsidRPr="005911E2">
        <w:t>sent varied for each community.</w:t>
      </w:r>
      <w:r w:rsidR="008D0446" w:rsidRPr="005911E2">
        <w:t xml:space="preserve"> </w:t>
      </w:r>
      <w:r w:rsidR="00C271F5" w:rsidRPr="005911E2">
        <w:t>Relevant authorities in every Aboriginal community involved in the research gave written permission for the research to take place in their community.</w:t>
      </w:r>
    </w:p>
    <w:p w:rsidR="008D0446" w:rsidRPr="005911E2" w:rsidRDefault="008D0446" w:rsidP="007B4471">
      <w:pPr>
        <w:pStyle w:val="Heading4"/>
      </w:pPr>
      <w:r w:rsidRPr="005911E2">
        <w:t>Sampling issues</w:t>
      </w:r>
    </w:p>
    <w:p w:rsidR="008D0446" w:rsidRPr="005911E2" w:rsidRDefault="008D0446" w:rsidP="008D0446">
      <w:pPr>
        <w:pStyle w:val="BodyText"/>
      </w:pPr>
      <w:r w:rsidRPr="005911E2">
        <w:t xml:space="preserve">This is by far the largest sample of people subject to </w:t>
      </w:r>
      <w:r w:rsidR="00641879">
        <w:t xml:space="preserve">income management </w:t>
      </w:r>
      <w:r w:rsidRPr="005911E2">
        <w:t>to date.</w:t>
      </w:r>
      <w:r w:rsidR="0074268A" w:rsidRPr="005911E2">
        <w:t xml:space="preserve"> </w:t>
      </w:r>
      <w:r w:rsidRPr="005911E2">
        <w:t xml:space="preserve">It is also the only one which </w:t>
      </w:r>
      <w:r w:rsidR="00641879">
        <w:t xml:space="preserve">makes comparisons with </w:t>
      </w:r>
      <w:r w:rsidRPr="005911E2">
        <w:t xml:space="preserve">similar </w:t>
      </w:r>
      <w:r w:rsidR="00102C54">
        <w:t>people who are on income support and</w:t>
      </w:r>
      <w:r w:rsidRPr="005911E2">
        <w:t xml:space="preserve"> who are not subject to the </w:t>
      </w:r>
      <w:r w:rsidR="00641879">
        <w:t xml:space="preserve">NIM </w:t>
      </w:r>
      <w:r w:rsidRPr="005911E2">
        <w:t>measure.</w:t>
      </w:r>
      <w:r w:rsidR="0074268A" w:rsidRPr="005911E2">
        <w:t xml:space="preserve"> </w:t>
      </w:r>
      <w:r w:rsidRPr="005911E2">
        <w:t>However</w:t>
      </w:r>
      <w:r w:rsidR="00641879">
        <w:t>,</w:t>
      </w:r>
      <w:r w:rsidRPr="005911E2">
        <w:t xml:space="preserve"> this is not a random sample of people subject to </w:t>
      </w:r>
      <w:r w:rsidR="00641879">
        <w:t>income management</w:t>
      </w:r>
      <w:r w:rsidRPr="005911E2">
        <w:t>.</w:t>
      </w:r>
      <w:r w:rsidR="0074268A" w:rsidRPr="005911E2">
        <w:t xml:space="preserve"> </w:t>
      </w:r>
      <w:r w:rsidRPr="005911E2">
        <w:t>In particular people living in small remote communities are likely to be under-represented in this sample.</w:t>
      </w:r>
      <w:r w:rsidR="0074268A" w:rsidRPr="005911E2">
        <w:t xml:space="preserve"> </w:t>
      </w:r>
    </w:p>
    <w:p w:rsidR="008D0446" w:rsidRPr="005911E2" w:rsidRDefault="008D0446" w:rsidP="008D0446">
      <w:pPr>
        <w:pStyle w:val="BodyText"/>
      </w:pPr>
      <w:r w:rsidRPr="005911E2">
        <w:t xml:space="preserve">The sample was not stratified by </w:t>
      </w:r>
      <w:r w:rsidR="00641879">
        <w:t>N</w:t>
      </w:r>
      <w:r w:rsidRPr="005911E2">
        <w:t>IM measure</w:t>
      </w:r>
      <w:r w:rsidR="00641879">
        <w:t>;</w:t>
      </w:r>
      <w:r w:rsidRPr="005911E2">
        <w:t xml:space="preserve"> although it was originally intended that people from all four of the NIM measures would be included in the sample, the very small number of people subject to </w:t>
      </w:r>
      <w:r w:rsidR="00102C54">
        <w:t>the Vulnerable</w:t>
      </w:r>
      <w:r w:rsidR="00641879">
        <w:t xml:space="preserve"> and Child Protection </w:t>
      </w:r>
      <w:r w:rsidR="00102C54">
        <w:t xml:space="preserve">measures </w:t>
      </w:r>
      <w:r w:rsidRPr="005911E2">
        <w:t>mean</w:t>
      </w:r>
      <w:r w:rsidR="007A7900" w:rsidRPr="005911E2">
        <w:t>s</w:t>
      </w:r>
      <w:r w:rsidRPr="005911E2">
        <w:t xml:space="preserve"> that </w:t>
      </w:r>
      <w:r w:rsidR="00641879">
        <w:t xml:space="preserve">the findings for these groups cannot be reported separately. </w:t>
      </w:r>
      <w:r w:rsidR="00153AF5" w:rsidRPr="005911E2">
        <w:t>Details of the selection criteria for the two parts</w:t>
      </w:r>
      <w:r w:rsidR="000E1E89" w:rsidRPr="005911E2">
        <w:t xml:space="preserve"> of the survey are </w:t>
      </w:r>
      <w:r w:rsidR="0027077D">
        <w:t xml:space="preserve">listed in the Summary Report </w:t>
      </w:r>
      <w:r w:rsidR="000E1E89" w:rsidRPr="005911E2">
        <w:t xml:space="preserve">at </w:t>
      </w:r>
      <w:r w:rsidR="008476E4" w:rsidRPr="005911E2">
        <w:t>Appendix B</w:t>
      </w:r>
      <w:r w:rsidR="00641879">
        <w:t>.</w:t>
      </w:r>
    </w:p>
    <w:p w:rsidR="008D0446" w:rsidRPr="005911E2" w:rsidRDefault="008D0446" w:rsidP="00BD6DFD">
      <w:pPr>
        <w:pStyle w:val="Heading3"/>
      </w:pPr>
      <w:r w:rsidRPr="005911E2">
        <w:t>Practical challenges</w:t>
      </w:r>
    </w:p>
    <w:p w:rsidR="008D0446" w:rsidRPr="005911E2" w:rsidRDefault="008D0446" w:rsidP="008D0446">
      <w:pPr>
        <w:pStyle w:val="BodyText"/>
      </w:pPr>
      <w:r w:rsidRPr="005911E2">
        <w:t>The survey faced a number of practical challenges due to the tight timeframes between obtaining ethics approval and the submission date for this report.</w:t>
      </w:r>
      <w:r w:rsidR="0074268A" w:rsidRPr="005911E2">
        <w:t xml:space="preserve"> </w:t>
      </w:r>
      <w:r w:rsidRPr="005911E2">
        <w:t>The fieldwork was required to be conducted in December 2011 through to February 2012.</w:t>
      </w:r>
      <w:r w:rsidR="0074268A" w:rsidRPr="005911E2">
        <w:t xml:space="preserve"> </w:t>
      </w:r>
      <w:r w:rsidRPr="005911E2">
        <w:t>This is not an easy</w:t>
      </w:r>
      <w:r w:rsidR="00480D29" w:rsidRPr="005911E2">
        <w:t xml:space="preserve"> time to do fieldwork in the</w:t>
      </w:r>
      <w:r w:rsidR="006435C8">
        <w:t xml:space="preserve"> Northern Territory </w:t>
      </w:r>
      <w:r w:rsidRPr="005911E2">
        <w:t xml:space="preserve">because it coincides with the wet season in the </w:t>
      </w:r>
      <w:r w:rsidR="00A8679C" w:rsidRPr="005911E2">
        <w:t>T</w:t>
      </w:r>
      <w:r w:rsidRPr="005911E2">
        <w:t xml:space="preserve">op </w:t>
      </w:r>
      <w:r w:rsidR="00A8679C" w:rsidRPr="005911E2">
        <w:t>E</w:t>
      </w:r>
      <w:r w:rsidRPr="005911E2">
        <w:t>nd and ceremonies throughout Indigenous communities.</w:t>
      </w:r>
      <w:r w:rsidR="0074268A" w:rsidRPr="005911E2">
        <w:t xml:space="preserve"> </w:t>
      </w:r>
      <w:r w:rsidRPr="005911E2">
        <w:t>In addition</w:t>
      </w:r>
      <w:r w:rsidR="00A8679C" w:rsidRPr="005911E2">
        <w:t xml:space="preserve">, </w:t>
      </w:r>
      <w:r w:rsidRPr="005911E2">
        <w:t xml:space="preserve">some of the communities were engaged in </w:t>
      </w:r>
      <w:r w:rsidR="00641879">
        <w:t>S</w:t>
      </w:r>
      <w:r w:rsidRPr="005911E2">
        <w:t xml:space="preserve">orry </w:t>
      </w:r>
      <w:r w:rsidR="00641879">
        <w:t>B</w:t>
      </w:r>
      <w:r w:rsidRPr="005911E2">
        <w:t>usiness because of deaths within the communities</w:t>
      </w:r>
      <w:r w:rsidR="00641879">
        <w:t>. T</w:t>
      </w:r>
      <w:r w:rsidRPr="005911E2">
        <w:t>here were also some incidents in some of the communities during this period which necessitated delays in field work.</w:t>
      </w:r>
      <w:r w:rsidR="0074268A" w:rsidRPr="005911E2">
        <w:t xml:space="preserve"> </w:t>
      </w:r>
    </w:p>
    <w:p w:rsidR="008D0446" w:rsidRPr="005911E2" w:rsidRDefault="008D0446" w:rsidP="008D0446">
      <w:pPr>
        <w:pStyle w:val="BodyText"/>
      </w:pPr>
      <w:r w:rsidRPr="005911E2">
        <w:t xml:space="preserve">A challenge of a different </w:t>
      </w:r>
      <w:r w:rsidR="00B719AC">
        <w:t>type</w:t>
      </w:r>
      <w:r w:rsidR="00B719AC" w:rsidRPr="005911E2">
        <w:t xml:space="preserve"> </w:t>
      </w:r>
      <w:r w:rsidRPr="005911E2">
        <w:t xml:space="preserve">applied to the </w:t>
      </w:r>
      <w:r w:rsidR="00945C7C" w:rsidRPr="005911E2">
        <w:t>non-Indigenous</w:t>
      </w:r>
      <w:r w:rsidR="00BC5232" w:rsidRPr="005911E2">
        <w:t xml:space="preserve"> populations of people in receipt of an</w:t>
      </w:r>
      <w:r w:rsidRPr="005911E2">
        <w:t xml:space="preserve"> </w:t>
      </w:r>
      <w:r w:rsidR="00900FCF">
        <w:t>i</w:t>
      </w:r>
      <w:r w:rsidRPr="005911E2">
        <w:t xml:space="preserve">ncome </w:t>
      </w:r>
      <w:r w:rsidR="00900FCF">
        <w:t>s</w:t>
      </w:r>
      <w:r w:rsidRPr="005911E2">
        <w:t>upport</w:t>
      </w:r>
      <w:r w:rsidR="00BC5232" w:rsidRPr="005911E2">
        <w:t xml:space="preserve"> </w:t>
      </w:r>
      <w:r w:rsidR="00900FCF">
        <w:t>p</w:t>
      </w:r>
      <w:r w:rsidR="00BC5232" w:rsidRPr="005911E2">
        <w:t>ayment</w:t>
      </w:r>
      <w:r w:rsidRPr="005911E2">
        <w:t xml:space="preserve">, particularly in the </w:t>
      </w:r>
      <w:r w:rsidR="006435C8">
        <w:t>Northern Territory,</w:t>
      </w:r>
      <w:r w:rsidRPr="005911E2">
        <w:t xml:space="preserve"> but also in Cairns.</w:t>
      </w:r>
      <w:r w:rsidR="0074268A" w:rsidRPr="005911E2">
        <w:t xml:space="preserve"> </w:t>
      </w:r>
      <w:r w:rsidRPr="005911E2">
        <w:t>A large proportion of these people were not contactable because Centrelink did not have their correct details, and many others refused to participate in the survey.</w:t>
      </w:r>
      <w:r w:rsidR="0074268A" w:rsidRPr="005911E2">
        <w:t xml:space="preserve"> </w:t>
      </w:r>
    </w:p>
    <w:p w:rsidR="008D0446" w:rsidRPr="005911E2" w:rsidRDefault="008D0446" w:rsidP="00616B0F">
      <w:pPr>
        <w:pStyle w:val="Heading2"/>
      </w:pPr>
      <w:bookmarkStart w:id="188" w:name="_Toc321225107"/>
      <w:bookmarkStart w:id="189" w:name="_Toc321254451"/>
      <w:bookmarkStart w:id="190" w:name="_Toc328601474"/>
      <w:bookmarkStart w:id="191" w:name="_Toc329870356"/>
      <w:bookmarkStart w:id="192" w:name="_Toc335915742"/>
      <w:r w:rsidRPr="005911E2">
        <w:t>Ethics approval</w:t>
      </w:r>
      <w:bookmarkEnd w:id="188"/>
      <w:bookmarkEnd w:id="189"/>
      <w:bookmarkEnd w:id="190"/>
      <w:bookmarkEnd w:id="191"/>
      <w:bookmarkEnd w:id="192"/>
    </w:p>
    <w:p w:rsidR="008D0446" w:rsidRPr="005911E2" w:rsidRDefault="008D0446" w:rsidP="008D0446">
      <w:pPr>
        <w:pStyle w:val="BodyText"/>
      </w:pPr>
      <w:r w:rsidRPr="005911E2">
        <w:t>Ethic</w:t>
      </w:r>
      <w:r w:rsidR="00C60CC8">
        <w:t>s</w:t>
      </w:r>
      <w:r w:rsidRPr="005911E2">
        <w:t xml:space="preserve"> approval was sought separately for the baseline and main evaluation components (the latter including the survey of people on </w:t>
      </w:r>
      <w:r w:rsidR="00C60CC8">
        <w:t>income management</w:t>
      </w:r>
      <w:r w:rsidRPr="005911E2">
        <w:t>) from UNSW Human Ethics Research Committee and also from the Menzies School of Health Research and Top End Ethics Committee as well as the Central Australia Health Research Ethics Committee.</w:t>
      </w:r>
      <w:r w:rsidR="0074268A" w:rsidRPr="005911E2">
        <w:t xml:space="preserve"> </w:t>
      </w:r>
      <w:r w:rsidRPr="005911E2">
        <w:t>Ethics approval for the fieldwork was gained in September 2011.</w:t>
      </w:r>
    </w:p>
    <w:p w:rsidR="008D0446" w:rsidRPr="005911E2" w:rsidRDefault="008D0446" w:rsidP="00616B0F">
      <w:pPr>
        <w:pStyle w:val="Heading2"/>
      </w:pPr>
      <w:bookmarkStart w:id="193" w:name="_Toc321225108"/>
      <w:bookmarkStart w:id="194" w:name="_Toc321254452"/>
      <w:bookmarkStart w:id="195" w:name="_Toc328601475"/>
      <w:bookmarkStart w:id="196" w:name="_Toc329870357"/>
      <w:bookmarkStart w:id="197" w:name="_Toc335915743"/>
      <w:r w:rsidRPr="005911E2">
        <w:lastRenderedPageBreak/>
        <w:t>Consultation</w:t>
      </w:r>
      <w:bookmarkEnd w:id="193"/>
      <w:bookmarkEnd w:id="194"/>
      <w:bookmarkEnd w:id="195"/>
      <w:bookmarkEnd w:id="196"/>
      <w:bookmarkEnd w:id="197"/>
    </w:p>
    <w:p w:rsidR="008D0446" w:rsidRDefault="008D0446" w:rsidP="008D0446">
      <w:pPr>
        <w:pStyle w:val="BodyText"/>
      </w:pPr>
      <w:r w:rsidRPr="005911E2">
        <w:t>A range of organisations were consulted during the development of the Evaluation Framework and these organisations were invited to be a consultation group for the main evaluation</w:t>
      </w:r>
      <w:r w:rsidR="002C4070">
        <w:t xml:space="preserve"> and</w:t>
      </w:r>
      <w:r w:rsidRPr="005911E2">
        <w:t xml:space="preserve"> were provided with copies of the </w:t>
      </w:r>
      <w:r w:rsidR="005B4122">
        <w:t>longitudinal survey</w:t>
      </w:r>
      <w:r w:rsidRPr="005911E2">
        <w:t xml:space="preserve"> for comment.</w:t>
      </w:r>
    </w:p>
    <w:p w:rsidR="00C0582B" w:rsidRPr="005911E2" w:rsidRDefault="00C0582B" w:rsidP="00C0582B">
      <w:pPr>
        <w:pStyle w:val="chapterend"/>
      </w:pPr>
    </w:p>
    <w:p w:rsidR="00557394" w:rsidRPr="005911E2" w:rsidRDefault="00557394" w:rsidP="00B26206">
      <w:pPr>
        <w:pStyle w:val="BodyText"/>
        <w:sectPr w:rsidR="00557394" w:rsidRPr="005911E2" w:rsidSect="00E24340">
          <w:pgSz w:w="11906" w:h="16838" w:code="9"/>
          <w:pgMar w:top="1418" w:right="1797" w:bottom="1418" w:left="1230" w:header="567" w:footer="284" w:gutter="0"/>
          <w:cols w:space="708"/>
          <w:docGrid w:linePitch="360"/>
        </w:sectPr>
      </w:pPr>
    </w:p>
    <w:p w:rsidR="00594F2A" w:rsidRPr="005911E2" w:rsidRDefault="00594F2A" w:rsidP="00BD6DFD">
      <w:pPr>
        <w:pStyle w:val="Heading1"/>
      </w:pPr>
      <w:bookmarkStart w:id="198" w:name="_Toc321225109"/>
      <w:bookmarkStart w:id="199" w:name="_Ref321249250"/>
      <w:bookmarkStart w:id="200" w:name="_Toc321254453"/>
      <w:bookmarkStart w:id="201" w:name="_Toc328601476"/>
      <w:bookmarkStart w:id="202" w:name="_Toc329870358"/>
      <w:bookmarkStart w:id="203" w:name="_Toc335915744"/>
      <w:r w:rsidRPr="005911E2">
        <w:lastRenderedPageBreak/>
        <w:t>The NIM population – rollout and characteristics</w:t>
      </w:r>
      <w:bookmarkEnd w:id="198"/>
      <w:bookmarkEnd w:id="199"/>
      <w:bookmarkEnd w:id="200"/>
      <w:bookmarkEnd w:id="201"/>
      <w:bookmarkEnd w:id="202"/>
      <w:bookmarkEnd w:id="203"/>
    </w:p>
    <w:p w:rsidR="0022069A" w:rsidRPr="005911E2" w:rsidRDefault="0022069A" w:rsidP="0022069A">
      <w:pPr>
        <w:pStyle w:val="BodyText"/>
      </w:pPr>
      <w:r w:rsidRPr="005911E2">
        <w:t xml:space="preserve">The focus of this chapter is on the characteristics of those subject to income management in the </w:t>
      </w:r>
      <w:r w:rsidR="006435C8">
        <w:t>Northern Territory.</w:t>
      </w:r>
      <w:r w:rsidRPr="005911E2">
        <w:t xml:space="preserve"> It initially considers the trends in the number of people on income support and on income management as NIM was rolled out across the</w:t>
      </w:r>
      <w:r w:rsidR="006435C8">
        <w:t xml:space="preserve"> Northern Territory </w:t>
      </w:r>
      <w:r w:rsidRPr="005911E2">
        <w:t xml:space="preserve">(including the transition of those who had previously been subject to the NTER IM). It then considers demographic and other characteristics, such as location, of those on </w:t>
      </w:r>
      <w:r w:rsidR="00F878E4">
        <w:t>income management</w:t>
      </w:r>
      <w:r w:rsidRPr="005911E2">
        <w:t xml:space="preserve">, including the extent to which there are variations in the rate of income management across population subgroups. </w:t>
      </w:r>
    </w:p>
    <w:p w:rsidR="0022069A" w:rsidRPr="005911E2" w:rsidRDefault="0022069A" w:rsidP="0022069A">
      <w:pPr>
        <w:pStyle w:val="BodyText"/>
      </w:pPr>
      <w:r w:rsidRPr="005911E2">
        <w:t>Th</w:t>
      </w:r>
      <w:r w:rsidR="0040669A">
        <w:t>is</w:t>
      </w:r>
      <w:r w:rsidRPr="005911E2">
        <w:t xml:space="preserve"> chapter draws on a series of Centrelink </w:t>
      </w:r>
      <w:r w:rsidR="0040669A">
        <w:t>a</w:t>
      </w:r>
      <w:r w:rsidRPr="005911E2">
        <w:t xml:space="preserve">dministrative datasets supplied for the purposes of this evaluation. In reporting on these it is noted that the data, as administrative by-products, are often complex and require various decisions to identify appropriate populations. There are also some minor discrepancies between various data sources. These are noted in the discussion, but are not considered to impose any significant limitations on the interpretation of results. The data has been </w:t>
      </w:r>
      <w:r w:rsidR="00ED395D" w:rsidRPr="005911E2">
        <w:t xml:space="preserve">perturbed </w:t>
      </w:r>
      <w:r w:rsidRPr="005911E2">
        <w:t>in small cells to preserve confidentiality.</w:t>
      </w:r>
    </w:p>
    <w:p w:rsidR="0022069A" w:rsidRPr="005911E2" w:rsidRDefault="0022069A" w:rsidP="0022069A">
      <w:pPr>
        <w:pStyle w:val="BodyText"/>
      </w:pPr>
      <w:r w:rsidRPr="005911E2">
        <w:t>Where data is reported on Indigeneity</w:t>
      </w:r>
      <w:r w:rsidR="0040669A">
        <w:t>,</w:t>
      </w:r>
      <w:r w:rsidRPr="005911E2">
        <w:t xml:space="preserve"> this refers to voluntary self-identification in Centrelink records. People who did not state their Indigenous status are included with non-Indigenous.</w:t>
      </w:r>
    </w:p>
    <w:p w:rsidR="0022069A" w:rsidRPr="005911E2" w:rsidRDefault="0022069A" w:rsidP="00616B0F">
      <w:pPr>
        <w:pStyle w:val="Heading2"/>
      </w:pPr>
      <w:bookmarkStart w:id="204" w:name="_Toc321225110"/>
      <w:bookmarkStart w:id="205" w:name="_Toc321761596"/>
      <w:bookmarkStart w:id="206" w:name="_Toc321254454"/>
      <w:bookmarkStart w:id="207" w:name="_Toc328601477"/>
      <w:bookmarkStart w:id="208" w:name="_Toc329870359"/>
      <w:bookmarkStart w:id="209" w:name="_Toc335915745"/>
      <w:r w:rsidRPr="005911E2">
        <w:t>Income support recipients in the NT</w:t>
      </w:r>
      <w:bookmarkEnd w:id="204"/>
      <w:bookmarkEnd w:id="205"/>
      <w:bookmarkEnd w:id="206"/>
      <w:bookmarkEnd w:id="207"/>
      <w:bookmarkEnd w:id="208"/>
      <w:bookmarkEnd w:id="209"/>
    </w:p>
    <w:p w:rsidR="0022069A" w:rsidRPr="005911E2" w:rsidRDefault="0022069A" w:rsidP="0022069A">
      <w:pPr>
        <w:pStyle w:val="BodyText"/>
        <w:rPr>
          <w:lang w:eastAsia="en-US"/>
        </w:rPr>
      </w:pPr>
      <w:r w:rsidRPr="005911E2">
        <w:rPr>
          <w:lang w:eastAsia="en-US"/>
        </w:rPr>
        <w:t>In December 2011 there were 48</w:t>
      </w:r>
      <w:r w:rsidR="00B719AC">
        <w:rPr>
          <w:lang w:eastAsia="en-US"/>
        </w:rPr>
        <w:t> </w:t>
      </w:r>
      <w:r w:rsidRPr="005911E2">
        <w:rPr>
          <w:lang w:eastAsia="en-US"/>
        </w:rPr>
        <w:t>866 people living in the</w:t>
      </w:r>
      <w:r w:rsidR="006435C8">
        <w:rPr>
          <w:lang w:eastAsia="en-US"/>
        </w:rPr>
        <w:t xml:space="preserve"> Northern Territory </w:t>
      </w:r>
      <w:r w:rsidRPr="005911E2">
        <w:rPr>
          <w:lang w:eastAsia="en-US"/>
        </w:rPr>
        <w:t>who received some form of Centrelink payment. Of these 9</w:t>
      </w:r>
      <w:r w:rsidR="00B719AC">
        <w:rPr>
          <w:lang w:eastAsia="en-US"/>
        </w:rPr>
        <w:t> </w:t>
      </w:r>
      <w:r w:rsidRPr="005911E2">
        <w:rPr>
          <w:lang w:eastAsia="en-US"/>
        </w:rPr>
        <w:t>571 received Family Tax Benefit (FTB) only, with the remaining 39</w:t>
      </w:r>
      <w:r w:rsidR="00B719AC">
        <w:rPr>
          <w:lang w:eastAsia="en-US"/>
        </w:rPr>
        <w:t> </w:t>
      </w:r>
      <w:r w:rsidRPr="005911E2">
        <w:rPr>
          <w:lang w:eastAsia="en-US"/>
        </w:rPr>
        <w:t>285 receiving some form of primary income support payment (e.g. Parenting Payment, Newstart</w:t>
      </w:r>
      <w:r w:rsidR="009D040F">
        <w:rPr>
          <w:lang w:eastAsia="en-US"/>
        </w:rPr>
        <w:t xml:space="preserve"> Allowance</w:t>
      </w:r>
      <w:r w:rsidRPr="005911E2">
        <w:rPr>
          <w:lang w:eastAsia="en-US"/>
        </w:rPr>
        <w:t xml:space="preserve">, Age Pension). The analysis in this chapter focuses on those in receipt of a primary income support payment as this is a necessary requirement to be subject to </w:t>
      </w:r>
      <w:r w:rsidR="0040669A">
        <w:rPr>
          <w:lang w:eastAsia="en-US"/>
        </w:rPr>
        <w:t>income management</w:t>
      </w:r>
      <w:r w:rsidRPr="005911E2">
        <w:rPr>
          <w:lang w:eastAsia="en-US"/>
        </w:rPr>
        <w:t xml:space="preserve">. </w:t>
      </w:r>
    </w:p>
    <w:p w:rsidR="0022069A" w:rsidRPr="005911E2" w:rsidRDefault="0022069A" w:rsidP="00E24340">
      <w:pPr>
        <w:pStyle w:val="BodyText"/>
        <w:keepNext/>
        <w:rPr>
          <w:lang w:eastAsia="en-US"/>
        </w:rPr>
      </w:pPr>
      <w:r w:rsidRPr="005911E2">
        <w:rPr>
          <w:lang w:eastAsia="en-US"/>
        </w:rPr>
        <w:t>Some of the key characteristics of this population include:</w:t>
      </w:r>
    </w:p>
    <w:p w:rsidR="002973F2" w:rsidRDefault="0022069A" w:rsidP="004B4D01">
      <w:pPr>
        <w:pStyle w:val="ListBullet"/>
      </w:pPr>
      <w:r w:rsidRPr="005911E2">
        <w:t>72 per cent are under the Age Pension Eligibility (APE) age</w:t>
      </w:r>
      <w:r w:rsidR="002C4070">
        <w:t>.</w:t>
      </w:r>
      <w:r w:rsidRPr="005911E2">
        <w:rPr>
          <w:szCs w:val="22"/>
          <w:vertAlign w:val="superscript"/>
        </w:rPr>
        <w:footnoteReference w:id="41"/>
      </w:r>
    </w:p>
    <w:p w:rsidR="002973F2" w:rsidRDefault="0022069A" w:rsidP="004B4D01">
      <w:pPr>
        <w:pStyle w:val="ListBullet"/>
      </w:pPr>
      <w:r w:rsidRPr="005911E2">
        <w:t xml:space="preserve">71 per cent of those aged under the Age Pension Eligibility age are Indigenous. 23 per cent of those at or over </w:t>
      </w:r>
      <w:r w:rsidR="0040669A">
        <w:t xml:space="preserve">the </w:t>
      </w:r>
      <w:r w:rsidRPr="005911E2">
        <w:t>Age Pension Eligibility age are Indigenous.</w:t>
      </w:r>
    </w:p>
    <w:p w:rsidR="002973F2" w:rsidRDefault="0022069A" w:rsidP="004B4D01">
      <w:pPr>
        <w:pStyle w:val="ListBullet"/>
      </w:pPr>
      <w:r w:rsidRPr="005911E2">
        <w:lastRenderedPageBreak/>
        <w:t>55 per cent of all of those in receipt of income support and below Age Pension Eligibility age are women. This comprises 57 per cent of Indigenous and 51 per cent of non-Indigenous income support recipients.</w:t>
      </w:r>
    </w:p>
    <w:p w:rsidR="002973F2" w:rsidRDefault="0022069A" w:rsidP="004B4D01">
      <w:pPr>
        <w:pStyle w:val="ListBullet"/>
      </w:pPr>
      <w:r w:rsidRPr="005911E2">
        <w:t>In addition to the 7</w:t>
      </w:r>
      <w:r w:rsidR="00A7506C">
        <w:t> </w:t>
      </w:r>
      <w:r w:rsidRPr="005911E2">
        <w:t>585 people on the Age Pension the major income support payments in the Northern Territory include: the Disability Support Pension (10</w:t>
      </w:r>
      <w:r w:rsidR="00B719AC">
        <w:t> </w:t>
      </w:r>
      <w:r w:rsidRPr="005911E2">
        <w:t>399 recipients), Newstart Allowance (9</w:t>
      </w:r>
      <w:r w:rsidR="00B719AC">
        <w:t> </w:t>
      </w:r>
      <w:r w:rsidRPr="005911E2">
        <w:t>025 recipients), Parenting Payment Single (3</w:t>
      </w:r>
      <w:r w:rsidR="00B719AC">
        <w:t> </w:t>
      </w:r>
      <w:r w:rsidRPr="005911E2">
        <w:t>926 recipients) and Parenting Payment Partnered (2</w:t>
      </w:r>
      <w:r w:rsidR="00B719AC">
        <w:t> </w:t>
      </w:r>
      <w:r w:rsidRPr="005911E2">
        <w:t>891 recipients).</w:t>
      </w:r>
    </w:p>
    <w:p w:rsidR="0022069A" w:rsidRPr="005911E2" w:rsidRDefault="0022069A" w:rsidP="0022069A">
      <w:pPr>
        <w:pStyle w:val="tabfighead"/>
      </w:pPr>
      <w:bookmarkStart w:id="210" w:name="_Ref321171883"/>
      <w:bookmarkStart w:id="211" w:name="_Toc311123784"/>
      <w:bookmarkStart w:id="212" w:name="_Toc311843084"/>
      <w:bookmarkStart w:id="213" w:name="_Toc312064826"/>
      <w:bookmarkStart w:id="214" w:name="_Toc321761747"/>
      <w:bookmarkStart w:id="215" w:name="_Toc321254596"/>
      <w:bookmarkStart w:id="216" w:name="_Toc328601647"/>
      <w:bookmarkStart w:id="217" w:name="_Toc335915913"/>
      <w:r w:rsidRPr="005911E2">
        <w:t xml:space="preserve">Figure </w:t>
      </w:r>
      <w:r w:rsidR="00C7347D">
        <w:fldChar w:fldCharType="begin"/>
      </w:r>
      <w:r w:rsidR="00E74851">
        <w:instrText xml:space="preserve"> STYLEREF 1 \s </w:instrText>
      </w:r>
      <w:r w:rsidR="00C7347D">
        <w:fldChar w:fldCharType="separate"/>
      </w:r>
      <w:r w:rsidR="007D7E45">
        <w:rPr>
          <w:noProof/>
        </w:rPr>
        <w:t>4</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1</w:t>
      </w:r>
      <w:r w:rsidR="00C7347D">
        <w:fldChar w:fldCharType="end"/>
      </w:r>
      <w:bookmarkEnd w:id="210"/>
      <w:r w:rsidRPr="005911E2">
        <w:t xml:space="preserve"> </w:t>
      </w:r>
      <w:r w:rsidRPr="005911E2">
        <w:tab/>
      </w:r>
      <w:r w:rsidR="006435C8">
        <w:t>Northern Territory,</w:t>
      </w:r>
      <w:r w:rsidRPr="005911E2">
        <w:t xml:space="preserve"> number of income support recipients by Indigeneity and major age group, June 2008 to September 2011</w:t>
      </w:r>
      <w:bookmarkEnd w:id="211"/>
      <w:bookmarkEnd w:id="212"/>
      <w:bookmarkEnd w:id="213"/>
      <w:bookmarkEnd w:id="214"/>
      <w:bookmarkEnd w:id="215"/>
      <w:bookmarkEnd w:id="216"/>
      <w:bookmarkEnd w:id="217"/>
    </w:p>
    <w:p w:rsidR="00331BC8" w:rsidRDefault="00E75F1A" w:rsidP="00CF78DB">
      <w:pPr>
        <w:pStyle w:val="tablefootnotes"/>
      </w:pPr>
      <w:bookmarkStart w:id="218" w:name="_MON_1392463032"/>
      <w:bookmarkStart w:id="219" w:name="_MON_1392463072"/>
      <w:bookmarkStart w:id="220" w:name="_MON_1392463112"/>
      <w:bookmarkStart w:id="221" w:name="_MON_1392467944"/>
      <w:bookmarkStart w:id="222" w:name="_MON_1392468055"/>
      <w:bookmarkEnd w:id="218"/>
      <w:bookmarkEnd w:id="219"/>
      <w:bookmarkEnd w:id="220"/>
      <w:bookmarkEnd w:id="221"/>
      <w:bookmarkEnd w:id="222"/>
      <w:r>
        <w:rPr>
          <w:noProof/>
          <w:lang w:eastAsia="en-AU" w:bidi="ar-SA"/>
        </w:rPr>
        <w:drawing>
          <wp:anchor distT="0" distB="0" distL="114300" distR="114300" simplePos="0" relativeHeight="251767808" behindDoc="0" locked="0" layoutInCell="1" allowOverlap="1">
            <wp:simplePos x="0" y="0"/>
            <wp:positionH relativeFrom="column">
              <wp:posOffset>1144905</wp:posOffset>
            </wp:positionH>
            <wp:positionV relativeFrom="paragraph">
              <wp:posOffset>3670</wp:posOffset>
            </wp:positionV>
            <wp:extent cx="4517756" cy="2750949"/>
            <wp:effectExtent l="0" t="0" r="0" b="0"/>
            <wp:wrapTopAndBottom/>
            <wp:docPr id="42" name="Picture 47" descr="Figure 4-1 Northern Territory, number of income support recipients by Indigeneity and major age group, June 2008 to September 2011" title="Figure 4-1 Northern Territory, number of income support recipients by Indigeneity and major age group, June 2008 to Septem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17756" cy="2750949"/>
                    </a:xfrm>
                    <a:prstGeom prst="rect">
                      <a:avLst/>
                    </a:prstGeom>
                    <a:noFill/>
                    <a:ln>
                      <a:noFill/>
                    </a:ln>
                  </pic:spPr>
                </pic:pic>
              </a:graphicData>
            </a:graphic>
          </wp:anchor>
        </w:drawing>
      </w:r>
      <w:r w:rsidR="00902DE4">
        <w:t>Notes:</w:t>
      </w:r>
      <w:r w:rsidR="00902DE4">
        <w:tab/>
      </w:r>
      <w:r w:rsidR="002636B4">
        <w:t>APE – Age Pension Eligibility age</w:t>
      </w:r>
    </w:p>
    <w:p w:rsidR="00E81107" w:rsidRPr="00331BC8" w:rsidRDefault="0022069A" w:rsidP="00CF78DB">
      <w:pPr>
        <w:pStyle w:val="tablefootnotes"/>
      </w:pPr>
      <w:r w:rsidRPr="00331BC8">
        <w:t xml:space="preserve">Population: </w:t>
      </w:r>
      <w:r w:rsidR="002973F2" w:rsidRPr="00331BC8">
        <w:tab/>
      </w:r>
      <w:r w:rsidRPr="00331BC8">
        <w:t>All Income support recipients resident in the NT</w:t>
      </w:r>
      <w:r w:rsidR="002C4070">
        <w:t>.</w:t>
      </w:r>
    </w:p>
    <w:p w:rsidR="00E81107" w:rsidRPr="00331BC8" w:rsidRDefault="0022069A" w:rsidP="00CF78DB">
      <w:pPr>
        <w:pStyle w:val="tablefootnotes"/>
      </w:pPr>
      <w:r w:rsidRPr="00331BC8">
        <w:t xml:space="preserve">Source: </w:t>
      </w:r>
      <w:r w:rsidR="00BB14C5">
        <w:tab/>
      </w:r>
      <w:r w:rsidRPr="00331BC8">
        <w:t>Derived from the FaHCSIA Housing Dataset</w:t>
      </w:r>
      <w:r w:rsidR="002C4070">
        <w:t>.</w:t>
      </w:r>
    </w:p>
    <w:p w:rsidR="0022069A" w:rsidRPr="005911E2" w:rsidRDefault="0022069A" w:rsidP="00CF78DB">
      <w:pPr>
        <w:pStyle w:val="tablefootnotes"/>
      </w:pPr>
    </w:p>
    <w:p w:rsidR="00657163" w:rsidRPr="005911E2" w:rsidRDefault="00657163" w:rsidP="00657163">
      <w:pPr>
        <w:pStyle w:val="BodyText"/>
      </w:pPr>
      <w:r w:rsidRPr="005911E2">
        <w:t>Since June 2008, the number of income support recipients in the</w:t>
      </w:r>
      <w:r w:rsidR="006435C8">
        <w:t xml:space="preserve"> Northern Territory </w:t>
      </w:r>
      <w:r w:rsidRPr="005911E2">
        <w:t>has grown slightly (by about 2.4 per cent)</w:t>
      </w:r>
      <w:r>
        <w:t>, a</w:t>
      </w:r>
      <w:r w:rsidRPr="005911E2">
        <w:t>s illustrated in Figure 4</w:t>
      </w:r>
      <w:r w:rsidRPr="005911E2">
        <w:noBreakHyphen/>
        <w:t>1. The most substantive movement in this perio</w:t>
      </w:r>
      <w:r w:rsidR="002C4070">
        <w:t>d has been in the growth (by 17 </w:t>
      </w:r>
      <w:r w:rsidRPr="005911E2">
        <w:t xml:space="preserve">per cent) in the number of non-Indigenous people above the Age Pension Eligibility age. </w:t>
      </w:r>
    </w:p>
    <w:p w:rsidR="00DE67BD" w:rsidRPr="005911E2" w:rsidRDefault="00DE67BD" w:rsidP="00DE67BD">
      <w:pPr>
        <w:pStyle w:val="BodyText"/>
      </w:pPr>
      <w:r w:rsidRPr="005911E2">
        <w:t xml:space="preserve">These trends have taken place in the context of relatively good labour market conditions. </w:t>
      </w:r>
      <w:r w:rsidR="002973F2">
        <w:t>Australian Bureau of Statistics (</w:t>
      </w:r>
      <w:r w:rsidRPr="005911E2">
        <w:t>ABS</w:t>
      </w:r>
      <w:r w:rsidR="002973F2">
        <w:t>)</w:t>
      </w:r>
      <w:r w:rsidRPr="005911E2">
        <w:t xml:space="preserve"> data indicates that the unemployment rate in the</w:t>
      </w:r>
      <w:r w:rsidR="006435C8">
        <w:t xml:space="preserve"> Northern Territory </w:t>
      </w:r>
      <w:r w:rsidRPr="005911E2">
        <w:t xml:space="preserve">which was 3.3 per cent in June 2008 remained relatively flat until early 2011 before rising to 4.3 per cent in December 2011. More marked was an increase in the </w:t>
      </w:r>
      <w:r w:rsidR="002973F2">
        <w:t>l</w:t>
      </w:r>
      <w:r w:rsidRPr="005911E2">
        <w:t xml:space="preserve">abour </w:t>
      </w:r>
      <w:r w:rsidR="002973F2">
        <w:t>f</w:t>
      </w:r>
      <w:r w:rsidRPr="005911E2">
        <w:t xml:space="preserve">orce </w:t>
      </w:r>
      <w:r w:rsidR="002973F2">
        <w:t>p</w:t>
      </w:r>
      <w:r w:rsidRPr="005911E2">
        <w:t>articipation rate from 72.4 per cent in June 2008 to 74.7 per cent in December 2011.</w:t>
      </w:r>
    </w:p>
    <w:p w:rsidR="0022069A" w:rsidRPr="005911E2" w:rsidRDefault="0022069A" w:rsidP="00BD6DFD">
      <w:pPr>
        <w:pStyle w:val="Heading3"/>
      </w:pPr>
      <w:r w:rsidRPr="005911E2">
        <w:t xml:space="preserve">Trends in Indigenous </w:t>
      </w:r>
      <w:r w:rsidR="002973F2">
        <w:t>i</w:t>
      </w:r>
      <w:r w:rsidRPr="005911E2">
        <w:t xml:space="preserve">ncome </w:t>
      </w:r>
      <w:r w:rsidR="002973F2">
        <w:t>s</w:t>
      </w:r>
      <w:r w:rsidRPr="005911E2">
        <w:t>upport recipients and the potential role of the NTER IM</w:t>
      </w:r>
    </w:p>
    <w:p w:rsidR="0022069A" w:rsidRDefault="0022069A" w:rsidP="0022069A">
      <w:pPr>
        <w:pStyle w:val="BodyText"/>
      </w:pPr>
      <w:r w:rsidRPr="005911E2">
        <w:t xml:space="preserve">Given the extent to which the NTER IM program was specifically targeted at certain, mainly Indigenous, communities and as there have been a number of other impacts on Indigenous Australians’ receipt of income support, the potential population for NIM has changed over time. Figure </w:t>
      </w:r>
      <w:r w:rsidRPr="005911E2">
        <w:rPr>
          <w:noProof/>
        </w:rPr>
        <w:t>4</w:t>
      </w:r>
      <w:r w:rsidRPr="005911E2">
        <w:noBreakHyphen/>
      </w:r>
      <w:r w:rsidRPr="005911E2">
        <w:rPr>
          <w:noProof/>
        </w:rPr>
        <w:t>2</w:t>
      </w:r>
      <w:r w:rsidRPr="005911E2">
        <w:t xml:space="preserve"> shows the trends in the number of income support recipients in the</w:t>
      </w:r>
      <w:r w:rsidR="006435C8">
        <w:t xml:space="preserve"> Northern Territory </w:t>
      </w:r>
      <w:r w:rsidRPr="005911E2">
        <w:t xml:space="preserve">who </w:t>
      </w:r>
      <w:r w:rsidRPr="005911E2">
        <w:lastRenderedPageBreak/>
        <w:t xml:space="preserve">were under Age Pension Eligibility age, by </w:t>
      </w:r>
      <w:r w:rsidR="002636B4">
        <w:t xml:space="preserve">self-identified </w:t>
      </w:r>
      <w:r w:rsidRPr="005911E2">
        <w:t>Indigeneity in urban and non-urban areas.</w:t>
      </w:r>
      <w:r w:rsidRPr="005911E2">
        <w:rPr>
          <w:rStyle w:val="FootnoteReference"/>
        </w:rPr>
        <w:footnoteReference w:id="42"/>
      </w:r>
    </w:p>
    <w:p w:rsidR="00657163" w:rsidRPr="005911E2" w:rsidRDefault="00657163" w:rsidP="00657163">
      <w:pPr>
        <w:rPr>
          <w:lang w:eastAsia="en-AU"/>
        </w:rPr>
      </w:pPr>
      <w:r w:rsidRPr="005911E2">
        <w:rPr>
          <w:lang w:eastAsia="en-AU"/>
        </w:rPr>
        <w:t xml:space="preserve">There has been an increase in the number of urban Indigenous people under </w:t>
      </w:r>
      <w:r w:rsidRPr="005911E2">
        <w:t>Age Pension Eligibility</w:t>
      </w:r>
      <w:r w:rsidRPr="005911E2">
        <w:rPr>
          <w:lang w:eastAsia="en-AU"/>
        </w:rPr>
        <w:t xml:space="preserve"> age receiving an </w:t>
      </w:r>
      <w:r>
        <w:rPr>
          <w:lang w:eastAsia="en-AU"/>
        </w:rPr>
        <w:t>i</w:t>
      </w:r>
      <w:r w:rsidRPr="005911E2">
        <w:rPr>
          <w:lang w:eastAsia="en-AU"/>
        </w:rPr>
        <w:t xml:space="preserve">ncome </w:t>
      </w:r>
      <w:r>
        <w:rPr>
          <w:lang w:eastAsia="en-AU"/>
        </w:rPr>
        <w:t>s</w:t>
      </w:r>
      <w:r w:rsidRPr="005911E2">
        <w:rPr>
          <w:lang w:eastAsia="en-AU"/>
        </w:rPr>
        <w:t xml:space="preserve">upport </w:t>
      </w:r>
      <w:r>
        <w:rPr>
          <w:lang w:eastAsia="en-AU"/>
        </w:rPr>
        <w:t>p</w:t>
      </w:r>
      <w:r w:rsidRPr="005911E2">
        <w:rPr>
          <w:lang w:eastAsia="en-AU"/>
        </w:rPr>
        <w:t>ayment. The number increased rapidly from 3</w:t>
      </w:r>
      <w:r>
        <w:rPr>
          <w:lang w:eastAsia="en-AU"/>
        </w:rPr>
        <w:t> </w:t>
      </w:r>
      <w:r w:rsidRPr="005911E2">
        <w:rPr>
          <w:lang w:eastAsia="en-AU"/>
        </w:rPr>
        <w:t>963 in September 2008 to 5</w:t>
      </w:r>
      <w:r>
        <w:rPr>
          <w:lang w:eastAsia="en-AU"/>
        </w:rPr>
        <w:t> </w:t>
      </w:r>
      <w:r w:rsidRPr="005911E2">
        <w:rPr>
          <w:lang w:eastAsia="en-AU"/>
        </w:rPr>
        <w:t>027 in March 2010</w:t>
      </w:r>
      <w:r>
        <w:rPr>
          <w:lang w:eastAsia="en-AU"/>
        </w:rPr>
        <w:t>,</w:t>
      </w:r>
      <w:r w:rsidRPr="005911E2">
        <w:rPr>
          <w:lang w:eastAsia="en-AU"/>
        </w:rPr>
        <w:t xml:space="preserve"> after which it remained relatively stable before falling to 4</w:t>
      </w:r>
      <w:r>
        <w:rPr>
          <w:lang w:eastAsia="en-AU"/>
        </w:rPr>
        <w:t> </w:t>
      </w:r>
      <w:r w:rsidRPr="005911E2">
        <w:rPr>
          <w:lang w:eastAsia="en-AU"/>
        </w:rPr>
        <w:t>839 in September 2011. The trend in the much larger non-urban Indigenous population shows a more complex pattern. The number initially fell in the period up to September 2009 (from 17</w:t>
      </w:r>
      <w:r>
        <w:rPr>
          <w:lang w:eastAsia="en-AU"/>
        </w:rPr>
        <w:t> </w:t>
      </w:r>
      <w:r w:rsidRPr="005911E2">
        <w:rPr>
          <w:lang w:eastAsia="en-AU"/>
        </w:rPr>
        <w:t>507 to 16</w:t>
      </w:r>
      <w:r>
        <w:rPr>
          <w:lang w:eastAsia="en-AU"/>
        </w:rPr>
        <w:t> </w:t>
      </w:r>
      <w:r w:rsidRPr="005911E2">
        <w:rPr>
          <w:lang w:eastAsia="en-AU"/>
        </w:rPr>
        <w:t>769), before rising up until March 2010, then declining and rising again. In September 2011 it was at 17</w:t>
      </w:r>
      <w:r>
        <w:rPr>
          <w:lang w:eastAsia="en-AU"/>
        </w:rPr>
        <w:t> </w:t>
      </w:r>
      <w:r w:rsidRPr="005911E2">
        <w:rPr>
          <w:lang w:eastAsia="en-AU"/>
        </w:rPr>
        <w:t>186 a little below what it was 3 years earlier.</w:t>
      </w:r>
    </w:p>
    <w:p w:rsidR="0022069A" w:rsidRPr="005911E2" w:rsidRDefault="0022069A" w:rsidP="0022069A">
      <w:pPr>
        <w:pStyle w:val="tabfighead"/>
      </w:pPr>
      <w:bookmarkStart w:id="223" w:name="_Ref321172127"/>
      <w:bookmarkStart w:id="224" w:name="_Toc321761748"/>
      <w:bookmarkStart w:id="225" w:name="_Toc321254597"/>
      <w:bookmarkStart w:id="226" w:name="_Toc328601648"/>
      <w:bookmarkStart w:id="227" w:name="_Toc335915914"/>
      <w:r w:rsidRPr="005911E2">
        <w:t xml:space="preserve">Figure </w:t>
      </w:r>
      <w:r w:rsidR="00C7347D">
        <w:fldChar w:fldCharType="begin"/>
      </w:r>
      <w:r w:rsidR="00E74851">
        <w:instrText xml:space="preserve"> STYLEREF 1 \s </w:instrText>
      </w:r>
      <w:r w:rsidR="00C7347D">
        <w:fldChar w:fldCharType="separate"/>
      </w:r>
      <w:r w:rsidR="007D7E45">
        <w:rPr>
          <w:noProof/>
        </w:rPr>
        <w:t>4</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2</w:t>
      </w:r>
      <w:r w:rsidR="00C7347D">
        <w:fldChar w:fldCharType="end"/>
      </w:r>
      <w:bookmarkEnd w:id="223"/>
      <w:r w:rsidRPr="005911E2">
        <w:tab/>
      </w:r>
      <w:r w:rsidR="006435C8">
        <w:t>Northern Territory,</w:t>
      </w:r>
      <w:r w:rsidRPr="005911E2">
        <w:t xml:space="preserve"> Income support recipients under Age Pension </w:t>
      </w:r>
      <w:r w:rsidR="002973F2">
        <w:t>Eligibility a</w:t>
      </w:r>
      <w:r w:rsidRPr="005911E2">
        <w:t xml:space="preserve">ge by Indigeneity </w:t>
      </w:r>
      <w:r w:rsidR="002973F2">
        <w:t>in urban and non-urban areas</w:t>
      </w:r>
      <w:r w:rsidR="00892C83">
        <w:t xml:space="preserve">, </w:t>
      </w:r>
      <w:r w:rsidRPr="005911E2">
        <w:t>September 2008 to September 2011</w:t>
      </w:r>
      <w:bookmarkEnd w:id="224"/>
      <w:bookmarkEnd w:id="225"/>
      <w:bookmarkEnd w:id="226"/>
      <w:bookmarkEnd w:id="227"/>
      <w:r w:rsidRPr="005911E2">
        <w:t xml:space="preserve"> </w:t>
      </w:r>
    </w:p>
    <w:p w:rsidR="0022069A" w:rsidRPr="005911E2" w:rsidRDefault="00CC389C" w:rsidP="00CF78DB">
      <w:pPr>
        <w:pStyle w:val="tablefootnotes"/>
      </w:pPr>
      <w:r>
        <w:rPr>
          <w:noProof/>
          <w:lang w:eastAsia="en-AU" w:bidi="ar-SA"/>
        </w:rPr>
        <w:drawing>
          <wp:anchor distT="0" distB="0" distL="114300" distR="114300" simplePos="0" relativeHeight="251768832" behindDoc="0" locked="0" layoutInCell="1" allowOverlap="1">
            <wp:simplePos x="0" y="0"/>
            <wp:positionH relativeFrom="margin">
              <wp:align>inside</wp:align>
            </wp:positionH>
            <wp:positionV relativeFrom="paragraph">
              <wp:posOffset>22225</wp:posOffset>
            </wp:positionV>
            <wp:extent cx="4531995" cy="2743200"/>
            <wp:effectExtent l="0" t="0" r="1905" b="0"/>
            <wp:wrapTopAndBottom/>
            <wp:docPr id="43" name="Picture 53" descr="Figure 4-2 Northern Territory, Income support recipients under Age Pension Eligibility age by Indigeneity in urban and non-urban areas, September 2008 to September 2011 " title="Figure 4-2 Northern Territory, Income support recipients under Age Pension Eligibility age by Indigeneity in urban and non-urban areas, September 2008 to September 20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31995" cy="2743200"/>
                    </a:xfrm>
                    <a:prstGeom prst="rect">
                      <a:avLst/>
                    </a:prstGeom>
                    <a:noFill/>
                    <a:ln>
                      <a:noFill/>
                    </a:ln>
                  </pic:spPr>
                </pic:pic>
              </a:graphicData>
            </a:graphic>
          </wp:anchor>
        </w:drawing>
      </w:r>
    </w:p>
    <w:p w:rsidR="0022069A" w:rsidRPr="005A5B7F" w:rsidRDefault="0022069A" w:rsidP="00CF78DB">
      <w:pPr>
        <w:pStyle w:val="tablefootnotes"/>
      </w:pPr>
      <w:r w:rsidRPr="005A5B7F">
        <w:t>Population:</w:t>
      </w:r>
      <w:r w:rsidR="005A5B7F">
        <w:tab/>
      </w:r>
      <w:r w:rsidRPr="005A5B7F">
        <w:t>Income support recipients resident in the</w:t>
      </w:r>
      <w:r w:rsidR="006435C8">
        <w:t xml:space="preserve"> Northern Territory </w:t>
      </w:r>
      <w:r w:rsidRPr="005A5B7F">
        <w:t>aged under A</w:t>
      </w:r>
      <w:r w:rsidR="006B63E3" w:rsidRPr="005A5B7F">
        <w:t xml:space="preserve">ge Pension Eligibility </w:t>
      </w:r>
      <w:r w:rsidRPr="005A5B7F">
        <w:t>age.</w:t>
      </w:r>
    </w:p>
    <w:p w:rsidR="0022069A" w:rsidRPr="005A5B7F" w:rsidRDefault="0022069A" w:rsidP="00CF78DB">
      <w:pPr>
        <w:pStyle w:val="tablefootnotes"/>
      </w:pPr>
      <w:r w:rsidRPr="005A5B7F">
        <w:t xml:space="preserve">Source: </w:t>
      </w:r>
      <w:r w:rsidR="00D621B2">
        <w:tab/>
      </w:r>
      <w:r w:rsidRPr="005A5B7F">
        <w:t>Derived from the FaHCSIA Housing Dataset.</w:t>
      </w:r>
    </w:p>
    <w:p w:rsidR="0022069A" w:rsidRPr="005911E2" w:rsidRDefault="0022069A" w:rsidP="00CF78DB">
      <w:pPr>
        <w:pStyle w:val="tablefootnotes"/>
      </w:pPr>
    </w:p>
    <w:p w:rsidR="0022069A" w:rsidRPr="005911E2" w:rsidRDefault="008B79AA" w:rsidP="0022069A">
      <w:pPr>
        <w:rPr>
          <w:lang w:eastAsia="en-AU"/>
        </w:rPr>
      </w:pPr>
      <w:r>
        <w:rPr>
          <w:lang w:eastAsia="en-AU"/>
        </w:rPr>
        <w:t>In addition to the economic circumstances during this period,</w:t>
      </w:r>
      <w:r w:rsidR="0022069A" w:rsidRPr="005911E2">
        <w:rPr>
          <w:lang w:eastAsia="en-AU"/>
        </w:rPr>
        <w:t xml:space="preserve"> these patterns are likely to be attributable to three factors:</w:t>
      </w:r>
    </w:p>
    <w:p w:rsidR="0022069A" w:rsidRPr="005911E2" w:rsidRDefault="0022069A" w:rsidP="00911315">
      <w:pPr>
        <w:pStyle w:val="ListBullet"/>
        <w:rPr>
          <w:lang w:eastAsia="en-AU"/>
        </w:rPr>
      </w:pPr>
      <w:r w:rsidRPr="005911E2">
        <w:rPr>
          <w:lang w:eastAsia="en-AU"/>
        </w:rPr>
        <w:t xml:space="preserve">The first is the effect of changes in the Community Development Employment Projects (CDEP) scheme. These changes, introduced in July 2009, had a range of consequences, including the removal of CDEP from locations with established labour markets and changes in the way in which participants were classified in the </w:t>
      </w:r>
      <w:r w:rsidR="008B79AA">
        <w:rPr>
          <w:lang w:eastAsia="en-AU"/>
        </w:rPr>
        <w:t>i</w:t>
      </w:r>
      <w:r w:rsidRPr="005911E2">
        <w:rPr>
          <w:lang w:eastAsia="en-AU"/>
        </w:rPr>
        <w:t xml:space="preserve">ncome </w:t>
      </w:r>
      <w:r w:rsidR="008B79AA">
        <w:rPr>
          <w:lang w:eastAsia="en-AU"/>
        </w:rPr>
        <w:t>s</w:t>
      </w:r>
      <w:r w:rsidRPr="005911E2">
        <w:rPr>
          <w:lang w:eastAsia="en-AU"/>
        </w:rPr>
        <w:t xml:space="preserve">upport </w:t>
      </w:r>
      <w:r w:rsidR="008B79AA">
        <w:rPr>
          <w:lang w:eastAsia="en-AU"/>
        </w:rPr>
        <w:t>s</w:t>
      </w:r>
      <w:r w:rsidRPr="005911E2">
        <w:rPr>
          <w:lang w:eastAsia="en-AU"/>
        </w:rPr>
        <w:t xml:space="preserve">ystem. Prior to </w:t>
      </w:r>
      <w:r w:rsidR="008B79AA">
        <w:rPr>
          <w:lang w:eastAsia="en-AU"/>
        </w:rPr>
        <w:t>July 2009</w:t>
      </w:r>
      <w:r w:rsidRPr="005911E2">
        <w:rPr>
          <w:lang w:eastAsia="en-AU"/>
        </w:rPr>
        <w:t xml:space="preserve">, CDEP participants were considered to be receiving CDEP wages and </w:t>
      </w:r>
      <w:r w:rsidRPr="005911E2">
        <w:rPr>
          <w:lang w:eastAsia="en-AU"/>
        </w:rPr>
        <w:lastRenderedPageBreak/>
        <w:t xml:space="preserve">hence were not defined in this administrative data as being in receipt of income support. From July 2009 onwards, new CDEP participants were classified as income support recipients. </w:t>
      </w:r>
    </w:p>
    <w:p w:rsidR="0022069A" w:rsidRPr="005911E2" w:rsidRDefault="0022069A" w:rsidP="00911315">
      <w:pPr>
        <w:pStyle w:val="ListBullet"/>
      </w:pPr>
      <w:r w:rsidRPr="005911E2">
        <w:t xml:space="preserve">The second potential impact arises from the introduction of </w:t>
      </w:r>
      <w:r w:rsidR="008B79AA">
        <w:t xml:space="preserve">income management </w:t>
      </w:r>
      <w:r w:rsidRPr="005911E2">
        <w:t xml:space="preserve">under the NTER. Two possible effects which have been anecdotally reported are: out-migration of people from prescribed communities to other locations; and increased levels of income support receipt as a result of the NTER having identified some people who were not receiving their entitlements. The impact of such changes are outside the scope of this evaluation, although the decline in non-urban, and increase in urban levels of Indigenous income support receipt in the period up to September 2009, may be indicative of migration from remote to urban areas. </w:t>
      </w:r>
    </w:p>
    <w:p w:rsidR="0022069A" w:rsidRPr="005911E2" w:rsidRDefault="0022069A" w:rsidP="00911315">
      <w:pPr>
        <w:pStyle w:val="ListBullet"/>
      </w:pPr>
      <w:r w:rsidRPr="005911E2">
        <w:t>The third factor is the extent to which other policies associated with the NTER</w:t>
      </w:r>
      <w:r w:rsidR="003F1329">
        <w:t>,</w:t>
      </w:r>
      <w:r w:rsidRPr="005911E2">
        <w:t xml:space="preserve"> such as alcohol restrictions</w:t>
      </w:r>
      <w:r w:rsidR="003F1329">
        <w:t>,</w:t>
      </w:r>
      <w:r w:rsidRPr="005911E2">
        <w:t xml:space="preserve"> resulted in some out-migration. It is considered that this mechanism is more likely </w:t>
      </w:r>
      <w:r w:rsidR="00EB06F6">
        <w:t>t</w:t>
      </w:r>
      <w:r w:rsidRPr="005911E2">
        <w:t>o have had a significant impact. The reason for this is because people being income managed in the prescribed areas continued to be income managed if they moved out of those areas, and so migration to urban areas would not have affected their IM</w:t>
      </w:r>
      <w:r w:rsidR="00ED395D" w:rsidRPr="005911E2">
        <w:t xml:space="preserve"> status</w:t>
      </w:r>
      <w:r w:rsidRPr="005911E2">
        <w:t>.</w:t>
      </w:r>
    </w:p>
    <w:p w:rsidR="0022069A" w:rsidRPr="005911E2" w:rsidRDefault="00C5227F" w:rsidP="00616B0F">
      <w:pPr>
        <w:pStyle w:val="Heading2"/>
      </w:pPr>
      <w:bookmarkStart w:id="228" w:name="_Toc321225111"/>
      <w:bookmarkStart w:id="229" w:name="_Toc321761597"/>
      <w:bookmarkStart w:id="230" w:name="_Toc321254455"/>
      <w:bookmarkStart w:id="231" w:name="_Toc328601478"/>
      <w:bookmarkStart w:id="232" w:name="_Toc329870360"/>
      <w:bookmarkStart w:id="233" w:name="_Toc335915746"/>
      <w:r>
        <w:t>The roll</w:t>
      </w:r>
      <w:r w:rsidR="0022069A" w:rsidRPr="005911E2">
        <w:t>out of NIM</w:t>
      </w:r>
      <w:bookmarkEnd w:id="228"/>
      <w:bookmarkEnd w:id="229"/>
      <w:bookmarkEnd w:id="230"/>
      <w:bookmarkEnd w:id="231"/>
      <w:bookmarkEnd w:id="232"/>
      <w:bookmarkEnd w:id="233"/>
    </w:p>
    <w:p w:rsidR="0022069A" w:rsidRPr="005911E2" w:rsidRDefault="0022069A" w:rsidP="0022069A">
      <w:pPr>
        <w:pStyle w:val="BodyText"/>
        <w:rPr>
          <w:lang w:eastAsia="en-US"/>
        </w:rPr>
      </w:pPr>
      <w:r w:rsidRPr="005911E2">
        <w:rPr>
          <w:lang w:eastAsia="en-US"/>
        </w:rPr>
        <w:t xml:space="preserve">The rollout of NIM commenced in </w:t>
      </w:r>
      <w:r w:rsidR="00614538">
        <w:rPr>
          <w:lang w:eastAsia="en-US"/>
        </w:rPr>
        <w:t>August</w:t>
      </w:r>
      <w:r w:rsidR="00614538" w:rsidRPr="005911E2">
        <w:rPr>
          <w:lang w:eastAsia="en-US"/>
        </w:rPr>
        <w:t xml:space="preserve"> </w:t>
      </w:r>
      <w:r w:rsidRPr="005911E2">
        <w:rPr>
          <w:lang w:eastAsia="en-US"/>
        </w:rPr>
        <w:t xml:space="preserve">2010 </w:t>
      </w:r>
      <w:r w:rsidR="0067190E">
        <w:rPr>
          <w:lang w:eastAsia="en-US"/>
        </w:rPr>
        <w:t>(see</w:t>
      </w:r>
      <w:r w:rsidRPr="005911E2">
        <w:rPr>
          <w:lang w:eastAsia="en-US"/>
        </w:rPr>
        <w:t xml:space="preserve"> Chapter 2</w:t>
      </w:r>
      <w:r w:rsidR="0067190E">
        <w:rPr>
          <w:lang w:eastAsia="en-US"/>
        </w:rPr>
        <w:t>)</w:t>
      </w:r>
      <w:r w:rsidRPr="005911E2">
        <w:rPr>
          <w:lang w:eastAsia="en-US"/>
        </w:rPr>
        <w:t xml:space="preserve">. Initially it involved the transfer of people subject to NTER IM onto either </w:t>
      </w:r>
      <w:r w:rsidR="0067190E">
        <w:rPr>
          <w:lang w:eastAsia="en-US"/>
        </w:rPr>
        <w:t xml:space="preserve">a compulsory or voluntary form of income management, or off income management altogether </w:t>
      </w:r>
      <w:r w:rsidRPr="005911E2">
        <w:rPr>
          <w:lang w:eastAsia="en-US"/>
        </w:rPr>
        <w:t xml:space="preserve">(depending upon their preference and whether or not they were subject to the new targeting criteria). </w:t>
      </w:r>
      <w:r w:rsidR="006F14AA" w:rsidRPr="005911E2">
        <w:t xml:space="preserve">Table </w:t>
      </w:r>
      <w:r w:rsidR="006F14AA" w:rsidRPr="005911E2">
        <w:rPr>
          <w:noProof/>
        </w:rPr>
        <w:t>4</w:t>
      </w:r>
      <w:r w:rsidR="006F14AA" w:rsidRPr="005911E2">
        <w:noBreakHyphen/>
      </w:r>
      <w:r w:rsidR="006F14AA" w:rsidRPr="005911E2">
        <w:rPr>
          <w:noProof/>
        </w:rPr>
        <w:t>1</w:t>
      </w:r>
      <w:r w:rsidRPr="005911E2">
        <w:t xml:space="preserve"> </w:t>
      </w:r>
      <w:r w:rsidRPr="005911E2">
        <w:rPr>
          <w:lang w:eastAsia="en-US"/>
        </w:rPr>
        <w:t>illustrates the rollout of the program, and its subsequent development in terms of the number of people on both the NTER IM and NIM.</w:t>
      </w:r>
    </w:p>
    <w:p w:rsidR="0022069A" w:rsidRPr="005911E2" w:rsidRDefault="0022069A" w:rsidP="0022069A">
      <w:pPr>
        <w:pStyle w:val="tabfighead"/>
      </w:pPr>
      <w:bookmarkStart w:id="234" w:name="_Ref321239281"/>
      <w:bookmarkStart w:id="235" w:name="_Ref321172497"/>
      <w:bookmarkStart w:id="236" w:name="_Ref321172490"/>
      <w:bookmarkStart w:id="237" w:name="_Toc321430406"/>
      <w:bookmarkStart w:id="238" w:name="_Toc321761676"/>
      <w:bookmarkStart w:id="239" w:name="_Toc321254525"/>
      <w:bookmarkStart w:id="240" w:name="_Toc328601571"/>
      <w:bookmarkStart w:id="241" w:name="_Toc329051349"/>
      <w:bookmarkStart w:id="242" w:name="_Toc335915837"/>
      <w:r w:rsidRPr="005911E2">
        <w:t xml:space="preserve">Table </w:t>
      </w:r>
      <w:r w:rsidR="00C7347D" w:rsidRPr="005911E2">
        <w:fldChar w:fldCharType="begin"/>
      </w:r>
      <w:r w:rsidR="00435FEB" w:rsidRPr="005911E2">
        <w:instrText xml:space="preserve"> STYLEREF 1 \s </w:instrText>
      </w:r>
      <w:r w:rsidR="00C7347D" w:rsidRPr="005911E2">
        <w:fldChar w:fldCharType="separate"/>
      </w:r>
      <w:r w:rsidR="007D7E45">
        <w:rPr>
          <w:noProof/>
        </w:rPr>
        <w:t>4</w:t>
      </w:r>
      <w:r w:rsidR="00C7347D" w:rsidRPr="005911E2">
        <w:rPr>
          <w:noProof/>
        </w:rPr>
        <w:fldChar w:fldCharType="end"/>
      </w:r>
      <w:r w:rsidRPr="005911E2">
        <w:noBreakHyphen/>
      </w:r>
      <w:r w:rsidR="00C7347D" w:rsidRPr="005911E2">
        <w:fldChar w:fldCharType="begin"/>
      </w:r>
      <w:r w:rsidR="00435FEB" w:rsidRPr="005911E2">
        <w:instrText xml:space="preserve"> SEQ Table \* ARABIC \s 1 </w:instrText>
      </w:r>
      <w:r w:rsidR="00C7347D" w:rsidRPr="005911E2">
        <w:fldChar w:fldCharType="separate"/>
      </w:r>
      <w:r w:rsidR="007D7E45">
        <w:rPr>
          <w:noProof/>
        </w:rPr>
        <w:t>1</w:t>
      </w:r>
      <w:r w:rsidR="00C7347D" w:rsidRPr="005911E2">
        <w:rPr>
          <w:noProof/>
        </w:rPr>
        <w:fldChar w:fldCharType="end"/>
      </w:r>
      <w:bookmarkEnd w:id="234"/>
      <w:r w:rsidRPr="005911E2">
        <w:tab/>
      </w:r>
      <w:bookmarkEnd w:id="235"/>
      <w:r w:rsidR="006435C8">
        <w:t>Northern Territory,</w:t>
      </w:r>
      <w:r w:rsidRPr="005911E2">
        <w:t xml:space="preserve"> Number of people subject to Income Management by </w:t>
      </w:r>
      <w:r w:rsidR="00F878E4">
        <w:t>income management</w:t>
      </w:r>
      <w:r w:rsidRPr="005911E2">
        <w:t xml:space="preserve"> type, June 2010 to September 2011</w:t>
      </w:r>
      <w:bookmarkEnd w:id="236"/>
      <w:bookmarkEnd w:id="237"/>
      <w:bookmarkEnd w:id="238"/>
      <w:bookmarkEnd w:id="239"/>
      <w:bookmarkEnd w:id="240"/>
      <w:bookmarkEnd w:id="241"/>
      <w:bookmarkEnd w:id="242"/>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Caption w:val="Table 4-1 Northern Territory, Number of people subject to Income Management by income management type, June 2010 to September 2011"/>
        <w:tblDescription w:val="Table 4-1 Northern Territory, Number of people subject to Income Management by income management type, June 2010 to September 2011"/>
      </w:tblPr>
      <w:tblGrid>
        <w:gridCol w:w="1843"/>
        <w:gridCol w:w="850"/>
        <w:gridCol w:w="1134"/>
        <w:gridCol w:w="1078"/>
        <w:gridCol w:w="907"/>
        <w:gridCol w:w="935"/>
        <w:gridCol w:w="1049"/>
      </w:tblGrid>
      <w:tr w:rsidR="0022069A" w:rsidRPr="00BB14C5" w:rsidTr="009D15E2">
        <w:trPr>
          <w:cantSplit/>
          <w:tblHeader/>
          <w:jc w:val="right"/>
        </w:trPr>
        <w:tc>
          <w:tcPr>
            <w:tcW w:w="1843" w:type="dxa"/>
            <w:tcBorders>
              <w:top w:val="single" w:sz="4" w:space="0" w:color="auto"/>
              <w:bottom w:val="single" w:sz="4" w:space="0" w:color="auto"/>
            </w:tcBorders>
            <w:shd w:val="clear" w:color="auto" w:fill="FFFFFF" w:themeFill="background1"/>
          </w:tcPr>
          <w:p w:rsidR="0022069A" w:rsidRPr="00BB14C5" w:rsidRDefault="0022069A" w:rsidP="00EB06F6">
            <w:pPr>
              <w:pStyle w:val="braytabletext"/>
              <w:rPr>
                <w:szCs w:val="16"/>
              </w:rPr>
            </w:pPr>
          </w:p>
        </w:tc>
        <w:tc>
          <w:tcPr>
            <w:tcW w:w="850" w:type="dxa"/>
            <w:tcBorders>
              <w:top w:val="single" w:sz="4" w:space="0" w:color="auto"/>
              <w:bottom w:val="single" w:sz="4" w:space="0" w:color="auto"/>
            </w:tcBorders>
            <w:shd w:val="clear" w:color="auto" w:fill="FFFFFF" w:themeFill="background1"/>
          </w:tcPr>
          <w:p w:rsidR="0022069A" w:rsidRPr="00BB14C5" w:rsidRDefault="0022069A" w:rsidP="00BB14C5">
            <w:pPr>
              <w:pStyle w:val="braytabletext"/>
              <w:jc w:val="right"/>
              <w:rPr>
                <w:szCs w:val="16"/>
              </w:rPr>
            </w:pPr>
            <w:r w:rsidRPr="00BB14C5">
              <w:rPr>
                <w:szCs w:val="16"/>
              </w:rPr>
              <w:t>June 2010</w:t>
            </w:r>
          </w:p>
        </w:tc>
        <w:tc>
          <w:tcPr>
            <w:tcW w:w="1134" w:type="dxa"/>
            <w:tcBorders>
              <w:top w:val="single" w:sz="4" w:space="0" w:color="auto"/>
              <w:bottom w:val="single" w:sz="4" w:space="0" w:color="auto"/>
            </w:tcBorders>
            <w:shd w:val="clear" w:color="auto" w:fill="FFFFFF" w:themeFill="background1"/>
          </w:tcPr>
          <w:p w:rsidR="0022069A" w:rsidRPr="00BB14C5" w:rsidRDefault="0022069A" w:rsidP="00BB14C5">
            <w:pPr>
              <w:pStyle w:val="braytabletext"/>
              <w:jc w:val="right"/>
              <w:rPr>
                <w:szCs w:val="16"/>
              </w:rPr>
            </w:pPr>
            <w:r w:rsidRPr="00BB14C5">
              <w:rPr>
                <w:szCs w:val="16"/>
              </w:rPr>
              <w:t>September 2010</w:t>
            </w:r>
          </w:p>
        </w:tc>
        <w:tc>
          <w:tcPr>
            <w:tcW w:w="1078" w:type="dxa"/>
            <w:tcBorders>
              <w:top w:val="single" w:sz="4" w:space="0" w:color="auto"/>
              <w:bottom w:val="single" w:sz="4" w:space="0" w:color="auto"/>
            </w:tcBorders>
            <w:shd w:val="clear" w:color="auto" w:fill="FFFFFF" w:themeFill="background1"/>
          </w:tcPr>
          <w:p w:rsidR="0022069A" w:rsidRPr="00BB14C5" w:rsidRDefault="0022069A" w:rsidP="00BB14C5">
            <w:pPr>
              <w:pStyle w:val="braytabletext"/>
              <w:jc w:val="right"/>
              <w:rPr>
                <w:szCs w:val="16"/>
              </w:rPr>
            </w:pPr>
            <w:r w:rsidRPr="00BB14C5">
              <w:rPr>
                <w:szCs w:val="16"/>
              </w:rPr>
              <w:t>December 2010</w:t>
            </w:r>
          </w:p>
        </w:tc>
        <w:tc>
          <w:tcPr>
            <w:tcW w:w="907" w:type="dxa"/>
            <w:tcBorders>
              <w:top w:val="single" w:sz="4" w:space="0" w:color="auto"/>
              <w:bottom w:val="single" w:sz="4" w:space="0" w:color="auto"/>
            </w:tcBorders>
            <w:shd w:val="clear" w:color="auto" w:fill="FFFFFF" w:themeFill="background1"/>
          </w:tcPr>
          <w:p w:rsidR="0022069A" w:rsidRPr="00BB14C5" w:rsidRDefault="0022069A" w:rsidP="00BB14C5">
            <w:pPr>
              <w:pStyle w:val="braytabletext"/>
              <w:jc w:val="right"/>
              <w:rPr>
                <w:szCs w:val="16"/>
              </w:rPr>
            </w:pPr>
            <w:r w:rsidRPr="00BB14C5">
              <w:rPr>
                <w:szCs w:val="16"/>
              </w:rPr>
              <w:t>March 2011</w:t>
            </w:r>
          </w:p>
        </w:tc>
        <w:tc>
          <w:tcPr>
            <w:tcW w:w="935" w:type="dxa"/>
            <w:tcBorders>
              <w:top w:val="single" w:sz="4" w:space="0" w:color="auto"/>
              <w:bottom w:val="single" w:sz="4" w:space="0" w:color="auto"/>
            </w:tcBorders>
            <w:shd w:val="clear" w:color="auto" w:fill="FFFFFF" w:themeFill="background1"/>
          </w:tcPr>
          <w:p w:rsidR="0022069A" w:rsidRPr="00BB14C5" w:rsidRDefault="0022069A" w:rsidP="00BB14C5">
            <w:pPr>
              <w:pStyle w:val="braytabletext"/>
              <w:jc w:val="right"/>
              <w:rPr>
                <w:szCs w:val="16"/>
              </w:rPr>
            </w:pPr>
            <w:r w:rsidRPr="00BB14C5">
              <w:rPr>
                <w:szCs w:val="16"/>
              </w:rPr>
              <w:t>June 2011</w:t>
            </w:r>
          </w:p>
        </w:tc>
        <w:tc>
          <w:tcPr>
            <w:tcW w:w="1049" w:type="dxa"/>
            <w:tcBorders>
              <w:top w:val="single" w:sz="4" w:space="0" w:color="auto"/>
              <w:bottom w:val="single" w:sz="4" w:space="0" w:color="auto"/>
            </w:tcBorders>
            <w:shd w:val="clear" w:color="auto" w:fill="FFFFFF" w:themeFill="background1"/>
          </w:tcPr>
          <w:p w:rsidR="0022069A" w:rsidRPr="00BB14C5" w:rsidRDefault="0022069A" w:rsidP="00BB14C5">
            <w:pPr>
              <w:pStyle w:val="braytabletext"/>
              <w:jc w:val="right"/>
              <w:rPr>
                <w:szCs w:val="16"/>
              </w:rPr>
            </w:pPr>
            <w:r w:rsidRPr="00BB14C5">
              <w:rPr>
                <w:szCs w:val="16"/>
              </w:rPr>
              <w:t>September 2011</w:t>
            </w:r>
          </w:p>
        </w:tc>
      </w:tr>
      <w:tr w:rsidR="0022069A" w:rsidRPr="00BB14C5" w:rsidTr="00FB6A20">
        <w:trPr>
          <w:cantSplit/>
          <w:jc w:val="right"/>
        </w:trPr>
        <w:tc>
          <w:tcPr>
            <w:tcW w:w="1843" w:type="dxa"/>
            <w:tcBorders>
              <w:top w:val="single" w:sz="4" w:space="0" w:color="auto"/>
            </w:tcBorders>
            <w:shd w:val="clear" w:color="auto" w:fill="FFFFFF" w:themeFill="background1"/>
            <w:vAlign w:val="center"/>
          </w:tcPr>
          <w:p w:rsidR="0022069A" w:rsidRPr="00BB14C5" w:rsidRDefault="0022069A" w:rsidP="00EB06F6">
            <w:pPr>
              <w:pStyle w:val="TableText"/>
              <w:spacing w:before="60"/>
              <w:rPr>
                <w:szCs w:val="16"/>
              </w:rPr>
            </w:pPr>
            <w:r w:rsidRPr="00BB14C5">
              <w:rPr>
                <w:szCs w:val="16"/>
              </w:rPr>
              <w:t>NTER IM</w:t>
            </w:r>
          </w:p>
        </w:tc>
        <w:tc>
          <w:tcPr>
            <w:tcW w:w="850" w:type="dxa"/>
            <w:tcBorders>
              <w:top w:val="single" w:sz="4" w:space="0" w:color="auto"/>
            </w:tcBorders>
            <w:shd w:val="clear" w:color="auto" w:fill="FFFFFF" w:themeFill="background1"/>
            <w:vAlign w:val="bottom"/>
          </w:tcPr>
          <w:p w:rsidR="0022069A" w:rsidRPr="00BB14C5" w:rsidRDefault="0022069A" w:rsidP="00BB14C5">
            <w:pPr>
              <w:pStyle w:val="TableText"/>
              <w:jc w:val="right"/>
              <w:rPr>
                <w:szCs w:val="16"/>
              </w:rPr>
            </w:pPr>
            <w:r w:rsidRPr="00BB14C5">
              <w:rPr>
                <w:szCs w:val="16"/>
              </w:rPr>
              <w:t>16</w:t>
            </w:r>
            <w:r w:rsidR="00EB06F6" w:rsidRPr="00BB14C5">
              <w:rPr>
                <w:szCs w:val="16"/>
              </w:rPr>
              <w:t> </w:t>
            </w:r>
            <w:r w:rsidRPr="00BB14C5">
              <w:rPr>
                <w:szCs w:val="16"/>
              </w:rPr>
              <w:t>38</w:t>
            </w:r>
            <w:r w:rsidR="00ED395D" w:rsidRPr="00BB14C5">
              <w:rPr>
                <w:szCs w:val="16"/>
              </w:rPr>
              <w:t>0</w:t>
            </w:r>
          </w:p>
        </w:tc>
        <w:tc>
          <w:tcPr>
            <w:tcW w:w="1134" w:type="dxa"/>
            <w:tcBorders>
              <w:top w:val="single" w:sz="4" w:space="0" w:color="auto"/>
            </w:tcBorders>
            <w:shd w:val="clear" w:color="auto" w:fill="FFFFFF" w:themeFill="background1"/>
            <w:vAlign w:val="bottom"/>
          </w:tcPr>
          <w:p w:rsidR="0022069A" w:rsidRPr="00BB14C5" w:rsidRDefault="0022069A" w:rsidP="00BB14C5">
            <w:pPr>
              <w:pStyle w:val="TableText"/>
              <w:jc w:val="right"/>
              <w:rPr>
                <w:szCs w:val="16"/>
              </w:rPr>
            </w:pPr>
            <w:r w:rsidRPr="00BB14C5">
              <w:rPr>
                <w:szCs w:val="16"/>
              </w:rPr>
              <w:t>7</w:t>
            </w:r>
            <w:r w:rsidR="00EB06F6" w:rsidRPr="00BB14C5">
              <w:rPr>
                <w:szCs w:val="16"/>
              </w:rPr>
              <w:t> </w:t>
            </w:r>
            <w:r w:rsidRPr="00BB14C5">
              <w:rPr>
                <w:szCs w:val="16"/>
              </w:rPr>
              <w:t>821</w:t>
            </w:r>
          </w:p>
        </w:tc>
        <w:tc>
          <w:tcPr>
            <w:tcW w:w="1078" w:type="dxa"/>
            <w:tcBorders>
              <w:top w:val="single" w:sz="4" w:space="0" w:color="auto"/>
            </w:tcBorders>
            <w:shd w:val="clear" w:color="auto" w:fill="FFFFFF" w:themeFill="background1"/>
            <w:vAlign w:val="bottom"/>
          </w:tcPr>
          <w:p w:rsidR="0022069A" w:rsidRPr="00BB14C5" w:rsidRDefault="0022069A" w:rsidP="00BB14C5">
            <w:pPr>
              <w:pStyle w:val="TableText"/>
              <w:jc w:val="right"/>
              <w:rPr>
                <w:szCs w:val="16"/>
              </w:rPr>
            </w:pPr>
            <w:r w:rsidRPr="00BB14C5">
              <w:rPr>
                <w:szCs w:val="16"/>
              </w:rPr>
              <w:t>539</w:t>
            </w:r>
          </w:p>
        </w:tc>
        <w:tc>
          <w:tcPr>
            <w:tcW w:w="907" w:type="dxa"/>
            <w:tcBorders>
              <w:top w:val="single" w:sz="4" w:space="0" w:color="auto"/>
            </w:tcBorders>
            <w:shd w:val="clear" w:color="auto" w:fill="FFFFFF" w:themeFill="background1"/>
            <w:vAlign w:val="bottom"/>
          </w:tcPr>
          <w:p w:rsidR="0022069A" w:rsidRPr="00BB14C5" w:rsidRDefault="0022069A" w:rsidP="00BB14C5">
            <w:pPr>
              <w:pStyle w:val="TableText"/>
              <w:jc w:val="right"/>
              <w:rPr>
                <w:szCs w:val="16"/>
              </w:rPr>
            </w:pPr>
            <w:r w:rsidRPr="00BB14C5">
              <w:rPr>
                <w:szCs w:val="16"/>
              </w:rPr>
              <w:t>75</w:t>
            </w:r>
          </w:p>
        </w:tc>
        <w:tc>
          <w:tcPr>
            <w:tcW w:w="935" w:type="dxa"/>
            <w:tcBorders>
              <w:top w:val="single" w:sz="4" w:space="0" w:color="auto"/>
            </w:tcBorders>
            <w:shd w:val="clear" w:color="auto" w:fill="FFFFFF" w:themeFill="background1"/>
            <w:vAlign w:val="bottom"/>
          </w:tcPr>
          <w:p w:rsidR="0022069A" w:rsidRPr="00BB14C5" w:rsidRDefault="0022069A" w:rsidP="00BB14C5">
            <w:pPr>
              <w:pStyle w:val="TableText"/>
              <w:jc w:val="right"/>
              <w:rPr>
                <w:szCs w:val="16"/>
              </w:rPr>
            </w:pPr>
            <w:r w:rsidRPr="00BB14C5">
              <w:rPr>
                <w:szCs w:val="16"/>
              </w:rPr>
              <w:t>22</w:t>
            </w:r>
          </w:p>
        </w:tc>
        <w:tc>
          <w:tcPr>
            <w:tcW w:w="1049" w:type="dxa"/>
            <w:tcBorders>
              <w:top w:val="single" w:sz="4" w:space="0" w:color="auto"/>
            </w:tcBorders>
            <w:shd w:val="clear" w:color="auto" w:fill="FFFFFF" w:themeFill="background1"/>
            <w:vAlign w:val="bottom"/>
          </w:tcPr>
          <w:p w:rsidR="0022069A" w:rsidRPr="00BB14C5" w:rsidRDefault="00CD01BA" w:rsidP="00BB14C5">
            <w:pPr>
              <w:pStyle w:val="TableText"/>
              <w:jc w:val="right"/>
              <w:rPr>
                <w:szCs w:val="16"/>
              </w:rPr>
            </w:pPr>
            <w:r>
              <w:rPr>
                <w:szCs w:val="16"/>
              </w:rPr>
              <w:t>0</w:t>
            </w:r>
          </w:p>
        </w:tc>
      </w:tr>
      <w:tr w:rsidR="0022069A" w:rsidRPr="00BB14C5" w:rsidTr="00FB6A20">
        <w:trPr>
          <w:cantSplit/>
          <w:jc w:val="right"/>
        </w:trPr>
        <w:tc>
          <w:tcPr>
            <w:tcW w:w="1843" w:type="dxa"/>
            <w:shd w:val="clear" w:color="auto" w:fill="FFFFFF" w:themeFill="background1"/>
            <w:vAlign w:val="center"/>
          </w:tcPr>
          <w:p w:rsidR="0022069A" w:rsidRPr="00BB14C5" w:rsidRDefault="0022069A" w:rsidP="00EB06F6">
            <w:pPr>
              <w:pStyle w:val="TableText"/>
              <w:spacing w:before="60"/>
              <w:rPr>
                <w:szCs w:val="16"/>
              </w:rPr>
            </w:pPr>
            <w:r w:rsidRPr="00BB14C5">
              <w:rPr>
                <w:szCs w:val="16"/>
              </w:rPr>
              <w:t>Compulsory IM</w:t>
            </w:r>
          </w:p>
        </w:tc>
        <w:tc>
          <w:tcPr>
            <w:tcW w:w="850" w:type="dxa"/>
            <w:shd w:val="clear" w:color="auto" w:fill="FFFFFF" w:themeFill="background1"/>
            <w:vAlign w:val="bottom"/>
          </w:tcPr>
          <w:p w:rsidR="0022069A" w:rsidRPr="00BB14C5" w:rsidRDefault="0011538A" w:rsidP="00BB14C5">
            <w:pPr>
              <w:pStyle w:val="TableText"/>
              <w:jc w:val="right"/>
              <w:rPr>
                <w:szCs w:val="16"/>
              </w:rPr>
            </w:pPr>
            <w:r w:rsidRPr="00BB14C5">
              <w:rPr>
                <w:szCs w:val="16"/>
              </w:rPr>
              <w:t>*</w:t>
            </w:r>
          </w:p>
        </w:tc>
        <w:tc>
          <w:tcPr>
            <w:tcW w:w="1134" w:type="dxa"/>
            <w:shd w:val="clear" w:color="auto" w:fill="FFFFFF" w:themeFill="background1"/>
            <w:vAlign w:val="bottom"/>
          </w:tcPr>
          <w:p w:rsidR="0022069A" w:rsidRPr="00BB14C5" w:rsidRDefault="0022069A" w:rsidP="00BB14C5">
            <w:pPr>
              <w:pStyle w:val="TableText"/>
              <w:jc w:val="right"/>
              <w:rPr>
                <w:szCs w:val="16"/>
              </w:rPr>
            </w:pPr>
            <w:r w:rsidRPr="00BB14C5">
              <w:rPr>
                <w:szCs w:val="16"/>
              </w:rPr>
              <w:t>5</w:t>
            </w:r>
            <w:r w:rsidR="00EB06F6" w:rsidRPr="00BB14C5">
              <w:rPr>
                <w:szCs w:val="16"/>
              </w:rPr>
              <w:t> </w:t>
            </w:r>
            <w:r w:rsidRPr="00BB14C5">
              <w:rPr>
                <w:szCs w:val="16"/>
              </w:rPr>
              <w:t>813</w:t>
            </w:r>
          </w:p>
        </w:tc>
        <w:tc>
          <w:tcPr>
            <w:tcW w:w="1078" w:type="dxa"/>
            <w:shd w:val="clear" w:color="auto" w:fill="FFFFFF" w:themeFill="background1"/>
            <w:vAlign w:val="bottom"/>
          </w:tcPr>
          <w:p w:rsidR="0022069A" w:rsidRPr="00BB14C5" w:rsidRDefault="0022069A" w:rsidP="00BB14C5">
            <w:pPr>
              <w:pStyle w:val="TableText"/>
              <w:jc w:val="right"/>
              <w:rPr>
                <w:szCs w:val="16"/>
              </w:rPr>
            </w:pPr>
            <w:r w:rsidRPr="00BB14C5">
              <w:rPr>
                <w:szCs w:val="16"/>
              </w:rPr>
              <w:t>10</w:t>
            </w:r>
            <w:r w:rsidR="00EB06F6" w:rsidRPr="00BB14C5">
              <w:rPr>
                <w:szCs w:val="16"/>
              </w:rPr>
              <w:t> </w:t>
            </w:r>
            <w:r w:rsidRPr="00BB14C5">
              <w:rPr>
                <w:szCs w:val="16"/>
              </w:rPr>
              <w:t>578</w:t>
            </w:r>
          </w:p>
        </w:tc>
        <w:tc>
          <w:tcPr>
            <w:tcW w:w="907" w:type="dxa"/>
            <w:shd w:val="clear" w:color="auto" w:fill="FFFFFF" w:themeFill="background1"/>
            <w:vAlign w:val="bottom"/>
          </w:tcPr>
          <w:p w:rsidR="0022069A" w:rsidRPr="00BB14C5" w:rsidRDefault="0022069A" w:rsidP="00BB14C5">
            <w:pPr>
              <w:pStyle w:val="TableText"/>
              <w:jc w:val="right"/>
              <w:rPr>
                <w:szCs w:val="16"/>
              </w:rPr>
            </w:pPr>
            <w:r w:rsidRPr="00BB14C5">
              <w:rPr>
                <w:szCs w:val="16"/>
              </w:rPr>
              <w:t>11</w:t>
            </w:r>
            <w:r w:rsidR="00EB06F6" w:rsidRPr="00BB14C5">
              <w:rPr>
                <w:szCs w:val="16"/>
              </w:rPr>
              <w:t> </w:t>
            </w:r>
            <w:r w:rsidRPr="00BB14C5">
              <w:rPr>
                <w:szCs w:val="16"/>
              </w:rPr>
              <w:t>313</w:t>
            </w:r>
          </w:p>
        </w:tc>
        <w:tc>
          <w:tcPr>
            <w:tcW w:w="935" w:type="dxa"/>
            <w:shd w:val="clear" w:color="auto" w:fill="FFFFFF" w:themeFill="background1"/>
            <w:vAlign w:val="bottom"/>
          </w:tcPr>
          <w:p w:rsidR="0022069A" w:rsidRPr="00BB14C5" w:rsidRDefault="0022069A" w:rsidP="00BB14C5">
            <w:pPr>
              <w:pStyle w:val="TableText"/>
              <w:jc w:val="right"/>
              <w:rPr>
                <w:szCs w:val="16"/>
              </w:rPr>
            </w:pPr>
            <w:r w:rsidRPr="00BB14C5">
              <w:rPr>
                <w:szCs w:val="16"/>
              </w:rPr>
              <w:t>12</w:t>
            </w:r>
            <w:r w:rsidR="00EB06F6" w:rsidRPr="00BB14C5">
              <w:rPr>
                <w:szCs w:val="16"/>
              </w:rPr>
              <w:t> </w:t>
            </w:r>
            <w:r w:rsidRPr="00BB14C5">
              <w:rPr>
                <w:szCs w:val="16"/>
              </w:rPr>
              <w:t>411</w:t>
            </w:r>
          </w:p>
        </w:tc>
        <w:tc>
          <w:tcPr>
            <w:tcW w:w="1049" w:type="dxa"/>
            <w:shd w:val="clear" w:color="auto" w:fill="FFFFFF" w:themeFill="background1"/>
            <w:vAlign w:val="bottom"/>
          </w:tcPr>
          <w:p w:rsidR="0022069A" w:rsidRPr="00BB14C5" w:rsidRDefault="0022069A" w:rsidP="00BB14C5">
            <w:pPr>
              <w:pStyle w:val="TableText"/>
              <w:jc w:val="right"/>
              <w:rPr>
                <w:szCs w:val="16"/>
              </w:rPr>
            </w:pPr>
            <w:r w:rsidRPr="00BB14C5">
              <w:rPr>
                <w:szCs w:val="16"/>
              </w:rPr>
              <w:t>11</w:t>
            </w:r>
            <w:r w:rsidR="00EB06F6" w:rsidRPr="00BB14C5">
              <w:rPr>
                <w:szCs w:val="16"/>
              </w:rPr>
              <w:t> </w:t>
            </w:r>
            <w:r w:rsidRPr="00BB14C5">
              <w:rPr>
                <w:szCs w:val="16"/>
              </w:rPr>
              <w:t>960</w:t>
            </w:r>
          </w:p>
        </w:tc>
      </w:tr>
      <w:tr w:rsidR="0022069A" w:rsidRPr="00BB14C5" w:rsidTr="00FB6A20">
        <w:trPr>
          <w:cantSplit/>
          <w:jc w:val="right"/>
        </w:trPr>
        <w:tc>
          <w:tcPr>
            <w:tcW w:w="1843" w:type="dxa"/>
            <w:shd w:val="clear" w:color="auto" w:fill="FFFFFF" w:themeFill="background1"/>
            <w:vAlign w:val="center"/>
          </w:tcPr>
          <w:p w:rsidR="0022069A" w:rsidRPr="00BB14C5" w:rsidRDefault="0022069A" w:rsidP="00EB06F6">
            <w:pPr>
              <w:pStyle w:val="TableText"/>
              <w:spacing w:before="60"/>
              <w:rPr>
                <w:szCs w:val="16"/>
              </w:rPr>
            </w:pPr>
            <w:r w:rsidRPr="00BB14C5">
              <w:rPr>
                <w:szCs w:val="16"/>
              </w:rPr>
              <w:t>Voluntary IM</w:t>
            </w:r>
          </w:p>
        </w:tc>
        <w:tc>
          <w:tcPr>
            <w:tcW w:w="850" w:type="dxa"/>
            <w:shd w:val="clear" w:color="auto" w:fill="FFFFFF" w:themeFill="background1"/>
            <w:vAlign w:val="bottom"/>
          </w:tcPr>
          <w:p w:rsidR="0022069A" w:rsidRPr="00BB14C5" w:rsidRDefault="0011538A" w:rsidP="00BB14C5">
            <w:pPr>
              <w:pStyle w:val="TableText"/>
              <w:jc w:val="right"/>
              <w:rPr>
                <w:szCs w:val="16"/>
              </w:rPr>
            </w:pPr>
            <w:r w:rsidRPr="00BB14C5">
              <w:rPr>
                <w:szCs w:val="16"/>
              </w:rPr>
              <w:t>*</w:t>
            </w:r>
          </w:p>
        </w:tc>
        <w:tc>
          <w:tcPr>
            <w:tcW w:w="1134" w:type="dxa"/>
            <w:shd w:val="clear" w:color="auto" w:fill="FFFFFF" w:themeFill="background1"/>
            <w:vAlign w:val="bottom"/>
          </w:tcPr>
          <w:p w:rsidR="0022069A" w:rsidRPr="00BB14C5" w:rsidRDefault="0022069A" w:rsidP="00BB14C5">
            <w:pPr>
              <w:pStyle w:val="TableText"/>
              <w:jc w:val="right"/>
              <w:rPr>
                <w:szCs w:val="16"/>
              </w:rPr>
            </w:pPr>
            <w:r w:rsidRPr="00BB14C5">
              <w:rPr>
                <w:szCs w:val="16"/>
              </w:rPr>
              <w:t>1</w:t>
            </w:r>
            <w:r w:rsidR="00EB06F6" w:rsidRPr="00BB14C5">
              <w:rPr>
                <w:szCs w:val="16"/>
              </w:rPr>
              <w:t> </w:t>
            </w:r>
            <w:r w:rsidRPr="00BB14C5">
              <w:rPr>
                <w:szCs w:val="16"/>
              </w:rPr>
              <w:t>49</w:t>
            </w:r>
            <w:r w:rsidR="00ED395D" w:rsidRPr="00BB14C5">
              <w:rPr>
                <w:szCs w:val="16"/>
              </w:rPr>
              <w:t>0</w:t>
            </w:r>
          </w:p>
        </w:tc>
        <w:tc>
          <w:tcPr>
            <w:tcW w:w="1078" w:type="dxa"/>
            <w:shd w:val="clear" w:color="auto" w:fill="FFFFFF" w:themeFill="background1"/>
            <w:vAlign w:val="bottom"/>
          </w:tcPr>
          <w:p w:rsidR="0022069A" w:rsidRPr="00BB14C5" w:rsidRDefault="0022069A" w:rsidP="00BB14C5">
            <w:pPr>
              <w:pStyle w:val="TableText"/>
              <w:jc w:val="right"/>
              <w:rPr>
                <w:szCs w:val="16"/>
              </w:rPr>
            </w:pPr>
            <w:r w:rsidRPr="00BB14C5">
              <w:rPr>
                <w:szCs w:val="16"/>
              </w:rPr>
              <w:t>4</w:t>
            </w:r>
            <w:r w:rsidR="00EB06F6" w:rsidRPr="00BB14C5">
              <w:rPr>
                <w:szCs w:val="16"/>
              </w:rPr>
              <w:t> </w:t>
            </w:r>
            <w:r w:rsidRPr="00BB14C5">
              <w:rPr>
                <w:szCs w:val="16"/>
              </w:rPr>
              <w:t>59</w:t>
            </w:r>
            <w:r w:rsidR="00ED395D" w:rsidRPr="00BB14C5">
              <w:rPr>
                <w:szCs w:val="16"/>
              </w:rPr>
              <w:t>5</w:t>
            </w:r>
          </w:p>
        </w:tc>
        <w:tc>
          <w:tcPr>
            <w:tcW w:w="907" w:type="dxa"/>
            <w:shd w:val="clear" w:color="auto" w:fill="FFFFFF" w:themeFill="background1"/>
            <w:vAlign w:val="bottom"/>
          </w:tcPr>
          <w:p w:rsidR="0022069A" w:rsidRPr="00BB14C5" w:rsidRDefault="0022069A" w:rsidP="00BB14C5">
            <w:pPr>
              <w:pStyle w:val="TableText"/>
              <w:jc w:val="right"/>
              <w:rPr>
                <w:szCs w:val="16"/>
              </w:rPr>
            </w:pPr>
            <w:r w:rsidRPr="00BB14C5">
              <w:rPr>
                <w:szCs w:val="16"/>
              </w:rPr>
              <w:t>4</w:t>
            </w:r>
            <w:r w:rsidR="00EB06F6" w:rsidRPr="00BB14C5">
              <w:rPr>
                <w:szCs w:val="16"/>
              </w:rPr>
              <w:t> </w:t>
            </w:r>
            <w:r w:rsidRPr="00BB14C5">
              <w:rPr>
                <w:szCs w:val="16"/>
              </w:rPr>
              <w:t>455</w:t>
            </w:r>
          </w:p>
        </w:tc>
        <w:tc>
          <w:tcPr>
            <w:tcW w:w="935" w:type="dxa"/>
            <w:shd w:val="clear" w:color="auto" w:fill="FFFFFF" w:themeFill="background1"/>
            <w:vAlign w:val="bottom"/>
          </w:tcPr>
          <w:p w:rsidR="0022069A" w:rsidRPr="00BB14C5" w:rsidRDefault="0022069A" w:rsidP="00BB14C5">
            <w:pPr>
              <w:pStyle w:val="TableText"/>
              <w:jc w:val="right"/>
              <w:rPr>
                <w:szCs w:val="16"/>
              </w:rPr>
            </w:pPr>
            <w:r w:rsidRPr="00BB14C5">
              <w:rPr>
                <w:szCs w:val="16"/>
              </w:rPr>
              <w:t>4</w:t>
            </w:r>
            <w:r w:rsidR="00EB06F6" w:rsidRPr="00BB14C5">
              <w:rPr>
                <w:szCs w:val="16"/>
              </w:rPr>
              <w:t> </w:t>
            </w:r>
            <w:r w:rsidRPr="00BB14C5">
              <w:rPr>
                <w:szCs w:val="16"/>
              </w:rPr>
              <w:t>286</w:t>
            </w:r>
          </w:p>
        </w:tc>
        <w:tc>
          <w:tcPr>
            <w:tcW w:w="1049" w:type="dxa"/>
            <w:shd w:val="clear" w:color="auto" w:fill="FFFFFF" w:themeFill="background1"/>
            <w:vAlign w:val="bottom"/>
          </w:tcPr>
          <w:p w:rsidR="0022069A" w:rsidRPr="00BB14C5" w:rsidRDefault="0022069A" w:rsidP="00BB14C5">
            <w:pPr>
              <w:pStyle w:val="TableText"/>
              <w:jc w:val="right"/>
              <w:rPr>
                <w:szCs w:val="16"/>
              </w:rPr>
            </w:pPr>
            <w:r w:rsidRPr="00BB14C5">
              <w:rPr>
                <w:szCs w:val="16"/>
              </w:rPr>
              <w:t>4</w:t>
            </w:r>
            <w:r w:rsidR="00EB06F6" w:rsidRPr="00BB14C5">
              <w:rPr>
                <w:szCs w:val="16"/>
              </w:rPr>
              <w:t> </w:t>
            </w:r>
            <w:r w:rsidRPr="00BB14C5">
              <w:rPr>
                <w:szCs w:val="16"/>
              </w:rPr>
              <w:t>116</w:t>
            </w:r>
          </w:p>
        </w:tc>
      </w:tr>
      <w:tr w:rsidR="0022069A" w:rsidRPr="00BB14C5" w:rsidTr="00FB6A20">
        <w:trPr>
          <w:cantSplit/>
          <w:jc w:val="right"/>
        </w:trPr>
        <w:tc>
          <w:tcPr>
            <w:tcW w:w="1843" w:type="dxa"/>
            <w:shd w:val="clear" w:color="auto" w:fill="FFFFFF" w:themeFill="background1"/>
            <w:vAlign w:val="center"/>
          </w:tcPr>
          <w:p w:rsidR="0022069A" w:rsidRPr="00BB14C5" w:rsidRDefault="0022069A" w:rsidP="00EB06F6">
            <w:pPr>
              <w:pStyle w:val="TableText"/>
              <w:spacing w:before="60"/>
              <w:rPr>
                <w:szCs w:val="16"/>
              </w:rPr>
            </w:pPr>
            <w:r w:rsidRPr="00BB14C5">
              <w:rPr>
                <w:szCs w:val="16"/>
              </w:rPr>
              <w:t>Vulnerable IM</w:t>
            </w:r>
          </w:p>
        </w:tc>
        <w:tc>
          <w:tcPr>
            <w:tcW w:w="850" w:type="dxa"/>
            <w:shd w:val="clear" w:color="auto" w:fill="FFFFFF" w:themeFill="background1"/>
            <w:vAlign w:val="bottom"/>
          </w:tcPr>
          <w:p w:rsidR="0022069A" w:rsidRPr="00BB14C5" w:rsidRDefault="0011538A" w:rsidP="00BB14C5">
            <w:pPr>
              <w:pStyle w:val="TableText"/>
              <w:jc w:val="right"/>
              <w:rPr>
                <w:szCs w:val="16"/>
              </w:rPr>
            </w:pPr>
            <w:r w:rsidRPr="00BB14C5">
              <w:rPr>
                <w:szCs w:val="16"/>
              </w:rPr>
              <w:t>*</w:t>
            </w:r>
          </w:p>
        </w:tc>
        <w:tc>
          <w:tcPr>
            <w:tcW w:w="1134" w:type="dxa"/>
            <w:shd w:val="clear" w:color="auto" w:fill="FFFFFF" w:themeFill="background1"/>
            <w:vAlign w:val="bottom"/>
          </w:tcPr>
          <w:p w:rsidR="0022069A" w:rsidRPr="00BB14C5" w:rsidRDefault="0011538A" w:rsidP="00BB14C5">
            <w:pPr>
              <w:pStyle w:val="TableText"/>
              <w:jc w:val="right"/>
              <w:rPr>
                <w:szCs w:val="16"/>
              </w:rPr>
            </w:pPr>
            <w:r w:rsidRPr="00BB14C5">
              <w:rPr>
                <w:szCs w:val="16"/>
              </w:rPr>
              <w:t>15</w:t>
            </w:r>
          </w:p>
        </w:tc>
        <w:tc>
          <w:tcPr>
            <w:tcW w:w="1078" w:type="dxa"/>
            <w:shd w:val="clear" w:color="auto" w:fill="FFFFFF" w:themeFill="background1"/>
            <w:vAlign w:val="bottom"/>
          </w:tcPr>
          <w:p w:rsidR="0022069A" w:rsidRPr="00BB14C5" w:rsidRDefault="0022069A" w:rsidP="00BB14C5">
            <w:pPr>
              <w:pStyle w:val="TableText"/>
              <w:jc w:val="right"/>
              <w:rPr>
                <w:szCs w:val="16"/>
              </w:rPr>
            </w:pPr>
            <w:r w:rsidRPr="00BB14C5">
              <w:rPr>
                <w:szCs w:val="16"/>
              </w:rPr>
              <w:t>119</w:t>
            </w:r>
          </w:p>
        </w:tc>
        <w:tc>
          <w:tcPr>
            <w:tcW w:w="907" w:type="dxa"/>
            <w:shd w:val="clear" w:color="auto" w:fill="FFFFFF" w:themeFill="background1"/>
            <w:vAlign w:val="bottom"/>
          </w:tcPr>
          <w:p w:rsidR="0022069A" w:rsidRPr="00BB14C5" w:rsidRDefault="0022069A" w:rsidP="00BB14C5">
            <w:pPr>
              <w:pStyle w:val="TableText"/>
              <w:jc w:val="right"/>
              <w:rPr>
                <w:szCs w:val="16"/>
              </w:rPr>
            </w:pPr>
            <w:r w:rsidRPr="00BB14C5">
              <w:rPr>
                <w:szCs w:val="16"/>
              </w:rPr>
              <w:t>20</w:t>
            </w:r>
            <w:r w:rsidR="00ED395D" w:rsidRPr="00BB14C5">
              <w:rPr>
                <w:szCs w:val="16"/>
              </w:rPr>
              <w:t>4</w:t>
            </w:r>
          </w:p>
        </w:tc>
        <w:tc>
          <w:tcPr>
            <w:tcW w:w="935" w:type="dxa"/>
            <w:shd w:val="clear" w:color="auto" w:fill="FFFFFF" w:themeFill="background1"/>
            <w:vAlign w:val="bottom"/>
          </w:tcPr>
          <w:p w:rsidR="0022069A" w:rsidRPr="00BB14C5" w:rsidRDefault="0011538A" w:rsidP="00BB14C5">
            <w:pPr>
              <w:pStyle w:val="TableText"/>
              <w:jc w:val="right"/>
              <w:rPr>
                <w:szCs w:val="16"/>
              </w:rPr>
            </w:pPr>
            <w:r w:rsidRPr="00BB14C5">
              <w:rPr>
                <w:szCs w:val="16"/>
              </w:rPr>
              <w:t>222</w:t>
            </w:r>
          </w:p>
        </w:tc>
        <w:tc>
          <w:tcPr>
            <w:tcW w:w="1049" w:type="dxa"/>
            <w:shd w:val="clear" w:color="auto" w:fill="FFFFFF" w:themeFill="background1"/>
            <w:vAlign w:val="bottom"/>
          </w:tcPr>
          <w:p w:rsidR="0022069A" w:rsidRPr="00BB14C5" w:rsidRDefault="0022069A" w:rsidP="00BB14C5">
            <w:pPr>
              <w:pStyle w:val="TableText"/>
              <w:jc w:val="right"/>
              <w:rPr>
                <w:szCs w:val="16"/>
              </w:rPr>
            </w:pPr>
            <w:r w:rsidRPr="00BB14C5">
              <w:rPr>
                <w:szCs w:val="16"/>
              </w:rPr>
              <w:t>223</w:t>
            </w:r>
          </w:p>
        </w:tc>
      </w:tr>
      <w:tr w:rsidR="0022069A" w:rsidRPr="00BB14C5" w:rsidTr="00FB6A20">
        <w:trPr>
          <w:cantSplit/>
          <w:jc w:val="right"/>
        </w:trPr>
        <w:tc>
          <w:tcPr>
            <w:tcW w:w="1843" w:type="dxa"/>
            <w:shd w:val="clear" w:color="auto" w:fill="FFFFFF" w:themeFill="background1"/>
            <w:vAlign w:val="center"/>
          </w:tcPr>
          <w:p w:rsidR="0022069A" w:rsidRPr="00BB14C5" w:rsidRDefault="0022069A" w:rsidP="00EB06F6">
            <w:pPr>
              <w:pStyle w:val="TableText"/>
              <w:spacing w:before="60"/>
              <w:rPr>
                <w:szCs w:val="16"/>
              </w:rPr>
            </w:pPr>
            <w:r w:rsidRPr="00BB14C5">
              <w:rPr>
                <w:szCs w:val="16"/>
              </w:rPr>
              <w:t>Child Protection IM</w:t>
            </w:r>
          </w:p>
        </w:tc>
        <w:tc>
          <w:tcPr>
            <w:tcW w:w="850" w:type="dxa"/>
            <w:shd w:val="clear" w:color="auto" w:fill="FFFFFF" w:themeFill="background1"/>
            <w:vAlign w:val="bottom"/>
          </w:tcPr>
          <w:p w:rsidR="0022069A" w:rsidRPr="00BB14C5" w:rsidRDefault="0011538A" w:rsidP="00BB14C5">
            <w:pPr>
              <w:pStyle w:val="TableText"/>
              <w:jc w:val="right"/>
              <w:rPr>
                <w:szCs w:val="16"/>
              </w:rPr>
            </w:pPr>
            <w:r w:rsidRPr="00BB14C5">
              <w:rPr>
                <w:szCs w:val="16"/>
              </w:rPr>
              <w:t>*</w:t>
            </w:r>
          </w:p>
        </w:tc>
        <w:tc>
          <w:tcPr>
            <w:tcW w:w="1134" w:type="dxa"/>
            <w:shd w:val="clear" w:color="auto" w:fill="FFFFFF" w:themeFill="background1"/>
            <w:vAlign w:val="bottom"/>
          </w:tcPr>
          <w:p w:rsidR="0022069A" w:rsidRPr="00BB14C5" w:rsidRDefault="0011538A" w:rsidP="00BB14C5">
            <w:pPr>
              <w:pStyle w:val="TableText"/>
              <w:jc w:val="right"/>
              <w:rPr>
                <w:szCs w:val="16"/>
              </w:rPr>
            </w:pPr>
            <w:r w:rsidRPr="00BB14C5">
              <w:rPr>
                <w:szCs w:val="16"/>
              </w:rPr>
              <w:t>*</w:t>
            </w:r>
          </w:p>
        </w:tc>
        <w:tc>
          <w:tcPr>
            <w:tcW w:w="1078" w:type="dxa"/>
            <w:shd w:val="clear" w:color="auto" w:fill="FFFFFF" w:themeFill="background1"/>
            <w:vAlign w:val="bottom"/>
          </w:tcPr>
          <w:p w:rsidR="0022069A" w:rsidRPr="00BB14C5" w:rsidRDefault="0011538A" w:rsidP="00BB14C5">
            <w:pPr>
              <w:pStyle w:val="TableText"/>
              <w:jc w:val="right"/>
              <w:rPr>
                <w:szCs w:val="16"/>
              </w:rPr>
            </w:pPr>
            <w:r w:rsidRPr="00BB14C5">
              <w:rPr>
                <w:szCs w:val="16"/>
              </w:rPr>
              <w:t>*</w:t>
            </w:r>
          </w:p>
        </w:tc>
        <w:tc>
          <w:tcPr>
            <w:tcW w:w="907" w:type="dxa"/>
            <w:shd w:val="clear" w:color="auto" w:fill="FFFFFF" w:themeFill="background1"/>
            <w:vAlign w:val="bottom"/>
          </w:tcPr>
          <w:p w:rsidR="0022069A" w:rsidRPr="00BB14C5" w:rsidRDefault="0011538A" w:rsidP="00BB14C5">
            <w:pPr>
              <w:pStyle w:val="TableText"/>
              <w:jc w:val="right"/>
              <w:rPr>
                <w:szCs w:val="16"/>
              </w:rPr>
            </w:pPr>
            <w:r w:rsidRPr="00BB14C5">
              <w:rPr>
                <w:szCs w:val="16"/>
              </w:rPr>
              <w:t>*</w:t>
            </w:r>
          </w:p>
        </w:tc>
        <w:tc>
          <w:tcPr>
            <w:tcW w:w="935" w:type="dxa"/>
            <w:shd w:val="clear" w:color="auto" w:fill="FFFFFF" w:themeFill="background1"/>
            <w:vAlign w:val="bottom"/>
          </w:tcPr>
          <w:p w:rsidR="0022069A" w:rsidRPr="00BB14C5" w:rsidRDefault="0011538A" w:rsidP="00BB14C5">
            <w:pPr>
              <w:pStyle w:val="TableText"/>
              <w:jc w:val="right"/>
              <w:rPr>
                <w:szCs w:val="16"/>
              </w:rPr>
            </w:pPr>
            <w:r w:rsidRPr="00BB14C5">
              <w:rPr>
                <w:szCs w:val="16"/>
              </w:rPr>
              <w:t>26</w:t>
            </w:r>
          </w:p>
        </w:tc>
        <w:tc>
          <w:tcPr>
            <w:tcW w:w="1049" w:type="dxa"/>
            <w:shd w:val="clear" w:color="auto" w:fill="FFFFFF" w:themeFill="background1"/>
            <w:vAlign w:val="bottom"/>
          </w:tcPr>
          <w:p w:rsidR="0022069A" w:rsidRPr="00BB14C5" w:rsidRDefault="0022069A" w:rsidP="00BB14C5">
            <w:pPr>
              <w:pStyle w:val="TableText"/>
              <w:jc w:val="right"/>
              <w:rPr>
                <w:szCs w:val="16"/>
              </w:rPr>
            </w:pPr>
            <w:r w:rsidRPr="00BB14C5">
              <w:rPr>
                <w:szCs w:val="16"/>
              </w:rPr>
              <w:t>60</w:t>
            </w:r>
          </w:p>
        </w:tc>
      </w:tr>
      <w:tr w:rsidR="0022069A" w:rsidRPr="00BB14C5" w:rsidTr="00FB6A20">
        <w:trPr>
          <w:cantSplit/>
          <w:jc w:val="right"/>
        </w:trPr>
        <w:tc>
          <w:tcPr>
            <w:tcW w:w="1843" w:type="dxa"/>
            <w:tcBorders>
              <w:bottom w:val="single" w:sz="4" w:space="0" w:color="auto"/>
            </w:tcBorders>
            <w:shd w:val="clear" w:color="auto" w:fill="FFFFFF" w:themeFill="background1"/>
            <w:vAlign w:val="center"/>
          </w:tcPr>
          <w:p w:rsidR="0022069A" w:rsidRPr="00BB14C5" w:rsidRDefault="0022069A" w:rsidP="00EB06F6">
            <w:pPr>
              <w:pStyle w:val="TableText"/>
              <w:spacing w:before="60"/>
              <w:rPr>
                <w:szCs w:val="16"/>
              </w:rPr>
            </w:pPr>
            <w:r w:rsidRPr="00BB14C5">
              <w:rPr>
                <w:szCs w:val="16"/>
              </w:rPr>
              <w:t xml:space="preserve">Total </w:t>
            </w:r>
          </w:p>
        </w:tc>
        <w:tc>
          <w:tcPr>
            <w:tcW w:w="850" w:type="dxa"/>
            <w:tcBorders>
              <w:bottom w:val="single" w:sz="4" w:space="0" w:color="auto"/>
            </w:tcBorders>
            <w:shd w:val="clear" w:color="auto" w:fill="FFFFFF" w:themeFill="background1"/>
            <w:vAlign w:val="bottom"/>
          </w:tcPr>
          <w:p w:rsidR="0022069A" w:rsidRPr="00BB14C5" w:rsidRDefault="0022069A" w:rsidP="00BB14C5">
            <w:pPr>
              <w:pStyle w:val="TableText"/>
              <w:jc w:val="right"/>
              <w:rPr>
                <w:szCs w:val="16"/>
              </w:rPr>
            </w:pPr>
            <w:r w:rsidRPr="00BB14C5">
              <w:rPr>
                <w:szCs w:val="16"/>
              </w:rPr>
              <w:t>16</w:t>
            </w:r>
            <w:r w:rsidR="00EB06F6" w:rsidRPr="00BB14C5">
              <w:rPr>
                <w:szCs w:val="16"/>
              </w:rPr>
              <w:t> </w:t>
            </w:r>
            <w:r w:rsidRPr="00BB14C5">
              <w:rPr>
                <w:szCs w:val="16"/>
              </w:rPr>
              <w:t>386</w:t>
            </w:r>
          </w:p>
        </w:tc>
        <w:tc>
          <w:tcPr>
            <w:tcW w:w="1134" w:type="dxa"/>
            <w:tcBorders>
              <w:bottom w:val="single" w:sz="4" w:space="0" w:color="auto"/>
            </w:tcBorders>
            <w:shd w:val="clear" w:color="auto" w:fill="FFFFFF" w:themeFill="background1"/>
            <w:vAlign w:val="bottom"/>
          </w:tcPr>
          <w:p w:rsidR="0022069A" w:rsidRPr="00BB14C5" w:rsidRDefault="0022069A" w:rsidP="00BB14C5">
            <w:pPr>
              <w:pStyle w:val="TableText"/>
              <w:jc w:val="right"/>
              <w:rPr>
                <w:szCs w:val="16"/>
              </w:rPr>
            </w:pPr>
            <w:r w:rsidRPr="00BB14C5">
              <w:rPr>
                <w:szCs w:val="16"/>
              </w:rPr>
              <w:t>15</w:t>
            </w:r>
            <w:r w:rsidR="00EB06F6" w:rsidRPr="00BB14C5">
              <w:rPr>
                <w:szCs w:val="16"/>
              </w:rPr>
              <w:t> </w:t>
            </w:r>
            <w:r w:rsidRPr="00BB14C5">
              <w:rPr>
                <w:szCs w:val="16"/>
              </w:rPr>
              <w:t>140</w:t>
            </w:r>
          </w:p>
        </w:tc>
        <w:tc>
          <w:tcPr>
            <w:tcW w:w="1078" w:type="dxa"/>
            <w:tcBorders>
              <w:bottom w:val="single" w:sz="4" w:space="0" w:color="auto"/>
            </w:tcBorders>
            <w:shd w:val="clear" w:color="auto" w:fill="FFFFFF" w:themeFill="background1"/>
            <w:vAlign w:val="bottom"/>
          </w:tcPr>
          <w:p w:rsidR="0022069A" w:rsidRPr="00BB14C5" w:rsidRDefault="0022069A" w:rsidP="00BB14C5">
            <w:pPr>
              <w:pStyle w:val="TableText"/>
              <w:jc w:val="right"/>
              <w:rPr>
                <w:szCs w:val="16"/>
              </w:rPr>
            </w:pPr>
            <w:r w:rsidRPr="00BB14C5">
              <w:rPr>
                <w:szCs w:val="16"/>
              </w:rPr>
              <w:t>15</w:t>
            </w:r>
            <w:r w:rsidR="00EB06F6" w:rsidRPr="00BB14C5">
              <w:rPr>
                <w:szCs w:val="16"/>
              </w:rPr>
              <w:t> </w:t>
            </w:r>
            <w:r w:rsidRPr="00BB14C5">
              <w:rPr>
                <w:szCs w:val="16"/>
              </w:rPr>
              <w:t>835</w:t>
            </w:r>
          </w:p>
        </w:tc>
        <w:tc>
          <w:tcPr>
            <w:tcW w:w="907" w:type="dxa"/>
            <w:tcBorders>
              <w:bottom w:val="single" w:sz="4" w:space="0" w:color="auto"/>
            </w:tcBorders>
            <w:shd w:val="clear" w:color="auto" w:fill="FFFFFF" w:themeFill="background1"/>
            <w:vAlign w:val="bottom"/>
          </w:tcPr>
          <w:p w:rsidR="0022069A" w:rsidRPr="00BB14C5" w:rsidRDefault="0022069A" w:rsidP="00BB14C5">
            <w:pPr>
              <w:pStyle w:val="TableText"/>
              <w:jc w:val="right"/>
              <w:rPr>
                <w:szCs w:val="16"/>
              </w:rPr>
            </w:pPr>
            <w:r w:rsidRPr="00BB14C5">
              <w:rPr>
                <w:szCs w:val="16"/>
              </w:rPr>
              <w:t>16</w:t>
            </w:r>
            <w:r w:rsidR="00EB06F6" w:rsidRPr="00BB14C5">
              <w:rPr>
                <w:szCs w:val="16"/>
              </w:rPr>
              <w:t> </w:t>
            </w:r>
            <w:r w:rsidRPr="00BB14C5">
              <w:rPr>
                <w:szCs w:val="16"/>
              </w:rPr>
              <w:t>050</w:t>
            </w:r>
          </w:p>
        </w:tc>
        <w:tc>
          <w:tcPr>
            <w:tcW w:w="935" w:type="dxa"/>
            <w:tcBorders>
              <w:bottom w:val="single" w:sz="4" w:space="0" w:color="auto"/>
            </w:tcBorders>
            <w:shd w:val="clear" w:color="auto" w:fill="FFFFFF" w:themeFill="background1"/>
            <w:vAlign w:val="bottom"/>
          </w:tcPr>
          <w:p w:rsidR="0022069A" w:rsidRPr="00BB14C5" w:rsidRDefault="0022069A" w:rsidP="00BB14C5">
            <w:pPr>
              <w:pStyle w:val="TableText"/>
              <w:jc w:val="right"/>
              <w:rPr>
                <w:szCs w:val="16"/>
              </w:rPr>
            </w:pPr>
            <w:r w:rsidRPr="00BB14C5">
              <w:rPr>
                <w:szCs w:val="16"/>
              </w:rPr>
              <w:t>16</w:t>
            </w:r>
            <w:r w:rsidR="00EB06F6" w:rsidRPr="00BB14C5">
              <w:rPr>
                <w:szCs w:val="16"/>
              </w:rPr>
              <w:t> </w:t>
            </w:r>
            <w:r w:rsidRPr="00BB14C5">
              <w:rPr>
                <w:szCs w:val="16"/>
              </w:rPr>
              <w:t>967</w:t>
            </w:r>
          </w:p>
        </w:tc>
        <w:tc>
          <w:tcPr>
            <w:tcW w:w="1049" w:type="dxa"/>
            <w:tcBorders>
              <w:bottom w:val="single" w:sz="4" w:space="0" w:color="auto"/>
            </w:tcBorders>
            <w:shd w:val="clear" w:color="auto" w:fill="FFFFFF" w:themeFill="background1"/>
            <w:vAlign w:val="bottom"/>
          </w:tcPr>
          <w:p w:rsidR="0022069A" w:rsidRPr="00BB14C5" w:rsidRDefault="0022069A" w:rsidP="00BB14C5">
            <w:pPr>
              <w:pStyle w:val="TableText"/>
              <w:jc w:val="right"/>
              <w:rPr>
                <w:szCs w:val="16"/>
              </w:rPr>
            </w:pPr>
            <w:r w:rsidRPr="00BB14C5">
              <w:rPr>
                <w:szCs w:val="16"/>
              </w:rPr>
              <w:t>16</w:t>
            </w:r>
            <w:r w:rsidR="00EB06F6" w:rsidRPr="00BB14C5">
              <w:rPr>
                <w:szCs w:val="16"/>
              </w:rPr>
              <w:t> </w:t>
            </w:r>
            <w:r w:rsidRPr="00BB14C5">
              <w:rPr>
                <w:szCs w:val="16"/>
              </w:rPr>
              <w:t>359</w:t>
            </w:r>
          </w:p>
        </w:tc>
      </w:tr>
    </w:tbl>
    <w:p w:rsidR="0011538A" w:rsidRDefault="0011538A" w:rsidP="00CF78DB">
      <w:pPr>
        <w:pStyle w:val="tablefootnotes"/>
      </w:pPr>
      <w:r>
        <w:t>Notes:</w:t>
      </w:r>
      <w:r>
        <w:tab/>
        <w:t xml:space="preserve">* = </w:t>
      </w:r>
      <w:r w:rsidR="00CC389C">
        <w:t xml:space="preserve">cell size of </w:t>
      </w:r>
      <w:r>
        <w:t>5 or less</w:t>
      </w:r>
      <w:r w:rsidR="002C4070">
        <w:t>.</w:t>
      </w:r>
      <w:r w:rsidR="00CD01BA">
        <w:t xml:space="preserve"> (Data in this table was not able to be fully perturbed.)</w:t>
      </w:r>
    </w:p>
    <w:p w:rsidR="00EB06F6" w:rsidRPr="005911E2" w:rsidRDefault="00EB06F6" w:rsidP="00CF78DB">
      <w:pPr>
        <w:pStyle w:val="tablefootnotes"/>
      </w:pPr>
      <w:r>
        <w:tab/>
      </w:r>
      <w:r w:rsidRPr="005911E2">
        <w:t xml:space="preserve">One person </w:t>
      </w:r>
      <w:r w:rsidR="003F1329">
        <w:t>living in the</w:t>
      </w:r>
      <w:r w:rsidR="006435C8">
        <w:t xml:space="preserve"> Northern Territory </w:t>
      </w:r>
      <w:r w:rsidR="003F1329">
        <w:t xml:space="preserve">but </w:t>
      </w:r>
      <w:r w:rsidRPr="005911E2">
        <w:t xml:space="preserve">on Cape York </w:t>
      </w:r>
      <w:r>
        <w:t>income management excluded</w:t>
      </w:r>
      <w:r w:rsidRPr="005911E2">
        <w:t>.</w:t>
      </w:r>
    </w:p>
    <w:p w:rsidR="00EB06F6" w:rsidRDefault="0022069A" w:rsidP="00CF78DB">
      <w:pPr>
        <w:pStyle w:val="tablefootnotes"/>
      </w:pPr>
      <w:r w:rsidRPr="00331BC8">
        <w:t>Source</w:t>
      </w:r>
      <w:r w:rsidR="002C4070">
        <w:t xml:space="preserve">: </w:t>
      </w:r>
      <w:r w:rsidR="002C4070">
        <w:tab/>
        <w:t>FaHCSIA Housing Dataset.</w:t>
      </w:r>
    </w:p>
    <w:p w:rsidR="0022069A" w:rsidRPr="005911E2" w:rsidRDefault="0022069A" w:rsidP="00CF78DB">
      <w:pPr>
        <w:pStyle w:val="tablefootnotes"/>
      </w:pPr>
    </w:p>
    <w:p w:rsidR="0022069A" w:rsidRPr="005911E2" w:rsidRDefault="0022069A" w:rsidP="0022069A">
      <w:pPr>
        <w:pStyle w:val="BodyText"/>
      </w:pPr>
      <w:r w:rsidRPr="005911E2">
        <w:t xml:space="preserve">Between June 2010 and September 2010 the number of people subject to NTER IM halved, and then fell again rapidly so that by December 2011 only 3.3 per cent of those who </w:t>
      </w:r>
      <w:r w:rsidR="003F1329">
        <w:t>had been</w:t>
      </w:r>
      <w:r w:rsidR="003F1329" w:rsidRPr="005911E2">
        <w:t xml:space="preserve"> </w:t>
      </w:r>
      <w:r w:rsidRPr="005911E2">
        <w:t xml:space="preserve">on NTER IM in June 2010 remained under </w:t>
      </w:r>
      <w:r w:rsidRPr="005911E2">
        <w:lastRenderedPageBreak/>
        <w:t>these provisions. By March 2011 this was further reduced to just 75</w:t>
      </w:r>
      <w:r w:rsidR="00497581">
        <w:t xml:space="preserve"> </w:t>
      </w:r>
      <w:r w:rsidR="00EB06F6">
        <w:t>people</w:t>
      </w:r>
      <w:r w:rsidRPr="005911E2">
        <w:t>.</w:t>
      </w:r>
      <w:r w:rsidRPr="005911E2">
        <w:rPr>
          <w:rStyle w:val="FootnoteReference"/>
        </w:rPr>
        <w:footnoteReference w:id="43"/>
      </w:r>
      <w:r w:rsidRPr="005911E2">
        <w:t xml:space="preserve"> This was matched by a corresponding growth in the number of people subject to </w:t>
      </w:r>
      <w:r w:rsidR="00497581">
        <w:t>Compulsory Income Management and Voluntary Income Management</w:t>
      </w:r>
      <w:r w:rsidRPr="005911E2">
        <w:t xml:space="preserve">. This growth was such that by December 2010 the number of people subject to </w:t>
      </w:r>
      <w:r w:rsidR="00497581">
        <w:t>Compulsory Income Management</w:t>
      </w:r>
      <w:r w:rsidRPr="005911E2">
        <w:t xml:space="preserve"> had reached 10</w:t>
      </w:r>
      <w:r w:rsidR="00EB06F6">
        <w:t> </w:t>
      </w:r>
      <w:r w:rsidRPr="005911E2">
        <w:t>578 – increasing further to 11</w:t>
      </w:r>
      <w:r w:rsidR="00EB06F6">
        <w:t> </w:t>
      </w:r>
      <w:r w:rsidRPr="005911E2">
        <w:t xml:space="preserve">960 by September 2011. Most of the growth in </w:t>
      </w:r>
      <w:r w:rsidR="0041164A" w:rsidRPr="005911E2">
        <w:t>V</w:t>
      </w:r>
      <w:r w:rsidR="0041164A">
        <w:t xml:space="preserve">oluntary </w:t>
      </w:r>
      <w:r w:rsidRPr="005911E2">
        <w:t>I</w:t>
      </w:r>
      <w:r w:rsidR="00497581">
        <w:t xml:space="preserve">ncome </w:t>
      </w:r>
      <w:r w:rsidRPr="005911E2">
        <w:t>M</w:t>
      </w:r>
      <w:r w:rsidR="00497581">
        <w:t>anagement</w:t>
      </w:r>
      <w:r w:rsidRPr="005911E2">
        <w:t xml:space="preserve"> occurred between September 2010 and December 2010. Since then the program has shown a slight, but relatively steady decline. It had fallen by some 10.4 per cent to 4</w:t>
      </w:r>
      <w:r w:rsidR="00EB06F6">
        <w:t> </w:t>
      </w:r>
      <w:r w:rsidRPr="005911E2">
        <w:t xml:space="preserve">116 people in September 2011. </w:t>
      </w:r>
      <w:r w:rsidR="00497581">
        <w:t>Child Protection Income Management</w:t>
      </w:r>
      <w:r w:rsidRPr="005911E2">
        <w:t>, after a very slow start, appears to have increased at a more rapid rate in late 2011, albeit from a low base.</w:t>
      </w:r>
    </w:p>
    <w:p w:rsidR="0022069A" w:rsidRPr="005911E2" w:rsidRDefault="00497581" w:rsidP="0022069A">
      <w:pPr>
        <w:pStyle w:val="BodyText"/>
      </w:pPr>
      <w:r>
        <w:t xml:space="preserve">As of September 2011, of the four measures of income management, </w:t>
      </w:r>
      <w:r w:rsidRPr="005911E2">
        <w:t xml:space="preserve">most </w:t>
      </w:r>
      <w:r>
        <w:t xml:space="preserve">participants </w:t>
      </w:r>
      <w:r w:rsidRPr="005911E2">
        <w:t>(11</w:t>
      </w:r>
      <w:r w:rsidR="00D621B2">
        <w:t> </w:t>
      </w:r>
      <w:r w:rsidRPr="005911E2">
        <w:t xml:space="preserve">960 or 73 per cent) were subject to </w:t>
      </w:r>
      <w:r>
        <w:t>Compulsory Income Management</w:t>
      </w:r>
      <w:r w:rsidRPr="005911E2">
        <w:t>, while a further 4</w:t>
      </w:r>
      <w:r w:rsidR="00D621B2">
        <w:t> </w:t>
      </w:r>
      <w:r w:rsidRPr="005911E2">
        <w:t xml:space="preserve">116 (25 per cent) were managed under </w:t>
      </w:r>
      <w:r>
        <w:t>Voluntary Income Management</w:t>
      </w:r>
      <w:r w:rsidRPr="005911E2">
        <w:t xml:space="preserve">. A very small number of people (60) were managed under the child protection measure and 223 under </w:t>
      </w:r>
      <w:r>
        <w:t>Vulnerable Income Management</w:t>
      </w:r>
      <w:r w:rsidR="00892C83">
        <w:t>.</w:t>
      </w:r>
      <w:r w:rsidR="0022069A" w:rsidRPr="005911E2">
        <w:t xml:space="preserve"> </w:t>
      </w:r>
    </w:p>
    <w:p w:rsidR="0022069A" w:rsidRPr="005911E2" w:rsidRDefault="0022069A" w:rsidP="00BD6DFD">
      <w:pPr>
        <w:pStyle w:val="Heading3"/>
      </w:pPr>
      <w:r w:rsidRPr="005911E2">
        <w:t xml:space="preserve">Changes in the incidence of </w:t>
      </w:r>
      <w:r w:rsidR="00497581">
        <w:t>i</w:t>
      </w:r>
      <w:r w:rsidRPr="005911E2">
        <w:t xml:space="preserve">ncome </w:t>
      </w:r>
      <w:r w:rsidR="00497581">
        <w:t>m</w:t>
      </w:r>
      <w:r w:rsidRPr="005911E2">
        <w:t>anagement</w:t>
      </w:r>
    </w:p>
    <w:p w:rsidR="0022069A" w:rsidRPr="005911E2" w:rsidRDefault="0022069A" w:rsidP="0022069A">
      <w:pPr>
        <w:pStyle w:val="BodyText"/>
        <w:rPr>
          <w:lang w:eastAsia="en-US"/>
        </w:rPr>
      </w:pPr>
      <w:r w:rsidRPr="005911E2">
        <w:rPr>
          <w:lang w:eastAsia="en-US"/>
        </w:rPr>
        <w:t>The rollout of NIM and the transition from the NTER IM is reflected in quite different experiences across the</w:t>
      </w:r>
      <w:r w:rsidR="006435C8">
        <w:rPr>
          <w:lang w:eastAsia="en-US"/>
        </w:rPr>
        <w:t xml:space="preserve"> Northern Territory </w:t>
      </w:r>
      <w:r w:rsidRPr="005911E2">
        <w:rPr>
          <w:lang w:eastAsia="en-US"/>
        </w:rPr>
        <w:t>population when considered by location and by Indigeneity. This is presented</w:t>
      </w:r>
      <w:r w:rsidR="003F1329">
        <w:rPr>
          <w:lang w:eastAsia="en-US"/>
        </w:rPr>
        <w:t xml:space="preserve"> in</w:t>
      </w:r>
      <w:r w:rsidRPr="005911E2">
        <w:rPr>
          <w:lang w:eastAsia="en-US"/>
        </w:rPr>
        <w:t xml:space="preserve"> </w:t>
      </w:r>
      <w:r w:rsidR="00C7347D">
        <w:rPr>
          <w:lang w:eastAsia="en-US"/>
        </w:rPr>
        <w:fldChar w:fldCharType="begin"/>
      </w:r>
      <w:r w:rsidR="00614538">
        <w:rPr>
          <w:lang w:eastAsia="en-US"/>
        </w:rPr>
        <w:instrText xml:space="preserve"> REF _Ref324434464 \h </w:instrText>
      </w:r>
      <w:r w:rsidR="00C7347D">
        <w:rPr>
          <w:lang w:eastAsia="en-US"/>
        </w:rPr>
      </w:r>
      <w:r w:rsidR="00C7347D">
        <w:rPr>
          <w:lang w:eastAsia="en-US"/>
        </w:rPr>
        <w:fldChar w:fldCharType="separate"/>
      </w:r>
      <w:r w:rsidR="007D7E45" w:rsidRPr="005911E2">
        <w:t xml:space="preserve">Figure </w:t>
      </w:r>
      <w:r w:rsidR="007D7E45">
        <w:rPr>
          <w:noProof/>
        </w:rPr>
        <w:t>4</w:t>
      </w:r>
      <w:r w:rsidR="007D7E45">
        <w:noBreakHyphen/>
      </w:r>
      <w:r w:rsidR="007D7E45">
        <w:rPr>
          <w:noProof/>
        </w:rPr>
        <w:t>3</w:t>
      </w:r>
      <w:r w:rsidR="00C7347D">
        <w:rPr>
          <w:lang w:eastAsia="en-US"/>
        </w:rPr>
        <w:fldChar w:fldCharType="end"/>
      </w:r>
      <w:r w:rsidR="00614538">
        <w:rPr>
          <w:lang w:eastAsia="en-US"/>
        </w:rPr>
        <w:t xml:space="preserve"> </w:t>
      </w:r>
      <w:r w:rsidR="00D621B2">
        <w:rPr>
          <w:lang w:eastAsia="en-US"/>
        </w:rPr>
        <w:t xml:space="preserve">and </w:t>
      </w:r>
      <w:r w:rsidR="00C7347D">
        <w:rPr>
          <w:lang w:eastAsia="en-US"/>
        </w:rPr>
        <w:fldChar w:fldCharType="begin"/>
      </w:r>
      <w:r w:rsidR="00D621B2">
        <w:rPr>
          <w:lang w:eastAsia="en-US"/>
        </w:rPr>
        <w:instrText xml:space="preserve"> REF _Ref321175505 \h </w:instrText>
      </w:r>
      <w:r w:rsidR="00C7347D">
        <w:rPr>
          <w:lang w:eastAsia="en-US"/>
        </w:rPr>
      </w:r>
      <w:r w:rsidR="00C7347D">
        <w:rPr>
          <w:lang w:eastAsia="en-US"/>
        </w:rPr>
        <w:fldChar w:fldCharType="separate"/>
      </w:r>
      <w:r w:rsidR="007D7E45" w:rsidRPr="005911E2">
        <w:t xml:space="preserve">Figure </w:t>
      </w:r>
      <w:r w:rsidR="007D7E45">
        <w:rPr>
          <w:noProof/>
        </w:rPr>
        <w:t>4</w:t>
      </w:r>
      <w:r w:rsidR="007D7E45">
        <w:noBreakHyphen/>
      </w:r>
      <w:r w:rsidR="007D7E45">
        <w:rPr>
          <w:noProof/>
        </w:rPr>
        <w:t>4</w:t>
      </w:r>
      <w:r w:rsidR="00C7347D">
        <w:rPr>
          <w:lang w:eastAsia="en-US"/>
        </w:rPr>
        <w:fldChar w:fldCharType="end"/>
      </w:r>
      <w:r w:rsidR="00D621B2">
        <w:rPr>
          <w:lang w:eastAsia="en-US"/>
        </w:rPr>
        <w:t xml:space="preserve">. </w:t>
      </w:r>
      <w:r w:rsidRPr="005911E2">
        <w:rPr>
          <w:lang w:eastAsia="en-US"/>
        </w:rPr>
        <w:t xml:space="preserve">The first </w:t>
      </w:r>
      <w:r w:rsidR="003F1329">
        <w:rPr>
          <w:lang w:eastAsia="en-US"/>
        </w:rPr>
        <w:t>shows</w:t>
      </w:r>
      <w:r w:rsidRPr="005911E2">
        <w:rPr>
          <w:lang w:eastAsia="en-US"/>
        </w:rPr>
        <w:t xml:space="preserve"> the scope of </w:t>
      </w:r>
      <w:r w:rsidR="00497581">
        <w:rPr>
          <w:lang w:eastAsia="en-US"/>
        </w:rPr>
        <w:t>income management</w:t>
      </w:r>
      <w:r w:rsidRPr="005911E2">
        <w:rPr>
          <w:lang w:eastAsia="en-US"/>
        </w:rPr>
        <w:t xml:space="preserve">, encompassing both the latter phase of implementation of the NTER IM and its replacement with NIM. The second </w:t>
      </w:r>
      <w:r w:rsidR="003F1329">
        <w:rPr>
          <w:lang w:eastAsia="en-US"/>
        </w:rPr>
        <w:t>indicates</w:t>
      </w:r>
      <w:r w:rsidR="003F1329" w:rsidRPr="005911E2">
        <w:rPr>
          <w:lang w:eastAsia="en-US"/>
        </w:rPr>
        <w:t xml:space="preserve"> </w:t>
      </w:r>
      <w:r w:rsidRPr="005911E2">
        <w:rPr>
          <w:lang w:eastAsia="en-US"/>
        </w:rPr>
        <w:t xml:space="preserve">the geographic impact for recipients who are under </w:t>
      </w:r>
      <w:r w:rsidR="00497581">
        <w:rPr>
          <w:lang w:eastAsia="en-US"/>
        </w:rPr>
        <w:t xml:space="preserve">the </w:t>
      </w:r>
      <w:r w:rsidRPr="005911E2">
        <w:rPr>
          <w:lang w:eastAsia="en-US"/>
        </w:rPr>
        <w:t xml:space="preserve">Age Pension Eligibility age. Both charts present the data as the incidence of </w:t>
      </w:r>
      <w:r w:rsidR="00497581">
        <w:rPr>
          <w:lang w:eastAsia="en-US"/>
        </w:rPr>
        <w:t>income management</w:t>
      </w:r>
      <w:r w:rsidRPr="005911E2">
        <w:rPr>
          <w:lang w:eastAsia="en-US"/>
        </w:rPr>
        <w:t>, that is</w:t>
      </w:r>
      <w:r w:rsidR="00497581">
        <w:rPr>
          <w:lang w:eastAsia="en-US"/>
        </w:rPr>
        <w:t>,</w:t>
      </w:r>
      <w:r w:rsidRPr="005911E2">
        <w:rPr>
          <w:lang w:eastAsia="en-US"/>
        </w:rPr>
        <w:t xml:space="preserve"> the proportion of the population on </w:t>
      </w:r>
      <w:r w:rsidR="00497581">
        <w:rPr>
          <w:lang w:eastAsia="en-US"/>
        </w:rPr>
        <w:t>i</w:t>
      </w:r>
      <w:r w:rsidRPr="005911E2">
        <w:rPr>
          <w:lang w:eastAsia="en-US"/>
        </w:rPr>
        <w:t xml:space="preserve">ncome </w:t>
      </w:r>
      <w:r w:rsidR="00497581">
        <w:rPr>
          <w:lang w:eastAsia="en-US"/>
        </w:rPr>
        <w:t>s</w:t>
      </w:r>
      <w:r w:rsidRPr="005911E2">
        <w:rPr>
          <w:lang w:eastAsia="en-US"/>
        </w:rPr>
        <w:t xml:space="preserve">upport that is subject to </w:t>
      </w:r>
      <w:r w:rsidR="00497581">
        <w:rPr>
          <w:lang w:eastAsia="en-US"/>
        </w:rPr>
        <w:t>income management</w:t>
      </w:r>
      <w:r w:rsidRPr="005911E2">
        <w:rPr>
          <w:lang w:eastAsia="en-US"/>
        </w:rPr>
        <w:t>.</w:t>
      </w:r>
    </w:p>
    <w:p w:rsidR="0022069A" w:rsidRPr="005911E2" w:rsidRDefault="0022069A" w:rsidP="007B4471">
      <w:pPr>
        <w:pStyle w:val="Heading4"/>
      </w:pPr>
      <w:r w:rsidRPr="005911E2">
        <w:t xml:space="preserve">By Indigeneity and </w:t>
      </w:r>
      <w:r w:rsidR="00497581">
        <w:t>a</w:t>
      </w:r>
      <w:r w:rsidRPr="005911E2">
        <w:t>ge</w:t>
      </w:r>
    </w:p>
    <w:p w:rsidR="0022069A" w:rsidRPr="005911E2" w:rsidRDefault="006F14AA" w:rsidP="0022069A">
      <w:pPr>
        <w:pStyle w:val="BodyText"/>
      </w:pPr>
      <w:r w:rsidRPr="005911E2">
        <w:t xml:space="preserve">Figure </w:t>
      </w:r>
      <w:r w:rsidRPr="005911E2">
        <w:rPr>
          <w:noProof/>
        </w:rPr>
        <w:t>4</w:t>
      </w:r>
      <w:r w:rsidRPr="005911E2">
        <w:noBreakHyphen/>
      </w:r>
      <w:r w:rsidRPr="005911E2">
        <w:rPr>
          <w:noProof/>
        </w:rPr>
        <w:t>3</w:t>
      </w:r>
      <w:r w:rsidR="0022069A" w:rsidRPr="005911E2">
        <w:t xml:space="preserve"> shows the proportion of the income support population subject to </w:t>
      </w:r>
      <w:r w:rsidR="00F878E4">
        <w:t>income management</w:t>
      </w:r>
      <w:r w:rsidR="00892C83">
        <w:t xml:space="preserve"> </w:t>
      </w:r>
      <w:r w:rsidR="0022069A" w:rsidRPr="005911E2">
        <w:t>by Indigenous status and age.</w:t>
      </w:r>
    </w:p>
    <w:p w:rsidR="0022069A" w:rsidRPr="005911E2" w:rsidRDefault="0022069A" w:rsidP="0022069A">
      <w:pPr>
        <w:pStyle w:val="BodyText"/>
      </w:pPr>
      <w:r w:rsidRPr="005911E2">
        <w:t xml:space="preserve">Among Indigenous income support recipients under </w:t>
      </w:r>
      <w:r w:rsidRPr="005911E2">
        <w:rPr>
          <w:lang w:eastAsia="en-US"/>
        </w:rPr>
        <w:t>Age Pension Eligibility</w:t>
      </w:r>
      <w:r w:rsidRPr="005911E2">
        <w:t xml:space="preserve"> age, the proportion of the population being income managed, which had been increasing slightly under the NTER, dropped slightly at the start of NIM, but has since remained stable at </w:t>
      </w:r>
      <w:r w:rsidR="00ED395D" w:rsidRPr="005911E2">
        <w:t>just</w:t>
      </w:r>
      <w:r w:rsidRPr="005911E2">
        <w:t xml:space="preserve"> over 60 per cent. Nevertheless there have been changes in the composition of this group, with a </w:t>
      </w:r>
      <w:r w:rsidR="00D621B2">
        <w:t xml:space="preserve">small </w:t>
      </w:r>
      <w:r w:rsidR="00197522">
        <w:t>reduction</w:t>
      </w:r>
      <w:r w:rsidR="00197522" w:rsidRPr="005911E2">
        <w:t xml:space="preserve"> </w:t>
      </w:r>
      <w:r w:rsidRPr="005911E2">
        <w:t xml:space="preserve">in the rate of </w:t>
      </w:r>
      <w:r w:rsidR="00F878E4">
        <w:t>income management</w:t>
      </w:r>
      <w:r w:rsidRPr="005911E2">
        <w:t xml:space="preserve"> amongst the non-urban population and an increase in the urban population, as shown in Figure </w:t>
      </w:r>
      <w:r w:rsidRPr="005911E2">
        <w:rPr>
          <w:noProof/>
        </w:rPr>
        <w:t>4</w:t>
      </w:r>
      <w:r w:rsidRPr="005911E2">
        <w:noBreakHyphen/>
      </w:r>
      <w:r w:rsidRPr="005911E2">
        <w:rPr>
          <w:noProof/>
        </w:rPr>
        <w:t>4</w:t>
      </w:r>
      <w:r w:rsidRPr="005911E2">
        <w:t>. This is discussed in more detail below.</w:t>
      </w:r>
    </w:p>
    <w:p w:rsidR="0022069A" w:rsidRPr="005911E2" w:rsidRDefault="0022069A" w:rsidP="0022069A">
      <w:pPr>
        <w:pStyle w:val="tabfighead"/>
      </w:pPr>
      <w:bookmarkStart w:id="243" w:name="_Ref328149569"/>
      <w:bookmarkStart w:id="244" w:name="_Ref324434464"/>
      <w:bookmarkStart w:id="245" w:name="_Toc311123785"/>
      <w:bookmarkStart w:id="246" w:name="_Toc311843085"/>
      <w:bookmarkStart w:id="247" w:name="_Toc312064827"/>
      <w:bookmarkStart w:id="248" w:name="_Toc321761749"/>
      <w:bookmarkStart w:id="249" w:name="_Toc321254598"/>
      <w:bookmarkStart w:id="250" w:name="_Toc328601649"/>
      <w:bookmarkStart w:id="251" w:name="_Toc335915915"/>
      <w:r w:rsidRPr="005911E2">
        <w:lastRenderedPageBreak/>
        <w:t xml:space="preserve">Figure </w:t>
      </w:r>
      <w:r w:rsidR="00C7347D">
        <w:fldChar w:fldCharType="begin"/>
      </w:r>
      <w:r w:rsidR="00E74851">
        <w:instrText xml:space="preserve"> STYLEREF 1 \s </w:instrText>
      </w:r>
      <w:r w:rsidR="00C7347D">
        <w:fldChar w:fldCharType="separate"/>
      </w:r>
      <w:r w:rsidR="007D7E45">
        <w:rPr>
          <w:noProof/>
        </w:rPr>
        <w:t>4</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3</w:t>
      </w:r>
      <w:r w:rsidR="00C7347D">
        <w:fldChar w:fldCharType="end"/>
      </w:r>
      <w:bookmarkEnd w:id="243"/>
      <w:bookmarkEnd w:id="244"/>
      <w:r w:rsidRPr="005911E2">
        <w:rPr>
          <w:noProof/>
        </w:rPr>
        <w:tab/>
      </w:r>
      <w:r w:rsidR="006435C8">
        <w:t>Northern Territory,</w:t>
      </w:r>
      <w:r w:rsidRPr="005911E2">
        <w:t xml:space="preserve"> Proportion of income support recipients subject to income management by broad age group and Indigeneity, September 2008 to September 2011</w:t>
      </w:r>
      <w:bookmarkEnd w:id="245"/>
      <w:bookmarkEnd w:id="246"/>
      <w:bookmarkEnd w:id="247"/>
      <w:bookmarkEnd w:id="248"/>
      <w:bookmarkEnd w:id="249"/>
      <w:bookmarkEnd w:id="250"/>
      <w:bookmarkEnd w:id="251"/>
    </w:p>
    <w:p w:rsidR="0022069A" w:rsidRPr="005911E2" w:rsidRDefault="00E75F1A" w:rsidP="0022069A">
      <w:pPr>
        <w:pStyle w:val="Leftpara"/>
      </w:pPr>
      <w:bookmarkStart w:id="252" w:name="_MON_1392467855"/>
      <w:bookmarkStart w:id="253" w:name="_MON_1392467819"/>
      <w:bookmarkEnd w:id="252"/>
      <w:bookmarkEnd w:id="253"/>
      <w:r>
        <w:rPr>
          <w:lang w:bidi="ar-SA"/>
        </w:rPr>
        <w:drawing>
          <wp:inline distT="0" distB="0" distL="0" distR="0">
            <wp:extent cx="4533900" cy="2743200"/>
            <wp:effectExtent l="0" t="0" r="0" b="0"/>
            <wp:docPr id="44" name="Picture 7" descr="Figure 4-3 Northern Territory, Proportion of income support recipients subject to income management by broad age group and Indigeneity, September 2008 to September 2011" title="Figure 4-3 Northern Territory, Proportion of income support recipients subject to income management by broad age group and Indigeneity, September 2008 to Septem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33900" cy="2743200"/>
                    </a:xfrm>
                    <a:prstGeom prst="rect">
                      <a:avLst/>
                    </a:prstGeom>
                    <a:noFill/>
                    <a:ln>
                      <a:noFill/>
                    </a:ln>
                  </pic:spPr>
                </pic:pic>
              </a:graphicData>
            </a:graphic>
          </wp:inline>
        </w:drawing>
      </w:r>
    </w:p>
    <w:p w:rsidR="00D621B2" w:rsidRDefault="00D621B2" w:rsidP="00CF78DB">
      <w:pPr>
        <w:pStyle w:val="tablefootnotes"/>
      </w:pPr>
      <w:r>
        <w:t xml:space="preserve">Note: </w:t>
      </w:r>
      <w:r>
        <w:tab/>
      </w:r>
      <w:r w:rsidRPr="005911E2">
        <w:t>No people were income managed in June 2008 or earlier.</w:t>
      </w:r>
    </w:p>
    <w:p w:rsidR="00EA7320" w:rsidRPr="005911E2" w:rsidRDefault="00EA7320" w:rsidP="00CF78DB">
      <w:pPr>
        <w:pStyle w:val="tablefootnotes"/>
      </w:pPr>
      <w:r>
        <w:tab/>
        <w:t>APE age – Age Pension Eligibility age</w:t>
      </w:r>
      <w:r w:rsidR="002C4070">
        <w:t>.</w:t>
      </w:r>
    </w:p>
    <w:p w:rsidR="0022069A" w:rsidRPr="005911E2" w:rsidRDefault="0022069A" w:rsidP="00CF78DB">
      <w:pPr>
        <w:pStyle w:val="tablefootnotes"/>
      </w:pPr>
      <w:r w:rsidRPr="005911E2">
        <w:t>Population</w:t>
      </w:r>
      <w:r w:rsidR="00197522">
        <w:t>:</w:t>
      </w:r>
      <w:r w:rsidRPr="005911E2">
        <w:t xml:space="preserve"> </w:t>
      </w:r>
      <w:r w:rsidR="00D621B2">
        <w:tab/>
      </w:r>
      <w:r w:rsidRPr="005911E2">
        <w:t xml:space="preserve">All </w:t>
      </w:r>
      <w:r w:rsidR="003F1329">
        <w:t>income support</w:t>
      </w:r>
      <w:r w:rsidRPr="005911E2">
        <w:t xml:space="preserve"> recipients resident in the </w:t>
      </w:r>
      <w:r w:rsidR="006435C8">
        <w:t>Northern Territory.</w:t>
      </w:r>
      <w:r w:rsidRPr="005911E2">
        <w:t xml:space="preserve"> </w:t>
      </w:r>
    </w:p>
    <w:p w:rsidR="0022069A" w:rsidRPr="005911E2" w:rsidRDefault="0022069A" w:rsidP="00CF78DB">
      <w:pPr>
        <w:pStyle w:val="tablefootnotes"/>
      </w:pPr>
      <w:r w:rsidRPr="005911E2">
        <w:t xml:space="preserve">Source: </w:t>
      </w:r>
      <w:r w:rsidRPr="005911E2">
        <w:tab/>
        <w:t xml:space="preserve">Derived from the FaHCSIA Housing Dataset. </w:t>
      </w:r>
    </w:p>
    <w:p w:rsidR="0022069A" w:rsidRDefault="0022069A" w:rsidP="00CF78DB">
      <w:pPr>
        <w:pStyle w:val="tablefootnotes"/>
      </w:pPr>
    </w:p>
    <w:p w:rsidR="00657163" w:rsidRPr="005911E2" w:rsidRDefault="00657163" w:rsidP="00657163">
      <w:pPr>
        <w:pStyle w:val="BodyText"/>
      </w:pPr>
      <w:r w:rsidRPr="005911E2">
        <w:t xml:space="preserve">The proportion of Indigenous people above the Age Pension Eligibility </w:t>
      </w:r>
      <w:r w:rsidR="00EA7320">
        <w:t>a</w:t>
      </w:r>
      <w:r w:rsidRPr="005911E2">
        <w:t xml:space="preserve">ge being income managed steadily dropped after mid-2010 when around 63 per cent of this population were </w:t>
      </w:r>
      <w:r>
        <w:t>income managed</w:t>
      </w:r>
      <w:r w:rsidRPr="005911E2">
        <w:t xml:space="preserve">, down to just under 50 per cent at the end of 2011. Under NIM, people on the Age Pension are not subject to compulsory income management. They do however have the option of moving onto </w:t>
      </w:r>
      <w:r>
        <w:t>Voluntary Income Management</w:t>
      </w:r>
      <w:r w:rsidRPr="005911E2">
        <w:t xml:space="preserve">, and some could be placed on </w:t>
      </w:r>
      <w:r>
        <w:t>Vulnerable Income Management or Child Protection Income Management.</w:t>
      </w:r>
    </w:p>
    <w:p w:rsidR="00657163" w:rsidRPr="005911E2" w:rsidRDefault="00657163" w:rsidP="00657163">
      <w:pPr>
        <w:pStyle w:val="BodyText"/>
      </w:pPr>
      <w:r w:rsidRPr="005911E2">
        <w:t>The overall proportion of people in the</w:t>
      </w:r>
      <w:r w:rsidR="006435C8">
        <w:t xml:space="preserve"> Northern Territory </w:t>
      </w:r>
      <w:r w:rsidRPr="005911E2">
        <w:t xml:space="preserve">in receipt of an income support payment subject to </w:t>
      </w:r>
      <w:r>
        <w:t>income management</w:t>
      </w:r>
      <w:r w:rsidRPr="005911E2">
        <w:t xml:space="preserve"> has increased only marginally following the transition from NTER IM to NIM. It has increased from 40.4 per cent in June 2010, just prior to the introduction of NIM, to 42.2 per cent in September 2011. </w:t>
      </w:r>
      <w:r>
        <w:t xml:space="preserve">For </w:t>
      </w:r>
      <w:r w:rsidRPr="005911E2">
        <w:t>Indigenous Australians over this period, it decreased from 62.4 per cent to 60.5 per cent, and for the non-Indigenous population it has increased from 2.1 per cent to 10.3 per cent.</w:t>
      </w:r>
    </w:p>
    <w:p w:rsidR="00657163" w:rsidRPr="005911E2" w:rsidRDefault="00657163" w:rsidP="00657163">
      <w:pPr>
        <w:pStyle w:val="BodyText"/>
      </w:pPr>
      <w:r w:rsidRPr="005911E2">
        <w:t>The proportion of non-Indigenous income support recipients</w:t>
      </w:r>
      <w:r>
        <w:t xml:space="preserve"> below</w:t>
      </w:r>
      <w:r w:rsidRPr="005911E2">
        <w:t xml:space="preserve"> the Age Pension Eligibility age who were subject to income management was negligible under the NTER</w:t>
      </w:r>
      <w:r>
        <w:t>,</w:t>
      </w:r>
      <w:r w:rsidRPr="005911E2">
        <w:t xml:space="preserve"> but increased rapidly with the rollout of NIM during 2010-11. It reached a plateau in the second half of 2011 at around 18 per cent. This rate of incidence is 28 per cent of the rate for Indigenous </w:t>
      </w:r>
      <w:r>
        <w:t>i</w:t>
      </w:r>
      <w:r w:rsidRPr="005911E2">
        <w:t xml:space="preserve">ncome </w:t>
      </w:r>
      <w:r>
        <w:t>s</w:t>
      </w:r>
      <w:r w:rsidRPr="005911E2">
        <w:t>upport recipients in the same age group</w:t>
      </w:r>
      <w:r>
        <w:t>.</w:t>
      </w:r>
      <w:r w:rsidRPr="005911E2">
        <w:t xml:space="preserve"> </w:t>
      </w:r>
    </w:p>
    <w:p w:rsidR="00657163" w:rsidRPr="005911E2" w:rsidRDefault="00657163" w:rsidP="00657163">
      <w:pPr>
        <w:pStyle w:val="BodyText"/>
      </w:pPr>
      <w:r w:rsidRPr="005911E2">
        <w:t xml:space="preserve">Very few non-Indigenous income support recipients above the Age Pension Eligibility age are subject to </w:t>
      </w:r>
      <w:r>
        <w:t>income management</w:t>
      </w:r>
      <w:r w:rsidRPr="005911E2">
        <w:t xml:space="preserve"> (the proportion is always below half of </w:t>
      </w:r>
      <w:r>
        <w:t>1</w:t>
      </w:r>
      <w:r w:rsidRPr="005911E2">
        <w:t xml:space="preserve"> per cent).</w:t>
      </w:r>
    </w:p>
    <w:p w:rsidR="0022069A" w:rsidRPr="005911E2" w:rsidRDefault="0022069A" w:rsidP="007B4471">
      <w:pPr>
        <w:pStyle w:val="Heading4"/>
      </w:pPr>
      <w:r w:rsidRPr="005911E2">
        <w:lastRenderedPageBreak/>
        <w:t>By Indigeneity and Location</w:t>
      </w:r>
    </w:p>
    <w:p w:rsidR="0022069A" w:rsidRPr="005911E2" w:rsidRDefault="0022069A" w:rsidP="0022069A">
      <w:pPr>
        <w:pStyle w:val="BodyText"/>
      </w:pPr>
      <w:r w:rsidRPr="005911E2">
        <w:t xml:space="preserve">As outlined previously, </w:t>
      </w:r>
      <w:r w:rsidR="00F878E4">
        <w:t>income management</w:t>
      </w:r>
      <w:r w:rsidRPr="005911E2">
        <w:t xml:space="preserve"> under the NTER applied to all people in a restricted geographic region (73 prescribed communities and ten town camp regions) who were in receipt of </w:t>
      </w:r>
      <w:r w:rsidR="00EA7320">
        <w:t>income support</w:t>
      </w:r>
      <w:r w:rsidR="00EA7320" w:rsidRPr="005911E2">
        <w:t xml:space="preserve"> </w:t>
      </w:r>
      <w:r w:rsidRPr="005911E2">
        <w:t>payments. Some people living in the</w:t>
      </w:r>
      <w:r w:rsidR="006435C8">
        <w:t xml:space="preserve"> Northern Territory </w:t>
      </w:r>
      <w:r w:rsidRPr="005911E2">
        <w:t xml:space="preserve">outside of these areas would also have been income managed if they had started being income managed while previously living in a prescribed area. </w:t>
      </w:r>
    </w:p>
    <w:p w:rsidR="0022069A" w:rsidRDefault="0022069A" w:rsidP="0022069A">
      <w:pPr>
        <w:pStyle w:val="BodyText"/>
      </w:pPr>
      <w:r w:rsidRPr="005911E2">
        <w:t xml:space="preserve">The pattern of </w:t>
      </w:r>
      <w:r w:rsidR="00F878E4">
        <w:t>income management</w:t>
      </w:r>
      <w:r w:rsidRPr="005911E2">
        <w:t xml:space="preserve"> incidence is therefore different when examined by location. To examine this we again use the urban/non-urban classification discussed previously. While this has not been designed to mirror the operation of income management under the NTER</w:t>
      </w:r>
      <w:r w:rsidR="00197522">
        <w:t>,</w:t>
      </w:r>
      <w:r w:rsidRPr="005911E2">
        <w:t xml:space="preserve"> it nevertheless provides a useful summary indicator of the character of the location.</w:t>
      </w:r>
    </w:p>
    <w:p w:rsidR="00EA7320" w:rsidRPr="005911E2" w:rsidRDefault="00EA7320" w:rsidP="00EA7320">
      <w:pPr>
        <w:pStyle w:val="BodyText"/>
      </w:pPr>
      <w:r w:rsidRPr="005911E2">
        <w:t xml:space="preserve">The proportion of income support recipients who were income managed over the period 2008 to 2011 is shown in Figure </w:t>
      </w:r>
      <w:r w:rsidRPr="005911E2">
        <w:rPr>
          <w:noProof/>
        </w:rPr>
        <w:t>4</w:t>
      </w:r>
      <w:r w:rsidRPr="005911E2">
        <w:noBreakHyphen/>
      </w:r>
      <w:r w:rsidRPr="005911E2">
        <w:rPr>
          <w:noProof/>
        </w:rPr>
        <w:t>4</w:t>
      </w:r>
      <w:r w:rsidRPr="005911E2">
        <w:t xml:space="preserve">. Rates of </w:t>
      </w:r>
      <w:r>
        <w:t>income management</w:t>
      </w:r>
      <w:r w:rsidRPr="005911E2">
        <w:t xml:space="preserve"> among Indigenous income support recipients in non-urban areas increased until they reached a peak of 76 per cent in June 2010. After this, the proportion fell as the NIM measures were implemented. By September 2011, about two-thirds of the people on income support payments in these locations were being income managed.</w:t>
      </w:r>
    </w:p>
    <w:p w:rsidR="0022069A" w:rsidRPr="005911E2" w:rsidRDefault="0022069A" w:rsidP="0022069A">
      <w:pPr>
        <w:pStyle w:val="tabfighead"/>
      </w:pPr>
      <w:bookmarkStart w:id="254" w:name="_Ref321175505"/>
      <w:bookmarkStart w:id="255" w:name="_Toc321761750"/>
      <w:bookmarkStart w:id="256" w:name="_Toc321254599"/>
      <w:bookmarkStart w:id="257" w:name="_Toc328601650"/>
      <w:bookmarkStart w:id="258" w:name="_Toc335915916"/>
      <w:r w:rsidRPr="005911E2">
        <w:t xml:space="preserve">Figure </w:t>
      </w:r>
      <w:r w:rsidR="00C7347D">
        <w:fldChar w:fldCharType="begin"/>
      </w:r>
      <w:r w:rsidR="00E74851">
        <w:instrText xml:space="preserve"> STYLEREF 1 \s </w:instrText>
      </w:r>
      <w:r w:rsidR="00C7347D">
        <w:fldChar w:fldCharType="separate"/>
      </w:r>
      <w:r w:rsidR="007D7E45">
        <w:rPr>
          <w:noProof/>
        </w:rPr>
        <w:t>4</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4</w:t>
      </w:r>
      <w:r w:rsidR="00C7347D">
        <w:fldChar w:fldCharType="end"/>
      </w:r>
      <w:bookmarkEnd w:id="254"/>
      <w:r w:rsidRPr="005911E2">
        <w:tab/>
      </w:r>
      <w:r w:rsidR="006435C8">
        <w:t>Northern Territory,</w:t>
      </w:r>
      <w:r w:rsidRPr="005911E2">
        <w:t xml:space="preserve"> </w:t>
      </w:r>
      <w:r w:rsidR="002934A1" w:rsidRPr="005911E2">
        <w:t>P</w:t>
      </w:r>
      <w:r w:rsidR="002934A1">
        <w:t>roportion</w:t>
      </w:r>
      <w:r w:rsidR="002934A1" w:rsidRPr="005911E2">
        <w:t xml:space="preserve"> </w:t>
      </w:r>
      <w:r w:rsidRPr="005911E2">
        <w:t xml:space="preserve">of income support recipients </w:t>
      </w:r>
      <w:r w:rsidR="00A75ABE" w:rsidRPr="00A75ABE">
        <w:t xml:space="preserve">under Age Pension eligibility age </w:t>
      </w:r>
      <w:r w:rsidRPr="005911E2">
        <w:t xml:space="preserve">subject to </w:t>
      </w:r>
      <w:r w:rsidR="00F878E4">
        <w:t>income management</w:t>
      </w:r>
      <w:r w:rsidRPr="005911E2">
        <w:t xml:space="preserve"> by Indigenous status and location, </w:t>
      </w:r>
      <w:r w:rsidR="00EA7320">
        <w:t xml:space="preserve">September </w:t>
      </w:r>
      <w:r w:rsidRPr="005911E2">
        <w:t xml:space="preserve">2008 to </w:t>
      </w:r>
      <w:r w:rsidR="00EA7320">
        <w:t xml:space="preserve">September </w:t>
      </w:r>
      <w:r w:rsidRPr="005911E2">
        <w:t>2011</w:t>
      </w:r>
      <w:bookmarkEnd w:id="255"/>
      <w:bookmarkEnd w:id="256"/>
      <w:bookmarkEnd w:id="257"/>
      <w:bookmarkEnd w:id="258"/>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2-3 From old to new: an illustration of major pathways to new income management (NIM) "/>
        <w:tblDescription w:val="Figure 2-3 From old to new: an illustration of major pathways to new income management (NIM) "/>
      </w:tblPr>
      <w:tblGrid>
        <w:gridCol w:w="8561"/>
      </w:tblGrid>
      <w:tr w:rsidR="00FB6A20" w:rsidRPr="00FB6A20" w:rsidTr="009D15E2">
        <w:trPr>
          <w:tblHeader/>
        </w:trPr>
        <w:tc>
          <w:tcPr>
            <w:tcW w:w="8561" w:type="dxa"/>
          </w:tcPr>
          <w:p w:rsidR="00FB6A20" w:rsidRPr="00FB6A20" w:rsidRDefault="003C211B" w:rsidP="003C211B">
            <w:pPr>
              <w:pStyle w:val="tablefootnotes"/>
              <w:jc w:val="right"/>
            </w:pPr>
            <w:r>
              <w:rPr>
                <w:noProof/>
                <w:lang w:eastAsia="en-AU" w:bidi="ar-SA"/>
              </w:rPr>
              <w:drawing>
                <wp:anchor distT="0" distB="0" distL="114300" distR="114300" simplePos="0" relativeHeight="251773952" behindDoc="0" locked="0" layoutInCell="1" allowOverlap="1" wp14:anchorId="08B5CCE0" wp14:editId="41815FF4">
                  <wp:simplePos x="0" y="0"/>
                  <wp:positionH relativeFrom="column">
                    <wp:posOffset>1394137</wp:posOffset>
                  </wp:positionH>
                  <wp:positionV relativeFrom="paragraph">
                    <wp:posOffset>237</wp:posOffset>
                  </wp:positionV>
                  <wp:extent cx="4537452" cy="2704454"/>
                  <wp:effectExtent l="0" t="0" r="0" b="1270"/>
                  <wp:wrapTopAndBottom/>
                  <wp:docPr id="9" name="Picture 3" descr="Figure 4-4 Northern Territory, Proportion of income support recipients under Age Pension eligibility age subject to income management by Indigenous status and location, September 2008 to September 2011" title="Figure 4-4 Northern Territory, Proportion of income support recipients under Age Pension eligibility age subject to income management by Indigenous status and location, September 2008 to Septem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4537452" cy="2704454"/>
                          </a:xfrm>
                          <a:prstGeom prst="rect">
                            <a:avLst/>
                          </a:prstGeom>
                          <a:noFill/>
                          <a:ln w="9525">
                            <a:noFill/>
                            <a:miter lim="800000"/>
                            <a:headEnd/>
                            <a:tailEnd/>
                          </a:ln>
                        </pic:spPr>
                      </pic:pic>
                    </a:graphicData>
                  </a:graphic>
                </wp:anchor>
              </w:drawing>
            </w:r>
          </w:p>
        </w:tc>
      </w:tr>
    </w:tbl>
    <w:p w:rsidR="0022069A" w:rsidRPr="005911E2" w:rsidRDefault="0022069A" w:rsidP="00CF78DB">
      <w:pPr>
        <w:pStyle w:val="tablefootnotes"/>
      </w:pPr>
      <w:r w:rsidRPr="005911E2">
        <w:t xml:space="preserve">Population: </w:t>
      </w:r>
      <w:r w:rsidR="001B4FC7">
        <w:tab/>
      </w:r>
      <w:r w:rsidRPr="005911E2">
        <w:t>All income support recipients resident in the</w:t>
      </w:r>
      <w:r w:rsidR="006435C8">
        <w:t xml:space="preserve"> Northern Territory </w:t>
      </w:r>
      <w:r w:rsidRPr="005911E2">
        <w:t>under A</w:t>
      </w:r>
      <w:r w:rsidR="006B63E3">
        <w:t xml:space="preserve">ge Pension Eligibility </w:t>
      </w:r>
      <w:r w:rsidRPr="005911E2">
        <w:t>age</w:t>
      </w:r>
      <w:r w:rsidR="006B63E3">
        <w:t>.</w:t>
      </w:r>
    </w:p>
    <w:p w:rsidR="0022069A" w:rsidRPr="005911E2" w:rsidRDefault="0022069A" w:rsidP="00CF78DB">
      <w:pPr>
        <w:pStyle w:val="tablefootnotes"/>
      </w:pPr>
      <w:r w:rsidRPr="005911E2">
        <w:t xml:space="preserve">Source: </w:t>
      </w:r>
      <w:r w:rsidRPr="005911E2">
        <w:tab/>
        <w:t>Derived from the FaHCSIA Housing Dataset</w:t>
      </w:r>
      <w:r w:rsidR="00237960">
        <w:t>.</w:t>
      </w:r>
    </w:p>
    <w:p w:rsidR="0022069A" w:rsidRPr="005911E2" w:rsidRDefault="0022069A" w:rsidP="00BB14C5">
      <w:pPr>
        <w:pStyle w:val="tablefootnoteslastline"/>
      </w:pPr>
    </w:p>
    <w:p w:rsidR="00BB14C5" w:rsidRPr="005911E2" w:rsidRDefault="00BB14C5" w:rsidP="00BB14C5">
      <w:pPr>
        <w:pStyle w:val="BodyText"/>
      </w:pPr>
      <w:r w:rsidRPr="005911E2">
        <w:t xml:space="preserve">For Indigenous people in urban areas, rates of income management also increased over 2008 and 2009. Those subject to </w:t>
      </w:r>
      <w:r>
        <w:t>income management</w:t>
      </w:r>
      <w:r w:rsidRPr="005911E2">
        <w:t xml:space="preserve"> were mainly people living in town camps</w:t>
      </w:r>
      <w:r>
        <w:t>,</w:t>
      </w:r>
      <w:r w:rsidRPr="005911E2">
        <w:t xml:space="preserve"> but also included people who had been income managed in other prescribed areas who moved into these urban locations. After plateauing in early 2010 at around 30 per cent, the proportion of this income support population being income managed then increased with the </w:t>
      </w:r>
      <w:r w:rsidRPr="005911E2">
        <w:lastRenderedPageBreak/>
        <w:t xml:space="preserve">introduction of NIM to 37 per cent in 2011. This is still well below the rate for non-urban Indigenous income support recipients. Thus </w:t>
      </w:r>
      <w:r>
        <w:t>income management</w:t>
      </w:r>
      <w:r w:rsidRPr="005911E2">
        <w:t xml:space="preserve"> continues to affect a much higher proportion of non-urban Indigenous people than those living in urban areas.</w:t>
      </w:r>
    </w:p>
    <w:p w:rsidR="0022069A" w:rsidRPr="005911E2" w:rsidRDefault="0022069A" w:rsidP="0022069A">
      <w:pPr>
        <w:pStyle w:val="BodyText"/>
      </w:pPr>
      <w:r w:rsidRPr="005911E2">
        <w:t xml:space="preserve">Non-Indigenous welfare recipients experienced a similar pattern of increase with the introduction of NIM, but from a lower base. By September 2011, just over one-fifth of the non-urban non-Indigenous income support population were income managed, compared with two-thirds for </w:t>
      </w:r>
      <w:r w:rsidR="00197522">
        <w:t xml:space="preserve">the </w:t>
      </w:r>
      <w:r w:rsidRPr="005911E2">
        <w:t>Indigenous</w:t>
      </w:r>
      <w:r w:rsidR="00197522">
        <w:t xml:space="preserve"> income support population</w:t>
      </w:r>
      <w:r w:rsidRPr="005911E2">
        <w:t xml:space="preserve">. </w:t>
      </w:r>
    </w:p>
    <w:p w:rsidR="0022069A" w:rsidRPr="005911E2" w:rsidRDefault="0022069A" w:rsidP="00BD6DFD">
      <w:pPr>
        <w:pStyle w:val="Heading3"/>
        <w:rPr>
          <w:noProof/>
        </w:rPr>
      </w:pPr>
      <w:r w:rsidRPr="005911E2">
        <w:rPr>
          <w:noProof/>
        </w:rPr>
        <w:t xml:space="preserve">The </w:t>
      </w:r>
      <w:r w:rsidRPr="005911E2">
        <w:t>transition</w:t>
      </w:r>
      <w:r w:rsidRPr="005911E2">
        <w:rPr>
          <w:noProof/>
        </w:rPr>
        <w:t xml:space="preserve"> from NTER </w:t>
      </w:r>
      <w:r w:rsidR="00E8695F">
        <w:rPr>
          <w:noProof/>
        </w:rPr>
        <w:t>IM</w:t>
      </w:r>
      <w:r w:rsidRPr="005911E2">
        <w:rPr>
          <w:noProof/>
        </w:rPr>
        <w:t xml:space="preserve"> to NIM</w:t>
      </w:r>
    </w:p>
    <w:p w:rsidR="0022069A" w:rsidRPr="005911E2" w:rsidRDefault="0022069A" w:rsidP="0022069A">
      <w:pPr>
        <w:pStyle w:val="BodyText"/>
      </w:pPr>
      <w:r w:rsidRPr="005911E2">
        <w:t>Table</w:t>
      </w:r>
      <w:r w:rsidR="00B23C59">
        <w:t>s</w:t>
      </w:r>
      <w:r w:rsidRPr="005911E2">
        <w:t xml:space="preserve"> </w:t>
      </w:r>
      <w:r w:rsidRPr="005911E2">
        <w:rPr>
          <w:noProof/>
        </w:rPr>
        <w:t>4</w:t>
      </w:r>
      <w:r w:rsidRPr="005911E2">
        <w:noBreakHyphen/>
      </w:r>
      <w:r w:rsidRPr="005911E2">
        <w:rPr>
          <w:noProof/>
        </w:rPr>
        <w:t>2</w:t>
      </w:r>
      <w:r w:rsidRPr="005911E2">
        <w:t xml:space="preserve">, </w:t>
      </w:r>
      <w:r w:rsidRPr="005911E2">
        <w:rPr>
          <w:noProof/>
        </w:rPr>
        <w:t>4</w:t>
      </w:r>
      <w:r w:rsidRPr="005911E2">
        <w:noBreakHyphen/>
      </w:r>
      <w:r w:rsidRPr="005911E2">
        <w:rPr>
          <w:noProof/>
        </w:rPr>
        <w:t>3</w:t>
      </w:r>
      <w:r w:rsidRPr="005911E2">
        <w:t xml:space="preserve"> and </w:t>
      </w:r>
      <w:r w:rsidRPr="005911E2">
        <w:rPr>
          <w:noProof/>
        </w:rPr>
        <w:t>4</w:t>
      </w:r>
      <w:r w:rsidRPr="005911E2">
        <w:noBreakHyphen/>
      </w:r>
      <w:r w:rsidRPr="005911E2">
        <w:rPr>
          <w:noProof/>
        </w:rPr>
        <w:t>4</w:t>
      </w:r>
      <w:r w:rsidRPr="005911E2">
        <w:t xml:space="preserve"> focus on the transition of individuals between the NTER IM and NIM. In each of the tables the population </w:t>
      </w:r>
      <w:r w:rsidR="00EA7320">
        <w:t>comprises all</w:t>
      </w:r>
      <w:r w:rsidRPr="005911E2">
        <w:t xml:space="preserve"> people who were </w:t>
      </w:r>
      <w:r w:rsidR="00EA7320">
        <w:t xml:space="preserve">in receipt of </w:t>
      </w:r>
      <w:r w:rsidRPr="005911E2">
        <w:t xml:space="preserve">income support </w:t>
      </w:r>
      <w:r w:rsidR="00EA7320">
        <w:t xml:space="preserve">on </w:t>
      </w:r>
      <w:r w:rsidRPr="005911E2">
        <w:t>either the commencement or completion date</w:t>
      </w:r>
      <w:r w:rsidR="00EA7320">
        <w:t>s</w:t>
      </w:r>
      <w:r w:rsidRPr="005911E2">
        <w:t>.</w:t>
      </w:r>
    </w:p>
    <w:p w:rsidR="0022069A" w:rsidRPr="005911E2" w:rsidRDefault="0022069A" w:rsidP="0022069A">
      <w:pPr>
        <w:pStyle w:val="BodyText"/>
      </w:pPr>
      <w:r w:rsidRPr="005911E2">
        <w:t xml:space="preserve">Table </w:t>
      </w:r>
      <w:r w:rsidRPr="005911E2">
        <w:rPr>
          <w:noProof/>
        </w:rPr>
        <w:t>4</w:t>
      </w:r>
      <w:r w:rsidRPr="005911E2">
        <w:noBreakHyphen/>
      </w:r>
      <w:r w:rsidRPr="005911E2">
        <w:rPr>
          <w:noProof/>
        </w:rPr>
        <w:t>2</w:t>
      </w:r>
      <w:r w:rsidRPr="005911E2">
        <w:t xml:space="preserve"> </w:t>
      </w:r>
      <w:r w:rsidR="00EA7320">
        <w:t>illustrates</w:t>
      </w:r>
      <w:r w:rsidR="00EA7320" w:rsidRPr="005911E2">
        <w:t xml:space="preserve"> </w:t>
      </w:r>
      <w:r w:rsidRPr="005911E2">
        <w:t xml:space="preserve">the changes </w:t>
      </w:r>
      <w:r w:rsidR="00EA7320">
        <w:t xml:space="preserve">in income support receipt and income management status for the </w:t>
      </w:r>
      <w:r w:rsidR="00A75ABE">
        <w:t>45 </w:t>
      </w:r>
      <w:r w:rsidR="00EA7320" w:rsidRPr="00EA7320">
        <w:t>630 people</w:t>
      </w:r>
      <w:r w:rsidR="00EA7320">
        <w:t xml:space="preserve"> who were in receipt of income support in </w:t>
      </w:r>
      <w:r w:rsidR="00A75ABE">
        <w:t xml:space="preserve">the Northern Territory in </w:t>
      </w:r>
      <w:r w:rsidR="00EA7320">
        <w:t xml:space="preserve">either, or both, </w:t>
      </w:r>
      <w:r w:rsidRPr="005911E2">
        <w:t xml:space="preserve">July 2010 </w:t>
      </w:r>
      <w:r w:rsidR="00EA7320">
        <w:t>and</w:t>
      </w:r>
      <w:r w:rsidR="00EA7320" w:rsidRPr="005911E2">
        <w:t xml:space="preserve"> </w:t>
      </w:r>
      <w:r w:rsidRPr="005911E2">
        <w:t>February 2011</w:t>
      </w:r>
      <w:r w:rsidR="00EA7320">
        <w:t>. This is</w:t>
      </w:r>
      <w:r w:rsidRPr="005911E2">
        <w:t xml:space="preserve"> the period over which the transition from NTER IM to NIM largely took place. </w:t>
      </w:r>
    </w:p>
    <w:p w:rsidR="0022069A" w:rsidRPr="005911E2" w:rsidRDefault="0022069A" w:rsidP="0022069A">
      <w:pPr>
        <w:pStyle w:val="BodyText"/>
      </w:pPr>
      <w:r w:rsidRPr="005911E2">
        <w:t>Of the 16</w:t>
      </w:r>
      <w:r w:rsidR="001B4FC7">
        <w:t> </w:t>
      </w:r>
      <w:r w:rsidRPr="005911E2">
        <w:t>726 people subject to NTER IM just before the transition to NIM, 1</w:t>
      </w:r>
      <w:r w:rsidR="001B4FC7">
        <w:t> </w:t>
      </w:r>
      <w:r w:rsidRPr="005911E2">
        <w:t xml:space="preserve">886 (11 per cent) </w:t>
      </w:r>
      <w:r w:rsidR="00A75ABE">
        <w:t xml:space="preserve">no longer received income support payments </w:t>
      </w:r>
      <w:r w:rsidRPr="005911E2">
        <w:t>in the</w:t>
      </w:r>
      <w:r w:rsidR="006435C8">
        <w:t xml:space="preserve"> Northern Territory </w:t>
      </w:r>
      <w:r w:rsidRPr="005911E2">
        <w:t>by February 2011</w:t>
      </w:r>
      <w:r w:rsidR="004808B3">
        <w:t>;</w:t>
      </w:r>
      <w:r w:rsidRPr="005911E2">
        <w:rPr>
          <w:vertAlign w:val="superscript"/>
        </w:rPr>
        <w:footnoteReference w:id="44"/>
      </w:r>
      <w:r w:rsidRPr="005911E2">
        <w:t xml:space="preserve"> 2</w:t>
      </w:r>
      <w:r w:rsidR="001B4FC7">
        <w:t> </w:t>
      </w:r>
      <w:r w:rsidRPr="005911E2">
        <w:t>404 (14 per cent) were still receiving income support payments but were not being income managed</w:t>
      </w:r>
      <w:r w:rsidR="004808B3">
        <w:t>;</w:t>
      </w:r>
      <w:r w:rsidRPr="005911E2">
        <w:t xml:space="preserve"> 7</w:t>
      </w:r>
      <w:r w:rsidR="001B4FC7">
        <w:t> </w:t>
      </w:r>
      <w:r w:rsidRPr="005911E2">
        <w:t xml:space="preserve">933 (47 per cent) had been transferred to </w:t>
      </w:r>
      <w:r w:rsidR="004808B3">
        <w:t>Compulsory Income Management</w:t>
      </w:r>
      <w:r w:rsidRPr="005911E2">
        <w:t xml:space="preserve"> and 4</w:t>
      </w:r>
      <w:r w:rsidR="001B4FC7">
        <w:t> </w:t>
      </w:r>
      <w:r w:rsidRPr="005911E2">
        <w:t xml:space="preserve">209 (25 per cent) to </w:t>
      </w:r>
      <w:r w:rsidR="004808B3">
        <w:t>Voluntary Income Management</w:t>
      </w:r>
      <w:r w:rsidRPr="005911E2">
        <w:t xml:space="preserve">. Some 294 had been placed on some other form of compulsory </w:t>
      </w:r>
      <w:r w:rsidR="00F878E4">
        <w:t>income management</w:t>
      </w:r>
      <w:r w:rsidRPr="005911E2">
        <w:t xml:space="preserve">, or were still on the NTER </w:t>
      </w:r>
      <w:r w:rsidR="00E8695F">
        <w:t>IM.</w:t>
      </w:r>
      <w:r w:rsidRPr="005911E2">
        <w:t xml:space="preserve"> </w:t>
      </w:r>
    </w:p>
    <w:p w:rsidR="0022069A" w:rsidRPr="005911E2" w:rsidRDefault="0022069A" w:rsidP="0022069A">
      <w:pPr>
        <w:pStyle w:val="tabfighead"/>
      </w:pPr>
      <w:bookmarkStart w:id="259" w:name="_Ref321176685"/>
      <w:bookmarkStart w:id="260" w:name="_Ref311843099"/>
      <w:bookmarkStart w:id="261" w:name="_Toc312066925"/>
      <w:bookmarkStart w:id="262" w:name="_Toc321430407"/>
      <w:bookmarkStart w:id="263" w:name="_Toc321761677"/>
      <w:bookmarkStart w:id="264" w:name="_Toc321254526"/>
      <w:bookmarkStart w:id="265" w:name="_Toc328601572"/>
      <w:bookmarkStart w:id="266" w:name="_Toc329051350"/>
      <w:bookmarkStart w:id="267" w:name="_Toc335915838"/>
      <w:r w:rsidRPr="005911E2">
        <w:t xml:space="preserve">Table </w:t>
      </w:r>
      <w:r w:rsidR="00C7347D" w:rsidRPr="005911E2">
        <w:fldChar w:fldCharType="begin"/>
      </w:r>
      <w:r w:rsidR="00435FEB" w:rsidRPr="005911E2">
        <w:instrText xml:space="preserve"> STYLEREF 1 \s </w:instrText>
      </w:r>
      <w:r w:rsidR="00C7347D" w:rsidRPr="005911E2">
        <w:fldChar w:fldCharType="separate"/>
      </w:r>
      <w:r w:rsidR="007D7E45">
        <w:rPr>
          <w:noProof/>
        </w:rPr>
        <w:t>4</w:t>
      </w:r>
      <w:r w:rsidR="00C7347D" w:rsidRPr="005911E2">
        <w:rPr>
          <w:noProof/>
        </w:rPr>
        <w:fldChar w:fldCharType="end"/>
      </w:r>
      <w:r w:rsidRPr="005911E2">
        <w:noBreakHyphen/>
      </w:r>
      <w:r w:rsidR="00C7347D" w:rsidRPr="005911E2">
        <w:fldChar w:fldCharType="begin"/>
      </w:r>
      <w:r w:rsidR="00435FEB" w:rsidRPr="005911E2">
        <w:instrText xml:space="preserve"> SEQ Table \* ARABIC \s 1 </w:instrText>
      </w:r>
      <w:r w:rsidR="00C7347D" w:rsidRPr="005911E2">
        <w:fldChar w:fldCharType="separate"/>
      </w:r>
      <w:r w:rsidR="007D7E45">
        <w:rPr>
          <w:noProof/>
        </w:rPr>
        <w:t>2</w:t>
      </w:r>
      <w:r w:rsidR="00C7347D" w:rsidRPr="005911E2">
        <w:rPr>
          <w:noProof/>
        </w:rPr>
        <w:fldChar w:fldCharType="end"/>
      </w:r>
      <w:bookmarkEnd w:id="259"/>
      <w:r w:rsidRPr="005911E2">
        <w:rPr>
          <w:noProof/>
        </w:rPr>
        <w:tab/>
      </w:r>
      <w:r w:rsidR="006435C8">
        <w:rPr>
          <w:noProof/>
        </w:rPr>
        <w:t>Northern Territory,</w:t>
      </w:r>
      <w:r w:rsidRPr="005911E2">
        <w:rPr>
          <w:noProof/>
        </w:rPr>
        <w:t xml:space="preserve"> </w:t>
      </w:r>
      <w:r w:rsidRPr="005911E2">
        <w:t xml:space="preserve">Persons on </w:t>
      </w:r>
      <w:r w:rsidR="00B23C59">
        <w:t>i</w:t>
      </w:r>
      <w:r w:rsidRPr="005911E2">
        <w:t xml:space="preserve">ncome </w:t>
      </w:r>
      <w:r w:rsidR="00B23C59">
        <w:t>s</w:t>
      </w:r>
      <w:r w:rsidRPr="005911E2">
        <w:t>upport in either July 2010 or February 2011, movement between the old and new income management programs</w:t>
      </w:r>
      <w:bookmarkEnd w:id="260"/>
      <w:bookmarkEnd w:id="261"/>
      <w:bookmarkEnd w:id="262"/>
      <w:bookmarkEnd w:id="263"/>
      <w:bookmarkEnd w:id="264"/>
      <w:bookmarkEnd w:id="265"/>
      <w:bookmarkEnd w:id="266"/>
      <w:bookmarkEnd w:id="267"/>
    </w:p>
    <w:tbl>
      <w:tblPr>
        <w:tblW w:w="8510" w:type="dxa"/>
        <w:jc w:val="right"/>
        <w:tblInd w:w="279" w:type="dxa"/>
        <w:tblLayout w:type="fixed"/>
        <w:tblCellMar>
          <w:top w:w="28" w:type="dxa"/>
          <w:bottom w:w="28" w:type="dxa"/>
        </w:tblCellMar>
        <w:tblLook w:val="04A0" w:firstRow="1" w:lastRow="0" w:firstColumn="1" w:lastColumn="0" w:noHBand="0" w:noVBand="1"/>
      </w:tblPr>
      <w:tblGrid>
        <w:gridCol w:w="1559"/>
        <w:gridCol w:w="850"/>
        <w:gridCol w:w="851"/>
        <w:gridCol w:w="709"/>
        <w:gridCol w:w="850"/>
        <w:gridCol w:w="992"/>
        <w:gridCol w:w="851"/>
        <w:gridCol w:w="992"/>
        <w:gridCol w:w="856"/>
      </w:tblGrid>
      <w:tr w:rsidR="00DE67BD" w:rsidRPr="005911E2" w:rsidTr="00943DCB">
        <w:trPr>
          <w:jc w:val="right"/>
        </w:trPr>
        <w:tc>
          <w:tcPr>
            <w:tcW w:w="1559" w:type="dxa"/>
            <w:vMerge w:val="restart"/>
            <w:tcBorders>
              <w:top w:val="single" w:sz="4" w:space="0" w:color="auto"/>
            </w:tcBorders>
            <w:tcMar>
              <w:top w:w="0" w:type="dxa"/>
              <w:left w:w="57" w:type="dxa"/>
              <w:bottom w:w="0" w:type="dxa"/>
              <w:right w:w="57" w:type="dxa"/>
            </w:tcMar>
          </w:tcPr>
          <w:p w:rsidR="00DE67BD" w:rsidRPr="005911E2" w:rsidRDefault="001721AF" w:rsidP="00DE67BD">
            <w:pPr>
              <w:pStyle w:val="TableText"/>
              <w:rPr>
                <w:szCs w:val="18"/>
              </w:rPr>
            </w:pPr>
            <w:r>
              <w:rPr>
                <w:szCs w:val="18"/>
              </w:rPr>
              <w:t xml:space="preserve">Status in July 2010 </w:t>
            </w:r>
            <w:r w:rsidR="00DE67BD" w:rsidRPr="005911E2">
              <w:rPr>
                <w:szCs w:val="18"/>
              </w:rPr>
              <w:t xml:space="preserve"> under NTER</w:t>
            </w:r>
          </w:p>
        </w:tc>
        <w:tc>
          <w:tcPr>
            <w:tcW w:w="6951" w:type="dxa"/>
            <w:gridSpan w:val="8"/>
            <w:tcBorders>
              <w:top w:val="single" w:sz="4" w:space="0" w:color="auto"/>
              <w:bottom w:val="single" w:sz="4" w:space="0" w:color="auto"/>
            </w:tcBorders>
            <w:tcMar>
              <w:top w:w="0" w:type="dxa"/>
              <w:left w:w="57" w:type="dxa"/>
              <w:bottom w:w="0" w:type="dxa"/>
              <w:right w:w="57" w:type="dxa"/>
            </w:tcMar>
          </w:tcPr>
          <w:p w:rsidR="00DE67BD" w:rsidRPr="005911E2" w:rsidRDefault="00DE67BD" w:rsidP="00A26515">
            <w:pPr>
              <w:pStyle w:val="TableText"/>
              <w:rPr>
                <w:szCs w:val="18"/>
              </w:rPr>
            </w:pPr>
            <w:r w:rsidRPr="005911E2">
              <w:rPr>
                <w:szCs w:val="18"/>
              </w:rPr>
              <w:t xml:space="preserve">Status in February 2011 </w:t>
            </w:r>
            <w:r w:rsidR="00ED395D" w:rsidRPr="005911E2">
              <w:rPr>
                <w:szCs w:val="18"/>
              </w:rPr>
              <w:t>u</w:t>
            </w:r>
            <w:r w:rsidRPr="005911E2">
              <w:rPr>
                <w:szCs w:val="18"/>
              </w:rPr>
              <w:t>nder NIM</w:t>
            </w:r>
            <w:r w:rsidR="00A75ABE">
              <w:rPr>
                <w:szCs w:val="18"/>
              </w:rPr>
              <w:t>:</w:t>
            </w:r>
          </w:p>
        </w:tc>
      </w:tr>
      <w:tr w:rsidR="00A75ABE" w:rsidRPr="005911E2" w:rsidTr="00943DCB">
        <w:trPr>
          <w:jc w:val="right"/>
        </w:trPr>
        <w:tc>
          <w:tcPr>
            <w:tcW w:w="1559" w:type="dxa"/>
            <w:vMerge/>
            <w:tcBorders>
              <w:bottom w:val="single" w:sz="4" w:space="0" w:color="auto"/>
            </w:tcBorders>
            <w:tcMar>
              <w:top w:w="0" w:type="dxa"/>
              <w:left w:w="57" w:type="dxa"/>
              <w:bottom w:w="0" w:type="dxa"/>
              <w:right w:w="57" w:type="dxa"/>
            </w:tcMar>
          </w:tcPr>
          <w:p w:rsidR="00DE67BD" w:rsidRPr="005911E2" w:rsidRDefault="00DE67BD" w:rsidP="0022069A">
            <w:pPr>
              <w:pStyle w:val="TableText"/>
              <w:rPr>
                <w:szCs w:val="18"/>
              </w:rPr>
            </w:pPr>
          </w:p>
        </w:tc>
        <w:tc>
          <w:tcPr>
            <w:tcW w:w="850" w:type="dxa"/>
            <w:tcBorders>
              <w:top w:val="single" w:sz="4" w:space="0" w:color="auto"/>
              <w:bottom w:val="single" w:sz="4" w:space="0" w:color="auto"/>
            </w:tcBorders>
            <w:tcMar>
              <w:top w:w="0" w:type="dxa"/>
              <w:left w:w="57" w:type="dxa"/>
              <w:bottom w:w="0" w:type="dxa"/>
              <w:right w:w="57" w:type="dxa"/>
            </w:tcMar>
          </w:tcPr>
          <w:p w:rsidR="00DE67BD" w:rsidRPr="005911E2" w:rsidRDefault="00DE67BD" w:rsidP="0022069A">
            <w:pPr>
              <w:pStyle w:val="TableText"/>
              <w:jc w:val="right"/>
              <w:rPr>
                <w:szCs w:val="18"/>
              </w:rPr>
            </w:pPr>
            <w:r w:rsidRPr="005911E2">
              <w:rPr>
                <w:szCs w:val="18"/>
              </w:rPr>
              <w:t>Compul</w:t>
            </w:r>
            <w:r w:rsidR="00943DCB">
              <w:rPr>
                <w:szCs w:val="18"/>
              </w:rPr>
              <w:t>-</w:t>
            </w:r>
            <w:r w:rsidRPr="005911E2">
              <w:rPr>
                <w:szCs w:val="18"/>
              </w:rPr>
              <w:t>sory</w:t>
            </w:r>
            <w:r w:rsidR="00C04728">
              <w:rPr>
                <w:szCs w:val="18"/>
              </w:rPr>
              <w:br/>
            </w:r>
            <w:r w:rsidRPr="005911E2">
              <w:rPr>
                <w:szCs w:val="18"/>
              </w:rPr>
              <w:t xml:space="preserve"> IM</w:t>
            </w:r>
          </w:p>
        </w:tc>
        <w:tc>
          <w:tcPr>
            <w:tcW w:w="851" w:type="dxa"/>
            <w:tcBorders>
              <w:top w:val="single" w:sz="4" w:space="0" w:color="auto"/>
              <w:bottom w:val="single" w:sz="4" w:space="0" w:color="auto"/>
            </w:tcBorders>
            <w:shd w:val="clear" w:color="auto" w:fill="auto"/>
            <w:tcMar>
              <w:top w:w="0" w:type="dxa"/>
              <w:left w:w="57" w:type="dxa"/>
              <w:bottom w:w="0" w:type="dxa"/>
              <w:right w:w="57" w:type="dxa"/>
            </w:tcMar>
          </w:tcPr>
          <w:p w:rsidR="00DE67BD" w:rsidRPr="005911E2" w:rsidRDefault="00DE67BD" w:rsidP="00943DCB">
            <w:pPr>
              <w:pStyle w:val="TableText"/>
              <w:jc w:val="right"/>
              <w:rPr>
                <w:szCs w:val="18"/>
              </w:rPr>
            </w:pPr>
            <w:r w:rsidRPr="005911E2">
              <w:rPr>
                <w:szCs w:val="18"/>
              </w:rPr>
              <w:t>Child protection IM</w:t>
            </w:r>
          </w:p>
        </w:tc>
        <w:tc>
          <w:tcPr>
            <w:tcW w:w="709" w:type="dxa"/>
            <w:tcBorders>
              <w:top w:val="single" w:sz="4" w:space="0" w:color="auto"/>
              <w:bottom w:val="single" w:sz="4" w:space="0" w:color="auto"/>
            </w:tcBorders>
            <w:shd w:val="clear" w:color="auto" w:fill="auto"/>
            <w:tcMar>
              <w:top w:w="0" w:type="dxa"/>
              <w:left w:w="57" w:type="dxa"/>
              <w:bottom w:w="0" w:type="dxa"/>
              <w:right w:w="57" w:type="dxa"/>
            </w:tcMar>
          </w:tcPr>
          <w:p w:rsidR="00DE67BD" w:rsidRPr="005911E2" w:rsidRDefault="00DE67BD" w:rsidP="0022069A">
            <w:pPr>
              <w:pStyle w:val="TableText"/>
              <w:jc w:val="right"/>
              <w:rPr>
                <w:szCs w:val="18"/>
              </w:rPr>
            </w:pPr>
            <w:r w:rsidRPr="005911E2">
              <w:rPr>
                <w:szCs w:val="18"/>
              </w:rPr>
              <w:t>NTER IM</w:t>
            </w:r>
          </w:p>
        </w:tc>
        <w:tc>
          <w:tcPr>
            <w:tcW w:w="850" w:type="dxa"/>
            <w:tcBorders>
              <w:top w:val="single" w:sz="4" w:space="0" w:color="auto"/>
              <w:bottom w:val="single" w:sz="4" w:space="0" w:color="auto"/>
            </w:tcBorders>
            <w:shd w:val="clear" w:color="auto" w:fill="auto"/>
            <w:tcMar>
              <w:top w:w="0" w:type="dxa"/>
              <w:left w:w="57" w:type="dxa"/>
              <w:bottom w:w="0" w:type="dxa"/>
              <w:right w:w="57" w:type="dxa"/>
            </w:tcMar>
          </w:tcPr>
          <w:p w:rsidR="00DE67BD" w:rsidRPr="005911E2" w:rsidRDefault="00DE67BD" w:rsidP="0022069A">
            <w:pPr>
              <w:pStyle w:val="TableText"/>
              <w:jc w:val="right"/>
              <w:rPr>
                <w:szCs w:val="18"/>
              </w:rPr>
            </w:pPr>
            <w:r w:rsidRPr="005911E2">
              <w:rPr>
                <w:szCs w:val="18"/>
              </w:rPr>
              <w:t>Voluntary IM</w:t>
            </w:r>
          </w:p>
        </w:tc>
        <w:tc>
          <w:tcPr>
            <w:tcW w:w="992" w:type="dxa"/>
            <w:tcBorders>
              <w:top w:val="single" w:sz="4" w:space="0" w:color="auto"/>
              <w:bottom w:val="single" w:sz="4" w:space="0" w:color="auto"/>
            </w:tcBorders>
            <w:shd w:val="clear" w:color="auto" w:fill="auto"/>
            <w:tcMar>
              <w:top w:w="0" w:type="dxa"/>
              <w:left w:w="57" w:type="dxa"/>
              <w:bottom w:w="0" w:type="dxa"/>
              <w:right w:w="57" w:type="dxa"/>
            </w:tcMar>
          </w:tcPr>
          <w:p w:rsidR="00DE67BD" w:rsidRPr="005911E2" w:rsidRDefault="00DE67BD" w:rsidP="00BB14C5">
            <w:pPr>
              <w:pStyle w:val="TableText"/>
              <w:jc w:val="right"/>
              <w:rPr>
                <w:szCs w:val="18"/>
              </w:rPr>
            </w:pPr>
            <w:r w:rsidRPr="005911E2">
              <w:rPr>
                <w:szCs w:val="18"/>
              </w:rPr>
              <w:t>Vulnerable IM</w:t>
            </w:r>
          </w:p>
        </w:tc>
        <w:tc>
          <w:tcPr>
            <w:tcW w:w="851" w:type="dxa"/>
            <w:tcBorders>
              <w:top w:val="single" w:sz="4" w:space="0" w:color="auto"/>
              <w:bottom w:val="single" w:sz="4" w:space="0" w:color="auto"/>
            </w:tcBorders>
            <w:shd w:val="clear" w:color="auto" w:fill="auto"/>
            <w:tcMar>
              <w:top w:w="0" w:type="dxa"/>
              <w:left w:w="57" w:type="dxa"/>
              <w:bottom w:w="0" w:type="dxa"/>
              <w:right w:w="57" w:type="dxa"/>
            </w:tcMar>
          </w:tcPr>
          <w:p w:rsidR="00DE67BD" w:rsidRPr="005911E2" w:rsidRDefault="00DE67BD" w:rsidP="0022069A">
            <w:pPr>
              <w:pStyle w:val="TableText"/>
              <w:jc w:val="right"/>
              <w:rPr>
                <w:szCs w:val="18"/>
              </w:rPr>
            </w:pPr>
            <w:r w:rsidRPr="005911E2">
              <w:rPr>
                <w:szCs w:val="18"/>
              </w:rPr>
              <w:t>Not income managed</w:t>
            </w:r>
          </w:p>
        </w:tc>
        <w:tc>
          <w:tcPr>
            <w:tcW w:w="992" w:type="dxa"/>
            <w:tcBorders>
              <w:top w:val="single" w:sz="4" w:space="0" w:color="auto"/>
              <w:bottom w:val="single" w:sz="4" w:space="0" w:color="auto"/>
            </w:tcBorders>
            <w:shd w:val="clear" w:color="auto" w:fill="auto"/>
            <w:tcMar>
              <w:top w:w="0" w:type="dxa"/>
              <w:left w:w="57" w:type="dxa"/>
              <w:bottom w:w="0" w:type="dxa"/>
              <w:right w:w="57" w:type="dxa"/>
            </w:tcMar>
          </w:tcPr>
          <w:p w:rsidR="00DE67BD" w:rsidRPr="005911E2" w:rsidRDefault="00DE67BD" w:rsidP="0022069A">
            <w:pPr>
              <w:pStyle w:val="TableText"/>
              <w:jc w:val="right"/>
              <w:rPr>
                <w:szCs w:val="18"/>
              </w:rPr>
            </w:pPr>
            <w:r w:rsidRPr="005911E2">
              <w:rPr>
                <w:szCs w:val="18"/>
              </w:rPr>
              <w:t>Not in receipt of income support</w:t>
            </w:r>
          </w:p>
        </w:tc>
        <w:tc>
          <w:tcPr>
            <w:tcW w:w="856" w:type="dxa"/>
            <w:tcBorders>
              <w:top w:val="single" w:sz="4" w:space="0" w:color="auto"/>
              <w:bottom w:val="single" w:sz="4" w:space="0" w:color="auto"/>
            </w:tcBorders>
            <w:shd w:val="clear" w:color="auto" w:fill="auto"/>
            <w:tcMar>
              <w:top w:w="0" w:type="dxa"/>
              <w:left w:w="57" w:type="dxa"/>
              <w:bottom w:w="0" w:type="dxa"/>
              <w:right w:w="57" w:type="dxa"/>
            </w:tcMar>
          </w:tcPr>
          <w:p w:rsidR="00DE67BD" w:rsidRPr="005911E2" w:rsidRDefault="00DE67BD" w:rsidP="0022069A">
            <w:pPr>
              <w:pStyle w:val="TableText"/>
              <w:jc w:val="right"/>
              <w:rPr>
                <w:szCs w:val="18"/>
              </w:rPr>
            </w:pPr>
            <w:r w:rsidRPr="005911E2">
              <w:rPr>
                <w:szCs w:val="18"/>
              </w:rPr>
              <w:t>All</w:t>
            </w:r>
          </w:p>
        </w:tc>
      </w:tr>
      <w:tr w:rsidR="00A75ABE" w:rsidRPr="005911E2" w:rsidTr="00943DCB">
        <w:trPr>
          <w:jc w:val="right"/>
        </w:trPr>
        <w:tc>
          <w:tcPr>
            <w:tcW w:w="1559" w:type="dxa"/>
            <w:tcBorders>
              <w:top w:val="single" w:sz="4" w:space="0" w:color="auto"/>
            </w:tcBorders>
            <w:tcMar>
              <w:top w:w="0" w:type="dxa"/>
              <w:left w:w="57" w:type="dxa"/>
              <w:bottom w:w="0" w:type="dxa"/>
              <w:right w:w="57" w:type="dxa"/>
            </w:tcMar>
            <w:vAlign w:val="center"/>
          </w:tcPr>
          <w:p w:rsidR="0022069A" w:rsidRPr="005911E2" w:rsidRDefault="0022069A" w:rsidP="0022069A">
            <w:pPr>
              <w:pStyle w:val="TableText"/>
              <w:ind w:left="176" w:hanging="176"/>
              <w:rPr>
                <w:szCs w:val="18"/>
              </w:rPr>
            </w:pPr>
            <w:r w:rsidRPr="005911E2">
              <w:rPr>
                <w:szCs w:val="18"/>
              </w:rPr>
              <w:t>NTER IM</w:t>
            </w:r>
          </w:p>
        </w:tc>
        <w:tc>
          <w:tcPr>
            <w:tcW w:w="850" w:type="dxa"/>
            <w:tcBorders>
              <w:top w:val="single" w:sz="4" w:space="0" w:color="auto"/>
            </w:tcBorders>
            <w:tcMar>
              <w:top w:w="0" w:type="dxa"/>
              <w:left w:w="57" w:type="dxa"/>
              <w:bottom w:w="0" w:type="dxa"/>
              <w:right w:w="57" w:type="dxa"/>
            </w:tcMar>
            <w:vAlign w:val="center"/>
          </w:tcPr>
          <w:p w:rsidR="0022069A" w:rsidRPr="005911E2" w:rsidRDefault="0022069A" w:rsidP="000238F6">
            <w:pPr>
              <w:pStyle w:val="TableText"/>
              <w:jc w:val="right"/>
              <w:rPr>
                <w:szCs w:val="18"/>
              </w:rPr>
            </w:pPr>
            <w:r w:rsidRPr="005911E2">
              <w:rPr>
                <w:szCs w:val="18"/>
              </w:rPr>
              <w:t>7</w:t>
            </w:r>
            <w:r w:rsidR="001B4FC7">
              <w:rPr>
                <w:szCs w:val="18"/>
              </w:rPr>
              <w:t> </w:t>
            </w:r>
            <w:r w:rsidRPr="005911E2">
              <w:rPr>
                <w:szCs w:val="18"/>
              </w:rPr>
              <w:t>933</w:t>
            </w:r>
          </w:p>
        </w:tc>
        <w:tc>
          <w:tcPr>
            <w:tcW w:w="851" w:type="dxa"/>
            <w:tcBorders>
              <w:top w:val="single" w:sz="4" w:space="0" w:color="auto"/>
            </w:tcBorders>
            <w:shd w:val="clear" w:color="auto" w:fill="auto"/>
            <w:tcMar>
              <w:top w:w="0" w:type="dxa"/>
              <w:left w:w="57" w:type="dxa"/>
              <w:bottom w:w="0" w:type="dxa"/>
              <w:right w:w="57" w:type="dxa"/>
            </w:tcMar>
            <w:vAlign w:val="center"/>
          </w:tcPr>
          <w:p w:rsidR="0022069A" w:rsidRPr="005911E2" w:rsidRDefault="00136CFE" w:rsidP="0022069A">
            <w:pPr>
              <w:pStyle w:val="TableText"/>
              <w:jc w:val="right"/>
              <w:rPr>
                <w:szCs w:val="18"/>
              </w:rPr>
            </w:pPr>
            <w:r>
              <w:rPr>
                <w:szCs w:val="18"/>
              </w:rPr>
              <w:t>3</w:t>
            </w:r>
          </w:p>
        </w:tc>
        <w:tc>
          <w:tcPr>
            <w:tcW w:w="709" w:type="dxa"/>
            <w:tcBorders>
              <w:top w:val="single" w:sz="4" w:space="0" w:color="auto"/>
            </w:tcBorders>
            <w:shd w:val="clear" w:color="auto" w:fill="auto"/>
            <w:tcMar>
              <w:top w:w="0" w:type="dxa"/>
              <w:left w:w="57" w:type="dxa"/>
              <w:bottom w:w="0" w:type="dxa"/>
              <w:right w:w="57" w:type="dxa"/>
            </w:tcMar>
            <w:vAlign w:val="center"/>
          </w:tcPr>
          <w:p w:rsidR="0022069A" w:rsidRPr="005911E2" w:rsidRDefault="0022069A" w:rsidP="0022069A">
            <w:pPr>
              <w:pStyle w:val="TableText"/>
              <w:jc w:val="right"/>
              <w:rPr>
                <w:szCs w:val="18"/>
              </w:rPr>
            </w:pPr>
            <w:r w:rsidRPr="005911E2">
              <w:rPr>
                <w:szCs w:val="18"/>
              </w:rPr>
              <w:t>11</w:t>
            </w:r>
            <w:r w:rsidR="00136CFE">
              <w:rPr>
                <w:szCs w:val="18"/>
              </w:rPr>
              <w:t>3</w:t>
            </w:r>
          </w:p>
        </w:tc>
        <w:tc>
          <w:tcPr>
            <w:tcW w:w="850" w:type="dxa"/>
            <w:tcBorders>
              <w:top w:val="single" w:sz="4" w:space="0" w:color="auto"/>
            </w:tcBorders>
            <w:shd w:val="clear" w:color="auto" w:fill="auto"/>
            <w:tcMar>
              <w:top w:w="0" w:type="dxa"/>
              <w:left w:w="57" w:type="dxa"/>
              <w:bottom w:w="0" w:type="dxa"/>
              <w:right w:w="57" w:type="dxa"/>
            </w:tcMar>
            <w:vAlign w:val="center"/>
          </w:tcPr>
          <w:p w:rsidR="0022069A" w:rsidRPr="005911E2" w:rsidRDefault="0022069A" w:rsidP="000238F6">
            <w:pPr>
              <w:pStyle w:val="TableText"/>
              <w:jc w:val="right"/>
              <w:rPr>
                <w:szCs w:val="18"/>
              </w:rPr>
            </w:pPr>
            <w:r w:rsidRPr="005911E2">
              <w:rPr>
                <w:szCs w:val="18"/>
              </w:rPr>
              <w:t>4</w:t>
            </w:r>
            <w:r w:rsidR="001B4FC7">
              <w:rPr>
                <w:szCs w:val="18"/>
              </w:rPr>
              <w:t> </w:t>
            </w:r>
            <w:r w:rsidRPr="005911E2">
              <w:rPr>
                <w:szCs w:val="18"/>
              </w:rPr>
              <w:t>209</w:t>
            </w:r>
          </w:p>
        </w:tc>
        <w:tc>
          <w:tcPr>
            <w:tcW w:w="992" w:type="dxa"/>
            <w:tcBorders>
              <w:top w:val="single" w:sz="4" w:space="0" w:color="auto"/>
            </w:tcBorders>
            <w:shd w:val="clear" w:color="auto" w:fill="auto"/>
            <w:tcMar>
              <w:top w:w="0" w:type="dxa"/>
              <w:left w:w="57" w:type="dxa"/>
              <w:bottom w:w="0" w:type="dxa"/>
              <w:right w:w="57" w:type="dxa"/>
            </w:tcMar>
            <w:vAlign w:val="center"/>
          </w:tcPr>
          <w:p w:rsidR="0022069A" w:rsidRPr="005911E2" w:rsidRDefault="0022069A" w:rsidP="0022069A">
            <w:pPr>
              <w:pStyle w:val="TableText"/>
              <w:jc w:val="right"/>
              <w:rPr>
                <w:szCs w:val="18"/>
              </w:rPr>
            </w:pPr>
            <w:r w:rsidRPr="005911E2">
              <w:rPr>
                <w:szCs w:val="18"/>
              </w:rPr>
              <w:t>178</w:t>
            </w:r>
          </w:p>
        </w:tc>
        <w:tc>
          <w:tcPr>
            <w:tcW w:w="851" w:type="dxa"/>
            <w:tcBorders>
              <w:top w:val="single" w:sz="4" w:space="0" w:color="auto"/>
            </w:tcBorders>
            <w:shd w:val="clear" w:color="auto" w:fill="auto"/>
            <w:tcMar>
              <w:top w:w="0" w:type="dxa"/>
              <w:left w:w="57" w:type="dxa"/>
              <w:bottom w:w="0" w:type="dxa"/>
              <w:right w:w="57" w:type="dxa"/>
            </w:tcMar>
            <w:vAlign w:val="center"/>
          </w:tcPr>
          <w:p w:rsidR="0022069A" w:rsidRPr="005911E2" w:rsidRDefault="0022069A" w:rsidP="000238F6">
            <w:pPr>
              <w:pStyle w:val="TableText"/>
              <w:jc w:val="right"/>
              <w:rPr>
                <w:szCs w:val="18"/>
              </w:rPr>
            </w:pPr>
            <w:r w:rsidRPr="005911E2">
              <w:rPr>
                <w:szCs w:val="18"/>
              </w:rPr>
              <w:t>2</w:t>
            </w:r>
            <w:r w:rsidR="001B4FC7">
              <w:rPr>
                <w:szCs w:val="18"/>
              </w:rPr>
              <w:t> </w:t>
            </w:r>
            <w:r w:rsidRPr="005911E2">
              <w:rPr>
                <w:szCs w:val="18"/>
              </w:rPr>
              <w:t>404</w:t>
            </w:r>
          </w:p>
        </w:tc>
        <w:tc>
          <w:tcPr>
            <w:tcW w:w="992" w:type="dxa"/>
            <w:tcBorders>
              <w:top w:val="single" w:sz="4" w:space="0" w:color="auto"/>
            </w:tcBorders>
            <w:shd w:val="clear" w:color="auto" w:fill="auto"/>
            <w:tcMar>
              <w:top w:w="0" w:type="dxa"/>
              <w:left w:w="57" w:type="dxa"/>
              <w:bottom w:w="0" w:type="dxa"/>
              <w:right w:w="57" w:type="dxa"/>
            </w:tcMar>
            <w:vAlign w:val="center"/>
          </w:tcPr>
          <w:p w:rsidR="0022069A" w:rsidRPr="005911E2" w:rsidRDefault="0022069A" w:rsidP="000238F6">
            <w:pPr>
              <w:pStyle w:val="TableText"/>
              <w:jc w:val="right"/>
              <w:rPr>
                <w:szCs w:val="18"/>
              </w:rPr>
            </w:pPr>
            <w:r w:rsidRPr="005911E2">
              <w:rPr>
                <w:szCs w:val="18"/>
              </w:rPr>
              <w:t>1</w:t>
            </w:r>
            <w:r w:rsidR="001B4FC7">
              <w:rPr>
                <w:szCs w:val="18"/>
              </w:rPr>
              <w:t> </w:t>
            </w:r>
            <w:r w:rsidRPr="005911E2">
              <w:rPr>
                <w:szCs w:val="18"/>
              </w:rPr>
              <w:t>886</w:t>
            </w:r>
          </w:p>
        </w:tc>
        <w:tc>
          <w:tcPr>
            <w:tcW w:w="856" w:type="dxa"/>
            <w:tcBorders>
              <w:top w:val="single" w:sz="4" w:space="0" w:color="auto"/>
            </w:tcBorders>
            <w:shd w:val="clear" w:color="auto" w:fill="auto"/>
            <w:tcMar>
              <w:top w:w="0" w:type="dxa"/>
              <w:left w:w="57" w:type="dxa"/>
              <w:bottom w:w="0" w:type="dxa"/>
              <w:right w:w="57" w:type="dxa"/>
            </w:tcMar>
            <w:vAlign w:val="center"/>
          </w:tcPr>
          <w:p w:rsidR="0022069A" w:rsidRPr="005911E2" w:rsidRDefault="0022069A" w:rsidP="000238F6">
            <w:pPr>
              <w:pStyle w:val="TableText"/>
              <w:jc w:val="right"/>
              <w:rPr>
                <w:szCs w:val="18"/>
              </w:rPr>
            </w:pPr>
            <w:r w:rsidRPr="005911E2">
              <w:rPr>
                <w:szCs w:val="18"/>
              </w:rPr>
              <w:t>16</w:t>
            </w:r>
            <w:r w:rsidR="001B4FC7">
              <w:rPr>
                <w:szCs w:val="18"/>
              </w:rPr>
              <w:t> </w:t>
            </w:r>
            <w:r w:rsidRPr="005911E2">
              <w:rPr>
                <w:szCs w:val="18"/>
              </w:rPr>
              <w:t>726</w:t>
            </w:r>
          </w:p>
        </w:tc>
      </w:tr>
      <w:tr w:rsidR="00A75ABE" w:rsidRPr="005911E2" w:rsidTr="00943DCB">
        <w:trPr>
          <w:jc w:val="right"/>
        </w:trPr>
        <w:tc>
          <w:tcPr>
            <w:tcW w:w="1559" w:type="dxa"/>
            <w:tcMar>
              <w:top w:w="0" w:type="dxa"/>
              <w:left w:w="57" w:type="dxa"/>
              <w:bottom w:w="0" w:type="dxa"/>
              <w:right w:w="57" w:type="dxa"/>
            </w:tcMar>
            <w:vAlign w:val="center"/>
          </w:tcPr>
          <w:p w:rsidR="0022069A" w:rsidRPr="005911E2" w:rsidRDefault="0022069A" w:rsidP="0022069A">
            <w:pPr>
              <w:pStyle w:val="TableText"/>
              <w:ind w:left="176" w:hanging="176"/>
              <w:rPr>
                <w:szCs w:val="18"/>
              </w:rPr>
            </w:pPr>
            <w:r w:rsidRPr="005911E2">
              <w:rPr>
                <w:szCs w:val="18"/>
              </w:rPr>
              <w:t>Not income managed</w:t>
            </w:r>
          </w:p>
        </w:tc>
        <w:tc>
          <w:tcPr>
            <w:tcW w:w="850" w:type="dxa"/>
            <w:tcMar>
              <w:top w:w="0" w:type="dxa"/>
              <w:left w:w="57" w:type="dxa"/>
              <w:bottom w:w="0" w:type="dxa"/>
              <w:right w:w="57" w:type="dxa"/>
            </w:tcMar>
            <w:vAlign w:val="center"/>
          </w:tcPr>
          <w:p w:rsidR="0022069A" w:rsidRPr="005911E2" w:rsidRDefault="0022069A" w:rsidP="000238F6">
            <w:pPr>
              <w:pStyle w:val="TableText"/>
              <w:jc w:val="right"/>
              <w:rPr>
                <w:szCs w:val="18"/>
              </w:rPr>
            </w:pPr>
            <w:r w:rsidRPr="005911E2">
              <w:rPr>
                <w:szCs w:val="18"/>
              </w:rPr>
              <w:t>1</w:t>
            </w:r>
            <w:r w:rsidR="001B4FC7">
              <w:rPr>
                <w:szCs w:val="18"/>
              </w:rPr>
              <w:t> </w:t>
            </w:r>
            <w:r w:rsidRPr="005911E2">
              <w:rPr>
                <w:szCs w:val="18"/>
              </w:rPr>
              <w:t>990</w:t>
            </w:r>
          </w:p>
        </w:tc>
        <w:tc>
          <w:tcPr>
            <w:tcW w:w="851" w:type="dxa"/>
            <w:shd w:val="clear" w:color="auto" w:fill="auto"/>
            <w:tcMar>
              <w:top w:w="0" w:type="dxa"/>
              <w:left w:w="57" w:type="dxa"/>
              <w:bottom w:w="0" w:type="dxa"/>
              <w:right w:w="57" w:type="dxa"/>
            </w:tcMar>
            <w:vAlign w:val="center"/>
          </w:tcPr>
          <w:p w:rsidR="0022069A" w:rsidRPr="005911E2" w:rsidRDefault="00136CFE" w:rsidP="0022069A">
            <w:pPr>
              <w:pStyle w:val="TableText"/>
              <w:jc w:val="right"/>
              <w:rPr>
                <w:szCs w:val="18"/>
              </w:rPr>
            </w:pPr>
            <w:r>
              <w:rPr>
                <w:szCs w:val="18"/>
              </w:rPr>
              <w:t>3</w:t>
            </w:r>
          </w:p>
        </w:tc>
        <w:tc>
          <w:tcPr>
            <w:tcW w:w="709" w:type="dxa"/>
            <w:shd w:val="clear" w:color="auto" w:fill="auto"/>
            <w:tcMar>
              <w:top w:w="0" w:type="dxa"/>
              <w:left w:w="57" w:type="dxa"/>
              <w:bottom w:w="0" w:type="dxa"/>
              <w:right w:w="57" w:type="dxa"/>
            </w:tcMar>
            <w:vAlign w:val="center"/>
          </w:tcPr>
          <w:p w:rsidR="0022069A" w:rsidRPr="005911E2" w:rsidRDefault="00136CFE" w:rsidP="0022069A">
            <w:pPr>
              <w:pStyle w:val="TableText"/>
              <w:jc w:val="right"/>
              <w:rPr>
                <w:szCs w:val="18"/>
              </w:rPr>
            </w:pPr>
            <w:r>
              <w:rPr>
                <w:szCs w:val="18"/>
              </w:rPr>
              <w:t>3</w:t>
            </w:r>
          </w:p>
        </w:tc>
        <w:tc>
          <w:tcPr>
            <w:tcW w:w="850" w:type="dxa"/>
            <w:shd w:val="clear" w:color="auto" w:fill="auto"/>
            <w:tcMar>
              <w:top w:w="0" w:type="dxa"/>
              <w:left w:w="57" w:type="dxa"/>
              <w:bottom w:w="0" w:type="dxa"/>
              <w:right w:w="57" w:type="dxa"/>
            </w:tcMar>
            <w:vAlign w:val="center"/>
          </w:tcPr>
          <w:p w:rsidR="0022069A" w:rsidRPr="005911E2" w:rsidRDefault="0022069A" w:rsidP="0022069A">
            <w:pPr>
              <w:pStyle w:val="TableText"/>
              <w:jc w:val="right"/>
              <w:rPr>
                <w:szCs w:val="18"/>
              </w:rPr>
            </w:pPr>
            <w:r w:rsidRPr="005911E2">
              <w:rPr>
                <w:szCs w:val="18"/>
              </w:rPr>
              <w:t>140</w:t>
            </w:r>
          </w:p>
        </w:tc>
        <w:tc>
          <w:tcPr>
            <w:tcW w:w="992" w:type="dxa"/>
            <w:shd w:val="clear" w:color="auto" w:fill="auto"/>
            <w:tcMar>
              <w:top w:w="0" w:type="dxa"/>
              <w:left w:w="57" w:type="dxa"/>
              <w:bottom w:w="0" w:type="dxa"/>
              <w:right w:w="57" w:type="dxa"/>
            </w:tcMar>
            <w:vAlign w:val="center"/>
          </w:tcPr>
          <w:p w:rsidR="0022069A" w:rsidRPr="005911E2" w:rsidRDefault="0022069A" w:rsidP="0022069A">
            <w:pPr>
              <w:pStyle w:val="TableText"/>
              <w:jc w:val="right"/>
              <w:rPr>
                <w:szCs w:val="18"/>
              </w:rPr>
            </w:pPr>
            <w:r w:rsidRPr="005911E2">
              <w:rPr>
                <w:szCs w:val="18"/>
              </w:rPr>
              <w:t>20</w:t>
            </w:r>
          </w:p>
        </w:tc>
        <w:tc>
          <w:tcPr>
            <w:tcW w:w="851" w:type="dxa"/>
            <w:shd w:val="clear" w:color="auto" w:fill="auto"/>
            <w:tcMar>
              <w:top w:w="0" w:type="dxa"/>
              <w:left w:w="57" w:type="dxa"/>
              <w:bottom w:w="0" w:type="dxa"/>
              <w:right w:w="57" w:type="dxa"/>
            </w:tcMar>
            <w:vAlign w:val="center"/>
          </w:tcPr>
          <w:p w:rsidR="0022069A" w:rsidRPr="005911E2" w:rsidRDefault="0022069A" w:rsidP="000238F6">
            <w:pPr>
              <w:pStyle w:val="TableText"/>
              <w:jc w:val="right"/>
              <w:rPr>
                <w:szCs w:val="18"/>
              </w:rPr>
            </w:pPr>
            <w:r w:rsidRPr="005911E2">
              <w:rPr>
                <w:szCs w:val="18"/>
              </w:rPr>
              <w:t>15</w:t>
            </w:r>
            <w:r w:rsidR="001B4FC7">
              <w:rPr>
                <w:szCs w:val="18"/>
              </w:rPr>
              <w:t> </w:t>
            </w:r>
            <w:r w:rsidRPr="005911E2">
              <w:rPr>
                <w:szCs w:val="18"/>
              </w:rPr>
              <w:t>357</w:t>
            </w:r>
          </w:p>
        </w:tc>
        <w:tc>
          <w:tcPr>
            <w:tcW w:w="992" w:type="dxa"/>
            <w:shd w:val="clear" w:color="auto" w:fill="auto"/>
            <w:tcMar>
              <w:top w:w="0" w:type="dxa"/>
              <w:left w:w="57" w:type="dxa"/>
              <w:bottom w:w="0" w:type="dxa"/>
              <w:right w:w="57" w:type="dxa"/>
            </w:tcMar>
            <w:vAlign w:val="center"/>
          </w:tcPr>
          <w:p w:rsidR="0022069A" w:rsidRPr="005911E2" w:rsidRDefault="0022069A" w:rsidP="000238F6">
            <w:pPr>
              <w:pStyle w:val="TableText"/>
              <w:jc w:val="right"/>
              <w:rPr>
                <w:szCs w:val="18"/>
              </w:rPr>
            </w:pPr>
            <w:r w:rsidRPr="005911E2">
              <w:rPr>
                <w:szCs w:val="18"/>
              </w:rPr>
              <w:t>5</w:t>
            </w:r>
            <w:r w:rsidR="001B4FC7">
              <w:rPr>
                <w:szCs w:val="18"/>
              </w:rPr>
              <w:t> </w:t>
            </w:r>
            <w:r w:rsidRPr="005911E2">
              <w:rPr>
                <w:szCs w:val="18"/>
              </w:rPr>
              <w:t>002</w:t>
            </w:r>
          </w:p>
        </w:tc>
        <w:tc>
          <w:tcPr>
            <w:tcW w:w="856" w:type="dxa"/>
            <w:shd w:val="clear" w:color="auto" w:fill="auto"/>
            <w:tcMar>
              <w:top w:w="0" w:type="dxa"/>
              <w:left w:w="57" w:type="dxa"/>
              <w:bottom w:w="0" w:type="dxa"/>
              <w:right w:w="57" w:type="dxa"/>
            </w:tcMar>
            <w:vAlign w:val="center"/>
          </w:tcPr>
          <w:p w:rsidR="0022069A" w:rsidRPr="005911E2" w:rsidRDefault="0022069A" w:rsidP="000238F6">
            <w:pPr>
              <w:pStyle w:val="TableText"/>
              <w:jc w:val="right"/>
              <w:rPr>
                <w:szCs w:val="18"/>
              </w:rPr>
            </w:pPr>
            <w:r w:rsidRPr="005911E2">
              <w:rPr>
                <w:szCs w:val="18"/>
              </w:rPr>
              <w:t>22</w:t>
            </w:r>
            <w:r w:rsidR="001B4FC7">
              <w:rPr>
                <w:szCs w:val="18"/>
              </w:rPr>
              <w:t> </w:t>
            </w:r>
            <w:r w:rsidRPr="005911E2">
              <w:rPr>
                <w:szCs w:val="18"/>
              </w:rPr>
              <w:t>515</w:t>
            </w:r>
          </w:p>
        </w:tc>
      </w:tr>
      <w:tr w:rsidR="00A75ABE" w:rsidRPr="005911E2" w:rsidTr="00943DCB">
        <w:trPr>
          <w:jc w:val="right"/>
        </w:trPr>
        <w:tc>
          <w:tcPr>
            <w:tcW w:w="1559" w:type="dxa"/>
            <w:tcBorders>
              <w:bottom w:val="single" w:sz="4" w:space="0" w:color="auto"/>
            </w:tcBorders>
            <w:tcMar>
              <w:top w:w="0" w:type="dxa"/>
              <w:left w:w="57" w:type="dxa"/>
              <w:bottom w:w="0" w:type="dxa"/>
              <w:right w:w="57" w:type="dxa"/>
            </w:tcMar>
            <w:vAlign w:val="center"/>
          </w:tcPr>
          <w:p w:rsidR="0022069A" w:rsidRPr="005911E2" w:rsidRDefault="0022069A" w:rsidP="0022069A">
            <w:pPr>
              <w:pStyle w:val="TableText"/>
              <w:ind w:left="176" w:hanging="176"/>
              <w:rPr>
                <w:szCs w:val="18"/>
              </w:rPr>
            </w:pPr>
            <w:r w:rsidRPr="005911E2">
              <w:rPr>
                <w:szCs w:val="18"/>
              </w:rPr>
              <w:t>Not in receipt of income support</w:t>
            </w:r>
          </w:p>
        </w:tc>
        <w:tc>
          <w:tcPr>
            <w:tcW w:w="850" w:type="dxa"/>
            <w:tcBorders>
              <w:bottom w:val="single" w:sz="4" w:space="0" w:color="auto"/>
            </w:tcBorders>
            <w:tcMar>
              <w:top w:w="0" w:type="dxa"/>
              <w:left w:w="57" w:type="dxa"/>
              <w:bottom w:w="0" w:type="dxa"/>
              <w:right w:w="57" w:type="dxa"/>
            </w:tcMar>
            <w:vAlign w:val="center"/>
          </w:tcPr>
          <w:p w:rsidR="0022069A" w:rsidRPr="005911E2" w:rsidRDefault="0022069A" w:rsidP="000238F6">
            <w:pPr>
              <w:pStyle w:val="TableText"/>
              <w:jc w:val="right"/>
              <w:rPr>
                <w:szCs w:val="18"/>
              </w:rPr>
            </w:pPr>
            <w:r w:rsidRPr="005911E2">
              <w:rPr>
                <w:szCs w:val="18"/>
              </w:rPr>
              <w:t>1</w:t>
            </w:r>
            <w:r w:rsidR="001B4FC7">
              <w:rPr>
                <w:szCs w:val="18"/>
              </w:rPr>
              <w:t> </w:t>
            </w:r>
            <w:r w:rsidRPr="005911E2">
              <w:rPr>
                <w:szCs w:val="18"/>
              </w:rPr>
              <w:t>048</w:t>
            </w:r>
          </w:p>
        </w:tc>
        <w:tc>
          <w:tcPr>
            <w:tcW w:w="851" w:type="dxa"/>
            <w:tcBorders>
              <w:bottom w:val="single" w:sz="4" w:space="0" w:color="auto"/>
            </w:tcBorders>
            <w:shd w:val="clear" w:color="auto" w:fill="auto"/>
            <w:tcMar>
              <w:top w:w="0" w:type="dxa"/>
              <w:left w:w="57" w:type="dxa"/>
              <w:bottom w:w="0" w:type="dxa"/>
              <w:right w:w="57" w:type="dxa"/>
            </w:tcMar>
            <w:vAlign w:val="center"/>
          </w:tcPr>
          <w:p w:rsidR="0022069A" w:rsidRPr="005911E2" w:rsidRDefault="00136CFE" w:rsidP="0022069A">
            <w:pPr>
              <w:pStyle w:val="TableText"/>
              <w:jc w:val="right"/>
              <w:rPr>
                <w:szCs w:val="18"/>
              </w:rPr>
            </w:pPr>
            <w:r>
              <w:rPr>
                <w:szCs w:val="18"/>
              </w:rPr>
              <w:t>1</w:t>
            </w:r>
          </w:p>
        </w:tc>
        <w:tc>
          <w:tcPr>
            <w:tcW w:w="709" w:type="dxa"/>
            <w:tcBorders>
              <w:bottom w:val="single" w:sz="4" w:space="0" w:color="auto"/>
            </w:tcBorders>
            <w:shd w:val="clear" w:color="auto" w:fill="auto"/>
            <w:tcMar>
              <w:top w:w="0" w:type="dxa"/>
              <w:left w:w="57" w:type="dxa"/>
              <w:bottom w:w="0" w:type="dxa"/>
              <w:right w:w="57" w:type="dxa"/>
            </w:tcMar>
            <w:vAlign w:val="center"/>
          </w:tcPr>
          <w:p w:rsidR="0022069A" w:rsidRPr="005911E2" w:rsidRDefault="00136CFE" w:rsidP="0022069A">
            <w:pPr>
              <w:pStyle w:val="TableText"/>
              <w:jc w:val="right"/>
              <w:rPr>
                <w:szCs w:val="18"/>
              </w:rPr>
            </w:pPr>
            <w:r>
              <w:rPr>
                <w:szCs w:val="18"/>
              </w:rPr>
              <w:t>2</w:t>
            </w:r>
          </w:p>
        </w:tc>
        <w:tc>
          <w:tcPr>
            <w:tcW w:w="850" w:type="dxa"/>
            <w:tcBorders>
              <w:bottom w:val="single" w:sz="4" w:space="0" w:color="auto"/>
            </w:tcBorders>
            <w:shd w:val="clear" w:color="auto" w:fill="auto"/>
            <w:tcMar>
              <w:top w:w="0" w:type="dxa"/>
              <w:left w:w="57" w:type="dxa"/>
              <w:bottom w:w="0" w:type="dxa"/>
              <w:right w:w="57" w:type="dxa"/>
            </w:tcMar>
            <w:vAlign w:val="center"/>
          </w:tcPr>
          <w:p w:rsidR="0022069A" w:rsidRPr="005911E2" w:rsidRDefault="0022069A" w:rsidP="0022069A">
            <w:pPr>
              <w:pStyle w:val="TableText"/>
              <w:jc w:val="right"/>
              <w:rPr>
                <w:szCs w:val="18"/>
              </w:rPr>
            </w:pPr>
            <w:r w:rsidRPr="005911E2">
              <w:rPr>
                <w:szCs w:val="18"/>
              </w:rPr>
              <w:t>218</w:t>
            </w:r>
          </w:p>
        </w:tc>
        <w:tc>
          <w:tcPr>
            <w:tcW w:w="992" w:type="dxa"/>
            <w:tcBorders>
              <w:bottom w:val="single" w:sz="4" w:space="0" w:color="auto"/>
            </w:tcBorders>
            <w:shd w:val="clear" w:color="auto" w:fill="auto"/>
            <w:tcMar>
              <w:top w:w="0" w:type="dxa"/>
              <w:left w:w="57" w:type="dxa"/>
              <w:bottom w:w="0" w:type="dxa"/>
              <w:right w:w="57" w:type="dxa"/>
            </w:tcMar>
            <w:vAlign w:val="center"/>
          </w:tcPr>
          <w:p w:rsidR="0022069A" w:rsidRPr="005911E2" w:rsidRDefault="0022069A" w:rsidP="0022069A">
            <w:pPr>
              <w:pStyle w:val="TableText"/>
              <w:jc w:val="right"/>
              <w:rPr>
                <w:szCs w:val="18"/>
              </w:rPr>
            </w:pPr>
            <w:r w:rsidRPr="005911E2">
              <w:rPr>
                <w:szCs w:val="18"/>
              </w:rPr>
              <w:t>9</w:t>
            </w:r>
          </w:p>
        </w:tc>
        <w:tc>
          <w:tcPr>
            <w:tcW w:w="851" w:type="dxa"/>
            <w:tcBorders>
              <w:bottom w:val="single" w:sz="4" w:space="0" w:color="auto"/>
            </w:tcBorders>
            <w:shd w:val="clear" w:color="auto" w:fill="auto"/>
            <w:tcMar>
              <w:top w:w="0" w:type="dxa"/>
              <w:left w:w="57" w:type="dxa"/>
              <w:bottom w:w="0" w:type="dxa"/>
              <w:right w:w="57" w:type="dxa"/>
            </w:tcMar>
            <w:vAlign w:val="center"/>
          </w:tcPr>
          <w:p w:rsidR="0022069A" w:rsidRPr="005911E2" w:rsidRDefault="0022069A" w:rsidP="000238F6">
            <w:pPr>
              <w:pStyle w:val="TableText"/>
              <w:jc w:val="right"/>
              <w:rPr>
                <w:szCs w:val="18"/>
              </w:rPr>
            </w:pPr>
            <w:r w:rsidRPr="005911E2">
              <w:rPr>
                <w:szCs w:val="18"/>
              </w:rPr>
              <w:t>5</w:t>
            </w:r>
            <w:r w:rsidR="001B4FC7">
              <w:rPr>
                <w:szCs w:val="18"/>
              </w:rPr>
              <w:t> </w:t>
            </w:r>
            <w:r w:rsidRPr="005911E2">
              <w:rPr>
                <w:szCs w:val="18"/>
              </w:rPr>
              <w:t>111</w:t>
            </w:r>
          </w:p>
        </w:tc>
        <w:tc>
          <w:tcPr>
            <w:tcW w:w="992" w:type="dxa"/>
            <w:tcBorders>
              <w:bottom w:val="single" w:sz="4" w:space="0" w:color="auto"/>
            </w:tcBorders>
            <w:shd w:val="clear" w:color="auto" w:fill="auto"/>
            <w:tcMar>
              <w:top w:w="0" w:type="dxa"/>
              <w:left w:w="57" w:type="dxa"/>
              <w:bottom w:w="0" w:type="dxa"/>
              <w:right w:w="57" w:type="dxa"/>
            </w:tcMar>
            <w:vAlign w:val="center"/>
          </w:tcPr>
          <w:p w:rsidR="0022069A" w:rsidRPr="005911E2" w:rsidRDefault="0022069A" w:rsidP="0022069A">
            <w:pPr>
              <w:pStyle w:val="TableText"/>
              <w:jc w:val="right"/>
              <w:rPr>
                <w:szCs w:val="18"/>
              </w:rPr>
            </w:pPr>
            <w:r w:rsidRPr="005911E2">
              <w:rPr>
                <w:szCs w:val="18"/>
              </w:rPr>
              <w:t>na</w:t>
            </w:r>
          </w:p>
        </w:tc>
        <w:tc>
          <w:tcPr>
            <w:tcW w:w="856" w:type="dxa"/>
            <w:tcBorders>
              <w:bottom w:val="single" w:sz="4" w:space="0" w:color="auto"/>
            </w:tcBorders>
            <w:shd w:val="clear" w:color="auto" w:fill="auto"/>
            <w:tcMar>
              <w:top w:w="0" w:type="dxa"/>
              <w:left w:w="57" w:type="dxa"/>
              <w:bottom w:w="0" w:type="dxa"/>
              <w:right w:w="57" w:type="dxa"/>
            </w:tcMar>
            <w:vAlign w:val="center"/>
          </w:tcPr>
          <w:p w:rsidR="0022069A" w:rsidRPr="005911E2" w:rsidRDefault="0022069A" w:rsidP="000238F6">
            <w:pPr>
              <w:pStyle w:val="TableText"/>
              <w:jc w:val="right"/>
              <w:rPr>
                <w:szCs w:val="18"/>
              </w:rPr>
            </w:pPr>
            <w:r w:rsidRPr="005911E2">
              <w:rPr>
                <w:szCs w:val="18"/>
              </w:rPr>
              <w:t>6</w:t>
            </w:r>
            <w:r w:rsidR="001B4FC7">
              <w:rPr>
                <w:szCs w:val="18"/>
              </w:rPr>
              <w:t> </w:t>
            </w:r>
            <w:r w:rsidRPr="005911E2">
              <w:rPr>
                <w:szCs w:val="18"/>
              </w:rPr>
              <w:t>389</w:t>
            </w:r>
          </w:p>
        </w:tc>
      </w:tr>
      <w:tr w:rsidR="00A75ABE" w:rsidRPr="005911E2" w:rsidTr="00943DCB">
        <w:trPr>
          <w:jc w:val="right"/>
        </w:trPr>
        <w:tc>
          <w:tcPr>
            <w:tcW w:w="1559" w:type="dxa"/>
            <w:tcBorders>
              <w:top w:val="single" w:sz="4" w:space="0" w:color="auto"/>
              <w:bottom w:val="single" w:sz="4" w:space="0" w:color="auto"/>
            </w:tcBorders>
            <w:tcMar>
              <w:top w:w="0" w:type="dxa"/>
              <w:left w:w="57" w:type="dxa"/>
              <w:bottom w:w="0" w:type="dxa"/>
              <w:right w:w="57" w:type="dxa"/>
            </w:tcMar>
            <w:vAlign w:val="center"/>
          </w:tcPr>
          <w:p w:rsidR="0022069A" w:rsidRPr="005911E2" w:rsidRDefault="0022069A" w:rsidP="0022069A">
            <w:pPr>
              <w:pStyle w:val="TableText"/>
              <w:rPr>
                <w:szCs w:val="18"/>
              </w:rPr>
            </w:pPr>
            <w:r w:rsidRPr="005911E2">
              <w:rPr>
                <w:szCs w:val="18"/>
              </w:rPr>
              <w:t>All</w:t>
            </w:r>
          </w:p>
        </w:tc>
        <w:tc>
          <w:tcPr>
            <w:tcW w:w="850" w:type="dxa"/>
            <w:tcBorders>
              <w:top w:val="single" w:sz="4" w:space="0" w:color="auto"/>
              <w:bottom w:val="single" w:sz="4" w:space="0" w:color="auto"/>
            </w:tcBorders>
            <w:tcMar>
              <w:top w:w="0" w:type="dxa"/>
              <w:left w:w="57" w:type="dxa"/>
              <w:bottom w:w="0" w:type="dxa"/>
              <w:right w:w="57" w:type="dxa"/>
            </w:tcMar>
            <w:vAlign w:val="center"/>
          </w:tcPr>
          <w:p w:rsidR="0022069A" w:rsidRPr="005911E2" w:rsidRDefault="0022069A" w:rsidP="000238F6">
            <w:pPr>
              <w:pStyle w:val="TableText"/>
              <w:jc w:val="right"/>
              <w:rPr>
                <w:szCs w:val="18"/>
              </w:rPr>
            </w:pPr>
            <w:r w:rsidRPr="005911E2">
              <w:rPr>
                <w:szCs w:val="18"/>
              </w:rPr>
              <w:t>10</w:t>
            </w:r>
            <w:r w:rsidR="001B4FC7">
              <w:rPr>
                <w:szCs w:val="18"/>
              </w:rPr>
              <w:t> </w:t>
            </w:r>
            <w:r w:rsidRPr="005911E2">
              <w:rPr>
                <w:szCs w:val="18"/>
              </w:rPr>
              <w:t>971</w:t>
            </w:r>
          </w:p>
        </w:tc>
        <w:tc>
          <w:tcPr>
            <w:tcW w:w="851" w:type="dxa"/>
            <w:tcBorders>
              <w:top w:val="single" w:sz="4" w:space="0" w:color="auto"/>
              <w:bottom w:val="single" w:sz="4" w:space="0" w:color="auto"/>
            </w:tcBorders>
            <w:shd w:val="clear" w:color="auto" w:fill="auto"/>
            <w:tcMar>
              <w:top w:w="0" w:type="dxa"/>
              <w:left w:w="57" w:type="dxa"/>
              <w:bottom w:w="0" w:type="dxa"/>
              <w:right w:w="57" w:type="dxa"/>
            </w:tcMar>
            <w:vAlign w:val="center"/>
          </w:tcPr>
          <w:p w:rsidR="0022069A" w:rsidRPr="005911E2" w:rsidRDefault="0022069A" w:rsidP="0022069A">
            <w:pPr>
              <w:pStyle w:val="TableText"/>
              <w:jc w:val="right"/>
              <w:rPr>
                <w:szCs w:val="18"/>
              </w:rPr>
            </w:pPr>
            <w:r w:rsidRPr="005911E2">
              <w:rPr>
                <w:szCs w:val="18"/>
              </w:rPr>
              <w:t>7</w:t>
            </w:r>
          </w:p>
        </w:tc>
        <w:tc>
          <w:tcPr>
            <w:tcW w:w="709" w:type="dxa"/>
            <w:tcBorders>
              <w:top w:val="single" w:sz="4" w:space="0" w:color="auto"/>
              <w:bottom w:val="single" w:sz="4" w:space="0" w:color="auto"/>
            </w:tcBorders>
            <w:shd w:val="clear" w:color="auto" w:fill="auto"/>
            <w:tcMar>
              <w:top w:w="0" w:type="dxa"/>
              <w:left w:w="57" w:type="dxa"/>
              <w:bottom w:w="0" w:type="dxa"/>
              <w:right w:w="57" w:type="dxa"/>
            </w:tcMar>
            <w:vAlign w:val="center"/>
          </w:tcPr>
          <w:p w:rsidR="0022069A" w:rsidRPr="005911E2" w:rsidRDefault="0022069A" w:rsidP="0022069A">
            <w:pPr>
              <w:pStyle w:val="TableText"/>
              <w:jc w:val="right"/>
              <w:rPr>
                <w:szCs w:val="18"/>
              </w:rPr>
            </w:pPr>
            <w:r w:rsidRPr="005911E2">
              <w:rPr>
                <w:szCs w:val="18"/>
              </w:rPr>
              <w:t>118</w:t>
            </w:r>
          </w:p>
        </w:tc>
        <w:tc>
          <w:tcPr>
            <w:tcW w:w="850" w:type="dxa"/>
            <w:tcBorders>
              <w:top w:val="single" w:sz="4" w:space="0" w:color="auto"/>
              <w:bottom w:val="single" w:sz="4" w:space="0" w:color="auto"/>
            </w:tcBorders>
            <w:shd w:val="clear" w:color="auto" w:fill="auto"/>
            <w:tcMar>
              <w:top w:w="0" w:type="dxa"/>
              <w:left w:w="57" w:type="dxa"/>
              <w:bottom w:w="0" w:type="dxa"/>
              <w:right w:w="57" w:type="dxa"/>
            </w:tcMar>
            <w:vAlign w:val="center"/>
          </w:tcPr>
          <w:p w:rsidR="0022069A" w:rsidRPr="005911E2" w:rsidRDefault="0022069A" w:rsidP="0022069A">
            <w:pPr>
              <w:pStyle w:val="TableText"/>
              <w:jc w:val="right"/>
              <w:rPr>
                <w:szCs w:val="18"/>
              </w:rPr>
            </w:pPr>
            <w:r w:rsidRPr="005911E2">
              <w:rPr>
                <w:szCs w:val="18"/>
              </w:rPr>
              <w:t>4</w:t>
            </w:r>
            <w:r w:rsidR="001B4FC7">
              <w:rPr>
                <w:szCs w:val="18"/>
              </w:rPr>
              <w:t> </w:t>
            </w:r>
            <w:r w:rsidRPr="005911E2">
              <w:rPr>
                <w:szCs w:val="18"/>
              </w:rPr>
              <w:t>567</w:t>
            </w:r>
          </w:p>
        </w:tc>
        <w:tc>
          <w:tcPr>
            <w:tcW w:w="992" w:type="dxa"/>
            <w:tcBorders>
              <w:top w:val="single" w:sz="4" w:space="0" w:color="auto"/>
              <w:bottom w:val="single" w:sz="4" w:space="0" w:color="auto"/>
            </w:tcBorders>
            <w:shd w:val="clear" w:color="auto" w:fill="auto"/>
            <w:tcMar>
              <w:top w:w="0" w:type="dxa"/>
              <w:left w:w="57" w:type="dxa"/>
              <w:bottom w:w="0" w:type="dxa"/>
              <w:right w:w="57" w:type="dxa"/>
            </w:tcMar>
            <w:vAlign w:val="center"/>
          </w:tcPr>
          <w:p w:rsidR="0022069A" w:rsidRPr="005911E2" w:rsidRDefault="0022069A" w:rsidP="0022069A">
            <w:pPr>
              <w:pStyle w:val="TableText"/>
              <w:jc w:val="right"/>
              <w:rPr>
                <w:szCs w:val="18"/>
              </w:rPr>
            </w:pPr>
            <w:r w:rsidRPr="005911E2">
              <w:rPr>
                <w:szCs w:val="18"/>
              </w:rPr>
              <w:t>207</w:t>
            </w:r>
          </w:p>
        </w:tc>
        <w:tc>
          <w:tcPr>
            <w:tcW w:w="851" w:type="dxa"/>
            <w:tcBorders>
              <w:top w:val="single" w:sz="4" w:space="0" w:color="auto"/>
              <w:bottom w:val="single" w:sz="4" w:space="0" w:color="auto"/>
            </w:tcBorders>
            <w:shd w:val="clear" w:color="auto" w:fill="auto"/>
            <w:tcMar>
              <w:top w:w="0" w:type="dxa"/>
              <w:left w:w="57" w:type="dxa"/>
              <w:bottom w:w="0" w:type="dxa"/>
              <w:right w:w="57" w:type="dxa"/>
            </w:tcMar>
            <w:vAlign w:val="center"/>
          </w:tcPr>
          <w:p w:rsidR="0022069A" w:rsidRPr="005911E2" w:rsidRDefault="0022069A" w:rsidP="000238F6">
            <w:pPr>
              <w:pStyle w:val="TableText"/>
              <w:jc w:val="right"/>
              <w:rPr>
                <w:szCs w:val="18"/>
              </w:rPr>
            </w:pPr>
            <w:r w:rsidRPr="005911E2">
              <w:rPr>
                <w:szCs w:val="18"/>
              </w:rPr>
              <w:t>22</w:t>
            </w:r>
            <w:r w:rsidR="001B4FC7">
              <w:rPr>
                <w:szCs w:val="18"/>
              </w:rPr>
              <w:t> </w:t>
            </w:r>
            <w:r w:rsidRPr="005911E2">
              <w:rPr>
                <w:szCs w:val="18"/>
              </w:rPr>
              <w:t>872</w:t>
            </w:r>
          </w:p>
        </w:tc>
        <w:tc>
          <w:tcPr>
            <w:tcW w:w="992" w:type="dxa"/>
            <w:tcBorders>
              <w:top w:val="single" w:sz="4" w:space="0" w:color="auto"/>
              <w:bottom w:val="single" w:sz="4" w:space="0" w:color="auto"/>
            </w:tcBorders>
            <w:shd w:val="clear" w:color="auto" w:fill="auto"/>
            <w:tcMar>
              <w:top w:w="0" w:type="dxa"/>
              <w:left w:w="57" w:type="dxa"/>
              <w:bottom w:w="0" w:type="dxa"/>
              <w:right w:w="57" w:type="dxa"/>
            </w:tcMar>
            <w:vAlign w:val="center"/>
          </w:tcPr>
          <w:p w:rsidR="0022069A" w:rsidRPr="005911E2" w:rsidRDefault="0022069A" w:rsidP="000238F6">
            <w:pPr>
              <w:pStyle w:val="TableText"/>
              <w:jc w:val="right"/>
              <w:rPr>
                <w:szCs w:val="18"/>
              </w:rPr>
            </w:pPr>
            <w:r w:rsidRPr="005911E2">
              <w:rPr>
                <w:szCs w:val="18"/>
              </w:rPr>
              <w:t>6</w:t>
            </w:r>
            <w:r w:rsidR="001B4FC7">
              <w:rPr>
                <w:szCs w:val="18"/>
              </w:rPr>
              <w:t> </w:t>
            </w:r>
            <w:r w:rsidRPr="005911E2">
              <w:rPr>
                <w:szCs w:val="18"/>
              </w:rPr>
              <w:t>888</w:t>
            </w:r>
          </w:p>
        </w:tc>
        <w:tc>
          <w:tcPr>
            <w:tcW w:w="856" w:type="dxa"/>
            <w:tcBorders>
              <w:top w:val="single" w:sz="4" w:space="0" w:color="auto"/>
              <w:bottom w:val="single" w:sz="4" w:space="0" w:color="auto"/>
            </w:tcBorders>
            <w:shd w:val="clear" w:color="auto" w:fill="auto"/>
            <w:tcMar>
              <w:top w:w="0" w:type="dxa"/>
              <w:left w:w="57" w:type="dxa"/>
              <w:bottom w:w="0" w:type="dxa"/>
              <w:right w:w="57" w:type="dxa"/>
            </w:tcMar>
            <w:vAlign w:val="center"/>
          </w:tcPr>
          <w:p w:rsidR="0022069A" w:rsidRPr="005911E2" w:rsidRDefault="0022069A" w:rsidP="000238F6">
            <w:pPr>
              <w:pStyle w:val="TableText"/>
              <w:jc w:val="right"/>
              <w:rPr>
                <w:szCs w:val="18"/>
              </w:rPr>
            </w:pPr>
            <w:r w:rsidRPr="005911E2">
              <w:rPr>
                <w:szCs w:val="18"/>
              </w:rPr>
              <w:t>45</w:t>
            </w:r>
            <w:r w:rsidR="001B4FC7">
              <w:rPr>
                <w:szCs w:val="18"/>
              </w:rPr>
              <w:t> </w:t>
            </w:r>
            <w:r w:rsidRPr="005911E2">
              <w:rPr>
                <w:szCs w:val="18"/>
              </w:rPr>
              <w:t>630</w:t>
            </w:r>
          </w:p>
        </w:tc>
      </w:tr>
    </w:tbl>
    <w:p w:rsidR="00430C33" w:rsidRPr="001B4FC7" w:rsidRDefault="001B4FC7" w:rsidP="00CF78DB">
      <w:pPr>
        <w:pStyle w:val="tablefootnotes"/>
      </w:pPr>
      <w:r>
        <w:t>Note:</w:t>
      </w:r>
      <w:r>
        <w:tab/>
      </w:r>
      <w:r w:rsidRPr="001B4FC7">
        <w:t xml:space="preserve">The table excludes </w:t>
      </w:r>
      <w:r w:rsidR="00A259B0">
        <w:t>a small number of people recorded as being</w:t>
      </w:r>
      <w:r w:rsidRPr="001B4FC7">
        <w:t xml:space="preserve"> on Child Protection Income Management and Vulnerable Income Management as at July 2010.</w:t>
      </w:r>
      <w:r w:rsidR="00A259B0">
        <w:rPr>
          <w:rStyle w:val="FootnoteReference"/>
        </w:rPr>
        <w:footnoteReference w:id="45"/>
      </w:r>
    </w:p>
    <w:p w:rsidR="0022069A" w:rsidRPr="001B4FC7" w:rsidRDefault="001B4FC7" w:rsidP="00CF78DB">
      <w:pPr>
        <w:pStyle w:val="tablefootnotes"/>
      </w:pPr>
      <w:r>
        <w:t>Population</w:t>
      </w:r>
      <w:r w:rsidR="0022069A" w:rsidRPr="001B4FC7">
        <w:tab/>
      </w:r>
      <w:r>
        <w:t>People</w:t>
      </w:r>
      <w:r w:rsidR="0022069A" w:rsidRPr="001B4FC7">
        <w:t xml:space="preserve"> receiving income support payments in the</w:t>
      </w:r>
      <w:r w:rsidR="006435C8">
        <w:t xml:space="preserve"> Northern Territory </w:t>
      </w:r>
      <w:r w:rsidR="0022069A" w:rsidRPr="001B4FC7">
        <w:t xml:space="preserve">in either July 2010 or February 2011. </w:t>
      </w:r>
    </w:p>
    <w:p w:rsidR="0022069A" w:rsidRPr="001B4FC7" w:rsidRDefault="0022069A" w:rsidP="00BB14C5">
      <w:pPr>
        <w:pStyle w:val="tablefootnoteslastline"/>
      </w:pPr>
      <w:r w:rsidRPr="001B4FC7">
        <w:t xml:space="preserve">Source: </w:t>
      </w:r>
      <w:r w:rsidRPr="001B4FC7">
        <w:tab/>
        <w:t>Derived from Centrelink data.</w:t>
      </w:r>
    </w:p>
    <w:p w:rsidR="007B4471" w:rsidRPr="005911E2" w:rsidRDefault="007B4471" w:rsidP="007B4471">
      <w:pPr>
        <w:pStyle w:val="BodyText"/>
      </w:pPr>
      <w:r w:rsidRPr="005911E2">
        <w:lastRenderedPageBreak/>
        <w:t>Of the 10</w:t>
      </w:r>
      <w:r>
        <w:t> </w:t>
      </w:r>
      <w:r w:rsidRPr="005911E2">
        <w:t xml:space="preserve">971 people subject to </w:t>
      </w:r>
      <w:r>
        <w:t>Compulsory Income Management</w:t>
      </w:r>
      <w:r w:rsidRPr="005911E2">
        <w:t xml:space="preserve"> in February 2011, most (72 per cent) had previously been managed under the NTER</w:t>
      </w:r>
      <w:r>
        <w:t xml:space="preserve"> IM</w:t>
      </w:r>
      <w:r w:rsidRPr="005911E2">
        <w:t>. Of the balance</w:t>
      </w:r>
      <w:r>
        <w:t>,</w:t>
      </w:r>
      <w:r w:rsidRPr="005911E2">
        <w:t xml:space="preserve"> 1</w:t>
      </w:r>
      <w:r>
        <w:t> </w:t>
      </w:r>
      <w:r w:rsidRPr="005911E2">
        <w:t xml:space="preserve">990 (18 per cent) had previously been receiving </w:t>
      </w:r>
      <w:r>
        <w:t xml:space="preserve">income support </w:t>
      </w:r>
      <w:r w:rsidRPr="005911E2">
        <w:t xml:space="preserve">payments but </w:t>
      </w:r>
      <w:r>
        <w:t xml:space="preserve">were </w:t>
      </w:r>
      <w:r w:rsidRPr="005911E2">
        <w:t>not income managed, and 1</w:t>
      </w:r>
      <w:r>
        <w:t> </w:t>
      </w:r>
      <w:r w:rsidRPr="005911E2">
        <w:t xml:space="preserve">048 (10 per cent) had not previously been receiving </w:t>
      </w:r>
      <w:r>
        <w:t>income support</w:t>
      </w:r>
      <w:r w:rsidRPr="005911E2">
        <w:t xml:space="preserve"> payments. Most (92 per cent) of the people on V</w:t>
      </w:r>
      <w:r>
        <w:t xml:space="preserve">oluntary </w:t>
      </w:r>
      <w:r w:rsidRPr="005911E2">
        <w:t>I</w:t>
      </w:r>
      <w:r>
        <w:t xml:space="preserve">ncome </w:t>
      </w:r>
      <w:r w:rsidRPr="005911E2">
        <w:t>M</w:t>
      </w:r>
      <w:r>
        <w:t>anagement</w:t>
      </w:r>
      <w:r w:rsidRPr="005911E2">
        <w:t xml:space="preserve"> in February 2011 had previously been income managed under the NTER</w:t>
      </w:r>
      <w:r>
        <w:t xml:space="preserve"> IM</w:t>
      </w:r>
      <w:r w:rsidRPr="005911E2">
        <w:t>.</w:t>
      </w:r>
    </w:p>
    <w:p w:rsidR="007B4471" w:rsidRPr="005911E2" w:rsidRDefault="007B4471" w:rsidP="007B4471">
      <w:pPr>
        <w:pStyle w:val="BodyText"/>
      </w:pPr>
      <w:r w:rsidRPr="005911E2">
        <w:t>Around one third (15</w:t>
      </w:r>
      <w:r>
        <w:t> </w:t>
      </w:r>
      <w:r w:rsidRPr="005911E2">
        <w:t xml:space="preserve">357) of the population on income support at either of these points in time were neither on </w:t>
      </w:r>
      <w:r>
        <w:t>income management</w:t>
      </w:r>
      <w:r w:rsidRPr="005911E2">
        <w:t xml:space="preserve"> at the beginning nor the end of the period. In addition</w:t>
      </w:r>
      <w:r>
        <w:t>,</w:t>
      </w:r>
      <w:r w:rsidRPr="005911E2">
        <w:t xml:space="preserve"> there were 2</w:t>
      </w:r>
      <w:r>
        <w:t xml:space="preserve"> </w:t>
      </w:r>
      <w:r w:rsidRPr="005911E2">
        <w:t xml:space="preserve">404 who were on </w:t>
      </w:r>
      <w:r>
        <w:t>income management</w:t>
      </w:r>
      <w:r w:rsidRPr="005911E2">
        <w:t xml:space="preserve"> at the beginning, but not at the end despite being on income support at both times</w:t>
      </w:r>
      <w:r>
        <w:t>;</w:t>
      </w:r>
      <w:r w:rsidRPr="005911E2">
        <w:t xml:space="preserve"> and 2</w:t>
      </w:r>
      <w:r>
        <w:t> </w:t>
      </w:r>
      <w:r w:rsidRPr="005911E2">
        <w:t>156 who were on income support at both times, but in this case</w:t>
      </w:r>
      <w:r>
        <w:t>,</w:t>
      </w:r>
      <w:r w:rsidRPr="005911E2">
        <w:t xml:space="preserve"> while not on </w:t>
      </w:r>
      <w:r>
        <w:t>income management</w:t>
      </w:r>
      <w:r w:rsidRPr="005911E2">
        <w:t xml:space="preserve"> at the beginning of the period</w:t>
      </w:r>
      <w:r>
        <w:t>,</w:t>
      </w:r>
      <w:r w:rsidRPr="005911E2">
        <w:t xml:space="preserve"> were so at the end.</w:t>
      </w:r>
    </w:p>
    <w:p w:rsidR="0022069A" w:rsidRPr="005911E2" w:rsidRDefault="0022069A" w:rsidP="0022069A">
      <w:pPr>
        <w:pStyle w:val="BodyText"/>
      </w:pPr>
      <w:r w:rsidRPr="005911E2">
        <w:t xml:space="preserve">Table </w:t>
      </w:r>
      <w:r w:rsidRPr="005911E2">
        <w:rPr>
          <w:noProof/>
        </w:rPr>
        <w:t>4</w:t>
      </w:r>
      <w:r w:rsidRPr="005911E2">
        <w:noBreakHyphen/>
      </w:r>
      <w:r w:rsidRPr="005911E2">
        <w:rPr>
          <w:noProof/>
        </w:rPr>
        <w:t>3</w:t>
      </w:r>
      <w:r w:rsidRPr="005911E2">
        <w:t xml:space="preserve"> extends the time period of the analysis to October 2011, and as a consequence it considers a slightly larger population of 48</w:t>
      </w:r>
      <w:r w:rsidR="00A75ABE">
        <w:t> </w:t>
      </w:r>
      <w:r w:rsidRPr="005911E2">
        <w:t xml:space="preserve">374 people who were in receipt of income support at either point. Compared with the previous table, the proportion of those who were on the NTER IM in July 2010 who are on </w:t>
      </w:r>
      <w:r w:rsidR="004808B3">
        <w:t>Compulsory Income Management</w:t>
      </w:r>
      <w:r w:rsidRPr="005911E2">
        <w:t xml:space="preserve"> fell slightly from 47 per cent in February 2011 to 44 per cent in October 2011. The proportion of those subject to </w:t>
      </w:r>
      <w:r w:rsidR="004808B3">
        <w:t>Compulsory Income Management</w:t>
      </w:r>
      <w:r w:rsidRPr="005911E2">
        <w:t xml:space="preserve"> who had been on NTER IM fell from 72 per cent in February 2011 to 62 per cent in October 2011. There </w:t>
      </w:r>
      <w:r w:rsidR="00A75ABE">
        <w:t>w</w:t>
      </w:r>
      <w:r w:rsidR="00A75ABE" w:rsidRPr="005911E2">
        <w:t xml:space="preserve">as </w:t>
      </w:r>
      <w:r w:rsidRPr="005911E2">
        <w:t xml:space="preserve">also a small decrease in the number on </w:t>
      </w:r>
      <w:r w:rsidR="002B5A5C">
        <w:t>Voluntary Income Management</w:t>
      </w:r>
      <w:r w:rsidRPr="005911E2">
        <w:t>. Whereas in February 2011</w:t>
      </w:r>
      <w:r w:rsidR="00430C33">
        <w:t>,</w:t>
      </w:r>
      <w:r w:rsidRPr="005911E2">
        <w:t xml:space="preserve"> 25 per cent of those who were on the NTER IM were on </w:t>
      </w:r>
      <w:r w:rsidR="002B5A5C">
        <w:t>Voluntary Income Management</w:t>
      </w:r>
      <w:r w:rsidR="00430C33">
        <w:t>;</w:t>
      </w:r>
      <w:r w:rsidRPr="005911E2">
        <w:t xml:space="preserve"> this </w:t>
      </w:r>
      <w:r w:rsidR="00430C33">
        <w:t>decreased</w:t>
      </w:r>
      <w:r w:rsidR="00430C33" w:rsidRPr="005911E2">
        <w:t xml:space="preserve"> </w:t>
      </w:r>
      <w:r w:rsidRPr="005911E2">
        <w:t>to 23 per cent by October 2011.</w:t>
      </w:r>
    </w:p>
    <w:p w:rsidR="0022069A" w:rsidRPr="005911E2" w:rsidRDefault="0022069A" w:rsidP="0022069A">
      <w:pPr>
        <w:pStyle w:val="tabfighead"/>
      </w:pPr>
      <w:bookmarkStart w:id="268" w:name="_Ref321176688"/>
      <w:bookmarkStart w:id="269" w:name="_Toc321430408"/>
      <w:bookmarkStart w:id="270" w:name="_Toc321761678"/>
      <w:bookmarkStart w:id="271" w:name="_Toc321254527"/>
      <w:bookmarkStart w:id="272" w:name="_Toc328601573"/>
      <w:bookmarkStart w:id="273" w:name="_Toc329051351"/>
      <w:bookmarkStart w:id="274" w:name="_Toc335915839"/>
      <w:r w:rsidRPr="005911E2">
        <w:t xml:space="preserve">Table </w:t>
      </w:r>
      <w:r w:rsidR="00C7347D" w:rsidRPr="005911E2">
        <w:fldChar w:fldCharType="begin"/>
      </w:r>
      <w:r w:rsidR="00435FEB" w:rsidRPr="005911E2">
        <w:instrText xml:space="preserve"> STYLEREF 1 \s </w:instrText>
      </w:r>
      <w:r w:rsidR="00C7347D" w:rsidRPr="005911E2">
        <w:fldChar w:fldCharType="separate"/>
      </w:r>
      <w:r w:rsidR="007D7E45">
        <w:rPr>
          <w:noProof/>
        </w:rPr>
        <w:t>4</w:t>
      </w:r>
      <w:r w:rsidR="00C7347D" w:rsidRPr="005911E2">
        <w:rPr>
          <w:noProof/>
        </w:rPr>
        <w:fldChar w:fldCharType="end"/>
      </w:r>
      <w:r w:rsidRPr="005911E2">
        <w:noBreakHyphen/>
      </w:r>
      <w:r w:rsidR="00C7347D" w:rsidRPr="005911E2">
        <w:fldChar w:fldCharType="begin"/>
      </w:r>
      <w:r w:rsidR="00435FEB" w:rsidRPr="005911E2">
        <w:instrText xml:space="preserve"> SEQ Table \* ARABIC \s 1 </w:instrText>
      </w:r>
      <w:r w:rsidR="00C7347D" w:rsidRPr="005911E2">
        <w:fldChar w:fldCharType="separate"/>
      </w:r>
      <w:r w:rsidR="007D7E45">
        <w:rPr>
          <w:noProof/>
        </w:rPr>
        <w:t>3</w:t>
      </w:r>
      <w:r w:rsidR="00C7347D" w:rsidRPr="005911E2">
        <w:rPr>
          <w:noProof/>
        </w:rPr>
        <w:fldChar w:fldCharType="end"/>
      </w:r>
      <w:bookmarkEnd w:id="268"/>
      <w:r w:rsidRPr="005911E2">
        <w:tab/>
        <w:t xml:space="preserve">People on income support in either July 2010 or October 2011, </w:t>
      </w:r>
      <w:r w:rsidR="00A75ABE">
        <w:t>m</w:t>
      </w:r>
      <w:r w:rsidR="00A75ABE" w:rsidRPr="005911E2">
        <w:t xml:space="preserve">ovement </w:t>
      </w:r>
      <w:r w:rsidRPr="005911E2">
        <w:t xml:space="preserve">between the old and new </w:t>
      </w:r>
      <w:r w:rsidR="00F878E4">
        <w:t>income management</w:t>
      </w:r>
      <w:r w:rsidRPr="005911E2">
        <w:t xml:space="preserve"> programs</w:t>
      </w:r>
      <w:bookmarkEnd w:id="269"/>
      <w:bookmarkEnd w:id="270"/>
      <w:bookmarkEnd w:id="271"/>
      <w:bookmarkEnd w:id="272"/>
      <w:bookmarkEnd w:id="273"/>
      <w:bookmarkEnd w:id="274"/>
    </w:p>
    <w:tbl>
      <w:tblPr>
        <w:tblW w:w="8755" w:type="dxa"/>
        <w:jc w:val="right"/>
        <w:tblLayout w:type="fixed"/>
        <w:tblCellMar>
          <w:top w:w="28" w:type="dxa"/>
          <w:bottom w:w="28" w:type="dxa"/>
        </w:tblCellMar>
        <w:tblLook w:val="04A0" w:firstRow="1" w:lastRow="0" w:firstColumn="1" w:lastColumn="0" w:noHBand="0" w:noVBand="1"/>
      </w:tblPr>
      <w:tblGrid>
        <w:gridCol w:w="1668"/>
        <w:gridCol w:w="1134"/>
        <w:gridCol w:w="1134"/>
        <w:gridCol w:w="935"/>
        <w:gridCol w:w="993"/>
        <w:gridCol w:w="907"/>
        <w:gridCol w:w="1134"/>
        <w:gridCol w:w="850"/>
      </w:tblGrid>
      <w:tr w:rsidR="00943DCB" w:rsidRPr="005911E2" w:rsidTr="00943DCB">
        <w:trPr>
          <w:jc w:val="right"/>
        </w:trPr>
        <w:tc>
          <w:tcPr>
            <w:tcW w:w="1668" w:type="dxa"/>
            <w:vMerge w:val="restart"/>
            <w:tcBorders>
              <w:top w:val="single" w:sz="4" w:space="0" w:color="auto"/>
            </w:tcBorders>
          </w:tcPr>
          <w:p w:rsidR="00943DCB" w:rsidRPr="005911E2" w:rsidRDefault="001721AF" w:rsidP="00943DCB">
            <w:pPr>
              <w:pStyle w:val="TableText"/>
              <w:rPr>
                <w:szCs w:val="18"/>
              </w:rPr>
            </w:pPr>
            <w:r>
              <w:rPr>
                <w:szCs w:val="18"/>
              </w:rPr>
              <w:t xml:space="preserve">Status in July 2010 </w:t>
            </w:r>
            <w:r w:rsidR="00943DCB" w:rsidRPr="005911E2">
              <w:rPr>
                <w:szCs w:val="18"/>
              </w:rPr>
              <w:t xml:space="preserve"> under NTER</w:t>
            </w:r>
          </w:p>
        </w:tc>
        <w:tc>
          <w:tcPr>
            <w:tcW w:w="7087" w:type="dxa"/>
            <w:gridSpan w:val="7"/>
            <w:tcBorders>
              <w:top w:val="single" w:sz="4" w:space="0" w:color="auto"/>
              <w:bottom w:val="single" w:sz="4" w:space="0" w:color="auto"/>
            </w:tcBorders>
          </w:tcPr>
          <w:p w:rsidR="00943DCB" w:rsidRPr="005911E2" w:rsidRDefault="00943DCB" w:rsidP="00A26515">
            <w:pPr>
              <w:pStyle w:val="TableText"/>
              <w:rPr>
                <w:szCs w:val="18"/>
              </w:rPr>
            </w:pPr>
            <w:r w:rsidRPr="005911E2">
              <w:rPr>
                <w:szCs w:val="18"/>
              </w:rPr>
              <w:t>Status in October 2011 under NIM</w:t>
            </w:r>
          </w:p>
        </w:tc>
      </w:tr>
      <w:tr w:rsidR="00943DCB" w:rsidRPr="005911E2" w:rsidTr="00943DCB">
        <w:trPr>
          <w:jc w:val="right"/>
        </w:trPr>
        <w:tc>
          <w:tcPr>
            <w:tcW w:w="1668" w:type="dxa"/>
            <w:vMerge/>
            <w:tcBorders>
              <w:bottom w:val="single" w:sz="4" w:space="0" w:color="auto"/>
            </w:tcBorders>
            <w:vAlign w:val="bottom"/>
          </w:tcPr>
          <w:p w:rsidR="00943DCB" w:rsidRPr="005911E2" w:rsidRDefault="00943DCB" w:rsidP="0022069A">
            <w:pPr>
              <w:pStyle w:val="TableText"/>
              <w:rPr>
                <w:szCs w:val="18"/>
              </w:rPr>
            </w:pPr>
          </w:p>
        </w:tc>
        <w:tc>
          <w:tcPr>
            <w:tcW w:w="1134" w:type="dxa"/>
            <w:tcBorders>
              <w:top w:val="single" w:sz="4" w:space="0" w:color="auto"/>
              <w:bottom w:val="single" w:sz="4" w:space="0" w:color="auto"/>
            </w:tcBorders>
          </w:tcPr>
          <w:p w:rsidR="00943DCB" w:rsidRPr="005911E2" w:rsidRDefault="00943DCB" w:rsidP="0022069A">
            <w:pPr>
              <w:pStyle w:val="TableText"/>
              <w:jc w:val="right"/>
              <w:rPr>
                <w:szCs w:val="18"/>
              </w:rPr>
            </w:pPr>
            <w:r w:rsidRPr="005911E2">
              <w:rPr>
                <w:szCs w:val="18"/>
              </w:rPr>
              <w:t>Compulsory IM</w:t>
            </w:r>
          </w:p>
        </w:tc>
        <w:tc>
          <w:tcPr>
            <w:tcW w:w="1134" w:type="dxa"/>
            <w:tcBorders>
              <w:top w:val="single" w:sz="4" w:space="0" w:color="auto"/>
              <w:bottom w:val="single" w:sz="4" w:space="0" w:color="auto"/>
            </w:tcBorders>
            <w:shd w:val="clear" w:color="auto" w:fill="auto"/>
          </w:tcPr>
          <w:p w:rsidR="00943DCB" w:rsidRPr="005911E2" w:rsidRDefault="00943DCB" w:rsidP="0022069A">
            <w:pPr>
              <w:pStyle w:val="TableText"/>
              <w:jc w:val="right"/>
              <w:rPr>
                <w:szCs w:val="18"/>
              </w:rPr>
            </w:pPr>
            <w:r w:rsidRPr="005911E2">
              <w:rPr>
                <w:szCs w:val="18"/>
              </w:rPr>
              <w:t>Child protection IM</w:t>
            </w:r>
          </w:p>
        </w:tc>
        <w:tc>
          <w:tcPr>
            <w:tcW w:w="935" w:type="dxa"/>
            <w:tcBorders>
              <w:top w:val="single" w:sz="4" w:space="0" w:color="auto"/>
              <w:bottom w:val="single" w:sz="4" w:space="0" w:color="auto"/>
            </w:tcBorders>
            <w:shd w:val="clear" w:color="auto" w:fill="auto"/>
          </w:tcPr>
          <w:p w:rsidR="00943DCB" w:rsidRPr="005911E2" w:rsidRDefault="00943DCB" w:rsidP="0022069A">
            <w:pPr>
              <w:pStyle w:val="TableText"/>
              <w:jc w:val="right"/>
              <w:rPr>
                <w:szCs w:val="18"/>
              </w:rPr>
            </w:pPr>
            <w:r w:rsidRPr="005911E2">
              <w:rPr>
                <w:szCs w:val="18"/>
              </w:rPr>
              <w:t>Voluntary IM</w:t>
            </w:r>
          </w:p>
        </w:tc>
        <w:tc>
          <w:tcPr>
            <w:tcW w:w="993" w:type="dxa"/>
            <w:tcBorders>
              <w:top w:val="single" w:sz="4" w:space="0" w:color="auto"/>
              <w:bottom w:val="single" w:sz="4" w:space="0" w:color="auto"/>
            </w:tcBorders>
            <w:shd w:val="clear" w:color="auto" w:fill="auto"/>
          </w:tcPr>
          <w:p w:rsidR="00943DCB" w:rsidRPr="005911E2" w:rsidRDefault="00943DCB" w:rsidP="0022069A">
            <w:pPr>
              <w:pStyle w:val="TableText"/>
              <w:jc w:val="right"/>
              <w:rPr>
                <w:szCs w:val="18"/>
              </w:rPr>
            </w:pPr>
            <w:r w:rsidRPr="005911E2">
              <w:rPr>
                <w:szCs w:val="18"/>
              </w:rPr>
              <w:t>Vulnerable IM</w:t>
            </w:r>
          </w:p>
        </w:tc>
        <w:tc>
          <w:tcPr>
            <w:tcW w:w="907" w:type="dxa"/>
            <w:tcBorders>
              <w:top w:val="single" w:sz="4" w:space="0" w:color="auto"/>
              <w:bottom w:val="single" w:sz="4" w:space="0" w:color="auto"/>
            </w:tcBorders>
            <w:shd w:val="clear" w:color="auto" w:fill="auto"/>
          </w:tcPr>
          <w:p w:rsidR="00943DCB" w:rsidRPr="005911E2" w:rsidRDefault="00943DCB" w:rsidP="0022069A">
            <w:pPr>
              <w:pStyle w:val="TableText"/>
              <w:jc w:val="right"/>
              <w:rPr>
                <w:szCs w:val="18"/>
              </w:rPr>
            </w:pPr>
            <w:r w:rsidRPr="005911E2">
              <w:rPr>
                <w:szCs w:val="18"/>
              </w:rPr>
              <w:t>Not income managed</w:t>
            </w:r>
          </w:p>
        </w:tc>
        <w:tc>
          <w:tcPr>
            <w:tcW w:w="1134" w:type="dxa"/>
            <w:tcBorders>
              <w:top w:val="single" w:sz="4" w:space="0" w:color="auto"/>
              <w:bottom w:val="single" w:sz="4" w:space="0" w:color="auto"/>
            </w:tcBorders>
            <w:shd w:val="clear" w:color="auto" w:fill="auto"/>
          </w:tcPr>
          <w:p w:rsidR="00943DCB" w:rsidRPr="005911E2" w:rsidRDefault="00943DCB" w:rsidP="0022069A">
            <w:pPr>
              <w:pStyle w:val="TableText"/>
              <w:jc w:val="right"/>
              <w:rPr>
                <w:szCs w:val="18"/>
              </w:rPr>
            </w:pPr>
            <w:r w:rsidRPr="005911E2">
              <w:rPr>
                <w:szCs w:val="18"/>
              </w:rPr>
              <w:t>Not in receipt of income support</w:t>
            </w:r>
          </w:p>
        </w:tc>
        <w:tc>
          <w:tcPr>
            <w:tcW w:w="850" w:type="dxa"/>
            <w:tcBorders>
              <w:top w:val="single" w:sz="4" w:space="0" w:color="auto"/>
              <w:bottom w:val="single" w:sz="4" w:space="0" w:color="auto"/>
            </w:tcBorders>
            <w:shd w:val="clear" w:color="auto" w:fill="auto"/>
          </w:tcPr>
          <w:p w:rsidR="00943DCB" w:rsidRPr="005911E2" w:rsidRDefault="00943DCB" w:rsidP="0022069A">
            <w:pPr>
              <w:pStyle w:val="TableText"/>
              <w:jc w:val="right"/>
              <w:rPr>
                <w:szCs w:val="18"/>
              </w:rPr>
            </w:pPr>
            <w:r w:rsidRPr="005911E2">
              <w:rPr>
                <w:szCs w:val="18"/>
              </w:rPr>
              <w:t>All</w:t>
            </w:r>
          </w:p>
        </w:tc>
      </w:tr>
      <w:tr w:rsidR="0022069A" w:rsidRPr="005911E2" w:rsidTr="00943DCB">
        <w:trPr>
          <w:jc w:val="right"/>
        </w:trPr>
        <w:tc>
          <w:tcPr>
            <w:tcW w:w="1668" w:type="dxa"/>
            <w:tcBorders>
              <w:top w:val="single" w:sz="4" w:space="0" w:color="auto"/>
            </w:tcBorders>
            <w:vAlign w:val="bottom"/>
          </w:tcPr>
          <w:p w:rsidR="0022069A" w:rsidRPr="005911E2" w:rsidRDefault="0022069A" w:rsidP="0022069A">
            <w:pPr>
              <w:pStyle w:val="TableText"/>
              <w:rPr>
                <w:szCs w:val="18"/>
              </w:rPr>
            </w:pPr>
            <w:r w:rsidRPr="005911E2">
              <w:rPr>
                <w:szCs w:val="18"/>
              </w:rPr>
              <w:t>NTER IM</w:t>
            </w:r>
          </w:p>
        </w:tc>
        <w:tc>
          <w:tcPr>
            <w:tcW w:w="1134" w:type="dxa"/>
            <w:tcBorders>
              <w:top w:val="single" w:sz="4" w:space="0" w:color="auto"/>
            </w:tcBorders>
            <w:vAlign w:val="bottom"/>
          </w:tcPr>
          <w:p w:rsidR="0022069A" w:rsidRPr="005911E2" w:rsidRDefault="0022069A" w:rsidP="000238F6">
            <w:pPr>
              <w:pStyle w:val="TableText"/>
              <w:jc w:val="right"/>
              <w:rPr>
                <w:szCs w:val="18"/>
              </w:rPr>
            </w:pPr>
            <w:r w:rsidRPr="005911E2">
              <w:rPr>
                <w:rFonts w:cs="Arial"/>
                <w:color w:val="000000"/>
                <w:szCs w:val="18"/>
                <w:lang w:eastAsia="en-AU" w:bidi="ar-SA"/>
              </w:rPr>
              <w:t>7</w:t>
            </w:r>
            <w:r w:rsidR="001B4FC7">
              <w:rPr>
                <w:rFonts w:cs="Arial"/>
                <w:color w:val="000000"/>
                <w:szCs w:val="18"/>
                <w:lang w:eastAsia="en-AU" w:bidi="ar-SA"/>
              </w:rPr>
              <w:t> </w:t>
            </w:r>
            <w:r w:rsidRPr="005911E2">
              <w:rPr>
                <w:rFonts w:cs="Arial"/>
                <w:color w:val="000000"/>
                <w:szCs w:val="18"/>
                <w:lang w:eastAsia="en-AU" w:bidi="ar-SA"/>
              </w:rPr>
              <w:t>394</w:t>
            </w:r>
          </w:p>
        </w:tc>
        <w:tc>
          <w:tcPr>
            <w:tcW w:w="1134" w:type="dxa"/>
            <w:tcBorders>
              <w:top w:val="single" w:sz="4" w:space="0" w:color="auto"/>
            </w:tcBorders>
            <w:shd w:val="clear" w:color="auto" w:fill="auto"/>
            <w:vAlign w:val="bottom"/>
          </w:tcPr>
          <w:p w:rsidR="0022069A" w:rsidRPr="005911E2" w:rsidRDefault="0022069A" w:rsidP="0022069A">
            <w:pPr>
              <w:pStyle w:val="TableText"/>
              <w:jc w:val="right"/>
              <w:rPr>
                <w:szCs w:val="18"/>
              </w:rPr>
            </w:pPr>
            <w:r w:rsidRPr="005911E2">
              <w:rPr>
                <w:rFonts w:cs="Arial"/>
                <w:color w:val="000000"/>
                <w:szCs w:val="18"/>
                <w:lang w:eastAsia="en-AU" w:bidi="ar-SA"/>
              </w:rPr>
              <w:t>30</w:t>
            </w:r>
          </w:p>
        </w:tc>
        <w:tc>
          <w:tcPr>
            <w:tcW w:w="935" w:type="dxa"/>
            <w:tcBorders>
              <w:top w:val="single" w:sz="4" w:space="0" w:color="auto"/>
            </w:tcBorders>
            <w:shd w:val="clear" w:color="auto" w:fill="auto"/>
            <w:vAlign w:val="bottom"/>
          </w:tcPr>
          <w:p w:rsidR="0022069A" w:rsidRPr="005911E2" w:rsidRDefault="0022069A" w:rsidP="000238F6">
            <w:pPr>
              <w:pStyle w:val="TableText"/>
              <w:jc w:val="right"/>
              <w:rPr>
                <w:szCs w:val="18"/>
              </w:rPr>
            </w:pPr>
            <w:r w:rsidRPr="005911E2">
              <w:rPr>
                <w:rFonts w:cs="Arial"/>
                <w:color w:val="000000"/>
                <w:szCs w:val="18"/>
                <w:lang w:eastAsia="en-AU" w:bidi="ar-SA"/>
              </w:rPr>
              <w:t>3</w:t>
            </w:r>
            <w:r w:rsidR="001B4FC7">
              <w:rPr>
                <w:rFonts w:cs="Arial"/>
                <w:color w:val="000000"/>
                <w:szCs w:val="18"/>
                <w:lang w:eastAsia="en-AU" w:bidi="ar-SA"/>
              </w:rPr>
              <w:t> </w:t>
            </w:r>
            <w:r w:rsidRPr="005911E2">
              <w:rPr>
                <w:rFonts w:cs="Arial"/>
                <w:color w:val="000000"/>
                <w:szCs w:val="18"/>
                <w:lang w:eastAsia="en-AU" w:bidi="ar-SA"/>
              </w:rPr>
              <w:t>778</w:t>
            </w:r>
          </w:p>
        </w:tc>
        <w:tc>
          <w:tcPr>
            <w:tcW w:w="993" w:type="dxa"/>
            <w:tcBorders>
              <w:top w:val="single" w:sz="4" w:space="0" w:color="auto"/>
            </w:tcBorders>
            <w:shd w:val="clear" w:color="auto" w:fill="auto"/>
            <w:vAlign w:val="bottom"/>
          </w:tcPr>
          <w:p w:rsidR="0022069A" w:rsidRPr="005911E2" w:rsidRDefault="0022069A" w:rsidP="0022069A">
            <w:pPr>
              <w:pStyle w:val="TableText"/>
              <w:jc w:val="right"/>
              <w:rPr>
                <w:szCs w:val="18"/>
              </w:rPr>
            </w:pPr>
            <w:r w:rsidRPr="005911E2">
              <w:rPr>
                <w:rFonts w:cs="Arial"/>
                <w:color w:val="000000"/>
                <w:szCs w:val="18"/>
                <w:lang w:eastAsia="en-AU" w:bidi="ar-SA"/>
              </w:rPr>
              <w:t>163</w:t>
            </w:r>
          </w:p>
        </w:tc>
        <w:tc>
          <w:tcPr>
            <w:tcW w:w="907" w:type="dxa"/>
            <w:tcBorders>
              <w:top w:val="single" w:sz="4" w:space="0" w:color="auto"/>
            </w:tcBorders>
            <w:shd w:val="clear" w:color="auto" w:fill="auto"/>
            <w:vAlign w:val="bottom"/>
          </w:tcPr>
          <w:p w:rsidR="0022069A" w:rsidRPr="005911E2" w:rsidRDefault="0022069A" w:rsidP="000238F6">
            <w:pPr>
              <w:pStyle w:val="TableText"/>
              <w:jc w:val="right"/>
              <w:rPr>
                <w:szCs w:val="18"/>
              </w:rPr>
            </w:pPr>
            <w:r w:rsidRPr="005911E2">
              <w:rPr>
                <w:rFonts w:cs="Arial"/>
                <w:color w:val="000000"/>
                <w:szCs w:val="18"/>
                <w:lang w:eastAsia="en-AU" w:bidi="ar-SA"/>
              </w:rPr>
              <w:t>2</w:t>
            </w:r>
            <w:r w:rsidR="001B4FC7">
              <w:rPr>
                <w:rFonts w:cs="Arial"/>
                <w:color w:val="000000"/>
                <w:szCs w:val="18"/>
                <w:lang w:eastAsia="en-AU" w:bidi="ar-SA"/>
              </w:rPr>
              <w:t> </w:t>
            </w:r>
            <w:r w:rsidRPr="005911E2">
              <w:rPr>
                <w:rFonts w:cs="Arial"/>
                <w:color w:val="000000"/>
                <w:szCs w:val="18"/>
                <w:lang w:eastAsia="en-AU" w:bidi="ar-SA"/>
              </w:rPr>
              <w:t>756</w:t>
            </w:r>
          </w:p>
        </w:tc>
        <w:tc>
          <w:tcPr>
            <w:tcW w:w="1134" w:type="dxa"/>
            <w:tcBorders>
              <w:top w:val="single" w:sz="4" w:space="0" w:color="auto"/>
            </w:tcBorders>
            <w:shd w:val="clear" w:color="auto" w:fill="auto"/>
            <w:vAlign w:val="bottom"/>
          </w:tcPr>
          <w:p w:rsidR="0022069A" w:rsidRPr="005911E2" w:rsidRDefault="0022069A" w:rsidP="000238F6">
            <w:pPr>
              <w:pStyle w:val="TableText"/>
              <w:jc w:val="right"/>
              <w:rPr>
                <w:szCs w:val="18"/>
              </w:rPr>
            </w:pPr>
            <w:r w:rsidRPr="005911E2">
              <w:rPr>
                <w:rFonts w:cs="Arial"/>
                <w:color w:val="000000"/>
                <w:szCs w:val="18"/>
                <w:lang w:eastAsia="en-AU" w:bidi="ar-SA"/>
              </w:rPr>
              <w:t>2</w:t>
            </w:r>
            <w:r w:rsidR="001B4FC7">
              <w:rPr>
                <w:rFonts w:cs="Arial"/>
                <w:color w:val="000000"/>
                <w:szCs w:val="18"/>
                <w:lang w:eastAsia="en-AU" w:bidi="ar-SA"/>
              </w:rPr>
              <w:t> </w:t>
            </w:r>
            <w:r w:rsidRPr="005911E2">
              <w:rPr>
                <w:rFonts w:cs="Arial"/>
                <w:color w:val="000000"/>
                <w:szCs w:val="18"/>
                <w:lang w:eastAsia="en-AU" w:bidi="ar-SA"/>
              </w:rPr>
              <w:t>606</w:t>
            </w:r>
          </w:p>
        </w:tc>
        <w:tc>
          <w:tcPr>
            <w:tcW w:w="850" w:type="dxa"/>
            <w:tcBorders>
              <w:top w:val="single" w:sz="4" w:space="0" w:color="auto"/>
            </w:tcBorders>
            <w:shd w:val="clear" w:color="auto" w:fill="auto"/>
            <w:vAlign w:val="bottom"/>
          </w:tcPr>
          <w:p w:rsidR="0022069A" w:rsidRPr="005911E2" w:rsidRDefault="0022069A" w:rsidP="000238F6">
            <w:pPr>
              <w:pStyle w:val="TableText"/>
              <w:jc w:val="right"/>
              <w:rPr>
                <w:szCs w:val="18"/>
              </w:rPr>
            </w:pPr>
            <w:r w:rsidRPr="005911E2">
              <w:rPr>
                <w:rFonts w:cs="Arial"/>
                <w:color w:val="000000"/>
                <w:szCs w:val="18"/>
                <w:lang w:eastAsia="en-AU" w:bidi="ar-SA"/>
              </w:rPr>
              <w:t>16</w:t>
            </w:r>
            <w:r w:rsidR="001B4FC7">
              <w:rPr>
                <w:rFonts w:cs="Arial"/>
                <w:color w:val="000000"/>
                <w:szCs w:val="18"/>
                <w:lang w:eastAsia="en-AU" w:bidi="ar-SA"/>
              </w:rPr>
              <w:t> </w:t>
            </w:r>
            <w:r w:rsidRPr="005911E2">
              <w:rPr>
                <w:rFonts w:cs="Arial"/>
                <w:color w:val="000000"/>
                <w:szCs w:val="18"/>
                <w:lang w:eastAsia="en-AU" w:bidi="ar-SA"/>
              </w:rPr>
              <w:t>727</w:t>
            </w:r>
          </w:p>
        </w:tc>
      </w:tr>
      <w:tr w:rsidR="0022069A" w:rsidRPr="005911E2" w:rsidTr="00943DCB">
        <w:trPr>
          <w:jc w:val="right"/>
        </w:trPr>
        <w:tc>
          <w:tcPr>
            <w:tcW w:w="1668" w:type="dxa"/>
            <w:vAlign w:val="bottom"/>
          </w:tcPr>
          <w:p w:rsidR="0022069A" w:rsidRPr="005911E2" w:rsidRDefault="0022069A" w:rsidP="0022069A">
            <w:pPr>
              <w:pStyle w:val="TableText"/>
              <w:ind w:left="142" w:hanging="142"/>
              <w:rPr>
                <w:szCs w:val="18"/>
              </w:rPr>
            </w:pPr>
            <w:r w:rsidRPr="005911E2">
              <w:rPr>
                <w:szCs w:val="18"/>
              </w:rPr>
              <w:t>Not income managed</w:t>
            </w:r>
          </w:p>
        </w:tc>
        <w:tc>
          <w:tcPr>
            <w:tcW w:w="1134" w:type="dxa"/>
            <w:vAlign w:val="bottom"/>
          </w:tcPr>
          <w:p w:rsidR="0022069A" w:rsidRPr="005911E2" w:rsidRDefault="0022069A" w:rsidP="000238F6">
            <w:pPr>
              <w:pStyle w:val="TableText"/>
              <w:jc w:val="right"/>
              <w:rPr>
                <w:szCs w:val="18"/>
              </w:rPr>
            </w:pPr>
            <w:r w:rsidRPr="005911E2">
              <w:rPr>
                <w:rFonts w:cs="Arial"/>
                <w:color w:val="000000"/>
                <w:szCs w:val="18"/>
                <w:lang w:eastAsia="en-AU" w:bidi="ar-SA"/>
              </w:rPr>
              <w:t>2</w:t>
            </w:r>
            <w:r w:rsidR="001B4FC7">
              <w:rPr>
                <w:rFonts w:cs="Arial"/>
                <w:color w:val="000000"/>
                <w:szCs w:val="18"/>
                <w:lang w:eastAsia="en-AU" w:bidi="ar-SA"/>
              </w:rPr>
              <w:t> </w:t>
            </w:r>
            <w:r w:rsidRPr="005911E2">
              <w:rPr>
                <w:rFonts w:cs="Arial"/>
                <w:color w:val="000000"/>
                <w:szCs w:val="18"/>
                <w:lang w:eastAsia="en-AU" w:bidi="ar-SA"/>
              </w:rPr>
              <w:t>214</w:t>
            </w:r>
          </w:p>
        </w:tc>
        <w:tc>
          <w:tcPr>
            <w:tcW w:w="1134" w:type="dxa"/>
            <w:shd w:val="clear" w:color="auto" w:fill="auto"/>
            <w:vAlign w:val="bottom"/>
          </w:tcPr>
          <w:p w:rsidR="0022069A" w:rsidRPr="005911E2" w:rsidRDefault="00136CFE" w:rsidP="0022069A">
            <w:pPr>
              <w:pStyle w:val="TableText"/>
              <w:jc w:val="right"/>
              <w:rPr>
                <w:szCs w:val="18"/>
              </w:rPr>
            </w:pPr>
            <w:r>
              <w:rPr>
                <w:rFonts w:cs="Arial"/>
                <w:color w:val="000000"/>
                <w:szCs w:val="18"/>
                <w:lang w:eastAsia="en-AU" w:bidi="ar-SA"/>
              </w:rPr>
              <w:t>8</w:t>
            </w:r>
          </w:p>
        </w:tc>
        <w:tc>
          <w:tcPr>
            <w:tcW w:w="935" w:type="dxa"/>
            <w:shd w:val="clear" w:color="auto" w:fill="auto"/>
            <w:vAlign w:val="bottom"/>
          </w:tcPr>
          <w:p w:rsidR="0022069A" w:rsidRPr="005911E2" w:rsidRDefault="0022069A" w:rsidP="0022069A">
            <w:pPr>
              <w:pStyle w:val="TableText"/>
              <w:jc w:val="right"/>
              <w:rPr>
                <w:szCs w:val="18"/>
              </w:rPr>
            </w:pPr>
            <w:r w:rsidRPr="005911E2">
              <w:rPr>
                <w:rFonts w:cs="Arial"/>
                <w:color w:val="000000"/>
                <w:szCs w:val="18"/>
                <w:lang w:eastAsia="en-AU" w:bidi="ar-SA"/>
              </w:rPr>
              <w:t>16</w:t>
            </w:r>
            <w:r w:rsidR="00136CFE">
              <w:rPr>
                <w:rFonts w:cs="Arial"/>
                <w:color w:val="000000"/>
                <w:szCs w:val="18"/>
                <w:lang w:eastAsia="en-AU" w:bidi="ar-SA"/>
              </w:rPr>
              <w:t>9</w:t>
            </w:r>
          </w:p>
        </w:tc>
        <w:tc>
          <w:tcPr>
            <w:tcW w:w="993" w:type="dxa"/>
            <w:shd w:val="clear" w:color="auto" w:fill="auto"/>
            <w:vAlign w:val="bottom"/>
          </w:tcPr>
          <w:p w:rsidR="0022069A" w:rsidRPr="005911E2" w:rsidRDefault="0022069A" w:rsidP="0022069A">
            <w:pPr>
              <w:pStyle w:val="TableText"/>
              <w:jc w:val="right"/>
              <w:rPr>
                <w:szCs w:val="18"/>
              </w:rPr>
            </w:pPr>
            <w:r w:rsidRPr="005911E2">
              <w:rPr>
                <w:rFonts w:cs="Arial"/>
                <w:color w:val="000000"/>
                <w:szCs w:val="18"/>
                <w:lang w:eastAsia="en-AU" w:bidi="ar-SA"/>
              </w:rPr>
              <w:t>24</w:t>
            </w:r>
          </w:p>
        </w:tc>
        <w:tc>
          <w:tcPr>
            <w:tcW w:w="907" w:type="dxa"/>
            <w:shd w:val="clear" w:color="auto" w:fill="auto"/>
            <w:vAlign w:val="bottom"/>
          </w:tcPr>
          <w:p w:rsidR="0022069A" w:rsidRPr="005911E2" w:rsidRDefault="0022069A" w:rsidP="000238F6">
            <w:pPr>
              <w:pStyle w:val="TableText"/>
              <w:jc w:val="right"/>
              <w:rPr>
                <w:szCs w:val="18"/>
              </w:rPr>
            </w:pPr>
            <w:r w:rsidRPr="005911E2">
              <w:rPr>
                <w:rFonts w:cs="Arial"/>
                <w:color w:val="000000"/>
                <w:szCs w:val="18"/>
                <w:lang w:eastAsia="en-AU" w:bidi="ar-SA"/>
              </w:rPr>
              <w:t>13</w:t>
            </w:r>
            <w:r w:rsidR="001B4FC7">
              <w:rPr>
                <w:rFonts w:cs="Arial"/>
                <w:color w:val="000000"/>
                <w:szCs w:val="18"/>
                <w:lang w:eastAsia="en-AU" w:bidi="ar-SA"/>
              </w:rPr>
              <w:t> </w:t>
            </w:r>
            <w:r w:rsidRPr="005911E2">
              <w:rPr>
                <w:rFonts w:cs="Arial"/>
                <w:color w:val="000000"/>
                <w:szCs w:val="18"/>
                <w:lang w:eastAsia="en-AU" w:bidi="ar-SA"/>
              </w:rPr>
              <w:t>630</w:t>
            </w:r>
          </w:p>
        </w:tc>
        <w:tc>
          <w:tcPr>
            <w:tcW w:w="1134" w:type="dxa"/>
            <w:shd w:val="clear" w:color="auto" w:fill="auto"/>
            <w:vAlign w:val="bottom"/>
          </w:tcPr>
          <w:p w:rsidR="0022069A" w:rsidRPr="005911E2" w:rsidRDefault="0022069A" w:rsidP="000238F6">
            <w:pPr>
              <w:pStyle w:val="TableText"/>
              <w:jc w:val="right"/>
              <w:rPr>
                <w:szCs w:val="18"/>
              </w:rPr>
            </w:pPr>
            <w:r w:rsidRPr="005911E2">
              <w:rPr>
                <w:rFonts w:cs="Arial"/>
                <w:color w:val="000000"/>
                <w:szCs w:val="18"/>
                <w:lang w:eastAsia="en-AU" w:bidi="ar-SA"/>
              </w:rPr>
              <w:t>6</w:t>
            </w:r>
            <w:r w:rsidR="001B4FC7">
              <w:rPr>
                <w:rFonts w:cs="Arial"/>
                <w:color w:val="000000"/>
                <w:szCs w:val="18"/>
                <w:lang w:eastAsia="en-AU" w:bidi="ar-SA"/>
              </w:rPr>
              <w:t> </w:t>
            </w:r>
            <w:r w:rsidRPr="005911E2">
              <w:rPr>
                <w:rFonts w:cs="Arial"/>
                <w:color w:val="000000"/>
                <w:szCs w:val="18"/>
                <w:lang w:eastAsia="en-AU" w:bidi="ar-SA"/>
              </w:rPr>
              <w:t>472</w:t>
            </w:r>
          </w:p>
        </w:tc>
        <w:tc>
          <w:tcPr>
            <w:tcW w:w="850" w:type="dxa"/>
            <w:shd w:val="clear" w:color="auto" w:fill="auto"/>
            <w:vAlign w:val="bottom"/>
          </w:tcPr>
          <w:p w:rsidR="0022069A" w:rsidRPr="005911E2" w:rsidRDefault="0022069A" w:rsidP="000238F6">
            <w:pPr>
              <w:pStyle w:val="TableText"/>
              <w:jc w:val="right"/>
              <w:rPr>
                <w:szCs w:val="18"/>
              </w:rPr>
            </w:pPr>
            <w:r w:rsidRPr="005911E2">
              <w:rPr>
                <w:rFonts w:cs="Arial"/>
                <w:color w:val="000000"/>
                <w:szCs w:val="18"/>
                <w:lang w:eastAsia="en-AU" w:bidi="ar-SA"/>
              </w:rPr>
              <w:t>22</w:t>
            </w:r>
            <w:r w:rsidR="001B4FC7">
              <w:rPr>
                <w:rFonts w:cs="Arial"/>
                <w:color w:val="000000"/>
                <w:szCs w:val="18"/>
                <w:lang w:eastAsia="en-AU" w:bidi="ar-SA"/>
              </w:rPr>
              <w:t> </w:t>
            </w:r>
            <w:r w:rsidRPr="005911E2">
              <w:rPr>
                <w:rFonts w:cs="Arial"/>
                <w:color w:val="000000"/>
                <w:szCs w:val="18"/>
                <w:lang w:eastAsia="en-AU" w:bidi="ar-SA"/>
              </w:rPr>
              <w:t>517</w:t>
            </w:r>
          </w:p>
        </w:tc>
      </w:tr>
      <w:tr w:rsidR="0022069A" w:rsidRPr="005911E2" w:rsidTr="00943DCB">
        <w:trPr>
          <w:jc w:val="right"/>
        </w:trPr>
        <w:tc>
          <w:tcPr>
            <w:tcW w:w="1668" w:type="dxa"/>
            <w:tcBorders>
              <w:bottom w:val="single" w:sz="4" w:space="0" w:color="auto"/>
            </w:tcBorders>
            <w:vAlign w:val="bottom"/>
          </w:tcPr>
          <w:p w:rsidR="0022069A" w:rsidRPr="005911E2" w:rsidRDefault="0022069A" w:rsidP="0022069A">
            <w:pPr>
              <w:pStyle w:val="TableText"/>
              <w:ind w:left="142" w:hanging="142"/>
              <w:rPr>
                <w:szCs w:val="18"/>
              </w:rPr>
            </w:pPr>
            <w:r w:rsidRPr="005911E2">
              <w:rPr>
                <w:szCs w:val="18"/>
              </w:rPr>
              <w:t>Not in receipt of income support</w:t>
            </w:r>
          </w:p>
        </w:tc>
        <w:tc>
          <w:tcPr>
            <w:tcW w:w="1134" w:type="dxa"/>
            <w:tcBorders>
              <w:bottom w:val="single" w:sz="4" w:space="0" w:color="auto"/>
            </w:tcBorders>
            <w:vAlign w:val="bottom"/>
          </w:tcPr>
          <w:p w:rsidR="0022069A" w:rsidRPr="005911E2" w:rsidRDefault="0022069A" w:rsidP="000238F6">
            <w:pPr>
              <w:pStyle w:val="TableText"/>
              <w:jc w:val="right"/>
              <w:rPr>
                <w:szCs w:val="18"/>
              </w:rPr>
            </w:pPr>
            <w:r w:rsidRPr="005911E2">
              <w:rPr>
                <w:rFonts w:cs="Arial"/>
                <w:color w:val="000000"/>
                <w:szCs w:val="18"/>
                <w:lang w:eastAsia="en-AU" w:bidi="ar-SA"/>
              </w:rPr>
              <w:t>2</w:t>
            </w:r>
            <w:r w:rsidR="001B4FC7">
              <w:rPr>
                <w:rFonts w:cs="Arial"/>
                <w:color w:val="000000"/>
                <w:szCs w:val="18"/>
                <w:lang w:eastAsia="en-AU" w:bidi="ar-SA"/>
              </w:rPr>
              <w:t> </w:t>
            </w:r>
            <w:r w:rsidRPr="005911E2">
              <w:rPr>
                <w:rFonts w:cs="Arial"/>
                <w:color w:val="000000"/>
                <w:szCs w:val="18"/>
                <w:lang w:eastAsia="en-AU" w:bidi="ar-SA"/>
              </w:rPr>
              <w:t>351</w:t>
            </w:r>
          </w:p>
        </w:tc>
        <w:tc>
          <w:tcPr>
            <w:tcW w:w="1134" w:type="dxa"/>
            <w:tcBorders>
              <w:bottom w:val="single" w:sz="4" w:space="0" w:color="auto"/>
            </w:tcBorders>
            <w:shd w:val="clear" w:color="auto" w:fill="auto"/>
            <w:vAlign w:val="bottom"/>
          </w:tcPr>
          <w:p w:rsidR="0022069A" w:rsidRPr="005911E2" w:rsidRDefault="00136CFE" w:rsidP="0022069A">
            <w:pPr>
              <w:pStyle w:val="TableText"/>
              <w:jc w:val="right"/>
              <w:rPr>
                <w:szCs w:val="18"/>
              </w:rPr>
            </w:pPr>
            <w:r>
              <w:rPr>
                <w:rFonts w:cs="Arial"/>
                <w:color w:val="000000"/>
                <w:szCs w:val="18"/>
                <w:lang w:eastAsia="en-AU" w:bidi="ar-SA"/>
              </w:rPr>
              <w:t>7</w:t>
            </w:r>
          </w:p>
        </w:tc>
        <w:tc>
          <w:tcPr>
            <w:tcW w:w="935" w:type="dxa"/>
            <w:tcBorders>
              <w:bottom w:val="single" w:sz="4" w:space="0" w:color="auto"/>
            </w:tcBorders>
            <w:shd w:val="clear" w:color="auto" w:fill="auto"/>
            <w:vAlign w:val="bottom"/>
          </w:tcPr>
          <w:p w:rsidR="0022069A" w:rsidRPr="005911E2" w:rsidRDefault="0022069A" w:rsidP="0022069A">
            <w:pPr>
              <w:pStyle w:val="TableText"/>
              <w:jc w:val="right"/>
              <w:rPr>
                <w:szCs w:val="18"/>
              </w:rPr>
            </w:pPr>
            <w:r w:rsidRPr="005911E2">
              <w:rPr>
                <w:rFonts w:cs="Arial"/>
                <w:color w:val="000000"/>
                <w:szCs w:val="18"/>
                <w:lang w:eastAsia="en-AU" w:bidi="ar-SA"/>
              </w:rPr>
              <w:t>24</w:t>
            </w:r>
            <w:r w:rsidR="00136CFE">
              <w:rPr>
                <w:rFonts w:cs="Arial"/>
                <w:color w:val="000000"/>
                <w:szCs w:val="18"/>
                <w:lang w:eastAsia="en-AU" w:bidi="ar-SA"/>
              </w:rPr>
              <w:t>2</w:t>
            </w:r>
          </w:p>
        </w:tc>
        <w:tc>
          <w:tcPr>
            <w:tcW w:w="993" w:type="dxa"/>
            <w:tcBorders>
              <w:bottom w:val="single" w:sz="4" w:space="0" w:color="auto"/>
            </w:tcBorders>
            <w:shd w:val="clear" w:color="auto" w:fill="auto"/>
            <w:vAlign w:val="bottom"/>
          </w:tcPr>
          <w:p w:rsidR="0022069A" w:rsidRPr="005911E2" w:rsidRDefault="0022069A" w:rsidP="0022069A">
            <w:pPr>
              <w:pStyle w:val="TableText"/>
              <w:jc w:val="right"/>
              <w:rPr>
                <w:szCs w:val="18"/>
              </w:rPr>
            </w:pPr>
            <w:r w:rsidRPr="005911E2">
              <w:rPr>
                <w:rFonts w:cs="Arial"/>
                <w:color w:val="000000"/>
                <w:szCs w:val="18"/>
                <w:lang w:eastAsia="en-AU" w:bidi="ar-SA"/>
              </w:rPr>
              <w:t>11</w:t>
            </w:r>
          </w:p>
        </w:tc>
        <w:tc>
          <w:tcPr>
            <w:tcW w:w="907" w:type="dxa"/>
            <w:tcBorders>
              <w:bottom w:val="single" w:sz="4" w:space="0" w:color="auto"/>
            </w:tcBorders>
            <w:shd w:val="clear" w:color="auto" w:fill="auto"/>
            <w:vAlign w:val="bottom"/>
          </w:tcPr>
          <w:p w:rsidR="0022069A" w:rsidRPr="005911E2" w:rsidRDefault="0022069A" w:rsidP="000238F6">
            <w:pPr>
              <w:pStyle w:val="TableText"/>
              <w:jc w:val="right"/>
              <w:rPr>
                <w:szCs w:val="18"/>
              </w:rPr>
            </w:pPr>
            <w:r w:rsidRPr="005911E2">
              <w:rPr>
                <w:rFonts w:cs="Arial"/>
                <w:color w:val="000000"/>
                <w:szCs w:val="18"/>
                <w:lang w:eastAsia="en-AU" w:bidi="ar-SA"/>
              </w:rPr>
              <w:t>6</w:t>
            </w:r>
            <w:r w:rsidR="001B4FC7">
              <w:rPr>
                <w:rFonts w:cs="Arial"/>
                <w:color w:val="000000"/>
                <w:szCs w:val="18"/>
                <w:lang w:eastAsia="en-AU" w:bidi="ar-SA"/>
              </w:rPr>
              <w:t> </w:t>
            </w:r>
            <w:r w:rsidRPr="005911E2">
              <w:rPr>
                <w:rFonts w:cs="Arial"/>
                <w:color w:val="000000"/>
                <w:szCs w:val="18"/>
                <w:lang w:eastAsia="en-AU" w:bidi="ar-SA"/>
              </w:rPr>
              <w:t>517</w:t>
            </w:r>
          </w:p>
        </w:tc>
        <w:tc>
          <w:tcPr>
            <w:tcW w:w="1134" w:type="dxa"/>
            <w:tcBorders>
              <w:bottom w:val="single" w:sz="4" w:space="0" w:color="auto"/>
            </w:tcBorders>
            <w:shd w:val="clear" w:color="auto" w:fill="auto"/>
            <w:vAlign w:val="bottom"/>
          </w:tcPr>
          <w:p w:rsidR="0022069A" w:rsidRPr="005911E2" w:rsidRDefault="0022069A" w:rsidP="0022069A">
            <w:pPr>
              <w:pStyle w:val="TableText"/>
              <w:jc w:val="right"/>
              <w:rPr>
                <w:szCs w:val="18"/>
              </w:rPr>
            </w:pPr>
            <w:r w:rsidRPr="005911E2">
              <w:rPr>
                <w:szCs w:val="18"/>
              </w:rPr>
              <w:t>na</w:t>
            </w:r>
          </w:p>
        </w:tc>
        <w:tc>
          <w:tcPr>
            <w:tcW w:w="850" w:type="dxa"/>
            <w:tcBorders>
              <w:bottom w:val="single" w:sz="4" w:space="0" w:color="auto"/>
            </w:tcBorders>
            <w:shd w:val="clear" w:color="auto" w:fill="auto"/>
            <w:vAlign w:val="bottom"/>
          </w:tcPr>
          <w:p w:rsidR="0022069A" w:rsidRPr="005911E2" w:rsidRDefault="0022069A" w:rsidP="000238F6">
            <w:pPr>
              <w:pStyle w:val="TableText"/>
              <w:jc w:val="right"/>
              <w:rPr>
                <w:szCs w:val="18"/>
              </w:rPr>
            </w:pPr>
            <w:r w:rsidRPr="005911E2">
              <w:rPr>
                <w:rFonts w:cs="Arial"/>
                <w:color w:val="000000"/>
                <w:szCs w:val="18"/>
                <w:lang w:eastAsia="en-AU" w:bidi="ar-SA"/>
              </w:rPr>
              <w:t>9</w:t>
            </w:r>
            <w:r w:rsidR="001B4FC7">
              <w:rPr>
                <w:rFonts w:cs="Arial"/>
                <w:color w:val="000000"/>
                <w:szCs w:val="18"/>
                <w:lang w:eastAsia="en-AU" w:bidi="ar-SA"/>
              </w:rPr>
              <w:t> </w:t>
            </w:r>
            <w:r w:rsidRPr="005911E2">
              <w:rPr>
                <w:rFonts w:cs="Arial"/>
                <w:color w:val="000000"/>
                <w:szCs w:val="18"/>
                <w:lang w:eastAsia="en-AU" w:bidi="ar-SA"/>
              </w:rPr>
              <w:t>128</w:t>
            </w:r>
          </w:p>
        </w:tc>
      </w:tr>
      <w:tr w:rsidR="0022069A" w:rsidRPr="005911E2" w:rsidTr="00943DCB">
        <w:trPr>
          <w:jc w:val="right"/>
        </w:trPr>
        <w:tc>
          <w:tcPr>
            <w:tcW w:w="1668" w:type="dxa"/>
            <w:tcBorders>
              <w:top w:val="single" w:sz="4" w:space="0" w:color="auto"/>
              <w:bottom w:val="single" w:sz="4" w:space="0" w:color="auto"/>
            </w:tcBorders>
            <w:vAlign w:val="center"/>
          </w:tcPr>
          <w:p w:rsidR="0022069A" w:rsidRPr="005911E2" w:rsidRDefault="0022069A" w:rsidP="0022069A">
            <w:pPr>
              <w:pStyle w:val="TableText"/>
              <w:rPr>
                <w:szCs w:val="18"/>
              </w:rPr>
            </w:pPr>
            <w:r w:rsidRPr="005911E2">
              <w:rPr>
                <w:szCs w:val="18"/>
              </w:rPr>
              <w:t>All</w:t>
            </w:r>
          </w:p>
        </w:tc>
        <w:tc>
          <w:tcPr>
            <w:tcW w:w="1134" w:type="dxa"/>
            <w:tcBorders>
              <w:top w:val="single" w:sz="4" w:space="0" w:color="auto"/>
              <w:bottom w:val="single" w:sz="4" w:space="0" w:color="auto"/>
            </w:tcBorders>
            <w:vAlign w:val="bottom"/>
          </w:tcPr>
          <w:p w:rsidR="0022069A" w:rsidRPr="005911E2" w:rsidRDefault="0022069A" w:rsidP="000238F6">
            <w:pPr>
              <w:pStyle w:val="TableText"/>
              <w:jc w:val="right"/>
              <w:rPr>
                <w:szCs w:val="18"/>
              </w:rPr>
            </w:pPr>
            <w:r w:rsidRPr="005911E2">
              <w:rPr>
                <w:rFonts w:cs="Arial"/>
                <w:color w:val="000000"/>
                <w:szCs w:val="18"/>
                <w:lang w:eastAsia="en-AU" w:bidi="ar-SA"/>
              </w:rPr>
              <w:t>11</w:t>
            </w:r>
            <w:r w:rsidR="001B4FC7">
              <w:rPr>
                <w:rFonts w:cs="Arial"/>
                <w:color w:val="000000"/>
                <w:szCs w:val="18"/>
                <w:lang w:eastAsia="en-AU" w:bidi="ar-SA"/>
              </w:rPr>
              <w:t> </w:t>
            </w:r>
            <w:r w:rsidRPr="005911E2">
              <w:rPr>
                <w:rFonts w:cs="Arial"/>
                <w:color w:val="000000"/>
                <w:szCs w:val="18"/>
                <w:lang w:eastAsia="en-AU" w:bidi="ar-SA"/>
              </w:rPr>
              <w:t>960</w:t>
            </w:r>
          </w:p>
        </w:tc>
        <w:tc>
          <w:tcPr>
            <w:tcW w:w="1134" w:type="dxa"/>
            <w:tcBorders>
              <w:top w:val="single" w:sz="4" w:space="0" w:color="auto"/>
              <w:bottom w:val="single" w:sz="4" w:space="0" w:color="auto"/>
            </w:tcBorders>
            <w:shd w:val="clear" w:color="auto" w:fill="auto"/>
            <w:vAlign w:val="bottom"/>
          </w:tcPr>
          <w:p w:rsidR="0022069A" w:rsidRPr="005911E2" w:rsidRDefault="0022069A" w:rsidP="0022069A">
            <w:pPr>
              <w:pStyle w:val="TableText"/>
              <w:jc w:val="right"/>
              <w:rPr>
                <w:szCs w:val="18"/>
              </w:rPr>
            </w:pPr>
            <w:r w:rsidRPr="005911E2">
              <w:rPr>
                <w:rFonts w:cs="Arial"/>
                <w:color w:val="000000"/>
                <w:szCs w:val="18"/>
                <w:lang w:eastAsia="en-AU" w:bidi="ar-SA"/>
              </w:rPr>
              <w:t>45</w:t>
            </w:r>
          </w:p>
        </w:tc>
        <w:tc>
          <w:tcPr>
            <w:tcW w:w="935" w:type="dxa"/>
            <w:tcBorders>
              <w:top w:val="single" w:sz="4" w:space="0" w:color="auto"/>
              <w:bottom w:val="single" w:sz="4" w:space="0" w:color="auto"/>
            </w:tcBorders>
            <w:shd w:val="clear" w:color="auto" w:fill="auto"/>
            <w:vAlign w:val="bottom"/>
          </w:tcPr>
          <w:p w:rsidR="0022069A" w:rsidRPr="005911E2" w:rsidRDefault="0022069A" w:rsidP="000238F6">
            <w:pPr>
              <w:pStyle w:val="TableText"/>
              <w:jc w:val="right"/>
              <w:rPr>
                <w:szCs w:val="18"/>
              </w:rPr>
            </w:pPr>
            <w:r w:rsidRPr="005911E2">
              <w:rPr>
                <w:rFonts w:cs="Arial"/>
                <w:color w:val="000000"/>
                <w:szCs w:val="18"/>
                <w:lang w:eastAsia="en-AU" w:bidi="ar-SA"/>
              </w:rPr>
              <w:t>4</w:t>
            </w:r>
            <w:r w:rsidR="001B4FC7">
              <w:rPr>
                <w:rFonts w:cs="Arial"/>
                <w:color w:val="000000"/>
                <w:szCs w:val="18"/>
                <w:lang w:eastAsia="en-AU" w:bidi="ar-SA"/>
              </w:rPr>
              <w:t> </w:t>
            </w:r>
            <w:r w:rsidRPr="005911E2">
              <w:rPr>
                <w:rFonts w:cs="Arial"/>
                <w:color w:val="000000"/>
                <w:szCs w:val="18"/>
                <w:lang w:eastAsia="en-AU" w:bidi="ar-SA"/>
              </w:rPr>
              <w:t>189</w:t>
            </w:r>
          </w:p>
        </w:tc>
        <w:tc>
          <w:tcPr>
            <w:tcW w:w="993" w:type="dxa"/>
            <w:tcBorders>
              <w:top w:val="single" w:sz="4" w:space="0" w:color="auto"/>
              <w:bottom w:val="single" w:sz="4" w:space="0" w:color="auto"/>
            </w:tcBorders>
            <w:shd w:val="clear" w:color="auto" w:fill="auto"/>
            <w:vAlign w:val="bottom"/>
          </w:tcPr>
          <w:p w:rsidR="0022069A" w:rsidRPr="005911E2" w:rsidRDefault="0022069A" w:rsidP="0022069A">
            <w:pPr>
              <w:pStyle w:val="TableText"/>
              <w:jc w:val="right"/>
              <w:rPr>
                <w:szCs w:val="18"/>
              </w:rPr>
            </w:pPr>
            <w:r w:rsidRPr="005911E2">
              <w:rPr>
                <w:rFonts w:cs="Arial"/>
                <w:color w:val="000000"/>
                <w:szCs w:val="18"/>
                <w:lang w:eastAsia="en-AU" w:bidi="ar-SA"/>
              </w:rPr>
              <w:t>198</w:t>
            </w:r>
          </w:p>
        </w:tc>
        <w:tc>
          <w:tcPr>
            <w:tcW w:w="907" w:type="dxa"/>
            <w:tcBorders>
              <w:top w:val="single" w:sz="4" w:space="0" w:color="auto"/>
              <w:bottom w:val="single" w:sz="4" w:space="0" w:color="auto"/>
            </w:tcBorders>
            <w:shd w:val="clear" w:color="auto" w:fill="auto"/>
            <w:vAlign w:val="bottom"/>
          </w:tcPr>
          <w:p w:rsidR="0022069A" w:rsidRPr="005911E2" w:rsidRDefault="0022069A" w:rsidP="000238F6">
            <w:pPr>
              <w:pStyle w:val="TableText"/>
              <w:jc w:val="right"/>
              <w:rPr>
                <w:szCs w:val="18"/>
              </w:rPr>
            </w:pPr>
            <w:r w:rsidRPr="005911E2">
              <w:rPr>
                <w:rFonts w:cs="Arial"/>
                <w:color w:val="000000"/>
                <w:szCs w:val="18"/>
                <w:lang w:eastAsia="en-AU" w:bidi="ar-SA"/>
              </w:rPr>
              <w:t>22</w:t>
            </w:r>
            <w:r w:rsidR="001B4FC7">
              <w:rPr>
                <w:rFonts w:cs="Arial"/>
                <w:color w:val="000000"/>
                <w:szCs w:val="18"/>
                <w:lang w:eastAsia="en-AU" w:bidi="ar-SA"/>
              </w:rPr>
              <w:t> </w:t>
            </w:r>
            <w:r w:rsidRPr="005911E2">
              <w:rPr>
                <w:rFonts w:cs="Arial"/>
                <w:color w:val="000000"/>
                <w:szCs w:val="18"/>
                <w:lang w:eastAsia="en-AU" w:bidi="ar-SA"/>
              </w:rPr>
              <w:t>903</w:t>
            </w:r>
          </w:p>
        </w:tc>
        <w:tc>
          <w:tcPr>
            <w:tcW w:w="1134" w:type="dxa"/>
            <w:tcBorders>
              <w:top w:val="single" w:sz="4" w:space="0" w:color="auto"/>
              <w:bottom w:val="single" w:sz="4" w:space="0" w:color="auto"/>
            </w:tcBorders>
            <w:shd w:val="clear" w:color="auto" w:fill="auto"/>
            <w:vAlign w:val="bottom"/>
          </w:tcPr>
          <w:p w:rsidR="0022069A" w:rsidRPr="005911E2" w:rsidRDefault="0022069A" w:rsidP="000238F6">
            <w:pPr>
              <w:pStyle w:val="TableText"/>
              <w:jc w:val="right"/>
              <w:rPr>
                <w:szCs w:val="18"/>
              </w:rPr>
            </w:pPr>
            <w:r w:rsidRPr="005911E2">
              <w:rPr>
                <w:rFonts w:cs="Arial"/>
                <w:color w:val="000000"/>
                <w:szCs w:val="18"/>
                <w:lang w:eastAsia="en-AU" w:bidi="ar-SA"/>
              </w:rPr>
              <w:t>9</w:t>
            </w:r>
            <w:r w:rsidR="001B4FC7">
              <w:rPr>
                <w:rFonts w:cs="Arial"/>
                <w:color w:val="000000"/>
                <w:szCs w:val="18"/>
                <w:lang w:eastAsia="en-AU" w:bidi="ar-SA"/>
              </w:rPr>
              <w:t> </w:t>
            </w:r>
            <w:r w:rsidRPr="005911E2">
              <w:rPr>
                <w:rFonts w:cs="Arial"/>
                <w:color w:val="000000"/>
                <w:szCs w:val="18"/>
                <w:lang w:eastAsia="en-AU" w:bidi="ar-SA"/>
              </w:rPr>
              <w:t>079</w:t>
            </w:r>
          </w:p>
        </w:tc>
        <w:tc>
          <w:tcPr>
            <w:tcW w:w="850" w:type="dxa"/>
            <w:tcBorders>
              <w:top w:val="single" w:sz="4" w:space="0" w:color="auto"/>
              <w:bottom w:val="single" w:sz="4" w:space="0" w:color="auto"/>
            </w:tcBorders>
            <w:shd w:val="clear" w:color="auto" w:fill="auto"/>
            <w:vAlign w:val="bottom"/>
          </w:tcPr>
          <w:p w:rsidR="0022069A" w:rsidRPr="005911E2" w:rsidRDefault="0022069A" w:rsidP="000238F6">
            <w:pPr>
              <w:pStyle w:val="TableText"/>
              <w:jc w:val="right"/>
              <w:rPr>
                <w:szCs w:val="18"/>
              </w:rPr>
            </w:pPr>
            <w:r w:rsidRPr="005911E2">
              <w:rPr>
                <w:rFonts w:cs="Arial"/>
                <w:color w:val="000000"/>
                <w:szCs w:val="18"/>
                <w:lang w:eastAsia="en-AU" w:bidi="ar-SA"/>
              </w:rPr>
              <w:t>48</w:t>
            </w:r>
            <w:r w:rsidR="001B4FC7">
              <w:rPr>
                <w:rFonts w:cs="Arial"/>
                <w:color w:val="000000"/>
                <w:szCs w:val="18"/>
                <w:lang w:eastAsia="en-AU" w:bidi="ar-SA"/>
              </w:rPr>
              <w:t> </w:t>
            </w:r>
            <w:r w:rsidRPr="005911E2">
              <w:rPr>
                <w:rFonts w:cs="Arial"/>
                <w:color w:val="000000"/>
                <w:szCs w:val="18"/>
                <w:lang w:eastAsia="en-AU" w:bidi="ar-SA"/>
              </w:rPr>
              <w:t>374</w:t>
            </w:r>
          </w:p>
        </w:tc>
      </w:tr>
    </w:tbl>
    <w:p w:rsidR="00A259B0" w:rsidRDefault="0022069A" w:rsidP="00CF78DB">
      <w:pPr>
        <w:pStyle w:val="tablefootnotes"/>
        <w:rPr>
          <w:noProof/>
        </w:rPr>
      </w:pPr>
      <w:r w:rsidRPr="005911E2">
        <w:rPr>
          <w:noProof/>
        </w:rPr>
        <w:t>Note:</w:t>
      </w:r>
      <w:r w:rsidRPr="005911E2">
        <w:rPr>
          <w:noProof/>
        </w:rPr>
        <w:tab/>
        <w:t xml:space="preserve">The table excludes </w:t>
      </w:r>
      <w:r w:rsidR="00A75ABE">
        <w:rPr>
          <w:noProof/>
        </w:rPr>
        <w:t xml:space="preserve">a small number of people </w:t>
      </w:r>
      <w:r w:rsidRPr="005911E2">
        <w:rPr>
          <w:noProof/>
        </w:rPr>
        <w:t xml:space="preserve">on Child Protection </w:t>
      </w:r>
      <w:r w:rsidR="00F878E4">
        <w:rPr>
          <w:noProof/>
        </w:rPr>
        <w:t>income management</w:t>
      </w:r>
      <w:r w:rsidRPr="005911E2">
        <w:rPr>
          <w:noProof/>
        </w:rPr>
        <w:t xml:space="preserve"> an</w:t>
      </w:r>
      <w:r w:rsidR="00A259B0">
        <w:rPr>
          <w:noProof/>
        </w:rPr>
        <w:t xml:space="preserve">d </w:t>
      </w:r>
      <w:r w:rsidRPr="005911E2">
        <w:rPr>
          <w:noProof/>
        </w:rPr>
        <w:t xml:space="preserve">Vulnerable </w:t>
      </w:r>
      <w:r w:rsidR="00F878E4">
        <w:rPr>
          <w:noProof/>
        </w:rPr>
        <w:t>income management</w:t>
      </w:r>
      <w:r w:rsidRPr="005911E2">
        <w:rPr>
          <w:noProof/>
        </w:rPr>
        <w:t xml:space="preserve"> as at July 2010. </w:t>
      </w:r>
    </w:p>
    <w:p w:rsidR="0022069A" w:rsidRDefault="00A259B0" w:rsidP="00CF78DB">
      <w:pPr>
        <w:pStyle w:val="tablefootnotes"/>
        <w:rPr>
          <w:noProof/>
        </w:rPr>
      </w:pPr>
      <w:r>
        <w:rPr>
          <w:noProof/>
        </w:rPr>
        <w:tab/>
        <w:t>The</w:t>
      </w:r>
      <w:r w:rsidR="0022069A" w:rsidRPr="005911E2">
        <w:rPr>
          <w:noProof/>
        </w:rPr>
        <w:t xml:space="preserve"> last column differs slightly from the previous table because different people were receiving income support in February and October 2011.</w:t>
      </w:r>
    </w:p>
    <w:p w:rsidR="001B4FC7" w:rsidRPr="005911E2" w:rsidRDefault="001B4FC7" w:rsidP="00CF78DB">
      <w:pPr>
        <w:pStyle w:val="tablefootnotes"/>
        <w:rPr>
          <w:noProof/>
        </w:rPr>
      </w:pPr>
      <w:r>
        <w:rPr>
          <w:noProof/>
        </w:rPr>
        <w:t>Population:</w:t>
      </w:r>
      <w:r>
        <w:rPr>
          <w:noProof/>
        </w:rPr>
        <w:tab/>
      </w:r>
      <w:r w:rsidRPr="005911E2">
        <w:rPr>
          <w:noProof/>
        </w:rPr>
        <w:t xml:space="preserve"> </w:t>
      </w:r>
      <w:r>
        <w:rPr>
          <w:noProof/>
        </w:rPr>
        <w:t>P</w:t>
      </w:r>
      <w:r w:rsidRPr="005911E2">
        <w:rPr>
          <w:noProof/>
        </w:rPr>
        <w:t>eople receiving income support payments in the</w:t>
      </w:r>
      <w:r w:rsidR="006435C8">
        <w:rPr>
          <w:noProof/>
        </w:rPr>
        <w:t xml:space="preserve"> Northern Territory </w:t>
      </w:r>
      <w:r w:rsidRPr="005911E2">
        <w:rPr>
          <w:noProof/>
        </w:rPr>
        <w:t>in either July 2010 or October 2011.</w:t>
      </w:r>
    </w:p>
    <w:p w:rsidR="0022069A" w:rsidRPr="005911E2" w:rsidRDefault="0022069A" w:rsidP="00CF78DB">
      <w:pPr>
        <w:pStyle w:val="tablefootnotes"/>
      </w:pPr>
      <w:r w:rsidRPr="005911E2">
        <w:t xml:space="preserve">Source: </w:t>
      </w:r>
      <w:r w:rsidRPr="005911E2">
        <w:tab/>
        <w:t>Derived from Centrelink data.</w:t>
      </w:r>
    </w:p>
    <w:p w:rsidR="0022069A" w:rsidRPr="005911E2" w:rsidRDefault="0022069A" w:rsidP="00943DCB">
      <w:pPr>
        <w:pStyle w:val="tablefootnoteslastline"/>
      </w:pPr>
    </w:p>
    <w:p w:rsidR="00943DCB" w:rsidRPr="005911E2" w:rsidRDefault="00943DCB" w:rsidP="00943DCB">
      <w:pPr>
        <w:pStyle w:val="BodyText"/>
      </w:pPr>
      <w:r w:rsidRPr="005911E2">
        <w:t xml:space="preserve">Of the population on </w:t>
      </w:r>
      <w:r>
        <w:t>Compulsory Income Management,</w:t>
      </w:r>
      <w:r w:rsidRPr="005911E2">
        <w:t xml:space="preserve"> the main growth over this latter period </w:t>
      </w:r>
      <w:r>
        <w:t>was</w:t>
      </w:r>
      <w:r w:rsidRPr="005911E2">
        <w:t xml:space="preserve"> in the number of people who had not been on income support as at July 2010. Comparing the data for the those on </w:t>
      </w:r>
      <w:r>
        <w:t>Compulsory Income Management</w:t>
      </w:r>
      <w:r w:rsidRPr="005911E2">
        <w:t xml:space="preserve"> for February 2011 and October 2011: the number who had been on the NTER </w:t>
      </w:r>
      <w:r>
        <w:t>IM fell</w:t>
      </w:r>
      <w:r w:rsidRPr="005911E2">
        <w:t xml:space="preserve"> from 7</w:t>
      </w:r>
      <w:r>
        <w:t> </w:t>
      </w:r>
      <w:r w:rsidRPr="005911E2">
        <w:t>933 to 7</w:t>
      </w:r>
      <w:r>
        <w:t> </w:t>
      </w:r>
      <w:r w:rsidRPr="005911E2">
        <w:t>394; the number who</w:t>
      </w:r>
      <w:r>
        <w:t>,</w:t>
      </w:r>
      <w:r w:rsidRPr="005911E2">
        <w:t xml:space="preserve"> while </w:t>
      </w:r>
      <w:r w:rsidRPr="005911E2">
        <w:lastRenderedPageBreak/>
        <w:t>having been on income support in July 2010</w:t>
      </w:r>
      <w:r>
        <w:t>,</w:t>
      </w:r>
      <w:r w:rsidRPr="005911E2">
        <w:t xml:space="preserve"> were not subject to income management increased from 1</w:t>
      </w:r>
      <w:r>
        <w:t> </w:t>
      </w:r>
      <w:r w:rsidRPr="005911E2">
        <w:t>990 to 2</w:t>
      </w:r>
      <w:r>
        <w:t> </w:t>
      </w:r>
      <w:r w:rsidRPr="005911E2">
        <w:t xml:space="preserve">214; and of those who had not been on income support </w:t>
      </w:r>
      <w:r>
        <w:t xml:space="preserve">rose </w:t>
      </w:r>
      <w:r w:rsidRPr="005911E2">
        <w:t>from 1</w:t>
      </w:r>
      <w:r>
        <w:t> </w:t>
      </w:r>
      <w:r w:rsidRPr="005911E2">
        <w:t>048 to 2</w:t>
      </w:r>
      <w:r>
        <w:t> </w:t>
      </w:r>
      <w:r w:rsidRPr="005911E2">
        <w:t>351.</w:t>
      </w:r>
    </w:p>
    <w:p w:rsidR="0022069A" w:rsidRPr="005911E2" w:rsidRDefault="0022069A" w:rsidP="0022069A">
      <w:pPr>
        <w:pStyle w:val="BodyText"/>
      </w:pPr>
      <w:r w:rsidRPr="005911E2">
        <w:t xml:space="preserve">Table </w:t>
      </w:r>
      <w:r w:rsidRPr="005911E2">
        <w:rPr>
          <w:noProof/>
        </w:rPr>
        <w:t>4</w:t>
      </w:r>
      <w:r w:rsidRPr="005911E2">
        <w:noBreakHyphen/>
      </w:r>
      <w:r w:rsidRPr="005911E2">
        <w:rPr>
          <w:noProof/>
        </w:rPr>
        <w:t>4</w:t>
      </w:r>
      <w:r w:rsidRPr="005911E2">
        <w:t xml:space="preserve"> </w:t>
      </w:r>
      <w:r w:rsidR="00A259B0">
        <w:t>limits the population to</w:t>
      </w:r>
      <w:r w:rsidRPr="005911E2">
        <w:t xml:space="preserve"> Indigenous people who </w:t>
      </w:r>
      <w:r w:rsidR="00A259B0">
        <w:t>were</w:t>
      </w:r>
      <w:r w:rsidRPr="005911E2">
        <w:t xml:space="preserve"> </w:t>
      </w:r>
      <w:r w:rsidR="00A259B0">
        <w:t xml:space="preserve">receiving </w:t>
      </w:r>
      <w:r w:rsidRPr="005911E2">
        <w:t xml:space="preserve">income support </w:t>
      </w:r>
      <w:r w:rsidR="00A259B0">
        <w:t xml:space="preserve">in </w:t>
      </w:r>
      <w:r w:rsidRPr="005911E2">
        <w:t xml:space="preserve">either July 2010 or October </w:t>
      </w:r>
      <w:r w:rsidR="00A259B0" w:rsidRPr="005911E2">
        <w:t>201</w:t>
      </w:r>
      <w:r w:rsidR="00A259B0">
        <w:t>1</w:t>
      </w:r>
      <w:r w:rsidRPr="005911E2">
        <w:t xml:space="preserve">. While this table shows much the same pattern of transition as </w:t>
      </w:r>
      <w:r w:rsidR="00C7347D">
        <w:fldChar w:fldCharType="begin"/>
      </w:r>
      <w:r w:rsidR="00A259B0">
        <w:instrText xml:space="preserve"> REF _Ref321176688 \h </w:instrText>
      </w:r>
      <w:r w:rsidR="00C7347D">
        <w:fldChar w:fldCharType="separate"/>
      </w:r>
      <w:r w:rsidR="007D7E45" w:rsidRPr="005911E2">
        <w:t xml:space="preserve">Table </w:t>
      </w:r>
      <w:r w:rsidR="007D7E45">
        <w:rPr>
          <w:noProof/>
        </w:rPr>
        <w:t>4</w:t>
      </w:r>
      <w:r w:rsidR="007D7E45" w:rsidRPr="005911E2">
        <w:noBreakHyphen/>
      </w:r>
      <w:r w:rsidR="007D7E45">
        <w:rPr>
          <w:noProof/>
        </w:rPr>
        <w:t>3</w:t>
      </w:r>
      <w:r w:rsidR="00C7347D">
        <w:fldChar w:fldCharType="end"/>
      </w:r>
      <w:r w:rsidR="00430C33">
        <w:t>,</w:t>
      </w:r>
      <w:r w:rsidRPr="005911E2">
        <w:t xml:space="preserve"> some features emerge from a comparison of the tables. </w:t>
      </w:r>
    </w:p>
    <w:p w:rsidR="0022069A" w:rsidRPr="005911E2" w:rsidRDefault="0022069A" w:rsidP="0022069A">
      <w:pPr>
        <w:pStyle w:val="BodyText"/>
      </w:pPr>
      <w:r w:rsidRPr="005911E2">
        <w:t xml:space="preserve">Virtually all of the people on </w:t>
      </w:r>
      <w:r w:rsidR="004808B3">
        <w:t>Compulsory Income Management</w:t>
      </w:r>
      <w:r w:rsidRPr="005911E2">
        <w:t xml:space="preserve"> who had been on NTER IM were Indigenous (99 per cent). </w:t>
      </w:r>
      <w:r w:rsidR="001B4FC7">
        <w:t>Sixty five per cent o</w:t>
      </w:r>
      <w:r w:rsidRPr="005911E2">
        <w:t xml:space="preserve">f those who were on </w:t>
      </w:r>
      <w:r w:rsidR="004808B3">
        <w:t>Compulsory Income Management</w:t>
      </w:r>
      <w:r w:rsidRPr="005911E2">
        <w:t xml:space="preserve"> and who were in receipt of an income support payment in July 2010 but who were not on NTER IM were Indigenous. Finally, 77 per cent of those on </w:t>
      </w:r>
      <w:r w:rsidR="004808B3">
        <w:t>Compulsory Income Management</w:t>
      </w:r>
      <w:r w:rsidRPr="005911E2">
        <w:t xml:space="preserve"> in October 2011 and who were not on income support in July 2010 were Indigenous. </w:t>
      </w:r>
    </w:p>
    <w:p w:rsidR="0022069A" w:rsidRPr="005911E2" w:rsidRDefault="0022069A" w:rsidP="0022069A">
      <w:pPr>
        <w:pStyle w:val="BodyText"/>
      </w:pPr>
      <w:r w:rsidRPr="005911E2">
        <w:t xml:space="preserve">Indigenous people who were on NTER IM account for 82 per cent of those subject to </w:t>
      </w:r>
      <w:r w:rsidR="00E2340D">
        <w:t>Vulnerable Income Management</w:t>
      </w:r>
      <w:r w:rsidRPr="005911E2">
        <w:t>.</w:t>
      </w:r>
    </w:p>
    <w:p w:rsidR="0022069A" w:rsidRPr="005911E2" w:rsidRDefault="0022069A" w:rsidP="0022069A">
      <w:pPr>
        <w:pStyle w:val="tabfighead"/>
      </w:pPr>
      <w:bookmarkStart w:id="275" w:name="_Ref321176691"/>
      <w:bookmarkStart w:id="276" w:name="_Toc321430409"/>
      <w:bookmarkStart w:id="277" w:name="_Toc321761679"/>
      <w:bookmarkStart w:id="278" w:name="_Toc321254528"/>
      <w:bookmarkStart w:id="279" w:name="_Toc328601574"/>
      <w:bookmarkStart w:id="280" w:name="_Toc329051352"/>
      <w:bookmarkStart w:id="281" w:name="_Toc335915840"/>
      <w:r w:rsidRPr="005911E2">
        <w:t xml:space="preserve">Table </w:t>
      </w:r>
      <w:r w:rsidR="00C7347D" w:rsidRPr="005911E2">
        <w:fldChar w:fldCharType="begin"/>
      </w:r>
      <w:r w:rsidR="00435FEB" w:rsidRPr="005911E2">
        <w:instrText xml:space="preserve"> STYLEREF 1 \s </w:instrText>
      </w:r>
      <w:r w:rsidR="00C7347D" w:rsidRPr="005911E2">
        <w:fldChar w:fldCharType="separate"/>
      </w:r>
      <w:r w:rsidR="007D7E45">
        <w:rPr>
          <w:noProof/>
        </w:rPr>
        <w:t>4</w:t>
      </w:r>
      <w:r w:rsidR="00C7347D" w:rsidRPr="005911E2">
        <w:rPr>
          <w:noProof/>
        </w:rPr>
        <w:fldChar w:fldCharType="end"/>
      </w:r>
      <w:r w:rsidRPr="005911E2">
        <w:noBreakHyphen/>
      </w:r>
      <w:r w:rsidR="00C7347D" w:rsidRPr="005911E2">
        <w:fldChar w:fldCharType="begin"/>
      </w:r>
      <w:r w:rsidR="00435FEB" w:rsidRPr="005911E2">
        <w:instrText xml:space="preserve"> SEQ Table \* ARABIC \s 1 </w:instrText>
      </w:r>
      <w:r w:rsidR="00C7347D" w:rsidRPr="005911E2">
        <w:fldChar w:fldCharType="separate"/>
      </w:r>
      <w:r w:rsidR="007D7E45">
        <w:rPr>
          <w:noProof/>
        </w:rPr>
        <w:t>4</w:t>
      </w:r>
      <w:r w:rsidR="00C7347D" w:rsidRPr="005911E2">
        <w:rPr>
          <w:noProof/>
        </w:rPr>
        <w:fldChar w:fldCharType="end"/>
      </w:r>
      <w:bookmarkEnd w:id="275"/>
      <w:r w:rsidRPr="005911E2">
        <w:tab/>
      </w:r>
      <w:r w:rsidR="006435C8">
        <w:t>Northern Territory,</w:t>
      </w:r>
      <w:r w:rsidRPr="005911E2">
        <w:t xml:space="preserve"> Indigenous people on income support in either July 2010 or October 2011, Movement between the old and new income management programs</w:t>
      </w:r>
      <w:bookmarkEnd w:id="276"/>
      <w:bookmarkEnd w:id="277"/>
      <w:bookmarkEnd w:id="278"/>
      <w:bookmarkEnd w:id="279"/>
      <w:bookmarkEnd w:id="280"/>
      <w:bookmarkEnd w:id="281"/>
    </w:p>
    <w:tbl>
      <w:tblPr>
        <w:tblW w:w="8709" w:type="dxa"/>
        <w:jc w:val="right"/>
        <w:tblLayout w:type="fixed"/>
        <w:tblCellMar>
          <w:top w:w="28" w:type="dxa"/>
          <w:bottom w:w="28" w:type="dxa"/>
        </w:tblCellMar>
        <w:tblLook w:val="04A0" w:firstRow="1" w:lastRow="0" w:firstColumn="1" w:lastColumn="0" w:noHBand="0" w:noVBand="1"/>
      </w:tblPr>
      <w:tblGrid>
        <w:gridCol w:w="1668"/>
        <w:gridCol w:w="1031"/>
        <w:gridCol w:w="992"/>
        <w:gridCol w:w="993"/>
        <w:gridCol w:w="1048"/>
        <w:gridCol w:w="1134"/>
        <w:gridCol w:w="992"/>
        <w:gridCol w:w="851"/>
      </w:tblGrid>
      <w:tr w:rsidR="0022069A" w:rsidRPr="005911E2" w:rsidTr="00943DCB">
        <w:trPr>
          <w:cantSplit/>
          <w:jc w:val="right"/>
        </w:trPr>
        <w:tc>
          <w:tcPr>
            <w:tcW w:w="1668" w:type="dxa"/>
            <w:vMerge w:val="restart"/>
            <w:tcBorders>
              <w:top w:val="single" w:sz="4" w:space="0" w:color="auto"/>
            </w:tcBorders>
            <w:tcMar>
              <w:left w:w="57" w:type="dxa"/>
              <w:right w:w="57" w:type="dxa"/>
            </w:tcMar>
          </w:tcPr>
          <w:p w:rsidR="0022069A" w:rsidRPr="005911E2" w:rsidRDefault="001721AF" w:rsidP="0022069A">
            <w:pPr>
              <w:pStyle w:val="TableText"/>
              <w:rPr>
                <w:szCs w:val="18"/>
              </w:rPr>
            </w:pPr>
            <w:r>
              <w:rPr>
                <w:szCs w:val="18"/>
              </w:rPr>
              <w:t xml:space="preserve">Status in July 2010 </w:t>
            </w:r>
            <w:r w:rsidR="0022069A" w:rsidRPr="005911E2">
              <w:rPr>
                <w:szCs w:val="18"/>
              </w:rPr>
              <w:t xml:space="preserve"> under NTER</w:t>
            </w:r>
          </w:p>
        </w:tc>
        <w:tc>
          <w:tcPr>
            <w:tcW w:w="7041" w:type="dxa"/>
            <w:gridSpan w:val="7"/>
            <w:tcBorders>
              <w:top w:val="single" w:sz="4" w:space="0" w:color="auto"/>
              <w:bottom w:val="single" w:sz="4" w:space="0" w:color="auto"/>
            </w:tcBorders>
            <w:tcMar>
              <w:left w:w="57" w:type="dxa"/>
              <w:right w:w="57" w:type="dxa"/>
            </w:tcMar>
          </w:tcPr>
          <w:p w:rsidR="0022069A" w:rsidRPr="005911E2" w:rsidRDefault="0022069A" w:rsidP="00A26515">
            <w:pPr>
              <w:pStyle w:val="TableText"/>
              <w:rPr>
                <w:szCs w:val="18"/>
              </w:rPr>
            </w:pPr>
            <w:r w:rsidRPr="005911E2">
              <w:rPr>
                <w:szCs w:val="18"/>
              </w:rPr>
              <w:t>Status in October 2011 Under NIM</w:t>
            </w:r>
          </w:p>
        </w:tc>
      </w:tr>
      <w:tr w:rsidR="0022069A" w:rsidRPr="005911E2" w:rsidTr="00943DCB">
        <w:trPr>
          <w:cantSplit/>
          <w:jc w:val="right"/>
        </w:trPr>
        <w:tc>
          <w:tcPr>
            <w:tcW w:w="1668" w:type="dxa"/>
            <w:vMerge/>
            <w:tcBorders>
              <w:bottom w:val="single" w:sz="4" w:space="0" w:color="auto"/>
            </w:tcBorders>
            <w:tcMar>
              <w:left w:w="57" w:type="dxa"/>
              <w:right w:w="57" w:type="dxa"/>
            </w:tcMar>
            <w:vAlign w:val="bottom"/>
          </w:tcPr>
          <w:p w:rsidR="0022069A" w:rsidRPr="005911E2" w:rsidRDefault="0022069A" w:rsidP="0022069A">
            <w:pPr>
              <w:pStyle w:val="TableText"/>
              <w:rPr>
                <w:szCs w:val="18"/>
              </w:rPr>
            </w:pPr>
          </w:p>
        </w:tc>
        <w:tc>
          <w:tcPr>
            <w:tcW w:w="1031" w:type="dxa"/>
            <w:tcBorders>
              <w:top w:val="single" w:sz="4" w:space="0" w:color="auto"/>
              <w:bottom w:val="single" w:sz="4" w:space="0" w:color="auto"/>
            </w:tcBorders>
            <w:tcMar>
              <w:left w:w="57" w:type="dxa"/>
              <w:right w:w="57" w:type="dxa"/>
            </w:tcMar>
          </w:tcPr>
          <w:p w:rsidR="0022069A" w:rsidRPr="005911E2" w:rsidRDefault="0022069A" w:rsidP="0022069A">
            <w:pPr>
              <w:pStyle w:val="TableText"/>
              <w:jc w:val="right"/>
              <w:rPr>
                <w:szCs w:val="18"/>
              </w:rPr>
            </w:pPr>
            <w:r w:rsidRPr="005911E2">
              <w:rPr>
                <w:szCs w:val="18"/>
              </w:rPr>
              <w:t>Compulsory IM</w:t>
            </w:r>
          </w:p>
        </w:tc>
        <w:tc>
          <w:tcPr>
            <w:tcW w:w="992" w:type="dxa"/>
            <w:tcBorders>
              <w:top w:val="single" w:sz="4" w:space="0" w:color="auto"/>
              <w:bottom w:val="single" w:sz="4" w:space="0" w:color="auto"/>
            </w:tcBorders>
            <w:shd w:val="clear" w:color="auto" w:fill="auto"/>
            <w:tcMar>
              <w:left w:w="57" w:type="dxa"/>
              <w:right w:w="57" w:type="dxa"/>
            </w:tcMar>
          </w:tcPr>
          <w:p w:rsidR="0022069A" w:rsidRPr="005911E2" w:rsidRDefault="0022069A" w:rsidP="0022069A">
            <w:pPr>
              <w:pStyle w:val="TableText"/>
              <w:jc w:val="right"/>
              <w:rPr>
                <w:szCs w:val="18"/>
              </w:rPr>
            </w:pPr>
            <w:r w:rsidRPr="005911E2">
              <w:rPr>
                <w:szCs w:val="18"/>
              </w:rPr>
              <w:t>Child protection IM</w:t>
            </w:r>
          </w:p>
        </w:tc>
        <w:tc>
          <w:tcPr>
            <w:tcW w:w="993" w:type="dxa"/>
            <w:tcBorders>
              <w:top w:val="single" w:sz="4" w:space="0" w:color="auto"/>
              <w:bottom w:val="single" w:sz="4" w:space="0" w:color="auto"/>
            </w:tcBorders>
            <w:shd w:val="clear" w:color="auto" w:fill="auto"/>
            <w:tcMar>
              <w:left w:w="57" w:type="dxa"/>
              <w:right w:w="57" w:type="dxa"/>
            </w:tcMar>
          </w:tcPr>
          <w:p w:rsidR="0022069A" w:rsidRPr="005911E2" w:rsidRDefault="0022069A" w:rsidP="0022069A">
            <w:pPr>
              <w:pStyle w:val="TableText"/>
              <w:jc w:val="right"/>
              <w:rPr>
                <w:szCs w:val="18"/>
              </w:rPr>
            </w:pPr>
            <w:r w:rsidRPr="005911E2">
              <w:rPr>
                <w:szCs w:val="18"/>
              </w:rPr>
              <w:t>Voluntary IM</w:t>
            </w:r>
          </w:p>
        </w:tc>
        <w:tc>
          <w:tcPr>
            <w:tcW w:w="1048" w:type="dxa"/>
            <w:tcBorders>
              <w:top w:val="single" w:sz="4" w:space="0" w:color="auto"/>
              <w:bottom w:val="single" w:sz="4" w:space="0" w:color="auto"/>
            </w:tcBorders>
            <w:shd w:val="clear" w:color="auto" w:fill="auto"/>
            <w:tcMar>
              <w:left w:w="57" w:type="dxa"/>
              <w:right w:w="57" w:type="dxa"/>
            </w:tcMar>
          </w:tcPr>
          <w:p w:rsidR="0022069A" w:rsidRPr="005911E2" w:rsidRDefault="0022069A" w:rsidP="0022069A">
            <w:pPr>
              <w:pStyle w:val="TableText"/>
              <w:jc w:val="right"/>
              <w:rPr>
                <w:szCs w:val="18"/>
              </w:rPr>
            </w:pPr>
            <w:r w:rsidRPr="005911E2">
              <w:rPr>
                <w:szCs w:val="18"/>
              </w:rPr>
              <w:t>Vulnerable IM</w:t>
            </w:r>
          </w:p>
        </w:tc>
        <w:tc>
          <w:tcPr>
            <w:tcW w:w="1134" w:type="dxa"/>
            <w:tcBorders>
              <w:top w:val="single" w:sz="4" w:space="0" w:color="auto"/>
              <w:bottom w:val="single" w:sz="4" w:space="0" w:color="auto"/>
            </w:tcBorders>
            <w:shd w:val="clear" w:color="auto" w:fill="auto"/>
            <w:tcMar>
              <w:left w:w="57" w:type="dxa"/>
              <w:right w:w="57" w:type="dxa"/>
            </w:tcMar>
          </w:tcPr>
          <w:p w:rsidR="0022069A" w:rsidRPr="005911E2" w:rsidRDefault="0022069A" w:rsidP="0022069A">
            <w:pPr>
              <w:pStyle w:val="TableText"/>
              <w:jc w:val="right"/>
              <w:rPr>
                <w:szCs w:val="18"/>
              </w:rPr>
            </w:pPr>
            <w:r w:rsidRPr="005911E2">
              <w:rPr>
                <w:szCs w:val="18"/>
              </w:rPr>
              <w:t>Not income managed</w:t>
            </w:r>
          </w:p>
        </w:tc>
        <w:tc>
          <w:tcPr>
            <w:tcW w:w="992" w:type="dxa"/>
            <w:tcBorders>
              <w:top w:val="single" w:sz="4" w:space="0" w:color="auto"/>
              <w:bottom w:val="single" w:sz="4" w:space="0" w:color="auto"/>
            </w:tcBorders>
            <w:shd w:val="clear" w:color="auto" w:fill="auto"/>
            <w:tcMar>
              <w:left w:w="57" w:type="dxa"/>
              <w:right w:w="57" w:type="dxa"/>
            </w:tcMar>
          </w:tcPr>
          <w:p w:rsidR="0022069A" w:rsidRPr="005911E2" w:rsidRDefault="0022069A" w:rsidP="0022069A">
            <w:pPr>
              <w:pStyle w:val="TableText"/>
              <w:jc w:val="right"/>
              <w:rPr>
                <w:szCs w:val="18"/>
              </w:rPr>
            </w:pPr>
            <w:r w:rsidRPr="005911E2">
              <w:rPr>
                <w:szCs w:val="18"/>
              </w:rPr>
              <w:t>Not in receipt of income support</w:t>
            </w:r>
          </w:p>
        </w:tc>
        <w:tc>
          <w:tcPr>
            <w:tcW w:w="851" w:type="dxa"/>
            <w:tcBorders>
              <w:top w:val="single" w:sz="4" w:space="0" w:color="auto"/>
              <w:bottom w:val="single" w:sz="4" w:space="0" w:color="auto"/>
            </w:tcBorders>
            <w:shd w:val="clear" w:color="auto" w:fill="auto"/>
            <w:tcMar>
              <w:left w:w="57" w:type="dxa"/>
              <w:right w:w="57" w:type="dxa"/>
            </w:tcMar>
          </w:tcPr>
          <w:p w:rsidR="0022069A" w:rsidRPr="005911E2" w:rsidRDefault="0022069A" w:rsidP="0022069A">
            <w:pPr>
              <w:pStyle w:val="TableText"/>
              <w:jc w:val="right"/>
              <w:rPr>
                <w:szCs w:val="18"/>
              </w:rPr>
            </w:pPr>
            <w:r w:rsidRPr="005911E2">
              <w:rPr>
                <w:szCs w:val="18"/>
              </w:rPr>
              <w:t>All</w:t>
            </w:r>
          </w:p>
        </w:tc>
      </w:tr>
      <w:tr w:rsidR="0022069A" w:rsidRPr="005911E2" w:rsidTr="00943DCB">
        <w:trPr>
          <w:cantSplit/>
          <w:jc w:val="right"/>
        </w:trPr>
        <w:tc>
          <w:tcPr>
            <w:tcW w:w="1668" w:type="dxa"/>
            <w:tcBorders>
              <w:top w:val="single" w:sz="4" w:space="0" w:color="auto"/>
            </w:tcBorders>
            <w:tcMar>
              <w:left w:w="57" w:type="dxa"/>
              <w:right w:w="57" w:type="dxa"/>
            </w:tcMar>
            <w:vAlign w:val="bottom"/>
          </w:tcPr>
          <w:p w:rsidR="0022069A" w:rsidRPr="005911E2" w:rsidRDefault="0022069A" w:rsidP="0022069A">
            <w:pPr>
              <w:pStyle w:val="TableText"/>
              <w:rPr>
                <w:szCs w:val="18"/>
              </w:rPr>
            </w:pPr>
            <w:r w:rsidRPr="005911E2">
              <w:rPr>
                <w:szCs w:val="18"/>
              </w:rPr>
              <w:t>NTER IM</w:t>
            </w:r>
          </w:p>
        </w:tc>
        <w:tc>
          <w:tcPr>
            <w:tcW w:w="1031" w:type="dxa"/>
            <w:tcBorders>
              <w:top w:val="single" w:sz="4" w:space="0" w:color="auto"/>
            </w:tcBorders>
            <w:tcMar>
              <w:left w:w="57" w:type="dxa"/>
              <w:right w:w="57" w:type="dxa"/>
            </w:tcMar>
            <w:vAlign w:val="bottom"/>
          </w:tcPr>
          <w:p w:rsidR="0022069A" w:rsidRPr="005911E2" w:rsidRDefault="0022069A" w:rsidP="000238F6">
            <w:pPr>
              <w:pStyle w:val="TableText"/>
              <w:jc w:val="right"/>
              <w:rPr>
                <w:szCs w:val="18"/>
              </w:rPr>
            </w:pPr>
            <w:r w:rsidRPr="005911E2">
              <w:rPr>
                <w:rFonts w:cs="Arial"/>
                <w:color w:val="000000"/>
                <w:szCs w:val="18"/>
                <w:lang w:eastAsia="en-AU" w:bidi="ar-SA"/>
              </w:rPr>
              <w:t>7</w:t>
            </w:r>
            <w:r w:rsidR="001B4FC7">
              <w:rPr>
                <w:rFonts w:cs="Arial"/>
                <w:color w:val="000000"/>
                <w:szCs w:val="18"/>
                <w:lang w:eastAsia="en-AU" w:bidi="ar-SA"/>
              </w:rPr>
              <w:t> </w:t>
            </w:r>
            <w:r w:rsidRPr="005911E2">
              <w:rPr>
                <w:rFonts w:cs="Arial"/>
                <w:color w:val="000000"/>
                <w:szCs w:val="18"/>
                <w:lang w:eastAsia="en-AU" w:bidi="ar-SA"/>
              </w:rPr>
              <w:t>316</w:t>
            </w:r>
          </w:p>
        </w:tc>
        <w:tc>
          <w:tcPr>
            <w:tcW w:w="992" w:type="dxa"/>
            <w:tcBorders>
              <w:top w:val="single" w:sz="4" w:space="0" w:color="auto"/>
            </w:tcBorders>
            <w:shd w:val="clear" w:color="auto" w:fill="auto"/>
            <w:tcMar>
              <w:left w:w="57" w:type="dxa"/>
              <w:right w:w="57" w:type="dxa"/>
            </w:tcMar>
            <w:vAlign w:val="bottom"/>
          </w:tcPr>
          <w:p w:rsidR="0022069A" w:rsidRPr="005911E2" w:rsidRDefault="0022069A" w:rsidP="0022069A">
            <w:pPr>
              <w:pStyle w:val="TableText"/>
              <w:jc w:val="right"/>
              <w:rPr>
                <w:szCs w:val="18"/>
              </w:rPr>
            </w:pPr>
            <w:r w:rsidRPr="005911E2">
              <w:rPr>
                <w:rFonts w:cs="Arial"/>
                <w:color w:val="000000"/>
                <w:szCs w:val="18"/>
                <w:lang w:eastAsia="en-AU" w:bidi="ar-SA"/>
              </w:rPr>
              <w:t>29</w:t>
            </w:r>
          </w:p>
        </w:tc>
        <w:tc>
          <w:tcPr>
            <w:tcW w:w="993" w:type="dxa"/>
            <w:tcBorders>
              <w:top w:val="single" w:sz="4" w:space="0" w:color="auto"/>
            </w:tcBorders>
            <w:shd w:val="clear" w:color="auto" w:fill="auto"/>
            <w:tcMar>
              <w:left w:w="57" w:type="dxa"/>
              <w:right w:w="57" w:type="dxa"/>
            </w:tcMar>
            <w:vAlign w:val="bottom"/>
          </w:tcPr>
          <w:p w:rsidR="0022069A" w:rsidRPr="005911E2" w:rsidRDefault="0022069A" w:rsidP="000238F6">
            <w:pPr>
              <w:pStyle w:val="TableText"/>
              <w:jc w:val="right"/>
              <w:rPr>
                <w:szCs w:val="18"/>
              </w:rPr>
            </w:pPr>
            <w:r w:rsidRPr="005911E2">
              <w:rPr>
                <w:rFonts w:cs="Arial"/>
                <w:color w:val="000000"/>
                <w:szCs w:val="18"/>
                <w:lang w:eastAsia="en-AU" w:bidi="ar-SA"/>
              </w:rPr>
              <w:t>3</w:t>
            </w:r>
            <w:r w:rsidR="001B4FC7">
              <w:rPr>
                <w:rFonts w:cs="Arial"/>
                <w:color w:val="000000"/>
                <w:szCs w:val="18"/>
                <w:lang w:eastAsia="en-AU" w:bidi="ar-SA"/>
              </w:rPr>
              <w:t> </w:t>
            </w:r>
            <w:r w:rsidRPr="005911E2">
              <w:rPr>
                <w:rFonts w:cs="Arial"/>
                <w:color w:val="000000"/>
                <w:szCs w:val="18"/>
                <w:lang w:eastAsia="en-AU" w:bidi="ar-SA"/>
              </w:rPr>
              <w:t>741</w:t>
            </w:r>
          </w:p>
        </w:tc>
        <w:tc>
          <w:tcPr>
            <w:tcW w:w="1048" w:type="dxa"/>
            <w:tcBorders>
              <w:top w:val="single" w:sz="4" w:space="0" w:color="auto"/>
            </w:tcBorders>
            <w:shd w:val="clear" w:color="auto" w:fill="auto"/>
            <w:tcMar>
              <w:left w:w="57" w:type="dxa"/>
              <w:right w:w="57" w:type="dxa"/>
            </w:tcMar>
            <w:vAlign w:val="bottom"/>
          </w:tcPr>
          <w:p w:rsidR="0022069A" w:rsidRPr="005911E2" w:rsidRDefault="0022069A" w:rsidP="0022069A">
            <w:pPr>
              <w:pStyle w:val="TableText"/>
              <w:jc w:val="right"/>
              <w:rPr>
                <w:szCs w:val="18"/>
              </w:rPr>
            </w:pPr>
            <w:r w:rsidRPr="005911E2">
              <w:rPr>
                <w:rFonts w:cs="Arial"/>
                <w:color w:val="000000"/>
                <w:szCs w:val="18"/>
                <w:lang w:eastAsia="en-AU" w:bidi="ar-SA"/>
              </w:rPr>
              <w:t>162</w:t>
            </w:r>
          </w:p>
        </w:tc>
        <w:tc>
          <w:tcPr>
            <w:tcW w:w="1134" w:type="dxa"/>
            <w:tcBorders>
              <w:top w:val="single" w:sz="4" w:space="0" w:color="auto"/>
            </w:tcBorders>
            <w:shd w:val="clear" w:color="auto" w:fill="auto"/>
            <w:tcMar>
              <w:left w:w="57" w:type="dxa"/>
              <w:right w:w="57" w:type="dxa"/>
            </w:tcMar>
            <w:vAlign w:val="bottom"/>
          </w:tcPr>
          <w:p w:rsidR="0022069A" w:rsidRPr="005911E2" w:rsidRDefault="0022069A" w:rsidP="000238F6">
            <w:pPr>
              <w:pStyle w:val="TableText"/>
              <w:jc w:val="right"/>
              <w:rPr>
                <w:szCs w:val="18"/>
              </w:rPr>
            </w:pPr>
            <w:r w:rsidRPr="005911E2">
              <w:rPr>
                <w:rFonts w:cs="Arial"/>
                <w:color w:val="000000"/>
                <w:szCs w:val="18"/>
                <w:lang w:eastAsia="en-AU" w:bidi="ar-SA"/>
              </w:rPr>
              <w:t>2</w:t>
            </w:r>
            <w:r w:rsidR="001B4FC7">
              <w:rPr>
                <w:rFonts w:cs="Arial"/>
                <w:color w:val="000000"/>
                <w:szCs w:val="18"/>
                <w:lang w:eastAsia="en-AU" w:bidi="ar-SA"/>
              </w:rPr>
              <w:t> </w:t>
            </w:r>
            <w:r w:rsidRPr="005911E2">
              <w:rPr>
                <w:rFonts w:cs="Arial"/>
                <w:color w:val="000000"/>
                <w:szCs w:val="18"/>
                <w:lang w:eastAsia="en-AU" w:bidi="ar-SA"/>
              </w:rPr>
              <w:t>699</w:t>
            </w:r>
          </w:p>
        </w:tc>
        <w:tc>
          <w:tcPr>
            <w:tcW w:w="992" w:type="dxa"/>
            <w:tcBorders>
              <w:top w:val="single" w:sz="4" w:space="0" w:color="auto"/>
            </w:tcBorders>
            <w:shd w:val="clear" w:color="auto" w:fill="auto"/>
            <w:tcMar>
              <w:left w:w="57" w:type="dxa"/>
              <w:right w:w="57" w:type="dxa"/>
            </w:tcMar>
            <w:vAlign w:val="bottom"/>
          </w:tcPr>
          <w:p w:rsidR="0022069A" w:rsidRPr="005911E2" w:rsidRDefault="0022069A" w:rsidP="000238F6">
            <w:pPr>
              <w:pStyle w:val="TableText"/>
              <w:jc w:val="right"/>
              <w:rPr>
                <w:szCs w:val="18"/>
              </w:rPr>
            </w:pPr>
            <w:r w:rsidRPr="005911E2">
              <w:rPr>
                <w:rFonts w:cs="Arial"/>
                <w:color w:val="000000"/>
                <w:szCs w:val="18"/>
                <w:lang w:eastAsia="en-AU" w:bidi="ar-SA"/>
              </w:rPr>
              <w:t>2</w:t>
            </w:r>
            <w:r w:rsidR="001B4FC7">
              <w:rPr>
                <w:rFonts w:cs="Arial"/>
                <w:color w:val="000000"/>
                <w:szCs w:val="18"/>
                <w:lang w:eastAsia="en-AU" w:bidi="ar-SA"/>
              </w:rPr>
              <w:t> </w:t>
            </w:r>
            <w:r w:rsidRPr="005911E2">
              <w:rPr>
                <w:rFonts w:cs="Arial"/>
                <w:color w:val="000000"/>
                <w:szCs w:val="18"/>
                <w:lang w:eastAsia="en-AU" w:bidi="ar-SA"/>
              </w:rPr>
              <w:t>562</w:t>
            </w:r>
          </w:p>
        </w:tc>
        <w:tc>
          <w:tcPr>
            <w:tcW w:w="851" w:type="dxa"/>
            <w:tcBorders>
              <w:top w:val="single" w:sz="4" w:space="0" w:color="auto"/>
            </w:tcBorders>
            <w:shd w:val="clear" w:color="auto" w:fill="auto"/>
            <w:tcMar>
              <w:left w:w="57" w:type="dxa"/>
              <w:right w:w="57" w:type="dxa"/>
            </w:tcMar>
            <w:vAlign w:val="bottom"/>
          </w:tcPr>
          <w:p w:rsidR="0022069A" w:rsidRPr="005911E2" w:rsidRDefault="0022069A" w:rsidP="000238F6">
            <w:pPr>
              <w:pStyle w:val="TableText"/>
              <w:jc w:val="right"/>
              <w:rPr>
                <w:szCs w:val="18"/>
              </w:rPr>
            </w:pPr>
            <w:r w:rsidRPr="005911E2">
              <w:rPr>
                <w:rFonts w:cs="Arial"/>
                <w:color w:val="000000"/>
                <w:szCs w:val="18"/>
                <w:lang w:eastAsia="en-AU" w:bidi="ar-SA"/>
              </w:rPr>
              <w:t>16</w:t>
            </w:r>
            <w:r w:rsidR="001B4FC7">
              <w:rPr>
                <w:rFonts w:cs="Arial"/>
                <w:color w:val="000000"/>
                <w:szCs w:val="18"/>
                <w:lang w:eastAsia="en-AU" w:bidi="ar-SA"/>
              </w:rPr>
              <w:t> </w:t>
            </w:r>
            <w:r w:rsidRPr="005911E2">
              <w:rPr>
                <w:rFonts w:cs="Arial"/>
                <w:color w:val="000000"/>
                <w:szCs w:val="18"/>
                <w:lang w:eastAsia="en-AU" w:bidi="ar-SA"/>
              </w:rPr>
              <w:t>509</w:t>
            </w:r>
          </w:p>
        </w:tc>
      </w:tr>
      <w:tr w:rsidR="0022069A" w:rsidRPr="005911E2" w:rsidTr="00943DCB">
        <w:trPr>
          <w:cantSplit/>
          <w:jc w:val="right"/>
        </w:trPr>
        <w:tc>
          <w:tcPr>
            <w:tcW w:w="1668" w:type="dxa"/>
            <w:tcMar>
              <w:left w:w="57" w:type="dxa"/>
              <w:right w:w="57" w:type="dxa"/>
            </w:tcMar>
            <w:vAlign w:val="bottom"/>
          </w:tcPr>
          <w:p w:rsidR="0022069A" w:rsidRPr="005911E2" w:rsidRDefault="0022069A" w:rsidP="0022069A">
            <w:pPr>
              <w:pStyle w:val="TableText"/>
              <w:ind w:left="142" w:hanging="142"/>
              <w:rPr>
                <w:szCs w:val="18"/>
              </w:rPr>
            </w:pPr>
            <w:r w:rsidRPr="005911E2">
              <w:rPr>
                <w:szCs w:val="18"/>
              </w:rPr>
              <w:t>Not income managed</w:t>
            </w:r>
          </w:p>
        </w:tc>
        <w:tc>
          <w:tcPr>
            <w:tcW w:w="1031" w:type="dxa"/>
            <w:tcMar>
              <w:left w:w="57" w:type="dxa"/>
              <w:right w:w="57" w:type="dxa"/>
            </w:tcMar>
            <w:vAlign w:val="bottom"/>
          </w:tcPr>
          <w:p w:rsidR="0022069A" w:rsidRPr="005911E2" w:rsidRDefault="0022069A" w:rsidP="000238F6">
            <w:pPr>
              <w:pStyle w:val="TableText"/>
              <w:jc w:val="right"/>
              <w:rPr>
                <w:szCs w:val="18"/>
              </w:rPr>
            </w:pPr>
            <w:r w:rsidRPr="005911E2">
              <w:rPr>
                <w:rFonts w:cs="Arial"/>
                <w:color w:val="000000"/>
                <w:szCs w:val="18"/>
                <w:lang w:eastAsia="en-AU" w:bidi="ar-SA"/>
              </w:rPr>
              <w:t>1</w:t>
            </w:r>
            <w:r w:rsidR="001B4FC7">
              <w:rPr>
                <w:rFonts w:cs="Arial"/>
                <w:color w:val="000000"/>
                <w:szCs w:val="18"/>
                <w:lang w:eastAsia="en-AU" w:bidi="ar-SA"/>
              </w:rPr>
              <w:t> </w:t>
            </w:r>
            <w:r w:rsidRPr="005911E2">
              <w:rPr>
                <w:rFonts w:cs="Arial"/>
                <w:color w:val="000000"/>
                <w:szCs w:val="18"/>
                <w:lang w:eastAsia="en-AU" w:bidi="ar-SA"/>
              </w:rPr>
              <w:t>441</w:t>
            </w:r>
          </w:p>
        </w:tc>
        <w:tc>
          <w:tcPr>
            <w:tcW w:w="992" w:type="dxa"/>
            <w:shd w:val="clear" w:color="auto" w:fill="auto"/>
            <w:tcMar>
              <w:left w:w="57" w:type="dxa"/>
              <w:right w:w="57" w:type="dxa"/>
            </w:tcMar>
            <w:vAlign w:val="bottom"/>
          </w:tcPr>
          <w:p w:rsidR="0022069A" w:rsidRPr="005911E2" w:rsidRDefault="00136CFE" w:rsidP="0022069A">
            <w:pPr>
              <w:pStyle w:val="TableText"/>
              <w:jc w:val="right"/>
              <w:rPr>
                <w:szCs w:val="18"/>
              </w:rPr>
            </w:pPr>
            <w:r>
              <w:rPr>
                <w:rFonts w:cs="Arial"/>
                <w:color w:val="000000"/>
                <w:szCs w:val="18"/>
                <w:lang w:eastAsia="en-AU" w:bidi="ar-SA"/>
              </w:rPr>
              <w:t>3</w:t>
            </w:r>
          </w:p>
        </w:tc>
        <w:tc>
          <w:tcPr>
            <w:tcW w:w="993" w:type="dxa"/>
            <w:shd w:val="clear" w:color="auto" w:fill="auto"/>
            <w:tcMar>
              <w:left w:w="57" w:type="dxa"/>
              <w:right w:w="57" w:type="dxa"/>
            </w:tcMar>
            <w:vAlign w:val="bottom"/>
          </w:tcPr>
          <w:p w:rsidR="0022069A" w:rsidRPr="005911E2" w:rsidRDefault="00136CFE" w:rsidP="00136CFE">
            <w:pPr>
              <w:pStyle w:val="TableText"/>
              <w:jc w:val="right"/>
              <w:rPr>
                <w:szCs w:val="18"/>
              </w:rPr>
            </w:pPr>
            <w:r w:rsidRPr="005911E2">
              <w:rPr>
                <w:rFonts w:cs="Arial"/>
                <w:color w:val="000000"/>
                <w:szCs w:val="18"/>
                <w:lang w:eastAsia="en-AU" w:bidi="ar-SA"/>
              </w:rPr>
              <w:t>15</w:t>
            </w:r>
            <w:r>
              <w:rPr>
                <w:rFonts w:cs="Arial"/>
                <w:color w:val="000000"/>
                <w:szCs w:val="18"/>
                <w:lang w:eastAsia="en-AU" w:bidi="ar-SA"/>
              </w:rPr>
              <w:t>6</w:t>
            </w:r>
          </w:p>
        </w:tc>
        <w:tc>
          <w:tcPr>
            <w:tcW w:w="1048" w:type="dxa"/>
            <w:shd w:val="clear" w:color="auto" w:fill="auto"/>
            <w:tcMar>
              <w:left w:w="57" w:type="dxa"/>
              <w:right w:w="57" w:type="dxa"/>
            </w:tcMar>
            <w:vAlign w:val="bottom"/>
          </w:tcPr>
          <w:p w:rsidR="0022069A" w:rsidRPr="005911E2" w:rsidRDefault="0022069A" w:rsidP="0022069A">
            <w:pPr>
              <w:pStyle w:val="TableText"/>
              <w:jc w:val="right"/>
              <w:rPr>
                <w:szCs w:val="18"/>
              </w:rPr>
            </w:pPr>
            <w:r w:rsidRPr="005911E2">
              <w:rPr>
                <w:rFonts w:cs="Arial"/>
                <w:color w:val="000000"/>
                <w:szCs w:val="18"/>
                <w:lang w:eastAsia="en-AU" w:bidi="ar-SA"/>
              </w:rPr>
              <w:t>19</w:t>
            </w:r>
          </w:p>
        </w:tc>
        <w:tc>
          <w:tcPr>
            <w:tcW w:w="1134" w:type="dxa"/>
            <w:shd w:val="clear" w:color="auto" w:fill="auto"/>
            <w:tcMar>
              <w:left w:w="57" w:type="dxa"/>
              <w:right w:w="57" w:type="dxa"/>
            </w:tcMar>
            <w:vAlign w:val="bottom"/>
          </w:tcPr>
          <w:p w:rsidR="0022069A" w:rsidRPr="005911E2" w:rsidRDefault="0022069A" w:rsidP="000238F6">
            <w:pPr>
              <w:pStyle w:val="TableText"/>
              <w:jc w:val="right"/>
              <w:rPr>
                <w:szCs w:val="18"/>
              </w:rPr>
            </w:pPr>
            <w:r w:rsidRPr="005911E2">
              <w:rPr>
                <w:rFonts w:cs="Arial"/>
                <w:color w:val="000000"/>
                <w:szCs w:val="18"/>
                <w:lang w:eastAsia="en-AU" w:bidi="ar-SA"/>
              </w:rPr>
              <w:t>1</w:t>
            </w:r>
            <w:r w:rsidR="001B4FC7">
              <w:rPr>
                <w:rFonts w:cs="Arial"/>
                <w:color w:val="000000"/>
                <w:szCs w:val="18"/>
                <w:lang w:eastAsia="en-AU" w:bidi="ar-SA"/>
              </w:rPr>
              <w:t> </w:t>
            </w:r>
            <w:r w:rsidRPr="005911E2">
              <w:rPr>
                <w:rFonts w:cs="Arial"/>
                <w:color w:val="000000"/>
                <w:szCs w:val="18"/>
                <w:lang w:eastAsia="en-AU" w:bidi="ar-SA"/>
              </w:rPr>
              <w:t>273</w:t>
            </w:r>
          </w:p>
        </w:tc>
        <w:tc>
          <w:tcPr>
            <w:tcW w:w="992" w:type="dxa"/>
            <w:shd w:val="clear" w:color="auto" w:fill="auto"/>
            <w:tcMar>
              <w:left w:w="57" w:type="dxa"/>
              <w:right w:w="57" w:type="dxa"/>
            </w:tcMar>
            <w:vAlign w:val="bottom"/>
          </w:tcPr>
          <w:p w:rsidR="0022069A" w:rsidRPr="005911E2" w:rsidRDefault="0022069A" w:rsidP="0022069A">
            <w:pPr>
              <w:pStyle w:val="TableText"/>
              <w:jc w:val="right"/>
              <w:rPr>
                <w:szCs w:val="18"/>
              </w:rPr>
            </w:pPr>
            <w:r w:rsidRPr="005911E2">
              <w:rPr>
                <w:rFonts w:cs="Arial"/>
                <w:color w:val="000000"/>
                <w:szCs w:val="18"/>
                <w:lang w:eastAsia="en-AU" w:bidi="ar-SA"/>
              </w:rPr>
              <w:t>515</w:t>
            </w:r>
          </w:p>
        </w:tc>
        <w:tc>
          <w:tcPr>
            <w:tcW w:w="851" w:type="dxa"/>
            <w:shd w:val="clear" w:color="auto" w:fill="auto"/>
            <w:tcMar>
              <w:left w:w="57" w:type="dxa"/>
              <w:right w:w="57" w:type="dxa"/>
            </w:tcMar>
            <w:vAlign w:val="bottom"/>
          </w:tcPr>
          <w:p w:rsidR="0022069A" w:rsidRPr="005911E2" w:rsidRDefault="0022069A" w:rsidP="000238F6">
            <w:pPr>
              <w:pStyle w:val="TableText"/>
              <w:jc w:val="right"/>
              <w:rPr>
                <w:szCs w:val="18"/>
              </w:rPr>
            </w:pPr>
            <w:r w:rsidRPr="005911E2">
              <w:rPr>
                <w:rFonts w:cs="Arial"/>
                <w:color w:val="000000"/>
                <w:szCs w:val="18"/>
                <w:lang w:eastAsia="en-AU" w:bidi="ar-SA"/>
              </w:rPr>
              <w:t>3</w:t>
            </w:r>
            <w:r w:rsidR="001B4FC7">
              <w:rPr>
                <w:rFonts w:cs="Arial"/>
                <w:color w:val="000000"/>
                <w:szCs w:val="18"/>
                <w:lang w:eastAsia="en-AU" w:bidi="ar-SA"/>
              </w:rPr>
              <w:t> </w:t>
            </w:r>
            <w:r w:rsidRPr="005911E2">
              <w:rPr>
                <w:rFonts w:cs="Arial"/>
                <w:color w:val="000000"/>
                <w:szCs w:val="18"/>
                <w:lang w:eastAsia="en-AU" w:bidi="ar-SA"/>
              </w:rPr>
              <w:t>407</w:t>
            </w:r>
          </w:p>
        </w:tc>
      </w:tr>
      <w:tr w:rsidR="0022069A" w:rsidRPr="005911E2" w:rsidTr="00943DCB">
        <w:trPr>
          <w:cantSplit/>
          <w:jc w:val="right"/>
        </w:trPr>
        <w:tc>
          <w:tcPr>
            <w:tcW w:w="1668" w:type="dxa"/>
            <w:tcBorders>
              <w:bottom w:val="single" w:sz="4" w:space="0" w:color="auto"/>
            </w:tcBorders>
            <w:tcMar>
              <w:left w:w="57" w:type="dxa"/>
              <w:right w:w="57" w:type="dxa"/>
            </w:tcMar>
            <w:vAlign w:val="bottom"/>
          </w:tcPr>
          <w:p w:rsidR="0022069A" w:rsidRPr="005911E2" w:rsidRDefault="0022069A" w:rsidP="0022069A">
            <w:pPr>
              <w:pStyle w:val="TableText"/>
              <w:ind w:left="142" w:hanging="142"/>
              <w:rPr>
                <w:szCs w:val="18"/>
              </w:rPr>
            </w:pPr>
            <w:r w:rsidRPr="005911E2">
              <w:rPr>
                <w:szCs w:val="18"/>
              </w:rPr>
              <w:t>Not in receipt of income support</w:t>
            </w:r>
          </w:p>
        </w:tc>
        <w:tc>
          <w:tcPr>
            <w:tcW w:w="1031" w:type="dxa"/>
            <w:tcBorders>
              <w:bottom w:val="single" w:sz="4" w:space="0" w:color="auto"/>
            </w:tcBorders>
            <w:tcMar>
              <w:left w:w="57" w:type="dxa"/>
              <w:right w:w="57" w:type="dxa"/>
            </w:tcMar>
            <w:vAlign w:val="bottom"/>
          </w:tcPr>
          <w:p w:rsidR="0022069A" w:rsidRPr="005911E2" w:rsidRDefault="0022069A" w:rsidP="000238F6">
            <w:pPr>
              <w:pStyle w:val="TableText"/>
              <w:jc w:val="right"/>
              <w:rPr>
                <w:szCs w:val="18"/>
              </w:rPr>
            </w:pPr>
            <w:r w:rsidRPr="005911E2">
              <w:rPr>
                <w:rFonts w:cs="Arial"/>
                <w:color w:val="000000"/>
                <w:szCs w:val="18"/>
                <w:lang w:eastAsia="en-AU" w:bidi="ar-SA"/>
              </w:rPr>
              <w:t>1</w:t>
            </w:r>
            <w:r w:rsidR="001B4FC7">
              <w:rPr>
                <w:rFonts w:cs="Arial"/>
                <w:color w:val="000000"/>
                <w:szCs w:val="18"/>
                <w:lang w:eastAsia="en-AU" w:bidi="ar-SA"/>
              </w:rPr>
              <w:t> </w:t>
            </w:r>
            <w:r w:rsidRPr="005911E2">
              <w:rPr>
                <w:rFonts w:cs="Arial"/>
                <w:color w:val="000000"/>
                <w:szCs w:val="18"/>
                <w:lang w:eastAsia="en-AU" w:bidi="ar-SA"/>
              </w:rPr>
              <w:t>805</w:t>
            </w:r>
          </w:p>
        </w:tc>
        <w:tc>
          <w:tcPr>
            <w:tcW w:w="992" w:type="dxa"/>
            <w:tcBorders>
              <w:bottom w:val="single" w:sz="4" w:space="0" w:color="auto"/>
            </w:tcBorders>
            <w:shd w:val="clear" w:color="auto" w:fill="auto"/>
            <w:tcMar>
              <w:left w:w="57" w:type="dxa"/>
              <w:right w:w="57" w:type="dxa"/>
            </w:tcMar>
            <w:vAlign w:val="bottom"/>
          </w:tcPr>
          <w:p w:rsidR="0022069A" w:rsidRPr="005911E2" w:rsidRDefault="00136CFE" w:rsidP="0022069A">
            <w:pPr>
              <w:pStyle w:val="TableText"/>
              <w:jc w:val="right"/>
              <w:rPr>
                <w:szCs w:val="18"/>
              </w:rPr>
            </w:pPr>
            <w:r>
              <w:rPr>
                <w:rFonts w:cs="Arial"/>
                <w:color w:val="000000"/>
                <w:szCs w:val="18"/>
                <w:lang w:eastAsia="en-AU" w:bidi="ar-SA"/>
              </w:rPr>
              <w:t>8</w:t>
            </w:r>
          </w:p>
        </w:tc>
        <w:tc>
          <w:tcPr>
            <w:tcW w:w="993" w:type="dxa"/>
            <w:tcBorders>
              <w:bottom w:val="single" w:sz="4" w:space="0" w:color="auto"/>
            </w:tcBorders>
            <w:shd w:val="clear" w:color="auto" w:fill="auto"/>
            <w:tcMar>
              <w:left w:w="57" w:type="dxa"/>
              <w:right w:w="57" w:type="dxa"/>
            </w:tcMar>
            <w:vAlign w:val="bottom"/>
          </w:tcPr>
          <w:p w:rsidR="0022069A" w:rsidRPr="005911E2" w:rsidRDefault="00136CFE" w:rsidP="00136CFE">
            <w:pPr>
              <w:pStyle w:val="TableText"/>
              <w:jc w:val="right"/>
              <w:rPr>
                <w:szCs w:val="18"/>
              </w:rPr>
            </w:pPr>
            <w:r w:rsidRPr="005911E2">
              <w:rPr>
                <w:rFonts w:cs="Arial"/>
                <w:color w:val="000000"/>
                <w:szCs w:val="18"/>
                <w:lang w:eastAsia="en-AU" w:bidi="ar-SA"/>
              </w:rPr>
              <w:t>23</w:t>
            </w:r>
            <w:r>
              <w:rPr>
                <w:rFonts w:cs="Arial"/>
                <w:color w:val="000000"/>
                <w:szCs w:val="18"/>
                <w:lang w:eastAsia="en-AU" w:bidi="ar-SA"/>
              </w:rPr>
              <w:t>3</w:t>
            </w:r>
          </w:p>
        </w:tc>
        <w:tc>
          <w:tcPr>
            <w:tcW w:w="1048" w:type="dxa"/>
            <w:tcBorders>
              <w:bottom w:val="single" w:sz="4" w:space="0" w:color="auto"/>
            </w:tcBorders>
            <w:shd w:val="clear" w:color="auto" w:fill="auto"/>
            <w:tcMar>
              <w:left w:w="57" w:type="dxa"/>
              <w:right w:w="57" w:type="dxa"/>
            </w:tcMar>
            <w:vAlign w:val="bottom"/>
          </w:tcPr>
          <w:p w:rsidR="0022069A" w:rsidRPr="005911E2" w:rsidRDefault="0022069A" w:rsidP="0022069A">
            <w:pPr>
              <w:pStyle w:val="TableText"/>
              <w:jc w:val="right"/>
              <w:rPr>
                <w:szCs w:val="18"/>
              </w:rPr>
            </w:pPr>
            <w:r w:rsidRPr="005911E2">
              <w:rPr>
                <w:rFonts w:cs="Arial"/>
                <w:color w:val="000000"/>
                <w:szCs w:val="18"/>
                <w:lang w:eastAsia="en-AU" w:bidi="ar-SA"/>
              </w:rPr>
              <w:t>11</w:t>
            </w:r>
          </w:p>
        </w:tc>
        <w:tc>
          <w:tcPr>
            <w:tcW w:w="1134" w:type="dxa"/>
            <w:tcBorders>
              <w:bottom w:val="single" w:sz="4" w:space="0" w:color="auto"/>
            </w:tcBorders>
            <w:shd w:val="clear" w:color="auto" w:fill="auto"/>
            <w:tcMar>
              <w:left w:w="57" w:type="dxa"/>
              <w:right w:w="57" w:type="dxa"/>
            </w:tcMar>
            <w:vAlign w:val="bottom"/>
          </w:tcPr>
          <w:p w:rsidR="0022069A" w:rsidRPr="005911E2" w:rsidRDefault="0022069A" w:rsidP="000238F6">
            <w:pPr>
              <w:pStyle w:val="TableText"/>
              <w:jc w:val="right"/>
              <w:rPr>
                <w:szCs w:val="18"/>
              </w:rPr>
            </w:pPr>
            <w:r w:rsidRPr="005911E2">
              <w:rPr>
                <w:rFonts w:cs="Arial"/>
                <w:color w:val="000000"/>
                <w:szCs w:val="18"/>
                <w:lang w:eastAsia="en-AU" w:bidi="ar-SA"/>
              </w:rPr>
              <w:t>1</w:t>
            </w:r>
            <w:r w:rsidR="001B4FC7">
              <w:rPr>
                <w:rFonts w:cs="Arial"/>
                <w:color w:val="000000"/>
                <w:szCs w:val="18"/>
                <w:lang w:eastAsia="en-AU" w:bidi="ar-SA"/>
              </w:rPr>
              <w:t> </w:t>
            </w:r>
            <w:r w:rsidRPr="005911E2">
              <w:rPr>
                <w:rFonts w:cs="Arial"/>
                <w:color w:val="000000"/>
                <w:szCs w:val="18"/>
                <w:lang w:eastAsia="en-AU" w:bidi="ar-SA"/>
              </w:rPr>
              <w:t>230</w:t>
            </w:r>
          </w:p>
        </w:tc>
        <w:tc>
          <w:tcPr>
            <w:tcW w:w="992" w:type="dxa"/>
            <w:tcBorders>
              <w:bottom w:val="single" w:sz="4" w:space="0" w:color="auto"/>
            </w:tcBorders>
            <w:shd w:val="clear" w:color="auto" w:fill="auto"/>
            <w:tcMar>
              <w:left w:w="57" w:type="dxa"/>
              <w:right w:w="57" w:type="dxa"/>
            </w:tcMar>
            <w:vAlign w:val="bottom"/>
          </w:tcPr>
          <w:p w:rsidR="0022069A" w:rsidRPr="005911E2" w:rsidRDefault="0022069A" w:rsidP="0022069A">
            <w:pPr>
              <w:pStyle w:val="TableText"/>
              <w:jc w:val="right"/>
              <w:rPr>
                <w:szCs w:val="18"/>
              </w:rPr>
            </w:pPr>
            <w:r w:rsidRPr="005911E2">
              <w:rPr>
                <w:rFonts w:cs="Arial"/>
                <w:color w:val="000000"/>
                <w:szCs w:val="18"/>
                <w:lang w:eastAsia="en-AU" w:bidi="ar-SA"/>
              </w:rPr>
              <w:t>na</w:t>
            </w:r>
          </w:p>
        </w:tc>
        <w:tc>
          <w:tcPr>
            <w:tcW w:w="851" w:type="dxa"/>
            <w:tcBorders>
              <w:bottom w:val="single" w:sz="4" w:space="0" w:color="auto"/>
            </w:tcBorders>
            <w:shd w:val="clear" w:color="auto" w:fill="auto"/>
            <w:tcMar>
              <w:left w:w="57" w:type="dxa"/>
              <w:right w:w="57" w:type="dxa"/>
            </w:tcMar>
            <w:vAlign w:val="bottom"/>
          </w:tcPr>
          <w:p w:rsidR="0022069A" w:rsidRPr="005911E2" w:rsidRDefault="0022069A" w:rsidP="000238F6">
            <w:pPr>
              <w:pStyle w:val="TableText"/>
              <w:jc w:val="right"/>
              <w:rPr>
                <w:szCs w:val="18"/>
              </w:rPr>
            </w:pPr>
            <w:r w:rsidRPr="005911E2">
              <w:rPr>
                <w:rFonts w:cs="Arial"/>
                <w:color w:val="000000"/>
                <w:szCs w:val="18"/>
                <w:lang w:eastAsia="en-AU" w:bidi="ar-SA"/>
              </w:rPr>
              <w:t>3</w:t>
            </w:r>
            <w:r w:rsidR="001B4FC7">
              <w:rPr>
                <w:rFonts w:cs="Arial"/>
                <w:color w:val="000000"/>
                <w:szCs w:val="18"/>
                <w:lang w:eastAsia="en-AU" w:bidi="ar-SA"/>
              </w:rPr>
              <w:t> </w:t>
            </w:r>
            <w:r w:rsidRPr="005911E2">
              <w:rPr>
                <w:rFonts w:cs="Arial"/>
                <w:color w:val="000000"/>
                <w:szCs w:val="18"/>
                <w:lang w:eastAsia="en-AU" w:bidi="ar-SA"/>
              </w:rPr>
              <w:t>287</w:t>
            </w:r>
          </w:p>
        </w:tc>
      </w:tr>
      <w:tr w:rsidR="0022069A" w:rsidRPr="005911E2" w:rsidTr="00943DCB">
        <w:trPr>
          <w:cantSplit/>
          <w:jc w:val="right"/>
        </w:trPr>
        <w:tc>
          <w:tcPr>
            <w:tcW w:w="1668" w:type="dxa"/>
            <w:tcBorders>
              <w:top w:val="single" w:sz="4" w:space="0" w:color="auto"/>
              <w:bottom w:val="single" w:sz="4" w:space="0" w:color="auto"/>
            </w:tcBorders>
            <w:tcMar>
              <w:left w:w="57" w:type="dxa"/>
              <w:right w:w="57" w:type="dxa"/>
            </w:tcMar>
            <w:vAlign w:val="center"/>
          </w:tcPr>
          <w:p w:rsidR="0022069A" w:rsidRPr="005911E2" w:rsidRDefault="0022069A" w:rsidP="0022069A">
            <w:pPr>
              <w:pStyle w:val="TableText"/>
              <w:rPr>
                <w:szCs w:val="18"/>
              </w:rPr>
            </w:pPr>
            <w:r w:rsidRPr="005911E2">
              <w:rPr>
                <w:szCs w:val="18"/>
              </w:rPr>
              <w:t>All</w:t>
            </w:r>
          </w:p>
        </w:tc>
        <w:tc>
          <w:tcPr>
            <w:tcW w:w="1031" w:type="dxa"/>
            <w:tcBorders>
              <w:top w:val="single" w:sz="4" w:space="0" w:color="auto"/>
              <w:bottom w:val="single" w:sz="4" w:space="0" w:color="auto"/>
            </w:tcBorders>
            <w:tcMar>
              <w:left w:w="57" w:type="dxa"/>
              <w:right w:w="57" w:type="dxa"/>
            </w:tcMar>
            <w:vAlign w:val="bottom"/>
          </w:tcPr>
          <w:p w:rsidR="0022069A" w:rsidRPr="005911E2" w:rsidRDefault="0022069A" w:rsidP="000238F6">
            <w:pPr>
              <w:pStyle w:val="TableText"/>
              <w:jc w:val="right"/>
              <w:rPr>
                <w:szCs w:val="18"/>
              </w:rPr>
            </w:pPr>
            <w:r w:rsidRPr="005911E2">
              <w:rPr>
                <w:rFonts w:cs="Arial"/>
                <w:color w:val="000000"/>
                <w:szCs w:val="18"/>
                <w:lang w:eastAsia="en-AU" w:bidi="ar-SA"/>
              </w:rPr>
              <w:t>10</w:t>
            </w:r>
            <w:r w:rsidR="001B4FC7">
              <w:rPr>
                <w:rFonts w:cs="Arial"/>
                <w:color w:val="000000"/>
                <w:szCs w:val="18"/>
                <w:lang w:eastAsia="en-AU" w:bidi="ar-SA"/>
              </w:rPr>
              <w:t> </w:t>
            </w:r>
            <w:r w:rsidRPr="005911E2">
              <w:rPr>
                <w:rFonts w:cs="Arial"/>
                <w:color w:val="000000"/>
                <w:szCs w:val="18"/>
                <w:lang w:eastAsia="en-AU" w:bidi="ar-SA"/>
              </w:rPr>
              <w:t>562</w:t>
            </w:r>
          </w:p>
        </w:tc>
        <w:tc>
          <w:tcPr>
            <w:tcW w:w="992" w:type="dxa"/>
            <w:tcBorders>
              <w:top w:val="single" w:sz="4" w:space="0" w:color="auto"/>
              <w:bottom w:val="single" w:sz="4" w:space="0" w:color="auto"/>
            </w:tcBorders>
            <w:shd w:val="clear" w:color="auto" w:fill="auto"/>
            <w:tcMar>
              <w:left w:w="57" w:type="dxa"/>
              <w:right w:w="57" w:type="dxa"/>
            </w:tcMar>
            <w:vAlign w:val="bottom"/>
          </w:tcPr>
          <w:p w:rsidR="0022069A" w:rsidRPr="005911E2" w:rsidRDefault="0022069A" w:rsidP="0022069A">
            <w:pPr>
              <w:pStyle w:val="TableText"/>
              <w:jc w:val="right"/>
              <w:rPr>
                <w:szCs w:val="18"/>
              </w:rPr>
            </w:pPr>
            <w:r w:rsidRPr="005911E2">
              <w:rPr>
                <w:rFonts w:cs="Arial"/>
                <w:color w:val="000000"/>
                <w:szCs w:val="18"/>
                <w:lang w:eastAsia="en-AU" w:bidi="ar-SA"/>
              </w:rPr>
              <w:t>40</w:t>
            </w:r>
          </w:p>
        </w:tc>
        <w:tc>
          <w:tcPr>
            <w:tcW w:w="993" w:type="dxa"/>
            <w:tcBorders>
              <w:top w:val="single" w:sz="4" w:space="0" w:color="auto"/>
              <w:bottom w:val="single" w:sz="4" w:space="0" w:color="auto"/>
            </w:tcBorders>
            <w:shd w:val="clear" w:color="auto" w:fill="auto"/>
            <w:tcMar>
              <w:left w:w="57" w:type="dxa"/>
              <w:right w:w="57" w:type="dxa"/>
            </w:tcMar>
            <w:vAlign w:val="bottom"/>
          </w:tcPr>
          <w:p w:rsidR="0022069A" w:rsidRPr="005911E2" w:rsidRDefault="0022069A" w:rsidP="000238F6">
            <w:pPr>
              <w:pStyle w:val="TableText"/>
              <w:jc w:val="right"/>
              <w:rPr>
                <w:szCs w:val="18"/>
              </w:rPr>
            </w:pPr>
            <w:r w:rsidRPr="005911E2">
              <w:rPr>
                <w:rFonts w:cs="Arial"/>
                <w:color w:val="000000"/>
                <w:szCs w:val="18"/>
                <w:lang w:eastAsia="en-AU" w:bidi="ar-SA"/>
              </w:rPr>
              <w:t>4</w:t>
            </w:r>
            <w:r w:rsidR="001B4FC7">
              <w:rPr>
                <w:rFonts w:cs="Arial"/>
                <w:color w:val="000000"/>
                <w:szCs w:val="18"/>
                <w:lang w:eastAsia="en-AU" w:bidi="ar-SA"/>
              </w:rPr>
              <w:t> </w:t>
            </w:r>
            <w:r w:rsidRPr="005911E2">
              <w:rPr>
                <w:rFonts w:cs="Arial"/>
                <w:color w:val="000000"/>
                <w:szCs w:val="18"/>
                <w:lang w:eastAsia="en-AU" w:bidi="ar-SA"/>
              </w:rPr>
              <w:t>130</w:t>
            </w:r>
          </w:p>
        </w:tc>
        <w:tc>
          <w:tcPr>
            <w:tcW w:w="1048" w:type="dxa"/>
            <w:tcBorders>
              <w:top w:val="single" w:sz="4" w:space="0" w:color="auto"/>
              <w:bottom w:val="single" w:sz="4" w:space="0" w:color="auto"/>
            </w:tcBorders>
            <w:shd w:val="clear" w:color="auto" w:fill="auto"/>
            <w:tcMar>
              <w:left w:w="57" w:type="dxa"/>
              <w:right w:w="57" w:type="dxa"/>
            </w:tcMar>
            <w:vAlign w:val="bottom"/>
          </w:tcPr>
          <w:p w:rsidR="0022069A" w:rsidRPr="005911E2" w:rsidRDefault="0022069A" w:rsidP="0022069A">
            <w:pPr>
              <w:pStyle w:val="TableText"/>
              <w:jc w:val="right"/>
              <w:rPr>
                <w:szCs w:val="18"/>
              </w:rPr>
            </w:pPr>
            <w:r w:rsidRPr="005911E2">
              <w:rPr>
                <w:rFonts w:cs="Arial"/>
                <w:color w:val="000000"/>
                <w:szCs w:val="18"/>
                <w:lang w:eastAsia="en-AU" w:bidi="ar-SA"/>
              </w:rPr>
              <w:t>192</w:t>
            </w:r>
          </w:p>
        </w:tc>
        <w:tc>
          <w:tcPr>
            <w:tcW w:w="1134" w:type="dxa"/>
            <w:tcBorders>
              <w:top w:val="single" w:sz="4" w:space="0" w:color="auto"/>
              <w:bottom w:val="single" w:sz="4" w:space="0" w:color="auto"/>
            </w:tcBorders>
            <w:shd w:val="clear" w:color="auto" w:fill="auto"/>
            <w:tcMar>
              <w:left w:w="57" w:type="dxa"/>
              <w:right w:w="57" w:type="dxa"/>
            </w:tcMar>
            <w:vAlign w:val="bottom"/>
          </w:tcPr>
          <w:p w:rsidR="0022069A" w:rsidRPr="005911E2" w:rsidRDefault="0022069A" w:rsidP="000238F6">
            <w:pPr>
              <w:pStyle w:val="TableText"/>
              <w:jc w:val="right"/>
              <w:rPr>
                <w:szCs w:val="18"/>
              </w:rPr>
            </w:pPr>
            <w:r w:rsidRPr="005911E2">
              <w:rPr>
                <w:rFonts w:cs="Arial"/>
                <w:color w:val="000000"/>
                <w:szCs w:val="18"/>
                <w:lang w:eastAsia="en-AU" w:bidi="ar-SA"/>
              </w:rPr>
              <w:t>5</w:t>
            </w:r>
            <w:r w:rsidR="001B4FC7">
              <w:rPr>
                <w:rFonts w:cs="Arial"/>
                <w:color w:val="000000"/>
                <w:szCs w:val="18"/>
                <w:lang w:eastAsia="en-AU" w:bidi="ar-SA"/>
              </w:rPr>
              <w:t> </w:t>
            </w:r>
            <w:r w:rsidRPr="005911E2">
              <w:rPr>
                <w:rFonts w:cs="Arial"/>
                <w:color w:val="000000"/>
                <w:szCs w:val="18"/>
                <w:lang w:eastAsia="en-AU" w:bidi="ar-SA"/>
              </w:rPr>
              <w:t>202</w:t>
            </w:r>
          </w:p>
        </w:tc>
        <w:tc>
          <w:tcPr>
            <w:tcW w:w="992" w:type="dxa"/>
            <w:tcBorders>
              <w:top w:val="single" w:sz="4" w:space="0" w:color="auto"/>
              <w:bottom w:val="single" w:sz="4" w:space="0" w:color="auto"/>
            </w:tcBorders>
            <w:shd w:val="clear" w:color="auto" w:fill="auto"/>
            <w:tcMar>
              <w:left w:w="57" w:type="dxa"/>
              <w:right w:w="57" w:type="dxa"/>
            </w:tcMar>
            <w:vAlign w:val="bottom"/>
          </w:tcPr>
          <w:p w:rsidR="0022069A" w:rsidRPr="005911E2" w:rsidRDefault="0022069A" w:rsidP="000238F6">
            <w:pPr>
              <w:pStyle w:val="TableText"/>
              <w:jc w:val="right"/>
              <w:rPr>
                <w:szCs w:val="18"/>
              </w:rPr>
            </w:pPr>
            <w:r w:rsidRPr="005911E2">
              <w:rPr>
                <w:rFonts w:cs="Arial"/>
                <w:color w:val="000000"/>
                <w:szCs w:val="18"/>
                <w:lang w:eastAsia="en-AU" w:bidi="ar-SA"/>
              </w:rPr>
              <w:t>3</w:t>
            </w:r>
            <w:r w:rsidR="001B4FC7">
              <w:rPr>
                <w:rFonts w:cs="Arial"/>
                <w:color w:val="000000"/>
                <w:szCs w:val="18"/>
                <w:lang w:eastAsia="en-AU" w:bidi="ar-SA"/>
              </w:rPr>
              <w:t> </w:t>
            </w:r>
            <w:r w:rsidRPr="005911E2">
              <w:rPr>
                <w:rFonts w:cs="Arial"/>
                <w:color w:val="000000"/>
                <w:szCs w:val="18"/>
                <w:lang w:eastAsia="en-AU" w:bidi="ar-SA"/>
              </w:rPr>
              <w:t>077</w:t>
            </w:r>
          </w:p>
        </w:tc>
        <w:tc>
          <w:tcPr>
            <w:tcW w:w="851" w:type="dxa"/>
            <w:tcBorders>
              <w:top w:val="single" w:sz="4" w:space="0" w:color="auto"/>
              <w:bottom w:val="single" w:sz="4" w:space="0" w:color="auto"/>
            </w:tcBorders>
            <w:shd w:val="clear" w:color="auto" w:fill="auto"/>
            <w:tcMar>
              <w:left w:w="57" w:type="dxa"/>
              <w:right w:w="57" w:type="dxa"/>
            </w:tcMar>
            <w:vAlign w:val="bottom"/>
          </w:tcPr>
          <w:p w:rsidR="0022069A" w:rsidRPr="005911E2" w:rsidRDefault="0022069A" w:rsidP="000238F6">
            <w:pPr>
              <w:pStyle w:val="TableText"/>
              <w:jc w:val="right"/>
              <w:rPr>
                <w:szCs w:val="18"/>
              </w:rPr>
            </w:pPr>
            <w:r w:rsidRPr="005911E2">
              <w:rPr>
                <w:rFonts w:cs="Arial"/>
                <w:color w:val="000000"/>
                <w:szCs w:val="18"/>
                <w:lang w:eastAsia="en-AU" w:bidi="ar-SA"/>
              </w:rPr>
              <w:t>23</w:t>
            </w:r>
            <w:r w:rsidR="001B4FC7">
              <w:rPr>
                <w:rFonts w:cs="Arial"/>
                <w:color w:val="000000"/>
                <w:szCs w:val="18"/>
                <w:lang w:eastAsia="en-AU" w:bidi="ar-SA"/>
              </w:rPr>
              <w:t> </w:t>
            </w:r>
            <w:r w:rsidRPr="005911E2">
              <w:rPr>
                <w:rFonts w:cs="Arial"/>
                <w:color w:val="000000"/>
                <w:szCs w:val="18"/>
                <w:lang w:eastAsia="en-AU" w:bidi="ar-SA"/>
              </w:rPr>
              <w:t>203</w:t>
            </w:r>
          </w:p>
        </w:tc>
      </w:tr>
    </w:tbl>
    <w:p w:rsidR="001B4FC7" w:rsidRDefault="0022069A" w:rsidP="00CF78DB">
      <w:pPr>
        <w:pStyle w:val="tablefootnotes"/>
        <w:rPr>
          <w:noProof/>
        </w:rPr>
      </w:pPr>
      <w:r w:rsidRPr="005911E2">
        <w:rPr>
          <w:noProof/>
        </w:rPr>
        <w:t>Note:</w:t>
      </w:r>
      <w:r w:rsidRPr="005911E2">
        <w:rPr>
          <w:noProof/>
        </w:rPr>
        <w:tab/>
      </w:r>
      <w:r w:rsidR="001B4FC7" w:rsidRPr="005911E2">
        <w:rPr>
          <w:noProof/>
        </w:rPr>
        <w:t xml:space="preserve">The table excludes </w:t>
      </w:r>
      <w:r w:rsidR="00A259B0">
        <w:rPr>
          <w:noProof/>
        </w:rPr>
        <w:t>a small number of people recorded as being</w:t>
      </w:r>
      <w:r w:rsidR="001B4FC7" w:rsidRPr="005911E2">
        <w:rPr>
          <w:noProof/>
        </w:rPr>
        <w:t xml:space="preserve"> on Child Protection </w:t>
      </w:r>
      <w:r w:rsidR="001B4FC7">
        <w:rPr>
          <w:noProof/>
        </w:rPr>
        <w:t>Income Management</w:t>
      </w:r>
      <w:r w:rsidR="001B4FC7" w:rsidRPr="005911E2">
        <w:rPr>
          <w:noProof/>
        </w:rPr>
        <w:t xml:space="preserve"> and Vulnerable </w:t>
      </w:r>
      <w:r w:rsidR="001B4FC7">
        <w:rPr>
          <w:noProof/>
        </w:rPr>
        <w:t>Income Management</w:t>
      </w:r>
      <w:r w:rsidR="001B4FC7" w:rsidRPr="005911E2">
        <w:rPr>
          <w:noProof/>
        </w:rPr>
        <w:t xml:space="preserve"> </w:t>
      </w:r>
      <w:r w:rsidR="00A259B0">
        <w:rPr>
          <w:noProof/>
        </w:rPr>
        <w:t>in</w:t>
      </w:r>
      <w:r w:rsidR="001B4FC7" w:rsidRPr="005911E2">
        <w:rPr>
          <w:noProof/>
        </w:rPr>
        <w:t xml:space="preserve"> July 2010.</w:t>
      </w:r>
    </w:p>
    <w:p w:rsidR="001B4FC7" w:rsidRDefault="001B4FC7" w:rsidP="00CF78DB">
      <w:pPr>
        <w:pStyle w:val="tablefootnotes"/>
        <w:rPr>
          <w:noProof/>
        </w:rPr>
      </w:pPr>
      <w:r>
        <w:rPr>
          <w:noProof/>
        </w:rPr>
        <w:t>Population:</w:t>
      </w:r>
      <w:r>
        <w:rPr>
          <w:noProof/>
        </w:rPr>
        <w:tab/>
      </w:r>
      <w:r w:rsidR="0022069A" w:rsidRPr="005911E2">
        <w:rPr>
          <w:noProof/>
        </w:rPr>
        <w:t>Indigenous people receiving income support payments in the</w:t>
      </w:r>
      <w:r w:rsidR="006435C8">
        <w:rPr>
          <w:noProof/>
        </w:rPr>
        <w:t xml:space="preserve"> Northern Territory </w:t>
      </w:r>
      <w:r w:rsidR="0022069A" w:rsidRPr="005911E2">
        <w:rPr>
          <w:noProof/>
        </w:rPr>
        <w:t xml:space="preserve">in either July 2010 or October 2011. </w:t>
      </w:r>
    </w:p>
    <w:p w:rsidR="0022069A" w:rsidRPr="005911E2" w:rsidRDefault="0022069A" w:rsidP="00CF78DB">
      <w:pPr>
        <w:pStyle w:val="tablefootnotes"/>
      </w:pPr>
      <w:r w:rsidRPr="005911E2">
        <w:t xml:space="preserve">Source: </w:t>
      </w:r>
      <w:r w:rsidRPr="005911E2">
        <w:tab/>
        <w:t>Derived from Centrelink data.</w:t>
      </w:r>
    </w:p>
    <w:p w:rsidR="0022069A" w:rsidRPr="005911E2" w:rsidRDefault="0022069A" w:rsidP="00CF78DB">
      <w:pPr>
        <w:pStyle w:val="tablefootnotes"/>
      </w:pPr>
    </w:p>
    <w:p w:rsidR="0022069A" w:rsidRPr="005911E2" w:rsidRDefault="0022069A" w:rsidP="0022069A">
      <w:pPr>
        <w:pStyle w:val="BodyText"/>
      </w:pPr>
      <w:r w:rsidRPr="005911E2">
        <w:t xml:space="preserve">These results point both to </w:t>
      </w:r>
      <w:r w:rsidR="00E2340D">
        <w:t xml:space="preserve">the </w:t>
      </w:r>
      <w:r w:rsidRPr="005911E2">
        <w:t xml:space="preserve">persistence of </w:t>
      </w:r>
      <w:r w:rsidR="00F878E4">
        <w:t>income management</w:t>
      </w:r>
      <w:r w:rsidRPr="005911E2">
        <w:t xml:space="preserve"> for those who were subject to </w:t>
      </w:r>
      <w:r w:rsidR="00F878E4">
        <w:t>income management</w:t>
      </w:r>
      <w:r w:rsidRPr="005911E2">
        <w:t xml:space="preserve"> under the NTER, as well as the high inflow of Indigenous people who were not previously on income support.</w:t>
      </w:r>
    </w:p>
    <w:p w:rsidR="0022069A" w:rsidRPr="005911E2" w:rsidRDefault="0022069A" w:rsidP="00A259B0">
      <w:pPr>
        <w:pStyle w:val="Heading2"/>
      </w:pPr>
      <w:bookmarkStart w:id="282" w:name="_Toc328601479"/>
      <w:bookmarkStart w:id="283" w:name="_Toc329870361"/>
      <w:bookmarkStart w:id="284" w:name="_Toc335915747"/>
      <w:bookmarkStart w:id="285" w:name="_Toc321225112"/>
      <w:bookmarkStart w:id="286" w:name="_Toc321761598"/>
      <w:bookmarkStart w:id="287" w:name="_Toc321254456"/>
      <w:r w:rsidRPr="005911E2">
        <w:t>Exits from income management</w:t>
      </w:r>
      <w:bookmarkEnd w:id="282"/>
      <w:bookmarkEnd w:id="283"/>
      <w:bookmarkEnd w:id="284"/>
    </w:p>
    <w:p w:rsidR="00943DCB" w:rsidRDefault="0022069A" w:rsidP="007B4471">
      <w:pPr>
        <w:pStyle w:val="BodyText"/>
        <w:rPr>
          <w:lang w:bidi="ar-SA"/>
        </w:rPr>
      </w:pPr>
      <w:r w:rsidRPr="005911E2">
        <w:rPr>
          <w:lang w:bidi="ar-SA"/>
        </w:rPr>
        <w:t xml:space="preserve">Persistence on </w:t>
      </w:r>
      <w:r w:rsidR="00F878E4">
        <w:rPr>
          <w:lang w:bidi="ar-SA"/>
        </w:rPr>
        <w:t>income management</w:t>
      </w:r>
      <w:r w:rsidRPr="005911E2">
        <w:rPr>
          <w:lang w:bidi="ar-SA"/>
        </w:rPr>
        <w:t xml:space="preserve"> is examined more directly in </w:t>
      </w:r>
      <w:r w:rsidR="006F14AA" w:rsidRPr="005911E2">
        <w:t xml:space="preserve">Table </w:t>
      </w:r>
      <w:r w:rsidR="006F14AA" w:rsidRPr="005911E2">
        <w:rPr>
          <w:noProof/>
        </w:rPr>
        <w:t>4</w:t>
      </w:r>
      <w:r w:rsidR="006F14AA" w:rsidRPr="005911E2">
        <w:noBreakHyphen/>
      </w:r>
      <w:r w:rsidR="006F14AA" w:rsidRPr="005911E2">
        <w:rPr>
          <w:noProof/>
        </w:rPr>
        <w:t>5</w:t>
      </w:r>
      <w:r w:rsidR="00E75F1A">
        <w:rPr>
          <w:rStyle w:val="FootnoteReference"/>
          <w:noProof/>
        </w:rPr>
        <w:footnoteReference w:id="46"/>
      </w:r>
      <w:r w:rsidRPr="005911E2">
        <w:rPr>
          <w:lang w:bidi="ar-SA"/>
        </w:rPr>
        <w:t xml:space="preserve">. The top panel of the table considers people entering NIM </w:t>
      </w:r>
      <w:r w:rsidR="00547AA3">
        <w:rPr>
          <w:lang w:bidi="ar-SA"/>
        </w:rPr>
        <w:t xml:space="preserve">from August 2010 to </w:t>
      </w:r>
      <w:r w:rsidR="00547AA3">
        <w:rPr>
          <w:lang w:bidi="ar-SA"/>
        </w:rPr>
        <w:lastRenderedPageBreak/>
        <w:t>the end of October 2010</w:t>
      </w:r>
      <w:r w:rsidR="00876442">
        <w:rPr>
          <w:lang w:bidi="ar-SA"/>
        </w:rPr>
        <w:t xml:space="preserve">, and who were still on </w:t>
      </w:r>
      <w:r w:rsidR="00A259B0">
        <w:rPr>
          <w:lang w:bidi="ar-SA"/>
        </w:rPr>
        <w:t xml:space="preserve">it </w:t>
      </w:r>
      <w:r w:rsidR="00876442">
        <w:rPr>
          <w:lang w:bidi="ar-SA"/>
        </w:rPr>
        <w:t>at the end of this period</w:t>
      </w:r>
      <w:r w:rsidR="00547AA3">
        <w:rPr>
          <w:lang w:bidi="ar-SA"/>
        </w:rPr>
        <w:t xml:space="preserve">, </w:t>
      </w:r>
      <w:r w:rsidR="00E5156A">
        <w:rPr>
          <w:lang w:bidi="ar-SA"/>
        </w:rPr>
        <w:t xml:space="preserve">and the proportion of these who are still being income managed 4, 9, 12 and 15 months later. </w:t>
      </w:r>
      <w:r w:rsidRPr="005911E2">
        <w:rPr>
          <w:lang w:bidi="ar-SA"/>
        </w:rPr>
        <w:t xml:space="preserve">These outcomes are disaggregated by Indigenous status, whether the person had been on the NTER IM program and whether they were being income managed under the voluntary program or one of the compulsory </w:t>
      </w:r>
      <w:r w:rsidR="00F878E4">
        <w:rPr>
          <w:lang w:bidi="ar-SA"/>
        </w:rPr>
        <w:t>income management</w:t>
      </w:r>
      <w:r w:rsidRPr="005911E2">
        <w:rPr>
          <w:lang w:bidi="ar-SA"/>
        </w:rPr>
        <w:t xml:space="preserve"> programs. The second panel of the table reports similar </w:t>
      </w:r>
      <w:r w:rsidR="00A259B0">
        <w:rPr>
          <w:lang w:bidi="ar-SA"/>
        </w:rPr>
        <w:t>data</w:t>
      </w:r>
      <w:r w:rsidRPr="005911E2">
        <w:rPr>
          <w:lang w:bidi="ar-SA"/>
        </w:rPr>
        <w:t xml:space="preserve"> for those starting in the </w:t>
      </w:r>
      <w:r w:rsidR="00E5156A">
        <w:rPr>
          <w:lang w:bidi="ar-SA"/>
        </w:rPr>
        <w:t>four month period from November 2010 to the end of February 2011</w:t>
      </w:r>
      <w:r w:rsidR="00876442">
        <w:rPr>
          <w:lang w:bidi="ar-SA"/>
        </w:rPr>
        <w:t>, who were subject to income management at the end of this period</w:t>
      </w:r>
      <w:r w:rsidR="00E5156A">
        <w:rPr>
          <w:lang w:bidi="ar-SA"/>
        </w:rPr>
        <w:t xml:space="preserve">. </w:t>
      </w:r>
      <w:r w:rsidR="00876442">
        <w:rPr>
          <w:lang w:bidi="ar-SA"/>
        </w:rPr>
        <w:t>This tabl</w:t>
      </w:r>
      <w:r w:rsidR="00A166DF">
        <w:rPr>
          <w:lang w:bidi="ar-SA"/>
        </w:rPr>
        <w:t>e considers outcomes 5, 8 and 11</w:t>
      </w:r>
      <w:r w:rsidR="00876442">
        <w:rPr>
          <w:lang w:bidi="ar-SA"/>
        </w:rPr>
        <w:t xml:space="preserve"> months later</w:t>
      </w:r>
      <w:r w:rsidR="00771422">
        <w:rPr>
          <w:lang w:bidi="ar-SA"/>
        </w:rPr>
        <w:t>.</w:t>
      </w:r>
      <w:r w:rsidR="00876442">
        <w:rPr>
          <w:rStyle w:val="FootnoteReference"/>
          <w:lang w:bidi="ar-SA"/>
        </w:rPr>
        <w:footnoteReference w:id="47"/>
      </w:r>
    </w:p>
    <w:p w:rsidR="0022069A" w:rsidRDefault="00A259B0" w:rsidP="007B4471">
      <w:pPr>
        <w:pStyle w:val="BodyText"/>
        <w:rPr>
          <w:lang w:bidi="ar-SA"/>
        </w:rPr>
      </w:pPr>
      <w:r>
        <w:rPr>
          <w:lang w:bidi="ar-SA"/>
        </w:rPr>
        <w:t xml:space="preserve">While this analysis provides some insight into the duration of time </w:t>
      </w:r>
      <w:r w:rsidR="00A26392">
        <w:rPr>
          <w:lang w:bidi="ar-SA"/>
        </w:rPr>
        <w:t xml:space="preserve">people remain </w:t>
      </w:r>
      <w:r>
        <w:rPr>
          <w:lang w:bidi="ar-SA"/>
        </w:rPr>
        <w:t>on income management, and is presented as a duration analysis</w:t>
      </w:r>
      <w:r w:rsidR="00F22B4D">
        <w:rPr>
          <w:lang w:bidi="ar-SA"/>
        </w:rPr>
        <w:t>,</w:t>
      </w:r>
      <w:r>
        <w:rPr>
          <w:lang w:bidi="ar-SA"/>
        </w:rPr>
        <w:t xml:space="preserve"> some caution needs to be applied. Because of the time gaps between the waves of data available it is not possible to identify many short term movements, such as a person who both entered and exited income management </w:t>
      </w:r>
      <w:r w:rsidR="00A26392">
        <w:rPr>
          <w:lang w:bidi="ar-SA"/>
        </w:rPr>
        <w:t xml:space="preserve">between the dates of the two datasets. Further, as noted later, many of those who gain exemptions do so at the time or shortly after entering income management and are </w:t>
      </w:r>
      <w:r w:rsidR="00F22B4D">
        <w:rPr>
          <w:lang w:bidi="ar-SA"/>
        </w:rPr>
        <w:t>therefore</w:t>
      </w:r>
      <w:r w:rsidR="00A26392">
        <w:rPr>
          <w:lang w:bidi="ar-SA"/>
        </w:rPr>
        <w:t xml:space="preserve"> also not recorded in this analysis.</w:t>
      </w:r>
    </w:p>
    <w:p w:rsidR="00943DCB" w:rsidRDefault="00A259B0" w:rsidP="00943DCB">
      <w:pPr>
        <w:pStyle w:val="BodyText"/>
        <w:rPr>
          <w:lang w:bidi="ar-SA"/>
        </w:rPr>
      </w:pPr>
      <w:r w:rsidRPr="005911E2">
        <w:rPr>
          <w:lang w:bidi="ar-SA"/>
        </w:rPr>
        <w:t xml:space="preserve">Among </w:t>
      </w:r>
      <w:r>
        <w:rPr>
          <w:lang w:bidi="ar-SA"/>
        </w:rPr>
        <w:t xml:space="preserve">the first group who moved onto income management </w:t>
      </w:r>
      <w:r w:rsidR="00A26392">
        <w:rPr>
          <w:lang w:bidi="ar-SA"/>
        </w:rPr>
        <w:t>between August 2010 and October 2010 and were still on income management in October 2010</w:t>
      </w:r>
      <w:r w:rsidR="00F22B4D">
        <w:rPr>
          <w:lang w:bidi="ar-SA"/>
        </w:rPr>
        <w:t>,</w:t>
      </w:r>
      <w:r w:rsidR="00A26392">
        <w:rPr>
          <w:lang w:bidi="ar-SA"/>
        </w:rPr>
        <w:t xml:space="preserve"> </w:t>
      </w:r>
      <w:r>
        <w:rPr>
          <w:lang w:bidi="ar-SA"/>
        </w:rPr>
        <w:t xml:space="preserve">91 per cent </w:t>
      </w:r>
      <w:r w:rsidR="00A26392">
        <w:rPr>
          <w:lang w:bidi="ar-SA"/>
        </w:rPr>
        <w:t xml:space="preserve">continued to be </w:t>
      </w:r>
      <w:r>
        <w:rPr>
          <w:lang w:bidi="ar-SA"/>
        </w:rPr>
        <w:t>subject to income management after 4</w:t>
      </w:r>
      <w:r w:rsidR="003A1D87">
        <w:rPr>
          <w:lang w:bidi="ar-SA"/>
        </w:rPr>
        <w:t> </w:t>
      </w:r>
      <w:r>
        <w:rPr>
          <w:lang w:bidi="ar-SA"/>
        </w:rPr>
        <w:t>months, 83 per cent after 9 months, 78 per cent after a year and 77 per cent after 15 months. This reflects a pattern of initial exits from the program – mainly in the first 8 or 9 months followed by stability with relatively few exits.</w:t>
      </w:r>
      <w:r w:rsidR="00943DCB" w:rsidRPr="00943DCB">
        <w:rPr>
          <w:lang w:bidi="ar-SA"/>
        </w:rPr>
        <w:t xml:space="preserve"> </w:t>
      </w:r>
    </w:p>
    <w:p w:rsidR="00943DCB" w:rsidRDefault="00943DCB" w:rsidP="00943DCB">
      <w:pPr>
        <w:pStyle w:val="BodyText"/>
        <w:rPr>
          <w:lang w:bidi="ar-SA"/>
        </w:rPr>
      </w:pPr>
      <w:r>
        <w:rPr>
          <w:lang w:bidi="ar-SA"/>
        </w:rPr>
        <w:t>There was considerable variation in the exit rate from the program. For example, for the first group after a year, 54 per cent of non-Indigenous people had exited, compared with 21 per cent of Indigenous people. For the second group, those who commenced between November 2010 and February 2011, the equivalent figures, after 11 months, were 45 per cent and 26 per cent.</w:t>
      </w:r>
    </w:p>
    <w:p w:rsidR="00943DCB" w:rsidRDefault="00943DCB" w:rsidP="00943DCB">
      <w:pPr>
        <w:pStyle w:val="BodyText"/>
        <w:rPr>
          <w:lang w:bidi="ar-SA"/>
        </w:rPr>
      </w:pPr>
      <w:r>
        <w:rPr>
          <w:lang w:bidi="ar-SA"/>
        </w:rPr>
        <w:t>Looking at the rate of exit by broad measure shows a marked difference between the two entry groups. For those entering in August 2010 to October 2010, the proportion of those who had exited voluntary income man</w:t>
      </w:r>
      <w:r w:rsidR="000234FA">
        <w:rPr>
          <w:lang w:bidi="ar-SA"/>
        </w:rPr>
        <w:t xml:space="preserve">agement after 12 months of 21 </w:t>
      </w:r>
      <w:r>
        <w:rPr>
          <w:lang w:bidi="ar-SA"/>
        </w:rPr>
        <w:t xml:space="preserve">per cent was almost identical to the </w:t>
      </w:r>
      <w:r w:rsidR="000234FA">
        <w:rPr>
          <w:lang w:bidi="ar-SA"/>
        </w:rPr>
        <w:t>22</w:t>
      </w:r>
      <w:r>
        <w:rPr>
          <w:lang w:bidi="ar-SA"/>
        </w:rPr>
        <w:t xml:space="preserve"> per cent who exited the compulsory measures. For the second entry </w:t>
      </w:r>
      <w:r w:rsidR="000234FA">
        <w:rPr>
          <w:lang w:bidi="ar-SA"/>
        </w:rPr>
        <w:t>group the 11 month exit was 18</w:t>
      </w:r>
      <w:r>
        <w:rPr>
          <w:lang w:bidi="ar-SA"/>
        </w:rPr>
        <w:t xml:space="preserve"> per cent for those on volu</w:t>
      </w:r>
      <w:r w:rsidR="000234FA">
        <w:rPr>
          <w:lang w:bidi="ar-SA"/>
        </w:rPr>
        <w:t>ntary income management and 33</w:t>
      </w:r>
      <w:r>
        <w:rPr>
          <w:lang w:bidi="ar-SA"/>
        </w:rPr>
        <w:t xml:space="preserve"> per cent for the compulsory stream. </w:t>
      </w:r>
    </w:p>
    <w:p w:rsidR="00A259B0" w:rsidRDefault="00A259B0" w:rsidP="00A259B0">
      <w:pPr>
        <w:pStyle w:val="BodyText"/>
        <w:rPr>
          <w:lang w:bidi="ar-SA"/>
        </w:rPr>
      </w:pPr>
    </w:p>
    <w:p w:rsidR="0022069A" w:rsidRPr="005911E2" w:rsidRDefault="0022069A" w:rsidP="0022069A">
      <w:pPr>
        <w:pStyle w:val="tabfighead"/>
        <w:rPr>
          <w:lang w:bidi="ar-SA"/>
        </w:rPr>
      </w:pPr>
      <w:bookmarkStart w:id="288" w:name="_Ref323829088"/>
      <w:bookmarkStart w:id="289" w:name="_Toc328601575"/>
      <w:bookmarkStart w:id="290" w:name="_Toc329051353"/>
      <w:bookmarkStart w:id="291" w:name="_Toc335915841"/>
      <w:r w:rsidRPr="005911E2">
        <w:lastRenderedPageBreak/>
        <w:t xml:space="preserve">Table </w:t>
      </w:r>
      <w:r w:rsidR="00C7347D" w:rsidRPr="005911E2">
        <w:fldChar w:fldCharType="begin"/>
      </w:r>
      <w:r w:rsidR="00435FEB" w:rsidRPr="005911E2">
        <w:instrText xml:space="preserve"> STYLEREF 1 \s </w:instrText>
      </w:r>
      <w:r w:rsidR="00C7347D" w:rsidRPr="005911E2">
        <w:fldChar w:fldCharType="separate"/>
      </w:r>
      <w:r w:rsidR="007D7E45">
        <w:rPr>
          <w:noProof/>
        </w:rPr>
        <w:t>4</w:t>
      </w:r>
      <w:r w:rsidR="00C7347D" w:rsidRPr="005911E2">
        <w:rPr>
          <w:noProof/>
        </w:rPr>
        <w:fldChar w:fldCharType="end"/>
      </w:r>
      <w:r w:rsidRPr="005911E2">
        <w:noBreakHyphen/>
      </w:r>
      <w:r w:rsidR="00C7347D" w:rsidRPr="005911E2">
        <w:fldChar w:fldCharType="begin"/>
      </w:r>
      <w:r w:rsidR="00435FEB" w:rsidRPr="005911E2">
        <w:instrText xml:space="preserve"> SEQ Table \* ARABIC \s 1 </w:instrText>
      </w:r>
      <w:r w:rsidR="00C7347D" w:rsidRPr="005911E2">
        <w:fldChar w:fldCharType="separate"/>
      </w:r>
      <w:r w:rsidR="007D7E45">
        <w:rPr>
          <w:noProof/>
        </w:rPr>
        <w:t>5</w:t>
      </w:r>
      <w:r w:rsidR="00C7347D" w:rsidRPr="005911E2">
        <w:rPr>
          <w:noProof/>
        </w:rPr>
        <w:fldChar w:fldCharType="end"/>
      </w:r>
      <w:bookmarkEnd w:id="288"/>
      <w:r w:rsidRPr="005911E2">
        <w:tab/>
      </w:r>
      <w:r w:rsidR="002934A1">
        <w:t>Duration of spells on</w:t>
      </w:r>
      <w:r w:rsidRPr="005911E2">
        <w:t xml:space="preserve"> NIM</w:t>
      </w:r>
      <w:bookmarkEnd w:id="289"/>
      <w:r w:rsidR="00A26392">
        <w:t xml:space="preserve"> of</w:t>
      </w:r>
      <w:r w:rsidR="0029115E">
        <w:t xml:space="preserve"> </w:t>
      </w:r>
      <w:r w:rsidR="0029115E" w:rsidRPr="005911E2">
        <w:rPr>
          <w:lang w:bidi="ar-SA"/>
        </w:rPr>
        <w:t xml:space="preserve">people who </w:t>
      </w:r>
      <w:r w:rsidR="0029115E">
        <w:rPr>
          <w:lang w:bidi="ar-SA"/>
        </w:rPr>
        <w:t>entered NIM up until February 2011</w:t>
      </w:r>
      <w:bookmarkEnd w:id="290"/>
      <w:bookmarkEnd w:id="291"/>
    </w:p>
    <w:tbl>
      <w:tblPr>
        <w:tblW w:w="4577" w:type="pct"/>
        <w:jc w:val="right"/>
        <w:tblLayout w:type="fixed"/>
        <w:tblLook w:val="0000" w:firstRow="0" w:lastRow="0" w:firstColumn="0" w:lastColumn="0" w:noHBand="0" w:noVBand="0"/>
      </w:tblPr>
      <w:tblGrid>
        <w:gridCol w:w="317"/>
        <w:gridCol w:w="320"/>
        <w:gridCol w:w="1389"/>
        <w:gridCol w:w="613"/>
        <w:gridCol w:w="983"/>
        <w:gridCol w:w="1126"/>
        <w:gridCol w:w="1125"/>
        <w:gridCol w:w="1221"/>
        <w:gridCol w:w="1164"/>
      </w:tblGrid>
      <w:tr w:rsidR="00FE100B" w:rsidRPr="00943DCB" w:rsidTr="00012931">
        <w:trPr>
          <w:trHeight w:val="20"/>
          <w:jc w:val="right"/>
        </w:trPr>
        <w:tc>
          <w:tcPr>
            <w:tcW w:w="1598" w:type="pct"/>
            <w:gridSpan w:val="4"/>
            <w:vMerge w:val="restart"/>
            <w:tcBorders>
              <w:top w:val="single" w:sz="4" w:space="0" w:color="auto"/>
            </w:tcBorders>
            <w:tcMar>
              <w:left w:w="85" w:type="dxa"/>
              <w:right w:w="57" w:type="dxa"/>
            </w:tcMar>
          </w:tcPr>
          <w:p w:rsidR="00C26393" w:rsidRPr="00943DCB" w:rsidRDefault="00C26393" w:rsidP="0044318E">
            <w:pPr>
              <w:pStyle w:val="braytabletext"/>
              <w:spacing w:afterLines="40" w:after="96"/>
              <w:rPr>
                <w:rFonts w:eastAsiaTheme="minorHAnsi"/>
                <w:szCs w:val="16"/>
              </w:rPr>
            </w:pPr>
            <w:r w:rsidRPr="00943DCB">
              <w:rPr>
                <w:rFonts w:eastAsiaTheme="minorHAnsi"/>
                <w:szCs w:val="16"/>
              </w:rPr>
              <w:t>NIM category at entry</w:t>
            </w:r>
          </w:p>
        </w:tc>
        <w:tc>
          <w:tcPr>
            <w:tcW w:w="595" w:type="pct"/>
            <w:vMerge w:val="restart"/>
            <w:tcBorders>
              <w:top w:val="single" w:sz="4" w:space="0" w:color="auto"/>
            </w:tcBorders>
            <w:tcMar>
              <w:left w:w="85" w:type="dxa"/>
              <w:right w:w="57" w:type="dxa"/>
            </w:tcMar>
          </w:tcPr>
          <w:p w:rsidR="00C26393" w:rsidRPr="00943DCB" w:rsidRDefault="00C26393" w:rsidP="0044318E">
            <w:pPr>
              <w:pStyle w:val="braytabletext"/>
              <w:spacing w:afterLines="40" w:after="96"/>
              <w:rPr>
                <w:rFonts w:eastAsiaTheme="minorHAnsi"/>
                <w:szCs w:val="16"/>
              </w:rPr>
            </w:pPr>
            <w:r w:rsidRPr="00943DCB">
              <w:rPr>
                <w:rFonts w:eastAsiaTheme="minorHAnsi"/>
                <w:szCs w:val="16"/>
              </w:rPr>
              <w:t>Number entering NIM</w:t>
            </w:r>
          </w:p>
        </w:tc>
        <w:tc>
          <w:tcPr>
            <w:tcW w:w="2807" w:type="pct"/>
            <w:gridSpan w:val="4"/>
            <w:tcBorders>
              <w:top w:val="single" w:sz="4" w:space="0" w:color="auto"/>
              <w:bottom w:val="single" w:sz="4" w:space="0" w:color="auto"/>
            </w:tcBorders>
            <w:tcMar>
              <w:left w:w="85" w:type="dxa"/>
              <w:right w:w="57" w:type="dxa"/>
            </w:tcMar>
          </w:tcPr>
          <w:p w:rsidR="0093347F" w:rsidRPr="00F35EAE" w:rsidRDefault="00BB552A" w:rsidP="0044318E">
            <w:pPr>
              <w:pStyle w:val="braytabletext"/>
              <w:spacing w:afterLines="40" w:after="96"/>
              <w:rPr>
                <w:rFonts w:eastAsiaTheme="minorHAnsi"/>
              </w:rPr>
            </w:pPr>
            <w:r w:rsidRPr="00943DCB">
              <w:rPr>
                <w:rFonts w:eastAsiaTheme="minorHAnsi"/>
                <w:szCs w:val="16"/>
              </w:rPr>
              <w:t xml:space="preserve">Proportion </w:t>
            </w:r>
            <w:r w:rsidR="00C26393" w:rsidRPr="00943DCB">
              <w:rPr>
                <w:rFonts w:eastAsiaTheme="minorHAnsi"/>
                <w:szCs w:val="16"/>
              </w:rPr>
              <w:t>still on</w:t>
            </w:r>
            <w:r w:rsidR="00F35EAE">
              <w:rPr>
                <w:rFonts w:eastAsiaTheme="minorHAnsi"/>
                <w:szCs w:val="16"/>
              </w:rPr>
              <w:t xml:space="preserve"> IM</w:t>
            </w:r>
            <w:r w:rsidR="00C26393" w:rsidRPr="00943DCB">
              <w:rPr>
                <w:rFonts w:eastAsiaTheme="minorHAnsi"/>
                <w:szCs w:val="16"/>
              </w:rPr>
              <w:t xml:space="preserve"> in:</w:t>
            </w:r>
          </w:p>
        </w:tc>
      </w:tr>
      <w:tr w:rsidR="00FE100B" w:rsidRPr="00943DCB" w:rsidTr="00012931">
        <w:trPr>
          <w:trHeight w:val="20"/>
          <w:jc w:val="right"/>
        </w:trPr>
        <w:tc>
          <w:tcPr>
            <w:tcW w:w="1598" w:type="pct"/>
            <w:gridSpan w:val="4"/>
            <w:vMerge/>
            <w:tcMar>
              <w:left w:w="85" w:type="dxa"/>
              <w:right w:w="57" w:type="dxa"/>
            </w:tcMar>
          </w:tcPr>
          <w:p w:rsidR="0093347F" w:rsidRDefault="0093347F" w:rsidP="0044318E">
            <w:pPr>
              <w:pStyle w:val="braytabletext"/>
              <w:spacing w:afterLines="40" w:after="96"/>
              <w:rPr>
                <w:rFonts w:eastAsiaTheme="minorHAnsi"/>
                <w:szCs w:val="16"/>
              </w:rPr>
            </w:pPr>
          </w:p>
        </w:tc>
        <w:tc>
          <w:tcPr>
            <w:tcW w:w="595" w:type="pct"/>
            <w:vMerge/>
            <w:tcMar>
              <w:left w:w="85" w:type="dxa"/>
              <w:right w:w="57" w:type="dxa"/>
            </w:tcMar>
          </w:tcPr>
          <w:p w:rsidR="0093347F" w:rsidRDefault="0093347F" w:rsidP="0044318E">
            <w:pPr>
              <w:pStyle w:val="braytabletext"/>
              <w:spacing w:afterLines="40" w:after="96"/>
              <w:rPr>
                <w:rFonts w:eastAsiaTheme="minorHAnsi"/>
                <w:szCs w:val="16"/>
              </w:rPr>
            </w:pPr>
          </w:p>
        </w:tc>
        <w:tc>
          <w:tcPr>
            <w:tcW w:w="682" w:type="pct"/>
            <w:tcBorders>
              <w:top w:val="single" w:sz="4" w:space="0" w:color="auto"/>
            </w:tcBorders>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Feb 2011</w:t>
            </w:r>
          </w:p>
        </w:tc>
        <w:tc>
          <w:tcPr>
            <w:tcW w:w="681" w:type="pct"/>
            <w:tcBorders>
              <w:top w:val="single" w:sz="4" w:space="0" w:color="auto"/>
            </w:tcBorders>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July 2011</w:t>
            </w:r>
          </w:p>
        </w:tc>
        <w:tc>
          <w:tcPr>
            <w:tcW w:w="739" w:type="pct"/>
            <w:tcBorders>
              <w:top w:val="single" w:sz="4" w:space="0" w:color="auto"/>
            </w:tcBorders>
            <w:tcMar>
              <w:left w:w="85" w:type="dxa"/>
              <w:right w:w="57" w:type="dxa"/>
            </w:tcMar>
            <w:vAlign w:val="bottom"/>
          </w:tcPr>
          <w:p w:rsidR="0093347F" w:rsidRDefault="00C26393" w:rsidP="0044318E">
            <w:pPr>
              <w:pStyle w:val="braytabletext"/>
              <w:spacing w:afterLines="40" w:after="96"/>
              <w:jc w:val="right"/>
              <w:rPr>
                <w:rFonts w:eastAsiaTheme="minorHAnsi"/>
                <w:szCs w:val="16"/>
              </w:rPr>
            </w:pPr>
            <w:r w:rsidRPr="00943DCB">
              <w:rPr>
                <w:szCs w:val="16"/>
              </w:rPr>
              <w:t>Oct 2011</w:t>
            </w:r>
          </w:p>
        </w:tc>
        <w:tc>
          <w:tcPr>
            <w:tcW w:w="705" w:type="pct"/>
            <w:tcBorders>
              <w:top w:val="single" w:sz="4" w:space="0" w:color="auto"/>
            </w:tcBorders>
            <w:tcMar>
              <w:left w:w="85" w:type="dxa"/>
              <w:right w:w="57" w:type="dxa"/>
            </w:tcMar>
            <w:vAlign w:val="bottom"/>
          </w:tcPr>
          <w:p w:rsidR="0093347F" w:rsidRDefault="00C26393" w:rsidP="0044318E">
            <w:pPr>
              <w:pStyle w:val="braytabletext"/>
              <w:spacing w:afterLines="40" w:after="96"/>
              <w:jc w:val="right"/>
              <w:rPr>
                <w:rFonts w:eastAsiaTheme="minorHAnsi"/>
                <w:szCs w:val="16"/>
              </w:rPr>
            </w:pPr>
            <w:r w:rsidRPr="00943DCB">
              <w:rPr>
                <w:szCs w:val="16"/>
              </w:rPr>
              <w:t>Jan 2012</w:t>
            </w:r>
          </w:p>
        </w:tc>
      </w:tr>
      <w:tr w:rsidR="00FE100B" w:rsidRPr="00943DCB" w:rsidTr="00012931">
        <w:trPr>
          <w:trHeight w:val="20"/>
          <w:jc w:val="right"/>
        </w:trPr>
        <w:tc>
          <w:tcPr>
            <w:tcW w:w="1598" w:type="pct"/>
            <w:gridSpan w:val="4"/>
            <w:vMerge/>
            <w:tcBorders>
              <w:bottom w:val="single" w:sz="4" w:space="0" w:color="auto"/>
            </w:tcBorders>
            <w:tcMar>
              <w:left w:w="85" w:type="dxa"/>
              <w:right w:w="57" w:type="dxa"/>
            </w:tcMar>
          </w:tcPr>
          <w:p w:rsidR="0093347F" w:rsidRDefault="0093347F" w:rsidP="0044318E">
            <w:pPr>
              <w:pStyle w:val="braytabletext"/>
              <w:spacing w:afterLines="40" w:after="96"/>
              <w:rPr>
                <w:rFonts w:eastAsiaTheme="minorHAnsi"/>
                <w:szCs w:val="16"/>
              </w:rPr>
            </w:pPr>
          </w:p>
        </w:tc>
        <w:tc>
          <w:tcPr>
            <w:tcW w:w="595" w:type="pct"/>
            <w:vMerge/>
            <w:tcBorders>
              <w:bottom w:val="single" w:sz="4" w:space="0" w:color="auto"/>
            </w:tcBorders>
            <w:tcMar>
              <w:left w:w="85" w:type="dxa"/>
              <w:right w:w="57" w:type="dxa"/>
            </w:tcMar>
          </w:tcPr>
          <w:p w:rsidR="0093347F" w:rsidRDefault="0093347F" w:rsidP="0044318E">
            <w:pPr>
              <w:pStyle w:val="braytabletext"/>
              <w:spacing w:afterLines="40" w:after="96"/>
              <w:rPr>
                <w:rFonts w:eastAsiaTheme="minorHAnsi"/>
                <w:szCs w:val="16"/>
              </w:rPr>
            </w:pPr>
          </w:p>
        </w:tc>
        <w:tc>
          <w:tcPr>
            <w:tcW w:w="682" w:type="pct"/>
            <w:tcBorders>
              <w:bottom w:val="single" w:sz="4" w:space="0" w:color="auto"/>
            </w:tcBorders>
            <w:tcMar>
              <w:left w:w="85" w:type="dxa"/>
              <w:right w:w="57" w:type="dxa"/>
            </w:tcMar>
          </w:tcPr>
          <w:p w:rsidR="0093347F" w:rsidRPr="00F35EAE" w:rsidRDefault="001721AF" w:rsidP="0044318E">
            <w:pPr>
              <w:pStyle w:val="braytabletext"/>
              <w:spacing w:afterLines="40" w:after="96"/>
              <w:jc w:val="right"/>
              <w:rPr>
                <w:rFonts w:eastAsiaTheme="minorHAnsi"/>
                <w:smallCaps/>
                <w:spacing w:val="5"/>
                <w:lang w:val="en-US"/>
              </w:rPr>
            </w:pPr>
            <w:r>
              <w:rPr>
                <w:szCs w:val="16"/>
              </w:rPr>
              <w:t>(</w:t>
            </w:r>
            <w:r w:rsidR="00C26393" w:rsidRPr="00943DCB">
              <w:rPr>
                <w:szCs w:val="16"/>
              </w:rPr>
              <w:t>+ 4 months</w:t>
            </w:r>
            <w:r>
              <w:rPr>
                <w:szCs w:val="16"/>
              </w:rPr>
              <w:t>)</w:t>
            </w:r>
          </w:p>
        </w:tc>
        <w:tc>
          <w:tcPr>
            <w:tcW w:w="681" w:type="pct"/>
            <w:tcBorders>
              <w:bottom w:val="single" w:sz="4" w:space="0" w:color="auto"/>
            </w:tcBorders>
            <w:tcMar>
              <w:left w:w="85" w:type="dxa"/>
              <w:right w:w="57" w:type="dxa"/>
            </w:tcMar>
          </w:tcPr>
          <w:p w:rsidR="0093347F" w:rsidRPr="00F35EAE" w:rsidRDefault="001721AF" w:rsidP="0044318E">
            <w:pPr>
              <w:pStyle w:val="braytabletext"/>
              <w:spacing w:afterLines="40" w:after="96"/>
              <w:jc w:val="right"/>
              <w:rPr>
                <w:rFonts w:eastAsiaTheme="minorHAnsi"/>
                <w:smallCaps/>
                <w:spacing w:val="5"/>
                <w:lang w:val="en-US"/>
              </w:rPr>
            </w:pPr>
            <w:r>
              <w:rPr>
                <w:szCs w:val="16"/>
              </w:rPr>
              <w:t>(</w:t>
            </w:r>
            <w:r w:rsidR="00C26393" w:rsidRPr="00943DCB">
              <w:rPr>
                <w:szCs w:val="16"/>
              </w:rPr>
              <w:t>+9 months</w:t>
            </w:r>
            <w:r>
              <w:rPr>
                <w:szCs w:val="16"/>
              </w:rPr>
              <w:t>)</w:t>
            </w:r>
          </w:p>
        </w:tc>
        <w:tc>
          <w:tcPr>
            <w:tcW w:w="739" w:type="pct"/>
            <w:tcBorders>
              <w:bottom w:val="single" w:sz="4" w:space="0" w:color="auto"/>
            </w:tcBorders>
            <w:tcMar>
              <w:left w:w="85" w:type="dxa"/>
              <w:right w:w="57" w:type="dxa"/>
            </w:tcMar>
          </w:tcPr>
          <w:p w:rsidR="0093347F" w:rsidRPr="00F35EAE" w:rsidRDefault="001721AF" w:rsidP="0044318E">
            <w:pPr>
              <w:pStyle w:val="braytabletext"/>
              <w:spacing w:afterLines="40" w:after="96"/>
              <w:jc w:val="right"/>
              <w:rPr>
                <w:rFonts w:eastAsiaTheme="minorHAnsi"/>
                <w:smallCaps/>
                <w:spacing w:val="5"/>
                <w:lang w:val="en-US"/>
              </w:rPr>
            </w:pPr>
            <w:r>
              <w:rPr>
                <w:szCs w:val="16"/>
              </w:rPr>
              <w:t>(</w:t>
            </w:r>
            <w:r w:rsidR="00C26393" w:rsidRPr="00943DCB">
              <w:rPr>
                <w:szCs w:val="16"/>
              </w:rPr>
              <w:t>+12 months</w:t>
            </w:r>
            <w:r>
              <w:rPr>
                <w:szCs w:val="16"/>
              </w:rPr>
              <w:t>)</w:t>
            </w:r>
          </w:p>
        </w:tc>
        <w:tc>
          <w:tcPr>
            <w:tcW w:w="705" w:type="pct"/>
            <w:tcBorders>
              <w:bottom w:val="single" w:sz="4" w:space="0" w:color="auto"/>
            </w:tcBorders>
            <w:tcMar>
              <w:left w:w="85" w:type="dxa"/>
              <w:right w:w="57" w:type="dxa"/>
            </w:tcMar>
          </w:tcPr>
          <w:p w:rsidR="0093347F" w:rsidRPr="00F35EAE" w:rsidRDefault="001721AF" w:rsidP="0044318E">
            <w:pPr>
              <w:pStyle w:val="braytabletext"/>
              <w:spacing w:afterLines="40" w:after="96"/>
              <w:jc w:val="right"/>
              <w:rPr>
                <w:rFonts w:eastAsiaTheme="minorHAnsi"/>
                <w:smallCaps/>
                <w:spacing w:val="5"/>
                <w:lang w:val="en-US"/>
              </w:rPr>
            </w:pPr>
            <w:r>
              <w:rPr>
                <w:szCs w:val="16"/>
              </w:rPr>
              <w:t>(</w:t>
            </w:r>
            <w:r w:rsidR="00C26393" w:rsidRPr="00943DCB">
              <w:rPr>
                <w:szCs w:val="16"/>
              </w:rPr>
              <w:t>+15 Months</w:t>
            </w:r>
            <w:r>
              <w:rPr>
                <w:szCs w:val="16"/>
              </w:rPr>
              <w:t>)</w:t>
            </w:r>
          </w:p>
        </w:tc>
      </w:tr>
      <w:tr w:rsidR="00C26393" w:rsidRPr="00943DCB" w:rsidTr="001721AF">
        <w:trPr>
          <w:trHeight w:val="20"/>
          <w:jc w:val="right"/>
        </w:trPr>
        <w:tc>
          <w:tcPr>
            <w:tcW w:w="5000" w:type="pct"/>
            <w:gridSpan w:val="9"/>
            <w:tcBorders>
              <w:top w:val="single" w:sz="4" w:space="0" w:color="auto"/>
              <w:bottom w:val="single" w:sz="4" w:space="0" w:color="auto"/>
            </w:tcBorders>
            <w:shd w:val="clear" w:color="auto" w:fill="D9D9D9" w:themeFill="background1" w:themeFillShade="D9"/>
            <w:tcMar>
              <w:left w:w="85" w:type="dxa"/>
              <w:right w:w="57" w:type="dxa"/>
            </w:tcMar>
            <w:vAlign w:val="center"/>
          </w:tcPr>
          <w:p w:rsidR="00C26393" w:rsidRPr="00943DCB" w:rsidRDefault="00C26393" w:rsidP="0044318E">
            <w:pPr>
              <w:pStyle w:val="braytabletext"/>
              <w:spacing w:afterLines="40" w:after="96"/>
              <w:jc w:val="center"/>
              <w:rPr>
                <w:rFonts w:eastAsiaTheme="minorHAnsi"/>
                <w:szCs w:val="16"/>
              </w:rPr>
            </w:pPr>
            <w:r w:rsidRPr="00943DCB">
              <w:rPr>
                <w:rFonts w:eastAsiaTheme="minorHAnsi"/>
                <w:szCs w:val="16"/>
              </w:rPr>
              <w:t>People on NIM in October 2010 who entered between August and October 2010</w:t>
            </w:r>
          </w:p>
        </w:tc>
      </w:tr>
      <w:tr w:rsidR="00FE100B" w:rsidRPr="00943DCB" w:rsidTr="00012931">
        <w:trPr>
          <w:trHeight w:val="20"/>
          <w:jc w:val="right"/>
        </w:trPr>
        <w:tc>
          <w:tcPr>
            <w:tcW w:w="192" w:type="pct"/>
            <w:tcBorders>
              <w:top w:val="single" w:sz="4" w:space="0" w:color="auto"/>
            </w:tcBorders>
            <w:tcMar>
              <w:left w:w="85" w:type="dxa"/>
              <w:right w:w="57" w:type="dxa"/>
            </w:tcMar>
          </w:tcPr>
          <w:p w:rsidR="00ED395D" w:rsidRPr="00943DCB" w:rsidRDefault="00ED395D" w:rsidP="0044318E">
            <w:pPr>
              <w:pStyle w:val="braytabletext"/>
              <w:spacing w:afterLines="40" w:after="96"/>
              <w:rPr>
                <w:rFonts w:eastAsiaTheme="minorHAnsi"/>
                <w:szCs w:val="16"/>
              </w:rPr>
            </w:pPr>
          </w:p>
        </w:tc>
        <w:tc>
          <w:tcPr>
            <w:tcW w:w="1035" w:type="pct"/>
            <w:gridSpan w:val="2"/>
            <w:tcBorders>
              <w:top w:val="single" w:sz="4" w:space="0" w:color="auto"/>
            </w:tcBorders>
            <w:tcMar>
              <w:left w:w="85" w:type="dxa"/>
              <w:right w:w="57" w:type="dxa"/>
            </w:tcMar>
          </w:tcPr>
          <w:p w:rsidR="00ED395D" w:rsidRPr="00943DCB" w:rsidRDefault="00ED395D" w:rsidP="0044318E">
            <w:pPr>
              <w:pStyle w:val="braytabletext"/>
              <w:spacing w:afterLines="40" w:after="96"/>
              <w:rPr>
                <w:rFonts w:eastAsiaTheme="minorHAnsi"/>
                <w:szCs w:val="16"/>
              </w:rPr>
            </w:pPr>
            <w:r w:rsidRPr="00943DCB">
              <w:rPr>
                <w:rFonts w:eastAsiaTheme="minorHAnsi"/>
                <w:szCs w:val="16"/>
              </w:rPr>
              <w:t>Indigenous</w:t>
            </w:r>
          </w:p>
        </w:tc>
        <w:tc>
          <w:tcPr>
            <w:tcW w:w="371" w:type="pct"/>
            <w:tcBorders>
              <w:top w:val="single" w:sz="4" w:space="0" w:color="auto"/>
            </w:tcBorders>
            <w:tcMar>
              <w:left w:w="85" w:type="dxa"/>
              <w:right w:w="57" w:type="dxa"/>
            </w:tcMar>
          </w:tcPr>
          <w:p w:rsidR="0093347F" w:rsidRDefault="0093347F" w:rsidP="0044318E">
            <w:pPr>
              <w:pStyle w:val="braytabletext"/>
              <w:spacing w:afterLines="40" w:after="96"/>
              <w:rPr>
                <w:rFonts w:eastAsiaTheme="minorHAnsi"/>
                <w:szCs w:val="16"/>
              </w:rPr>
            </w:pPr>
          </w:p>
        </w:tc>
        <w:tc>
          <w:tcPr>
            <w:tcW w:w="595" w:type="pct"/>
            <w:tcBorders>
              <w:top w:val="single" w:sz="4" w:space="0" w:color="auto"/>
            </w:tcBorders>
            <w:tcMar>
              <w:left w:w="85" w:type="dxa"/>
              <w:right w:w="57" w:type="dxa"/>
            </w:tcMar>
          </w:tcPr>
          <w:p w:rsidR="0093347F" w:rsidRPr="00F35EAE" w:rsidRDefault="00ED395D" w:rsidP="0044318E">
            <w:pPr>
              <w:pStyle w:val="braytabletext"/>
              <w:spacing w:afterLines="40" w:after="96"/>
              <w:rPr>
                <w:rFonts w:eastAsiaTheme="minorHAnsi"/>
                <w:smallCaps/>
                <w:spacing w:val="5"/>
                <w:lang w:val="en-US"/>
              </w:rPr>
            </w:pPr>
            <w:r w:rsidRPr="00943DCB">
              <w:rPr>
                <w:rFonts w:eastAsiaTheme="minorHAnsi"/>
                <w:szCs w:val="16"/>
              </w:rPr>
              <w:t>Number</w:t>
            </w:r>
          </w:p>
        </w:tc>
        <w:tc>
          <w:tcPr>
            <w:tcW w:w="2807" w:type="pct"/>
            <w:gridSpan w:val="4"/>
            <w:tcBorders>
              <w:top w:val="single" w:sz="4" w:space="0" w:color="auto"/>
            </w:tcBorders>
            <w:tcMar>
              <w:left w:w="85" w:type="dxa"/>
              <w:right w:w="57" w:type="dxa"/>
            </w:tcMar>
          </w:tcPr>
          <w:p w:rsidR="0093347F" w:rsidRPr="00F35EAE" w:rsidRDefault="00ED395D" w:rsidP="0044318E">
            <w:pPr>
              <w:pStyle w:val="braytabletext"/>
              <w:spacing w:afterLines="40" w:after="96"/>
              <w:jc w:val="center"/>
              <w:rPr>
                <w:rFonts w:eastAsiaTheme="minorHAnsi"/>
                <w:smallCaps/>
                <w:spacing w:val="5"/>
                <w:lang w:val="en-US"/>
              </w:rPr>
            </w:pPr>
            <w:r w:rsidRPr="00943DCB">
              <w:rPr>
                <w:rFonts w:eastAsiaTheme="minorHAnsi"/>
                <w:szCs w:val="16"/>
              </w:rPr>
              <w:t>- % -</w:t>
            </w:r>
          </w:p>
        </w:tc>
      </w:tr>
      <w:tr w:rsidR="00FE100B" w:rsidRPr="00943DCB" w:rsidTr="00012931">
        <w:trPr>
          <w:trHeight w:val="20"/>
          <w:jc w:val="right"/>
        </w:trPr>
        <w:tc>
          <w:tcPr>
            <w:tcW w:w="192" w:type="pct"/>
            <w:tcMar>
              <w:left w:w="85" w:type="dxa"/>
              <w:right w:w="57" w:type="dxa"/>
            </w:tcMar>
          </w:tcPr>
          <w:p w:rsidR="00C26393" w:rsidRPr="00943DCB" w:rsidRDefault="00C26393" w:rsidP="0044318E">
            <w:pPr>
              <w:pStyle w:val="braytabletext"/>
              <w:spacing w:afterLines="40" w:after="96"/>
              <w:rPr>
                <w:rFonts w:eastAsiaTheme="minorHAnsi"/>
                <w:szCs w:val="16"/>
              </w:rPr>
            </w:pPr>
          </w:p>
        </w:tc>
        <w:tc>
          <w:tcPr>
            <w:tcW w:w="194" w:type="pct"/>
            <w:tcMar>
              <w:left w:w="85" w:type="dxa"/>
              <w:right w:w="57" w:type="dxa"/>
            </w:tcMar>
          </w:tcPr>
          <w:p w:rsidR="00C26393" w:rsidRPr="00943DCB" w:rsidRDefault="00C26393" w:rsidP="0044318E">
            <w:pPr>
              <w:pStyle w:val="braytabletext"/>
              <w:spacing w:afterLines="40" w:after="96"/>
              <w:rPr>
                <w:rFonts w:eastAsiaTheme="minorHAnsi"/>
                <w:szCs w:val="16"/>
              </w:rPr>
            </w:pPr>
            <w:r w:rsidRPr="00943DCB">
              <w:rPr>
                <w:rFonts w:eastAsiaTheme="minorHAnsi"/>
                <w:szCs w:val="16"/>
              </w:rPr>
              <w:t xml:space="preserve"> </w:t>
            </w:r>
          </w:p>
        </w:tc>
        <w:tc>
          <w:tcPr>
            <w:tcW w:w="841" w:type="pct"/>
            <w:vMerge w:val="restart"/>
            <w:tcMar>
              <w:left w:w="85" w:type="dxa"/>
              <w:right w:w="57" w:type="dxa"/>
            </w:tcMar>
          </w:tcPr>
          <w:p w:rsidR="0093347F" w:rsidRPr="00F35EAE" w:rsidRDefault="00C26393" w:rsidP="0044318E">
            <w:pPr>
              <w:pStyle w:val="braytabletext"/>
              <w:spacing w:afterLines="40" w:after="96"/>
              <w:rPr>
                <w:rFonts w:eastAsiaTheme="minorHAnsi"/>
                <w:smallCaps/>
                <w:spacing w:val="5"/>
                <w:lang w:val="en-US"/>
              </w:rPr>
            </w:pPr>
            <w:r w:rsidRPr="00943DCB">
              <w:rPr>
                <w:rFonts w:eastAsiaTheme="minorHAnsi"/>
                <w:szCs w:val="16"/>
              </w:rPr>
              <w:t>On NTER IM in July 2010</w:t>
            </w:r>
          </w:p>
        </w:tc>
        <w:tc>
          <w:tcPr>
            <w:tcW w:w="371" w:type="pct"/>
            <w:tcMar>
              <w:left w:w="85" w:type="dxa"/>
              <w:right w:w="57" w:type="dxa"/>
            </w:tcMar>
          </w:tcPr>
          <w:p w:rsidR="0093347F" w:rsidRPr="00F35EAE" w:rsidRDefault="00C26393" w:rsidP="0044318E">
            <w:pPr>
              <w:pStyle w:val="braytabletext"/>
              <w:spacing w:afterLines="40" w:after="96"/>
              <w:rPr>
                <w:rFonts w:eastAsiaTheme="minorHAnsi"/>
                <w:smallCaps/>
                <w:spacing w:val="5"/>
                <w:lang w:val="en-US"/>
              </w:rPr>
            </w:pPr>
            <w:r w:rsidRPr="00943DCB">
              <w:rPr>
                <w:rFonts w:eastAsiaTheme="minorHAnsi"/>
                <w:szCs w:val="16"/>
              </w:rPr>
              <w:t>VIM</w:t>
            </w:r>
          </w:p>
        </w:tc>
        <w:tc>
          <w:tcPr>
            <w:tcW w:w="595"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3</w:t>
            </w:r>
            <w:r w:rsidR="00FE100B" w:rsidRPr="00943DCB">
              <w:rPr>
                <w:szCs w:val="16"/>
              </w:rPr>
              <w:t> </w:t>
            </w:r>
            <w:r w:rsidRPr="00943DCB">
              <w:rPr>
                <w:szCs w:val="16"/>
              </w:rPr>
              <w:t>591</w:t>
            </w:r>
          </w:p>
        </w:tc>
        <w:tc>
          <w:tcPr>
            <w:tcW w:w="682"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91.9</w:t>
            </w:r>
          </w:p>
        </w:tc>
        <w:tc>
          <w:tcPr>
            <w:tcW w:w="681"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83.7</w:t>
            </w:r>
          </w:p>
        </w:tc>
        <w:tc>
          <w:tcPr>
            <w:tcW w:w="739" w:type="pct"/>
            <w:tcMar>
              <w:left w:w="85" w:type="dxa"/>
              <w:right w:w="57" w:type="dxa"/>
            </w:tcMar>
            <w:vAlign w:val="bottom"/>
          </w:tcPr>
          <w:p w:rsidR="0093347F" w:rsidRDefault="00C26393" w:rsidP="0044318E">
            <w:pPr>
              <w:pStyle w:val="braytabletext"/>
              <w:spacing w:afterLines="40" w:after="96"/>
              <w:jc w:val="right"/>
              <w:rPr>
                <w:rFonts w:eastAsiaTheme="minorHAnsi"/>
                <w:szCs w:val="16"/>
              </w:rPr>
            </w:pPr>
            <w:r w:rsidRPr="00943DCB">
              <w:rPr>
                <w:szCs w:val="16"/>
              </w:rPr>
              <w:t>79.9</w:t>
            </w:r>
          </w:p>
        </w:tc>
        <w:tc>
          <w:tcPr>
            <w:tcW w:w="705" w:type="pct"/>
            <w:tcMar>
              <w:left w:w="85" w:type="dxa"/>
              <w:right w:w="57" w:type="dxa"/>
            </w:tcMar>
            <w:vAlign w:val="bottom"/>
          </w:tcPr>
          <w:p w:rsidR="0093347F" w:rsidRDefault="00C26393" w:rsidP="0044318E">
            <w:pPr>
              <w:pStyle w:val="braytabletext"/>
              <w:spacing w:afterLines="40" w:after="96"/>
              <w:jc w:val="right"/>
              <w:rPr>
                <w:rFonts w:eastAsiaTheme="minorHAnsi"/>
                <w:szCs w:val="16"/>
              </w:rPr>
            </w:pPr>
            <w:r w:rsidRPr="00943DCB">
              <w:rPr>
                <w:szCs w:val="16"/>
              </w:rPr>
              <w:t>78.3</w:t>
            </w:r>
          </w:p>
        </w:tc>
      </w:tr>
      <w:tr w:rsidR="00FE100B" w:rsidRPr="00943DCB" w:rsidTr="00012931">
        <w:trPr>
          <w:trHeight w:val="20"/>
          <w:jc w:val="right"/>
        </w:trPr>
        <w:tc>
          <w:tcPr>
            <w:tcW w:w="192" w:type="pct"/>
            <w:tcMar>
              <w:left w:w="85" w:type="dxa"/>
              <w:right w:w="57" w:type="dxa"/>
            </w:tcMar>
          </w:tcPr>
          <w:p w:rsidR="00C26393" w:rsidRPr="00943DCB" w:rsidRDefault="00C26393" w:rsidP="0044318E">
            <w:pPr>
              <w:pStyle w:val="braytabletext"/>
              <w:spacing w:afterLines="40" w:after="96"/>
              <w:rPr>
                <w:rFonts w:eastAsiaTheme="minorHAnsi"/>
                <w:szCs w:val="16"/>
              </w:rPr>
            </w:pPr>
          </w:p>
        </w:tc>
        <w:tc>
          <w:tcPr>
            <w:tcW w:w="194" w:type="pct"/>
            <w:tcMar>
              <w:left w:w="85" w:type="dxa"/>
              <w:right w:w="57" w:type="dxa"/>
            </w:tcMar>
          </w:tcPr>
          <w:p w:rsidR="00C26393" w:rsidRPr="00943DCB" w:rsidRDefault="00C26393" w:rsidP="0044318E">
            <w:pPr>
              <w:pStyle w:val="braytabletext"/>
              <w:spacing w:afterLines="40" w:after="96"/>
              <w:rPr>
                <w:rFonts w:eastAsiaTheme="minorHAnsi"/>
                <w:szCs w:val="16"/>
              </w:rPr>
            </w:pPr>
          </w:p>
        </w:tc>
        <w:tc>
          <w:tcPr>
            <w:tcW w:w="841" w:type="pct"/>
            <w:vMerge/>
            <w:tcMar>
              <w:left w:w="85" w:type="dxa"/>
              <w:right w:w="57" w:type="dxa"/>
            </w:tcMar>
          </w:tcPr>
          <w:p w:rsidR="0093347F" w:rsidRDefault="0093347F" w:rsidP="0044318E">
            <w:pPr>
              <w:pStyle w:val="braytabletext"/>
              <w:spacing w:afterLines="40" w:after="96"/>
              <w:rPr>
                <w:rFonts w:eastAsiaTheme="minorHAnsi"/>
                <w:szCs w:val="16"/>
              </w:rPr>
            </w:pPr>
          </w:p>
        </w:tc>
        <w:tc>
          <w:tcPr>
            <w:tcW w:w="371" w:type="pct"/>
            <w:tcMar>
              <w:left w:w="85" w:type="dxa"/>
              <w:right w:w="57" w:type="dxa"/>
            </w:tcMar>
          </w:tcPr>
          <w:p w:rsidR="0093347F" w:rsidRPr="00F35EAE" w:rsidRDefault="00C26393" w:rsidP="0044318E">
            <w:pPr>
              <w:pStyle w:val="braytabletext"/>
              <w:spacing w:afterLines="40" w:after="96"/>
              <w:rPr>
                <w:rFonts w:eastAsiaTheme="minorHAnsi"/>
                <w:smallCaps/>
                <w:spacing w:val="5"/>
                <w:lang w:val="en-US"/>
              </w:rPr>
            </w:pPr>
            <w:r w:rsidRPr="00943DCB">
              <w:rPr>
                <w:rFonts w:eastAsiaTheme="minorHAnsi"/>
                <w:szCs w:val="16"/>
              </w:rPr>
              <w:t>CIM</w:t>
            </w:r>
          </w:p>
        </w:tc>
        <w:tc>
          <w:tcPr>
            <w:tcW w:w="595"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8</w:t>
            </w:r>
            <w:r w:rsidR="00FE100B" w:rsidRPr="00943DCB">
              <w:rPr>
                <w:szCs w:val="16"/>
              </w:rPr>
              <w:t> </w:t>
            </w:r>
            <w:r w:rsidRPr="00943DCB">
              <w:rPr>
                <w:szCs w:val="16"/>
              </w:rPr>
              <w:t>392</w:t>
            </w:r>
          </w:p>
        </w:tc>
        <w:tc>
          <w:tcPr>
            <w:tcW w:w="682"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93.8</w:t>
            </w:r>
          </w:p>
        </w:tc>
        <w:tc>
          <w:tcPr>
            <w:tcW w:w="681"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86.3</w:t>
            </w:r>
          </w:p>
        </w:tc>
        <w:tc>
          <w:tcPr>
            <w:tcW w:w="739"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81.9</w:t>
            </w:r>
          </w:p>
        </w:tc>
        <w:tc>
          <w:tcPr>
            <w:tcW w:w="705"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80.4</w:t>
            </w:r>
          </w:p>
        </w:tc>
      </w:tr>
      <w:tr w:rsidR="00FE100B" w:rsidRPr="00943DCB" w:rsidTr="00012931">
        <w:trPr>
          <w:trHeight w:val="20"/>
          <w:jc w:val="right"/>
        </w:trPr>
        <w:tc>
          <w:tcPr>
            <w:tcW w:w="192" w:type="pct"/>
            <w:tcMar>
              <w:left w:w="85" w:type="dxa"/>
              <w:right w:w="57" w:type="dxa"/>
            </w:tcMar>
          </w:tcPr>
          <w:p w:rsidR="00C26393" w:rsidRPr="00943DCB" w:rsidRDefault="00C26393" w:rsidP="0044318E">
            <w:pPr>
              <w:pStyle w:val="braytabletext"/>
              <w:spacing w:afterLines="40" w:after="96"/>
              <w:rPr>
                <w:rFonts w:eastAsiaTheme="minorHAnsi"/>
                <w:szCs w:val="16"/>
              </w:rPr>
            </w:pPr>
          </w:p>
        </w:tc>
        <w:tc>
          <w:tcPr>
            <w:tcW w:w="194" w:type="pct"/>
            <w:tcMar>
              <w:left w:w="85" w:type="dxa"/>
              <w:right w:w="57" w:type="dxa"/>
            </w:tcMar>
          </w:tcPr>
          <w:p w:rsidR="00C26393" w:rsidRPr="00943DCB" w:rsidRDefault="00C26393" w:rsidP="0044318E">
            <w:pPr>
              <w:pStyle w:val="braytabletext"/>
              <w:spacing w:afterLines="40" w:after="96"/>
              <w:rPr>
                <w:rFonts w:eastAsiaTheme="minorHAnsi"/>
                <w:szCs w:val="16"/>
              </w:rPr>
            </w:pPr>
          </w:p>
        </w:tc>
        <w:tc>
          <w:tcPr>
            <w:tcW w:w="841" w:type="pct"/>
            <w:tcMar>
              <w:left w:w="85" w:type="dxa"/>
              <w:right w:w="57" w:type="dxa"/>
            </w:tcMar>
          </w:tcPr>
          <w:p w:rsidR="0093347F" w:rsidRPr="00F35EAE" w:rsidRDefault="00C26393" w:rsidP="0044318E">
            <w:pPr>
              <w:pStyle w:val="braytabletext"/>
              <w:spacing w:afterLines="40" w:after="96"/>
              <w:rPr>
                <w:rFonts w:eastAsiaTheme="minorHAnsi"/>
                <w:smallCaps/>
                <w:spacing w:val="5"/>
                <w:lang w:val="en-US"/>
              </w:rPr>
            </w:pPr>
            <w:r w:rsidRPr="00943DCB">
              <w:rPr>
                <w:rFonts w:eastAsiaTheme="minorHAnsi"/>
                <w:szCs w:val="16"/>
              </w:rPr>
              <w:t xml:space="preserve">Other </w:t>
            </w:r>
          </w:p>
        </w:tc>
        <w:tc>
          <w:tcPr>
            <w:tcW w:w="371" w:type="pct"/>
            <w:tcMar>
              <w:left w:w="85" w:type="dxa"/>
              <w:right w:w="57" w:type="dxa"/>
            </w:tcMar>
          </w:tcPr>
          <w:p w:rsidR="0093347F" w:rsidRPr="00F35EAE" w:rsidRDefault="00C26393" w:rsidP="0044318E">
            <w:pPr>
              <w:pStyle w:val="braytabletext"/>
              <w:spacing w:afterLines="40" w:after="96"/>
              <w:rPr>
                <w:rFonts w:eastAsiaTheme="minorHAnsi"/>
                <w:smallCaps/>
                <w:spacing w:val="5"/>
                <w:lang w:val="en-US"/>
              </w:rPr>
            </w:pPr>
            <w:r w:rsidRPr="00943DCB">
              <w:rPr>
                <w:rFonts w:eastAsiaTheme="minorHAnsi"/>
                <w:szCs w:val="16"/>
              </w:rPr>
              <w:t>VIM</w:t>
            </w:r>
          </w:p>
        </w:tc>
        <w:tc>
          <w:tcPr>
            <w:tcW w:w="595"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254</w:t>
            </w:r>
          </w:p>
        </w:tc>
        <w:tc>
          <w:tcPr>
            <w:tcW w:w="682"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83.5</w:t>
            </w:r>
          </w:p>
        </w:tc>
        <w:tc>
          <w:tcPr>
            <w:tcW w:w="681"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71.3</w:t>
            </w:r>
          </w:p>
        </w:tc>
        <w:tc>
          <w:tcPr>
            <w:tcW w:w="739"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65.4</w:t>
            </w:r>
          </w:p>
        </w:tc>
        <w:tc>
          <w:tcPr>
            <w:tcW w:w="705"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61.0</w:t>
            </w:r>
          </w:p>
        </w:tc>
      </w:tr>
      <w:tr w:rsidR="00FE100B" w:rsidRPr="00943DCB" w:rsidTr="00012931">
        <w:trPr>
          <w:trHeight w:val="20"/>
          <w:jc w:val="right"/>
        </w:trPr>
        <w:tc>
          <w:tcPr>
            <w:tcW w:w="192" w:type="pct"/>
            <w:tcMar>
              <w:left w:w="85" w:type="dxa"/>
              <w:right w:w="57" w:type="dxa"/>
            </w:tcMar>
          </w:tcPr>
          <w:p w:rsidR="00C26393" w:rsidRPr="00943DCB" w:rsidRDefault="00C26393" w:rsidP="0044318E">
            <w:pPr>
              <w:pStyle w:val="braytabletext"/>
              <w:spacing w:afterLines="40" w:after="96"/>
              <w:rPr>
                <w:rFonts w:eastAsiaTheme="minorHAnsi"/>
                <w:szCs w:val="16"/>
              </w:rPr>
            </w:pPr>
          </w:p>
        </w:tc>
        <w:tc>
          <w:tcPr>
            <w:tcW w:w="194" w:type="pct"/>
            <w:tcMar>
              <w:left w:w="85" w:type="dxa"/>
              <w:right w:w="57" w:type="dxa"/>
            </w:tcMar>
          </w:tcPr>
          <w:p w:rsidR="00C26393" w:rsidRPr="00943DCB" w:rsidRDefault="00C26393" w:rsidP="0044318E">
            <w:pPr>
              <w:pStyle w:val="braytabletext"/>
              <w:spacing w:afterLines="40" w:after="96"/>
              <w:rPr>
                <w:rFonts w:eastAsiaTheme="minorHAnsi"/>
                <w:szCs w:val="16"/>
              </w:rPr>
            </w:pPr>
          </w:p>
        </w:tc>
        <w:tc>
          <w:tcPr>
            <w:tcW w:w="841" w:type="pct"/>
            <w:tcMar>
              <w:left w:w="85" w:type="dxa"/>
              <w:right w:w="57" w:type="dxa"/>
            </w:tcMar>
          </w:tcPr>
          <w:p w:rsidR="0093347F" w:rsidRDefault="0093347F" w:rsidP="0044318E">
            <w:pPr>
              <w:pStyle w:val="braytabletext"/>
              <w:spacing w:afterLines="40" w:after="96"/>
              <w:rPr>
                <w:rFonts w:eastAsiaTheme="minorHAnsi"/>
                <w:szCs w:val="16"/>
              </w:rPr>
            </w:pPr>
          </w:p>
        </w:tc>
        <w:tc>
          <w:tcPr>
            <w:tcW w:w="371" w:type="pct"/>
            <w:tcMar>
              <w:left w:w="85" w:type="dxa"/>
              <w:right w:w="57" w:type="dxa"/>
            </w:tcMar>
          </w:tcPr>
          <w:p w:rsidR="0093347F" w:rsidRPr="00F35EAE" w:rsidRDefault="00C26393" w:rsidP="0044318E">
            <w:pPr>
              <w:pStyle w:val="braytabletext"/>
              <w:spacing w:afterLines="40" w:after="96"/>
              <w:rPr>
                <w:rFonts w:eastAsiaTheme="minorHAnsi"/>
                <w:smallCaps/>
                <w:spacing w:val="5"/>
                <w:lang w:val="en-US"/>
              </w:rPr>
            </w:pPr>
            <w:r w:rsidRPr="00943DCB">
              <w:rPr>
                <w:rFonts w:eastAsiaTheme="minorHAnsi"/>
                <w:szCs w:val="16"/>
              </w:rPr>
              <w:t>CIM</w:t>
            </w:r>
          </w:p>
        </w:tc>
        <w:tc>
          <w:tcPr>
            <w:tcW w:w="595"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1</w:t>
            </w:r>
            <w:r w:rsidR="00FE100B" w:rsidRPr="00943DCB">
              <w:rPr>
                <w:szCs w:val="16"/>
              </w:rPr>
              <w:t> </w:t>
            </w:r>
            <w:r w:rsidRPr="00943DCB">
              <w:rPr>
                <w:szCs w:val="16"/>
              </w:rPr>
              <w:t>151</w:t>
            </w:r>
          </w:p>
        </w:tc>
        <w:tc>
          <w:tcPr>
            <w:tcW w:w="682"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81.7</w:t>
            </w:r>
          </w:p>
        </w:tc>
        <w:tc>
          <w:tcPr>
            <w:tcW w:w="681"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69.7</w:t>
            </w:r>
          </w:p>
        </w:tc>
        <w:tc>
          <w:tcPr>
            <w:tcW w:w="739"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63.3</w:t>
            </w:r>
          </w:p>
        </w:tc>
        <w:tc>
          <w:tcPr>
            <w:tcW w:w="705"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61.3</w:t>
            </w:r>
          </w:p>
        </w:tc>
      </w:tr>
      <w:tr w:rsidR="00FE100B" w:rsidRPr="00943DCB" w:rsidTr="00012931">
        <w:trPr>
          <w:trHeight w:val="20"/>
          <w:jc w:val="right"/>
        </w:trPr>
        <w:tc>
          <w:tcPr>
            <w:tcW w:w="192" w:type="pct"/>
            <w:tcMar>
              <w:left w:w="85" w:type="dxa"/>
              <w:right w:w="57" w:type="dxa"/>
            </w:tcMar>
          </w:tcPr>
          <w:p w:rsidR="0022069A" w:rsidRPr="00943DCB" w:rsidRDefault="0022069A" w:rsidP="0044318E">
            <w:pPr>
              <w:pStyle w:val="braytabletext"/>
              <w:spacing w:afterLines="40" w:after="96"/>
              <w:rPr>
                <w:rFonts w:eastAsiaTheme="minorHAnsi"/>
                <w:szCs w:val="16"/>
              </w:rPr>
            </w:pPr>
          </w:p>
        </w:tc>
        <w:tc>
          <w:tcPr>
            <w:tcW w:w="1035" w:type="pct"/>
            <w:gridSpan w:val="2"/>
            <w:tcMar>
              <w:left w:w="85" w:type="dxa"/>
              <w:right w:w="57" w:type="dxa"/>
            </w:tcMar>
          </w:tcPr>
          <w:p w:rsidR="0022069A" w:rsidRPr="00943DCB" w:rsidRDefault="0022069A" w:rsidP="0044318E">
            <w:pPr>
              <w:pStyle w:val="braytabletext"/>
              <w:spacing w:afterLines="40" w:after="96"/>
              <w:rPr>
                <w:rFonts w:eastAsiaTheme="minorHAnsi"/>
                <w:szCs w:val="16"/>
              </w:rPr>
            </w:pPr>
            <w:r w:rsidRPr="00943DCB">
              <w:rPr>
                <w:rFonts w:eastAsiaTheme="minorHAnsi"/>
                <w:szCs w:val="16"/>
              </w:rPr>
              <w:t>Non</w:t>
            </w:r>
            <w:r w:rsidR="00E2340D" w:rsidRPr="00943DCB">
              <w:rPr>
                <w:rFonts w:eastAsiaTheme="minorHAnsi"/>
                <w:szCs w:val="16"/>
              </w:rPr>
              <w:t>-</w:t>
            </w:r>
            <w:r w:rsidRPr="00943DCB">
              <w:rPr>
                <w:rFonts w:eastAsiaTheme="minorHAnsi"/>
                <w:szCs w:val="16"/>
              </w:rPr>
              <w:t>Indigenous</w:t>
            </w:r>
          </w:p>
        </w:tc>
        <w:tc>
          <w:tcPr>
            <w:tcW w:w="371" w:type="pct"/>
            <w:tcMar>
              <w:left w:w="85" w:type="dxa"/>
              <w:right w:w="57" w:type="dxa"/>
            </w:tcMar>
          </w:tcPr>
          <w:p w:rsidR="0093347F" w:rsidRDefault="0093347F" w:rsidP="0044318E">
            <w:pPr>
              <w:pStyle w:val="braytabletext"/>
              <w:spacing w:afterLines="40" w:after="96"/>
              <w:rPr>
                <w:rFonts w:eastAsiaTheme="minorHAnsi"/>
                <w:szCs w:val="16"/>
              </w:rPr>
            </w:pPr>
          </w:p>
        </w:tc>
        <w:tc>
          <w:tcPr>
            <w:tcW w:w="595" w:type="pct"/>
            <w:tcMar>
              <w:left w:w="85" w:type="dxa"/>
              <w:right w:w="57" w:type="dxa"/>
            </w:tcMar>
          </w:tcPr>
          <w:p w:rsidR="0093347F" w:rsidRDefault="0093347F" w:rsidP="0044318E">
            <w:pPr>
              <w:pStyle w:val="braytabletext"/>
              <w:spacing w:afterLines="40" w:after="96"/>
              <w:jc w:val="right"/>
              <w:rPr>
                <w:rFonts w:eastAsiaTheme="minorHAnsi"/>
                <w:szCs w:val="16"/>
              </w:rPr>
            </w:pPr>
          </w:p>
        </w:tc>
        <w:tc>
          <w:tcPr>
            <w:tcW w:w="682" w:type="pct"/>
            <w:tcMar>
              <w:left w:w="85" w:type="dxa"/>
              <w:right w:w="57" w:type="dxa"/>
            </w:tcMar>
          </w:tcPr>
          <w:p w:rsidR="0093347F" w:rsidRDefault="0093347F" w:rsidP="0044318E">
            <w:pPr>
              <w:pStyle w:val="braytabletext"/>
              <w:spacing w:afterLines="40" w:after="96"/>
              <w:jc w:val="right"/>
              <w:rPr>
                <w:rFonts w:eastAsiaTheme="minorHAnsi"/>
                <w:szCs w:val="16"/>
              </w:rPr>
            </w:pPr>
          </w:p>
        </w:tc>
        <w:tc>
          <w:tcPr>
            <w:tcW w:w="681" w:type="pct"/>
            <w:tcMar>
              <w:left w:w="85" w:type="dxa"/>
              <w:right w:w="57" w:type="dxa"/>
            </w:tcMar>
          </w:tcPr>
          <w:p w:rsidR="0093347F" w:rsidRDefault="0093347F" w:rsidP="0044318E">
            <w:pPr>
              <w:pStyle w:val="braytabletext"/>
              <w:spacing w:afterLines="40" w:after="96"/>
              <w:jc w:val="right"/>
              <w:rPr>
                <w:rFonts w:eastAsiaTheme="minorHAnsi"/>
                <w:szCs w:val="16"/>
              </w:rPr>
            </w:pPr>
          </w:p>
        </w:tc>
        <w:tc>
          <w:tcPr>
            <w:tcW w:w="739" w:type="pct"/>
            <w:tcMar>
              <w:left w:w="85" w:type="dxa"/>
              <w:right w:w="57" w:type="dxa"/>
            </w:tcMar>
          </w:tcPr>
          <w:p w:rsidR="0093347F" w:rsidRDefault="0093347F" w:rsidP="0044318E">
            <w:pPr>
              <w:pStyle w:val="braytabletext"/>
              <w:spacing w:afterLines="40" w:after="96"/>
              <w:jc w:val="right"/>
              <w:rPr>
                <w:rFonts w:eastAsiaTheme="minorHAnsi"/>
                <w:szCs w:val="16"/>
              </w:rPr>
            </w:pPr>
          </w:p>
        </w:tc>
        <w:tc>
          <w:tcPr>
            <w:tcW w:w="705" w:type="pct"/>
            <w:tcMar>
              <w:left w:w="85" w:type="dxa"/>
              <w:right w:w="57" w:type="dxa"/>
            </w:tcMar>
          </w:tcPr>
          <w:p w:rsidR="0093347F" w:rsidRDefault="0093347F" w:rsidP="0044318E">
            <w:pPr>
              <w:pStyle w:val="braytabletext"/>
              <w:spacing w:afterLines="40" w:after="96"/>
              <w:jc w:val="right"/>
              <w:rPr>
                <w:rFonts w:eastAsiaTheme="minorHAnsi"/>
                <w:szCs w:val="16"/>
              </w:rPr>
            </w:pPr>
          </w:p>
        </w:tc>
      </w:tr>
      <w:tr w:rsidR="00FE100B" w:rsidRPr="00943DCB" w:rsidTr="00012931">
        <w:trPr>
          <w:trHeight w:val="20"/>
          <w:jc w:val="right"/>
        </w:trPr>
        <w:tc>
          <w:tcPr>
            <w:tcW w:w="192" w:type="pct"/>
            <w:tcMar>
              <w:left w:w="85" w:type="dxa"/>
              <w:right w:w="57" w:type="dxa"/>
            </w:tcMar>
          </w:tcPr>
          <w:p w:rsidR="00C26393" w:rsidRPr="00943DCB" w:rsidRDefault="00C26393" w:rsidP="0044318E">
            <w:pPr>
              <w:pStyle w:val="braytabletext"/>
              <w:spacing w:afterLines="40" w:after="96"/>
              <w:rPr>
                <w:rFonts w:eastAsiaTheme="minorHAnsi"/>
                <w:szCs w:val="16"/>
              </w:rPr>
            </w:pPr>
          </w:p>
        </w:tc>
        <w:tc>
          <w:tcPr>
            <w:tcW w:w="194" w:type="pct"/>
            <w:tcMar>
              <w:left w:w="85" w:type="dxa"/>
              <w:right w:w="57" w:type="dxa"/>
            </w:tcMar>
          </w:tcPr>
          <w:p w:rsidR="00C26393" w:rsidRPr="00943DCB" w:rsidRDefault="00C26393" w:rsidP="0044318E">
            <w:pPr>
              <w:pStyle w:val="braytabletext"/>
              <w:spacing w:afterLines="40" w:after="96"/>
              <w:rPr>
                <w:rFonts w:eastAsiaTheme="minorHAnsi"/>
                <w:szCs w:val="16"/>
              </w:rPr>
            </w:pPr>
          </w:p>
        </w:tc>
        <w:tc>
          <w:tcPr>
            <w:tcW w:w="841" w:type="pct"/>
            <w:tcMar>
              <w:left w:w="85" w:type="dxa"/>
              <w:right w:w="57" w:type="dxa"/>
            </w:tcMar>
          </w:tcPr>
          <w:p w:rsidR="0093347F" w:rsidRDefault="0093347F" w:rsidP="0044318E">
            <w:pPr>
              <w:pStyle w:val="braytabletext"/>
              <w:spacing w:afterLines="40" w:after="96"/>
              <w:rPr>
                <w:rFonts w:eastAsiaTheme="minorHAnsi"/>
                <w:szCs w:val="16"/>
              </w:rPr>
            </w:pPr>
          </w:p>
        </w:tc>
        <w:tc>
          <w:tcPr>
            <w:tcW w:w="371" w:type="pct"/>
            <w:tcMar>
              <w:left w:w="85" w:type="dxa"/>
              <w:right w:w="57" w:type="dxa"/>
            </w:tcMar>
          </w:tcPr>
          <w:p w:rsidR="0093347F" w:rsidRPr="00F35EAE" w:rsidRDefault="00C26393" w:rsidP="0044318E">
            <w:pPr>
              <w:pStyle w:val="braytabletext"/>
              <w:spacing w:afterLines="40" w:after="96"/>
              <w:rPr>
                <w:rFonts w:eastAsiaTheme="minorHAnsi"/>
                <w:smallCaps/>
                <w:spacing w:val="5"/>
                <w:lang w:val="en-US"/>
              </w:rPr>
            </w:pPr>
            <w:r w:rsidRPr="00943DCB">
              <w:rPr>
                <w:rFonts w:eastAsiaTheme="minorHAnsi"/>
                <w:szCs w:val="16"/>
              </w:rPr>
              <w:t>VIM</w:t>
            </w:r>
          </w:p>
        </w:tc>
        <w:tc>
          <w:tcPr>
            <w:tcW w:w="595"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51</w:t>
            </w:r>
          </w:p>
        </w:tc>
        <w:tc>
          <w:tcPr>
            <w:tcW w:w="682"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86.3</w:t>
            </w:r>
          </w:p>
        </w:tc>
        <w:tc>
          <w:tcPr>
            <w:tcW w:w="681"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80.4</w:t>
            </w:r>
          </w:p>
        </w:tc>
        <w:tc>
          <w:tcPr>
            <w:tcW w:w="739"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68.6</w:t>
            </w:r>
          </w:p>
        </w:tc>
        <w:tc>
          <w:tcPr>
            <w:tcW w:w="705"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66.7</w:t>
            </w:r>
          </w:p>
        </w:tc>
      </w:tr>
      <w:tr w:rsidR="00FE100B" w:rsidRPr="00943DCB" w:rsidTr="00012931">
        <w:trPr>
          <w:trHeight w:val="20"/>
          <w:jc w:val="right"/>
        </w:trPr>
        <w:tc>
          <w:tcPr>
            <w:tcW w:w="192" w:type="pct"/>
            <w:tcMar>
              <w:left w:w="85" w:type="dxa"/>
              <w:right w:w="57" w:type="dxa"/>
            </w:tcMar>
          </w:tcPr>
          <w:p w:rsidR="00C26393" w:rsidRPr="00943DCB" w:rsidRDefault="00C26393" w:rsidP="0044318E">
            <w:pPr>
              <w:pStyle w:val="braytabletext"/>
              <w:spacing w:afterLines="40" w:after="96"/>
              <w:rPr>
                <w:rFonts w:eastAsiaTheme="minorHAnsi"/>
                <w:szCs w:val="16"/>
              </w:rPr>
            </w:pPr>
          </w:p>
        </w:tc>
        <w:tc>
          <w:tcPr>
            <w:tcW w:w="194" w:type="pct"/>
            <w:tcMar>
              <w:left w:w="85" w:type="dxa"/>
              <w:right w:w="57" w:type="dxa"/>
            </w:tcMar>
          </w:tcPr>
          <w:p w:rsidR="00C26393" w:rsidRPr="00943DCB" w:rsidRDefault="00C26393" w:rsidP="0044318E">
            <w:pPr>
              <w:pStyle w:val="braytabletext"/>
              <w:spacing w:afterLines="40" w:after="96"/>
              <w:rPr>
                <w:rFonts w:eastAsiaTheme="minorHAnsi"/>
                <w:szCs w:val="16"/>
              </w:rPr>
            </w:pPr>
          </w:p>
        </w:tc>
        <w:tc>
          <w:tcPr>
            <w:tcW w:w="841" w:type="pct"/>
            <w:tcMar>
              <w:left w:w="85" w:type="dxa"/>
              <w:right w:w="57" w:type="dxa"/>
            </w:tcMar>
          </w:tcPr>
          <w:p w:rsidR="0093347F" w:rsidRDefault="0093347F" w:rsidP="0044318E">
            <w:pPr>
              <w:pStyle w:val="braytabletext"/>
              <w:spacing w:afterLines="40" w:after="96"/>
              <w:rPr>
                <w:rFonts w:eastAsiaTheme="minorHAnsi"/>
                <w:szCs w:val="16"/>
              </w:rPr>
            </w:pPr>
          </w:p>
        </w:tc>
        <w:tc>
          <w:tcPr>
            <w:tcW w:w="371" w:type="pct"/>
            <w:tcMar>
              <w:left w:w="85" w:type="dxa"/>
              <w:right w:w="57" w:type="dxa"/>
            </w:tcMar>
          </w:tcPr>
          <w:p w:rsidR="0093347F" w:rsidRPr="00F35EAE" w:rsidRDefault="00C26393" w:rsidP="0044318E">
            <w:pPr>
              <w:pStyle w:val="braytabletext"/>
              <w:spacing w:afterLines="40" w:after="96"/>
              <w:rPr>
                <w:rFonts w:eastAsiaTheme="minorHAnsi"/>
                <w:smallCaps/>
                <w:spacing w:val="5"/>
                <w:lang w:val="en-US"/>
              </w:rPr>
            </w:pPr>
            <w:r w:rsidRPr="00943DCB">
              <w:rPr>
                <w:rFonts w:eastAsiaTheme="minorHAnsi"/>
                <w:szCs w:val="16"/>
              </w:rPr>
              <w:t>CIM</w:t>
            </w:r>
          </w:p>
        </w:tc>
        <w:tc>
          <w:tcPr>
            <w:tcW w:w="595"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363</w:t>
            </w:r>
          </w:p>
        </w:tc>
        <w:tc>
          <w:tcPr>
            <w:tcW w:w="682"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65.6</w:t>
            </w:r>
          </w:p>
        </w:tc>
        <w:tc>
          <w:tcPr>
            <w:tcW w:w="681"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50.4</w:t>
            </w:r>
          </w:p>
        </w:tc>
        <w:tc>
          <w:tcPr>
            <w:tcW w:w="739"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42.7</w:t>
            </w:r>
          </w:p>
        </w:tc>
        <w:tc>
          <w:tcPr>
            <w:tcW w:w="705"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39.7</w:t>
            </w:r>
          </w:p>
        </w:tc>
      </w:tr>
      <w:tr w:rsidR="00FE100B" w:rsidRPr="00943DCB" w:rsidTr="00CD01BA">
        <w:trPr>
          <w:trHeight w:val="20"/>
          <w:jc w:val="right"/>
        </w:trPr>
        <w:tc>
          <w:tcPr>
            <w:tcW w:w="192" w:type="pct"/>
            <w:tcBorders>
              <w:bottom w:val="single" w:sz="4" w:space="0" w:color="auto"/>
            </w:tcBorders>
            <w:tcMar>
              <w:left w:w="85" w:type="dxa"/>
              <w:right w:w="57" w:type="dxa"/>
            </w:tcMar>
          </w:tcPr>
          <w:p w:rsidR="00C26393" w:rsidRPr="00943DCB" w:rsidRDefault="00C26393" w:rsidP="0044318E">
            <w:pPr>
              <w:pStyle w:val="braytabletext"/>
              <w:spacing w:afterLines="40" w:after="96"/>
              <w:rPr>
                <w:rFonts w:eastAsiaTheme="minorHAnsi"/>
                <w:szCs w:val="16"/>
              </w:rPr>
            </w:pPr>
          </w:p>
        </w:tc>
        <w:tc>
          <w:tcPr>
            <w:tcW w:w="1035" w:type="pct"/>
            <w:gridSpan w:val="2"/>
            <w:tcBorders>
              <w:bottom w:val="single" w:sz="4" w:space="0" w:color="auto"/>
            </w:tcBorders>
            <w:tcMar>
              <w:left w:w="85" w:type="dxa"/>
              <w:right w:w="57" w:type="dxa"/>
            </w:tcMar>
          </w:tcPr>
          <w:p w:rsidR="00C26393" w:rsidRPr="00943DCB" w:rsidRDefault="00C26393" w:rsidP="0044318E">
            <w:pPr>
              <w:pStyle w:val="braytabletext"/>
              <w:spacing w:afterLines="40" w:after="96"/>
              <w:rPr>
                <w:rFonts w:eastAsiaTheme="minorHAnsi"/>
                <w:szCs w:val="16"/>
              </w:rPr>
            </w:pPr>
            <w:r w:rsidRPr="00943DCB">
              <w:rPr>
                <w:rFonts w:eastAsiaTheme="minorHAnsi"/>
                <w:szCs w:val="16"/>
              </w:rPr>
              <w:t>Total</w:t>
            </w:r>
          </w:p>
        </w:tc>
        <w:tc>
          <w:tcPr>
            <w:tcW w:w="371" w:type="pct"/>
            <w:tcBorders>
              <w:bottom w:val="single" w:sz="4" w:space="0" w:color="auto"/>
            </w:tcBorders>
            <w:tcMar>
              <w:left w:w="85" w:type="dxa"/>
              <w:right w:w="57" w:type="dxa"/>
            </w:tcMar>
          </w:tcPr>
          <w:p w:rsidR="0093347F" w:rsidRDefault="0093347F" w:rsidP="0044318E">
            <w:pPr>
              <w:pStyle w:val="braytabletext"/>
              <w:spacing w:afterLines="40" w:after="96"/>
              <w:rPr>
                <w:rFonts w:eastAsiaTheme="minorHAnsi"/>
                <w:szCs w:val="16"/>
              </w:rPr>
            </w:pPr>
          </w:p>
        </w:tc>
        <w:tc>
          <w:tcPr>
            <w:tcW w:w="595" w:type="pct"/>
            <w:tcBorders>
              <w:bottom w:val="single" w:sz="4" w:space="0" w:color="auto"/>
            </w:tcBorders>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13</w:t>
            </w:r>
            <w:r w:rsidR="00FE100B" w:rsidRPr="00943DCB">
              <w:rPr>
                <w:szCs w:val="16"/>
              </w:rPr>
              <w:t> </w:t>
            </w:r>
            <w:r w:rsidRPr="00943DCB">
              <w:rPr>
                <w:szCs w:val="16"/>
              </w:rPr>
              <w:t>802</w:t>
            </w:r>
          </w:p>
        </w:tc>
        <w:tc>
          <w:tcPr>
            <w:tcW w:w="682" w:type="pct"/>
            <w:tcBorders>
              <w:bottom w:val="single" w:sz="4" w:space="0" w:color="auto"/>
            </w:tcBorders>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91.3</w:t>
            </w:r>
          </w:p>
        </w:tc>
        <w:tc>
          <w:tcPr>
            <w:tcW w:w="681" w:type="pct"/>
            <w:tcBorders>
              <w:bottom w:val="single" w:sz="4" w:space="0" w:color="auto"/>
            </w:tcBorders>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83.0</w:t>
            </w:r>
          </w:p>
        </w:tc>
        <w:tc>
          <w:tcPr>
            <w:tcW w:w="739" w:type="pct"/>
            <w:tcBorders>
              <w:bottom w:val="single" w:sz="4" w:space="0" w:color="auto"/>
            </w:tcBorders>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78.4</w:t>
            </w:r>
          </w:p>
        </w:tc>
        <w:tc>
          <w:tcPr>
            <w:tcW w:w="705" w:type="pct"/>
            <w:tcBorders>
              <w:bottom w:val="single" w:sz="4" w:space="0" w:color="auto"/>
            </w:tcBorders>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76.8</w:t>
            </w:r>
          </w:p>
        </w:tc>
      </w:tr>
      <w:tr w:rsidR="00CD01BA" w:rsidRPr="00943DCB" w:rsidTr="001721AF">
        <w:trPr>
          <w:trHeight w:val="20"/>
          <w:jc w:val="right"/>
        </w:trPr>
        <w:tc>
          <w:tcPr>
            <w:tcW w:w="4293" w:type="pct"/>
            <w:gridSpan w:val="8"/>
            <w:tcBorders>
              <w:top w:val="single" w:sz="4" w:space="0" w:color="auto"/>
              <w:bottom w:val="single" w:sz="4" w:space="0" w:color="auto"/>
            </w:tcBorders>
            <w:shd w:val="clear" w:color="auto" w:fill="D9D9D9" w:themeFill="background1" w:themeFillShade="D9"/>
            <w:tcMar>
              <w:left w:w="85" w:type="dxa"/>
              <w:right w:w="57" w:type="dxa"/>
            </w:tcMar>
            <w:vAlign w:val="center"/>
          </w:tcPr>
          <w:p w:rsidR="00CD01BA" w:rsidRPr="00943DCB" w:rsidRDefault="00CD01BA" w:rsidP="0044318E">
            <w:pPr>
              <w:pStyle w:val="braytabletext"/>
              <w:spacing w:afterLines="40" w:after="96"/>
              <w:jc w:val="center"/>
              <w:rPr>
                <w:szCs w:val="16"/>
              </w:rPr>
            </w:pPr>
            <w:r w:rsidRPr="00943DCB">
              <w:rPr>
                <w:rFonts w:eastAsiaTheme="minorHAnsi"/>
                <w:szCs w:val="16"/>
              </w:rPr>
              <w:t>People on NIM in February 2011 who entered between November 2010 and February 2011</w:t>
            </w:r>
          </w:p>
        </w:tc>
        <w:tc>
          <w:tcPr>
            <w:tcW w:w="707" w:type="pct"/>
            <w:tcBorders>
              <w:top w:val="single" w:sz="4" w:space="0" w:color="auto"/>
            </w:tcBorders>
            <w:shd w:val="clear" w:color="auto" w:fill="auto"/>
          </w:tcPr>
          <w:p w:rsidR="00CD01BA" w:rsidRPr="00943DCB" w:rsidRDefault="00CD01BA" w:rsidP="0044318E">
            <w:pPr>
              <w:pStyle w:val="braytabletext"/>
              <w:spacing w:afterLines="40" w:after="96"/>
              <w:jc w:val="center"/>
              <w:rPr>
                <w:szCs w:val="16"/>
              </w:rPr>
            </w:pPr>
          </w:p>
        </w:tc>
      </w:tr>
      <w:tr w:rsidR="00FE100B" w:rsidRPr="00943DCB" w:rsidTr="00CD01BA">
        <w:trPr>
          <w:trHeight w:val="20"/>
          <w:jc w:val="right"/>
        </w:trPr>
        <w:tc>
          <w:tcPr>
            <w:tcW w:w="192" w:type="pct"/>
            <w:tcBorders>
              <w:top w:val="single" w:sz="4" w:space="0" w:color="auto"/>
            </w:tcBorders>
            <w:tcMar>
              <w:left w:w="85" w:type="dxa"/>
              <w:right w:w="57" w:type="dxa"/>
            </w:tcMar>
          </w:tcPr>
          <w:p w:rsidR="00C26393" w:rsidRPr="00943DCB" w:rsidRDefault="00C26393" w:rsidP="0044318E">
            <w:pPr>
              <w:pStyle w:val="braytabletext"/>
              <w:spacing w:afterLines="40" w:after="96"/>
              <w:rPr>
                <w:rFonts w:eastAsiaTheme="minorHAnsi"/>
                <w:szCs w:val="16"/>
              </w:rPr>
            </w:pPr>
          </w:p>
        </w:tc>
        <w:tc>
          <w:tcPr>
            <w:tcW w:w="1035" w:type="pct"/>
            <w:gridSpan w:val="2"/>
            <w:tcBorders>
              <w:top w:val="single" w:sz="4" w:space="0" w:color="auto"/>
            </w:tcBorders>
            <w:tcMar>
              <w:left w:w="85" w:type="dxa"/>
              <w:right w:w="57" w:type="dxa"/>
            </w:tcMar>
          </w:tcPr>
          <w:p w:rsidR="00C26393" w:rsidRPr="00943DCB" w:rsidRDefault="00C26393" w:rsidP="0044318E">
            <w:pPr>
              <w:pStyle w:val="braytabletext"/>
              <w:spacing w:afterLines="40" w:after="96"/>
              <w:rPr>
                <w:rFonts w:eastAsiaTheme="minorHAnsi"/>
                <w:szCs w:val="16"/>
              </w:rPr>
            </w:pPr>
          </w:p>
        </w:tc>
        <w:tc>
          <w:tcPr>
            <w:tcW w:w="371" w:type="pct"/>
            <w:tcBorders>
              <w:top w:val="single" w:sz="4" w:space="0" w:color="auto"/>
            </w:tcBorders>
            <w:tcMar>
              <w:left w:w="85" w:type="dxa"/>
              <w:right w:w="57" w:type="dxa"/>
            </w:tcMar>
          </w:tcPr>
          <w:p w:rsidR="0093347F" w:rsidRDefault="0093347F" w:rsidP="0044318E">
            <w:pPr>
              <w:pStyle w:val="braytabletext"/>
              <w:spacing w:afterLines="40" w:after="96"/>
              <w:rPr>
                <w:rFonts w:eastAsiaTheme="minorHAnsi"/>
                <w:szCs w:val="16"/>
              </w:rPr>
            </w:pPr>
          </w:p>
        </w:tc>
        <w:tc>
          <w:tcPr>
            <w:tcW w:w="595" w:type="pct"/>
            <w:tcBorders>
              <w:top w:val="single" w:sz="4" w:space="0" w:color="auto"/>
            </w:tcBorders>
            <w:tcMar>
              <w:left w:w="85" w:type="dxa"/>
              <w:right w:w="57" w:type="dxa"/>
            </w:tcMar>
            <w:vAlign w:val="bottom"/>
          </w:tcPr>
          <w:p w:rsidR="0093347F" w:rsidRDefault="0093347F" w:rsidP="0044318E">
            <w:pPr>
              <w:pStyle w:val="braytabletext"/>
              <w:spacing w:afterLines="40" w:after="96"/>
              <w:rPr>
                <w:szCs w:val="16"/>
              </w:rPr>
            </w:pPr>
          </w:p>
        </w:tc>
        <w:tc>
          <w:tcPr>
            <w:tcW w:w="2102" w:type="pct"/>
            <w:gridSpan w:val="3"/>
            <w:tcBorders>
              <w:top w:val="single" w:sz="4" w:space="0" w:color="auto"/>
              <w:bottom w:val="single" w:sz="4" w:space="0" w:color="auto"/>
            </w:tcBorders>
            <w:tcMar>
              <w:left w:w="85" w:type="dxa"/>
              <w:right w:w="57" w:type="dxa"/>
            </w:tcMar>
            <w:vAlign w:val="bottom"/>
          </w:tcPr>
          <w:p w:rsidR="0093347F" w:rsidRPr="00F35EAE" w:rsidRDefault="00BB552A" w:rsidP="0044318E">
            <w:pPr>
              <w:pStyle w:val="braytabletext"/>
              <w:spacing w:afterLines="40" w:after="96"/>
              <w:rPr>
                <w:smallCaps/>
                <w:spacing w:val="5"/>
                <w:lang w:val="en-US"/>
              </w:rPr>
            </w:pPr>
            <w:r w:rsidRPr="00943DCB">
              <w:rPr>
                <w:rFonts w:eastAsiaTheme="minorHAnsi"/>
                <w:szCs w:val="16"/>
              </w:rPr>
              <w:t xml:space="preserve">Proportion </w:t>
            </w:r>
            <w:r w:rsidR="00C26393" w:rsidRPr="00943DCB">
              <w:rPr>
                <w:rFonts w:eastAsiaTheme="minorHAnsi"/>
                <w:szCs w:val="16"/>
              </w:rPr>
              <w:t>still on</w:t>
            </w:r>
            <w:r w:rsidR="00F35EAE">
              <w:rPr>
                <w:rFonts w:eastAsiaTheme="minorHAnsi"/>
                <w:szCs w:val="16"/>
              </w:rPr>
              <w:t xml:space="preserve"> IM</w:t>
            </w:r>
            <w:r w:rsidR="00C26393" w:rsidRPr="00943DCB">
              <w:rPr>
                <w:rFonts w:eastAsiaTheme="minorHAnsi"/>
                <w:szCs w:val="16"/>
              </w:rPr>
              <w:t xml:space="preserve"> in:</w:t>
            </w:r>
          </w:p>
        </w:tc>
        <w:tc>
          <w:tcPr>
            <w:tcW w:w="705" w:type="pct"/>
            <w:tcMar>
              <w:left w:w="85" w:type="dxa"/>
              <w:right w:w="57" w:type="dxa"/>
            </w:tcMar>
            <w:vAlign w:val="bottom"/>
          </w:tcPr>
          <w:p w:rsidR="0093347F" w:rsidRDefault="0093347F" w:rsidP="0044318E">
            <w:pPr>
              <w:pStyle w:val="braytabletext"/>
              <w:spacing w:afterLines="40" w:after="96"/>
              <w:rPr>
                <w:szCs w:val="16"/>
              </w:rPr>
            </w:pPr>
          </w:p>
        </w:tc>
      </w:tr>
      <w:tr w:rsidR="00FE100B" w:rsidRPr="00943DCB" w:rsidTr="00CD01BA">
        <w:trPr>
          <w:trHeight w:val="20"/>
          <w:jc w:val="right"/>
        </w:trPr>
        <w:tc>
          <w:tcPr>
            <w:tcW w:w="192" w:type="pct"/>
            <w:tcMar>
              <w:left w:w="85" w:type="dxa"/>
              <w:right w:w="57" w:type="dxa"/>
            </w:tcMar>
          </w:tcPr>
          <w:p w:rsidR="00C26393" w:rsidRPr="00943DCB" w:rsidRDefault="00C26393" w:rsidP="0044318E">
            <w:pPr>
              <w:pStyle w:val="braytabletext"/>
              <w:spacing w:afterLines="40" w:after="96"/>
              <w:rPr>
                <w:rFonts w:eastAsiaTheme="minorHAnsi"/>
                <w:szCs w:val="16"/>
              </w:rPr>
            </w:pPr>
          </w:p>
        </w:tc>
        <w:tc>
          <w:tcPr>
            <w:tcW w:w="1035" w:type="pct"/>
            <w:gridSpan w:val="2"/>
            <w:tcMar>
              <w:left w:w="85" w:type="dxa"/>
              <w:right w:w="57" w:type="dxa"/>
            </w:tcMar>
          </w:tcPr>
          <w:p w:rsidR="00C26393" w:rsidRPr="00943DCB" w:rsidRDefault="00C26393" w:rsidP="0044318E">
            <w:pPr>
              <w:pStyle w:val="braytabletext"/>
              <w:spacing w:afterLines="40" w:after="96"/>
              <w:rPr>
                <w:rFonts w:eastAsiaTheme="minorHAnsi"/>
                <w:szCs w:val="16"/>
              </w:rPr>
            </w:pPr>
          </w:p>
        </w:tc>
        <w:tc>
          <w:tcPr>
            <w:tcW w:w="371" w:type="pct"/>
            <w:tcMar>
              <w:left w:w="85" w:type="dxa"/>
              <w:right w:w="57" w:type="dxa"/>
            </w:tcMar>
          </w:tcPr>
          <w:p w:rsidR="0093347F" w:rsidRDefault="0093347F" w:rsidP="0044318E">
            <w:pPr>
              <w:pStyle w:val="braytabletext"/>
              <w:spacing w:afterLines="40" w:after="96"/>
              <w:rPr>
                <w:rFonts w:eastAsiaTheme="minorHAnsi"/>
                <w:szCs w:val="16"/>
              </w:rPr>
            </w:pPr>
          </w:p>
        </w:tc>
        <w:tc>
          <w:tcPr>
            <w:tcW w:w="595" w:type="pct"/>
            <w:tcMar>
              <w:left w:w="85" w:type="dxa"/>
              <w:right w:w="57" w:type="dxa"/>
            </w:tcMar>
            <w:vAlign w:val="bottom"/>
          </w:tcPr>
          <w:p w:rsidR="0093347F" w:rsidRDefault="0093347F" w:rsidP="0044318E">
            <w:pPr>
              <w:pStyle w:val="braytabletext"/>
              <w:spacing w:afterLines="40" w:after="96"/>
              <w:rPr>
                <w:szCs w:val="16"/>
              </w:rPr>
            </w:pPr>
          </w:p>
        </w:tc>
        <w:tc>
          <w:tcPr>
            <w:tcW w:w="682" w:type="pct"/>
            <w:tcBorders>
              <w:top w:val="single" w:sz="4" w:space="0" w:color="auto"/>
            </w:tcBorders>
            <w:tcMar>
              <w:left w:w="85" w:type="dxa"/>
              <w:right w:w="57" w:type="dxa"/>
            </w:tcMar>
            <w:vAlign w:val="bottom"/>
          </w:tcPr>
          <w:p w:rsidR="0093347F" w:rsidRPr="00F35EAE" w:rsidRDefault="00C26393" w:rsidP="0044318E">
            <w:pPr>
              <w:pStyle w:val="braytabletext"/>
              <w:spacing w:afterLines="40" w:after="96"/>
              <w:jc w:val="right"/>
              <w:rPr>
                <w:smallCaps/>
                <w:spacing w:val="5"/>
                <w:lang w:val="en-US"/>
              </w:rPr>
            </w:pPr>
            <w:r w:rsidRPr="00943DCB">
              <w:rPr>
                <w:szCs w:val="16"/>
              </w:rPr>
              <w:t>July 2011</w:t>
            </w:r>
          </w:p>
        </w:tc>
        <w:tc>
          <w:tcPr>
            <w:tcW w:w="681" w:type="pct"/>
            <w:tcBorders>
              <w:top w:val="single" w:sz="4" w:space="0" w:color="auto"/>
            </w:tcBorders>
            <w:tcMar>
              <w:left w:w="85" w:type="dxa"/>
              <w:right w:w="57" w:type="dxa"/>
            </w:tcMar>
            <w:vAlign w:val="bottom"/>
          </w:tcPr>
          <w:p w:rsidR="0093347F" w:rsidRPr="00F35EAE" w:rsidRDefault="00C26393" w:rsidP="0044318E">
            <w:pPr>
              <w:pStyle w:val="braytabletext"/>
              <w:spacing w:afterLines="40" w:after="96"/>
              <w:jc w:val="right"/>
              <w:rPr>
                <w:smallCaps/>
                <w:spacing w:val="5"/>
                <w:lang w:val="en-US"/>
              </w:rPr>
            </w:pPr>
            <w:r w:rsidRPr="00943DCB">
              <w:rPr>
                <w:szCs w:val="16"/>
              </w:rPr>
              <w:t>Oct 2011</w:t>
            </w:r>
          </w:p>
        </w:tc>
        <w:tc>
          <w:tcPr>
            <w:tcW w:w="739" w:type="pct"/>
            <w:tcBorders>
              <w:top w:val="single" w:sz="4" w:space="0" w:color="auto"/>
            </w:tcBorders>
            <w:tcMar>
              <w:left w:w="85" w:type="dxa"/>
              <w:right w:w="57" w:type="dxa"/>
            </w:tcMar>
            <w:vAlign w:val="bottom"/>
          </w:tcPr>
          <w:p w:rsidR="0093347F" w:rsidRPr="00F35EAE" w:rsidRDefault="00C26393" w:rsidP="0044318E">
            <w:pPr>
              <w:pStyle w:val="braytabletext"/>
              <w:spacing w:afterLines="40" w:after="96"/>
              <w:jc w:val="right"/>
              <w:rPr>
                <w:smallCaps/>
                <w:spacing w:val="5"/>
                <w:lang w:val="en-US"/>
              </w:rPr>
            </w:pPr>
            <w:r w:rsidRPr="00943DCB">
              <w:rPr>
                <w:szCs w:val="16"/>
              </w:rPr>
              <w:t>Jan 2012</w:t>
            </w:r>
          </w:p>
        </w:tc>
        <w:tc>
          <w:tcPr>
            <w:tcW w:w="705" w:type="pct"/>
            <w:tcMar>
              <w:left w:w="85" w:type="dxa"/>
              <w:right w:w="57" w:type="dxa"/>
            </w:tcMar>
            <w:vAlign w:val="bottom"/>
          </w:tcPr>
          <w:p w:rsidR="0093347F" w:rsidRDefault="0093347F" w:rsidP="0044318E">
            <w:pPr>
              <w:pStyle w:val="braytabletext"/>
              <w:spacing w:afterLines="40" w:after="96"/>
              <w:rPr>
                <w:szCs w:val="16"/>
              </w:rPr>
            </w:pPr>
          </w:p>
        </w:tc>
      </w:tr>
      <w:tr w:rsidR="00FE100B" w:rsidRPr="00943DCB" w:rsidTr="00CD01BA">
        <w:trPr>
          <w:trHeight w:val="20"/>
          <w:jc w:val="right"/>
        </w:trPr>
        <w:tc>
          <w:tcPr>
            <w:tcW w:w="192" w:type="pct"/>
            <w:tcBorders>
              <w:bottom w:val="single" w:sz="4" w:space="0" w:color="auto"/>
            </w:tcBorders>
            <w:tcMar>
              <w:left w:w="85" w:type="dxa"/>
              <w:right w:w="57" w:type="dxa"/>
            </w:tcMar>
          </w:tcPr>
          <w:p w:rsidR="00C26393" w:rsidRPr="00943DCB" w:rsidRDefault="00C26393" w:rsidP="0044318E">
            <w:pPr>
              <w:pStyle w:val="braytabletext"/>
              <w:spacing w:afterLines="40" w:after="96"/>
              <w:rPr>
                <w:rFonts w:eastAsiaTheme="minorHAnsi"/>
                <w:szCs w:val="16"/>
              </w:rPr>
            </w:pPr>
          </w:p>
        </w:tc>
        <w:tc>
          <w:tcPr>
            <w:tcW w:w="1035" w:type="pct"/>
            <w:gridSpan w:val="2"/>
            <w:tcBorders>
              <w:bottom w:val="single" w:sz="4" w:space="0" w:color="auto"/>
            </w:tcBorders>
            <w:tcMar>
              <w:left w:w="85" w:type="dxa"/>
              <w:right w:w="57" w:type="dxa"/>
            </w:tcMar>
          </w:tcPr>
          <w:p w:rsidR="00C26393" w:rsidRPr="00943DCB" w:rsidRDefault="00C26393" w:rsidP="0044318E">
            <w:pPr>
              <w:pStyle w:val="braytabletext"/>
              <w:spacing w:afterLines="40" w:after="96"/>
              <w:rPr>
                <w:rFonts w:eastAsiaTheme="minorHAnsi"/>
                <w:szCs w:val="16"/>
              </w:rPr>
            </w:pPr>
          </w:p>
        </w:tc>
        <w:tc>
          <w:tcPr>
            <w:tcW w:w="371" w:type="pct"/>
            <w:tcBorders>
              <w:bottom w:val="single" w:sz="4" w:space="0" w:color="auto"/>
            </w:tcBorders>
            <w:tcMar>
              <w:left w:w="85" w:type="dxa"/>
              <w:right w:w="57" w:type="dxa"/>
            </w:tcMar>
          </w:tcPr>
          <w:p w:rsidR="0093347F" w:rsidRDefault="0093347F" w:rsidP="0044318E">
            <w:pPr>
              <w:pStyle w:val="braytabletext"/>
              <w:spacing w:afterLines="40" w:after="96"/>
              <w:rPr>
                <w:rFonts w:eastAsiaTheme="minorHAnsi"/>
                <w:szCs w:val="16"/>
              </w:rPr>
            </w:pPr>
          </w:p>
        </w:tc>
        <w:tc>
          <w:tcPr>
            <w:tcW w:w="595" w:type="pct"/>
            <w:tcBorders>
              <w:bottom w:val="single" w:sz="4" w:space="0" w:color="auto"/>
            </w:tcBorders>
            <w:tcMar>
              <w:left w:w="85" w:type="dxa"/>
              <w:right w:w="57" w:type="dxa"/>
            </w:tcMar>
            <w:vAlign w:val="bottom"/>
          </w:tcPr>
          <w:p w:rsidR="0093347F" w:rsidRDefault="0093347F" w:rsidP="0044318E">
            <w:pPr>
              <w:pStyle w:val="braytabletext"/>
              <w:spacing w:afterLines="40" w:after="96"/>
              <w:rPr>
                <w:szCs w:val="16"/>
              </w:rPr>
            </w:pPr>
          </w:p>
        </w:tc>
        <w:tc>
          <w:tcPr>
            <w:tcW w:w="682" w:type="pct"/>
            <w:tcBorders>
              <w:bottom w:val="single" w:sz="4" w:space="0" w:color="auto"/>
            </w:tcBorders>
            <w:tcMar>
              <w:left w:w="85" w:type="dxa"/>
              <w:right w:w="57" w:type="dxa"/>
            </w:tcMar>
            <w:vAlign w:val="bottom"/>
          </w:tcPr>
          <w:p w:rsidR="0093347F" w:rsidRPr="00F35EAE" w:rsidRDefault="001721AF" w:rsidP="0044318E">
            <w:pPr>
              <w:pStyle w:val="braytabletext"/>
              <w:spacing w:afterLines="40" w:after="96"/>
              <w:jc w:val="right"/>
              <w:rPr>
                <w:smallCaps/>
                <w:spacing w:val="5"/>
                <w:lang w:val="en-US"/>
              </w:rPr>
            </w:pPr>
            <w:r>
              <w:rPr>
                <w:szCs w:val="16"/>
              </w:rPr>
              <w:t>(</w:t>
            </w:r>
            <w:r w:rsidR="00C26393" w:rsidRPr="00943DCB">
              <w:rPr>
                <w:szCs w:val="16"/>
              </w:rPr>
              <w:t>+5 months</w:t>
            </w:r>
            <w:r>
              <w:rPr>
                <w:szCs w:val="16"/>
              </w:rPr>
              <w:t>)</w:t>
            </w:r>
          </w:p>
        </w:tc>
        <w:tc>
          <w:tcPr>
            <w:tcW w:w="681" w:type="pct"/>
            <w:tcBorders>
              <w:bottom w:val="single" w:sz="4" w:space="0" w:color="auto"/>
            </w:tcBorders>
            <w:tcMar>
              <w:left w:w="85" w:type="dxa"/>
              <w:right w:w="57" w:type="dxa"/>
            </w:tcMar>
            <w:vAlign w:val="bottom"/>
          </w:tcPr>
          <w:p w:rsidR="0093347F" w:rsidRPr="00F35EAE" w:rsidRDefault="001721AF" w:rsidP="0044318E">
            <w:pPr>
              <w:pStyle w:val="braytabletext"/>
              <w:spacing w:afterLines="40" w:after="96"/>
              <w:jc w:val="right"/>
              <w:rPr>
                <w:smallCaps/>
                <w:spacing w:val="5"/>
                <w:lang w:val="en-US"/>
              </w:rPr>
            </w:pPr>
            <w:r>
              <w:rPr>
                <w:szCs w:val="16"/>
              </w:rPr>
              <w:t>(</w:t>
            </w:r>
            <w:r w:rsidR="00C26393" w:rsidRPr="00943DCB">
              <w:rPr>
                <w:szCs w:val="16"/>
              </w:rPr>
              <w:t>+8 months</w:t>
            </w:r>
            <w:r>
              <w:rPr>
                <w:szCs w:val="16"/>
              </w:rPr>
              <w:t>)</w:t>
            </w:r>
          </w:p>
        </w:tc>
        <w:tc>
          <w:tcPr>
            <w:tcW w:w="739" w:type="pct"/>
            <w:tcBorders>
              <w:bottom w:val="single" w:sz="4" w:space="0" w:color="auto"/>
            </w:tcBorders>
            <w:tcMar>
              <w:left w:w="85" w:type="dxa"/>
              <w:right w:w="57" w:type="dxa"/>
            </w:tcMar>
            <w:vAlign w:val="bottom"/>
          </w:tcPr>
          <w:p w:rsidR="0093347F" w:rsidRPr="00F35EAE" w:rsidRDefault="001721AF" w:rsidP="0044318E">
            <w:pPr>
              <w:pStyle w:val="braytabletext"/>
              <w:spacing w:afterLines="40" w:after="96"/>
              <w:jc w:val="right"/>
              <w:rPr>
                <w:smallCaps/>
                <w:spacing w:val="5"/>
                <w:lang w:val="en-US"/>
              </w:rPr>
            </w:pPr>
            <w:r>
              <w:rPr>
                <w:szCs w:val="16"/>
              </w:rPr>
              <w:t>(</w:t>
            </w:r>
            <w:r w:rsidR="00C26393" w:rsidRPr="00943DCB">
              <w:rPr>
                <w:szCs w:val="16"/>
              </w:rPr>
              <w:t>+ 11 Months</w:t>
            </w:r>
            <w:r>
              <w:rPr>
                <w:szCs w:val="16"/>
              </w:rPr>
              <w:t>)</w:t>
            </w:r>
          </w:p>
        </w:tc>
        <w:tc>
          <w:tcPr>
            <w:tcW w:w="705" w:type="pct"/>
            <w:tcMar>
              <w:left w:w="85" w:type="dxa"/>
              <w:right w:w="57" w:type="dxa"/>
            </w:tcMar>
            <w:vAlign w:val="bottom"/>
          </w:tcPr>
          <w:p w:rsidR="0093347F" w:rsidRDefault="0093347F" w:rsidP="0044318E">
            <w:pPr>
              <w:pStyle w:val="braytabletext"/>
              <w:spacing w:afterLines="40" w:after="96"/>
              <w:rPr>
                <w:szCs w:val="16"/>
              </w:rPr>
            </w:pPr>
          </w:p>
        </w:tc>
      </w:tr>
      <w:tr w:rsidR="00FE100B" w:rsidRPr="00943DCB" w:rsidTr="00CD01BA">
        <w:trPr>
          <w:trHeight w:val="20"/>
          <w:jc w:val="right"/>
        </w:trPr>
        <w:tc>
          <w:tcPr>
            <w:tcW w:w="192" w:type="pct"/>
            <w:tcMar>
              <w:left w:w="85" w:type="dxa"/>
              <w:right w:w="57" w:type="dxa"/>
            </w:tcMar>
          </w:tcPr>
          <w:p w:rsidR="00ED395D" w:rsidRPr="00943DCB" w:rsidRDefault="00ED395D" w:rsidP="0044318E">
            <w:pPr>
              <w:pStyle w:val="braytabletext"/>
              <w:spacing w:afterLines="40" w:after="96"/>
              <w:rPr>
                <w:rFonts w:eastAsiaTheme="minorHAnsi"/>
                <w:szCs w:val="16"/>
              </w:rPr>
            </w:pPr>
          </w:p>
        </w:tc>
        <w:tc>
          <w:tcPr>
            <w:tcW w:w="1035" w:type="pct"/>
            <w:gridSpan w:val="2"/>
            <w:tcMar>
              <w:left w:w="85" w:type="dxa"/>
              <w:right w:w="57" w:type="dxa"/>
            </w:tcMar>
          </w:tcPr>
          <w:p w:rsidR="00ED395D" w:rsidRPr="00943DCB" w:rsidRDefault="00ED395D" w:rsidP="0044318E">
            <w:pPr>
              <w:pStyle w:val="braytabletext"/>
              <w:spacing w:afterLines="40" w:after="96"/>
              <w:rPr>
                <w:rFonts w:eastAsiaTheme="minorHAnsi"/>
                <w:szCs w:val="16"/>
              </w:rPr>
            </w:pPr>
            <w:r w:rsidRPr="00943DCB">
              <w:rPr>
                <w:rFonts w:eastAsiaTheme="minorHAnsi"/>
                <w:szCs w:val="16"/>
              </w:rPr>
              <w:t>Indigenous</w:t>
            </w:r>
          </w:p>
        </w:tc>
        <w:tc>
          <w:tcPr>
            <w:tcW w:w="371" w:type="pct"/>
            <w:tcMar>
              <w:left w:w="85" w:type="dxa"/>
              <w:right w:w="57" w:type="dxa"/>
            </w:tcMar>
          </w:tcPr>
          <w:p w:rsidR="0093347F" w:rsidRDefault="0093347F" w:rsidP="0044318E">
            <w:pPr>
              <w:pStyle w:val="braytabletext"/>
              <w:spacing w:afterLines="40" w:after="96"/>
              <w:rPr>
                <w:rFonts w:eastAsiaTheme="minorHAnsi"/>
                <w:szCs w:val="16"/>
              </w:rPr>
            </w:pPr>
          </w:p>
        </w:tc>
        <w:tc>
          <w:tcPr>
            <w:tcW w:w="595" w:type="pct"/>
            <w:tcMar>
              <w:left w:w="85" w:type="dxa"/>
              <w:right w:w="57" w:type="dxa"/>
            </w:tcMar>
          </w:tcPr>
          <w:p w:rsidR="0093347F" w:rsidRPr="00F35EAE" w:rsidRDefault="00ED395D" w:rsidP="0044318E">
            <w:pPr>
              <w:pStyle w:val="braytabletext"/>
              <w:spacing w:afterLines="40" w:after="96"/>
              <w:rPr>
                <w:rFonts w:eastAsiaTheme="minorHAnsi"/>
                <w:smallCaps/>
                <w:spacing w:val="5"/>
                <w:lang w:val="en-US"/>
              </w:rPr>
            </w:pPr>
            <w:r w:rsidRPr="00943DCB">
              <w:rPr>
                <w:rFonts w:eastAsiaTheme="minorHAnsi"/>
                <w:szCs w:val="16"/>
              </w:rPr>
              <w:t>Number</w:t>
            </w:r>
          </w:p>
        </w:tc>
        <w:tc>
          <w:tcPr>
            <w:tcW w:w="2807" w:type="pct"/>
            <w:gridSpan w:val="4"/>
            <w:tcMar>
              <w:left w:w="85" w:type="dxa"/>
              <w:right w:w="57" w:type="dxa"/>
            </w:tcMar>
          </w:tcPr>
          <w:p w:rsidR="0093347F" w:rsidRPr="00F35EAE" w:rsidRDefault="00ED395D" w:rsidP="0044318E">
            <w:pPr>
              <w:pStyle w:val="braytabletext"/>
              <w:spacing w:afterLines="40" w:after="96"/>
              <w:jc w:val="center"/>
              <w:rPr>
                <w:rFonts w:eastAsiaTheme="minorHAnsi"/>
                <w:smallCaps/>
                <w:spacing w:val="5"/>
                <w:lang w:val="en-US"/>
              </w:rPr>
            </w:pPr>
            <w:r w:rsidRPr="00943DCB">
              <w:rPr>
                <w:rFonts w:eastAsiaTheme="minorHAnsi"/>
                <w:szCs w:val="16"/>
              </w:rPr>
              <w:t>-</w:t>
            </w:r>
            <w:r w:rsidR="006435C8">
              <w:rPr>
                <w:rFonts w:eastAsiaTheme="minorHAnsi"/>
                <w:szCs w:val="16"/>
              </w:rPr>
              <w:t xml:space="preserve"> </w:t>
            </w:r>
            <w:r w:rsidRPr="00943DCB">
              <w:rPr>
                <w:rFonts w:eastAsiaTheme="minorHAnsi"/>
                <w:szCs w:val="16"/>
              </w:rPr>
              <w:t>%</w:t>
            </w:r>
            <w:r w:rsidR="006435C8">
              <w:rPr>
                <w:rFonts w:eastAsiaTheme="minorHAnsi"/>
                <w:szCs w:val="16"/>
              </w:rPr>
              <w:t xml:space="preserve"> </w:t>
            </w:r>
            <w:r w:rsidRPr="00943DCB">
              <w:rPr>
                <w:rFonts w:eastAsiaTheme="minorHAnsi"/>
                <w:szCs w:val="16"/>
              </w:rPr>
              <w:t>-</w:t>
            </w:r>
          </w:p>
        </w:tc>
      </w:tr>
      <w:tr w:rsidR="00FE100B" w:rsidRPr="00943DCB" w:rsidTr="00012931">
        <w:trPr>
          <w:trHeight w:val="20"/>
          <w:jc w:val="right"/>
        </w:trPr>
        <w:tc>
          <w:tcPr>
            <w:tcW w:w="192" w:type="pct"/>
            <w:tcMar>
              <w:left w:w="85" w:type="dxa"/>
              <w:right w:w="57" w:type="dxa"/>
            </w:tcMar>
          </w:tcPr>
          <w:p w:rsidR="00C26393" w:rsidRPr="00943DCB" w:rsidRDefault="00C26393" w:rsidP="0044318E">
            <w:pPr>
              <w:pStyle w:val="braytabletext"/>
              <w:spacing w:afterLines="40" w:after="96"/>
              <w:rPr>
                <w:rFonts w:eastAsiaTheme="minorHAnsi"/>
                <w:szCs w:val="16"/>
              </w:rPr>
            </w:pPr>
          </w:p>
        </w:tc>
        <w:tc>
          <w:tcPr>
            <w:tcW w:w="194" w:type="pct"/>
            <w:tcMar>
              <w:left w:w="85" w:type="dxa"/>
              <w:right w:w="57" w:type="dxa"/>
            </w:tcMar>
          </w:tcPr>
          <w:p w:rsidR="00C26393" w:rsidRPr="00943DCB" w:rsidRDefault="00C26393" w:rsidP="0044318E">
            <w:pPr>
              <w:pStyle w:val="braytabletext"/>
              <w:spacing w:afterLines="40" w:after="96"/>
              <w:rPr>
                <w:rFonts w:eastAsiaTheme="minorHAnsi"/>
                <w:szCs w:val="16"/>
              </w:rPr>
            </w:pPr>
            <w:r w:rsidRPr="00943DCB">
              <w:rPr>
                <w:rFonts w:eastAsiaTheme="minorHAnsi"/>
                <w:szCs w:val="16"/>
              </w:rPr>
              <w:t xml:space="preserve"> </w:t>
            </w:r>
          </w:p>
        </w:tc>
        <w:tc>
          <w:tcPr>
            <w:tcW w:w="841" w:type="pct"/>
            <w:vMerge w:val="restart"/>
            <w:tcMar>
              <w:left w:w="85" w:type="dxa"/>
              <w:right w:w="57" w:type="dxa"/>
            </w:tcMar>
          </w:tcPr>
          <w:p w:rsidR="0093347F" w:rsidRPr="00F35EAE" w:rsidRDefault="00C26393" w:rsidP="0044318E">
            <w:pPr>
              <w:pStyle w:val="braytabletext"/>
              <w:spacing w:afterLines="40" w:after="96"/>
              <w:rPr>
                <w:rFonts w:eastAsiaTheme="minorHAnsi"/>
                <w:smallCaps/>
                <w:spacing w:val="5"/>
                <w:lang w:val="en-US"/>
              </w:rPr>
            </w:pPr>
            <w:r w:rsidRPr="00943DCB">
              <w:rPr>
                <w:rFonts w:eastAsiaTheme="minorHAnsi"/>
                <w:szCs w:val="16"/>
              </w:rPr>
              <w:t>On NTER IM in June 2010</w:t>
            </w:r>
          </w:p>
        </w:tc>
        <w:tc>
          <w:tcPr>
            <w:tcW w:w="371" w:type="pct"/>
            <w:tcMar>
              <w:left w:w="85" w:type="dxa"/>
              <w:right w:w="57" w:type="dxa"/>
            </w:tcMar>
          </w:tcPr>
          <w:p w:rsidR="0093347F" w:rsidRPr="00F35EAE" w:rsidRDefault="00C26393" w:rsidP="0044318E">
            <w:pPr>
              <w:pStyle w:val="braytabletext"/>
              <w:spacing w:afterLines="40" w:after="96"/>
              <w:rPr>
                <w:rFonts w:eastAsiaTheme="minorHAnsi"/>
                <w:smallCaps/>
                <w:spacing w:val="5"/>
                <w:lang w:val="en-US"/>
              </w:rPr>
            </w:pPr>
            <w:r w:rsidRPr="00943DCB">
              <w:rPr>
                <w:rFonts w:eastAsiaTheme="minorHAnsi"/>
                <w:szCs w:val="16"/>
              </w:rPr>
              <w:t>VIM</w:t>
            </w:r>
          </w:p>
        </w:tc>
        <w:tc>
          <w:tcPr>
            <w:tcW w:w="595"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1</w:t>
            </w:r>
            <w:r w:rsidR="00FE100B" w:rsidRPr="00943DCB">
              <w:rPr>
                <w:szCs w:val="16"/>
              </w:rPr>
              <w:t> </w:t>
            </w:r>
            <w:r w:rsidRPr="00943DCB">
              <w:rPr>
                <w:szCs w:val="16"/>
              </w:rPr>
              <w:t>027</w:t>
            </w:r>
          </w:p>
        </w:tc>
        <w:tc>
          <w:tcPr>
            <w:tcW w:w="682"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90.8</w:t>
            </w:r>
          </w:p>
        </w:tc>
        <w:tc>
          <w:tcPr>
            <w:tcW w:w="681"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87.7</w:t>
            </w:r>
          </w:p>
        </w:tc>
        <w:tc>
          <w:tcPr>
            <w:tcW w:w="739"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86.5</w:t>
            </w:r>
          </w:p>
        </w:tc>
        <w:tc>
          <w:tcPr>
            <w:tcW w:w="705" w:type="pct"/>
            <w:tcMar>
              <w:left w:w="85" w:type="dxa"/>
              <w:right w:w="57" w:type="dxa"/>
            </w:tcMar>
          </w:tcPr>
          <w:p w:rsidR="0093347F" w:rsidRPr="00F35EAE" w:rsidRDefault="0093347F" w:rsidP="0044318E">
            <w:pPr>
              <w:pStyle w:val="braytabletext"/>
              <w:spacing w:afterLines="40" w:after="96"/>
              <w:rPr>
                <w:rFonts w:eastAsiaTheme="minorHAnsi"/>
                <w:smallCaps/>
                <w:spacing w:val="5"/>
                <w:lang w:val="en-US"/>
              </w:rPr>
            </w:pPr>
          </w:p>
        </w:tc>
      </w:tr>
      <w:tr w:rsidR="00FE100B" w:rsidRPr="00943DCB" w:rsidTr="00012931">
        <w:trPr>
          <w:trHeight w:val="20"/>
          <w:jc w:val="right"/>
        </w:trPr>
        <w:tc>
          <w:tcPr>
            <w:tcW w:w="192" w:type="pct"/>
            <w:tcMar>
              <w:left w:w="85" w:type="dxa"/>
              <w:right w:w="57" w:type="dxa"/>
            </w:tcMar>
          </w:tcPr>
          <w:p w:rsidR="00C26393" w:rsidRPr="00943DCB" w:rsidRDefault="00C26393" w:rsidP="0044318E">
            <w:pPr>
              <w:pStyle w:val="braytabletext"/>
              <w:spacing w:afterLines="40" w:after="96"/>
              <w:rPr>
                <w:rFonts w:eastAsiaTheme="minorHAnsi"/>
                <w:szCs w:val="16"/>
              </w:rPr>
            </w:pPr>
          </w:p>
        </w:tc>
        <w:tc>
          <w:tcPr>
            <w:tcW w:w="194" w:type="pct"/>
            <w:tcMar>
              <w:left w:w="85" w:type="dxa"/>
              <w:right w:w="57" w:type="dxa"/>
            </w:tcMar>
          </w:tcPr>
          <w:p w:rsidR="00C26393" w:rsidRPr="00943DCB" w:rsidRDefault="00C26393" w:rsidP="0044318E">
            <w:pPr>
              <w:pStyle w:val="braytabletext"/>
              <w:spacing w:afterLines="40" w:after="96"/>
              <w:rPr>
                <w:rFonts w:eastAsiaTheme="minorHAnsi"/>
                <w:szCs w:val="16"/>
              </w:rPr>
            </w:pPr>
          </w:p>
        </w:tc>
        <w:tc>
          <w:tcPr>
            <w:tcW w:w="841" w:type="pct"/>
            <w:vMerge/>
            <w:tcMar>
              <w:left w:w="85" w:type="dxa"/>
              <w:right w:w="57" w:type="dxa"/>
            </w:tcMar>
          </w:tcPr>
          <w:p w:rsidR="0093347F" w:rsidRDefault="0093347F" w:rsidP="0044318E">
            <w:pPr>
              <w:pStyle w:val="braytabletext"/>
              <w:spacing w:afterLines="40" w:after="96"/>
              <w:rPr>
                <w:rFonts w:eastAsiaTheme="minorHAnsi"/>
                <w:szCs w:val="16"/>
              </w:rPr>
            </w:pPr>
          </w:p>
        </w:tc>
        <w:tc>
          <w:tcPr>
            <w:tcW w:w="371" w:type="pct"/>
            <w:tcMar>
              <w:left w:w="85" w:type="dxa"/>
              <w:right w:w="57" w:type="dxa"/>
            </w:tcMar>
          </w:tcPr>
          <w:p w:rsidR="0093347F" w:rsidRPr="00F35EAE" w:rsidRDefault="00C26393" w:rsidP="0044318E">
            <w:pPr>
              <w:pStyle w:val="braytabletext"/>
              <w:spacing w:afterLines="40" w:after="96"/>
              <w:rPr>
                <w:rFonts w:eastAsiaTheme="minorHAnsi"/>
                <w:smallCaps/>
                <w:spacing w:val="5"/>
                <w:lang w:val="en-US"/>
              </w:rPr>
            </w:pPr>
            <w:r w:rsidRPr="00943DCB">
              <w:rPr>
                <w:rFonts w:eastAsiaTheme="minorHAnsi"/>
                <w:szCs w:val="16"/>
              </w:rPr>
              <w:t>CIM</w:t>
            </w:r>
          </w:p>
        </w:tc>
        <w:tc>
          <w:tcPr>
            <w:tcW w:w="595"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62</w:t>
            </w:r>
          </w:p>
        </w:tc>
        <w:tc>
          <w:tcPr>
            <w:tcW w:w="682"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90.3</w:t>
            </w:r>
          </w:p>
        </w:tc>
        <w:tc>
          <w:tcPr>
            <w:tcW w:w="681"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80.6</w:t>
            </w:r>
          </w:p>
        </w:tc>
        <w:tc>
          <w:tcPr>
            <w:tcW w:w="739"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80.6</w:t>
            </w:r>
          </w:p>
        </w:tc>
        <w:tc>
          <w:tcPr>
            <w:tcW w:w="705" w:type="pct"/>
            <w:tcMar>
              <w:left w:w="85" w:type="dxa"/>
              <w:right w:w="57" w:type="dxa"/>
            </w:tcMar>
          </w:tcPr>
          <w:p w:rsidR="0093347F" w:rsidRPr="00F35EAE" w:rsidRDefault="0093347F" w:rsidP="0044318E">
            <w:pPr>
              <w:pStyle w:val="braytabletext"/>
              <w:spacing w:afterLines="40" w:after="96"/>
              <w:rPr>
                <w:rFonts w:eastAsiaTheme="minorHAnsi"/>
                <w:smallCaps/>
                <w:spacing w:val="5"/>
                <w:lang w:val="en-US"/>
              </w:rPr>
            </w:pPr>
          </w:p>
        </w:tc>
      </w:tr>
      <w:tr w:rsidR="00FE100B" w:rsidRPr="00943DCB" w:rsidTr="00012931">
        <w:trPr>
          <w:trHeight w:val="20"/>
          <w:jc w:val="right"/>
        </w:trPr>
        <w:tc>
          <w:tcPr>
            <w:tcW w:w="192" w:type="pct"/>
            <w:tcMar>
              <w:left w:w="85" w:type="dxa"/>
              <w:right w:w="57" w:type="dxa"/>
            </w:tcMar>
          </w:tcPr>
          <w:p w:rsidR="00C26393" w:rsidRPr="00943DCB" w:rsidRDefault="00C26393" w:rsidP="0044318E">
            <w:pPr>
              <w:pStyle w:val="braytabletext"/>
              <w:spacing w:afterLines="40" w:after="96"/>
              <w:rPr>
                <w:rFonts w:eastAsiaTheme="minorHAnsi"/>
                <w:szCs w:val="16"/>
              </w:rPr>
            </w:pPr>
          </w:p>
        </w:tc>
        <w:tc>
          <w:tcPr>
            <w:tcW w:w="194" w:type="pct"/>
            <w:tcMar>
              <w:left w:w="85" w:type="dxa"/>
              <w:right w:w="57" w:type="dxa"/>
            </w:tcMar>
          </w:tcPr>
          <w:p w:rsidR="00C26393" w:rsidRPr="00943DCB" w:rsidRDefault="00C26393" w:rsidP="0044318E">
            <w:pPr>
              <w:pStyle w:val="braytabletext"/>
              <w:spacing w:afterLines="40" w:after="96"/>
              <w:rPr>
                <w:rFonts w:eastAsiaTheme="minorHAnsi"/>
                <w:szCs w:val="16"/>
              </w:rPr>
            </w:pPr>
          </w:p>
        </w:tc>
        <w:tc>
          <w:tcPr>
            <w:tcW w:w="841" w:type="pct"/>
            <w:tcMar>
              <w:left w:w="85" w:type="dxa"/>
              <w:right w:w="57" w:type="dxa"/>
            </w:tcMar>
          </w:tcPr>
          <w:p w:rsidR="0093347F" w:rsidRPr="00F35EAE" w:rsidRDefault="00C26393" w:rsidP="0044318E">
            <w:pPr>
              <w:pStyle w:val="braytabletext"/>
              <w:spacing w:afterLines="40" w:after="96"/>
              <w:rPr>
                <w:rFonts w:eastAsiaTheme="minorHAnsi"/>
                <w:smallCaps/>
                <w:spacing w:val="5"/>
                <w:lang w:val="en-US"/>
              </w:rPr>
            </w:pPr>
            <w:r w:rsidRPr="00943DCB">
              <w:rPr>
                <w:rFonts w:eastAsiaTheme="minorHAnsi"/>
                <w:szCs w:val="16"/>
              </w:rPr>
              <w:t xml:space="preserve">Other </w:t>
            </w:r>
          </w:p>
        </w:tc>
        <w:tc>
          <w:tcPr>
            <w:tcW w:w="371" w:type="pct"/>
            <w:tcMar>
              <w:left w:w="85" w:type="dxa"/>
              <w:right w:w="57" w:type="dxa"/>
            </w:tcMar>
          </w:tcPr>
          <w:p w:rsidR="0093347F" w:rsidRPr="00F35EAE" w:rsidRDefault="00C26393" w:rsidP="0044318E">
            <w:pPr>
              <w:pStyle w:val="braytabletext"/>
              <w:spacing w:afterLines="40" w:after="96"/>
              <w:rPr>
                <w:rFonts w:eastAsiaTheme="minorHAnsi"/>
                <w:smallCaps/>
                <w:spacing w:val="5"/>
                <w:lang w:val="en-US"/>
              </w:rPr>
            </w:pPr>
            <w:r w:rsidRPr="00943DCB">
              <w:rPr>
                <w:rFonts w:eastAsiaTheme="minorHAnsi"/>
                <w:szCs w:val="16"/>
              </w:rPr>
              <w:t>VIM</w:t>
            </w:r>
          </w:p>
        </w:tc>
        <w:tc>
          <w:tcPr>
            <w:tcW w:w="595"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333</w:t>
            </w:r>
          </w:p>
        </w:tc>
        <w:tc>
          <w:tcPr>
            <w:tcW w:w="682"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78.4</w:t>
            </w:r>
          </w:p>
        </w:tc>
        <w:tc>
          <w:tcPr>
            <w:tcW w:w="681"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68.8</w:t>
            </w:r>
          </w:p>
        </w:tc>
        <w:tc>
          <w:tcPr>
            <w:tcW w:w="739"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67.6</w:t>
            </w:r>
          </w:p>
        </w:tc>
        <w:tc>
          <w:tcPr>
            <w:tcW w:w="705" w:type="pct"/>
            <w:tcMar>
              <w:left w:w="85" w:type="dxa"/>
              <w:right w:w="57" w:type="dxa"/>
            </w:tcMar>
          </w:tcPr>
          <w:p w:rsidR="0093347F" w:rsidRPr="00F35EAE" w:rsidRDefault="0093347F" w:rsidP="0044318E">
            <w:pPr>
              <w:pStyle w:val="braytabletext"/>
              <w:spacing w:afterLines="40" w:after="96"/>
              <w:rPr>
                <w:rFonts w:eastAsiaTheme="minorHAnsi"/>
                <w:smallCaps/>
                <w:spacing w:val="5"/>
                <w:lang w:val="en-US"/>
              </w:rPr>
            </w:pPr>
          </w:p>
        </w:tc>
      </w:tr>
      <w:tr w:rsidR="00FE100B" w:rsidRPr="00943DCB" w:rsidTr="00012931">
        <w:trPr>
          <w:trHeight w:val="20"/>
          <w:jc w:val="right"/>
        </w:trPr>
        <w:tc>
          <w:tcPr>
            <w:tcW w:w="192" w:type="pct"/>
            <w:tcMar>
              <w:left w:w="85" w:type="dxa"/>
              <w:right w:w="57" w:type="dxa"/>
            </w:tcMar>
          </w:tcPr>
          <w:p w:rsidR="00C26393" w:rsidRPr="00943DCB" w:rsidRDefault="00C26393" w:rsidP="0044318E">
            <w:pPr>
              <w:pStyle w:val="braytabletext"/>
              <w:spacing w:afterLines="40" w:after="96"/>
              <w:rPr>
                <w:rFonts w:eastAsiaTheme="minorHAnsi"/>
                <w:szCs w:val="16"/>
              </w:rPr>
            </w:pPr>
          </w:p>
        </w:tc>
        <w:tc>
          <w:tcPr>
            <w:tcW w:w="194" w:type="pct"/>
            <w:tcMar>
              <w:left w:w="85" w:type="dxa"/>
              <w:right w:w="57" w:type="dxa"/>
            </w:tcMar>
          </w:tcPr>
          <w:p w:rsidR="00C26393" w:rsidRPr="00943DCB" w:rsidRDefault="00C26393" w:rsidP="0044318E">
            <w:pPr>
              <w:pStyle w:val="braytabletext"/>
              <w:spacing w:afterLines="40" w:after="96"/>
              <w:rPr>
                <w:rFonts w:eastAsiaTheme="minorHAnsi"/>
                <w:szCs w:val="16"/>
              </w:rPr>
            </w:pPr>
          </w:p>
        </w:tc>
        <w:tc>
          <w:tcPr>
            <w:tcW w:w="841" w:type="pct"/>
            <w:tcMar>
              <w:left w:w="85" w:type="dxa"/>
              <w:right w:w="57" w:type="dxa"/>
            </w:tcMar>
          </w:tcPr>
          <w:p w:rsidR="0093347F" w:rsidRDefault="0093347F" w:rsidP="0044318E">
            <w:pPr>
              <w:pStyle w:val="braytabletext"/>
              <w:spacing w:afterLines="40" w:after="96"/>
              <w:rPr>
                <w:rFonts w:eastAsiaTheme="minorHAnsi"/>
                <w:szCs w:val="16"/>
              </w:rPr>
            </w:pPr>
          </w:p>
        </w:tc>
        <w:tc>
          <w:tcPr>
            <w:tcW w:w="371" w:type="pct"/>
            <w:tcMar>
              <w:left w:w="85" w:type="dxa"/>
              <w:right w:w="57" w:type="dxa"/>
            </w:tcMar>
          </w:tcPr>
          <w:p w:rsidR="0093347F" w:rsidRPr="00F35EAE" w:rsidRDefault="00C26393" w:rsidP="0044318E">
            <w:pPr>
              <w:pStyle w:val="braytabletext"/>
              <w:spacing w:afterLines="40" w:after="96"/>
              <w:rPr>
                <w:rFonts w:eastAsiaTheme="minorHAnsi"/>
                <w:smallCaps/>
                <w:spacing w:val="5"/>
                <w:lang w:val="en-US"/>
              </w:rPr>
            </w:pPr>
            <w:r w:rsidRPr="00943DCB">
              <w:rPr>
                <w:rFonts w:eastAsiaTheme="minorHAnsi"/>
                <w:szCs w:val="16"/>
              </w:rPr>
              <w:t>CIM</w:t>
            </w:r>
          </w:p>
        </w:tc>
        <w:tc>
          <w:tcPr>
            <w:tcW w:w="595"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1</w:t>
            </w:r>
            <w:r w:rsidR="00FE100B" w:rsidRPr="00943DCB">
              <w:rPr>
                <w:szCs w:val="16"/>
              </w:rPr>
              <w:t> </w:t>
            </w:r>
            <w:r w:rsidRPr="00943DCB">
              <w:rPr>
                <w:szCs w:val="16"/>
              </w:rPr>
              <w:t>618</w:t>
            </w:r>
          </w:p>
        </w:tc>
        <w:tc>
          <w:tcPr>
            <w:tcW w:w="682"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80.3</w:t>
            </w:r>
          </w:p>
        </w:tc>
        <w:tc>
          <w:tcPr>
            <w:tcW w:w="681"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70.5</w:t>
            </w:r>
          </w:p>
        </w:tc>
        <w:tc>
          <w:tcPr>
            <w:tcW w:w="739"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67.6</w:t>
            </w:r>
          </w:p>
        </w:tc>
        <w:tc>
          <w:tcPr>
            <w:tcW w:w="705" w:type="pct"/>
            <w:tcMar>
              <w:left w:w="85" w:type="dxa"/>
              <w:right w:w="57" w:type="dxa"/>
            </w:tcMar>
          </w:tcPr>
          <w:p w:rsidR="0093347F" w:rsidRPr="00F35EAE" w:rsidRDefault="0093347F" w:rsidP="0044318E">
            <w:pPr>
              <w:pStyle w:val="braytabletext"/>
              <w:spacing w:afterLines="40" w:after="96"/>
              <w:rPr>
                <w:rFonts w:eastAsiaTheme="minorHAnsi"/>
                <w:smallCaps/>
                <w:spacing w:val="5"/>
                <w:lang w:val="en-US"/>
              </w:rPr>
            </w:pPr>
          </w:p>
        </w:tc>
      </w:tr>
      <w:tr w:rsidR="00FE100B" w:rsidRPr="00943DCB" w:rsidTr="00012931">
        <w:trPr>
          <w:trHeight w:val="20"/>
          <w:jc w:val="right"/>
        </w:trPr>
        <w:tc>
          <w:tcPr>
            <w:tcW w:w="192" w:type="pct"/>
            <w:tcMar>
              <w:left w:w="85" w:type="dxa"/>
              <w:right w:w="57" w:type="dxa"/>
            </w:tcMar>
          </w:tcPr>
          <w:p w:rsidR="0022069A" w:rsidRPr="00943DCB" w:rsidRDefault="0022069A" w:rsidP="0044318E">
            <w:pPr>
              <w:pStyle w:val="braytabletext"/>
              <w:spacing w:afterLines="40" w:after="96"/>
              <w:rPr>
                <w:rFonts w:eastAsiaTheme="minorHAnsi"/>
                <w:szCs w:val="16"/>
              </w:rPr>
            </w:pPr>
          </w:p>
        </w:tc>
        <w:tc>
          <w:tcPr>
            <w:tcW w:w="1035" w:type="pct"/>
            <w:gridSpan w:val="2"/>
            <w:tcMar>
              <w:left w:w="85" w:type="dxa"/>
              <w:right w:w="57" w:type="dxa"/>
            </w:tcMar>
          </w:tcPr>
          <w:p w:rsidR="0022069A" w:rsidRPr="00943DCB" w:rsidRDefault="0022069A" w:rsidP="0044318E">
            <w:pPr>
              <w:pStyle w:val="braytabletext"/>
              <w:spacing w:afterLines="40" w:after="96"/>
              <w:rPr>
                <w:rFonts w:eastAsiaTheme="minorHAnsi"/>
                <w:szCs w:val="16"/>
              </w:rPr>
            </w:pPr>
            <w:r w:rsidRPr="00943DCB">
              <w:rPr>
                <w:rFonts w:eastAsiaTheme="minorHAnsi"/>
                <w:szCs w:val="16"/>
              </w:rPr>
              <w:t>Non</w:t>
            </w:r>
            <w:r w:rsidR="00E2340D" w:rsidRPr="00943DCB">
              <w:rPr>
                <w:rFonts w:eastAsiaTheme="minorHAnsi"/>
                <w:szCs w:val="16"/>
              </w:rPr>
              <w:t>-</w:t>
            </w:r>
            <w:r w:rsidRPr="00943DCB">
              <w:rPr>
                <w:rFonts w:eastAsiaTheme="minorHAnsi"/>
                <w:szCs w:val="16"/>
              </w:rPr>
              <w:t>Indigenous</w:t>
            </w:r>
          </w:p>
        </w:tc>
        <w:tc>
          <w:tcPr>
            <w:tcW w:w="371" w:type="pct"/>
            <w:tcMar>
              <w:left w:w="85" w:type="dxa"/>
              <w:right w:w="57" w:type="dxa"/>
            </w:tcMar>
          </w:tcPr>
          <w:p w:rsidR="0093347F" w:rsidRDefault="0093347F" w:rsidP="0044318E">
            <w:pPr>
              <w:pStyle w:val="braytabletext"/>
              <w:spacing w:afterLines="40" w:after="96"/>
              <w:rPr>
                <w:rFonts w:eastAsiaTheme="minorHAnsi"/>
                <w:szCs w:val="16"/>
              </w:rPr>
            </w:pPr>
          </w:p>
        </w:tc>
        <w:tc>
          <w:tcPr>
            <w:tcW w:w="595" w:type="pct"/>
            <w:tcMar>
              <w:left w:w="85" w:type="dxa"/>
              <w:right w:w="57" w:type="dxa"/>
            </w:tcMar>
          </w:tcPr>
          <w:p w:rsidR="0093347F" w:rsidRDefault="0093347F" w:rsidP="0044318E">
            <w:pPr>
              <w:pStyle w:val="braytabletext"/>
              <w:spacing w:afterLines="40" w:after="96"/>
              <w:jc w:val="right"/>
              <w:rPr>
                <w:rFonts w:eastAsiaTheme="minorHAnsi"/>
                <w:szCs w:val="16"/>
              </w:rPr>
            </w:pPr>
          </w:p>
        </w:tc>
        <w:tc>
          <w:tcPr>
            <w:tcW w:w="682" w:type="pct"/>
            <w:tcMar>
              <w:left w:w="85" w:type="dxa"/>
              <w:right w:w="57" w:type="dxa"/>
            </w:tcMar>
          </w:tcPr>
          <w:p w:rsidR="0093347F" w:rsidRDefault="0093347F" w:rsidP="0044318E">
            <w:pPr>
              <w:pStyle w:val="braytabletext"/>
              <w:spacing w:afterLines="40" w:after="96"/>
              <w:jc w:val="right"/>
              <w:rPr>
                <w:rFonts w:eastAsiaTheme="minorHAnsi"/>
                <w:szCs w:val="16"/>
              </w:rPr>
            </w:pPr>
          </w:p>
        </w:tc>
        <w:tc>
          <w:tcPr>
            <w:tcW w:w="681" w:type="pct"/>
            <w:tcMar>
              <w:left w:w="85" w:type="dxa"/>
              <w:right w:w="57" w:type="dxa"/>
            </w:tcMar>
          </w:tcPr>
          <w:p w:rsidR="0093347F" w:rsidRDefault="0093347F" w:rsidP="0044318E">
            <w:pPr>
              <w:pStyle w:val="braytabletext"/>
              <w:spacing w:afterLines="40" w:after="96"/>
              <w:jc w:val="right"/>
              <w:rPr>
                <w:rFonts w:eastAsiaTheme="minorHAnsi"/>
                <w:szCs w:val="16"/>
              </w:rPr>
            </w:pPr>
          </w:p>
        </w:tc>
        <w:tc>
          <w:tcPr>
            <w:tcW w:w="739" w:type="pct"/>
            <w:tcMar>
              <w:left w:w="85" w:type="dxa"/>
              <w:right w:w="57" w:type="dxa"/>
            </w:tcMar>
          </w:tcPr>
          <w:p w:rsidR="0093347F" w:rsidRDefault="0093347F" w:rsidP="0044318E">
            <w:pPr>
              <w:pStyle w:val="braytabletext"/>
              <w:spacing w:afterLines="40" w:after="96"/>
              <w:jc w:val="right"/>
              <w:rPr>
                <w:rFonts w:eastAsiaTheme="minorHAnsi"/>
                <w:szCs w:val="16"/>
              </w:rPr>
            </w:pPr>
          </w:p>
        </w:tc>
        <w:tc>
          <w:tcPr>
            <w:tcW w:w="705" w:type="pct"/>
            <w:tcMar>
              <w:left w:w="85" w:type="dxa"/>
              <w:right w:w="57" w:type="dxa"/>
            </w:tcMar>
          </w:tcPr>
          <w:p w:rsidR="0093347F" w:rsidRDefault="0093347F" w:rsidP="0044318E">
            <w:pPr>
              <w:pStyle w:val="braytabletext"/>
              <w:spacing w:afterLines="40" w:after="96"/>
              <w:rPr>
                <w:rFonts w:eastAsiaTheme="minorHAnsi"/>
                <w:szCs w:val="16"/>
              </w:rPr>
            </w:pPr>
          </w:p>
        </w:tc>
      </w:tr>
      <w:tr w:rsidR="00FE100B" w:rsidRPr="00943DCB" w:rsidTr="00012931">
        <w:trPr>
          <w:trHeight w:val="20"/>
          <w:jc w:val="right"/>
        </w:trPr>
        <w:tc>
          <w:tcPr>
            <w:tcW w:w="192" w:type="pct"/>
            <w:tcMar>
              <w:left w:w="85" w:type="dxa"/>
              <w:right w:w="57" w:type="dxa"/>
            </w:tcMar>
          </w:tcPr>
          <w:p w:rsidR="00C26393" w:rsidRPr="00943DCB" w:rsidRDefault="00C26393" w:rsidP="0044318E">
            <w:pPr>
              <w:pStyle w:val="braytabletext"/>
              <w:spacing w:afterLines="40" w:after="96"/>
              <w:rPr>
                <w:rFonts w:eastAsiaTheme="minorHAnsi"/>
                <w:szCs w:val="16"/>
              </w:rPr>
            </w:pPr>
          </w:p>
        </w:tc>
        <w:tc>
          <w:tcPr>
            <w:tcW w:w="194" w:type="pct"/>
            <w:tcMar>
              <w:left w:w="85" w:type="dxa"/>
              <w:right w:w="57" w:type="dxa"/>
            </w:tcMar>
          </w:tcPr>
          <w:p w:rsidR="00C26393" w:rsidRPr="00943DCB" w:rsidRDefault="00C26393" w:rsidP="0044318E">
            <w:pPr>
              <w:pStyle w:val="braytabletext"/>
              <w:spacing w:afterLines="40" w:after="96"/>
              <w:rPr>
                <w:rFonts w:eastAsiaTheme="minorHAnsi"/>
                <w:szCs w:val="16"/>
              </w:rPr>
            </w:pPr>
          </w:p>
        </w:tc>
        <w:tc>
          <w:tcPr>
            <w:tcW w:w="841" w:type="pct"/>
            <w:tcMar>
              <w:left w:w="85" w:type="dxa"/>
              <w:right w:w="57" w:type="dxa"/>
            </w:tcMar>
          </w:tcPr>
          <w:p w:rsidR="0093347F" w:rsidRDefault="0093347F" w:rsidP="0044318E">
            <w:pPr>
              <w:pStyle w:val="braytabletext"/>
              <w:spacing w:afterLines="40" w:after="96"/>
              <w:rPr>
                <w:rFonts w:eastAsiaTheme="minorHAnsi"/>
                <w:szCs w:val="16"/>
              </w:rPr>
            </w:pPr>
          </w:p>
        </w:tc>
        <w:tc>
          <w:tcPr>
            <w:tcW w:w="371" w:type="pct"/>
            <w:tcMar>
              <w:left w:w="85" w:type="dxa"/>
              <w:right w:w="57" w:type="dxa"/>
            </w:tcMar>
          </w:tcPr>
          <w:p w:rsidR="0093347F" w:rsidRPr="00F35EAE" w:rsidRDefault="00C26393" w:rsidP="0044318E">
            <w:pPr>
              <w:pStyle w:val="braytabletext"/>
              <w:spacing w:afterLines="40" w:after="96"/>
              <w:rPr>
                <w:rFonts w:eastAsiaTheme="minorHAnsi"/>
                <w:smallCaps/>
                <w:spacing w:val="5"/>
                <w:lang w:val="en-US"/>
              </w:rPr>
            </w:pPr>
            <w:r w:rsidRPr="00943DCB">
              <w:rPr>
                <w:rFonts w:eastAsiaTheme="minorHAnsi"/>
                <w:szCs w:val="16"/>
              </w:rPr>
              <w:t>VIM</w:t>
            </w:r>
          </w:p>
        </w:tc>
        <w:tc>
          <w:tcPr>
            <w:tcW w:w="595"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15</w:t>
            </w:r>
          </w:p>
        </w:tc>
        <w:tc>
          <w:tcPr>
            <w:tcW w:w="682"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86.7</w:t>
            </w:r>
          </w:p>
        </w:tc>
        <w:tc>
          <w:tcPr>
            <w:tcW w:w="681"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86.7</w:t>
            </w:r>
          </w:p>
        </w:tc>
        <w:tc>
          <w:tcPr>
            <w:tcW w:w="739"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86.7</w:t>
            </w:r>
          </w:p>
        </w:tc>
        <w:tc>
          <w:tcPr>
            <w:tcW w:w="705" w:type="pct"/>
            <w:tcMar>
              <w:left w:w="85" w:type="dxa"/>
              <w:right w:w="57" w:type="dxa"/>
            </w:tcMar>
          </w:tcPr>
          <w:p w:rsidR="0093347F" w:rsidRPr="00F35EAE" w:rsidRDefault="0093347F" w:rsidP="0044318E">
            <w:pPr>
              <w:pStyle w:val="braytabletext"/>
              <w:spacing w:afterLines="40" w:after="96"/>
              <w:rPr>
                <w:rFonts w:eastAsiaTheme="minorHAnsi"/>
                <w:smallCaps/>
                <w:spacing w:val="5"/>
                <w:lang w:val="en-US"/>
              </w:rPr>
            </w:pPr>
          </w:p>
        </w:tc>
      </w:tr>
      <w:tr w:rsidR="00FE100B" w:rsidRPr="00943DCB" w:rsidTr="00CD01BA">
        <w:trPr>
          <w:trHeight w:val="20"/>
          <w:jc w:val="right"/>
        </w:trPr>
        <w:tc>
          <w:tcPr>
            <w:tcW w:w="192" w:type="pct"/>
            <w:tcMar>
              <w:left w:w="85" w:type="dxa"/>
              <w:right w:w="57" w:type="dxa"/>
            </w:tcMar>
          </w:tcPr>
          <w:p w:rsidR="00C26393" w:rsidRPr="00943DCB" w:rsidRDefault="00C26393" w:rsidP="0044318E">
            <w:pPr>
              <w:pStyle w:val="braytabletext"/>
              <w:spacing w:afterLines="40" w:after="96"/>
              <w:rPr>
                <w:rFonts w:eastAsiaTheme="minorHAnsi"/>
                <w:szCs w:val="16"/>
              </w:rPr>
            </w:pPr>
          </w:p>
        </w:tc>
        <w:tc>
          <w:tcPr>
            <w:tcW w:w="194" w:type="pct"/>
            <w:tcMar>
              <w:left w:w="85" w:type="dxa"/>
              <w:right w:w="57" w:type="dxa"/>
            </w:tcMar>
          </w:tcPr>
          <w:p w:rsidR="00C26393" w:rsidRPr="00943DCB" w:rsidRDefault="00C26393" w:rsidP="0044318E">
            <w:pPr>
              <w:pStyle w:val="braytabletext"/>
              <w:spacing w:afterLines="40" w:after="96"/>
              <w:rPr>
                <w:rFonts w:eastAsiaTheme="minorHAnsi"/>
                <w:szCs w:val="16"/>
              </w:rPr>
            </w:pPr>
          </w:p>
        </w:tc>
        <w:tc>
          <w:tcPr>
            <w:tcW w:w="841" w:type="pct"/>
            <w:tcMar>
              <w:left w:w="85" w:type="dxa"/>
              <w:right w:w="57" w:type="dxa"/>
            </w:tcMar>
          </w:tcPr>
          <w:p w:rsidR="0093347F" w:rsidRDefault="0093347F" w:rsidP="0044318E">
            <w:pPr>
              <w:pStyle w:val="braytabletext"/>
              <w:spacing w:afterLines="40" w:after="96"/>
              <w:rPr>
                <w:rFonts w:eastAsiaTheme="minorHAnsi"/>
                <w:szCs w:val="16"/>
              </w:rPr>
            </w:pPr>
          </w:p>
        </w:tc>
        <w:tc>
          <w:tcPr>
            <w:tcW w:w="371" w:type="pct"/>
            <w:tcMar>
              <w:left w:w="85" w:type="dxa"/>
              <w:right w:w="57" w:type="dxa"/>
            </w:tcMar>
          </w:tcPr>
          <w:p w:rsidR="0093347F" w:rsidRPr="00F35EAE" w:rsidRDefault="00C26393" w:rsidP="0044318E">
            <w:pPr>
              <w:pStyle w:val="braytabletext"/>
              <w:spacing w:afterLines="40" w:after="96"/>
              <w:rPr>
                <w:rFonts w:eastAsiaTheme="minorHAnsi"/>
                <w:smallCaps/>
                <w:spacing w:val="5"/>
                <w:lang w:val="en-US"/>
              </w:rPr>
            </w:pPr>
            <w:r w:rsidRPr="00943DCB">
              <w:rPr>
                <w:rFonts w:eastAsiaTheme="minorHAnsi"/>
                <w:szCs w:val="16"/>
              </w:rPr>
              <w:t>CIM</w:t>
            </w:r>
          </w:p>
        </w:tc>
        <w:tc>
          <w:tcPr>
            <w:tcW w:w="595"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683</w:t>
            </w:r>
          </w:p>
        </w:tc>
        <w:tc>
          <w:tcPr>
            <w:tcW w:w="682"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68.1</w:t>
            </w:r>
          </w:p>
        </w:tc>
        <w:tc>
          <w:tcPr>
            <w:tcW w:w="681"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56.5</w:t>
            </w:r>
          </w:p>
        </w:tc>
        <w:tc>
          <w:tcPr>
            <w:tcW w:w="739" w:type="pct"/>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54.2</w:t>
            </w:r>
          </w:p>
        </w:tc>
        <w:tc>
          <w:tcPr>
            <w:tcW w:w="705" w:type="pct"/>
            <w:tcMar>
              <w:left w:w="85" w:type="dxa"/>
              <w:right w:w="57" w:type="dxa"/>
            </w:tcMar>
          </w:tcPr>
          <w:p w:rsidR="0093347F" w:rsidRPr="00F35EAE" w:rsidRDefault="0093347F" w:rsidP="0044318E">
            <w:pPr>
              <w:pStyle w:val="braytabletext"/>
              <w:spacing w:afterLines="40" w:after="96"/>
              <w:rPr>
                <w:rFonts w:eastAsiaTheme="minorHAnsi"/>
                <w:smallCaps/>
                <w:spacing w:val="5"/>
                <w:lang w:val="en-US"/>
              </w:rPr>
            </w:pPr>
          </w:p>
        </w:tc>
      </w:tr>
      <w:tr w:rsidR="00FE100B" w:rsidRPr="00943DCB" w:rsidTr="00CD01BA">
        <w:trPr>
          <w:trHeight w:val="20"/>
          <w:jc w:val="right"/>
        </w:trPr>
        <w:tc>
          <w:tcPr>
            <w:tcW w:w="192" w:type="pct"/>
            <w:tcBorders>
              <w:bottom w:val="single" w:sz="4" w:space="0" w:color="auto"/>
            </w:tcBorders>
            <w:tcMar>
              <w:left w:w="85" w:type="dxa"/>
              <w:right w:w="57" w:type="dxa"/>
            </w:tcMar>
          </w:tcPr>
          <w:p w:rsidR="00C26393" w:rsidRPr="00943DCB" w:rsidRDefault="00C26393" w:rsidP="0044318E">
            <w:pPr>
              <w:pStyle w:val="braytabletext"/>
              <w:spacing w:afterLines="40" w:after="96"/>
              <w:rPr>
                <w:rFonts w:eastAsiaTheme="minorHAnsi"/>
                <w:szCs w:val="16"/>
              </w:rPr>
            </w:pPr>
          </w:p>
        </w:tc>
        <w:tc>
          <w:tcPr>
            <w:tcW w:w="1035" w:type="pct"/>
            <w:gridSpan w:val="2"/>
            <w:tcBorders>
              <w:bottom w:val="single" w:sz="4" w:space="0" w:color="auto"/>
            </w:tcBorders>
            <w:tcMar>
              <w:left w:w="85" w:type="dxa"/>
              <w:right w:w="57" w:type="dxa"/>
            </w:tcMar>
          </w:tcPr>
          <w:p w:rsidR="00C26393" w:rsidRPr="00943DCB" w:rsidRDefault="00C26393" w:rsidP="0044318E">
            <w:pPr>
              <w:pStyle w:val="braytabletext"/>
              <w:spacing w:afterLines="40" w:after="96"/>
              <w:rPr>
                <w:rFonts w:eastAsiaTheme="minorHAnsi"/>
                <w:szCs w:val="16"/>
              </w:rPr>
            </w:pPr>
            <w:r w:rsidRPr="00943DCB">
              <w:rPr>
                <w:rFonts w:eastAsiaTheme="minorHAnsi"/>
                <w:szCs w:val="16"/>
              </w:rPr>
              <w:t>Total</w:t>
            </w:r>
          </w:p>
        </w:tc>
        <w:tc>
          <w:tcPr>
            <w:tcW w:w="371" w:type="pct"/>
            <w:tcBorders>
              <w:bottom w:val="single" w:sz="4" w:space="0" w:color="auto"/>
            </w:tcBorders>
            <w:tcMar>
              <w:left w:w="85" w:type="dxa"/>
              <w:right w:w="57" w:type="dxa"/>
            </w:tcMar>
          </w:tcPr>
          <w:p w:rsidR="0093347F" w:rsidRDefault="0093347F" w:rsidP="0044318E">
            <w:pPr>
              <w:pStyle w:val="braytabletext"/>
              <w:spacing w:afterLines="40" w:after="96"/>
              <w:rPr>
                <w:rFonts w:eastAsiaTheme="minorHAnsi"/>
                <w:szCs w:val="16"/>
              </w:rPr>
            </w:pPr>
          </w:p>
        </w:tc>
        <w:tc>
          <w:tcPr>
            <w:tcW w:w="595" w:type="pct"/>
            <w:tcBorders>
              <w:bottom w:val="single" w:sz="4" w:space="0" w:color="auto"/>
            </w:tcBorders>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3</w:t>
            </w:r>
            <w:r w:rsidR="00FE100B" w:rsidRPr="00943DCB">
              <w:rPr>
                <w:szCs w:val="16"/>
              </w:rPr>
              <w:t> </w:t>
            </w:r>
            <w:r w:rsidRPr="00943DCB">
              <w:rPr>
                <w:szCs w:val="16"/>
              </w:rPr>
              <w:t>738</w:t>
            </w:r>
          </w:p>
        </w:tc>
        <w:tc>
          <w:tcPr>
            <w:tcW w:w="682" w:type="pct"/>
            <w:tcBorders>
              <w:bottom w:val="single" w:sz="4" w:space="0" w:color="auto"/>
            </w:tcBorders>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81.0</w:t>
            </w:r>
          </w:p>
        </w:tc>
        <w:tc>
          <w:tcPr>
            <w:tcW w:w="681" w:type="pct"/>
            <w:tcBorders>
              <w:bottom w:val="single" w:sz="4" w:space="0" w:color="auto"/>
            </w:tcBorders>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72.7</w:t>
            </w:r>
          </w:p>
        </w:tc>
        <w:tc>
          <w:tcPr>
            <w:tcW w:w="739" w:type="pct"/>
            <w:tcBorders>
              <w:bottom w:val="single" w:sz="4" w:space="0" w:color="auto"/>
            </w:tcBorders>
            <w:tcMar>
              <w:left w:w="85" w:type="dxa"/>
              <w:right w:w="57" w:type="dxa"/>
            </w:tcMar>
            <w:vAlign w:val="bottom"/>
          </w:tcPr>
          <w:p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70.6</w:t>
            </w:r>
          </w:p>
        </w:tc>
        <w:tc>
          <w:tcPr>
            <w:tcW w:w="705" w:type="pct"/>
            <w:tcMar>
              <w:left w:w="85" w:type="dxa"/>
              <w:right w:w="57" w:type="dxa"/>
            </w:tcMar>
          </w:tcPr>
          <w:p w:rsidR="0093347F" w:rsidRPr="00F35EAE" w:rsidRDefault="0093347F" w:rsidP="0044318E">
            <w:pPr>
              <w:pStyle w:val="braytabletext"/>
              <w:spacing w:afterLines="40" w:after="96"/>
              <w:rPr>
                <w:rFonts w:eastAsiaTheme="minorHAnsi"/>
                <w:smallCaps/>
                <w:spacing w:val="5"/>
                <w:lang w:val="en-US"/>
              </w:rPr>
            </w:pPr>
          </w:p>
        </w:tc>
      </w:tr>
    </w:tbl>
    <w:p w:rsidR="001721AF" w:rsidRDefault="0022069A" w:rsidP="00CD01BA">
      <w:pPr>
        <w:pStyle w:val="tablefootnotes"/>
        <w:spacing w:after="60" w:line="264" w:lineRule="auto"/>
      </w:pPr>
      <w:r w:rsidRPr="005911E2">
        <w:t>Note:</w:t>
      </w:r>
      <w:r w:rsidRPr="005911E2">
        <w:tab/>
      </w:r>
      <w:r w:rsidR="001721AF">
        <w:t>As discussed in the text this table largely excludes people who obtained exemptions at, or shortly after, the time they would have been first subject to income management.</w:t>
      </w:r>
    </w:p>
    <w:p w:rsidR="003A1D87" w:rsidRDefault="001721AF" w:rsidP="00CD01BA">
      <w:pPr>
        <w:pStyle w:val="tablefootnotes"/>
        <w:spacing w:after="60" w:line="264" w:lineRule="auto"/>
      </w:pPr>
      <w:r>
        <w:tab/>
      </w:r>
      <w:r w:rsidR="0022069A" w:rsidRPr="005911E2">
        <w:t>The top panel of the table describes people who commenced NIM in the</w:t>
      </w:r>
      <w:r w:rsidR="006435C8">
        <w:t xml:space="preserve"> Northern Territory </w:t>
      </w:r>
      <w:r w:rsidR="0022069A" w:rsidRPr="005911E2">
        <w:t xml:space="preserve">between </w:t>
      </w:r>
      <w:r w:rsidR="00807E47">
        <w:t>August and October</w:t>
      </w:r>
      <w:r w:rsidR="0022069A" w:rsidRPr="005911E2">
        <w:t xml:space="preserve"> 2010</w:t>
      </w:r>
      <w:r w:rsidR="00807E47">
        <w:t>, and were</w:t>
      </w:r>
      <w:r w:rsidR="00A26392">
        <w:t xml:space="preserve"> still</w:t>
      </w:r>
      <w:r w:rsidR="00807E47">
        <w:t xml:space="preserve"> subject to income management at the end of October</w:t>
      </w:r>
      <w:r w:rsidR="00CD01BA">
        <w:t xml:space="preserve"> 2010</w:t>
      </w:r>
      <w:r w:rsidR="0022069A" w:rsidRPr="005911E2">
        <w:t xml:space="preserve">. The </w:t>
      </w:r>
      <w:r w:rsidR="00A26392">
        <w:t xml:space="preserve">proportion </w:t>
      </w:r>
      <w:r w:rsidR="0022069A" w:rsidRPr="005911E2">
        <w:t xml:space="preserve">of this population who were still on </w:t>
      </w:r>
      <w:r w:rsidR="00F878E4">
        <w:t>income management</w:t>
      </w:r>
      <w:r w:rsidR="0022069A" w:rsidRPr="005911E2">
        <w:t xml:space="preserve"> as at </w:t>
      </w:r>
      <w:r w:rsidR="00807E47">
        <w:t>February 2011</w:t>
      </w:r>
      <w:r w:rsidR="0022069A" w:rsidRPr="005911E2">
        <w:t xml:space="preserve"> (</w:t>
      </w:r>
      <w:r w:rsidR="00807E47">
        <w:t>4</w:t>
      </w:r>
      <w:r w:rsidR="0022069A" w:rsidRPr="005911E2">
        <w:t xml:space="preserve"> months), </w:t>
      </w:r>
      <w:r w:rsidR="00807E47">
        <w:t>July</w:t>
      </w:r>
      <w:r w:rsidR="0022069A" w:rsidRPr="005911E2">
        <w:t xml:space="preserve"> 2011 (</w:t>
      </w:r>
      <w:r w:rsidR="00807E47">
        <w:t>9</w:t>
      </w:r>
      <w:r w:rsidR="0022069A" w:rsidRPr="005911E2">
        <w:t xml:space="preserve"> months), </w:t>
      </w:r>
      <w:r w:rsidR="00807E47">
        <w:t>October</w:t>
      </w:r>
      <w:r w:rsidR="0022069A" w:rsidRPr="005911E2">
        <w:t xml:space="preserve"> 2011 (</w:t>
      </w:r>
      <w:r w:rsidR="00807E47">
        <w:t>12</w:t>
      </w:r>
      <w:r w:rsidR="0022069A" w:rsidRPr="005911E2">
        <w:t xml:space="preserve"> months) and </w:t>
      </w:r>
      <w:r w:rsidR="00807E47">
        <w:t>January 2012</w:t>
      </w:r>
      <w:r w:rsidR="0022069A" w:rsidRPr="005911E2">
        <w:t xml:space="preserve"> (1</w:t>
      </w:r>
      <w:r w:rsidR="00807E47">
        <w:t>5</w:t>
      </w:r>
      <w:r w:rsidR="0022069A" w:rsidRPr="005911E2">
        <w:t xml:space="preserve"> months) is shown.</w:t>
      </w:r>
      <w:r w:rsidR="00807E47">
        <w:t xml:space="preserve"> A person is considered to have exited NIM if they are not on IM for two consecutive periods, but are counted as off in the first of these</w:t>
      </w:r>
      <w:r w:rsidR="0022069A" w:rsidRPr="005911E2">
        <w:t>.</w:t>
      </w:r>
      <w:r w:rsidR="00A166DF">
        <w:t xml:space="preserve"> For January 2012 the second time period is April 2012.</w:t>
      </w:r>
      <w:r w:rsidR="0022069A" w:rsidRPr="005911E2">
        <w:t xml:space="preserve"> </w:t>
      </w:r>
    </w:p>
    <w:p w:rsidR="002B5A5C" w:rsidRDefault="003A1D87" w:rsidP="00CD01BA">
      <w:pPr>
        <w:pStyle w:val="tablefootnotes"/>
        <w:spacing w:after="60" w:line="264" w:lineRule="auto"/>
      </w:pPr>
      <w:r>
        <w:tab/>
      </w:r>
      <w:r w:rsidR="0022069A" w:rsidRPr="005911E2">
        <w:t xml:space="preserve">The second panel reports comparable information for people who commenced </w:t>
      </w:r>
      <w:r w:rsidR="00A166DF">
        <w:t>between November 2011 and February 2012 and were subject to IM at that later date.</w:t>
      </w:r>
      <w:r w:rsidR="00943DCB">
        <w:t xml:space="preserve"> </w:t>
      </w:r>
      <w:r w:rsidR="00A166DF">
        <w:t>Compulsory includes the compulsory, child protection and vulnerable streams</w:t>
      </w:r>
      <w:r w:rsidR="00A26392">
        <w:t>.</w:t>
      </w:r>
    </w:p>
    <w:p w:rsidR="0022069A" w:rsidRPr="005911E2" w:rsidRDefault="0022069A" w:rsidP="006D7030">
      <w:pPr>
        <w:pStyle w:val="tablefootnotes"/>
      </w:pPr>
      <w:r w:rsidRPr="005911E2">
        <w:t xml:space="preserve">Source: </w:t>
      </w:r>
      <w:r w:rsidRPr="005911E2">
        <w:tab/>
        <w:t xml:space="preserve">Derived from the FaHCSIA </w:t>
      </w:r>
      <w:r w:rsidR="00A166DF">
        <w:t>Income Management</w:t>
      </w:r>
      <w:r w:rsidR="00A166DF" w:rsidRPr="005911E2">
        <w:t xml:space="preserve"> </w:t>
      </w:r>
      <w:r w:rsidRPr="005911E2">
        <w:t xml:space="preserve">Dataset. </w:t>
      </w:r>
    </w:p>
    <w:p w:rsidR="0022069A" w:rsidRDefault="0022069A" w:rsidP="002955BA">
      <w:pPr>
        <w:pStyle w:val="tablefootnotes"/>
        <w:rPr>
          <w:lang w:bidi="ar-SA"/>
        </w:rPr>
      </w:pPr>
    </w:p>
    <w:p w:rsidR="00A26392" w:rsidRDefault="00A26392" w:rsidP="00A26392">
      <w:pPr>
        <w:pStyle w:val="BodyText"/>
        <w:shd w:val="clear" w:color="auto" w:fill="FFFFFF" w:themeFill="background1"/>
        <w:rPr>
          <w:lang w:bidi="ar-SA"/>
        </w:rPr>
      </w:pPr>
      <w:r>
        <w:rPr>
          <w:lang w:bidi="ar-SA"/>
        </w:rPr>
        <w:t xml:space="preserve">As illustrated in the table, there was even more variation when account was taken of whether a person had previously been on income management under the NTER, as well as Indigeneity and stream. </w:t>
      </w:r>
      <w:r w:rsidR="00F34C94">
        <w:rPr>
          <w:lang w:bidi="ar-SA"/>
        </w:rPr>
        <w:t xml:space="preserve">Again using the 12 month measure for the first group, the data shows that while 57 per cent of non-Indigenous people on compulsory streams of income management were no longer income managed after a year, as were 37 per cent of Indigenous people who had not been on income management under the NTER, this fell to 20 per cent for Indigenous people who had been on NTER IM and had moved onto </w:t>
      </w:r>
      <w:r w:rsidR="00F34C94">
        <w:rPr>
          <w:lang w:bidi="ar-SA"/>
        </w:rPr>
        <w:lastRenderedPageBreak/>
        <w:t>voluntary income management and 18 per cent for those who had moved to a form of compulsory income management.</w:t>
      </w:r>
    </w:p>
    <w:p w:rsidR="00D2789D" w:rsidRDefault="00ED4A2F" w:rsidP="006D7030">
      <w:pPr>
        <w:pStyle w:val="BodyText"/>
        <w:shd w:val="clear" w:color="auto" w:fill="FFFFFF" w:themeFill="background1"/>
        <w:rPr>
          <w:lang w:bidi="ar-SA"/>
        </w:rPr>
      </w:pPr>
      <w:r>
        <w:rPr>
          <w:lang w:bidi="ar-SA"/>
        </w:rPr>
        <w:t>People who leave income management do so in different ways</w:t>
      </w:r>
      <w:r w:rsidR="00A26392">
        <w:rPr>
          <w:lang w:bidi="ar-SA"/>
        </w:rPr>
        <w:t>.</w:t>
      </w:r>
      <w:r>
        <w:rPr>
          <w:lang w:bidi="ar-SA"/>
        </w:rPr>
        <w:t xml:space="preserve"> </w:t>
      </w:r>
      <w:r w:rsidR="006F14AA" w:rsidRPr="005911E2">
        <w:t xml:space="preserve">Figure </w:t>
      </w:r>
      <w:r w:rsidR="006F14AA" w:rsidRPr="005911E2">
        <w:rPr>
          <w:noProof/>
        </w:rPr>
        <w:t>4</w:t>
      </w:r>
      <w:r w:rsidR="006F14AA" w:rsidRPr="005911E2">
        <w:noBreakHyphen/>
      </w:r>
      <w:r w:rsidR="006F14AA" w:rsidRPr="005911E2">
        <w:rPr>
          <w:noProof/>
        </w:rPr>
        <w:t>5</w:t>
      </w:r>
      <w:r w:rsidR="00B24D9F" w:rsidRPr="005911E2">
        <w:rPr>
          <w:lang w:bidi="ar-SA"/>
        </w:rPr>
        <w:t xml:space="preserve"> illustrates the income support status of people who exit </w:t>
      </w:r>
      <w:r w:rsidR="00F878E4">
        <w:rPr>
          <w:lang w:bidi="ar-SA"/>
        </w:rPr>
        <w:t>income management</w:t>
      </w:r>
      <w:r>
        <w:rPr>
          <w:lang w:bidi="ar-SA"/>
        </w:rPr>
        <w:t xml:space="preserve"> in the first period in which they are no longer income managed</w:t>
      </w:r>
      <w:r w:rsidR="00B24D9F" w:rsidRPr="005911E2">
        <w:rPr>
          <w:lang w:bidi="ar-SA"/>
        </w:rPr>
        <w:t xml:space="preserve">. </w:t>
      </w:r>
      <w:r w:rsidR="00496BBB">
        <w:rPr>
          <w:lang w:bidi="ar-SA"/>
        </w:rPr>
        <w:t xml:space="preserve">It reports on all of the exits covered in </w:t>
      </w:r>
      <w:r w:rsidR="00363305">
        <w:fldChar w:fldCharType="begin"/>
      </w:r>
      <w:r w:rsidR="00363305">
        <w:instrText xml:space="preserve"> REF _Ref323829088 \h  \* MERGEFORMAT </w:instrText>
      </w:r>
      <w:r w:rsidR="00363305">
        <w:fldChar w:fldCharType="separate"/>
      </w:r>
      <w:r w:rsidR="007D7E45" w:rsidRPr="005911E2">
        <w:t xml:space="preserve">Table </w:t>
      </w:r>
      <w:r w:rsidR="007D7E45">
        <w:rPr>
          <w:noProof/>
        </w:rPr>
        <w:t>4</w:t>
      </w:r>
      <w:r w:rsidR="007D7E45" w:rsidRPr="005911E2">
        <w:rPr>
          <w:noProof/>
        </w:rPr>
        <w:noBreakHyphen/>
      </w:r>
      <w:r w:rsidR="007D7E45">
        <w:rPr>
          <w:noProof/>
        </w:rPr>
        <w:t>5</w:t>
      </w:r>
      <w:r w:rsidR="00363305">
        <w:fldChar w:fldCharType="end"/>
      </w:r>
      <w:r w:rsidR="00AB47E6">
        <w:rPr>
          <w:lang w:bidi="ar-SA"/>
        </w:rPr>
        <w:t xml:space="preserve"> that is</w:t>
      </w:r>
      <w:r w:rsidR="00A26392">
        <w:rPr>
          <w:lang w:bidi="ar-SA"/>
        </w:rPr>
        <w:t>,</w:t>
      </w:r>
      <w:r w:rsidR="00AB47E6">
        <w:rPr>
          <w:lang w:bidi="ar-SA"/>
        </w:rPr>
        <w:t xml:space="preserve"> exits up to January 2012 for people who entered into income management under NIM up until February 2011</w:t>
      </w:r>
      <w:r w:rsidR="00496BBB">
        <w:rPr>
          <w:lang w:bidi="ar-SA"/>
        </w:rPr>
        <w:t>.</w:t>
      </w:r>
      <w:r w:rsidR="00BB14C5">
        <w:rPr>
          <w:lang w:bidi="ar-SA"/>
        </w:rPr>
        <w:t xml:space="preserve"> </w:t>
      </w:r>
      <w:r w:rsidR="00B24D9F" w:rsidRPr="005911E2">
        <w:rPr>
          <w:lang w:bidi="ar-SA"/>
        </w:rPr>
        <w:t xml:space="preserve">It shows </w:t>
      </w:r>
      <w:r>
        <w:rPr>
          <w:lang w:bidi="ar-SA"/>
        </w:rPr>
        <w:t>four forms of exit: through obtaining an exemption from income management; remaining on income support in the Northern Territory without being income managed (for example by moving to a non income managed payment</w:t>
      </w:r>
      <w:r w:rsidR="00D2789D">
        <w:rPr>
          <w:lang w:bidi="ar-SA"/>
        </w:rPr>
        <w:t>, or ceasing to have a duration on payment which makes then subject to IM); moving interstate but remaining on income support; or no longer receiving income support.</w:t>
      </w:r>
    </w:p>
    <w:p w:rsidR="00B24D9F" w:rsidRPr="005911E2" w:rsidRDefault="00D2789D" w:rsidP="006D7030">
      <w:pPr>
        <w:pStyle w:val="BodyText"/>
        <w:shd w:val="clear" w:color="auto" w:fill="FFFFFF" w:themeFill="background1"/>
        <w:rPr>
          <w:lang w:bidi="ar-SA"/>
        </w:rPr>
      </w:pPr>
      <w:r>
        <w:rPr>
          <w:lang w:bidi="ar-SA"/>
        </w:rPr>
        <w:t xml:space="preserve">For </w:t>
      </w:r>
      <w:r w:rsidR="00AB47E6">
        <w:rPr>
          <w:lang w:bidi="ar-SA"/>
        </w:rPr>
        <w:t xml:space="preserve">the 3 157 </w:t>
      </w:r>
      <w:r w:rsidR="00B24D9F" w:rsidRPr="005911E2">
        <w:rPr>
          <w:lang w:bidi="ar-SA"/>
        </w:rPr>
        <w:t xml:space="preserve">people </w:t>
      </w:r>
      <w:r w:rsidR="00AB47E6">
        <w:rPr>
          <w:lang w:bidi="ar-SA"/>
        </w:rPr>
        <w:t>within these two cohorts who exited</w:t>
      </w:r>
      <w:r w:rsidR="00B24D9F" w:rsidRPr="005911E2">
        <w:rPr>
          <w:lang w:bidi="ar-SA"/>
        </w:rPr>
        <w:t xml:space="preserve"> </w:t>
      </w:r>
      <w:r w:rsidR="002B5A5C">
        <w:rPr>
          <w:lang w:bidi="ar-SA"/>
        </w:rPr>
        <w:t>C</w:t>
      </w:r>
      <w:r w:rsidR="00B24D9F" w:rsidRPr="005911E2">
        <w:rPr>
          <w:lang w:bidi="ar-SA"/>
        </w:rPr>
        <w:t xml:space="preserve">ompulsory </w:t>
      </w:r>
      <w:r w:rsidR="002B5A5C">
        <w:rPr>
          <w:lang w:bidi="ar-SA"/>
        </w:rPr>
        <w:t>I</w:t>
      </w:r>
      <w:r w:rsidR="00B24D9F" w:rsidRPr="005911E2">
        <w:rPr>
          <w:lang w:bidi="ar-SA"/>
        </w:rPr>
        <w:t xml:space="preserve">ncome </w:t>
      </w:r>
      <w:r w:rsidR="002B5A5C">
        <w:rPr>
          <w:lang w:bidi="ar-SA"/>
        </w:rPr>
        <w:t>M</w:t>
      </w:r>
      <w:r w:rsidR="00B24D9F" w:rsidRPr="005911E2">
        <w:rPr>
          <w:lang w:bidi="ar-SA"/>
        </w:rPr>
        <w:t>anagement</w:t>
      </w:r>
      <w:r>
        <w:rPr>
          <w:lang w:bidi="ar-SA"/>
        </w:rPr>
        <w:t xml:space="preserve"> the main form of </w:t>
      </w:r>
      <w:r w:rsidR="00B24D9F" w:rsidRPr="005911E2">
        <w:rPr>
          <w:lang w:bidi="ar-SA"/>
        </w:rPr>
        <w:t xml:space="preserve">exit from NIM was </w:t>
      </w:r>
      <w:r>
        <w:rPr>
          <w:lang w:bidi="ar-SA"/>
        </w:rPr>
        <w:t>as</w:t>
      </w:r>
      <w:r w:rsidR="00B24D9F" w:rsidRPr="005911E2">
        <w:rPr>
          <w:lang w:bidi="ar-SA"/>
        </w:rPr>
        <w:t xml:space="preserve"> </w:t>
      </w:r>
      <w:r>
        <w:rPr>
          <w:lang w:bidi="ar-SA"/>
        </w:rPr>
        <w:t>a result of ceasing to receive income support</w:t>
      </w:r>
      <w:r w:rsidR="00B24D9F" w:rsidRPr="005911E2">
        <w:rPr>
          <w:lang w:bidi="ar-SA"/>
        </w:rPr>
        <w:t xml:space="preserve"> (</w:t>
      </w:r>
      <w:r>
        <w:rPr>
          <w:lang w:bidi="ar-SA"/>
        </w:rPr>
        <w:t>5</w:t>
      </w:r>
      <w:r w:rsidRPr="005911E2">
        <w:rPr>
          <w:lang w:bidi="ar-SA"/>
        </w:rPr>
        <w:t xml:space="preserve">6 </w:t>
      </w:r>
      <w:r w:rsidR="00B24D9F" w:rsidRPr="005911E2">
        <w:rPr>
          <w:lang w:bidi="ar-SA"/>
        </w:rPr>
        <w:t>per cent of cases)</w:t>
      </w:r>
      <w:r>
        <w:rPr>
          <w:lang w:bidi="ar-SA"/>
        </w:rPr>
        <w:t>, followed by 21 per cent who remained on income support in the Northern Territory but were no longer subject to income management, 10 per cent who gained an exemption and 13 per cent who moved interstate but remained on income support.</w:t>
      </w:r>
      <w:r w:rsidR="003A1D87" w:rsidRPr="003A1D87">
        <w:rPr>
          <w:rStyle w:val="FootnoteReference"/>
          <w:lang w:bidi="ar-SA"/>
        </w:rPr>
        <w:t xml:space="preserve"> </w:t>
      </w:r>
      <w:r w:rsidR="003A1D87">
        <w:rPr>
          <w:rStyle w:val="FootnoteReference"/>
          <w:lang w:bidi="ar-SA"/>
        </w:rPr>
        <w:footnoteReference w:id="48"/>
      </w:r>
    </w:p>
    <w:p w:rsidR="00B24D9F" w:rsidRPr="005911E2" w:rsidRDefault="00B24D9F" w:rsidP="00B24D9F">
      <w:pPr>
        <w:pStyle w:val="tabfighead"/>
        <w:rPr>
          <w:lang w:bidi="ar-SA"/>
        </w:rPr>
      </w:pPr>
      <w:bookmarkStart w:id="292" w:name="_Ref324621194"/>
      <w:bookmarkStart w:id="293" w:name="_Toc328601651"/>
      <w:bookmarkStart w:id="294" w:name="_Toc335915917"/>
      <w:r w:rsidRPr="005911E2">
        <w:t xml:space="preserve">Figure </w:t>
      </w:r>
      <w:r w:rsidR="00C7347D">
        <w:fldChar w:fldCharType="begin"/>
      </w:r>
      <w:r w:rsidR="00E74851">
        <w:instrText xml:space="preserve"> STYLEREF 1 \s </w:instrText>
      </w:r>
      <w:r w:rsidR="00C7347D">
        <w:fldChar w:fldCharType="separate"/>
      </w:r>
      <w:r w:rsidR="007D7E45">
        <w:rPr>
          <w:noProof/>
        </w:rPr>
        <w:t>4</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5</w:t>
      </w:r>
      <w:r w:rsidR="00C7347D">
        <w:fldChar w:fldCharType="end"/>
      </w:r>
      <w:bookmarkEnd w:id="292"/>
      <w:r w:rsidRPr="005911E2">
        <w:tab/>
      </w:r>
      <w:r w:rsidRPr="005911E2">
        <w:rPr>
          <w:lang w:bidi="ar-SA"/>
        </w:rPr>
        <w:t xml:space="preserve">Income support status of people who </w:t>
      </w:r>
      <w:r w:rsidR="00496BBB">
        <w:rPr>
          <w:lang w:bidi="ar-SA"/>
        </w:rPr>
        <w:t xml:space="preserve">entered NIM up until February 2011 and </w:t>
      </w:r>
      <w:r w:rsidRPr="005911E2">
        <w:rPr>
          <w:lang w:bidi="ar-SA"/>
        </w:rPr>
        <w:t xml:space="preserve">exited </w:t>
      </w:r>
      <w:bookmarkEnd w:id="293"/>
      <w:r w:rsidR="00496BBB">
        <w:rPr>
          <w:lang w:bidi="ar-SA"/>
        </w:rPr>
        <w:t>prior to end</w:t>
      </w:r>
      <w:r w:rsidR="00E75F1A">
        <w:rPr>
          <w:lang w:bidi="ar-SA"/>
        </w:rPr>
        <w:t xml:space="preserve"> January 2012</w:t>
      </w:r>
      <w:bookmarkEnd w:id="294"/>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Income support status of people who entered NIM up until February 2011 and exited prior to end January 2012"/>
        <w:tblDescription w:val="Figure 4-5 Income support status of people who entered NIM up until February 2011 and exited prior to end January 2012"/>
      </w:tblPr>
      <w:tblGrid>
        <w:gridCol w:w="4280"/>
        <w:gridCol w:w="4281"/>
      </w:tblGrid>
      <w:tr w:rsidR="00E75F1A" w:rsidRPr="005911E2" w:rsidTr="009D15E2">
        <w:trPr>
          <w:tblHeader/>
        </w:trPr>
        <w:tc>
          <w:tcPr>
            <w:tcW w:w="4280" w:type="dxa"/>
          </w:tcPr>
          <w:p w:rsidR="00E75F1A" w:rsidRPr="008749C8" w:rsidRDefault="00E75F1A" w:rsidP="006D7030">
            <w:pPr>
              <w:pStyle w:val="BodyText"/>
              <w:keepNext/>
              <w:keepLines/>
              <w:spacing w:after="0"/>
              <w:ind w:left="0"/>
              <w:jc w:val="center"/>
              <w:rPr>
                <w:b/>
                <w:sz w:val="18"/>
                <w:szCs w:val="18"/>
                <w:lang w:bidi="ar-SA"/>
              </w:rPr>
            </w:pPr>
            <w:r w:rsidRPr="008749C8">
              <w:rPr>
                <w:b/>
                <w:sz w:val="18"/>
                <w:szCs w:val="18"/>
                <w:lang w:bidi="ar-SA"/>
              </w:rPr>
              <w:t xml:space="preserve">Compulsory Income </w:t>
            </w:r>
            <w:r w:rsidR="00F34C94" w:rsidRPr="008749C8">
              <w:rPr>
                <w:b/>
                <w:sz w:val="18"/>
                <w:szCs w:val="18"/>
                <w:lang w:bidi="ar-SA"/>
              </w:rPr>
              <w:t>Management</w:t>
            </w:r>
            <w:r w:rsidRPr="008749C8">
              <w:rPr>
                <w:b/>
                <w:sz w:val="18"/>
                <w:szCs w:val="18"/>
                <w:lang w:bidi="ar-SA"/>
              </w:rPr>
              <w:br/>
              <w:t xml:space="preserve"> 3 157 exits</w:t>
            </w:r>
          </w:p>
        </w:tc>
        <w:tc>
          <w:tcPr>
            <w:tcW w:w="4281" w:type="dxa"/>
          </w:tcPr>
          <w:p w:rsidR="00E75F1A" w:rsidRPr="008749C8" w:rsidRDefault="00E75F1A" w:rsidP="006D7030">
            <w:pPr>
              <w:pStyle w:val="BodyText"/>
              <w:keepNext/>
              <w:keepLines/>
              <w:spacing w:after="0"/>
              <w:ind w:left="0"/>
              <w:jc w:val="center"/>
              <w:rPr>
                <w:b/>
                <w:sz w:val="18"/>
                <w:szCs w:val="18"/>
                <w:lang w:bidi="ar-SA"/>
              </w:rPr>
            </w:pPr>
            <w:r w:rsidRPr="008749C8">
              <w:rPr>
                <w:b/>
                <w:sz w:val="18"/>
                <w:szCs w:val="18"/>
                <w:lang w:bidi="ar-SA"/>
              </w:rPr>
              <w:t xml:space="preserve">Voluntary Income </w:t>
            </w:r>
            <w:r w:rsidR="00F34C94" w:rsidRPr="008749C8">
              <w:rPr>
                <w:b/>
                <w:sz w:val="18"/>
                <w:szCs w:val="18"/>
                <w:lang w:bidi="ar-SA"/>
              </w:rPr>
              <w:t>Management</w:t>
            </w:r>
            <w:r w:rsidRPr="008749C8">
              <w:rPr>
                <w:b/>
                <w:sz w:val="18"/>
                <w:szCs w:val="18"/>
                <w:lang w:bidi="ar-SA"/>
              </w:rPr>
              <w:br/>
              <w:t>1 146 exits</w:t>
            </w:r>
          </w:p>
        </w:tc>
      </w:tr>
      <w:tr w:rsidR="00B24D9F" w:rsidRPr="005911E2" w:rsidTr="006A5F93">
        <w:tc>
          <w:tcPr>
            <w:tcW w:w="4280" w:type="dxa"/>
          </w:tcPr>
          <w:p w:rsidR="00B24D9F" w:rsidRPr="005911E2" w:rsidRDefault="00E75F1A" w:rsidP="001721AF">
            <w:pPr>
              <w:pStyle w:val="BodyText"/>
              <w:keepNext/>
              <w:keepLines/>
              <w:spacing w:after="0"/>
              <w:ind w:left="0"/>
              <w:rPr>
                <w:lang w:bidi="ar-SA"/>
              </w:rPr>
            </w:pPr>
            <w:r>
              <w:rPr>
                <w:noProof/>
                <w:lang w:bidi="ar-SA"/>
              </w:rPr>
              <w:drawing>
                <wp:inline distT="0" distB="0" distL="0" distR="0" wp14:anchorId="78B44A35" wp14:editId="378FD7F4">
                  <wp:extent cx="2535555" cy="2535555"/>
                  <wp:effectExtent l="0" t="0" r="0" b="0"/>
                  <wp:docPr id="78" name="Picture 2" descr="Compulsory Income Management 3157 exits&#10;" title="Compulsory Income Management 3157 ex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2535555" cy="2535555"/>
                          </a:xfrm>
                          <a:prstGeom prst="rect">
                            <a:avLst/>
                          </a:prstGeom>
                          <a:noFill/>
                          <a:ln w="9525">
                            <a:noFill/>
                            <a:miter lim="800000"/>
                            <a:headEnd/>
                            <a:tailEnd/>
                          </a:ln>
                        </pic:spPr>
                      </pic:pic>
                    </a:graphicData>
                  </a:graphic>
                </wp:inline>
              </w:drawing>
            </w:r>
          </w:p>
        </w:tc>
        <w:tc>
          <w:tcPr>
            <w:tcW w:w="4281" w:type="dxa"/>
          </w:tcPr>
          <w:p w:rsidR="00B24D9F" w:rsidRPr="005911E2" w:rsidRDefault="00E75F1A" w:rsidP="001721AF">
            <w:pPr>
              <w:pStyle w:val="BodyText"/>
              <w:keepNext/>
              <w:keepLines/>
              <w:spacing w:after="0"/>
              <w:ind w:left="0"/>
              <w:rPr>
                <w:smallCaps/>
                <w:color w:val="7F7F7F"/>
                <w:spacing w:val="5"/>
                <w:sz w:val="28"/>
                <w:szCs w:val="28"/>
                <w:lang w:val="en-US" w:bidi="ar-SA"/>
              </w:rPr>
            </w:pPr>
            <w:r>
              <w:rPr>
                <w:noProof/>
                <w:lang w:bidi="ar-SA"/>
              </w:rPr>
              <w:drawing>
                <wp:inline distT="0" distB="0" distL="0" distR="0" wp14:anchorId="245C797E" wp14:editId="0AADA60D">
                  <wp:extent cx="2535555" cy="2535555"/>
                  <wp:effectExtent l="0" t="0" r="0" b="0"/>
                  <wp:docPr id="79" name="Picture 3" descr="Voluntary Income Management 1146 exits&#10;" title="Voluntary Income Management 1146 ex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2535555" cy="2535555"/>
                          </a:xfrm>
                          <a:prstGeom prst="rect">
                            <a:avLst/>
                          </a:prstGeom>
                          <a:noFill/>
                          <a:ln w="9525">
                            <a:noFill/>
                            <a:miter lim="800000"/>
                            <a:headEnd/>
                            <a:tailEnd/>
                          </a:ln>
                        </pic:spPr>
                      </pic:pic>
                    </a:graphicData>
                  </a:graphic>
                </wp:inline>
              </w:drawing>
            </w:r>
          </w:p>
        </w:tc>
      </w:tr>
    </w:tbl>
    <w:p w:rsidR="00E75F1A" w:rsidRDefault="00E75F1A" w:rsidP="00CF78DB">
      <w:pPr>
        <w:pStyle w:val="tablefootnotes"/>
      </w:pPr>
      <w:r>
        <w:t>Notes:</w:t>
      </w:r>
      <w:r>
        <w:tab/>
        <w:t xml:space="preserve">For definition of exits see </w:t>
      </w:r>
      <w:r w:rsidR="00C7347D">
        <w:fldChar w:fldCharType="begin"/>
      </w:r>
      <w:r w:rsidR="0029115E">
        <w:instrText xml:space="preserve"> REF _Ref323829088 \h </w:instrText>
      </w:r>
      <w:r w:rsidR="00C7347D">
        <w:fldChar w:fldCharType="separate"/>
      </w:r>
      <w:r w:rsidR="007D7E45" w:rsidRPr="005911E2">
        <w:t xml:space="preserve">Table </w:t>
      </w:r>
      <w:r w:rsidR="007D7E45">
        <w:rPr>
          <w:noProof/>
        </w:rPr>
        <w:t>4</w:t>
      </w:r>
      <w:r w:rsidR="007D7E45" w:rsidRPr="005911E2">
        <w:noBreakHyphen/>
      </w:r>
      <w:r w:rsidR="007D7E45">
        <w:rPr>
          <w:noProof/>
        </w:rPr>
        <w:t>5</w:t>
      </w:r>
      <w:r w:rsidR="00C7347D">
        <w:fldChar w:fldCharType="end"/>
      </w:r>
      <w:r w:rsidR="00943DCB">
        <w:t>.</w:t>
      </w:r>
    </w:p>
    <w:p w:rsidR="0029115E" w:rsidRDefault="0029115E" w:rsidP="00CF78DB">
      <w:pPr>
        <w:pStyle w:val="tablefootnotes"/>
      </w:pPr>
      <w:r>
        <w:tab/>
        <w:t>CIM includes CPIM and VULIM</w:t>
      </w:r>
      <w:r w:rsidR="00943DCB">
        <w:t>.</w:t>
      </w:r>
    </w:p>
    <w:p w:rsidR="0029115E" w:rsidRDefault="0029115E" w:rsidP="00CF78DB">
      <w:pPr>
        <w:pStyle w:val="tablefootnotes"/>
      </w:pPr>
      <w:r>
        <w:tab/>
      </w:r>
      <w:r w:rsidRPr="00D22B82">
        <w:t>See</w:t>
      </w:r>
      <w:r w:rsidR="006D7030" w:rsidRPr="00D22B82">
        <w:t xml:space="preserve"> </w:t>
      </w:r>
      <w:r w:rsidR="00D22B82" w:rsidRPr="00D22B82">
        <w:t xml:space="preserve">footnote </w:t>
      </w:r>
      <w:r w:rsidR="00363305">
        <w:fldChar w:fldCharType="begin"/>
      </w:r>
      <w:r w:rsidR="00363305">
        <w:instrText xml:space="preserve"> NOTEREF _Ref328823964 \h  \* MERGEFORMAT </w:instrText>
      </w:r>
      <w:r w:rsidR="00363305">
        <w:fldChar w:fldCharType="separate"/>
      </w:r>
      <w:r w:rsidR="007D7E45">
        <w:t>49</w:t>
      </w:r>
      <w:r w:rsidR="00363305">
        <w:fldChar w:fldCharType="end"/>
      </w:r>
      <w:r w:rsidR="001721AF">
        <w:t xml:space="preserve"> and text discussion</w:t>
      </w:r>
      <w:r w:rsidR="00BB14C5">
        <w:t xml:space="preserve"> </w:t>
      </w:r>
      <w:r w:rsidR="00E81E98" w:rsidRPr="00D22B82">
        <w:t>with regard to exemptions reported in this table</w:t>
      </w:r>
      <w:r w:rsidR="00943DCB">
        <w:t>.</w:t>
      </w:r>
    </w:p>
    <w:p w:rsidR="006A5F93" w:rsidRPr="005911E2" w:rsidRDefault="006A5F93" w:rsidP="001721AF">
      <w:pPr>
        <w:pStyle w:val="tablefootnotes"/>
        <w:keepNext w:val="0"/>
      </w:pPr>
      <w:r w:rsidRPr="005911E2">
        <w:t xml:space="preserve">Source: </w:t>
      </w:r>
      <w:r w:rsidRPr="005911E2">
        <w:tab/>
        <w:t xml:space="preserve">Derived from the FaHCSIA </w:t>
      </w:r>
      <w:r w:rsidR="00E75F1A">
        <w:t>Income Management dataset</w:t>
      </w:r>
      <w:r w:rsidR="00943DCB">
        <w:t>.</w:t>
      </w:r>
    </w:p>
    <w:p w:rsidR="00B24D9F" w:rsidRPr="005911E2" w:rsidRDefault="006A5F93" w:rsidP="001721AF">
      <w:pPr>
        <w:pStyle w:val="tablefootnotes"/>
        <w:keepNext w:val="0"/>
        <w:rPr>
          <w:lang w:bidi="ar-SA"/>
        </w:rPr>
      </w:pPr>
      <w:r w:rsidRPr="005911E2">
        <w:t>.</w:t>
      </w:r>
    </w:p>
    <w:p w:rsidR="00496BBB" w:rsidRDefault="00AB47E6" w:rsidP="006D7030">
      <w:pPr>
        <w:pStyle w:val="BodyText"/>
        <w:shd w:val="clear" w:color="auto" w:fill="FFFFFF" w:themeFill="background1"/>
        <w:rPr>
          <w:lang w:bidi="ar-SA"/>
        </w:rPr>
      </w:pPr>
      <w:r>
        <w:rPr>
          <w:lang w:bidi="ar-SA"/>
        </w:rPr>
        <w:lastRenderedPageBreak/>
        <w:t xml:space="preserve">There were 1 146 people in these two entry cohorts </w:t>
      </w:r>
      <w:r w:rsidR="00496BBB">
        <w:rPr>
          <w:lang w:bidi="ar-SA"/>
        </w:rPr>
        <w:t>who exited voluntary income management</w:t>
      </w:r>
      <w:r>
        <w:rPr>
          <w:lang w:bidi="ar-SA"/>
        </w:rPr>
        <w:t xml:space="preserve"> in the period under study. Of these</w:t>
      </w:r>
      <w:r w:rsidR="00A26392">
        <w:rPr>
          <w:lang w:bidi="ar-SA"/>
        </w:rPr>
        <w:t>,</w:t>
      </w:r>
      <w:r>
        <w:rPr>
          <w:lang w:bidi="ar-SA"/>
        </w:rPr>
        <w:t xml:space="preserve"> </w:t>
      </w:r>
      <w:r w:rsidR="00496BBB">
        <w:rPr>
          <w:lang w:bidi="ar-SA"/>
        </w:rPr>
        <w:t>59 per cent remained on income support in the Northern Territory</w:t>
      </w:r>
      <w:r w:rsidR="00A26392">
        <w:rPr>
          <w:lang w:bidi="ar-SA"/>
        </w:rPr>
        <w:t>;</w:t>
      </w:r>
      <w:r w:rsidR="00496BBB">
        <w:rPr>
          <w:lang w:bidi="ar-SA"/>
        </w:rPr>
        <w:t xml:space="preserve"> 33</w:t>
      </w:r>
      <w:r w:rsidR="00A26392">
        <w:rPr>
          <w:lang w:bidi="ar-SA"/>
        </w:rPr>
        <w:t> </w:t>
      </w:r>
      <w:r w:rsidR="00496BBB">
        <w:rPr>
          <w:lang w:bidi="ar-SA"/>
        </w:rPr>
        <w:t>per cent were no longer on income support; 7 per cent were on income support in another state or territory and 1 per cent were exempt.</w:t>
      </w:r>
    </w:p>
    <w:p w:rsidR="00496BBB" w:rsidRDefault="005B1726" w:rsidP="006D7030">
      <w:pPr>
        <w:pStyle w:val="BodyText"/>
        <w:shd w:val="clear" w:color="auto" w:fill="FFFFFF" w:themeFill="background1"/>
        <w:rPr>
          <w:lang w:bidi="ar-SA"/>
        </w:rPr>
      </w:pPr>
      <w:r>
        <w:rPr>
          <w:lang w:bidi="ar-SA"/>
        </w:rPr>
        <w:t>When people on voluntary income management remained on income support in the Northern Territory after exiting income management they usually remained on the same income support payment. In contrast</w:t>
      </w:r>
      <w:r w:rsidR="00A26392">
        <w:rPr>
          <w:lang w:bidi="ar-SA"/>
        </w:rPr>
        <w:t>,</w:t>
      </w:r>
      <w:r>
        <w:rPr>
          <w:lang w:bidi="ar-SA"/>
        </w:rPr>
        <w:t xml:space="preserve"> 42 per cent of exits from compulsory income management involved a transfer onto a Disability Support Pension and 19 per cent onto Carer Payment.</w:t>
      </w:r>
    </w:p>
    <w:p w:rsidR="005B1726" w:rsidRDefault="005B1726" w:rsidP="006D7030">
      <w:pPr>
        <w:pStyle w:val="BodyText"/>
        <w:shd w:val="clear" w:color="auto" w:fill="FFFFFF" w:themeFill="background1"/>
        <w:rPr>
          <w:lang w:bidi="ar-SA"/>
        </w:rPr>
      </w:pPr>
      <w:r>
        <w:rPr>
          <w:lang w:bidi="ar-SA"/>
        </w:rPr>
        <w:t>Those who moved interstate largely remained on the same payment they were on prior to moving. While little is known about those who exit</w:t>
      </w:r>
      <w:r w:rsidR="00A26392">
        <w:rPr>
          <w:lang w:bidi="ar-SA"/>
        </w:rPr>
        <w:t>ed</w:t>
      </w:r>
      <w:r>
        <w:rPr>
          <w:lang w:bidi="ar-SA"/>
        </w:rPr>
        <w:t xml:space="preserve"> income support</w:t>
      </w:r>
      <w:r w:rsidR="003A1D87">
        <w:rPr>
          <w:lang w:bidi="ar-SA"/>
        </w:rPr>
        <w:t>,</w:t>
      </w:r>
      <w:r w:rsidR="00D22B82">
        <w:rPr>
          <w:rStyle w:val="FootnoteReference"/>
          <w:lang w:bidi="ar-SA"/>
        </w:rPr>
        <w:footnoteReference w:id="49"/>
      </w:r>
      <w:r>
        <w:rPr>
          <w:lang w:bidi="ar-SA"/>
        </w:rPr>
        <w:t xml:space="preserve"> in 21 per cent of cases where a person had been on compulsory income management the person continued to claim Family Ta</w:t>
      </w:r>
      <w:r w:rsidR="00AB47E6">
        <w:rPr>
          <w:lang w:bidi="ar-SA"/>
        </w:rPr>
        <w:t>x Benefit. This was the case of 10 per cent of those on voluntary income management.</w:t>
      </w:r>
    </w:p>
    <w:p w:rsidR="00AB47E6" w:rsidRDefault="00AB47E6" w:rsidP="006D7030">
      <w:pPr>
        <w:pStyle w:val="BodyText"/>
        <w:shd w:val="clear" w:color="auto" w:fill="FFFFFF" w:themeFill="background1"/>
        <w:rPr>
          <w:lang w:bidi="ar-SA"/>
        </w:rPr>
      </w:pPr>
      <w:r>
        <w:rPr>
          <w:lang w:bidi="ar-SA"/>
        </w:rPr>
        <w:t>As will be seen in Chapter 8 the recorded exits by exemption only represent a small proportion of the exemptions that have been granted.</w:t>
      </w:r>
      <w:r w:rsidR="00BB14C5">
        <w:rPr>
          <w:lang w:bidi="ar-SA"/>
        </w:rPr>
        <w:t xml:space="preserve"> </w:t>
      </w:r>
      <w:r>
        <w:rPr>
          <w:lang w:bidi="ar-SA"/>
        </w:rPr>
        <w:t>The reason for this is that many exemptions are granted prior to the person actually being income managed or shortly after they commence</w:t>
      </w:r>
      <w:bookmarkStart w:id="295" w:name="_Ref328823964"/>
      <w:r w:rsidR="00FA5A6B">
        <w:rPr>
          <w:lang w:bidi="ar-SA"/>
        </w:rPr>
        <w:t>.</w:t>
      </w:r>
      <w:r>
        <w:rPr>
          <w:rStyle w:val="FootnoteReference"/>
          <w:lang w:bidi="ar-SA"/>
        </w:rPr>
        <w:footnoteReference w:id="50"/>
      </w:r>
      <w:bookmarkEnd w:id="295"/>
      <w:r w:rsidR="0029115E">
        <w:rPr>
          <w:lang w:bidi="ar-SA"/>
        </w:rPr>
        <w:t xml:space="preserve"> </w:t>
      </w:r>
      <w:r w:rsidR="00E81E98">
        <w:rPr>
          <w:lang w:bidi="ar-SA"/>
        </w:rPr>
        <w:t xml:space="preserve">Those who exited via an exemption were mainly in receipt of Parenting Payment Single </w:t>
      </w:r>
      <w:r w:rsidR="00A26392">
        <w:rPr>
          <w:lang w:bidi="ar-SA"/>
        </w:rPr>
        <w:t>(</w:t>
      </w:r>
      <w:r w:rsidR="00E81E98">
        <w:rPr>
          <w:lang w:bidi="ar-SA"/>
        </w:rPr>
        <w:t>58 per cent</w:t>
      </w:r>
      <w:r w:rsidR="00A26392">
        <w:rPr>
          <w:lang w:bidi="ar-SA"/>
        </w:rPr>
        <w:t>)</w:t>
      </w:r>
      <w:r w:rsidR="00E81E98">
        <w:rPr>
          <w:lang w:bidi="ar-SA"/>
        </w:rPr>
        <w:t xml:space="preserve"> and Parenting Payment </w:t>
      </w:r>
      <w:r w:rsidR="00D22B82">
        <w:rPr>
          <w:lang w:bidi="ar-SA"/>
        </w:rPr>
        <w:t>P</w:t>
      </w:r>
      <w:r w:rsidR="00E81E98">
        <w:rPr>
          <w:lang w:bidi="ar-SA"/>
        </w:rPr>
        <w:t xml:space="preserve">artnered </w:t>
      </w:r>
      <w:r w:rsidR="00A26392">
        <w:rPr>
          <w:lang w:bidi="ar-SA"/>
        </w:rPr>
        <w:t>(</w:t>
      </w:r>
      <w:r w:rsidR="00E81E98">
        <w:rPr>
          <w:lang w:bidi="ar-SA"/>
        </w:rPr>
        <w:t>25 per cent</w:t>
      </w:r>
      <w:r w:rsidR="00A26392">
        <w:rPr>
          <w:lang w:bidi="ar-SA"/>
        </w:rPr>
        <w:t>)</w:t>
      </w:r>
      <w:r w:rsidR="00E81E98">
        <w:rPr>
          <w:lang w:bidi="ar-SA"/>
        </w:rPr>
        <w:t>.</w:t>
      </w:r>
    </w:p>
    <w:p w:rsidR="00AB47E6" w:rsidRDefault="00AB47E6" w:rsidP="006D7030">
      <w:pPr>
        <w:pStyle w:val="BodyText"/>
        <w:shd w:val="clear" w:color="auto" w:fill="FFFFFF" w:themeFill="background1"/>
        <w:rPr>
          <w:lang w:bidi="ar-SA"/>
        </w:rPr>
      </w:pPr>
      <w:r>
        <w:rPr>
          <w:lang w:bidi="ar-SA"/>
        </w:rPr>
        <w:t>As indicated above</w:t>
      </w:r>
      <w:r w:rsidR="00E81E98">
        <w:rPr>
          <w:lang w:bidi="ar-SA"/>
        </w:rPr>
        <w:t>,</w:t>
      </w:r>
      <w:r>
        <w:rPr>
          <w:lang w:bidi="ar-SA"/>
        </w:rPr>
        <w:t xml:space="preserve"> 21 per cent of exits from </w:t>
      </w:r>
      <w:r w:rsidRPr="00AB47E6">
        <w:rPr>
          <w:lang w:bidi="ar-SA"/>
        </w:rPr>
        <w:t>compulsory forms of income management</w:t>
      </w:r>
      <w:r>
        <w:rPr>
          <w:lang w:bidi="ar-SA"/>
        </w:rPr>
        <w:t xml:space="preserve"> and 7 per cent of exits from voluntary income management involved people</w:t>
      </w:r>
      <w:r w:rsidR="00B24D9F" w:rsidRPr="005911E2">
        <w:rPr>
          <w:lang w:bidi="ar-SA"/>
        </w:rPr>
        <w:t xml:space="preserve"> stay</w:t>
      </w:r>
      <w:r>
        <w:rPr>
          <w:lang w:bidi="ar-SA"/>
        </w:rPr>
        <w:t xml:space="preserve">ing </w:t>
      </w:r>
      <w:r w:rsidR="00B24D9F" w:rsidRPr="005911E2">
        <w:rPr>
          <w:lang w:bidi="ar-SA"/>
        </w:rPr>
        <w:t xml:space="preserve">on income support but </w:t>
      </w:r>
      <w:r w:rsidRPr="005911E2">
        <w:rPr>
          <w:lang w:bidi="ar-SA"/>
        </w:rPr>
        <w:t>mov</w:t>
      </w:r>
      <w:r>
        <w:rPr>
          <w:lang w:bidi="ar-SA"/>
        </w:rPr>
        <w:t xml:space="preserve">ing </w:t>
      </w:r>
      <w:r w:rsidR="00B24D9F" w:rsidRPr="005911E2">
        <w:rPr>
          <w:lang w:bidi="ar-SA"/>
        </w:rPr>
        <w:t xml:space="preserve">out of the </w:t>
      </w:r>
      <w:r w:rsidR="00D34989">
        <w:rPr>
          <w:lang w:bidi="ar-SA"/>
        </w:rPr>
        <w:t>Northern</w:t>
      </w:r>
      <w:r w:rsidR="00D34989" w:rsidRPr="005911E2">
        <w:rPr>
          <w:lang w:bidi="ar-SA"/>
        </w:rPr>
        <w:t xml:space="preserve"> Territory</w:t>
      </w:r>
      <w:r w:rsidR="00B24D9F" w:rsidRPr="005911E2">
        <w:rPr>
          <w:lang w:bidi="ar-SA"/>
        </w:rPr>
        <w:t xml:space="preserve"> in association with their exit from NIM. </w:t>
      </w:r>
      <w:r w:rsidR="00075987">
        <w:rPr>
          <w:lang w:bidi="ar-SA"/>
        </w:rPr>
        <w:t>It is however probable that this reflects high levels of mobility rather than any specific impact of income management</w:t>
      </w:r>
      <w:r w:rsidR="00FA5A6B">
        <w:rPr>
          <w:lang w:bidi="ar-SA"/>
        </w:rPr>
        <w:t>.</w:t>
      </w:r>
      <w:r w:rsidR="00075987">
        <w:rPr>
          <w:rStyle w:val="FootnoteReference"/>
          <w:lang w:bidi="ar-SA"/>
        </w:rPr>
        <w:footnoteReference w:id="51"/>
      </w:r>
    </w:p>
    <w:p w:rsidR="001B4FC7" w:rsidRPr="005911E2" w:rsidRDefault="001B4FC7" w:rsidP="006D7030">
      <w:pPr>
        <w:pStyle w:val="BodyText"/>
        <w:rPr>
          <w:lang w:bidi="ar-SA"/>
        </w:rPr>
      </w:pPr>
      <w:r w:rsidRPr="005911E2">
        <w:rPr>
          <w:lang w:bidi="ar-SA"/>
        </w:rPr>
        <w:t xml:space="preserve">As detailed in </w:t>
      </w:r>
      <w:r w:rsidRPr="005911E2">
        <w:t xml:space="preserve">Table </w:t>
      </w:r>
      <w:r w:rsidRPr="005911E2">
        <w:rPr>
          <w:noProof/>
        </w:rPr>
        <w:t>4</w:t>
      </w:r>
      <w:r w:rsidRPr="005911E2">
        <w:noBreakHyphen/>
      </w:r>
      <w:r w:rsidRPr="005911E2">
        <w:rPr>
          <w:noProof/>
        </w:rPr>
        <w:t>6</w:t>
      </w:r>
      <w:r w:rsidRPr="005911E2">
        <w:rPr>
          <w:lang w:bidi="ar-SA"/>
        </w:rPr>
        <w:t xml:space="preserve"> there are some differences in the pattern of exits between Indigenous and non-Indigenous people, and to a lesser degree between Indigenous people who had previously been on </w:t>
      </w:r>
      <w:r>
        <w:rPr>
          <w:lang w:bidi="ar-SA"/>
        </w:rPr>
        <w:t>income management</w:t>
      </w:r>
      <w:r w:rsidRPr="005911E2">
        <w:rPr>
          <w:lang w:bidi="ar-SA"/>
        </w:rPr>
        <w:t xml:space="preserve"> as part of the NTER and those who were not.</w:t>
      </w:r>
    </w:p>
    <w:p w:rsidR="00943DCB" w:rsidRDefault="00E81E98" w:rsidP="00B24D9F">
      <w:pPr>
        <w:pStyle w:val="BodyText"/>
        <w:rPr>
          <w:lang w:bidi="ar-SA"/>
        </w:rPr>
      </w:pPr>
      <w:r w:rsidRPr="00E81E98">
        <w:rPr>
          <w:lang w:bidi="ar-SA"/>
        </w:rPr>
        <w:t xml:space="preserve">Non-Indigenous people exiting </w:t>
      </w:r>
      <w:r>
        <w:rPr>
          <w:lang w:bidi="ar-SA"/>
        </w:rPr>
        <w:t xml:space="preserve">compulsory forms of </w:t>
      </w:r>
      <w:r w:rsidRPr="00E81E98">
        <w:rPr>
          <w:lang w:bidi="ar-SA"/>
        </w:rPr>
        <w:t xml:space="preserve">income management are more likely to remain on income support in </w:t>
      </w:r>
      <w:r>
        <w:rPr>
          <w:lang w:bidi="ar-SA"/>
        </w:rPr>
        <w:t xml:space="preserve">a location outside of the </w:t>
      </w:r>
      <w:r w:rsidRPr="00E81E98">
        <w:rPr>
          <w:lang w:bidi="ar-SA"/>
        </w:rPr>
        <w:t>Northern Territory than Indigenous people</w:t>
      </w:r>
      <w:r>
        <w:rPr>
          <w:lang w:bidi="ar-SA"/>
        </w:rPr>
        <w:t>, especially those who had been previously on income management under the NTER</w:t>
      </w:r>
      <w:r w:rsidRPr="00E81E98">
        <w:rPr>
          <w:lang w:bidi="ar-SA"/>
        </w:rPr>
        <w:t xml:space="preserve">. </w:t>
      </w:r>
      <w:r>
        <w:rPr>
          <w:lang w:bidi="ar-SA"/>
        </w:rPr>
        <w:t xml:space="preserve">They were also less likely to be off </w:t>
      </w:r>
      <w:r>
        <w:rPr>
          <w:lang w:bidi="ar-SA"/>
        </w:rPr>
        <w:lastRenderedPageBreak/>
        <w:t xml:space="preserve">income support. In part this was because of the higher proportion </w:t>
      </w:r>
      <w:r w:rsidR="00A26392">
        <w:rPr>
          <w:lang w:bidi="ar-SA"/>
        </w:rPr>
        <w:t xml:space="preserve">of those </w:t>
      </w:r>
      <w:r>
        <w:rPr>
          <w:lang w:bidi="ar-SA"/>
        </w:rPr>
        <w:t>who had exited income management because of an exemption.</w:t>
      </w:r>
    </w:p>
    <w:p w:rsidR="00943DCB" w:rsidRDefault="00943DCB" w:rsidP="00B24D9F">
      <w:pPr>
        <w:pStyle w:val="BodyText"/>
        <w:rPr>
          <w:lang w:bidi="ar-SA"/>
        </w:rPr>
      </w:pPr>
    </w:p>
    <w:p w:rsidR="00943DCB" w:rsidRPr="005911E2" w:rsidRDefault="00943DCB" w:rsidP="00943DCB">
      <w:pPr>
        <w:pStyle w:val="BodyText1"/>
        <w:rPr>
          <w:lang w:bidi="ar-SA"/>
        </w:rPr>
      </w:pPr>
      <w:r>
        <w:rPr>
          <w:lang w:bidi="ar-SA"/>
        </w:rPr>
        <w:t xml:space="preserve">Most of the exits from Voluntary Income Management involved Indigenous people who had previously </w:t>
      </w:r>
      <w:r w:rsidRPr="006D7030">
        <w:rPr>
          <w:lang w:bidi="ar-SA"/>
        </w:rPr>
        <w:t>been on income management as part of the NTER</w:t>
      </w:r>
      <w:r>
        <w:rPr>
          <w:lang w:bidi="ar-SA"/>
        </w:rPr>
        <w:t>. Amongst these</w:t>
      </w:r>
      <w:r w:rsidRPr="006D7030">
        <w:rPr>
          <w:lang w:bidi="ar-SA"/>
        </w:rPr>
        <w:t xml:space="preserve"> </w:t>
      </w:r>
      <w:r>
        <w:rPr>
          <w:lang w:bidi="ar-SA"/>
        </w:rPr>
        <w:t>62 per cent of these remained on income support in the Northern Territory and a further 6 per cent in other locations</w:t>
      </w:r>
      <w:r w:rsidRPr="006D7030">
        <w:rPr>
          <w:lang w:bidi="ar-SA"/>
        </w:rPr>
        <w:t>.</w:t>
      </w:r>
    </w:p>
    <w:p w:rsidR="0022069A" w:rsidRPr="005911E2" w:rsidRDefault="0022069A" w:rsidP="0022069A">
      <w:pPr>
        <w:pStyle w:val="tabfighead"/>
        <w:rPr>
          <w:lang w:bidi="ar-SA"/>
        </w:rPr>
      </w:pPr>
      <w:bookmarkStart w:id="296" w:name="_Ref323830482"/>
      <w:bookmarkStart w:id="297" w:name="_Toc328601576"/>
      <w:bookmarkStart w:id="298" w:name="_Toc329051354"/>
      <w:bookmarkStart w:id="299" w:name="_Toc335915842"/>
      <w:r w:rsidRPr="005911E2">
        <w:t xml:space="preserve">Table </w:t>
      </w:r>
      <w:r w:rsidR="00C7347D" w:rsidRPr="005911E2">
        <w:fldChar w:fldCharType="begin"/>
      </w:r>
      <w:r w:rsidR="00435FEB" w:rsidRPr="005911E2">
        <w:instrText xml:space="preserve"> STYLEREF 1 \s </w:instrText>
      </w:r>
      <w:r w:rsidR="00C7347D" w:rsidRPr="005911E2">
        <w:fldChar w:fldCharType="separate"/>
      </w:r>
      <w:r w:rsidR="007D7E45">
        <w:rPr>
          <w:noProof/>
        </w:rPr>
        <w:t>4</w:t>
      </w:r>
      <w:r w:rsidR="00C7347D" w:rsidRPr="005911E2">
        <w:rPr>
          <w:noProof/>
        </w:rPr>
        <w:fldChar w:fldCharType="end"/>
      </w:r>
      <w:r w:rsidRPr="005911E2">
        <w:noBreakHyphen/>
      </w:r>
      <w:r w:rsidR="00C7347D" w:rsidRPr="005911E2">
        <w:fldChar w:fldCharType="begin"/>
      </w:r>
      <w:r w:rsidR="00435FEB" w:rsidRPr="005911E2">
        <w:instrText xml:space="preserve"> SEQ Table \* ARABIC \s 1 </w:instrText>
      </w:r>
      <w:r w:rsidR="00C7347D" w:rsidRPr="005911E2">
        <w:fldChar w:fldCharType="separate"/>
      </w:r>
      <w:r w:rsidR="007D7E45">
        <w:rPr>
          <w:noProof/>
        </w:rPr>
        <w:t>6</w:t>
      </w:r>
      <w:r w:rsidR="00C7347D" w:rsidRPr="005911E2">
        <w:rPr>
          <w:noProof/>
        </w:rPr>
        <w:fldChar w:fldCharType="end"/>
      </w:r>
      <w:bookmarkEnd w:id="296"/>
      <w:r w:rsidRPr="005911E2">
        <w:tab/>
      </w:r>
      <w:r w:rsidR="0029115E" w:rsidRPr="0029115E">
        <w:t>Income support status of people who entered NIM up until February 2011 and exited prior to end January 2012</w:t>
      </w:r>
      <w:bookmarkEnd w:id="297"/>
      <w:bookmarkEnd w:id="298"/>
      <w:bookmarkEnd w:id="299"/>
    </w:p>
    <w:tbl>
      <w:tblPr>
        <w:tblW w:w="4281" w:type="pct"/>
        <w:jc w:val="right"/>
        <w:tblLayout w:type="fixed"/>
        <w:tblLook w:val="0000" w:firstRow="0" w:lastRow="0" w:firstColumn="0" w:lastColumn="0" w:noHBand="0" w:noVBand="0"/>
      </w:tblPr>
      <w:tblGrid>
        <w:gridCol w:w="1906"/>
        <w:gridCol w:w="709"/>
        <w:gridCol w:w="693"/>
        <w:gridCol w:w="237"/>
        <w:gridCol w:w="771"/>
        <w:gridCol w:w="710"/>
        <w:gridCol w:w="283"/>
        <w:gridCol w:w="825"/>
        <w:gridCol w:w="829"/>
        <w:gridCol w:w="824"/>
      </w:tblGrid>
      <w:tr w:rsidR="0029115E" w:rsidRPr="00911315" w:rsidTr="0029115E">
        <w:trPr>
          <w:trHeight w:val="290"/>
          <w:jc w:val="right"/>
        </w:trPr>
        <w:tc>
          <w:tcPr>
            <w:tcW w:w="1224" w:type="pct"/>
            <w:tcBorders>
              <w:top w:val="single" w:sz="4" w:space="0" w:color="auto"/>
              <w:left w:val="nil"/>
              <w:bottom w:val="nil"/>
              <w:right w:val="nil"/>
            </w:tcBorders>
          </w:tcPr>
          <w:p w:rsidR="0029115E" w:rsidRPr="00911315" w:rsidRDefault="0029115E" w:rsidP="0029115E">
            <w:pPr>
              <w:pStyle w:val="braytabletext"/>
              <w:rPr>
                <w:szCs w:val="16"/>
              </w:rPr>
            </w:pPr>
            <w:bookmarkStart w:id="300" w:name="RANGE!A3:J10"/>
            <w:bookmarkEnd w:id="300"/>
          </w:p>
        </w:tc>
        <w:tc>
          <w:tcPr>
            <w:tcW w:w="2003" w:type="pct"/>
            <w:gridSpan w:val="5"/>
            <w:tcBorders>
              <w:top w:val="single" w:sz="4" w:space="0" w:color="auto"/>
              <w:left w:val="nil"/>
              <w:bottom w:val="single" w:sz="4" w:space="0" w:color="auto"/>
              <w:right w:val="nil"/>
            </w:tcBorders>
          </w:tcPr>
          <w:p w:rsidR="0029115E" w:rsidRPr="00911315" w:rsidRDefault="0029115E" w:rsidP="0029115E">
            <w:pPr>
              <w:pStyle w:val="braytabletext"/>
              <w:rPr>
                <w:szCs w:val="16"/>
              </w:rPr>
            </w:pPr>
            <w:r w:rsidRPr="00911315">
              <w:rPr>
                <w:szCs w:val="16"/>
              </w:rPr>
              <w:t>Indigenous</w:t>
            </w:r>
          </w:p>
        </w:tc>
        <w:tc>
          <w:tcPr>
            <w:tcW w:w="182" w:type="pct"/>
            <w:tcBorders>
              <w:top w:val="single" w:sz="4" w:space="0" w:color="auto"/>
              <w:left w:val="nil"/>
              <w:bottom w:val="nil"/>
              <w:right w:val="nil"/>
            </w:tcBorders>
          </w:tcPr>
          <w:p w:rsidR="0029115E" w:rsidRPr="00911315" w:rsidRDefault="0029115E" w:rsidP="0029115E">
            <w:pPr>
              <w:pStyle w:val="braytabletext"/>
              <w:rPr>
                <w:szCs w:val="16"/>
              </w:rPr>
            </w:pPr>
          </w:p>
        </w:tc>
        <w:tc>
          <w:tcPr>
            <w:tcW w:w="1062" w:type="pct"/>
            <w:gridSpan w:val="2"/>
            <w:tcBorders>
              <w:top w:val="single" w:sz="4" w:space="0" w:color="auto"/>
              <w:left w:val="nil"/>
              <w:bottom w:val="single" w:sz="4" w:space="0" w:color="auto"/>
              <w:right w:val="nil"/>
            </w:tcBorders>
          </w:tcPr>
          <w:p w:rsidR="0029115E" w:rsidRPr="00911315" w:rsidRDefault="0029115E" w:rsidP="0029115E">
            <w:pPr>
              <w:pStyle w:val="braytabletext"/>
              <w:rPr>
                <w:szCs w:val="16"/>
              </w:rPr>
            </w:pPr>
            <w:r w:rsidRPr="00911315">
              <w:rPr>
                <w:szCs w:val="16"/>
              </w:rPr>
              <w:t>Non</w:t>
            </w:r>
            <w:r w:rsidR="0027077D" w:rsidRPr="00911315">
              <w:rPr>
                <w:szCs w:val="16"/>
              </w:rPr>
              <w:t>-</w:t>
            </w:r>
            <w:r w:rsidRPr="00911315">
              <w:rPr>
                <w:szCs w:val="16"/>
              </w:rPr>
              <w:t>Indigenous</w:t>
            </w:r>
          </w:p>
        </w:tc>
        <w:tc>
          <w:tcPr>
            <w:tcW w:w="530" w:type="pct"/>
            <w:tcBorders>
              <w:top w:val="single" w:sz="4" w:space="0" w:color="auto"/>
              <w:left w:val="nil"/>
              <w:bottom w:val="nil"/>
              <w:right w:val="nil"/>
            </w:tcBorders>
          </w:tcPr>
          <w:p w:rsidR="0029115E" w:rsidRPr="00911315" w:rsidRDefault="0029115E" w:rsidP="00C04728">
            <w:pPr>
              <w:pStyle w:val="braytabletext"/>
              <w:jc w:val="right"/>
              <w:rPr>
                <w:szCs w:val="16"/>
              </w:rPr>
            </w:pPr>
            <w:r w:rsidRPr="00911315">
              <w:rPr>
                <w:szCs w:val="16"/>
              </w:rPr>
              <w:t>Total</w:t>
            </w:r>
          </w:p>
        </w:tc>
      </w:tr>
      <w:tr w:rsidR="0029115E" w:rsidRPr="00911315" w:rsidTr="006D7030">
        <w:trPr>
          <w:trHeight w:val="290"/>
          <w:jc w:val="right"/>
        </w:trPr>
        <w:tc>
          <w:tcPr>
            <w:tcW w:w="1224" w:type="pct"/>
            <w:tcBorders>
              <w:top w:val="nil"/>
              <w:left w:val="nil"/>
              <w:bottom w:val="nil"/>
              <w:right w:val="nil"/>
            </w:tcBorders>
          </w:tcPr>
          <w:p w:rsidR="0029115E" w:rsidRPr="00911315" w:rsidRDefault="0029115E" w:rsidP="0029115E">
            <w:pPr>
              <w:pStyle w:val="braytabletext"/>
              <w:rPr>
                <w:szCs w:val="16"/>
              </w:rPr>
            </w:pPr>
          </w:p>
        </w:tc>
        <w:tc>
          <w:tcPr>
            <w:tcW w:w="900" w:type="pct"/>
            <w:gridSpan w:val="2"/>
            <w:tcBorders>
              <w:top w:val="single" w:sz="4" w:space="0" w:color="auto"/>
              <w:left w:val="nil"/>
              <w:bottom w:val="single" w:sz="4" w:space="0" w:color="auto"/>
              <w:right w:val="nil"/>
            </w:tcBorders>
          </w:tcPr>
          <w:p w:rsidR="0029115E" w:rsidRPr="00911315" w:rsidRDefault="0029115E" w:rsidP="0029115E">
            <w:pPr>
              <w:pStyle w:val="braytabletext"/>
              <w:rPr>
                <w:szCs w:val="16"/>
              </w:rPr>
            </w:pPr>
            <w:r w:rsidRPr="00911315">
              <w:rPr>
                <w:szCs w:val="16"/>
              </w:rPr>
              <w:t>On NTER IM</w:t>
            </w:r>
          </w:p>
        </w:tc>
        <w:tc>
          <w:tcPr>
            <w:tcW w:w="152" w:type="pct"/>
            <w:tcBorders>
              <w:top w:val="single" w:sz="4" w:space="0" w:color="auto"/>
              <w:left w:val="nil"/>
              <w:bottom w:val="nil"/>
              <w:right w:val="nil"/>
            </w:tcBorders>
          </w:tcPr>
          <w:p w:rsidR="0029115E" w:rsidRPr="00911315" w:rsidRDefault="0029115E" w:rsidP="0029115E">
            <w:pPr>
              <w:pStyle w:val="braytabletext"/>
              <w:rPr>
                <w:szCs w:val="16"/>
              </w:rPr>
            </w:pPr>
          </w:p>
        </w:tc>
        <w:tc>
          <w:tcPr>
            <w:tcW w:w="950" w:type="pct"/>
            <w:gridSpan w:val="2"/>
            <w:tcBorders>
              <w:top w:val="single" w:sz="4" w:space="0" w:color="auto"/>
              <w:left w:val="nil"/>
              <w:bottom w:val="single" w:sz="4" w:space="0" w:color="auto"/>
              <w:right w:val="nil"/>
            </w:tcBorders>
          </w:tcPr>
          <w:p w:rsidR="0029115E" w:rsidRPr="00911315" w:rsidRDefault="0029115E" w:rsidP="0029115E">
            <w:pPr>
              <w:pStyle w:val="braytabletext"/>
              <w:rPr>
                <w:szCs w:val="16"/>
              </w:rPr>
            </w:pPr>
            <w:r w:rsidRPr="00911315">
              <w:rPr>
                <w:szCs w:val="16"/>
              </w:rPr>
              <w:t>Other</w:t>
            </w:r>
          </w:p>
        </w:tc>
        <w:tc>
          <w:tcPr>
            <w:tcW w:w="182" w:type="pct"/>
            <w:tcBorders>
              <w:top w:val="nil"/>
              <w:left w:val="nil"/>
              <w:bottom w:val="nil"/>
              <w:right w:val="nil"/>
            </w:tcBorders>
          </w:tcPr>
          <w:p w:rsidR="0029115E" w:rsidRPr="00911315" w:rsidRDefault="0029115E" w:rsidP="0029115E">
            <w:pPr>
              <w:pStyle w:val="braytabletext"/>
              <w:rPr>
                <w:szCs w:val="16"/>
              </w:rPr>
            </w:pPr>
          </w:p>
        </w:tc>
        <w:tc>
          <w:tcPr>
            <w:tcW w:w="530" w:type="pct"/>
            <w:tcBorders>
              <w:top w:val="single" w:sz="4" w:space="0" w:color="auto"/>
              <w:left w:val="nil"/>
              <w:bottom w:val="nil"/>
              <w:right w:val="nil"/>
            </w:tcBorders>
          </w:tcPr>
          <w:p w:rsidR="0029115E" w:rsidRPr="00911315" w:rsidRDefault="0029115E" w:rsidP="0029115E">
            <w:pPr>
              <w:pStyle w:val="braytabletext"/>
              <w:rPr>
                <w:szCs w:val="16"/>
              </w:rPr>
            </w:pPr>
          </w:p>
        </w:tc>
        <w:tc>
          <w:tcPr>
            <w:tcW w:w="532" w:type="pct"/>
            <w:tcBorders>
              <w:top w:val="single" w:sz="4" w:space="0" w:color="auto"/>
              <w:left w:val="nil"/>
              <w:bottom w:val="nil"/>
              <w:right w:val="nil"/>
            </w:tcBorders>
          </w:tcPr>
          <w:p w:rsidR="0029115E" w:rsidRPr="00911315" w:rsidRDefault="0029115E" w:rsidP="0029115E">
            <w:pPr>
              <w:pStyle w:val="braytabletext"/>
              <w:rPr>
                <w:szCs w:val="16"/>
              </w:rPr>
            </w:pPr>
          </w:p>
        </w:tc>
        <w:tc>
          <w:tcPr>
            <w:tcW w:w="530" w:type="pct"/>
            <w:tcBorders>
              <w:top w:val="nil"/>
              <w:left w:val="nil"/>
              <w:bottom w:val="nil"/>
              <w:right w:val="nil"/>
            </w:tcBorders>
          </w:tcPr>
          <w:p w:rsidR="0029115E" w:rsidRPr="00911315" w:rsidRDefault="0029115E" w:rsidP="0029115E">
            <w:pPr>
              <w:pStyle w:val="braytabletext"/>
              <w:rPr>
                <w:szCs w:val="16"/>
              </w:rPr>
            </w:pPr>
          </w:p>
        </w:tc>
      </w:tr>
      <w:tr w:rsidR="0029115E" w:rsidRPr="00911315" w:rsidTr="006D7030">
        <w:trPr>
          <w:trHeight w:val="290"/>
          <w:jc w:val="right"/>
        </w:trPr>
        <w:tc>
          <w:tcPr>
            <w:tcW w:w="1224" w:type="pct"/>
            <w:tcBorders>
              <w:top w:val="nil"/>
              <w:left w:val="nil"/>
              <w:bottom w:val="single" w:sz="4" w:space="0" w:color="auto"/>
              <w:right w:val="nil"/>
            </w:tcBorders>
          </w:tcPr>
          <w:p w:rsidR="0029115E" w:rsidRPr="00911315" w:rsidRDefault="0029115E" w:rsidP="0029115E">
            <w:pPr>
              <w:pStyle w:val="braytabletext"/>
              <w:rPr>
                <w:szCs w:val="16"/>
              </w:rPr>
            </w:pPr>
          </w:p>
        </w:tc>
        <w:tc>
          <w:tcPr>
            <w:tcW w:w="455" w:type="pct"/>
            <w:tcBorders>
              <w:top w:val="single" w:sz="4" w:space="0" w:color="auto"/>
              <w:left w:val="nil"/>
              <w:bottom w:val="single" w:sz="4" w:space="0" w:color="auto"/>
              <w:right w:val="nil"/>
            </w:tcBorders>
          </w:tcPr>
          <w:p w:rsidR="0029115E" w:rsidRPr="00911315" w:rsidRDefault="0029115E" w:rsidP="00C04728">
            <w:pPr>
              <w:pStyle w:val="braytabletext"/>
              <w:jc w:val="right"/>
              <w:rPr>
                <w:szCs w:val="16"/>
              </w:rPr>
            </w:pPr>
            <w:r w:rsidRPr="00911315">
              <w:rPr>
                <w:szCs w:val="16"/>
              </w:rPr>
              <w:t>VIM</w:t>
            </w:r>
          </w:p>
        </w:tc>
        <w:tc>
          <w:tcPr>
            <w:tcW w:w="445" w:type="pct"/>
            <w:tcBorders>
              <w:top w:val="single" w:sz="4" w:space="0" w:color="auto"/>
              <w:left w:val="nil"/>
              <w:bottom w:val="single" w:sz="4" w:space="0" w:color="auto"/>
              <w:right w:val="nil"/>
            </w:tcBorders>
          </w:tcPr>
          <w:p w:rsidR="0029115E" w:rsidRPr="00911315" w:rsidRDefault="0029115E" w:rsidP="00C04728">
            <w:pPr>
              <w:pStyle w:val="braytabletext"/>
              <w:jc w:val="right"/>
              <w:rPr>
                <w:szCs w:val="16"/>
              </w:rPr>
            </w:pPr>
            <w:r w:rsidRPr="00911315">
              <w:rPr>
                <w:szCs w:val="16"/>
              </w:rPr>
              <w:t>CIM</w:t>
            </w:r>
          </w:p>
        </w:tc>
        <w:tc>
          <w:tcPr>
            <w:tcW w:w="152" w:type="pct"/>
            <w:tcBorders>
              <w:top w:val="nil"/>
              <w:left w:val="nil"/>
              <w:bottom w:val="single" w:sz="4" w:space="0" w:color="auto"/>
              <w:right w:val="nil"/>
            </w:tcBorders>
          </w:tcPr>
          <w:p w:rsidR="0029115E" w:rsidRPr="00911315" w:rsidRDefault="0029115E" w:rsidP="00C04728">
            <w:pPr>
              <w:pStyle w:val="braytabletext"/>
              <w:jc w:val="right"/>
              <w:rPr>
                <w:szCs w:val="16"/>
              </w:rPr>
            </w:pPr>
          </w:p>
        </w:tc>
        <w:tc>
          <w:tcPr>
            <w:tcW w:w="495" w:type="pct"/>
            <w:tcBorders>
              <w:top w:val="single" w:sz="4" w:space="0" w:color="auto"/>
              <w:left w:val="nil"/>
              <w:bottom w:val="single" w:sz="4" w:space="0" w:color="auto"/>
              <w:right w:val="nil"/>
            </w:tcBorders>
          </w:tcPr>
          <w:p w:rsidR="0029115E" w:rsidRPr="00911315" w:rsidRDefault="0029115E" w:rsidP="00C04728">
            <w:pPr>
              <w:pStyle w:val="braytabletext"/>
              <w:jc w:val="right"/>
              <w:rPr>
                <w:szCs w:val="16"/>
              </w:rPr>
            </w:pPr>
            <w:r w:rsidRPr="00911315">
              <w:rPr>
                <w:szCs w:val="16"/>
              </w:rPr>
              <w:t>VIM</w:t>
            </w:r>
          </w:p>
        </w:tc>
        <w:tc>
          <w:tcPr>
            <w:tcW w:w="455" w:type="pct"/>
            <w:tcBorders>
              <w:top w:val="single" w:sz="4" w:space="0" w:color="auto"/>
              <w:left w:val="nil"/>
              <w:bottom w:val="single" w:sz="4" w:space="0" w:color="auto"/>
              <w:right w:val="nil"/>
            </w:tcBorders>
          </w:tcPr>
          <w:p w:rsidR="0029115E" w:rsidRPr="00911315" w:rsidRDefault="0029115E" w:rsidP="00C04728">
            <w:pPr>
              <w:pStyle w:val="braytabletext"/>
              <w:jc w:val="right"/>
              <w:rPr>
                <w:szCs w:val="16"/>
              </w:rPr>
            </w:pPr>
            <w:r w:rsidRPr="00911315">
              <w:rPr>
                <w:szCs w:val="16"/>
              </w:rPr>
              <w:t>CIM</w:t>
            </w:r>
          </w:p>
        </w:tc>
        <w:tc>
          <w:tcPr>
            <w:tcW w:w="182" w:type="pct"/>
            <w:tcBorders>
              <w:top w:val="nil"/>
              <w:left w:val="nil"/>
              <w:bottom w:val="single" w:sz="4" w:space="0" w:color="auto"/>
              <w:right w:val="nil"/>
            </w:tcBorders>
          </w:tcPr>
          <w:p w:rsidR="0029115E" w:rsidRPr="00911315" w:rsidRDefault="0029115E" w:rsidP="00C04728">
            <w:pPr>
              <w:pStyle w:val="braytabletext"/>
              <w:jc w:val="right"/>
              <w:rPr>
                <w:szCs w:val="16"/>
              </w:rPr>
            </w:pPr>
          </w:p>
        </w:tc>
        <w:tc>
          <w:tcPr>
            <w:tcW w:w="530" w:type="pct"/>
            <w:tcBorders>
              <w:top w:val="nil"/>
              <w:left w:val="nil"/>
              <w:bottom w:val="single" w:sz="4" w:space="0" w:color="auto"/>
              <w:right w:val="nil"/>
            </w:tcBorders>
          </w:tcPr>
          <w:p w:rsidR="0029115E" w:rsidRPr="00911315" w:rsidRDefault="0029115E" w:rsidP="00C04728">
            <w:pPr>
              <w:pStyle w:val="braytabletext"/>
              <w:jc w:val="right"/>
              <w:rPr>
                <w:szCs w:val="16"/>
              </w:rPr>
            </w:pPr>
            <w:r w:rsidRPr="00911315">
              <w:rPr>
                <w:szCs w:val="16"/>
              </w:rPr>
              <w:t>VIM</w:t>
            </w:r>
          </w:p>
        </w:tc>
        <w:tc>
          <w:tcPr>
            <w:tcW w:w="532" w:type="pct"/>
            <w:tcBorders>
              <w:top w:val="nil"/>
              <w:left w:val="nil"/>
              <w:bottom w:val="single" w:sz="4" w:space="0" w:color="auto"/>
              <w:right w:val="nil"/>
            </w:tcBorders>
          </w:tcPr>
          <w:p w:rsidR="0029115E" w:rsidRPr="00911315" w:rsidRDefault="0029115E" w:rsidP="00C04728">
            <w:pPr>
              <w:pStyle w:val="braytabletext"/>
              <w:jc w:val="right"/>
              <w:rPr>
                <w:szCs w:val="16"/>
              </w:rPr>
            </w:pPr>
            <w:r w:rsidRPr="00911315">
              <w:rPr>
                <w:szCs w:val="16"/>
              </w:rPr>
              <w:t>CIM</w:t>
            </w:r>
          </w:p>
        </w:tc>
        <w:tc>
          <w:tcPr>
            <w:tcW w:w="530" w:type="pct"/>
            <w:tcBorders>
              <w:top w:val="nil"/>
              <w:left w:val="nil"/>
              <w:bottom w:val="single" w:sz="4" w:space="0" w:color="auto"/>
              <w:right w:val="nil"/>
            </w:tcBorders>
          </w:tcPr>
          <w:p w:rsidR="0029115E" w:rsidRPr="00911315" w:rsidRDefault="0029115E" w:rsidP="0029115E">
            <w:pPr>
              <w:pStyle w:val="braytabletext"/>
              <w:rPr>
                <w:szCs w:val="16"/>
              </w:rPr>
            </w:pPr>
          </w:p>
        </w:tc>
      </w:tr>
      <w:tr w:rsidR="0029115E" w:rsidRPr="00911315" w:rsidTr="0029115E">
        <w:trPr>
          <w:trHeight w:val="290"/>
          <w:jc w:val="right"/>
        </w:trPr>
        <w:tc>
          <w:tcPr>
            <w:tcW w:w="1224" w:type="pct"/>
            <w:tcBorders>
              <w:top w:val="single" w:sz="4" w:space="0" w:color="auto"/>
              <w:left w:val="nil"/>
              <w:bottom w:val="nil"/>
              <w:right w:val="nil"/>
            </w:tcBorders>
          </w:tcPr>
          <w:p w:rsidR="0029115E" w:rsidRPr="00911315" w:rsidRDefault="0029115E" w:rsidP="0029115E">
            <w:pPr>
              <w:pStyle w:val="braytabletext"/>
              <w:rPr>
                <w:szCs w:val="16"/>
              </w:rPr>
            </w:pPr>
          </w:p>
        </w:tc>
        <w:tc>
          <w:tcPr>
            <w:tcW w:w="3776" w:type="pct"/>
            <w:gridSpan w:val="9"/>
            <w:tcBorders>
              <w:top w:val="single" w:sz="4" w:space="0" w:color="auto"/>
              <w:left w:val="nil"/>
              <w:bottom w:val="nil"/>
              <w:right w:val="nil"/>
            </w:tcBorders>
          </w:tcPr>
          <w:p w:rsidR="0029115E" w:rsidRPr="00911315" w:rsidRDefault="00460C86" w:rsidP="006D7030">
            <w:pPr>
              <w:pStyle w:val="braytabletext"/>
              <w:jc w:val="center"/>
              <w:rPr>
                <w:szCs w:val="16"/>
              </w:rPr>
            </w:pPr>
            <w:r>
              <w:rPr>
                <w:szCs w:val="16"/>
              </w:rPr>
              <w:t xml:space="preserve">            </w:t>
            </w:r>
            <w:r w:rsidR="008749C8">
              <w:rPr>
                <w:szCs w:val="16"/>
              </w:rPr>
              <w:t xml:space="preserve"> </w:t>
            </w:r>
            <w:r w:rsidR="0029115E" w:rsidRPr="00911315">
              <w:rPr>
                <w:szCs w:val="16"/>
              </w:rPr>
              <w:t>- % -</w:t>
            </w:r>
          </w:p>
        </w:tc>
      </w:tr>
      <w:tr w:rsidR="0029115E" w:rsidRPr="00911315" w:rsidTr="006D7030">
        <w:trPr>
          <w:trHeight w:val="290"/>
          <w:jc w:val="right"/>
        </w:trPr>
        <w:tc>
          <w:tcPr>
            <w:tcW w:w="1224" w:type="pct"/>
            <w:tcBorders>
              <w:top w:val="nil"/>
              <w:left w:val="nil"/>
              <w:bottom w:val="nil"/>
              <w:right w:val="nil"/>
            </w:tcBorders>
          </w:tcPr>
          <w:p w:rsidR="0029115E" w:rsidRPr="00911315" w:rsidRDefault="0029115E" w:rsidP="0029115E">
            <w:pPr>
              <w:pStyle w:val="braytabletext"/>
              <w:rPr>
                <w:szCs w:val="16"/>
              </w:rPr>
            </w:pPr>
            <w:r w:rsidRPr="00911315">
              <w:rPr>
                <w:szCs w:val="16"/>
              </w:rPr>
              <w:t>Exemption</w:t>
            </w:r>
          </w:p>
        </w:tc>
        <w:tc>
          <w:tcPr>
            <w:tcW w:w="455" w:type="pct"/>
            <w:tcBorders>
              <w:top w:val="nil"/>
              <w:left w:val="nil"/>
              <w:bottom w:val="nil"/>
              <w:right w:val="nil"/>
            </w:tcBorders>
          </w:tcPr>
          <w:p w:rsidR="0029115E" w:rsidRPr="00911315" w:rsidRDefault="0029115E" w:rsidP="006D7030">
            <w:pPr>
              <w:pStyle w:val="braytabletext"/>
              <w:jc w:val="right"/>
              <w:rPr>
                <w:szCs w:val="16"/>
              </w:rPr>
            </w:pPr>
            <w:r w:rsidRPr="00911315">
              <w:rPr>
                <w:szCs w:val="16"/>
              </w:rPr>
              <w:t>0.1</w:t>
            </w:r>
          </w:p>
        </w:tc>
        <w:tc>
          <w:tcPr>
            <w:tcW w:w="445" w:type="pct"/>
            <w:tcBorders>
              <w:top w:val="nil"/>
              <w:left w:val="nil"/>
              <w:bottom w:val="nil"/>
              <w:right w:val="nil"/>
            </w:tcBorders>
          </w:tcPr>
          <w:p w:rsidR="0029115E" w:rsidRPr="00911315" w:rsidRDefault="0029115E" w:rsidP="006D7030">
            <w:pPr>
              <w:pStyle w:val="braytabletext"/>
              <w:jc w:val="right"/>
              <w:rPr>
                <w:szCs w:val="16"/>
              </w:rPr>
            </w:pPr>
            <w:r w:rsidRPr="00911315">
              <w:rPr>
                <w:szCs w:val="16"/>
              </w:rPr>
              <w:t>6.2</w:t>
            </w:r>
          </w:p>
        </w:tc>
        <w:tc>
          <w:tcPr>
            <w:tcW w:w="152" w:type="pct"/>
            <w:tcBorders>
              <w:top w:val="nil"/>
              <w:left w:val="nil"/>
              <w:bottom w:val="nil"/>
              <w:right w:val="nil"/>
            </w:tcBorders>
          </w:tcPr>
          <w:p w:rsidR="0029115E" w:rsidRPr="00911315" w:rsidRDefault="0029115E" w:rsidP="006D7030">
            <w:pPr>
              <w:pStyle w:val="braytabletext"/>
              <w:jc w:val="right"/>
              <w:rPr>
                <w:szCs w:val="16"/>
              </w:rPr>
            </w:pPr>
          </w:p>
        </w:tc>
        <w:tc>
          <w:tcPr>
            <w:tcW w:w="495" w:type="pct"/>
            <w:tcBorders>
              <w:top w:val="nil"/>
              <w:left w:val="nil"/>
              <w:bottom w:val="nil"/>
              <w:right w:val="nil"/>
            </w:tcBorders>
          </w:tcPr>
          <w:p w:rsidR="0029115E" w:rsidRPr="00911315" w:rsidRDefault="0029115E" w:rsidP="006D7030">
            <w:pPr>
              <w:pStyle w:val="braytabletext"/>
              <w:jc w:val="right"/>
              <w:rPr>
                <w:szCs w:val="16"/>
              </w:rPr>
            </w:pPr>
            <w:r w:rsidRPr="00911315">
              <w:rPr>
                <w:szCs w:val="16"/>
              </w:rPr>
              <w:t>1.0</w:t>
            </w:r>
          </w:p>
        </w:tc>
        <w:tc>
          <w:tcPr>
            <w:tcW w:w="455" w:type="pct"/>
            <w:tcBorders>
              <w:top w:val="nil"/>
              <w:left w:val="nil"/>
              <w:bottom w:val="nil"/>
              <w:right w:val="nil"/>
            </w:tcBorders>
          </w:tcPr>
          <w:p w:rsidR="0029115E" w:rsidRPr="00911315" w:rsidRDefault="0029115E" w:rsidP="006D7030">
            <w:pPr>
              <w:pStyle w:val="braytabletext"/>
              <w:jc w:val="right"/>
              <w:rPr>
                <w:szCs w:val="16"/>
              </w:rPr>
            </w:pPr>
            <w:r w:rsidRPr="00911315">
              <w:rPr>
                <w:szCs w:val="16"/>
              </w:rPr>
              <w:t>12.3</w:t>
            </w:r>
          </w:p>
        </w:tc>
        <w:tc>
          <w:tcPr>
            <w:tcW w:w="182" w:type="pct"/>
            <w:tcBorders>
              <w:top w:val="nil"/>
              <w:left w:val="nil"/>
              <w:bottom w:val="nil"/>
              <w:right w:val="nil"/>
            </w:tcBorders>
          </w:tcPr>
          <w:p w:rsidR="0029115E" w:rsidRPr="00911315" w:rsidRDefault="0029115E" w:rsidP="006D7030">
            <w:pPr>
              <w:pStyle w:val="braytabletext"/>
              <w:jc w:val="right"/>
              <w:rPr>
                <w:szCs w:val="16"/>
              </w:rPr>
            </w:pPr>
          </w:p>
        </w:tc>
        <w:tc>
          <w:tcPr>
            <w:tcW w:w="530" w:type="pct"/>
            <w:tcBorders>
              <w:top w:val="nil"/>
              <w:left w:val="nil"/>
              <w:bottom w:val="nil"/>
              <w:right w:val="nil"/>
            </w:tcBorders>
          </w:tcPr>
          <w:p w:rsidR="0029115E" w:rsidRPr="00911315" w:rsidRDefault="0029115E" w:rsidP="006D7030">
            <w:pPr>
              <w:pStyle w:val="braytabletext"/>
              <w:jc w:val="right"/>
              <w:rPr>
                <w:szCs w:val="16"/>
              </w:rPr>
            </w:pPr>
            <w:r w:rsidRPr="00911315">
              <w:rPr>
                <w:szCs w:val="16"/>
              </w:rPr>
              <w:t>5.3</w:t>
            </w:r>
          </w:p>
        </w:tc>
        <w:tc>
          <w:tcPr>
            <w:tcW w:w="532" w:type="pct"/>
            <w:tcBorders>
              <w:top w:val="nil"/>
              <w:left w:val="nil"/>
              <w:bottom w:val="nil"/>
              <w:right w:val="nil"/>
            </w:tcBorders>
          </w:tcPr>
          <w:p w:rsidR="0029115E" w:rsidRPr="00911315" w:rsidRDefault="0029115E" w:rsidP="006D7030">
            <w:pPr>
              <w:pStyle w:val="braytabletext"/>
              <w:jc w:val="right"/>
              <w:rPr>
                <w:szCs w:val="16"/>
              </w:rPr>
            </w:pPr>
            <w:r w:rsidRPr="00911315">
              <w:rPr>
                <w:szCs w:val="16"/>
              </w:rPr>
              <w:t>21.1</w:t>
            </w:r>
          </w:p>
        </w:tc>
        <w:tc>
          <w:tcPr>
            <w:tcW w:w="530" w:type="pct"/>
            <w:tcBorders>
              <w:top w:val="nil"/>
              <w:left w:val="nil"/>
              <w:bottom w:val="nil"/>
              <w:right w:val="nil"/>
            </w:tcBorders>
          </w:tcPr>
          <w:p w:rsidR="0029115E" w:rsidRPr="00911315" w:rsidRDefault="0029115E" w:rsidP="006D7030">
            <w:pPr>
              <w:pStyle w:val="braytabletext"/>
              <w:jc w:val="right"/>
              <w:rPr>
                <w:szCs w:val="16"/>
              </w:rPr>
            </w:pPr>
            <w:r w:rsidRPr="00911315">
              <w:rPr>
                <w:szCs w:val="16"/>
              </w:rPr>
              <w:t>7.8</w:t>
            </w:r>
          </w:p>
        </w:tc>
      </w:tr>
      <w:tr w:rsidR="0029115E" w:rsidRPr="00911315" w:rsidTr="006D7030">
        <w:trPr>
          <w:trHeight w:val="290"/>
          <w:jc w:val="right"/>
        </w:trPr>
        <w:tc>
          <w:tcPr>
            <w:tcW w:w="1224" w:type="pct"/>
            <w:tcBorders>
              <w:top w:val="nil"/>
              <w:left w:val="nil"/>
              <w:bottom w:val="nil"/>
              <w:right w:val="nil"/>
            </w:tcBorders>
          </w:tcPr>
          <w:p w:rsidR="0029115E" w:rsidRPr="00911315" w:rsidRDefault="0029115E" w:rsidP="0029115E">
            <w:pPr>
              <w:pStyle w:val="braytabletext"/>
              <w:rPr>
                <w:szCs w:val="16"/>
              </w:rPr>
            </w:pPr>
            <w:r w:rsidRPr="00911315">
              <w:rPr>
                <w:szCs w:val="16"/>
              </w:rPr>
              <w:t>On income support in the NT</w:t>
            </w:r>
          </w:p>
        </w:tc>
        <w:tc>
          <w:tcPr>
            <w:tcW w:w="455" w:type="pct"/>
            <w:tcBorders>
              <w:top w:val="nil"/>
              <w:left w:val="nil"/>
              <w:bottom w:val="nil"/>
              <w:right w:val="nil"/>
            </w:tcBorders>
          </w:tcPr>
          <w:p w:rsidR="0029115E" w:rsidRPr="00911315" w:rsidRDefault="0029115E" w:rsidP="006D7030">
            <w:pPr>
              <w:pStyle w:val="braytabletext"/>
              <w:jc w:val="right"/>
              <w:rPr>
                <w:szCs w:val="16"/>
              </w:rPr>
            </w:pPr>
            <w:r w:rsidRPr="00911315">
              <w:rPr>
                <w:szCs w:val="16"/>
              </w:rPr>
              <w:t>62.1</w:t>
            </w:r>
          </w:p>
        </w:tc>
        <w:tc>
          <w:tcPr>
            <w:tcW w:w="445" w:type="pct"/>
            <w:tcBorders>
              <w:top w:val="nil"/>
              <w:left w:val="nil"/>
              <w:bottom w:val="nil"/>
              <w:right w:val="nil"/>
            </w:tcBorders>
          </w:tcPr>
          <w:p w:rsidR="0029115E" w:rsidRPr="00911315" w:rsidRDefault="0029115E" w:rsidP="006D7030">
            <w:pPr>
              <w:pStyle w:val="braytabletext"/>
              <w:jc w:val="right"/>
              <w:rPr>
                <w:szCs w:val="16"/>
              </w:rPr>
            </w:pPr>
            <w:r w:rsidRPr="00911315">
              <w:rPr>
                <w:szCs w:val="16"/>
              </w:rPr>
              <w:t>26.4</w:t>
            </w:r>
          </w:p>
        </w:tc>
        <w:tc>
          <w:tcPr>
            <w:tcW w:w="152" w:type="pct"/>
            <w:tcBorders>
              <w:top w:val="nil"/>
              <w:left w:val="nil"/>
              <w:bottom w:val="nil"/>
              <w:right w:val="nil"/>
            </w:tcBorders>
          </w:tcPr>
          <w:p w:rsidR="0029115E" w:rsidRPr="00911315" w:rsidRDefault="0029115E" w:rsidP="006D7030">
            <w:pPr>
              <w:pStyle w:val="braytabletext"/>
              <w:jc w:val="right"/>
              <w:rPr>
                <w:szCs w:val="16"/>
              </w:rPr>
            </w:pPr>
          </w:p>
        </w:tc>
        <w:tc>
          <w:tcPr>
            <w:tcW w:w="495" w:type="pct"/>
            <w:tcBorders>
              <w:top w:val="nil"/>
              <w:left w:val="nil"/>
              <w:bottom w:val="nil"/>
              <w:right w:val="nil"/>
            </w:tcBorders>
          </w:tcPr>
          <w:p w:rsidR="0029115E" w:rsidRPr="00911315" w:rsidRDefault="0029115E" w:rsidP="006D7030">
            <w:pPr>
              <w:pStyle w:val="braytabletext"/>
              <w:jc w:val="right"/>
              <w:rPr>
                <w:szCs w:val="16"/>
              </w:rPr>
            </w:pPr>
            <w:r w:rsidRPr="00911315">
              <w:rPr>
                <w:szCs w:val="16"/>
              </w:rPr>
              <w:t>45.9</w:t>
            </w:r>
          </w:p>
        </w:tc>
        <w:tc>
          <w:tcPr>
            <w:tcW w:w="455" w:type="pct"/>
            <w:tcBorders>
              <w:top w:val="nil"/>
              <w:left w:val="nil"/>
              <w:bottom w:val="nil"/>
              <w:right w:val="nil"/>
            </w:tcBorders>
          </w:tcPr>
          <w:p w:rsidR="0029115E" w:rsidRPr="00911315" w:rsidRDefault="0029115E" w:rsidP="006D7030">
            <w:pPr>
              <w:pStyle w:val="braytabletext"/>
              <w:jc w:val="right"/>
              <w:rPr>
                <w:szCs w:val="16"/>
              </w:rPr>
            </w:pPr>
            <w:r w:rsidRPr="00911315">
              <w:rPr>
                <w:szCs w:val="16"/>
              </w:rPr>
              <w:t>15.6</w:t>
            </w:r>
          </w:p>
        </w:tc>
        <w:tc>
          <w:tcPr>
            <w:tcW w:w="182" w:type="pct"/>
            <w:tcBorders>
              <w:top w:val="nil"/>
              <w:left w:val="nil"/>
              <w:bottom w:val="nil"/>
              <w:right w:val="nil"/>
            </w:tcBorders>
          </w:tcPr>
          <w:p w:rsidR="0029115E" w:rsidRPr="00911315" w:rsidRDefault="0029115E" w:rsidP="006D7030">
            <w:pPr>
              <w:pStyle w:val="braytabletext"/>
              <w:jc w:val="right"/>
              <w:rPr>
                <w:szCs w:val="16"/>
              </w:rPr>
            </w:pPr>
          </w:p>
        </w:tc>
        <w:tc>
          <w:tcPr>
            <w:tcW w:w="530" w:type="pct"/>
            <w:tcBorders>
              <w:top w:val="nil"/>
              <w:left w:val="nil"/>
              <w:bottom w:val="nil"/>
              <w:right w:val="nil"/>
            </w:tcBorders>
          </w:tcPr>
          <w:p w:rsidR="0029115E" w:rsidRPr="00911315" w:rsidRDefault="0029115E" w:rsidP="006D7030">
            <w:pPr>
              <w:pStyle w:val="braytabletext"/>
              <w:jc w:val="right"/>
              <w:rPr>
                <w:szCs w:val="16"/>
              </w:rPr>
            </w:pPr>
            <w:r w:rsidRPr="00911315">
              <w:rPr>
                <w:szCs w:val="16"/>
              </w:rPr>
              <w:t>63.2</w:t>
            </w:r>
          </w:p>
        </w:tc>
        <w:tc>
          <w:tcPr>
            <w:tcW w:w="532" w:type="pct"/>
            <w:tcBorders>
              <w:top w:val="nil"/>
              <w:left w:val="nil"/>
              <w:bottom w:val="nil"/>
              <w:right w:val="nil"/>
            </w:tcBorders>
          </w:tcPr>
          <w:p w:rsidR="0029115E" w:rsidRPr="00911315" w:rsidRDefault="0029115E" w:rsidP="006D7030">
            <w:pPr>
              <w:pStyle w:val="braytabletext"/>
              <w:jc w:val="right"/>
              <w:rPr>
                <w:szCs w:val="16"/>
              </w:rPr>
            </w:pPr>
            <w:r w:rsidRPr="00911315">
              <w:rPr>
                <w:szCs w:val="16"/>
              </w:rPr>
              <w:t>12.8</w:t>
            </w:r>
          </w:p>
        </w:tc>
        <w:tc>
          <w:tcPr>
            <w:tcW w:w="530" w:type="pct"/>
            <w:tcBorders>
              <w:top w:val="nil"/>
              <w:left w:val="nil"/>
              <w:bottom w:val="nil"/>
              <w:right w:val="nil"/>
            </w:tcBorders>
          </w:tcPr>
          <w:p w:rsidR="0029115E" w:rsidRPr="00911315" w:rsidRDefault="0029115E" w:rsidP="006D7030">
            <w:pPr>
              <w:pStyle w:val="braytabletext"/>
              <w:jc w:val="right"/>
              <w:rPr>
                <w:szCs w:val="16"/>
              </w:rPr>
            </w:pPr>
            <w:r w:rsidRPr="00911315">
              <w:rPr>
                <w:szCs w:val="16"/>
              </w:rPr>
              <w:t>31.0</w:t>
            </w:r>
          </w:p>
        </w:tc>
      </w:tr>
      <w:tr w:rsidR="0029115E" w:rsidRPr="00911315" w:rsidTr="006D7030">
        <w:trPr>
          <w:trHeight w:val="290"/>
          <w:jc w:val="right"/>
        </w:trPr>
        <w:tc>
          <w:tcPr>
            <w:tcW w:w="1224" w:type="pct"/>
            <w:tcBorders>
              <w:top w:val="nil"/>
              <w:left w:val="nil"/>
              <w:bottom w:val="nil"/>
              <w:right w:val="nil"/>
            </w:tcBorders>
          </w:tcPr>
          <w:p w:rsidR="0029115E" w:rsidRPr="00911315" w:rsidRDefault="0029115E" w:rsidP="0029115E">
            <w:pPr>
              <w:pStyle w:val="braytabletext"/>
              <w:rPr>
                <w:szCs w:val="16"/>
              </w:rPr>
            </w:pPr>
            <w:r w:rsidRPr="00911315">
              <w:rPr>
                <w:szCs w:val="16"/>
              </w:rPr>
              <w:t>On income support not in the NT</w:t>
            </w:r>
          </w:p>
        </w:tc>
        <w:tc>
          <w:tcPr>
            <w:tcW w:w="455" w:type="pct"/>
            <w:tcBorders>
              <w:top w:val="nil"/>
              <w:left w:val="nil"/>
              <w:bottom w:val="nil"/>
              <w:right w:val="nil"/>
            </w:tcBorders>
          </w:tcPr>
          <w:p w:rsidR="0029115E" w:rsidRPr="00911315" w:rsidRDefault="0029115E" w:rsidP="006D7030">
            <w:pPr>
              <w:pStyle w:val="braytabletext"/>
              <w:jc w:val="right"/>
              <w:rPr>
                <w:szCs w:val="16"/>
              </w:rPr>
            </w:pPr>
            <w:r w:rsidRPr="00911315">
              <w:rPr>
                <w:szCs w:val="16"/>
              </w:rPr>
              <w:t>6.2</w:t>
            </w:r>
          </w:p>
        </w:tc>
        <w:tc>
          <w:tcPr>
            <w:tcW w:w="445" w:type="pct"/>
            <w:tcBorders>
              <w:top w:val="nil"/>
              <w:left w:val="nil"/>
              <w:bottom w:val="nil"/>
              <w:right w:val="nil"/>
            </w:tcBorders>
          </w:tcPr>
          <w:p w:rsidR="0029115E" w:rsidRPr="00911315" w:rsidRDefault="0029115E" w:rsidP="006D7030">
            <w:pPr>
              <w:pStyle w:val="braytabletext"/>
              <w:jc w:val="right"/>
              <w:rPr>
                <w:szCs w:val="16"/>
              </w:rPr>
            </w:pPr>
            <w:r w:rsidRPr="00911315">
              <w:rPr>
                <w:szCs w:val="16"/>
              </w:rPr>
              <w:t>7.9</w:t>
            </w:r>
          </w:p>
        </w:tc>
        <w:tc>
          <w:tcPr>
            <w:tcW w:w="152" w:type="pct"/>
            <w:tcBorders>
              <w:top w:val="nil"/>
              <w:left w:val="nil"/>
              <w:bottom w:val="nil"/>
              <w:right w:val="nil"/>
            </w:tcBorders>
          </w:tcPr>
          <w:p w:rsidR="0029115E" w:rsidRPr="00911315" w:rsidRDefault="0029115E" w:rsidP="006D7030">
            <w:pPr>
              <w:pStyle w:val="braytabletext"/>
              <w:jc w:val="right"/>
              <w:rPr>
                <w:szCs w:val="16"/>
              </w:rPr>
            </w:pPr>
          </w:p>
        </w:tc>
        <w:tc>
          <w:tcPr>
            <w:tcW w:w="495" w:type="pct"/>
            <w:tcBorders>
              <w:top w:val="nil"/>
              <w:left w:val="nil"/>
              <w:bottom w:val="nil"/>
              <w:right w:val="nil"/>
            </w:tcBorders>
          </w:tcPr>
          <w:p w:rsidR="0029115E" w:rsidRPr="00911315" w:rsidRDefault="0029115E" w:rsidP="006D7030">
            <w:pPr>
              <w:pStyle w:val="braytabletext"/>
              <w:jc w:val="right"/>
              <w:rPr>
                <w:szCs w:val="16"/>
              </w:rPr>
            </w:pPr>
            <w:r w:rsidRPr="00911315">
              <w:rPr>
                <w:szCs w:val="16"/>
              </w:rPr>
              <w:t>11.1</w:t>
            </w:r>
          </w:p>
        </w:tc>
        <w:tc>
          <w:tcPr>
            <w:tcW w:w="455" w:type="pct"/>
            <w:tcBorders>
              <w:top w:val="nil"/>
              <w:left w:val="nil"/>
              <w:bottom w:val="nil"/>
              <w:right w:val="nil"/>
            </w:tcBorders>
          </w:tcPr>
          <w:p w:rsidR="0029115E" w:rsidRPr="00911315" w:rsidRDefault="0029115E" w:rsidP="006D7030">
            <w:pPr>
              <w:pStyle w:val="braytabletext"/>
              <w:jc w:val="right"/>
              <w:rPr>
                <w:szCs w:val="16"/>
              </w:rPr>
            </w:pPr>
            <w:r w:rsidRPr="00911315">
              <w:rPr>
                <w:szCs w:val="16"/>
              </w:rPr>
              <w:t>17.4</w:t>
            </w:r>
          </w:p>
        </w:tc>
        <w:tc>
          <w:tcPr>
            <w:tcW w:w="182" w:type="pct"/>
            <w:tcBorders>
              <w:top w:val="nil"/>
              <w:left w:val="nil"/>
              <w:bottom w:val="nil"/>
              <w:right w:val="nil"/>
            </w:tcBorders>
          </w:tcPr>
          <w:p w:rsidR="0029115E" w:rsidRPr="00911315" w:rsidRDefault="0029115E" w:rsidP="006D7030">
            <w:pPr>
              <w:pStyle w:val="braytabletext"/>
              <w:jc w:val="right"/>
              <w:rPr>
                <w:szCs w:val="16"/>
              </w:rPr>
            </w:pPr>
          </w:p>
        </w:tc>
        <w:tc>
          <w:tcPr>
            <w:tcW w:w="530" w:type="pct"/>
            <w:tcBorders>
              <w:top w:val="nil"/>
              <w:left w:val="nil"/>
              <w:bottom w:val="nil"/>
              <w:right w:val="nil"/>
            </w:tcBorders>
          </w:tcPr>
          <w:p w:rsidR="0029115E" w:rsidRPr="00911315" w:rsidRDefault="0029115E" w:rsidP="006D7030">
            <w:pPr>
              <w:pStyle w:val="braytabletext"/>
              <w:jc w:val="right"/>
              <w:rPr>
                <w:szCs w:val="16"/>
              </w:rPr>
            </w:pPr>
            <w:r w:rsidRPr="00911315">
              <w:rPr>
                <w:szCs w:val="16"/>
              </w:rPr>
              <w:t>15.8</w:t>
            </w:r>
          </w:p>
        </w:tc>
        <w:tc>
          <w:tcPr>
            <w:tcW w:w="532" w:type="pct"/>
            <w:tcBorders>
              <w:top w:val="nil"/>
              <w:left w:val="nil"/>
              <w:bottom w:val="nil"/>
              <w:right w:val="nil"/>
            </w:tcBorders>
          </w:tcPr>
          <w:p w:rsidR="0029115E" w:rsidRPr="00911315" w:rsidRDefault="0029115E" w:rsidP="006D7030">
            <w:pPr>
              <w:pStyle w:val="braytabletext"/>
              <w:jc w:val="right"/>
              <w:rPr>
                <w:szCs w:val="16"/>
              </w:rPr>
            </w:pPr>
            <w:r w:rsidRPr="00911315">
              <w:rPr>
                <w:szCs w:val="16"/>
              </w:rPr>
              <w:t>18.4</w:t>
            </w:r>
          </w:p>
        </w:tc>
        <w:tc>
          <w:tcPr>
            <w:tcW w:w="530" w:type="pct"/>
            <w:tcBorders>
              <w:top w:val="nil"/>
              <w:left w:val="nil"/>
              <w:bottom w:val="nil"/>
              <w:right w:val="nil"/>
            </w:tcBorders>
          </w:tcPr>
          <w:p w:rsidR="0029115E" w:rsidRPr="00911315" w:rsidRDefault="0029115E" w:rsidP="006D7030">
            <w:pPr>
              <w:pStyle w:val="braytabletext"/>
              <w:jc w:val="right"/>
              <w:rPr>
                <w:szCs w:val="16"/>
              </w:rPr>
            </w:pPr>
            <w:r w:rsidRPr="00911315">
              <w:rPr>
                <w:szCs w:val="16"/>
              </w:rPr>
              <w:t>11.2</w:t>
            </w:r>
          </w:p>
        </w:tc>
      </w:tr>
      <w:tr w:rsidR="0029115E" w:rsidRPr="00911315" w:rsidTr="006D7030">
        <w:trPr>
          <w:trHeight w:val="290"/>
          <w:jc w:val="right"/>
        </w:trPr>
        <w:tc>
          <w:tcPr>
            <w:tcW w:w="1224" w:type="pct"/>
            <w:tcBorders>
              <w:top w:val="nil"/>
              <w:left w:val="nil"/>
              <w:bottom w:val="nil"/>
              <w:right w:val="nil"/>
            </w:tcBorders>
          </w:tcPr>
          <w:p w:rsidR="0029115E" w:rsidRPr="00911315" w:rsidRDefault="0029115E" w:rsidP="0029115E">
            <w:pPr>
              <w:pStyle w:val="braytabletext"/>
              <w:rPr>
                <w:szCs w:val="16"/>
              </w:rPr>
            </w:pPr>
            <w:r w:rsidRPr="00911315">
              <w:rPr>
                <w:szCs w:val="16"/>
              </w:rPr>
              <w:t>Not on income support</w:t>
            </w:r>
          </w:p>
        </w:tc>
        <w:tc>
          <w:tcPr>
            <w:tcW w:w="455" w:type="pct"/>
            <w:tcBorders>
              <w:top w:val="nil"/>
              <w:left w:val="nil"/>
              <w:bottom w:val="nil"/>
              <w:right w:val="nil"/>
            </w:tcBorders>
          </w:tcPr>
          <w:p w:rsidR="0029115E" w:rsidRPr="00911315" w:rsidRDefault="0029115E" w:rsidP="006D7030">
            <w:pPr>
              <w:pStyle w:val="braytabletext"/>
              <w:jc w:val="right"/>
              <w:rPr>
                <w:szCs w:val="16"/>
              </w:rPr>
            </w:pPr>
            <w:r w:rsidRPr="00911315">
              <w:rPr>
                <w:szCs w:val="16"/>
              </w:rPr>
              <w:t>31.6</w:t>
            </w:r>
          </w:p>
        </w:tc>
        <w:tc>
          <w:tcPr>
            <w:tcW w:w="445" w:type="pct"/>
            <w:tcBorders>
              <w:top w:val="nil"/>
              <w:left w:val="nil"/>
              <w:bottom w:val="nil"/>
              <w:right w:val="nil"/>
            </w:tcBorders>
          </w:tcPr>
          <w:p w:rsidR="0029115E" w:rsidRPr="00911315" w:rsidRDefault="0029115E" w:rsidP="006D7030">
            <w:pPr>
              <w:pStyle w:val="braytabletext"/>
              <w:jc w:val="right"/>
              <w:rPr>
                <w:szCs w:val="16"/>
              </w:rPr>
            </w:pPr>
            <w:r w:rsidRPr="00911315">
              <w:rPr>
                <w:szCs w:val="16"/>
              </w:rPr>
              <w:t>59.5</w:t>
            </w:r>
          </w:p>
        </w:tc>
        <w:tc>
          <w:tcPr>
            <w:tcW w:w="152" w:type="pct"/>
            <w:tcBorders>
              <w:top w:val="nil"/>
              <w:left w:val="nil"/>
              <w:bottom w:val="nil"/>
              <w:right w:val="nil"/>
            </w:tcBorders>
          </w:tcPr>
          <w:p w:rsidR="0029115E" w:rsidRPr="00911315" w:rsidRDefault="0029115E" w:rsidP="006D7030">
            <w:pPr>
              <w:pStyle w:val="braytabletext"/>
              <w:jc w:val="right"/>
              <w:rPr>
                <w:szCs w:val="16"/>
              </w:rPr>
            </w:pPr>
          </w:p>
        </w:tc>
        <w:tc>
          <w:tcPr>
            <w:tcW w:w="495" w:type="pct"/>
            <w:tcBorders>
              <w:top w:val="nil"/>
              <w:left w:val="nil"/>
              <w:bottom w:val="nil"/>
              <w:right w:val="nil"/>
            </w:tcBorders>
          </w:tcPr>
          <w:p w:rsidR="0029115E" w:rsidRPr="00911315" w:rsidRDefault="0029115E" w:rsidP="006D7030">
            <w:pPr>
              <w:pStyle w:val="braytabletext"/>
              <w:jc w:val="right"/>
              <w:rPr>
                <w:szCs w:val="16"/>
              </w:rPr>
            </w:pPr>
            <w:r w:rsidRPr="00911315">
              <w:rPr>
                <w:szCs w:val="16"/>
              </w:rPr>
              <w:t>42.0</w:t>
            </w:r>
          </w:p>
        </w:tc>
        <w:tc>
          <w:tcPr>
            <w:tcW w:w="455" w:type="pct"/>
            <w:tcBorders>
              <w:top w:val="nil"/>
              <w:left w:val="nil"/>
              <w:bottom w:val="nil"/>
              <w:right w:val="nil"/>
            </w:tcBorders>
          </w:tcPr>
          <w:p w:rsidR="0029115E" w:rsidRPr="00911315" w:rsidRDefault="0029115E" w:rsidP="006D7030">
            <w:pPr>
              <w:pStyle w:val="braytabletext"/>
              <w:jc w:val="right"/>
              <w:rPr>
                <w:szCs w:val="16"/>
              </w:rPr>
            </w:pPr>
            <w:r w:rsidRPr="00911315">
              <w:rPr>
                <w:szCs w:val="16"/>
              </w:rPr>
              <w:t>54.7</w:t>
            </w:r>
          </w:p>
        </w:tc>
        <w:tc>
          <w:tcPr>
            <w:tcW w:w="182" w:type="pct"/>
            <w:tcBorders>
              <w:top w:val="nil"/>
              <w:left w:val="nil"/>
              <w:bottom w:val="nil"/>
              <w:right w:val="nil"/>
            </w:tcBorders>
          </w:tcPr>
          <w:p w:rsidR="0029115E" w:rsidRPr="00911315" w:rsidRDefault="0029115E" w:rsidP="006D7030">
            <w:pPr>
              <w:pStyle w:val="braytabletext"/>
              <w:jc w:val="right"/>
              <w:rPr>
                <w:szCs w:val="16"/>
              </w:rPr>
            </w:pPr>
          </w:p>
        </w:tc>
        <w:tc>
          <w:tcPr>
            <w:tcW w:w="530" w:type="pct"/>
            <w:tcBorders>
              <w:top w:val="nil"/>
              <w:left w:val="nil"/>
              <w:bottom w:val="nil"/>
              <w:right w:val="nil"/>
            </w:tcBorders>
          </w:tcPr>
          <w:p w:rsidR="0029115E" w:rsidRPr="00911315" w:rsidRDefault="0029115E" w:rsidP="006D7030">
            <w:pPr>
              <w:pStyle w:val="braytabletext"/>
              <w:jc w:val="right"/>
              <w:rPr>
                <w:szCs w:val="16"/>
              </w:rPr>
            </w:pPr>
            <w:r w:rsidRPr="00911315">
              <w:rPr>
                <w:szCs w:val="16"/>
              </w:rPr>
              <w:t>15.8</w:t>
            </w:r>
          </w:p>
        </w:tc>
        <w:tc>
          <w:tcPr>
            <w:tcW w:w="532" w:type="pct"/>
            <w:tcBorders>
              <w:top w:val="nil"/>
              <w:left w:val="nil"/>
              <w:bottom w:val="nil"/>
              <w:right w:val="nil"/>
            </w:tcBorders>
          </w:tcPr>
          <w:p w:rsidR="0029115E" w:rsidRPr="00911315" w:rsidRDefault="0029115E" w:rsidP="006D7030">
            <w:pPr>
              <w:pStyle w:val="braytabletext"/>
              <w:jc w:val="right"/>
              <w:rPr>
                <w:szCs w:val="16"/>
              </w:rPr>
            </w:pPr>
            <w:r w:rsidRPr="00911315">
              <w:rPr>
                <w:szCs w:val="16"/>
              </w:rPr>
              <w:t>47.7</w:t>
            </w:r>
          </w:p>
        </w:tc>
        <w:tc>
          <w:tcPr>
            <w:tcW w:w="530" w:type="pct"/>
            <w:tcBorders>
              <w:top w:val="nil"/>
              <w:left w:val="nil"/>
              <w:bottom w:val="nil"/>
              <w:right w:val="nil"/>
            </w:tcBorders>
          </w:tcPr>
          <w:p w:rsidR="0029115E" w:rsidRPr="00911315" w:rsidRDefault="0029115E" w:rsidP="006D7030">
            <w:pPr>
              <w:pStyle w:val="braytabletext"/>
              <w:jc w:val="right"/>
              <w:rPr>
                <w:szCs w:val="16"/>
              </w:rPr>
            </w:pPr>
            <w:r w:rsidRPr="00911315">
              <w:rPr>
                <w:szCs w:val="16"/>
              </w:rPr>
              <w:t>50.0</w:t>
            </w:r>
          </w:p>
        </w:tc>
      </w:tr>
      <w:tr w:rsidR="0029115E" w:rsidRPr="00911315" w:rsidTr="006D7030">
        <w:trPr>
          <w:trHeight w:val="290"/>
          <w:jc w:val="right"/>
        </w:trPr>
        <w:tc>
          <w:tcPr>
            <w:tcW w:w="1224" w:type="pct"/>
            <w:tcBorders>
              <w:top w:val="nil"/>
              <w:left w:val="nil"/>
              <w:bottom w:val="single" w:sz="4" w:space="0" w:color="auto"/>
              <w:right w:val="nil"/>
            </w:tcBorders>
          </w:tcPr>
          <w:p w:rsidR="0029115E" w:rsidRPr="00911315" w:rsidRDefault="0029115E" w:rsidP="0029115E">
            <w:pPr>
              <w:pStyle w:val="braytabletext"/>
              <w:rPr>
                <w:szCs w:val="16"/>
              </w:rPr>
            </w:pPr>
          </w:p>
        </w:tc>
        <w:tc>
          <w:tcPr>
            <w:tcW w:w="455" w:type="pct"/>
            <w:tcBorders>
              <w:top w:val="nil"/>
              <w:left w:val="nil"/>
              <w:bottom w:val="single" w:sz="4" w:space="0" w:color="auto"/>
              <w:right w:val="nil"/>
            </w:tcBorders>
          </w:tcPr>
          <w:p w:rsidR="0029115E" w:rsidRPr="00911315" w:rsidRDefault="0029115E" w:rsidP="006D7030">
            <w:pPr>
              <w:pStyle w:val="braytabletext"/>
              <w:jc w:val="right"/>
              <w:rPr>
                <w:szCs w:val="16"/>
              </w:rPr>
            </w:pPr>
            <w:r w:rsidRPr="00911315">
              <w:rPr>
                <w:szCs w:val="16"/>
              </w:rPr>
              <w:t>100.0</w:t>
            </w:r>
          </w:p>
        </w:tc>
        <w:tc>
          <w:tcPr>
            <w:tcW w:w="445" w:type="pct"/>
            <w:tcBorders>
              <w:top w:val="nil"/>
              <w:left w:val="nil"/>
              <w:bottom w:val="single" w:sz="4" w:space="0" w:color="auto"/>
              <w:right w:val="nil"/>
            </w:tcBorders>
          </w:tcPr>
          <w:p w:rsidR="0029115E" w:rsidRPr="00911315" w:rsidRDefault="0029115E" w:rsidP="006D7030">
            <w:pPr>
              <w:pStyle w:val="braytabletext"/>
              <w:jc w:val="right"/>
              <w:rPr>
                <w:szCs w:val="16"/>
              </w:rPr>
            </w:pPr>
            <w:r w:rsidRPr="00911315">
              <w:rPr>
                <w:szCs w:val="16"/>
              </w:rPr>
              <w:t>100.0</w:t>
            </w:r>
          </w:p>
        </w:tc>
        <w:tc>
          <w:tcPr>
            <w:tcW w:w="152" w:type="pct"/>
            <w:tcBorders>
              <w:top w:val="nil"/>
              <w:left w:val="nil"/>
              <w:bottom w:val="single" w:sz="4" w:space="0" w:color="auto"/>
              <w:right w:val="nil"/>
            </w:tcBorders>
          </w:tcPr>
          <w:p w:rsidR="0029115E" w:rsidRPr="00911315" w:rsidRDefault="0029115E" w:rsidP="006D7030">
            <w:pPr>
              <w:pStyle w:val="braytabletext"/>
              <w:jc w:val="right"/>
              <w:rPr>
                <w:szCs w:val="16"/>
              </w:rPr>
            </w:pPr>
          </w:p>
        </w:tc>
        <w:tc>
          <w:tcPr>
            <w:tcW w:w="495" w:type="pct"/>
            <w:tcBorders>
              <w:top w:val="nil"/>
              <w:left w:val="nil"/>
              <w:bottom w:val="single" w:sz="4" w:space="0" w:color="auto"/>
              <w:right w:val="nil"/>
            </w:tcBorders>
          </w:tcPr>
          <w:p w:rsidR="0029115E" w:rsidRPr="00911315" w:rsidRDefault="0029115E" w:rsidP="006D7030">
            <w:pPr>
              <w:pStyle w:val="braytabletext"/>
              <w:jc w:val="right"/>
              <w:rPr>
                <w:szCs w:val="16"/>
              </w:rPr>
            </w:pPr>
            <w:r w:rsidRPr="00911315">
              <w:rPr>
                <w:szCs w:val="16"/>
              </w:rPr>
              <w:t>100.0</w:t>
            </w:r>
          </w:p>
        </w:tc>
        <w:tc>
          <w:tcPr>
            <w:tcW w:w="455" w:type="pct"/>
            <w:tcBorders>
              <w:top w:val="nil"/>
              <w:left w:val="nil"/>
              <w:bottom w:val="single" w:sz="4" w:space="0" w:color="auto"/>
              <w:right w:val="nil"/>
            </w:tcBorders>
          </w:tcPr>
          <w:p w:rsidR="0029115E" w:rsidRPr="00911315" w:rsidRDefault="0029115E" w:rsidP="006D7030">
            <w:pPr>
              <w:pStyle w:val="braytabletext"/>
              <w:jc w:val="right"/>
              <w:rPr>
                <w:szCs w:val="16"/>
              </w:rPr>
            </w:pPr>
            <w:r w:rsidRPr="00911315">
              <w:rPr>
                <w:szCs w:val="16"/>
              </w:rPr>
              <w:t>100.0</w:t>
            </w:r>
          </w:p>
        </w:tc>
        <w:tc>
          <w:tcPr>
            <w:tcW w:w="182" w:type="pct"/>
            <w:tcBorders>
              <w:top w:val="nil"/>
              <w:left w:val="nil"/>
              <w:bottom w:val="single" w:sz="4" w:space="0" w:color="auto"/>
              <w:right w:val="nil"/>
            </w:tcBorders>
          </w:tcPr>
          <w:p w:rsidR="0029115E" w:rsidRPr="00911315" w:rsidRDefault="0029115E" w:rsidP="006D7030">
            <w:pPr>
              <w:pStyle w:val="braytabletext"/>
              <w:jc w:val="right"/>
              <w:rPr>
                <w:szCs w:val="16"/>
              </w:rPr>
            </w:pPr>
          </w:p>
        </w:tc>
        <w:tc>
          <w:tcPr>
            <w:tcW w:w="530" w:type="pct"/>
            <w:tcBorders>
              <w:top w:val="nil"/>
              <w:left w:val="nil"/>
              <w:bottom w:val="single" w:sz="4" w:space="0" w:color="auto"/>
              <w:right w:val="nil"/>
            </w:tcBorders>
          </w:tcPr>
          <w:p w:rsidR="0029115E" w:rsidRPr="00911315" w:rsidRDefault="0029115E" w:rsidP="006D7030">
            <w:pPr>
              <w:pStyle w:val="braytabletext"/>
              <w:jc w:val="right"/>
              <w:rPr>
                <w:szCs w:val="16"/>
              </w:rPr>
            </w:pPr>
            <w:r w:rsidRPr="00911315">
              <w:rPr>
                <w:szCs w:val="16"/>
              </w:rPr>
              <w:t>100.0</w:t>
            </w:r>
          </w:p>
        </w:tc>
        <w:tc>
          <w:tcPr>
            <w:tcW w:w="532" w:type="pct"/>
            <w:tcBorders>
              <w:top w:val="nil"/>
              <w:left w:val="nil"/>
              <w:bottom w:val="single" w:sz="4" w:space="0" w:color="auto"/>
              <w:right w:val="nil"/>
            </w:tcBorders>
          </w:tcPr>
          <w:p w:rsidR="0029115E" w:rsidRPr="00911315" w:rsidRDefault="0029115E" w:rsidP="006D7030">
            <w:pPr>
              <w:pStyle w:val="braytabletext"/>
              <w:jc w:val="right"/>
              <w:rPr>
                <w:szCs w:val="16"/>
              </w:rPr>
            </w:pPr>
            <w:r w:rsidRPr="00911315">
              <w:rPr>
                <w:szCs w:val="16"/>
              </w:rPr>
              <w:t>100.0</w:t>
            </w:r>
          </w:p>
        </w:tc>
        <w:tc>
          <w:tcPr>
            <w:tcW w:w="530" w:type="pct"/>
            <w:tcBorders>
              <w:top w:val="nil"/>
              <w:left w:val="nil"/>
              <w:bottom w:val="single" w:sz="4" w:space="0" w:color="auto"/>
              <w:right w:val="nil"/>
            </w:tcBorders>
          </w:tcPr>
          <w:p w:rsidR="0029115E" w:rsidRPr="00911315" w:rsidRDefault="0029115E" w:rsidP="006D7030">
            <w:pPr>
              <w:pStyle w:val="braytabletext"/>
              <w:jc w:val="right"/>
              <w:rPr>
                <w:szCs w:val="16"/>
              </w:rPr>
            </w:pPr>
            <w:r w:rsidRPr="00911315">
              <w:rPr>
                <w:szCs w:val="16"/>
              </w:rPr>
              <w:t>100.0</w:t>
            </w:r>
          </w:p>
        </w:tc>
      </w:tr>
      <w:tr w:rsidR="0029115E" w:rsidRPr="00911315" w:rsidTr="008749C8">
        <w:trPr>
          <w:trHeight w:val="290"/>
          <w:jc w:val="right"/>
        </w:trPr>
        <w:tc>
          <w:tcPr>
            <w:tcW w:w="1224" w:type="pct"/>
            <w:tcBorders>
              <w:top w:val="single" w:sz="4" w:space="0" w:color="auto"/>
              <w:left w:val="nil"/>
              <w:bottom w:val="single" w:sz="4" w:space="0" w:color="auto"/>
              <w:right w:val="nil"/>
            </w:tcBorders>
            <w:vAlign w:val="center"/>
          </w:tcPr>
          <w:p w:rsidR="0029115E" w:rsidRPr="00911315" w:rsidRDefault="0029115E" w:rsidP="008749C8">
            <w:pPr>
              <w:pStyle w:val="braytabletext"/>
              <w:rPr>
                <w:szCs w:val="16"/>
              </w:rPr>
            </w:pPr>
            <w:r w:rsidRPr="00911315">
              <w:rPr>
                <w:szCs w:val="16"/>
              </w:rPr>
              <w:t>Total (Persons)</w:t>
            </w:r>
          </w:p>
        </w:tc>
        <w:tc>
          <w:tcPr>
            <w:tcW w:w="455" w:type="pct"/>
            <w:tcBorders>
              <w:top w:val="single" w:sz="4" w:space="0" w:color="auto"/>
              <w:left w:val="nil"/>
              <w:bottom w:val="single" w:sz="4" w:space="0" w:color="auto"/>
              <w:right w:val="nil"/>
            </w:tcBorders>
            <w:vAlign w:val="center"/>
          </w:tcPr>
          <w:p w:rsidR="0029115E" w:rsidRPr="00911315" w:rsidRDefault="0029115E" w:rsidP="008749C8">
            <w:pPr>
              <w:pStyle w:val="braytabletext"/>
              <w:jc w:val="right"/>
              <w:rPr>
                <w:szCs w:val="16"/>
              </w:rPr>
            </w:pPr>
            <w:r w:rsidRPr="00911315">
              <w:rPr>
                <w:szCs w:val="16"/>
              </w:rPr>
              <w:t>920</w:t>
            </w:r>
          </w:p>
        </w:tc>
        <w:tc>
          <w:tcPr>
            <w:tcW w:w="445" w:type="pct"/>
            <w:tcBorders>
              <w:top w:val="single" w:sz="4" w:space="0" w:color="auto"/>
              <w:left w:val="nil"/>
              <w:bottom w:val="single" w:sz="4" w:space="0" w:color="auto"/>
              <w:right w:val="nil"/>
            </w:tcBorders>
            <w:vAlign w:val="center"/>
          </w:tcPr>
          <w:p w:rsidR="0029115E" w:rsidRPr="00911315" w:rsidRDefault="0029115E" w:rsidP="008749C8">
            <w:pPr>
              <w:pStyle w:val="braytabletext"/>
              <w:jc w:val="right"/>
              <w:rPr>
                <w:szCs w:val="16"/>
              </w:rPr>
            </w:pPr>
            <w:r w:rsidRPr="00911315">
              <w:rPr>
                <w:szCs w:val="16"/>
              </w:rPr>
              <w:t>1 656</w:t>
            </w:r>
          </w:p>
        </w:tc>
        <w:tc>
          <w:tcPr>
            <w:tcW w:w="152" w:type="pct"/>
            <w:tcBorders>
              <w:top w:val="single" w:sz="4" w:space="0" w:color="auto"/>
              <w:left w:val="nil"/>
              <w:bottom w:val="single" w:sz="4" w:space="0" w:color="auto"/>
              <w:right w:val="nil"/>
            </w:tcBorders>
            <w:vAlign w:val="center"/>
          </w:tcPr>
          <w:p w:rsidR="0029115E" w:rsidRPr="00911315" w:rsidRDefault="0029115E" w:rsidP="008749C8">
            <w:pPr>
              <w:pStyle w:val="braytabletext"/>
              <w:jc w:val="right"/>
              <w:rPr>
                <w:szCs w:val="16"/>
              </w:rPr>
            </w:pPr>
          </w:p>
        </w:tc>
        <w:tc>
          <w:tcPr>
            <w:tcW w:w="495" w:type="pct"/>
            <w:tcBorders>
              <w:top w:val="single" w:sz="4" w:space="0" w:color="auto"/>
              <w:left w:val="nil"/>
              <w:bottom w:val="single" w:sz="4" w:space="0" w:color="auto"/>
              <w:right w:val="nil"/>
            </w:tcBorders>
            <w:vAlign w:val="center"/>
          </w:tcPr>
          <w:p w:rsidR="0029115E" w:rsidRPr="00911315" w:rsidRDefault="0029115E" w:rsidP="008749C8">
            <w:pPr>
              <w:pStyle w:val="braytabletext"/>
              <w:jc w:val="right"/>
              <w:rPr>
                <w:szCs w:val="16"/>
              </w:rPr>
            </w:pPr>
            <w:r w:rsidRPr="00911315">
              <w:rPr>
                <w:szCs w:val="16"/>
              </w:rPr>
              <w:t>207</w:t>
            </w:r>
          </w:p>
        </w:tc>
        <w:tc>
          <w:tcPr>
            <w:tcW w:w="455" w:type="pct"/>
            <w:tcBorders>
              <w:top w:val="single" w:sz="4" w:space="0" w:color="auto"/>
              <w:left w:val="nil"/>
              <w:bottom w:val="single" w:sz="4" w:space="0" w:color="auto"/>
              <w:right w:val="nil"/>
            </w:tcBorders>
            <w:vAlign w:val="center"/>
          </w:tcPr>
          <w:p w:rsidR="0029115E" w:rsidRPr="00911315" w:rsidRDefault="0029115E" w:rsidP="008749C8">
            <w:pPr>
              <w:pStyle w:val="braytabletext"/>
              <w:jc w:val="right"/>
              <w:rPr>
                <w:szCs w:val="16"/>
              </w:rPr>
            </w:pPr>
            <w:r w:rsidRPr="00911315">
              <w:rPr>
                <w:szCs w:val="16"/>
              </w:rPr>
              <w:t>969</w:t>
            </w:r>
          </w:p>
        </w:tc>
        <w:tc>
          <w:tcPr>
            <w:tcW w:w="182" w:type="pct"/>
            <w:tcBorders>
              <w:top w:val="single" w:sz="4" w:space="0" w:color="auto"/>
              <w:left w:val="nil"/>
              <w:bottom w:val="single" w:sz="4" w:space="0" w:color="auto"/>
              <w:right w:val="nil"/>
            </w:tcBorders>
            <w:vAlign w:val="center"/>
          </w:tcPr>
          <w:p w:rsidR="0029115E" w:rsidRPr="00911315" w:rsidRDefault="0029115E" w:rsidP="008749C8">
            <w:pPr>
              <w:pStyle w:val="braytabletext"/>
              <w:jc w:val="right"/>
              <w:rPr>
                <w:szCs w:val="16"/>
              </w:rPr>
            </w:pPr>
          </w:p>
        </w:tc>
        <w:tc>
          <w:tcPr>
            <w:tcW w:w="530" w:type="pct"/>
            <w:tcBorders>
              <w:top w:val="single" w:sz="4" w:space="0" w:color="auto"/>
              <w:left w:val="nil"/>
              <w:bottom w:val="single" w:sz="4" w:space="0" w:color="auto"/>
              <w:right w:val="nil"/>
            </w:tcBorders>
            <w:vAlign w:val="center"/>
          </w:tcPr>
          <w:p w:rsidR="0029115E" w:rsidRPr="00911315" w:rsidRDefault="0029115E" w:rsidP="008749C8">
            <w:pPr>
              <w:pStyle w:val="braytabletext"/>
              <w:jc w:val="right"/>
              <w:rPr>
                <w:szCs w:val="16"/>
              </w:rPr>
            </w:pPr>
            <w:r w:rsidRPr="00911315">
              <w:rPr>
                <w:szCs w:val="16"/>
              </w:rPr>
              <w:t>19</w:t>
            </w:r>
          </w:p>
        </w:tc>
        <w:tc>
          <w:tcPr>
            <w:tcW w:w="532" w:type="pct"/>
            <w:tcBorders>
              <w:top w:val="single" w:sz="4" w:space="0" w:color="auto"/>
              <w:left w:val="nil"/>
              <w:bottom w:val="single" w:sz="4" w:space="0" w:color="auto"/>
              <w:right w:val="nil"/>
            </w:tcBorders>
            <w:vAlign w:val="center"/>
          </w:tcPr>
          <w:p w:rsidR="0029115E" w:rsidRPr="00911315" w:rsidRDefault="0029115E" w:rsidP="008749C8">
            <w:pPr>
              <w:pStyle w:val="braytabletext"/>
              <w:jc w:val="right"/>
              <w:rPr>
                <w:szCs w:val="16"/>
              </w:rPr>
            </w:pPr>
            <w:r w:rsidRPr="00911315">
              <w:rPr>
                <w:szCs w:val="16"/>
              </w:rPr>
              <w:t>532</w:t>
            </w:r>
          </w:p>
        </w:tc>
        <w:tc>
          <w:tcPr>
            <w:tcW w:w="530" w:type="pct"/>
            <w:tcBorders>
              <w:top w:val="single" w:sz="4" w:space="0" w:color="auto"/>
              <w:left w:val="nil"/>
              <w:bottom w:val="single" w:sz="4" w:space="0" w:color="auto"/>
              <w:right w:val="nil"/>
            </w:tcBorders>
            <w:vAlign w:val="center"/>
          </w:tcPr>
          <w:p w:rsidR="0029115E" w:rsidRPr="00911315" w:rsidRDefault="0029115E" w:rsidP="008749C8">
            <w:pPr>
              <w:pStyle w:val="braytabletext"/>
              <w:jc w:val="right"/>
              <w:rPr>
                <w:szCs w:val="16"/>
              </w:rPr>
            </w:pPr>
            <w:r w:rsidRPr="00911315">
              <w:rPr>
                <w:szCs w:val="16"/>
              </w:rPr>
              <w:t>4 303</w:t>
            </w:r>
          </w:p>
        </w:tc>
      </w:tr>
    </w:tbl>
    <w:p w:rsidR="00657163" w:rsidRDefault="0029115E" w:rsidP="00CF78DB">
      <w:pPr>
        <w:pStyle w:val="tablefootnotes"/>
      </w:pPr>
      <w:r>
        <w:t>Notes:</w:t>
      </w:r>
      <w:r>
        <w:tab/>
        <w:t xml:space="preserve">See </w:t>
      </w:r>
      <w:r w:rsidR="00C7347D">
        <w:fldChar w:fldCharType="begin"/>
      </w:r>
      <w:r>
        <w:instrText xml:space="preserve"> REF _Ref323829088 \h </w:instrText>
      </w:r>
      <w:r w:rsidR="00C7347D">
        <w:fldChar w:fldCharType="separate"/>
      </w:r>
      <w:r w:rsidR="007D7E45" w:rsidRPr="005911E2">
        <w:t xml:space="preserve">Table </w:t>
      </w:r>
      <w:r w:rsidR="007D7E45">
        <w:rPr>
          <w:noProof/>
        </w:rPr>
        <w:t>4</w:t>
      </w:r>
      <w:r w:rsidR="007D7E45" w:rsidRPr="005911E2">
        <w:noBreakHyphen/>
      </w:r>
      <w:r w:rsidR="007D7E45">
        <w:rPr>
          <w:noProof/>
        </w:rPr>
        <w:t>5</w:t>
      </w:r>
      <w:r w:rsidR="00C7347D">
        <w:fldChar w:fldCharType="end"/>
      </w:r>
      <w:r w:rsidR="00943DCB">
        <w:t>.</w:t>
      </w:r>
    </w:p>
    <w:p w:rsidR="0029115E" w:rsidRDefault="0029115E" w:rsidP="00CF78DB">
      <w:pPr>
        <w:pStyle w:val="tablefootnotes"/>
      </w:pPr>
      <w:r>
        <w:tab/>
        <w:t>CIM includes CPIM and VULIM</w:t>
      </w:r>
      <w:r w:rsidR="00943DCB">
        <w:t>.</w:t>
      </w:r>
    </w:p>
    <w:p w:rsidR="0022069A" w:rsidRPr="005911E2" w:rsidRDefault="0022069A" w:rsidP="00CF78DB">
      <w:pPr>
        <w:pStyle w:val="tablefootnotes"/>
      </w:pPr>
      <w:r w:rsidRPr="005911E2">
        <w:t xml:space="preserve">Source: </w:t>
      </w:r>
      <w:r w:rsidRPr="005911E2">
        <w:tab/>
        <w:t xml:space="preserve">Derived from the FaHCSIA </w:t>
      </w:r>
      <w:r w:rsidR="006D7030">
        <w:t>Income Management</w:t>
      </w:r>
      <w:r w:rsidR="006D7030" w:rsidRPr="005911E2">
        <w:t xml:space="preserve"> </w:t>
      </w:r>
      <w:r w:rsidRPr="005911E2">
        <w:t>Dataset.</w:t>
      </w:r>
    </w:p>
    <w:p w:rsidR="0022069A" w:rsidRPr="005911E2" w:rsidRDefault="0022069A" w:rsidP="00616B0F">
      <w:pPr>
        <w:pStyle w:val="Heading2"/>
      </w:pPr>
      <w:bookmarkStart w:id="301" w:name="_Toc328601480"/>
      <w:bookmarkStart w:id="302" w:name="_Toc329870362"/>
      <w:bookmarkStart w:id="303" w:name="_Toc335915748"/>
      <w:r w:rsidRPr="005911E2">
        <w:t xml:space="preserve">Characteristics of the </w:t>
      </w:r>
      <w:r w:rsidR="00F878E4">
        <w:t>income management</w:t>
      </w:r>
      <w:r w:rsidRPr="005911E2">
        <w:t xml:space="preserve"> population</w:t>
      </w:r>
      <w:bookmarkEnd w:id="285"/>
      <w:bookmarkEnd w:id="286"/>
      <w:bookmarkEnd w:id="287"/>
      <w:bookmarkEnd w:id="301"/>
      <w:bookmarkEnd w:id="302"/>
      <w:bookmarkEnd w:id="303"/>
    </w:p>
    <w:p w:rsidR="0022069A" w:rsidRDefault="0022069A" w:rsidP="0022069A">
      <w:pPr>
        <w:pStyle w:val="BodyText"/>
        <w:rPr>
          <w:lang w:eastAsia="en-US"/>
        </w:rPr>
      </w:pPr>
      <w:r w:rsidRPr="005911E2">
        <w:rPr>
          <w:lang w:eastAsia="en-US"/>
        </w:rPr>
        <w:t xml:space="preserve">This section considers the characteristics of people who were subject to </w:t>
      </w:r>
      <w:r w:rsidR="00F878E4">
        <w:rPr>
          <w:lang w:eastAsia="en-US"/>
        </w:rPr>
        <w:t>income management</w:t>
      </w:r>
      <w:r w:rsidRPr="005911E2">
        <w:rPr>
          <w:lang w:eastAsia="en-US"/>
        </w:rPr>
        <w:t xml:space="preserve"> in October 2011.</w:t>
      </w:r>
      <w:r w:rsidRPr="005911E2">
        <w:rPr>
          <w:rStyle w:val="FootnoteReference"/>
        </w:rPr>
        <w:footnoteReference w:id="52"/>
      </w:r>
      <w:r w:rsidRPr="005911E2">
        <w:rPr>
          <w:lang w:eastAsia="en-US"/>
        </w:rPr>
        <w:t xml:space="preserve"> These data have been taken from the </w:t>
      </w:r>
      <w:r w:rsidR="002B5A5C">
        <w:rPr>
          <w:lang w:eastAsia="en-US"/>
        </w:rPr>
        <w:t>i</w:t>
      </w:r>
      <w:r w:rsidRPr="005911E2">
        <w:rPr>
          <w:lang w:eastAsia="en-US"/>
        </w:rPr>
        <w:t xml:space="preserve">ncome </w:t>
      </w:r>
      <w:r w:rsidR="002B5A5C">
        <w:rPr>
          <w:lang w:eastAsia="en-US"/>
        </w:rPr>
        <w:t>m</w:t>
      </w:r>
      <w:r w:rsidRPr="005911E2">
        <w:rPr>
          <w:lang w:eastAsia="en-US"/>
        </w:rPr>
        <w:t>anagement client and income support payments datasets for the fortnight ending 28 October 2011.</w:t>
      </w:r>
    </w:p>
    <w:p w:rsidR="00A26392" w:rsidRPr="005911E2" w:rsidRDefault="00A26392" w:rsidP="00A26392">
      <w:pPr>
        <w:pStyle w:val="Heading3"/>
      </w:pPr>
      <w:r>
        <w:t>Income management</w:t>
      </w:r>
      <w:r w:rsidRPr="005911E2">
        <w:t xml:space="preserve"> measures by Indigeneity and gender</w:t>
      </w:r>
    </w:p>
    <w:p w:rsidR="00A26392" w:rsidRDefault="00A26392" w:rsidP="00A26392">
      <w:pPr>
        <w:pStyle w:val="BodyText"/>
        <w:rPr>
          <w:lang w:eastAsia="en-US"/>
        </w:rPr>
      </w:pPr>
      <w:r w:rsidRPr="005911E2">
        <w:t xml:space="preserve">Table </w:t>
      </w:r>
      <w:r w:rsidRPr="005911E2">
        <w:rPr>
          <w:noProof/>
        </w:rPr>
        <w:t>4</w:t>
      </w:r>
      <w:r w:rsidRPr="005911E2">
        <w:noBreakHyphen/>
      </w:r>
      <w:r w:rsidRPr="005911E2">
        <w:rPr>
          <w:noProof/>
        </w:rPr>
        <w:t>7</w:t>
      </w:r>
      <w:r w:rsidRPr="005911E2">
        <w:t xml:space="preserve"> </w:t>
      </w:r>
      <w:r w:rsidRPr="005911E2">
        <w:rPr>
          <w:lang w:eastAsia="en-US"/>
        </w:rPr>
        <w:t>shows the number of people subject to each of the NIM measures in October 2011 according to Indigenous status</w:t>
      </w:r>
      <w:r>
        <w:rPr>
          <w:lang w:eastAsia="en-US"/>
        </w:rPr>
        <w:t>;</w:t>
      </w:r>
      <w:r w:rsidRPr="005911E2">
        <w:rPr>
          <w:lang w:eastAsia="en-US"/>
        </w:rPr>
        <w:t xml:space="preserve"> this is also illustrated in </w:t>
      </w:r>
      <w:r w:rsidRPr="005911E2">
        <w:t xml:space="preserve">Figure </w:t>
      </w:r>
      <w:r w:rsidRPr="005911E2">
        <w:rPr>
          <w:noProof/>
        </w:rPr>
        <w:t>4</w:t>
      </w:r>
      <w:r w:rsidRPr="005911E2">
        <w:noBreakHyphen/>
      </w:r>
      <w:r w:rsidRPr="005911E2">
        <w:rPr>
          <w:noProof/>
        </w:rPr>
        <w:t>6</w:t>
      </w:r>
      <w:r>
        <w:rPr>
          <w:noProof/>
        </w:rPr>
        <w:t>.</w:t>
      </w:r>
      <w:r w:rsidRPr="005911E2">
        <w:rPr>
          <w:lang w:eastAsia="en-US"/>
        </w:rPr>
        <w:t xml:space="preserve"> </w:t>
      </w:r>
      <w:r w:rsidRPr="005911E2">
        <w:t xml:space="preserve">Table </w:t>
      </w:r>
      <w:r w:rsidRPr="005911E2">
        <w:rPr>
          <w:noProof/>
        </w:rPr>
        <w:t>4</w:t>
      </w:r>
      <w:r w:rsidRPr="005911E2">
        <w:noBreakHyphen/>
      </w:r>
      <w:r w:rsidRPr="005911E2">
        <w:rPr>
          <w:noProof/>
        </w:rPr>
        <w:t>8</w:t>
      </w:r>
      <w:r w:rsidRPr="005911E2">
        <w:t xml:space="preserve"> </w:t>
      </w:r>
      <w:r>
        <w:rPr>
          <w:lang w:eastAsia="en-US"/>
        </w:rPr>
        <w:t>breaks down the population</w:t>
      </w:r>
      <w:r w:rsidRPr="005911E2">
        <w:rPr>
          <w:lang w:eastAsia="en-US"/>
        </w:rPr>
        <w:t xml:space="preserve"> by gender.</w:t>
      </w:r>
    </w:p>
    <w:p w:rsidR="00943DCB" w:rsidRDefault="00012931" w:rsidP="00943DCB">
      <w:pPr>
        <w:pStyle w:val="BodyText"/>
        <w:rPr>
          <w:lang w:eastAsia="en-US"/>
        </w:rPr>
      </w:pPr>
      <w:r>
        <w:rPr>
          <w:lang w:eastAsia="en-US"/>
        </w:rPr>
        <w:t xml:space="preserve">In October 2011 there were 16 393 people </w:t>
      </w:r>
      <w:r w:rsidR="00943DCB" w:rsidRPr="005911E2">
        <w:rPr>
          <w:lang w:eastAsia="en-US"/>
        </w:rPr>
        <w:t xml:space="preserve">being </w:t>
      </w:r>
      <w:r w:rsidR="00943DCB">
        <w:rPr>
          <w:lang w:eastAsia="en-US"/>
        </w:rPr>
        <w:t>i</w:t>
      </w:r>
      <w:r w:rsidR="00943DCB" w:rsidRPr="005911E2">
        <w:rPr>
          <w:lang w:eastAsia="en-US"/>
        </w:rPr>
        <w:t xml:space="preserve">ncome </w:t>
      </w:r>
      <w:r w:rsidR="00943DCB">
        <w:rPr>
          <w:lang w:eastAsia="en-US"/>
        </w:rPr>
        <w:t>m</w:t>
      </w:r>
      <w:r w:rsidR="00943DCB" w:rsidRPr="005911E2">
        <w:rPr>
          <w:lang w:eastAsia="en-US"/>
        </w:rPr>
        <w:t xml:space="preserve">anaged in </w:t>
      </w:r>
      <w:r>
        <w:rPr>
          <w:lang w:eastAsia="en-US"/>
        </w:rPr>
        <w:t>the Northern Territory. The majority</w:t>
      </w:r>
      <w:r w:rsidR="00943DCB" w:rsidRPr="005911E2">
        <w:rPr>
          <w:lang w:eastAsia="en-US"/>
        </w:rPr>
        <w:t xml:space="preserve"> (73</w:t>
      </w:r>
      <w:r w:rsidR="00943DCB">
        <w:rPr>
          <w:lang w:eastAsia="en-US"/>
        </w:rPr>
        <w:t> </w:t>
      </w:r>
      <w:r w:rsidR="00943DCB" w:rsidRPr="005911E2">
        <w:rPr>
          <w:lang w:eastAsia="en-US"/>
        </w:rPr>
        <w:t xml:space="preserve">per cent) were subject to </w:t>
      </w:r>
      <w:r w:rsidR="00943DCB">
        <w:rPr>
          <w:lang w:eastAsia="en-US"/>
        </w:rPr>
        <w:t>Compulsory Income Management</w:t>
      </w:r>
      <w:r w:rsidR="00943DCB" w:rsidRPr="005911E2">
        <w:rPr>
          <w:lang w:eastAsia="en-US"/>
        </w:rPr>
        <w:t>, comprising 3</w:t>
      </w:r>
      <w:r w:rsidR="00943DCB">
        <w:rPr>
          <w:lang w:eastAsia="en-US"/>
        </w:rPr>
        <w:t> </w:t>
      </w:r>
      <w:r w:rsidR="00943DCB" w:rsidRPr="005911E2">
        <w:rPr>
          <w:lang w:eastAsia="en-US"/>
        </w:rPr>
        <w:t>850 on the Disengaged Youth element and 8</w:t>
      </w:r>
      <w:r w:rsidR="00943DCB">
        <w:rPr>
          <w:lang w:eastAsia="en-US"/>
        </w:rPr>
        <w:t> </w:t>
      </w:r>
      <w:r w:rsidR="00943DCB" w:rsidRPr="005911E2">
        <w:rPr>
          <w:lang w:eastAsia="en-US"/>
        </w:rPr>
        <w:t xml:space="preserve">110 </w:t>
      </w:r>
      <w:r w:rsidR="00943DCB">
        <w:rPr>
          <w:lang w:eastAsia="en-US"/>
        </w:rPr>
        <w:t>on the Long-Term</w:t>
      </w:r>
      <w:r w:rsidR="00943DCB" w:rsidRPr="005911E2">
        <w:rPr>
          <w:lang w:eastAsia="en-US"/>
        </w:rPr>
        <w:t xml:space="preserve"> Welfare</w:t>
      </w:r>
      <w:r w:rsidR="00943DCB">
        <w:rPr>
          <w:lang w:eastAsia="en-US"/>
        </w:rPr>
        <w:t xml:space="preserve"> Payment Recipients</w:t>
      </w:r>
      <w:r w:rsidR="00943DCB" w:rsidRPr="005911E2">
        <w:rPr>
          <w:lang w:eastAsia="en-US"/>
        </w:rPr>
        <w:t xml:space="preserve"> measure. A further 25</w:t>
      </w:r>
      <w:r w:rsidR="00943DCB">
        <w:rPr>
          <w:lang w:eastAsia="en-US"/>
        </w:rPr>
        <w:t> </w:t>
      </w:r>
      <w:r w:rsidR="00943DCB" w:rsidRPr="005911E2">
        <w:rPr>
          <w:lang w:eastAsia="en-US"/>
        </w:rPr>
        <w:t xml:space="preserve">per cent </w:t>
      </w:r>
      <w:r w:rsidR="00310125">
        <w:rPr>
          <w:lang w:eastAsia="en-US"/>
        </w:rPr>
        <w:t xml:space="preserve">(4 190) </w:t>
      </w:r>
      <w:r w:rsidR="00943DCB" w:rsidRPr="005911E2">
        <w:rPr>
          <w:lang w:eastAsia="en-US"/>
        </w:rPr>
        <w:t xml:space="preserve">were on </w:t>
      </w:r>
      <w:r w:rsidR="00943DCB">
        <w:rPr>
          <w:lang w:eastAsia="en-US"/>
        </w:rPr>
        <w:t>Voluntary Income Management</w:t>
      </w:r>
      <w:r w:rsidR="00943DCB" w:rsidRPr="005911E2">
        <w:rPr>
          <w:lang w:eastAsia="en-US"/>
        </w:rPr>
        <w:t xml:space="preserve">; the remaining people were subject to the </w:t>
      </w:r>
      <w:r w:rsidR="00943DCB">
        <w:rPr>
          <w:lang w:eastAsia="en-US"/>
        </w:rPr>
        <w:t>Vulnerable Income Management</w:t>
      </w:r>
      <w:r w:rsidR="00943DCB" w:rsidRPr="005911E2">
        <w:rPr>
          <w:lang w:eastAsia="en-US"/>
        </w:rPr>
        <w:t xml:space="preserve"> </w:t>
      </w:r>
      <w:r w:rsidR="00310125">
        <w:rPr>
          <w:lang w:eastAsia="en-US"/>
        </w:rPr>
        <w:t xml:space="preserve">(198) </w:t>
      </w:r>
      <w:r w:rsidR="00943DCB" w:rsidRPr="005911E2">
        <w:rPr>
          <w:lang w:eastAsia="en-US"/>
        </w:rPr>
        <w:t xml:space="preserve">and </w:t>
      </w:r>
      <w:r w:rsidR="00310125">
        <w:rPr>
          <w:lang w:eastAsia="en-US"/>
        </w:rPr>
        <w:t xml:space="preserve">the </w:t>
      </w:r>
      <w:r w:rsidR="00943DCB">
        <w:rPr>
          <w:lang w:eastAsia="en-US"/>
        </w:rPr>
        <w:t xml:space="preserve">Child Protection </w:t>
      </w:r>
      <w:r w:rsidR="00310125">
        <w:rPr>
          <w:lang w:eastAsia="en-US"/>
        </w:rPr>
        <w:t>measure (45)</w:t>
      </w:r>
      <w:r w:rsidR="00943DCB" w:rsidRPr="005911E2">
        <w:rPr>
          <w:lang w:eastAsia="en-US"/>
        </w:rPr>
        <w:t xml:space="preserve">. </w:t>
      </w:r>
    </w:p>
    <w:p w:rsidR="00943DCB" w:rsidRPr="005911E2" w:rsidRDefault="00943DCB" w:rsidP="00943DCB">
      <w:pPr>
        <w:pStyle w:val="BodyText"/>
        <w:rPr>
          <w:lang w:eastAsia="en-US"/>
        </w:rPr>
      </w:pPr>
      <w:r w:rsidRPr="005911E2">
        <w:rPr>
          <w:lang w:eastAsia="en-US"/>
        </w:rPr>
        <w:lastRenderedPageBreak/>
        <w:t>Most were Indigenous (14</w:t>
      </w:r>
      <w:r>
        <w:rPr>
          <w:lang w:eastAsia="en-US"/>
        </w:rPr>
        <w:t> </w:t>
      </w:r>
      <w:r w:rsidRPr="005911E2">
        <w:rPr>
          <w:lang w:eastAsia="en-US"/>
        </w:rPr>
        <w:t>927 of 16</w:t>
      </w:r>
      <w:r>
        <w:rPr>
          <w:lang w:eastAsia="en-US"/>
        </w:rPr>
        <w:t> </w:t>
      </w:r>
      <w:r w:rsidRPr="005911E2">
        <w:rPr>
          <w:lang w:eastAsia="en-US"/>
        </w:rPr>
        <w:t xml:space="preserve">393; 91 per cent). The proportion of people subject to </w:t>
      </w:r>
      <w:r>
        <w:rPr>
          <w:lang w:eastAsia="en-US"/>
        </w:rPr>
        <w:t>Compulsory Income Management</w:t>
      </w:r>
      <w:r w:rsidRPr="005911E2">
        <w:rPr>
          <w:lang w:eastAsia="en-US"/>
        </w:rPr>
        <w:t xml:space="preserve"> who were Indigenous was 88 per cent, 89 per cent of those on </w:t>
      </w:r>
      <w:r>
        <w:rPr>
          <w:lang w:eastAsia="en-US"/>
        </w:rPr>
        <w:t>Child Protection Income Management</w:t>
      </w:r>
      <w:r w:rsidRPr="005911E2">
        <w:rPr>
          <w:lang w:eastAsia="en-US"/>
        </w:rPr>
        <w:t xml:space="preserve">, 97 per cent for people on </w:t>
      </w:r>
      <w:r>
        <w:rPr>
          <w:lang w:eastAsia="en-US"/>
        </w:rPr>
        <w:t>Vulnerable Income Management,</w:t>
      </w:r>
      <w:r w:rsidRPr="005911E2">
        <w:rPr>
          <w:lang w:eastAsia="en-US"/>
        </w:rPr>
        <w:t xml:space="preserve"> and 99 per cent of those on </w:t>
      </w:r>
      <w:r>
        <w:rPr>
          <w:lang w:eastAsia="en-US"/>
        </w:rPr>
        <w:t>Voluntary Income Management</w:t>
      </w:r>
      <w:r w:rsidRPr="005911E2">
        <w:rPr>
          <w:lang w:eastAsia="en-US"/>
        </w:rPr>
        <w:t>.</w:t>
      </w:r>
    </w:p>
    <w:p w:rsidR="0022069A" w:rsidRPr="005911E2" w:rsidRDefault="0022069A" w:rsidP="0022069A">
      <w:pPr>
        <w:pStyle w:val="tabfighead"/>
      </w:pPr>
      <w:bookmarkStart w:id="304" w:name="_Ref324606289"/>
      <w:bookmarkStart w:id="305" w:name="_Toc328601652"/>
      <w:bookmarkStart w:id="306" w:name="_Toc335915918"/>
      <w:r w:rsidRPr="005911E2">
        <w:t xml:space="preserve">Figure </w:t>
      </w:r>
      <w:r w:rsidR="00C7347D">
        <w:fldChar w:fldCharType="begin"/>
      </w:r>
      <w:r w:rsidR="00E74851">
        <w:instrText xml:space="preserve"> STYLEREF 1 \s </w:instrText>
      </w:r>
      <w:r w:rsidR="00C7347D">
        <w:fldChar w:fldCharType="separate"/>
      </w:r>
      <w:r w:rsidR="007D7E45">
        <w:rPr>
          <w:noProof/>
        </w:rPr>
        <w:t>4</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6</w:t>
      </w:r>
      <w:r w:rsidR="00C7347D">
        <w:fldChar w:fldCharType="end"/>
      </w:r>
      <w:bookmarkEnd w:id="304"/>
      <w:r w:rsidRPr="005911E2">
        <w:tab/>
        <w:t xml:space="preserve">Composition of people subject to </w:t>
      </w:r>
      <w:r w:rsidR="00F878E4">
        <w:t>income management</w:t>
      </w:r>
      <w:r w:rsidRPr="005911E2">
        <w:t xml:space="preserve"> October 2011</w:t>
      </w:r>
      <w:bookmarkEnd w:id="305"/>
      <w:bookmarkEnd w:id="306"/>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6 Composition of people subject to income management October 2011"/>
        <w:tblDescription w:val="Figure 4-6 Composition of people subject to income management October 2011"/>
      </w:tblPr>
      <w:tblGrid>
        <w:gridCol w:w="9036"/>
      </w:tblGrid>
      <w:tr w:rsidR="0022069A" w:rsidRPr="005911E2" w:rsidTr="009D15E2">
        <w:trPr>
          <w:tblHeader/>
          <w:jc w:val="right"/>
        </w:trPr>
        <w:tc>
          <w:tcPr>
            <w:tcW w:w="8987" w:type="dxa"/>
          </w:tcPr>
          <w:p w:rsidR="0022069A" w:rsidRPr="009F6E1A" w:rsidRDefault="009F6E1A" w:rsidP="009F6E1A">
            <w:pPr>
              <w:spacing w:after="0" w:line="240" w:lineRule="auto"/>
              <w:ind w:left="0"/>
              <w:rPr>
                <w:sz w:val="16"/>
                <w:szCs w:val="16"/>
              </w:rPr>
            </w:pPr>
            <w:r>
              <w:rPr>
                <w:noProof/>
                <w:lang w:eastAsia="en-AU" w:bidi="ar-SA"/>
              </w:rPr>
              <w:drawing>
                <wp:inline distT="0" distB="0" distL="0" distR="0" wp14:anchorId="2DBA0AD9" wp14:editId="553EE88B">
                  <wp:extent cx="5594985" cy="2735580"/>
                  <wp:effectExtent l="0" t="0" r="5715" b="7620"/>
                  <wp:docPr id="10" name="Picture 4" descr="Figure 4-6 Composition of people subject to income management October 2011" title="Figure 4-6 Composition of people subject to income management Octo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5594985" cy="2735580"/>
                          </a:xfrm>
                          <a:prstGeom prst="rect">
                            <a:avLst/>
                          </a:prstGeom>
                          <a:noFill/>
                          <a:ln w="9525">
                            <a:noFill/>
                            <a:miter lim="800000"/>
                            <a:headEnd/>
                            <a:tailEnd/>
                          </a:ln>
                        </pic:spPr>
                      </pic:pic>
                    </a:graphicData>
                  </a:graphic>
                </wp:inline>
              </w:drawing>
            </w:r>
          </w:p>
          <w:p w:rsidR="002B5A5C" w:rsidRPr="005911E2" w:rsidRDefault="002B5A5C" w:rsidP="00CF78DB">
            <w:pPr>
              <w:pStyle w:val="tablefootnotes"/>
            </w:pPr>
          </w:p>
        </w:tc>
      </w:tr>
    </w:tbl>
    <w:p w:rsidR="00AC3E74" w:rsidRPr="005911E2" w:rsidRDefault="00AC3E74" w:rsidP="00CF78DB">
      <w:pPr>
        <w:pStyle w:val="tablefootnotes"/>
      </w:pPr>
      <w:r w:rsidRPr="005911E2">
        <w:t xml:space="preserve">Source: </w:t>
      </w:r>
      <w:r w:rsidR="001B4FC7">
        <w:tab/>
      </w:r>
      <w:r w:rsidRPr="005911E2">
        <w:t xml:space="preserve">Income </w:t>
      </w:r>
      <w:r w:rsidR="00900FCF">
        <w:t>s</w:t>
      </w:r>
      <w:r w:rsidRPr="005911E2">
        <w:t xml:space="preserve">upport payments file and </w:t>
      </w:r>
      <w:r w:rsidR="00F878E4">
        <w:t>income management</w:t>
      </w:r>
      <w:r w:rsidRPr="005911E2">
        <w:t xml:space="preserve"> person files for fortnight ending 28</w:t>
      </w:r>
      <w:r w:rsidR="008749C8">
        <w:rPr>
          <w:vertAlign w:val="superscript"/>
        </w:rPr>
        <w:t xml:space="preserve"> </w:t>
      </w:r>
      <w:r w:rsidR="008749C8">
        <w:t xml:space="preserve"> </w:t>
      </w:r>
      <w:r w:rsidRPr="005911E2">
        <w:t>October</w:t>
      </w:r>
      <w:r w:rsidR="000234FA">
        <w:t xml:space="preserve"> 2011</w:t>
      </w:r>
      <w:r w:rsidR="00943DCB">
        <w:t>.</w:t>
      </w:r>
    </w:p>
    <w:p w:rsidR="0022069A" w:rsidRPr="005911E2" w:rsidRDefault="0022069A" w:rsidP="002955BA">
      <w:pPr>
        <w:pStyle w:val="tablefootnotes"/>
      </w:pPr>
    </w:p>
    <w:p w:rsidR="0022069A" w:rsidRPr="005911E2" w:rsidRDefault="0022069A" w:rsidP="0022069A">
      <w:pPr>
        <w:pStyle w:val="tabfighead"/>
      </w:pPr>
      <w:bookmarkStart w:id="307" w:name="_Ref321178966"/>
      <w:bookmarkStart w:id="308" w:name="_Ref324322124"/>
      <w:bookmarkStart w:id="309" w:name="_Toc321430410"/>
      <w:bookmarkStart w:id="310" w:name="_Toc321761680"/>
      <w:bookmarkStart w:id="311" w:name="_Toc321254529"/>
      <w:bookmarkStart w:id="312" w:name="_Toc328601577"/>
      <w:bookmarkStart w:id="313" w:name="_Toc329051355"/>
      <w:bookmarkStart w:id="314" w:name="_Toc335915843"/>
      <w:r w:rsidRPr="005911E2">
        <w:t xml:space="preserve">Table </w:t>
      </w:r>
      <w:r w:rsidR="00C7347D" w:rsidRPr="005911E2">
        <w:fldChar w:fldCharType="begin"/>
      </w:r>
      <w:r w:rsidR="00435FEB" w:rsidRPr="005911E2">
        <w:instrText xml:space="preserve"> STYLEREF 1 \s </w:instrText>
      </w:r>
      <w:r w:rsidR="00C7347D" w:rsidRPr="005911E2">
        <w:fldChar w:fldCharType="separate"/>
      </w:r>
      <w:r w:rsidR="007D7E45">
        <w:rPr>
          <w:noProof/>
        </w:rPr>
        <w:t>4</w:t>
      </w:r>
      <w:r w:rsidR="00C7347D" w:rsidRPr="005911E2">
        <w:rPr>
          <w:noProof/>
        </w:rPr>
        <w:fldChar w:fldCharType="end"/>
      </w:r>
      <w:r w:rsidRPr="005911E2">
        <w:noBreakHyphen/>
      </w:r>
      <w:r w:rsidR="00C7347D" w:rsidRPr="005911E2">
        <w:fldChar w:fldCharType="begin"/>
      </w:r>
      <w:r w:rsidR="00435FEB" w:rsidRPr="005911E2">
        <w:instrText xml:space="preserve"> SEQ Table \* ARABIC \s 1 </w:instrText>
      </w:r>
      <w:r w:rsidR="00C7347D" w:rsidRPr="005911E2">
        <w:fldChar w:fldCharType="separate"/>
      </w:r>
      <w:r w:rsidR="007D7E45">
        <w:rPr>
          <w:noProof/>
        </w:rPr>
        <w:t>7</w:t>
      </w:r>
      <w:r w:rsidR="00C7347D" w:rsidRPr="005911E2">
        <w:rPr>
          <w:noProof/>
        </w:rPr>
        <w:fldChar w:fldCharType="end"/>
      </w:r>
      <w:bookmarkEnd w:id="307"/>
      <w:bookmarkEnd w:id="308"/>
      <w:r w:rsidRPr="005911E2">
        <w:tab/>
      </w:r>
      <w:r w:rsidR="006435C8">
        <w:t xml:space="preserve">Northern Territory </w:t>
      </w:r>
      <w:r w:rsidRPr="005911E2">
        <w:t>income managed population by stream and Indigeneity, October 2011</w:t>
      </w:r>
      <w:bookmarkEnd w:id="309"/>
      <w:bookmarkEnd w:id="310"/>
      <w:bookmarkEnd w:id="311"/>
      <w:bookmarkEnd w:id="312"/>
      <w:bookmarkEnd w:id="313"/>
      <w:bookmarkEnd w:id="314"/>
    </w:p>
    <w:tbl>
      <w:tblPr>
        <w:tblStyle w:val="TableGrid"/>
        <w:tblW w:w="877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57" w:type="dxa"/>
        </w:tblCellMar>
        <w:tblLook w:val="04A0" w:firstRow="1" w:lastRow="0" w:firstColumn="1" w:lastColumn="0" w:noHBand="0" w:noVBand="1"/>
        <w:tblCaption w:val="Table 4-7 Northern Territory income managed population by stream and Indigeneity, October 2011"/>
        <w:tblDescription w:val="Table 4-7 Northern Territory income managed population by stream and Indigeneity, October 2011"/>
      </w:tblPr>
      <w:tblGrid>
        <w:gridCol w:w="1972"/>
        <w:gridCol w:w="992"/>
        <w:gridCol w:w="993"/>
        <w:gridCol w:w="850"/>
        <w:gridCol w:w="142"/>
        <w:gridCol w:w="992"/>
        <w:gridCol w:w="992"/>
        <w:gridCol w:w="851"/>
        <w:gridCol w:w="992"/>
      </w:tblGrid>
      <w:tr w:rsidR="00F17549" w:rsidRPr="005911E2" w:rsidTr="009D15E2">
        <w:trPr>
          <w:tblHeader/>
          <w:jc w:val="right"/>
        </w:trPr>
        <w:tc>
          <w:tcPr>
            <w:tcW w:w="1972" w:type="dxa"/>
            <w:tcBorders>
              <w:top w:val="single" w:sz="4" w:space="0" w:color="auto"/>
              <w:bottom w:val="single" w:sz="4" w:space="0" w:color="auto"/>
            </w:tcBorders>
          </w:tcPr>
          <w:p w:rsidR="00F17549" w:rsidRPr="005911E2" w:rsidRDefault="00F17549" w:rsidP="0022069A">
            <w:pPr>
              <w:pStyle w:val="TableText"/>
              <w:rPr>
                <w:szCs w:val="18"/>
              </w:rPr>
            </w:pPr>
          </w:p>
        </w:tc>
        <w:tc>
          <w:tcPr>
            <w:tcW w:w="992" w:type="dxa"/>
            <w:tcBorders>
              <w:top w:val="single" w:sz="4" w:space="0" w:color="auto"/>
              <w:bottom w:val="single" w:sz="4" w:space="0" w:color="auto"/>
            </w:tcBorders>
          </w:tcPr>
          <w:p w:rsidR="00F17549" w:rsidRPr="005911E2" w:rsidRDefault="00F17549" w:rsidP="0022069A">
            <w:pPr>
              <w:pStyle w:val="TableText"/>
              <w:jc w:val="right"/>
              <w:rPr>
                <w:szCs w:val="18"/>
              </w:rPr>
            </w:pPr>
            <w:r w:rsidRPr="005911E2">
              <w:rPr>
                <w:szCs w:val="18"/>
              </w:rPr>
              <w:t>Indigenous</w:t>
            </w:r>
          </w:p>
        </w:tc>
        <w:tc>
          <w:tcPr>
            <w:tcW w:w="993" w:type="dxa"/>
            <w:tcBorders>
              <w:top w:val="single" w:sz="4" w:space="0" w:color="auto"/>
              <w:bottom w:val="single" w:sz="4" w:space="0" w:color="auto"/>
            </w:tcBorders>
          </w:tcPr>
          <w:p w:rsidR="00F17549" w:rsidRPr="005911E2" w:rsidRDefault="00F17549" w:rsidP="0022069A">
            <w:pPr>
              <w:pStyle w:val="TableText"/>
              <w:jc w:val="right"/>
              <w:rPr>
                <w:szCs w:val="18"/>
              </w:rPr>
            </w:pPr>
            <w:r w:rsidRPr="005911E2">
              <w:rPr>
                <w:szCs w:val="18"/>
              </w:rPr>
              <w:t>Non- Indigenous</w:t>
            </w:r>
          </w:p>
        </w:tc>
        <w:tc>
          <w:tcPr>
            <w:tcW w:w="850" w:type="dxa"/>
            <w:tcBorders>
              <w:top w:val="single" w:sz="4" w:space="0" w:color="auto"/>
              <w:bottom w:val="single" w:sz="4" w:space="0" w:color="auto"/>
            </w:tcBorders>
          </w:tcPr>
          <w:p w:rsidR="00F17549" w:rsidRPr="005911E2" w:rsidRDefault="00F17549" w:rsidP="0022069A">
            <w:pPr>
              <w:pStyle w:val="TableText"/>
              <w:jc w:val="right"/>
              <w:rPr>
                <w:szCs w:val="18"/>
              </w:rPr>
            </w:pPr>
            <w:r w:rsidRPr="005911E2">
              <w:rPr>
                <w:szCs w:val="18"/>
              </w:rPr>
              <w:t xml:space="preserve">Total </w:t>
            </w:r>
          </w:p>
        </w:tc>
        <w:tc>
          <w:tcPr>
            <w:tcW w:w="142" w:type="dxa"/>
            <w:tcBorders>
              <w:top w:val="single" w:sz="4" w:space="0" w:color="auto"/>
              <w:bottom w:val="single" w:sz="4" w:space="0" w:color="auto"/>
            </w:tcBorders>
          </w:tcPr>
          <w:p w:rsidR="00F17549" w:rsidRPr="005911E2" w:rsidRDefault="00F17549" w:rsidP="0022069A">
            <w:pPr>
              <w:pStyle w:val="TableText"/>
              <w:jc w:val="right"/>
              <w:rPr>
                <w:szCs w:val="18"/>
              </w:rPr>
            </w:pPr>
          </w:p>
        </w:tc>
        <w:tc>
          <w:tcPr>
            <w:tcW w:w="992" w:type="dxa"/>
            <w:tcBorders>
              <w:top w:val="single" w:sz="4" w:space="0" w:color="auto"/>
              <w:bottom w:val="single" w:sz="4" w:space="0" w:color="auto"/>
            </w:tcBorders>
          </w:tcPr>
          <w:p w:rsidR="00F17549" w:rsidRPr="005911E2" w:rsidRDefault="00F17549" w:rsidP="0022069A">
            <w:pPr>
              <w:pStyle w:val="TableText"/>
              <w:jc w:val="right"/>
              <w:rPr>
                <w:szCs w:val="18"/>
              </w:rPr>
            </w:pPr>
            <w:r w:rsidRPr="005911E2">
              <w:rPr>
                <w:szCs w:val="18"/>
              </w:rPr>
              <w:t>Indigenous</w:t>
            </w:r>
          </w:p>
        </w:tc>
        <w:tc>
          <w:tcPr>
            <w:tcW w:w="992" w:type="dxa"/>
            <w:tcBorders>
              <w:top w:val="single" w:sz="4" w:space="0" w:color="auto"/>
              <w:bottom w:val="single" w:sz="4" w:space="0" w:color="auto"/>
            </w:tcBorders>
          </w:tcPr>
          <w:p w:rsidR="00F17549" w:rsidRPr="005911E2" w:rsidRDefault="00F17549" w:rsidP="0022069A">
            <w:pPr>
              <w:pStyle w:val="TableText"/>
              <w:jc w:val="right"/>
              <w:rPr>
                <w:szCs w:val="18"/>
              </w:rPr>
            </w:pPr>
            <w:r w:rsidRPr="005911E2">
              <w:rPr>
                <w:szCs w:val="18"/>
              </w:rPr>
              <w:t>Non- Indigenous</w:t>
            </w:r>
          </w:p>
        </w:tc>
        <w:tc>
          <w:tcPr>
            <w:tcW w:w="851" w:type="dxa"/>
            <w:tcBorders>
              <w:top w:val="single" w:sz="4" w:space="0" w:color="auto"/>
              <w:bottom w:val="single" w:sz="4" w:space="0" w:color="auto"/>
            </w:tcBorders>
          </w:tcPr>
          <w:p w:rsidR="00F17549" w:rsidRPr="005911E2" w:rsidRDefault="00F17549" w:rsidP="0022069A">
            <w:pPr>
              <w:pStyle w:val="TableText"/>
              <w:jc w:val="right"/>
              <w:rPr>
                <w:szCs w:val="18"/>
              </w:rPr>
            </w:pPr>
            <w:r w:rsidRPr="005911E2">
              <w:rPr>
                <w:szCs w:val="18"/>
              </w:rPr>
              <w:t xml:space="preserve">Total </w:t>
            </w:r>
          </w:p>
        </w:tc>
        <w:tc>
          <w:tcPr>
            <w:tcW w:w="992" w:type="dxa"/>
            <w:tcBorders>
              <w:top w:val="single" w:sz="4" w:space="0" w:color="auto"/>
              <w:bottom w:val="single" w:sz="4" w:space="0" w:color="auto"/>
            </w:tcBorders>
          </w:tcPr>
          <w:p w:rsidR="00F17549" w:rsidRPr="005911E2" w:rsidRDefault="00F17549" w:rsidP="0022069A">
            <w:pPr>
              <w:pStyle w:val="TableText"/>
              <w:jc w:val="right"/>
              <w:rPr>
                <w:szCs w:val="18"/>
              </w:rPr>
            </w:pPr>
            <w:r>
              <w:rPr>
                <w:szCs w:val="18"/>
              </w:rPr>
              <w:t>Proportion Indigenous</w:t>
            </w:r>
          </w:p>
        </w:tc>
      </w:tr>
      <w:tr w:rsidR="00F17549" w:rsidRPr="005911E2" w:rsidTr="00FB6A20">
        <w:trPr>
          <w:jc w:val="right"/>
        </w:trPr>
        <w:tc>
          <w:tcPr>
            <w:tcW w:w="1972" w:type="dxa"/>
            <w:tcBorders>
              <w:top w:val="single" w:sz="4" w:space="0" w:color="auto"/>
            </w:tcBorders>
          </w:tcPr>
          <w:p w:rsidR="00F17549" w:rsidRPr="005911E2" w:rsidRDefault="00F17549" w:rsidP="0022069A">
            <w:pPr>
              <w:pStyle w:val="TableText"/>
              <w:rPr>
                <w:szCs w:val="18"/>
              </w:rPr>
            </w:pPr>
          </w:p>
        </w:tc>
        <w:tc>
          <w:tcPr>
            <w:tcW w:w="2835" w:type="dxa"/>
            <w:gridSpan w:val="3"/>
            <w:tcBorders>
              <w:top w:val="single" w:sz="4" w:space="0" w:color="auto"/>
            </w:tcBorders>
          </w:tcPr>
          <w:p w:rsidR="00F17549" w:rsidRPr="005911E2" w:rsidRDefault="00F17549" w:rsidP="0022069A">
            <w:pPr>
              <w:pStyle w:val="TableText"/>
              <w:jc w:val="center"/>
              <w:rPr>
                <w:szCs w:val="18"/>
              </w:rPr>
            </w:pPr>
            <w:r w:rsidRPr="005911E2">
              <w:rPr>
                <w:szCs w:val="18"/>
              </w:rPr>
              <w:t>Number</w:t>
            </w:r>
          </w:p>
        </w:tc>
        <w:tc>
          <w:tcPr>
            <w:tcW w:w="142" w:type="dxa"/>
            <w:tcBorders>
              <w:top w:val="single" w:sz="4" w:space="0" w:color="auto"/>
            </w:tcBorders>
          </w:tcPr>
          <w:p w:rsidR="00F17549" w:rsidRPr="005911E2" w:rsidRDefault="00F17549" w:rsidP="0022069A">
            <w:pPr>
              <w:pStyle w:val="TableText"/>
              <w:jc w:val="center"/>
              <w:rPr>
                <w:szCs w:val="18"/>
              </w:rPr>
            </w:pPr>
          </w:p>
        </w:tc>
        <w:tc>
          <w:tcPr>
            <w:tcW w:w="2835" w:type="dxa"/>
            <w:gridSpan w:val="3"/>
            <w:tcBorders>
              <w:top w:val="single" w:sz="4" w:space="0" w:color="auto"/>
            </w:tcBorders>
          </w:tcPr>
          <w:p w:rsidR="00F17549" w:rsidRPr="005911E2" w:rsidRDefault="00F17549" w:rsidP="0022069A">
            <w:pPr>
              <w:pStyle w:val="TableText"/>
              <w:jc w:val="center"/>
              <w:rPr>
                <w:szCs w:val="18"/>
              </w:rPr>
            </w:pPr>
            <w:r w:rsidRPr="005911E2">
              <w:rPr>
                <w:szCs w:val="18"/>
              </w:rPr>
              <w:t>-</w:t>
            </w:r>
            <w:r w:rsidR="006435C8">
              <w:rPr>
                <w:szCs w:val="18"/>
              </w:rPr>
              <w:t xml:space="preserve"> </w:t>
            </w:r>
            <w:r w:rsidRPr="005911E2">
              <w:rPr>
                <w:szCs w:val="18"/>
              </w:rPr>
              <w:t>%</w:t>
            </w:r>
            <w:r w:rsidR="006435C8">
              <w:rPr>
                <w:szCs w:val="18"/>
              </w:rPr>
              <w:t xml:space="preserve"> </w:t>
            </w:r>
            <w:r w:rsidRPr="005911E2">
              <w:rPr>
                <w:szCs w:val="18"/>
              </w:rPr>
              <w:t>-</w:t>
            </w:r>
          </w:p>
        </w:tc>
        <w:tc>
          <w:tcPr>
            <w:tcW w:w="992" w:type="dxa"/>
            <w:tcBorders>
              <w:top w:val="single" w:sz="4" w:space="0" w:color="auto"/>
            </w:tcBorders>
          </w:tcPr>
          <w:p w:rsidR="00F17549" w:rsidRPr="005911E2" w:rsidRDefault="00F17549" w:rsidP="0022069A">
            <w:pPr>
              <w:pStyle w:val="TableText"/>
              <w:jc w:val="center"/>
              <w:rPr>
                <w:szCs w:val="18"/>
              </w:rPr>
            </w:pPr>
          </w:p>
        </w:tc>
      </w:tr>
      <w:tr w:rsidR="00F17549" w:rsidRPr="005911E2" w:rsidTr="00FB6A20">
        <w:trPr>
          <w:jc w:val="right"/>
        </w:trPr>
        <w:tc>
          <w:tcPr>
            <w:tcW w:w="2964" w:type="dxa"/>
            <w:gridSpan w:val="2"/>
            <w:vAlign w:val="bottom"/>
          </w:tcPr>
          <w:p w:rsidR="00F17549" w:rsidRPr="005911E2" w:rsidRDefault="00F17549" w:rsidP="0022069A">
            <w:pPr>
              <w:pStyle w:val="TableText"/>
              <w:rPr>
                <w:szCs w:val="18"/>
              </w:rPr>
            </w:pPr>
            <w:r w:rsidRPr="005911E2">
              <w:rPr>
                <w:szCs w:val="18"/>
              </w:rPr>
              <w:t>Compulsory Income Management</w:t>
            </w:r>
          </w:p>
        </w:tc>
        <w:tc>
          <w:tcPr>
            <w:tcW w:w="993" w:type="dxa"/>
            <w:vAlign w:val="bottom"/>
          </w:tcPr>
          <w:p w:rsidR="00F17549" w:rsidRPr="005911E2" w:rsidRDefault="00F17549" w:rsidP="0022069A">
            <w:pPr>
              <w:pStyle w:val="TableText"/>
              <w:jc w:val="right"/>
              <w:rPr>
                <w:szCs w:val="18"/>
              </w:rPr>
            </w:pPr>
          </w:p>
        </w:tc>
        <w:tc>
          <w:tcPr>
            <w:tcW w:w="850" w:type="dxa"/>
            <w:vAlign w:val="bottom"/>
          </w:tcPr>
          <w:p w:rsidR="00F17549" w:rsidRPr="005911E2" w:rsidRDefault="00F17549" w:rsidP="0022069A">
            <w:pPr>
              <w:pStyle w:val="TableText"/>
              <w:jc w:val="right"/>
              <w:rPr>
                <w:szCs w:val="18"/>
              </w:rPr>
            </w:pPr>
          </w:p>
        </w:tc>
        <w:tc>
          <w:tcPr>
            <w:tcW w:w="142" w:type="dxa"/>
            <w:vAlign w:val="bottom"/>
          </w:tcPr>
          <w:p w:rsidR="00F17549" w:rsidRPr="005911E2" w:rsidRDefault="00F17549" w:rsidP="0022069A">
            <w:pPr>
              <w:pStyle w:val="TableText"/>
              <w:jc w:val="right"/>
              <w:rPr>
                <w:szCs w:val="18"/>
              </w:rPr>
            </w:pPr>
          </w:p>
        </w:tc>
        <w:tc>
          <w:tcPr>
            <w:tcW w:w="992" w:type="dxa"/>
            <w:vAlign w:val="bottom"/>
          </w:tcPr>
          <w:p w:rsidR="00F17549" w:rsidRPr="005911E2" w:rsidRDefault="00F17549" w:rsidP="0022069A">
            <w:pPr>
              <w:pStyle w:val="TableText"/>
              <w:jc w:val="right"/>
              <w:rPr>
                <w:szCs w:val="18"/>
              </w:rPr>
            </w:pPr>
          </w:p>
        </w:tc>
        <w:tc>
          <w:tcPr>
            <w:tcW w:w="992" w:type="dxa"/>
            <w:vAlign w:val="bottom"/>
          </w:tcPr>
          <w:p w:rsidR="00F17549" w:rsidRPr="005911E2" w:rsidRDefault="00F17549" w:rsidP="0022069A">
            <w:pPr>
              <w:pStyle w:val="TableText"/>
              <w:jc w:val="right"/>
              <w:rPr>
                <w:szCs w:val="18"/>
              </w:rPr>
            </w:pPr>
          </w:p>
        </w:tc>
        <w:tc>
          <w:tcPr>
            <w:tcW w:w="851" w:type="dxa"/>
            <w:vAlign w:val="bottom"/>
          </w:tcPr>
          <w:p w:rsidR="00F17549" w:rsidRPr="005911E2" w:rsidRDefault="00F17549" w:rsidP="0022069A">
            <w:pPr>
              <w:pStyle w:val="TableText"/>
              <w:jc w:val="right"/>
              <w:rPr>
                <w:szCs w:val="18"/>
              </w:rPr>
            </w:pPr>
          </w:p>
        </w:tc>
        <w:tc>
          <w:tcPr>
            <w:tcW w:w="992" w:type="dxa"/>
          </w:tcPr>
          <w:p w:rsidR="00F17549" w:rsidRPr="005911E2" w:rsidRDefault="00F17549" w:rsidP="0022069A">
            <w:pPr>
              <w:pStyle w:val="TableText"/>
              <w:jc w:val="right"/>
              <w:rPr>
                <w:szCs w:val="18"/>
              </w:rPr>
            </w:pPr>
          </w:p>
        </w:tc>
      </w:tr>
      <w:tr w:rsidR="00F17549" w:rsidRPr="005911E2" w:rsidTr="00FB6A20">
        <w:trPr>
          <w:jc w:val="right"/>
        </w:trPr>
        <w:tc>
          <w:tcPr>
            <w:tcW w:w="1972" w:type="dxa"/>
            <w:vAlign w:val="bottom"/>
          </w:tcPr>
          <w:p w:rsidR="00F17549" w:rsidRPr="005911E2" w:rsidRDefault="00F17549" w:rsidP="0022069A">
            <w:pPr>
              <w:pStyle w:val="TableText"/>
              <w:ind w:left="317"/>
              <w:rPr>
                <w:szCs w:val="18"/>
              </w:rPr>
            </w:pPr>
            <w:r w:rsidRPr="005911E2">
              <w:rPr>
                <w:szCs w:val="18"/>
              </w:rPr>
              <w:t>Disengaged Youth</w:t>
            </w:r>
          </w:p>
        </w:tc>
        <w:tc>
          <w:tcPr>
            <w:tcW w:w="992" w:type="dxa"/>
            <w:vAlign w:val="bottom"/>
          </w:tcPr>
          <w:p w:rsidR="00F17549" w:rsidRPr="005911E2" w:rsidRDefault="00F17549" w:rsidP="000238F6">
            <w:pPr>
              <w:pStyle w:val="TableText"/>
              <w:jc w:val="right"/>
              <w:rPr>
                <w:szCs w:val="18"/>
              </w:rPr>
            </w:pPr>
            <w:r w:rsidRPr="005911E2">
              <w:rPr>
                <w:rFonts w:cs="Arial"/>
                <w:color w:val="000000"/>
                <w:szCs w:val="18"/>
                <w:lang w:eastAsia="en-AU" w:bidi="ar-SA"/>
              </w:rPr>
              <w:t>3</w:t>
            </w:r>
            <w:r>
              <w:rPr>
                <w:rFonts w:cs="Arial"/>
                <w:color w:val="000000"/>
                <w:szCs w:val="18"/>
                <w:lang w:eastAsia="en-AU" w:bidi="ar-SA"/>
              </w:rPr>
              <w:t> </w:t>
            </w:r>
            <w:r w:rsidRPr="005911E2">
              <w:rPr>
                <w:rFonts w:cs="Arial"/>
                <w:color w:val="000000"/>
                <w:szCs w:val="18"/>
                <w:lang w:eastAsia="en-AU" w:bidi="ar-SA"/>
              </w:rPr>
              <w:t>419</w:t>
            </w:r>
          </w:p>
        </w:tc>
        <w:tc>
          <w:tcPr>
            <w:tcW w:w="993" w:type="dxa"/>
            <w:vAlign w:val="bottom"/>
          </w:tcPr>
          <w:p w:rsidR="00F17549" w:rsidRPr="005911E2" w:rsidRDefault="00F17549" w:rsidP="0022069A">
            <w:pPr>
              <w:pStyle w:val="TableText"/>
              <w:jc w:val="right"/>
              <w:rPr>
                <w:szCs w:val="18"/>
              </w:rPr>
            </w:pPr>
            <w:r w:rsidRPr="005911E2">
              <w:rPr>
                <w:rFonts w:cs="Arial"/>
                <w:color w:val="000000"/>
                <w:szCs w:val="18"/>
                <w:lang w:eastAsia="en-AU" w:bidi="ar-SA"/>
              </w:rPr>
              <w:t>431</w:t>
            </w:r>
          </w:p>
        </w:tc>
        <w:tc>
          <w:tcPr>
            <w:tcW w:w="850" w:type="dxa"/>
            <w:vAlign w:val="bottom"/>
          </w:tcPr>
          <w:p w:rsidR="00F17549" w:rsidRPr="005911E2" w:rsidRDefault="00F17549" w:rsidP="000238F6">
            <w:pPr>
              <w:pStyle w:val="TableText"/>
              <w:jc w:val="right"/>
              <w:rPr>
                <w:szCs w:val="18"/>
              </w:rPr>
            </w:pPr>
            <w:r w:rsidRPr="005911E2">
              <w:rPr>
                <w:rFonts w:cs="Arial"/>
                <w:color w:val="000000"/>
                <w:szCs w:val="18"/>
                <w:lang w:eastAsia="en-AU" w:bidi="ar-SA"/>
              </w:rPr>
              <w:t>3</w:t>
            </w:r>
            <w:r>
              <w:rPr>
                <w:rFonts w:cs="Arial"/>
                <w:color w:val="000000"/>
                <w:szCs w:val="18"/>
                <w:lang w:eastAsia="en-AU" w:bidi="ar-SA"/>
              </w:rPr>
              <w:t> </w:t>
            </w:r>
            <w:r w:rsidRPr="005911E2">
              <w:rPr>
                <w:rFonts w:cs="Arial"/>
                <w:color w:val="000000"/>
                <w:szCs w:val="18"/>
                <w:lang w:eastAsia="en-AU" w:bidi="ar-SA"/>
              </w:rPr>
              <w:t>850</w:t>
            </w:r>
          </w:p>
        </w:tc>
        <w:tc>
          <w:tcPr>
            <w:tcW w:w="142" w:type="dxa"/>
            <w:vAlign w:val="bottom"/>
          </w:tcPr>
          <w:p w:rsidR="00F17549" w:rsidRPr="005911E2" w:rsidRDefault="00F17549" w:rsidP="0022069A">
            <w:pPr>
              <w:pStyle w:val="TableText"/>
              <w:jc w:val="right"/>
              <w:rPr>
                <w:szCs w:val="18"/>
              </w:rPr>
            </w:pPr>
          </w:p>
        </w:tc>
        <w:tc>
          <w:tcPr>
            <w:tcW w:w="992" w:type="dxa"/>
            <w:vAlign w:val="bottom"/>
          </w:tcPr>
          <w:p w:rsidR="00F17549" w:rsidRPr="005911E2" w:rsidRDefault="00F17549" w:rsidP="0022069A">
            <w:pPr>
              <w:pStyle w:val="TableText"/>
              <w:jc w:val="right"/>
              <w:rPr>
                <w:szCs w:val="18"/>
              </w:rPr>
            </w:pPr>
            <w:r w:rsidRPr="005911E2">
              <w:rPr>
                <w:szCs w:val="18"/>
              </w:rPr>
              <w:t>22.9</w:t>
            </w:r>
          </w:p>
        </w:tc>
        <w:tc>
          <w:tcPr>
            <w:tcW w:w="992" w:type="dxa"/>
            <w:vAlign w:val="bottom"/>
          </w:tcPr>
          <w:p w:rsidR="00F17549" w:rsidRPr="005911E2" w:rsidRDefault="00F17549" w:rsidP="0022069A">
            <w:pPr>
              <w:pStyle w:val="TableText"/>
              <w:jc w:val="right"/>
              <w:rPr>
                <w:szCs w:val="18"/>
              </w:rPr>
            </w:pPr>
            <w:r w:rsidRPr="005911E2">
              <w:rPr>
                <w:szCs w:val="18"/>
              </w:rPr>
              <w:t>29.4</w:t>
            </w:r>
          </w:p>
        </w:tc>
        <w:tc>
          <w:tcPr>
            <w:tcW w:w="851" w:type="dxa"/>
            <w:vAlign w:val="bottom"/>
          </w:tcPr>
          <w:p w:rsidR="00F17549" w:rsidRPr="005911E2" w:rsidRDefault="00F17549" w:rsidP="0022069A">
            <w:pPr>
              <w:pStyle w:val="TableText"/>
              <w:jc w:val="right"/>
              <w:rPr>
                <w:szCs w:val="18"/>
              </w:rPr>
            </w:pPr>
            <w:r w:rsidRPr="005911E2">
              <w:rPr>
                <w:szCs w:val="18"/>
              </w:rPr>
              <w:t>23.5</w:t>
            </w:r>
          </w:p>
        </w:tc>
        <w:tc>
          <w:tcPr>
            <w:tcW w:w="992" w:type="dxa"/>
            <w:vAlign w:val="bottom"/>
          </w:tcPr>
          <w:p w:rsidR="00F17549" w:rsidRPr="005911E2" w:rsidRDefault="00F17549" w:rsidP="0022069A">
            <w:pPr>
              <w:pStyle w:val="TableText"/>
              <w:jc w:val="right"/>
              <w:rPr>
                <w:szCs w:val="18"/>
              </w:rPr>
            </w:pPr>
            <w:r w:rsidRPr="00F17549">
              <w:rPr>
                <w:szCs w:val="18"/>
              </w:rPr>
              <w:t>88.8</w:t>
            </w:r>
          </w:p>
        </w:tc>
      </w:tr>
      <w:tr w:rsidR="00F17549" w:rsidRPr="005911E2" w:rsidTr="00FB6A20">
        <w:trPr>
          <w:jc w:val="right"/>
        </w:trPr>
        <w:tc>
          <w:tcPr>
            <w:tcW w:w="1972" w:type="dxa"/>
            <w:vAlign w:val="bottom"/>
          </w:tcPr>
          <w:p w:rsidR="00F17549" w:rsidRPr="005911E2" w:rsidRDefault="00F17549" w:rsidP="0022069A">
            <w:pPr>
              <w:pStyle w:val="TableText"/>
              <w:ind w:left="317"/>
              <w:rPr>
                <w:szCs w:val="18"/>
              </w:rPr>
            </w:pPr>
            <w:r>
              <w:rPr>
                <w:szCs w:val="18"/>
              </w:rPr>
              <w:t>Long-Term</w:t>
            </w:r>
            <w:r w:rsidRPr="005911E2">
              <w:rPr>
                <w:szCs w:val="18"/>
              </w:rPr>
              <w:t xml:space="preserve"> Welfare</w:t>
            </w:r>
          </w:p>
        </w:tc>
        <w:tc>
          <w:tcPr>
            <w:tcW w:w="992" w:type="dxa"/>
            <w:vAlign w:val="bottom"/>
          </w:tcPr>
          <w:p w:rsidR="00F17549" w:rsidRPr="005911E2" w:rsidRDefault="00F17549" w:rsidP="000238F6">
            <w:pPr>
              <w:pStyle w:val="TableText"/>
              <w:jc w:val="right"/>
              <w:rPr>
                <w:szCs w:val="18"/>
              </w:rPr>
            </w:pPr>
            <w:r w:rsidRPr="005911E2">
              <w:rPr>
                <w:rFonts w:cs="Arial"/>
                <w:color w:val="000000"/>
                <w:szCs w:val="18"/>
                <w:lang w:eastAsia="en-AU" w:bidi="ar-SA"/>
              </w:rPr>
              <w:t>7</w:t>
            </w:r>
            <w:r>
              <w:rPr>
                <w:rFonts w:cs="Arial"/>
                <w:color w:val="000000"/>
                <w:szCs w:val="18"/>
                <w:lang w:eastAsia="en-AU" w:bidi="ar-SA"/>
              </w:rPr>
              <w:t> </w:t>
            </w:r>
            <w:r w:rsidRPr="005911E2">
              <w:rPr>
                <w:rFonts w:cs="Arial"/>
                <w:color w:val="000000"/>
                <w:szCs w:val="18"/>
                <w:lang w:eastAsia="en-AU" w:bidi="ar-SA"/>
              </w:rPr>
              <w:t>145</w:t>
            </w:r>
          </w:p>
        </w:tc>
        <w:tc>
          <w:tcPr>
            <w:tcW w:w="993" w:type="dxa"/>
            <w:vAlign w:val="bottom"/>
          </w:tcPr>
          <w:p w:rsidR="00F17549" w:rsidRPr="005911E2" w:rsidRDefault="00F17549" w:rsidP="0022069A">
            <w:pPr>
              <w:pStyle w:val="TableText"/>
              <w:jc w:val="right"/>
              <w:rPr>
                <w:szCs w:val="18"/>
              </w:rPr>
            </w:pPr>
            <w:r w:rsidRPr="005911E2">
              <w:rPr>
                <w:rFonts w:cs="Arial"/>
                <w:color w:val="000000"/>
                <w:szCs w:val="18"/>
                <w:lang w:eastAsia="en-AU" w:bidi="ar-SA"/>
              </w:rPr>
              <w:t>965</w:t>
            </w:r>
          </w:p>
        </w:tc>
        <w:tc>
          <w:tcPr>
            <w:tcW w:w="850" w:type="dxa"/>
            <w:vAlign w:val="bottom"/>
          </w:tcPr>
          <w:p w:rsidR="00F17549" w:rsidRPr="005911E2" w:rsidRDefault="00F17549" w:rsidP="000238F6">
            <w:pPr>
              <w:pStyle w:val="TableText"/>
              <w:jc w:val="right"/>
              <w:rPr>
                <w:szCs w:val="18"/>
              </w:rPr>
            </w:pPr>
            <w:r w:rsidRPr="005911E2">
              <w:rPr>
                <w:rFonts w:cs="Arial"/>
                <w:color w:val="000000"/>
                <w:szCs w:val="18"/>
                <w:lang w:eastAsia="en-AU" w:bidi="ar-SA"/>
              </w:rPr>
              <w:t>8</w:t>
            </w:r>
            <w:r>
              <w:rPr>
                <w:rFonts w:cs="Arial"/>
                <w:color w:val="000000"/>
                <w:szCs w:val="18"/>
                <w:lang w:eastAsia="en-AU" w:bidi="ar-SA"/>
              </w:rPr>
              <w:t> </w:t>
            </w:r>
            <w:r w:rsidRPr="005911E2">
              <w:rPr>
                <w:rFonts w:cs="Arial"/>
                <w:color w:val="000000"/>
                <w:szCs w:val="18"/>
                <w:lang w:eastAsia="en-AU" w:bidi="ar-SA"/>
              </w:rPr>
              <w:t>110</w:t>
            </w:r>
          </w:p>
        </w:tc>
        <w:tc>
          <w:tcPr>
            <w:tcW w:w="142" w:type="dxa"/>
            <w:vAlign w:val="bottom"/>
          </w:tcPr>
          <w:p w:rsidR="00F17549" w:rsidRPr="005911E2" w:rsidRDefault="00F17549" w:rsidP="0022069A">
            <w:pPr>
              <w:pStyle w:val="TableText"/>
              <w:jc w:val="right"/>
              <w:rPr>
                <w:szCs w:val="18"/>
              </w:rPr>
            </w:pPr>
          </w:p>
        </w:tc>
        <w:tc>
          <w:tcPr>
            <w:tcW w:w="992" w:type="dxa"/>
            <w:vAlign w:val="bottom"/>
          </w:tcPr>
          <w:p w:rsidR="00F17549" w:rsidRPr="005911E2" w:rsidRDefault="00F17549" w:rsidP="0022069A">
            <w:pPr>
              <w:pStyle w:val="TableText"/>
              <w:jc w:val="right"/>
              <w:rPr>
                <w:szCs w:val="18"/>
              </w:rPr>
            </w:pPr>
            <w:r w:rsidRPr="005911E2">
              <w:rPr>
                <w:szCs w:val="18"/>
              </w:rPr>
              <w:t>47.9</w:t>
            </w:r>
          </w:p>
        </w:tc>
        <w:tc>
          <w:tcPr>
            <w:tcW w:w="992" w:type="dxa"/>
            <w:vAlign w:val="bottom"/>
          </w:tcPr>
          <w:p w:rsidR="00F17549" w:rsidRPr="005911E2" w:rsidRDefault="00F17549" w:rsidP="0022069A">
            <w:pPr>
              <w:pStyle w:val="TableText"/>
              <w:jc w:val="right"/>
              <w:rPr>
                <w:szCs w:val="18"/>
              </w:rPr>
            </w:pPr>
            <w:r w:rsidRPr="005911E2">
              <w:rPr>
                <w:szCs w:val="18"/>
              </w:rPr>
              <w:t>65.8</w:t>
            </w:r>
          </w:p>
        </w:tc>
        <w:tc>
          <w:tcPr>
            <w:tcW w:w="851" w:type="dxa"/>
            <w:vAlign w:val="bottom"/>
          </w:tcPr>
          <w:p w:rsidR="00F17549" w:rsidRPr="005911E2" w:rsidRDefault="00F17549" w:rsidP="0022069A">
            <w:pPr>
              <w:pStyle w:val="TableText"/>
              <w:jc w:val="right"/>
              <w:rPr>
                <w:szCs w:val="18"/>
              </w:rPr>
            </w:pPr>
            <w:r w:rsidRPr="005911E2">
              <w:rPr>
                <w:szCs w:val="18"/>
              </w:rPr>
              <w:t>49.5</w:t>
            </w:r>
          </w:p>
        </w:tc>
        <w:tc>
          <w:tcPr>
            <w:tcW w:w="992" w:type="dxa"/>
            <w:vAlign w:val="bottom"/>
          </w:tcPr>
          <w:p w:rsidR="00F17549" w:rsidRPr="005911E2" w:rsidRDefault="00F17549" w:rsidP="0022069A">
            <w:pPr>
              <w:pStyle w:val="TableText"/>
              <w:jc w:val="right"/>
              <w:rPr>
                <w:szCs w:val="18"/>
              </w:rPr>
            </w:pPr>
            <w:r w:rsidRPr="00F17549">
              <w:rPr>
                <w:szCs w:val="18"/>
              </w:rPr>
              <w:t>88.1</w:t>
            </w:r>
          </w:p>
        </w:tc>
      </w:tr>
      <w:tr w:rsidR="00F17549" w:rsidRPr="005911E2" w:rsidTr="00FB6A20">
        <w:trPr>
          <w:jc w:val="right"/>
        </w:trPr>
        <w:tc>
          <w:tcPr>
            <w:tcW w:w="1972" w:type="dxa"/>
            <w:vAlign w:val="bottom"/>
          </w:tcPr>
          <w:p w:rsidR="00F17549" w:rsidRPr="005911E2" w:rsidRDefault="00F17549" w:rsidP="0022069A">
            <w:pPr>
              <w:pStyle w:val="TableText"/>
              <w:ind w:left="317"/>
              <w:rPr>
                <w:i/>
                <w:szCs w:val="18"/>
              </w:rPr>
            </w:pPr>
            <w:r w:rsidRPr="005911E2">
              <w:rPr>
                <w:i/>
                <w:szCs w:val="18"/>
              </w:rPr>
              <w:t>Total CIM</w:t>
            </w:r>
          </w:p>
        </w:tc>
        <w:tc>
          <w:tcPr>
            <w:tcW w:w="992" w:type="dxa"/>
            <w:vAlign w:val="bottom"/>
          </w:tcPr>
          <w:p w:rsidR="00F17549" w:rsidRPr="005911E2" w:rsidRDefault="00F17549" w:rsidP="000238F6">
            <w:pPr>
              <w:pStyle w:val="TableText"/>
              <w:jc w:val="right"/>
              <w:rPr>
                <w:i/>
                <w:szCs w:val="18"/>
              </w:rPr>
            </w:pPr>
            <w:r w:rsidRPr="005911E2">
              <w:rPr>
                <w:rFonts w:cs="Arial"/>
                <w:i/>
                <w:color w:val="000000"/>
                <w:szCs w:val="18"/>
                <w:lang w:eastAsia="en-AU" w:bidi="ar-SA"/>
              </w:rPr>
              <w:t>10</w:t>
            </w:r>
            <w:r>
              <w:rPr>
                <w:rFonts w:cs="Arial"/>
                <w:i/>
                <w:color w:val="000000"/>
                <w:szCs w:val="18"/>
                <w:lang w:eastAsia="en-AU" w:bidi="ar-SA"/>
              </w:rPr>
              <w:t> </w:t>
            </w:r>
            <w:r w:rsidRPr="005911E2">
              <w:rPr>
                <w:rFonts w:cs="Arial"/>
                <w:i/>
                <w:color w:val="000000"/>
                <w:szCs w:val="18"/>
                <w:lang w:eastAsia="en-AU" w:bidi="ar-SA"/>
              </w:rPr>
              <w:t>564</w:t>
            </w:r>
          </w:p>
        </w:tc>
        <w:tc>
          <w:tcPr>
            <w:tcW w:w="993" w:type="dxa"/>
            <w:vAlign w:val="bottom"/>
          </w:tcPr>
          <w:p w:rsidR="00F17549" w:rsidRPr="005911E2" w:rsidRDefault="00F17549" w:rsidP="000238F6">
            <w:pPr>
              <w:pStyle w:val="TableText"/>
              <w:jc w:val="right"/>
              <w:rPr>
                <w:i/>
                <w:szCs w:val="18"/>
              </w:rPr>
            </w:pPr>
            <w:r w:rsidRPr="005911E2">
              <w:rPr>
                <w:rFonts w:cs="Arial"/>
                <w:i/>
                <w:color w:val="000000"/>
                <w:szCs w:val="18"/>
                <w:lang w:eastAsia="en-AU" w:bidi="ar-SA"/>
              </w:rPr>
              <w:t>1</w:t>
            </w:r>
            <w:r>
              <w:rPr>
                <w:rFonts w:cs="Arial"/>
                <w:i/>
                <w:color w:val="000000"/>
                <w:szCs w:val="18"/>
                <w:lang w:eastAsia="en-AU" w:bidi="ar-SA"/>
              </w:rPr>
              <w:t> </w:t>
            </w:r>
            <w:r w:rsidRPr="005911E2">
              <w:rPr>
                <w:rFonts w:cs="Arial"/>
                <w:i/>
                <w:color w:val="000000"/>
                <w:szCs w:val="18"/>
                <w:lang w:eastAsia="en-AU" w:bidi="ar-SA"/>
              </w:rPr>
              <w:t>396</w:t>
            </w:r>
          </w:p>
        </w:tc>
        <w:tc>
          <w:tcPr>
            <w:tcW w:w="850" w:type="dxa"/>
            <w:vAlign w:val="bottom"/>
          </w:tcPr>
          <w:p w:rsidR="00F17549" w:rsidRPr="005911E2" w:rsidRDefault="00F17549" w:rsidP="000238F6">
            <w:pPr>
              <w:pStyle w:val="TableText"/>
              <w:jc w:val="right"/>
              <w:rPr>
                <w:i/>
                <w:szCs w:val="18"/>
              </w:rPr>
            </w:pPr>
            <w:r w:rsidRPr="005911E2">
              <w:rPr>
                <w:rFonts w:cs="Arial"/>
                <w:i/>
                <w:color w:val="000000"/>
                <w:szCs w:val="18"/>
                <w:lang w:eastAsia="en-AU" w:bidi="ar-SA"/>
              </w:rPr>
              <w:t>11</w:t>
            </w:r>
            <w:r>
              <w:rPr>
                <w:rFonts w:cs="Arial"/>
                <w:i/>
                <w:color w:val="000000"/>
                <w:szCs w:val="18"/>
                <w:lang w:eastAsia="en-AU" w:bidi="ar-SA"/>
              </w:rPr>
              <w:t> </w:t>
            </w:r>
            <w:r w:rsidRPr="005911E2">
              <w:rPr>
                <w:rFonts w:cs="Arial"/>
                <w:i/>
                <w:color w:val="000000"/>
                <w:szCs w:val="18"/>
                <w:lang w:eastAsia="en-AU" w:bidi="ar-SA"/>
              </w:rPr>
              <w:t>960</w:t>
            </w:r>
          </w:p>
        </w:tc>
        <w:tc>
          <w:tcPr>
            <w:tcW w:w="142" w:type="dxa"/>
            <w:vAlign w:val="bottom"/>
          </w:tcPr>
          <w:p w:rsidR="00F17549" w:rsidRPr="005911E2" w:rsidRDefault="00F17549" w:rsidP="0022069A">
            <w:pPr>
              <w:pStyle w:val="TableText"/>
              <w:jc w:val="right"/>
              <w:rPr>
                <w:i/>
                <w:szCs w:val="18"/>
              </w:rPr>
            </w:pPr>
          </w:p>
        </w:tc>
        <w:tc>
          <w:tcPr>
            <w:tcW w:w="992" w:type="dxa"/>
            <w:vAlign w:val="bottom"/>
          </w:tcPr>
          <w:p w:rsidR="00F17549" w:rsidRPr="005911E2" w:rsidRDefault="00F17549" w:rsidP="0022069A">
            <w:pPr>
              <w:pStyle w:val="TableText"/>
              <w:jc w:val="right"/>
              <w:rPr>
                <w:i/>
                <w:szCs w:val="18"/>
              </w:rPr>
            </w:pPr>
            <w:r w:rsidRPr="005911E2">
              <w:rPr>
                <w:rFonts w:cs="Arial"/>
                <w:i/>
                <w:color w:val="000000"/>
                <w:szCs w:val="18"/>
                <w:lang w:eastAsia="en-AU" w:bidi="ar-SA"/>
              </w:rPr>
              <w:t>70.8</w:t>
            </w:r>
          </w:p>
        </w:tc>
        <w:tc>
          <w:tcPr>
            <w:tcW w:w="992" w:type="dxa"/>
            <w:vAlign w:val="bottom"/>
          </w:tcPr>
          <w:p w:rsidR="00F17549" w:rsidRPr="005911E2" w:rsidRDefault="00F17549" w:rsidP="0022069A">
            <w:pPr>
              <w:pStyle w:val="TableText"/>
              <w:jc w:val="right"/>
              <w:rPr>
                <w:i/>
                <w:szCs w:val="18"/>
              </w:rPr>
            </w:pPr>
            <w:r w:rsidRPr="005911E2">
              <w:rPr>
                <w:rFonts w:cs="Arial"/>
                <w:i/>
                <w:color w:val="000000"/>
                <w:szCs w:val="18"/>
                <w:lang w:eastAsia="en-AU" w:bidi="ar-SA"/>
              </w:rPr>
              <w:t>95.2</w:t>
            </w:r>
          </w:p>
        </w:tc>
        <w:tc>
          <w:tcPr>
            <w:tcW w:w="851" w:type="dxa"/>
            <w:vAlign w:val="bottom"/>
          </w:tcPr>
          <w:p w:rsidR="00F17549" w:rsidRPr="005911E2" w:rsidRDefault="00F17549" w:rsidP="0022069A">
            <w:pPr>
              <w:pStyle w:val="TableText"/>
              <w:jc w:val="right"/>
              <w:rPr>
                <w:i/>
                <w:szCs w:val="18"/>
              </w:rPr>
            </w:pPr>
            <w:r w:rsidRPr="005911E2">
              <w:rPr>
                <w:rFonts w:cs="Arial"/>
                <w:i/>
                <w:color w:val="000000"/>
                <w:szCs w:val="18"/>
                <w:lang w:eastAsia="en-AU" w:bidi="ar-SA"/>
              </w:rPr>
              <w:t>73.0</w:t>
            </w:r>
          </w:p>
        </w:tc>
        <w:tc>
          <w:tcPr>
            <w:tcW w:w="992" w:type="dxa"/>
            <w:vAlign w:val="bottom"/>
          </w:tcPr>
          <w:p w:rsidR="00F17549" w:rsidRPr="00F17549" w:rsidRDefault="00F17549" w:rsidP="0022069A">
            <w:pPr>
              <w:pStyle w:val="TableText"/>
              <w:jc w:val="right"/>
              <w:rPr>
                <w:szCs w:val="18"/>
              </w:rPr>
            </w:pPr>
            <w:r w:rsidRPr="00F17549">
              <w:rPr>
                <w:szCs w:val="18"/>
              </w:rPr>
              <w:t>88.3</w:t>
            </w:r>
          </w:p>
        </w:tc>
      </w:tr>
      <w:tr w:rsidR="00F17549" w:rsidRPr="005911E2" w:rsidTr="00FB6A20">
        <w:trPr>
          <w:jc w:val="right"/>
        </w:trPr>
        <w:tc>
          <w:tcPr>
            <w:tcW w:w="1972" w:type="dxa"/>
            <w:vAlign w:val="bottom"/>
          </w:tcPr>
          <w:p w:rsidR="00F17549" w:rsidRPr="005911E2" w:rsidRDefault="00F17549" w:rsidP="0022069A">
            <w:pPr>
              <w:pStyle w:val="TableText"/>
              <w:rPr>
                <w:szCs w:val="18"/>
              </w:rPr>
            </w:pPr>
            <w:r w:rsidRPr="005911E2">
              <w:rPr>
                <w:szCs w:val="18"/>
              </w:rPr>
              <w:t>Child Protection IM</w:t>
            </w:r>
          </w:p>
        </w:tc>
        <w:tc>
          <w:tcPr>
            <w:tcW w:w="992" w:type="dxa"/>
            <w:vAlign w:val="bottom"/>
          </w:tcPr>
          <w:p w:rsidR="00F17549" w:rsidRPr="005911E2" w:rsidRDefault="00F17549" w:rsidP="0022069A">
            <w:pPr>
              <w:pStyle w:val="TableText"/>
              <w:jc w:val="right"/>
              <w:rPr>
                <w:szCs w:val="18"/>
              </w:rPr>
            </w:pPr>
            <w:r w:rsidRPr="005911E2">
              <w:rPr>
                <w:rFonts w:cs="Arial"/>
                <w:color w:val="000000"/>
                <w:szCs w:val="18"/>
                <w:lang w:eastAsia="en-AU" w:bidi="ar-SA"/>
              </w:rPr>
              <w:t>40</w:t>
            </w:r>
          </w:p>
        </w:tc>
        <w:tc>
          <w:tcPr>
            <w:tcW w:w="993" w:type="dxa"/>
            <w:vAlign w:val="bottom"/>
          </w:tcPr>
          <w:p w:rsidR="00F17549" w:rsidRPr="005911E2" w:rsidRDefault="00F17549" w:rsidP="0022069A">
            <w:pPr>
              <w:pStyle w:val="TableText"/>
              <w:jc w:val="right"/>
              <w:rPr>
                <w:szCs w:val="18"/>
              </w:rPr>
            </w:pPr>
            <w:r w:rsidRPr="005911E2">
              <w:rPr>
                <w:rFonts w:cs="Arial"/>
                <w:color w:val="000000"/>
                <w:szCs w:val="18"/>
                <w:lang w:eastAsia="en-AU" w:bidi="ar-SA"/>
              </w:rPr>
              <w:t>5</w:t>
            </w:r>
          </w:p>
        </w:tc>
        <w:tc>
          <w:tcPr>
            <w:tcW w:w="850" w:type="dxa"/>
            <w:vAlign w:val="bottom"/>
          </w:tcPr>
          <w:p w:rsidR="00F17549" w:rsidRPr="005911E2" w:rsidRDefault="00F17549" w:rsidP="0022069A">
            <w:pPr>
              <w:pStyle w:val="TableText"/>
              <w:jc w:val="right"/>
              <w:rPr>
                <w:szCs w:val="18"/>
              </w:rPr>
            </w:pPr>
            <w:r w:rsidRPr="005911E2">
              <w:rPr>
                <w:rFonts w:cs="Arial"/>
                <w:color w:val="000000"/>
                <w:szCs w:val="18"/>
                <w:lang w:eastAsia="en-AU" w:bidi="ar-SA"/>
              </w:rPr>
              <w:t>45</w:t>
            </w:r>
          </w:p>
        </w:tc>
        <w:tc>
          <w:tcPr>
            <w:tcW w:w="142" w:type="dxa"/>
            <w:vAlign w:val="bottom"/>
          </w:tcPr>
          <w:p w:rsidR="00F17549" w:rsidRPr="005911E2" w:rsidRDefault="00F17549" w:rsidP="0022069A">
            <w:pPr>
              <w:pStyle w:val="TableText"/>
              <w:jc w:val="right"/>
              <w:rPr>
                <w:szCs w:val="18"/>
              </w:rPr>
            </w:pPr>
          </w:p>
        </w:tc>
        <w:tc>
          <w:tcPr>
            <w:tcW w:w="992" w:type="dxa"/>
            <w:vAlign w:val="bottom"/>
          </w:tcPr>
          <w:p w:rsidR="00F17549" w:rsidRPr="005911E2" w:rsidRDefault="00F17549" w:rsidP="0022069A">
            <w:pPr>
              <w:pStyle w:val="TableText"/>
              <w:jc w:val="right"/>
              <w:rPr>
                <w:szCs w:val="18"/>
              </w:rPr>
            </w:pPr>
            <w:r w:rsidRPr="005911E2">
              <w:rPr>
                <w:rFonts w:cs="Arial"/>
                <w:color w:val="000000"/>
                <w:szCs w:val="18"/>
                <w:lang w:eastAsia="en-AU" w:bidi="ar-SA"/>
              </w:rPr>
              <w:t>0.3</w:t>
            </w:r>
          </w:p>
        </w:tc>
        <w:tc>
          <w:tcPr>
            <w:tcW w:w="992" w:type="dxa"/>
            <w:vAlign w:val="bottom"/>
          </w:tcPr>
          <w:p w:rsidR="00F17549" w:rsidRPr="005911E2" w:rsidRDefault="00F17549" w:rsidP="0022069A">
            <w:pPr>
              <w:pStyle w:val="TableText"/>
              <w:jc w:val="right"/>
              <w:rPr>
                <w:szCs w:val="18"/>
              </w:rPr>
            </w:pPr>
            <w:r w:rsidRPr="005911E2">
              <w:rPr>
                <w:rFonts w:cs="Arial"/>
                <w:color w:val="000000"/>
                <w:szCs w:val="18"/>
                <w:lang w:eastAsia="en-AU" w:bidi="ar-SA"/>
              </w:rPr>
              <w:t>0.3</w:t>
            </w:r>
          </w:p>
        </w:tc>
        <w:tc>
          <w:tcPr>
            <w:tcW w:w="851" w:type="dxa"/>
            <w:vAlign w:val="bottom"/>
          </w:tcPr>
          <w:p w:rsidR="00F17549" w:rsidRPr="005911E2" w:rsidRDefault="00F17549" w:rsidP="0022069A">
            <w:pPr>
              <w:pStyle w:val="TableText"/>
              <w:jc w:val="right"/>
              <w:rPr>
                <w:szCs w:val="18"/>
              </w:rPr>
            </w:pPr>
            <w:r w:rsidRPr="005911E2">
              <w:rPr>
                <w:rFonts w:cs="Arial"/>
                <w:color w:val="000000"/>
                <w:szCs w:val="18"/>
                <w:lang w:eastAsia="en-AU" w:bidi="ar-SA"/>
              </w:rPr>
              <w:t>0.3</w:t>
            </w:r>
          </w:p>
        </w:tc>
        <w:tc>
          <w:tcPr>
            <w:tcW w:w="992" w:type="dxa"/>
            <w:vAlign w:val="bottom"/>
          </w:tcPr>
          <w:p w:rsidR="00F17549" w:rsidRPr="00F17549" w:rsidRDefault="00F17549" w:rsidP="0022069A">
            <w:pPr>
              <w:pStyle w:val="TableText"/>
              <w:jc w:val="right"/>
              <w:rPr>
                <w:szCs w:val="18"/>
              </w:rPr>
            </w:pPr>
            <w:r w:rsidRPr="00F17549">
              <w:rPr>
                <w:szCs w:val="18"/>
              </w:rPr>
              <w:t>88.9</w:t>
            </w:r>
          </w:p>
        </w:tc>
      </w:tr>
      <w:tr w:rsidR="00F17549" w:rsidRPr="005911E2" w:rsidTr="00FB6A20">
        <w:trPr>
          <w:jc w:val="right"/>
        </w:trPr>
        <w:tc>
          <w:tcPr>
            <w:tcW w:w="1972" w:type="dxa"/>
            <w:vAlign w:val="bottom"/>
          </w:tcPr>
          <w:p w:rsidR="00F17549" w:rsidRPr="005911E2" w:rsidRDefault="00F17549" w:rsidP="0022069A">
            <w:pPr>
              <w:pStyle w:val="TableText"/>
              <w:ind w:left="176" w:hanging="176"/>
              <w:rPr>
                <w:szCs w:val="18"/>
              </w:rPr>
            </w:pPr>
            <w:r w:rsidRPr="005911E2">
              <w:rPr>
                <w:szCs w:val="18"/>
              </w:rPr>
              <w:t>Voluntary IM</w:t>
            </w:r>
          </w:p>
        </w:tc>
        <w:tc>
          <w:tcPr>
            <w:tcW w:w="992" w:type="dxa"/>
            <w:vAlign w:val="bottom"/>
          </w:tcPr>
          <w:p w:rsidR="00F17549" w:rsidRPr="005911E2" w:rsidRDefault="00F17549" w:rsidP="000238F6">
            <w:pPr>
              <w:pStyle w:val="TableText"/>
              <w:jc w:val="right"/>
              <w:rPr>
                <w:szCs w:val="18"/>
              </w:rPr>
            </w:pPr>
            <w:r w:rsidRPr="005911E2">
              <w:rPr>
                <w:rFonts w:cs="Arial"/>
                <w:color w:val="000000"/>
                <w:szCs w:val="18"/>
                <w:lang w:eastAsia="en-AU" w:bidi="ar-SA"/>
              </w:rPr>
              <w:t>4</w:t>
            </w:r>
            <w:r>
              <w:rPr>
                <w:rFonts w:cs="Arial"/>
                <w:color w:val="000000"/>
                <w:szCs w:val="18"/>
                <w:lang w:eastAsia="en-AU" w:bidi="ar-SA"/>
              </w:rPr>
              <w:t> </w:t>
            </w:r>
            <w:r w:rsidRPr="005911E2">
              <w:rPr>
                <w:rFonts w:cs="Arial"/>
                <w:color w:val="000000"/>
                <w:szCs w:val="18"/>
                <w:lang w:eastAsia="en-AU" w:bidi="ar-SA"/>
              </w:rPr>
              <w:t>131</w:t>
            </w:r>
          </w:p>
        </w:tc>
        <w:tc>
          <w:tcPr>
            <w:tcW w:w="993" w:type="dxa"/>
            <w:vAlign w:val="bottom"/>
          </w:tcPr>
          <w:p w:rsidR="00F17549" w:rsidRPr="005911E2" w:rsidRDefault="00F17549" w:rsidP="0022069A">
            <w:pPr>
              <w:pStyle w:val="TableText"/>
              <w:jc w:val="right"/>
              <w:rPr>
                <w:szCs w:val="18"/>
              </w:rPr>
            </w:pPr>
            <w:r w:rsidRPr="005911E2">
              <w:rPr>
                <w:rFonts w:cs="Arial"/>
                <w:color w:val="000000"/>
                <w:szCs w:val="18"/>
                <w:lang w:eastAsia="en-AU" w:bidi="ar-SA"/>
              </w:rPr>
              <w:t>59</w:t>
            </w:r>
          </w:p>
        </w:tc>
        <w:tc>
          <w:tcPr>
            <w:tcW w:w="850" w:type="dxa"/>
            <w:vAlign w:val="bottom"/>
          </w:tcPr>
          <w:p w:rsidR="00F17549" w:rsidRPr="005911E2" w:rsidRDefault="00F17549" w:rsidP="000238F6">
            <w:pPr>
              <w:pStyle w:val="TableText"/>
              <w:jc w:val="right"/>
              <w:rPr>
                <w:szCs w:val="18"/>
              </w:rPr>
            </w:pPr>
            <w:r w:rsidRPr="005911E2">
              <w:rPr>
                <w:rFonts w:cs="Arial"/>
                <w:color w:val="000000"/>
                <w:szCs w:val="18"/>
                <w:lang w:eastAsia="en-AU" w:bidi="ar-SA"/>
              </w:rPr>
              <w:t>4</w:t>
            </w:r>
            <w:r>
              <w:rPr>
                <w:rFonts w:cs="Arial"/>
                <w:color w:val="000000"/>
                <w:szCs w:val="18"/>
                <w:lang w:eastAsia="en-AU" w:bidi="ar-SA"/>
              </w:rPr>
              <w:t> </w:t>
            </w:r>
            <w:r w:rsidRPr="005911E2">
              <w:rPr>
                <w:rFonts w:cs="Arial"/>
                <w:color w:val="000000"/>
                <w:szCs w:val="18"/>
                <w:lang w:eastAsia="en-AU" w:bidi="ar-SA"/>
              </w:rPr>
              <w:t>190</w:t>
            </w:r>
          </w:p>
        </w:tc>
        <w:tc>
          <w:tcPr>
            <w:tcW w:w="142" w:type="dxa"/>
            <w:vAlign w:val="bottom"/>
          </w:tcPr>
          <w:p w:rsidR="00F17549" w:rsidRPr="005911E2" w:rsidRDefault="00F17549" w:rsidP="0022069A">
            <w:pPr>
              <w:pStyle w:val="TableText"/>
              <w:jc w:val="right"/>
              <w:rPr>
                <w:szCs w:val="18"/>
              </w:rPr>
            </w:pPr>
          </w:p>
        </w:tc>
        <w:tc>
          <w:tcPr>
            <w:tcW w:w="992" w:type="dxa"/>
            <w:vAlign w:val="bottom"/>
          </w:tcPr>
          <w:p w:rsidR="00F17549" w:rsidRPr="005911E2" w:rsidRDefault="00F17549" w:rsidP="0022069A">
            <w:pPr>
              <w:pStyle w:val="TableText"/>
              <w:jc w:val="right"/>
              <w:rPr>
                <w:szCs w:val="18"/>
              </w:rPr>
            </w:pPr>
            <w:r w:rsidRPr="005911E2">
              <w:rPr>
                <w:rFonts w:cs="Arial"/>
                <w:color w:val="000000"/>
                <w:szCs w:val="18"/>
                <w:lang w:eastAsia="en-AU" w:bidi="ar-SA"/>
              </w:rPr>
              <w:t>27.7</w:t>
            </w:r>
          </w:p>
        </w:tc>
        <w:tc>
          <w:tcPr>
            <w:tcW w:w="992" w:type="dxa"/>
            <w:vAlign w:val="bottom"/>
          </w:tcPr>
          <w:p w:rsidR="00F17549" w:rsidRPr="005911E2" w:rsidRDefault="00F17549" w:rsidP="0022069A">
            <w:pPr>
              <w:pStyle w:val="TableText"/>
              <w:jc w:val="right"/>
              <w:rPr>
                <w:szCs w:val="18"/>
              </w:rPr>
            </w:pPr>
            <w:r w:rsidRPr="005911E2">
              <w:rPr>
                <w:rFonts w:cs="Arial"/>
                <w:color w:val="000000"/>
                <w:szCs w:val="18"/>
                <w:lang w:eastAsia="en-AU" w:bidi="ar-SA"/>
              </w:rPr>
              <w:t>4.0</w:t>
            </w:r>
          </w:p>
        </w:tc>
        <w:tc>
          <w:tcPr>
            <w:tcW w:w="851" w:type="dxa"/>
            <w:vAlign w:val="bottom"/>
          </w:tcPr>
          <w:p w:rsidR="00F17549" w:rsidRPr="005911E2" w:rsidRDefault="00F17549" w:rsidP="0022069A">
            <w:pPr>
              <w:pStyle w:val="TableText"/>
              <w:jc w:val="right"/>
              <w:rPr>
                <w:szCs w:val="18"/>
              </w:rPr>
            </w:pPr>
            <w:r w:rsidRPr="005911E2">
              <w:rPr>
                <w:rFonts w:cs="Arial"/>
                <w:color w:val="000000"/>
                <w:szCs w:val="18"/>
                <w:lang w:eastAsia="en-AU" w:bidi="ar-SA"/>
              </w:rPr>
              <w:t>25.6</w:t>
            </w:r>
          </w:p>
        </w:tc>
        <w:tc>
          <w:tcPr>
            <w:tcW w:w="992" w:type="dxa"/>
            <w:vAlign w:val="bottom"/>
          </w:tcPr>
          <w:p w:rsidR="00F17549" w:rsidRPr="00F17549" w:rsidRDefault="00F17549" w:rsidP="0022069A">
            <w:pPr>
              <w:pStyle w:val="TableText"/>
              <w:jc w:val="right"/>
              <w:rPr>
                <w:szCs w:val="18"/>
              </w:rPr>
            </w:pPr>
            <w:r w:rsidRPr="00F17549">
              <w:rPr>
                <w:szCs w:val="18"/>
              </w:rPr>
              <w:t>98.6</w:t>
            </w:r>
          </w:p>
        </w:tc>
      </w:tr>
      <w:tr w:rsidR="00F17549" w:rsidRPr="005911E2" w:rsidTr="00FB6A20">
        <w:trPr>
          <w:jc w:val="right"/>
        </w:trPr>
        <w:tc>
          <w:tcPr>
            <w:tcW w:w="1972" w:type="dxa"/>
            <w:vAlign w:val="bottom"/>
          </w:tcPr>
          <w:p w:rsidR="00F17549" w:rsidRPr="005911E2" w:rsidRDefault="00F17549" w:rsidP="0022069A">
            <w:pPr>
              <w:pStyle w:val="TableText"/>
              <w:rPr>
                <w:szCs w:val="18"/>
              </w:rPr>
            </w:pPr>
            <w:r w:rsidRPr="005911E2">
              <w:rPr>
                <w:szCs w:val="18"/>
              </w:rPr>
              <w:t>Vulnerable IM</w:t>
            </w:r>
          </w:p>
        </w:tc>
        <w:tc>
          <w:tcPr>
            <w:tcW w:w="992" w:type="dxa"/>
            <w:vAlign w:val="bottom"/>
          </w:tcPr>
          <w:p w:rsidR="00F17549" w:rsidRPr="005911E2" w:rsidRDefault="00F17549" w:rsidP="0022069A">
            <w:pPr>
              <w:pStyle w:val="TableText"/>
              <w:jc w:val="right"/>
              <w:rPr>
                <w:szCs w:val="18"/>
              </w:rPr>
            </w:pPr>
            <w:r w:rsidRPr="005911E2">
              <w:rPr>
                <w:rFonts w:cs="Arial"/>
                <w:color w:val="000000"/>
                <w:szCs w:val="18"/>
                <w:lang w:eastAsia="en-AU" w:bidi="ar-SA"/>
              </w:rPr>
              <w:t>192</w:t>
            </w:r>
          </w:p>
        </w:tc>
        <w:tc>
          <w:tcPr>
            <w:tcW w:w="993" w:type="dxa"/>
            <w:vAlign w:val="bottom"/>
          </w:tcPr>
          <w:p w:rsidR="00F17549" w:rsidRPr="005911E2" w:rsidRDefault="00F17549" w:rsidP="0022069A">
            <w:pPr>
              <w:pStyle w:val="TableText"/>
              <w:jc w:val="right"/>
              <w:rPr>
                <w:szCs w:val="18"/>
              </w:rPr>
            </w:pPr>
            <w:r w:rsidRPr="005911E2">
              <w:rPr>
                <w:rFonts w:cs="Arial"/>
                <w:color w:val="000000"/>
                <w:szCs w:val="18"/>
                <w:lang w:eastAsia="en-AU" w:bidi="ar-SA"/>
              </w:rPr>
              <w:t>6</w:t>
            </w:r>
          </w:p>
        </w:tc>
        <w:tc>
          <w:tcPr>
            <w:tcW w:w="850" w:type="dxa"/>
            <w:vAlign w:val="bottom"/>
          </w:tcPr>
          <w:p w:rsidR="00F17549" w:rsidRPr="005911E2" w:rsidRDefault="00F17549" w:rsidP="0022069A">
            <w:pPr>
              <w:pStyle w:val="TableText"/>
              <w:jc w:val="right"/>
              <w:rPr>
                <w:szCs w:val="18"/>
              </w:rPr>
            </w:pPr>
            <w:r w:rsidRPr="005911E2">
              <w:rPr>
                <w:rFonts w:cs="Arial"/>
                <w:color w:val="000000"/>
                <w:szCs w:val="18"/>
                <w:lang w:eastAsia="en-AU" w:bidi="ar-SA"/>
              </w:rPr>
              <w:t>198</w:t>
            </w:r>
          </w:p>
        </w:tc>
        <w:tc>
          <w:tcPr>
            <w:tcW w:w="142" w:type="dxa"/>
            <w:vAlign w:val="bottom"/>
          </w:tcPr>
          <w:p w:rsidR="00F17549" w:rsidRPr="005911E2" w:rsidRDefault="00F17549" w:rsidP="0022069A">
            <w:pPr>
              <w:pStyle w:val="TableText"/>
              <w:jc w:val="right"/>
              <w:rPr>
                <w:szCs w:val="18"/>
              </w:rPr>
            </w:pPr>
          </w:p>
        </w:tc>
        <w:tc>
          <w:tcPr>
            <w:tcW w:w="992" w:type="dxa"/>
            <w:vAlign w:val="bottom"/>
          </w:tcPr>
          <w:p w:rsidR="00F17549" w:rsidRPr="005911E2" w:rsidRDefault="00F17549" w:rsidP="0022069A">
            <w:pPr>
              <w:pStyle w:val="TableText"/>
              <w:jc w:val="right"/>
              <w:rPr>
                <w:szCs w:val="18"/>
              </w:rPr>
            </w:pPr>
            <w:r w:rsidRPr="005911E2">
              <w:rPr>
                <w:rFonts w:cs="Arial"/>
                <w:color w:val="000000"/>
                <w:szCs w:val="18"/>
                <w:lang w:eastAsia="en-AU" w:bidi="ar-SA"/>
              </w:rPr>
              <w:t>1.3</w:t>
            </w:r>
          </w:p>
        </w:tc>
        <w:tc>
          <w:tcPr>
            <w:tcW w:w="992" w:type="dxa"/>
            <w:vAlign w:val="bottom"/>
          </w:tcPr>
          <w:p w:rsidR="00F17549" w:rsidRPr="005911E2" w:rsidRDefault="008749C8" w:rsidP="0022069A">
            <w:pPr>
              <w:pStyle w:val="TableText"/>
              <w:jc w:val="right"/>
              <w:rPr>
                <w:szCs w:val="18"/>
              </w:rPr>
            </w:pPr>
            <w:r>
              <w:rPr>
                <w:rFonts w:cs="Arial"/>
                <w:color w:val="000000"/>
                <w:szCs w:val="18"/>
                <w:lang w:eastAsia="en-AU" w:bidi="ar-SA"/>
              </w:rPr>
              <w:t>0</w:t>
            </w:r>
            <w:r w:rsidR="00F17549" w:rsidRPr="005911E2">
              <w:rPr>
                <w:rFonts w:cs="Arial"/>
                <w:color w:val="000000"/>
                <w:szCs w:val="18"/>
                <w:lang w:eastAsia="en-AU" w:bidi="ar-SA"/>
              </w:rPr>
              <w:t>.4</w:t>
            </w:r>
          </w:p>
        </w:tc>
        <w:tc>
          <w:tcPr>
            <w:tcW w:w="851" w:type="dxa"/>
            <w:vAlign w:val="bottom"/>
          </w:tcPr>
          <w:p w:rsidR="00F17549" w:rsidRPr="005911E2" w:rsidRDefault="00F17549" w:rsidP="0022069A">
            <w:pPr>
              <w:pStyle w:val="TableText"/>
              <w:jc w:val="right"/>
              <w:rPr>
                <w:szCs w:val="18"/>
              </w:rPr>
            </w:pPr>
            <w:r w:rsidRPr="005911E2">
              <w:rPr>
                <w:rFonts w:cs="Arial"/>
                <w:color w:val="000000"/>
                <w:szCs w:val="18"/>
                <w:lang w:eastAsia="en-AU" w:bidi="ar-SA"/>
              </w:rPr>
              <w:t>1.2</w:t>
            </w:r>
          </w:p>
        </w:tc>
        <w:tc>
          <w:tcPr>
            <w:tcW w:w="992" w:type="dxa"/>
            <w:vAlign w:val="bottom"/>
          </w:tcPr>
          <w:p w:rsidR="00F17549" w:rsidRPr="00F17549" w:rsidRDefault="00F17549" w:rsidP="0022069A">
            <w:pPr>
              <w:pStyle w:val="TableText"/>
              <w:jc w:val="right"/>
              <w:rPr>
                <w:szCs w:val="18"/>
              </w:rPr>
            </w:pPr>
            <w:r w:rsidRPr="00F17549">
              <w:rPr>
                <w:szCs w:val="18"/>
              </w:rPr>
              <w:t>97.0</w:t>
            </w:r>
          </w:p>
        </w:tc>
      </w:tr>
      <w:tr w:rsidR="00F17549" w:rsidRPr="005911E2" w:rsidTr="00FB6A20">
        <w:trPr>
          <w:jc w:val="right"/>
        </w:trPr>
        <w:tc>
          <w:tcPr>
            <w:tcW w:w="1972" w:type="dxa"/>
            <w:tcBorders>
              <w:bottom w:val="single" w:sz="4" w:space="0" w:color="auto"/>
            </w:tcBorders>
            <w:vAlign w:val="bottom"/>
          </w:tcPr>
          <w:p w:rsidR="00F17549" w:rsidRPr="005911E2" w:rsidRDefault="00F17549" w:rsidP="0022069A">
            <w:pPr>
              <w:pStyle w:val="TableText"/>
              <w:rPr>
                <w:szCs w:val="18"/>
              </w:rPr>
            </w:pPr>
            <w:r w:rsidRPr="005911E2">
              <w:rPr>
                <w:szCs w:val="18"/>
              </w:rPr>
              <w:t>Total</w:t>
            </w:r>
          </w:p>
        </w:tc>
        <w:tc>
          <w:tcPr>
            <w:tcW w:w="992" w:type="dxa"/>
            <w:tcBorders>
              <w:bottom w:val="single" w:sz="4" w:space="0" w:color="auto"/>
            </w:tcBorders>
            <w:vAlign w:val="bottom"/>
          </w:tcPr>
          <w:p w:rsidR="00F17549" w:rsidRPr="005911E2" w:rsidRDefault="00F17549" w:rsidP="000238F6">
            <w:pPr>
              <w:pStyle w:val="TableText"/>
              <w:jc w:val="right"/>
              <w:rPr>
                <w:szCs w:val="18"/>
              </w:rPr>
            </w:pPr>
            <w:r w:rsidRPr="005911E2">
              <w:rPr>
                <w:rFonts w:cs="Arial"/>
                <w:color w:val="000000"/>
                <w:szCs w:val="18"/>
                <w:lang w:eastAsia="en-AU" w:bidi="ar-SA"/>
              </w:rPr>
              <w:t>14</w:t>
            </w:r>
            <w:r>
              <w:rPr>
                <w:rFonts w:cs="Arial"/>
                <w:color w:val="000000"/>
                <w:szCs w:val="18"/>
                <w:lang w:eastAsia="en-AU" w:bidi="ar-SA"/>
              </w:rPr>
              <w:t> </w:t>
            </w:r>
            <w:r w:rsidRPr="005911E2">
              <w:rPr>
                <w:rFonts w:cs="Arial"/>
                <w:color w:val="000000"/>
                <w:szCs w:val="18"/>
                <w:lang w:eastAsia="en-AU" w:bidi="ar-SA"/>
              </w:rPr>
              <w:t>927</w:t>
            </w:r>
          </w:p>
        </w:tc>
        <w:tc>
          <w:tcPr>
            <w:tcW w:w="993" w:type="dxa"/>
            <w:tcBorders>
              <w:bottom w:val="single" w:sz="4" w:space="0" w:color="auto"/>
            </w:tcBorders>
            <w:vAlign w:val="bottom"/>
          </w:tcPr>
          <w:p w:rsidR="00F17549" w:rsidRPr="005911E2" w:rsidRDefault="00F17549" w:rsidP="000238F6">
            <w:pPr>
              <w:pStyle w:val="TableText"/>
              <w:jc w:val="right"/>
              <w:rPr>
                <w:szCs w:val="18"/>
              </w:rPr>
            </w:pPr>
            <w:r w:rsidRPr="005911E2">
              <w:rPr>
                <w:rFonts w:cs="Arial"/>
                <w:color w:val="000000"/>
                <w:szCs w:val="18"/>
                <w:lang w:eastAsia="en-AU" w:bidi="ar-SA"/>
              </w:rPr>
              <w:t>1</w:t>
            </w:r>
            <w:r>
              <w:rPr>
                <w:rFonts w:cs="Arial"/>
                <w:color w:val="000000"/>
                <w:szCs w:val="18"/>
                <w:lang w:eastAsia="en-AU" w:bidi="ar-SA"/>
              </w:rPr>
              <w:t> </w:t>
            </w:r>
            <w:r w:rsidRPr="005911E2">
              <w:rPr>
                <w:rFonts w:cs="Arial"/>
                <w:color w:val="000000"/>
                <w:szCs w:val="18"/>
                <w:lang w:eastAsia="en-AU" w:bidi="ar-SA"/>
              </w:rPr>
              <w:t>466</w:t>
            </w:r>
          </w:p>
        </w:tc>
        <w:tc>
          <w:tcPr>
            <w:tcW w:w="850" w:type="dxa"/>
            <w:tcBorders>
              <w:bottom w:val="single" w:sz="4" w:space="0" w:color="auto"/>
            </w:tcBorders>
            <w:vAlign w:val="bottom"/>
          </w:tcPr>
          <w:p w:rsidR="00F17549" w:rsidRPr="005911E2" w:rsidRDefault="00F17549" w:rsidP="000238F6">
            <w:pPr>
              <w:pStyle w:val="TableText"/>
              <w:jc w:val="right"/>
              <w:rPr>
                <w:szCs w:val="18"/>
              </w:rPr>
            </w:pPr>
            <w:r w:rsidRPr="005911E2">
              <w:rPr>
                <w:rFonts w:cs="Arial"/>
                <w:color w:val="000000"/>
                <w:szCs w:val="18"/>
                <w:lang w:eastAsia="en-AU" w:bidi="ar-SA"/>
              </w:rPr>
              <w:t>16</w:t>
            </w:r>
            <w:r>
              <w:rPr>
                <w:rFonts w:cs="Arial"/>
                <w:color w:val="000000"/>
                <w:szCs w:val="18"/>
                <w:lang w:eastAsia="en-AU" w:bidi="ar-SA"/>
              </w:rPr>
              <w:t> </w:t>
            </w:r>
            <w:r w:rsidRPr="005911E2">
              <w:rPr>
                <w:rFonts w:cs="Arial"/>
                <w:color w:val="000000"/>
                <w:szCs w:val="18"/>
                <w:lang w:eastAsia="en-AU" w:bidi="ar-SA"/>
              </w:rPr>
              <w:t>393</w:t>
            </w:r>
          </w:p>
        </w:tc>
        <w:tc>
          <w:tcPr>
            <w:tcW w:w="142" w:type="dxa"/>
            <w:tcBorders>
              <w:bottom w:val="single" w:sz="4" w:space="0" w:color="auto"/>
            </w:tcBorders>
            <w:vAlign w:val="bottom"/>
          </w:tcPr>
          <w:p w:rsidR="00F17549" w:rsidRPr="005911E2" w:rsidRDefault="00F17549" w:rsidP="0022069A">
            <w:pPr>
              <w:pStyle w:val="TableText"/>
              <w:jc w:val="right"/>
              <w:rPr>
                <w:szCs w:val="18"/>
              </w:rPr>
            </w:pPr>
          </w:p>
        </w:tc>
        <w:tc>
          <w:tcPr>
            <w:tcW w:w="992" w:type="dxa"/>
            <w:tcBorders>
              <w:bottom w:val="single" w:sz="4" w:space="0" w:color="auto"/>
            </w:tcBorders>
            <w:vAlign w:val="bottom"/>
          </w:tcPr>
          <w:p w:rsidR="00F17549" w:rsidRPr="005911E2" w:rsidRDefault="00F17549" w:rsidP="0022069A">
            <w:pPr>
              <w:pStyle w:val="TableText"/>
              <w:jc w:val="right"/>
              <w:rPr>
                <w:szCs w:val="18"/>
              </w:rPr>
            </w:pPr>
            <w:r w:rsidRPr="005911E2">
              <w:rPr>
                <w:rFonts w:cs="Arial"/>
                <w:color w:val="000000"/>
                <w:szCs w:val="18"/>
                <w:lang w:eastAsia="en-AU" w:bidi="ar-SA"/>
              </w:rPr>
              <w:t>100.0</w:t>
            </w:r>
          </w:p>
        </w:tc>
        <w:tc>
          <w:tcPr>
            <w:tcW w:w="992" w:type="dxa"/>
            <w:tcBorders>
              <w:bottom w:val="single" w:sz="4" w:space="0" w:color="auto"/>
            </w:tcBorders>
            <w:vAlign w:val="bottom"/>
          </w:tcPr>
          <w:p w:rsidR="00F17549" w:rsidRPr="005911E2" w:rsidRDefault="00F17549" w:rsidP="0022069A">
            <w:pPr>
              <w:pStyle w:val="TableText"/>
              <w:jc w:val="right"/>
              <w:rPr>
                <w:szCs w:val="18"/>
              </w:rPr>
            </w:pPr>
            <w:r w:rsidRPr="005911E2">
              <w:rPr>
                <w:rFonts w:cs="Arial"/>
                <w:color w:val="000000"/>
                <w:szCs w:val="18"/>
                <w:lang w:eastAsia="en-AU" w:bidi="ar-SA"/>
              </w:rPr>
              <w:t>100.0</w:t>
            </w:r>
          </w:p>
        </w:tc>
        <w:tc>
          <w:tcPr>
            <w:tcW w:w="851" w:type="dxa"/>
            <w:tcBorders>
              <w:bottom w:val="single" w:sz="4" w:space="0" w:color="auto"/>
            </w:tcBorders>
            <w:vAlign w:val="bottom"/>
          </w:tcPr>
          <w:p w:rsidR="00F17549" w:rsidRPr="005911E2" w:rsidRDefault="00F17549" w:rsidP="0022069A">
            <w:pPr>
              <w:pStyle w:val="TableText"/>
              <w:jc w:val="right"/>
              <w:rPr>
                <w:szCs w:val="18"/>
              </w:rPr>
            </w:pPr>
            <w:r w:rsidRPr="005911E2">
              <w:rPr>
                <w:rFonts w:cs="Arial"/>
                <w:color w:val="000000"/>
                <w:szCs w:val="18"/>
                <w:lang w:eastAsia="en-AU" w:bidi="ar-SA"/>
              </w:rPr>
              <w:t>100.0</w:t>
            </w:r>
          </w:p>
        </w:tc>
        <w:tc>
          <w:tcPr>
            <w:tcW w:w="992" w:type="dxa"/>
            <w:tcBorders>
              <w:bottom w:val="single" w:sz="4" w:space="0" w:color="auto"/>
            </w:tcBorders>
            <w:vAlign w:val="bottom"/>
          </w:tcPr>
          <w:p w:rsidR="00F17549" w:rsidRPr="00F17549" w:rsidRDefault="00F17549" w:rsidP="0022069A">
            <w:pPr>
              <w:pStyle w:val="TableText"/>
              <w:jc w:val="right"/>
              <w:rPr>
                <w:szCs w:val="18"/>
              </w:rPr>
            </w:pPr>
            <w:r w:rsidRPr="00F17549">
              <w:rPr>
                <w:szCs w:val="18"/>
              </w:rPr>
              <w:t>91.1</w:t>
            </w:r>
          </w:p>
        </w:tc>
      </w:tr>
    </w:tbl>
    <w:p w:rsidR="00ED395D" w:rsidRPr="005911E2" w:rsidRDefault="00ED395D" w:rsidP="00CF78DB">
      <w:pPr>
        <w:pStyle w:val="tablefootnotes"/>
      </w:pPr>
      <w:r w:rsidRPr="005911E2">
        <w:t xml:space="preserve">Population: </w:t>
      </w:r>
      <w:r w:rsidR="001B4FC7">
        <w:tab/>
      </w:r>
      <w:r w:rsidRPr="005911E2">
        <w:t xml:space="preserve">Income </w:t>
      </w:r>
      <w:r w:rsidR="00E146B5">
        <w:t>s</w:t>
      </w:r>
      <w:r w:rsidRPr="005911E2">
        <w:t>upport recipients in the</w:t>
      </w:r>
      <w:r w:rsidR="006435C8">
        <w:t xml:space="preserve"> Northern Territory </w:t>
      </w:r>
      <w:r w:rsidRPr="005911E2">
        <w:t xml:space="preserve">subject to </w:t>
      </w:r>
      <w:r w:rsidR="00E146B5">
        <w:t>i</w:t>
      </w:r>
      <w:r w:rsidRPr="005911E2">
        <w:t xml:space="preserve">ncome </w:t>
      </w:r>
      <w:r w:rsidR="00E146B5">
        <w:t>m</w:t>
      </w:r>
      <w:r w:rsidRPr="005911E2">
        <w:t>anagement</w:t>
      </w:r>
      <w:r w:rsidR="003A1D87">
        <w:t>.</w:t>
      </w:r>
    </w:p>
    <w:p w:rsidR="0022069A" w:rsidRDefault="0022069A" w:rsidP="00CF78DB">
      <w:pPr>
        <w:pStyle w:val="tablefootnotes"/>
      </w:pPr>
      <w:r w:rsidRPr="005911E2">
        <w:t xml:space="preserve">Source: </w:t>
      </w:r>
      <w:r w:rsidR="001B4FC7">
        <w:tab/>
      </w:r>
      <w:r w:rsidRPr="005911E2">
        <w:t xml:space="preserve">Income </w:t>
      </w:r>
      <w:r w:rsidR="00E146B5">
        <w:t>s</w:t>
      </w:r>
      <w:r w:rsidRPr="005911E2">
        <w:t xml:space="preserve">upport payments file and </w:t>
      </w:r>
      <w:r w:rsidR="00F878E4">
        <w:t>income management</w:t>
      </w:r>
      <w:r w:rsidRPr="005911E2">
        <w:t xml:space="preserve"> person files for fortnight ending 28 October</w:t>
      </w:r>
      <w:r w:rsidR="003A1B16" w:rsidRPr="005911E2">
        <w:t xml:space="preserve"> 2011</w:t>
      </w:r>
      <w:r w:rsidR="003A1D87">
        <w:t>.</w:t>
      </w:r>
    </w:p>
    <w:p w:rsidR="00943DCB" w:rsidRPr="005911E2" w:rsidRDefault="00943DCB" w:rsidP="00CF78DB">
      <w:pPr>
        <w:pStyle w:val="tablefootnotes"/>
      </w:pPr>
    </w:p>
    <w:p w:rsidR="00943DCB" w:rsidRPr="005911E2" w:rsidRDefault="00943DCB" w:rsidP="00943DCB">
      <w:pPr>
        <w:pStyle w:val="BodyText"/>
      </w:pPr>
      <w:r w:rsidRPr="005911E2">
        <w:t>Women account for 61 per cent (9</w:t>
      </w:r>
      <w:r>
        <w:t> </w:t>
      </w:r>
      <w:r w:rsidRPr="005911E2">
        <w:t xml:space="preserve">975) of the people subject to </w:t>
      </w:r>
      <w:r>
        <w:t>income management</w:t>
      </w:r>
      <w:r w:rsidRPr="005911E2">
        <w:t xml:space="preserve"> (Table </w:t>
      </w:r>
      <w:r w:rsidRPr="005911E2">
        <w:rPr>
          <w:noProof/>
        </w:rPr>
        <w:t>4</w:t>
      </w:r>
      <w:r w:rsidRPr="005911E2">
        <w:noBreakHyphen/>
      </w:r>
      <w:r w:rsidRPr="005911E2">
        <w:rPr>
          <w:noProof/>
        </w:rPr>
        <w:t>8</w:t>
      </w:r>
      <w:r w:rsidRPr="005911E2">
        <w:t>). This proportion varies between measures. Women account for:</w:t>
      </w:r>
    </w:p>
    <w:p w:rsidR="00943DCB" w:rsidRPr="005911E2" w:rsidRDefault="00943DCB" w:rsidP="00943DCB">
      <w:pPr>
        <w:pStyle w:val="ListBullet"/>
      </w:pPr>
      <w:r w:rsidRPr="005911E2">
        <w:t xml:space="preserve">52 per cent of those on </w:t>
      </w:r>
      <w:r>
        <w:t>Vulnerable Income Management</w:t>
      </w:r>
    </w:p>
    <w:p w:rsidR="00943DCB" w:rsidRPr="005911E2" w:rsidRDefault="00943DCB" w:rsidP="00943DCB">
      <w:pPr>
        <w:pStyle w:val="ListBullet"/>
      </w:pPr>
      <w:r w:rsidRPr="005911E2">
        <w:t xml:space="preserve">56 per cent participating in </w:t>
      </w:r>
      <w:r>
        <w:t>Voluntary Income Management</w:t>
      </w:r>
    </w:p>
    <w:p w:rsidR="00943DCB" w:rsidRPr="005911E2" w:rsidRDefault="00943DCB" w:rsidP="00943DCB">
      <w:pPr>
        <w:pStyle w:val="ListBullet"/>
      </w:pPr>
      <w:r w:rsidRPr="005911E2">
        <w:t xml:space="preserve">62 per cent on the </w:t>
      </w:r>
      <w:r>
        <w:t>Long-Term</w:t>
      </w:r>
      <w:r w:rsidRPr="005911E2">
        <w:t xml:space="preserve"> Welfare</w:t>
      </w:r>
      <w:r>
        <w:t xml:space="preserve"> Payment Recipients</w:t>
      </w:r>
      <w:r w:rsidRPr="005911E2">
        <w:t xml:space="preserve"> initiative</w:t>
      </w:r>
    </w:p>
    <w:p w:rsidR="00943DCB" w:rsidRPr="005911E2" w:rsidRDefault="00943DCB" w:rsidP="00943DCB">
      <w:pPr>
        <w:pStyle w:val="ListBullet"/>
      </w:pPr>
      <w:r w:rsidRPr="005911E2">
        <w:lastRenderedPageBreak/>
        <w:t>63 per cent of Disengaged Youth</w:t>
      </w:r>
    </w:p>
    <w:p w:rsidR="00943DCB" w:rsidRDefault="00943DCB" w:rsidP="00943DCB">
      <w:pPr>
        <w:pStyle w:val="ListBullet"/>
      </w:pPr>
      <w:r w:rsidRPr="005911E2">
        <w:t xml:space="preserve">80 per cent of those subject to </w:t>
      </w:r>
      <w:r>
        <w:t>Child Protection Income Management</w:t>
      </w:r>
      <w:r w:rsidRPr="005911E2">
        <w:t>.</w:t>
      </w:r>
    </w:p>
    <w:p w:rsidR="0022069A" w:rsidRPr="005911E2" w:rsidRDefault="0022069A" w:rsidP="0022069A">
      <w:pPr>
        <w:pStyle w:val="tabfighead"/>
      </w:pPr>
      <w:bookmarkStart w:id="315" w:name="_Ref320514572"/>
      <w:bookmarkStart w:id="316" w:name="_Toc321430411"/>
      <w:bookmarkStart w:id="317" w:name="_Toc321761681"/>
      <w:bookmarkStart w:id="318" w:name="_Toc321254530"/>
      <w:bookmarkStart w:id="319" w:name="_Toc328601578"/>
      <w:bookmarkStart w:id="320" w:name="_Toc329051356"/>
      <w:bookmarkStart w:id="321" w:name="_Toc335915844"/>
      <w:r w:rsidRPr="005911E2">
        <w:t xml:space="preserve">Table </w:t>
      </w:r>
      <w:r w:rsidR="00C7347D" w:rsidRPr="005911E2">
        <w:fldChar w:fldCharType="begin"/>
      </w:r>
      <w:r w:rsidR="00435FEB" w:rsidRPr="005911E2">
        <w:instrText xml:space="preserve"> STYLEREF 1 \s </w:instrText>
      </w:r>
      <w:r w:rsidR="00C7347D" w:rsidRPr="005911E2">
        <w:fldChar w:fldCharType="separate"/>
      </w:r>
      <w:r w:rsidR="007D7E45">
        <w:rPr>
          <w:noProof/>
        </w:rPr>
        <w:t>4</w:t>
      </w:r>
      <w:r w:rsidR="00C7347D" w:rsidRPr="005911E2">
        <w:rPr>
          <w:noProof/>
        </w:rPr>
        <w:fldChar w:fldCharType="end"/>
      </w:r>
      <w:r w:rsidRPr="005911E2">
        <w:noBreakHyphen/>
      </w:r>
      <w:r w:rsidR="00C7347D" w:rsidRPr="005911E2">
        <w:fldChar w:fldCharType="begin"/>
      </w:r>
      <w:r w:rsidR="00435FEB" w:rsidRPr="005911E2">
        <w:instrText xml:space="preserve"> SEQ Table \* ARABIC \s 1 </w:instrText>
      </w:r>
      <w:r w:rsidR="00C7347D" w:rsidRPr="005911E2">
        <w:fldChar w:fldCharType="separate"/>
      </w:r>
      <w:r w:rsidR="007D7E45">
        <w:rPr>
          <w:noProof/>
        </w:rPr>
        <w:t>8</w:t>
      </w:r>
      <w:r w:rsidR="00C7347D" w:rsidRPr="005911E2">
        <w:rPr>
          <w:noProof/>
        </w:rPr>
        <w:fldChar w:fldCharType="end"/>
      </w:r>
      <w:bookmarkEnd w:id="315"/>
      <w:r w:rsidRPr="005911E2">
        <w:t xml:space="preserve"> </w:t>
      </w:r>
      <w:r w:rsidRPr="005911E2">
        <w:tab/>
      </w:r>
      <w:r w:rsidR="006435C8">
        <w:t xml:space="preserve">Northern Territory </w:t>
      </w:r>
      <w:r w:rsidRPr="005911E2">
        <w:t>income managed population by stream and gender, October 2011</w:t>
      </w:r>
      <w:bookmarkEnd w:id="316"/>
      <w:bookmarkEnd w:id="317"/>
      <w:bookmarkEnd w:id="318"/>
      <w:bookmarkEnd w:id="319"/>
      <w:bookmarkEnd w:id="320"/>
      <w:bookmarkEnd w:id="321"/>
    </w:p>
    <w:tbl>
      <w:tblPr>
        <w:tblStyle w:val="TableGrid"/>
        <w:tblW w:w="874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57" w:type="dxa"/>
        </w:tblCellMar>
        <w:tblLook w:val="04A0" w:firstRow="1" w:lastRow="0" w:firstColumn="1" w:lastColumn="0" w:noHBand="0" w:noVBand="1"/>
        <w:tblCaption w:val="Table 4-8 Northern Territory income managed population by stream and gender, October 2011"/>
        <w:tblDescription w:val="Table 4-8 Northern Territory income managed population by stream and gender, October 2011"/>
      </w:tblPr>
      <w:tblGrid>
        <w:gridCol w:w="2364"/>
        <w:gridCol w:w="850"/>
        <w:gridCol w:w="992"/>
        <w:gridCol w:w="851"/>
        <w:gridCol w:w="283"/>
        <w:gridCol w:w="851"/>
        <w:gridCol w:w="850"/>
        <w:gridCol w:w="709"/>
        <w:gridCol w:w="992"/>
      </w:tblGrid>
      <w:tr w:rsidR="00F17549" w:rsidRPr="005911E2" w:rsidTr="009D15E2">
        <w:trPr>
          <w:tblHeader/>
          <w:jc w:val="right"/>
        </w:trPr>
        <w:tc>
          <w:tcPr>
            <w:tcW w:w="2364" w:type="dxa"/>
            <w:tcBorders>
              <w:top w:val="single" w:sz="4" w:space="0" w:color="auto"/>
              <w:bottom w:val="single" w:sz="4" w:space="0" w:color="auto"/>
            </w:tcBorders>
          </w:tcPr>
          <w:p w:rsidR="00F17549" w:rsidRPr="005911E2" w:rsidRDefault="00F17549" w:rsidP="0022069A">
            <w:pPr>
              <w:pStyle w:val="TableText"/>
              <w:rPr>
                <w:szCs w:val="18"/>
              </w:rPr>
            </w:pPr>
          </w:p>
        </w:tc>
        <w:tc>
          <w:tcPr>
            <w:tcW w:w="850" w:type="dxa"/>
            <w:tcBorders>
              <w:top w:val="single" w:sz="4" w:space="0" w:color="auto"/>
              <w:bottom w:val="single" w:sz="4" w:space="0" w:color="auto"/>
            </w:tcBorders>
          </w:tcPr>
          <w:p w:rsidR="00F17549" w:rsidRPr="005911E2" w:rsidRDefault="00F17549" w:rsidP="0022069A">
            <w:pPr>
              <w:pStyle w:val="TableText"/>
              <w:jc w:val="right"/>
              <w:rPr>
                <w:szCs w:val="18"/>
              </w:rPr>
            </w:pPr>
            <w:r w:rsidRPr="005911E2">
              <w:rPr>
                <w:szCs w:val="18"/>
              </w:rPr>
              <w:t>Male</w:t>
            </w:r>
          </w:p>
        </w:tc>
        <w:tc>
          <w:tcPr>
            <w:tcW w:w="992" w:type="dxa"/>
            <w:tcBorders>
              <w:top w:val="single" w:sz="4" w:space="0" w:color="auto"/>
              <w:bottom w:val="single" w:sz="4" w:space="0" w:color="auto"/>
            </w:tcBorders>
          </w:tcPr>
          <w:p w:rsidR="00F17549" w:rsidRPr="005911E2" w:rsidRDefault="00F17549" w:rsidP="0022069A">
            <w:pPr>
              <w:pStyle w:val="TableText"/>
              <w:jc w:val="right"/>
              <w:rPr>
                <w:szCs w:val="18"/>
              </w:rPr>
            </w:pPr>
            <w:r w:rsidRPr="005911E2">
              <w:rPr>
                <w:szCs w:val="18"/>
              </w:rPr>
              <w:t>Female</w:t>
            </w:r>
          </w:p>
        </w:tc>
        <w:tc>
          <w:tcPr>
            <w:tcW w:w="851" w:type="dxa"/>
            <w:tcBorders>
              <w:top w:val="single" w:sz="4" w:space="0" w:color="auto"/>
              <w:bottom w:val="single" w:sz="4" w:space="0" w:color="auto"/>
            </w:tcBorders>
          </w:tcPr>
          <w:p w:rsidR="00F17549" w:rsidRPr="005911E2" w:rsidRDefault="00F17549" w:rsidP="0022069A">
            <w:pPr>
              <w:pStyle w:val="TableText"/>
              <w:jc w:val="right"/>
              <w:rPr>
                <w:szCs w:val="18"/>
              </w:rPr>
            </w:pPr>
            <w:r w:rsidRPr="005911E2">
              <w:rPr>
                <w:szCs w:val="18"/>
              </w:rPr>
              <w:t xml:space="preserve">Total </w:t>
            </w:r>
          </w:p>
        </w:tc>
        <w:tc>
          <w:tcPr>
            <w:tcW w:w="283" w:type="dxa"/>
            <w:tcBorders>
              <w:top w:val="single" w:sz="4" w:space="0" w:color="auto"/>
              <w:bottom w:val="single" w:sz="4" w:space="0" w:color="auto"/>
            </w:tcBorders>
          </w:tcPr>
          <w:p w:rsidR="00F17549" w:rsidRPr="005911E2" w:rsidRDefault="00F17549" w:rsidP="0022069A">
            <w:pPr>
              <w:pStyle w:val="TableText"/>
              <w:jc w:val="right"/>
              <w:rPr>
                <w:szCs w:val="18"/>
              </w:rPr>
            </w:pPr>
          </w:p>
        </w:tc>
        <w:tc>
          <w:tcPr>
            <w:tcW w:w="851" w:type="dxa"/>
            <w:tcBorders>
              <w:top w:val="single" w:sz="4" w:space="0" w:color="auto"/>
              <w:bottom w:val="single" w:sz="4" w:space="0" w:color="auto"/>
            </w:tcBorders>
          </w:tcPr>
          <w:p w:rsidR="00F17549" w:rsidRPr="005911E2" w:rsidRDefault="00F17549" w:rsidP="0022069A">
            <w:pPr>
              <w:pStyle w:val="TableText"/>
              <w:jc w:val="right"/>
              <w:rPr>
                <w:szCs w:val="18"/>
              </w:rPr>
            </w:pPr>
            <w:r w:rsidRPr="005911E2">
              <w:rPr>
                <w:szCs w:val="18"/>
              </w:rPr>
              <w:t xml:space="preserve">Male </w:t>
            </w:r>
          </w:p>
        </w:tc>
        <w:tc>
          <w:tcPr>
            <w:tcW w:w="850" w:type="dxa"/>
            <w:tcBorders>
              <w:top w:val="single" w:sz="4" w:space="0" w:color="auto"/>
              <w:bottom w:val="single" w:sz="4" w:space="0" w:color="auto"/>
            </w:tcBorders>
          </w:tcPr>
          <w:p w:rsidR="00F17549" w:rsidRPr="005911E2" w:rsidRDefault="00F17549" w:rsidP="0022069A">
            <w:pPr>
              <w:pStyle w:val="TableText"/>
              <w:jc w:val="right"/>
              <w:rPr>
                <w:szCs w:val="18"/>
              </w:rPr>
            </w:pPr>
            <w:r w:rsidRPr="005911E2">
              <w:rPr>
                <w:szCs w:val="18"/>
              </w:rPr>
              <w:t>Female</w:t>
            </w:r>
          </w:p>
        </w:tc>
        <w:tc>
          <w:tcPr>
            <w:tcW w:w="709" w:type="dxa"/>
            <w:tcBorders>
              <w:top w:val="single" w:sz="4" w:space="0" w:color="auto"/>
              <w:bottom w:val="single" w:sz="4" w:space="0" w:color="auto"/>
            </w:tcBorders>
          </w:tcPr>
          <w:p w:rsidR="00F17549" w:rsidRPr="005911E2" w:rsidRDefault="00F17549" w:rsidP="0022069A">
            <w:pPr>
              <w:pStyle w:val="TableText"/>
              <w:jc w:val="right"/>
              <w:rPr>
                <w:szCs w:val="18"/>
              </w:rPr>
            </w:pPr>
            <w:r w:rsidRPr="005911E2">
              <w:rPr>
                <w:szCs w:val="18"/>
              </w:rPr>
              <w:t xml:space="preserve">Total </w:t>
            </w:r>
          </w:p>
        </w:tc>
        <w:tc>
          <w:tcPr>
            <w:tcW w:w="992" w:type="dxa"/>
            <w:tcBorders>
              <w:top w:val="single" w:sz="4" w:space="0" w:color="auto"/>
              <w:bottom w:val="single" w:sz="4" w:space="0" w:color="auto"/>
            </w:tcBorders>
          </w:tcPr>
          <w:p w:rsidR="00F17549" w:rsidRPr="005911E2" w:rsidRDefault="00F17549" w:rsidP="0022069A">
            <w:pPr>
              <w:pStyle w:val="TableText"/>
              <w:jc w:val="right"/>
              <w:rPr>
                <w:szCs w:val="18"/>
              </w:rPr>
            </w:pPr>
            <w:r>
              <w:rPr>
                <w:szCs w:val="18"/>
              </w:rPr>
              <w:t>Proportion female</w:t>
            </w:r>
          </w:p>
        </w:tc>
      </w:tr>
      <w:tr w:rsidR="00F17549" w:rsidRPr="005911E2" w:rsidTr="00FB6A20">
        <w:trPr>
          <w:jc w:val="right"/>
        </w:trPr>
        <w:tc>
          <w:tcPr>
            <w:tcW w:w="2364" w:type="dxa"/>
            <w:tcBorders>
              <w:top w:val="single" w:sz="4" w:space="0" w:color="auto"/>
            </w:tcBorders>
          </w:tcPr>
          <w:p w:rsidR="00F17549" w:rsidRPr="005911E2" w:rsidRDefault="00F17549" w:rsidP="0022069A">
            <w:pPr>
              <w:pStyle w:val="TableText"/>
              <w:rPr>
                <w:szCs w:val="18"/>
              </w:rPr>
            </w:pPr>
          </w:p>
        </w:tc>
        <w:tc>
          <w:tcPr>
            <w:tcW w:w="2693" w:type="dxa"/>
            <w:gridSpan w:val="3"/>
            <w:tcBorders>
              <w:top w:val="single" w:sz="4" w:space="0" w:color="auto"/>
            </w:tcBorders>
          </w:tcPr>
          <w:p w:rsidR="00F17549" w:rsidRPr="005911E2" w:rsidRDefault="00F17549" w:rsidP="0022069A">
            <w:pPr>
              <w:pStyle w:val="TableText"/>
              <w:jc w:val="center"/>
              <w:rPr>
                <w:szCs w:val="18"/>
              </w:rPr>
            </w:pPr>
            <w:r w:rsidRPr="005911E2">
              <w:rPr>
                <w:szCs w:val="18"/>
              </w:rPr>
              <w:t>Number</w:t>
            </w:r>
          </w:p>
        </w:tc>
        <w:tc>
          <w:tcPr>
            <w:tcW w:w="283" w:type="dxa"/>
            <w:tcBorders>
              <w:top w:val="single" w:sz="4" w:space="0" w:color="auto"/>
            </w:tcBorders>
          </w:tcPr>
          <w:p w:rsidR="00F17549" w:rsidRPr="005911E2" w:rsidRDefault="00F17549" w:rsidP="0022069A">
            <w:pPr>
              <w:pStyle w:val="TableText"/>
              <w:jc w:val="center"/>
              <w:rPr>
                <w:szCs w:val="18"/>
              </w:rPr>
            </w:pPr>
          </w:p>
        </w:tc>
        <w:tc>
          <w:tcPr>
            <w:tcW w:w="2410" w:type="dxa"/>
            <w:gridSpan w:val="3"/>
            <w:tcBorders>
              <w:top w:val="single" w:sz="4" w:space="0" w:color="auto"/>
            </w:tcBorders>
          </w:tcPr>
          <w:p w:rsidR="00F17549" w:rsidRPr="005911E2" w:rsidRDefault="00F17549" w:rsidP="0022069A">
            <w:pPr>
              <w:pStyle w:val="TableText"/>
              <w:jc w:val="center"/>
              <w:rPr>
                <w:szCs w:val="18"/>
              </w:rPr>
            </w:pPr>
            <w:r w:rsidRPr="005911E2">
              <w:rPr>
                <w:szCs w:val="18"/>
              </w:rPr>
              <w:t>-</w:t>
            </w:r>
            <w:r w:rsidR="006435C8">
              <w:rPr>
                <w:szCs w:val="18"/>
              </w:rPr>
              <w:t xml:space="preserve"> </w:t>
            </w:r>
            <w:r w:rsidRPr="005911E2">
              <w:rPr>
                <w:szCs w:val="18"/>
              </w:rPr>
              <w:t>%</w:t>
            </w:r>
            <w:r w:rsidR="006435C8">
              <w:rPr>
                <w:szCs w:val="18"/>
              </w:rPr>
              <w:t xml:space="preserve"> </w:t>
            </w:r>
            <w:r w:rsidRPr="005911E2">
              <w:rPr>
                <w:szCs w:val="18"/>
              </w:rPr>
              <w:t>-</w:t>
            </w:r>
          </w:p>
        </w:tc>
        <w:tc>
          <w:tcPr>
            <w:tcW w:w="992" w:type="dxa"/>
            <w:tcBorders>
              <w:top w:val="single" w:sz="4" w:space="0" w:color="auto"/>
            </w:tcBorders>
          </w:tcPr>
          <w:p w:rsidR="00F17549" w:rsidRPr="005911E2" w:rsidRDefault="00F17549" w:rsidP="0022069A">
            <w:pPr>
              <w:pStyle w:val="TableText"/>
              <w:jc w:val="center"/>
              <w:rPr>
                <w:szCs w:val="18"/>
              </w:rPr>
            </w:pPr>
          </w:p>
        </w:tc>
      </w:tr>
      <w:tr w:rsidR="00F17549" w:rsidRPr="005911E2" w:rsidTr="00FB6A20">
        <w:trPr>
          <w:jc w:val="right"/>
        </w:trPr>
        <w:tc>
          <w:tcPr>
            <w:tcW w:w="3214" w:type="dxa"/>
            <w:gridSpan w:val="2"/>
            <w:vAlign w:val="bottom"/>
          </w:tcPr>
          <w:p w:rsidR="00F17549" w:rsidRPr="005911E2" w:rsidRDefault="00F17549" w:rsidP="0022069A">
            <w:pPr>
              <w:pStyle w:val="TableText"/>
              <w:rPr>
                <w:szCs w:val="18"/>
              </w:rPr>
            </w:pPr>
            <w:r w:rsidRPr="005911E2">
              <w:rPr>
                <w:szCs w:val="18"/>
              </w:rPr>
              <w:t>Compulsory Income Management</w:t>
            </w:r>
          </w:p>
        </w:tc>
        <w:tc>
          <w:tcPr>
            <w:tcW w:w="992" w:type="dxa"/>
            <w:vAlign w:val="bottom"/>
          </w:tcPr>
          <w:p w:rsidR="00F17549" w:rsidRPr="005911E2" w:rsidRDefault="00F17549" w:rsidP="0022069A">
            <w:pPr>
              <w:pStyle w:val="TableText"/>
              <w:jc w:val="right"/>
              <w:rPr>
                <w:szCs w:val="18"/>
              </w:rPr>
            </w:pPr>
          </w:p>
        </w:tc>
        <w:tc>
          <w:tcPr>
            <w:tcW w:w="851" w:type="dxa"/>
            <w:vAlign w:val="bottom"/>
          </w:tcPr>
          <w:p w:rsidR="00F17549" w:rsidRPr="005911E2" w:rsidRDefault="00F17549" w:rsidP="0022069A">
            <w:pPr>
              <w:pStyle w:val="TableText"/>
              <w:jc w:val="right"/>
              <w:rPr>
                <w:szCs w:val="18"/>
              </w:rPr>
            </w:pPr>
          </w:p>
        </w:tc>
        <w:tc>
          <w:tcPr>
            <w:tcW w:w="283" w:type="dxa"/>
            <w:vAlign w:val="bottom"/>
          </w:tcPr>
          <w:p w:rsidR="00F17549" w:rsidRPr="005911E2" w:rsidRDefault="00F17549" w:rsidP="0022069A">
            <w:pPr>
              <w:pStyle w:val="TableText"/>
              <w:jc w:val="right"/>
              <w:rPr>
                <w:szCs w:val="18"/>
              </w:rPr>
            </w:pPr>
          </w:p>
        </w:tc>
        <w:tc>
          <w:tcPr>
            <w:tcW w:w="851" w:type="dxa"/>
            <w:vAlign w:val="bottom"/>
          </w:tcPr>
          <w:p w:rsidR="00F17549" w:rsidRPr="005911E2" w:rsidRDefault="00F17549" w:rsidP="0022069A">
            <w:pPr>
              <w:pStyle w:val="TableText"/>
              <w:jc w:val="right"/>
              <w:rPr>
                <w:szCs w:val="18"/>
              </w:rPr>
            </w:pPr>
          </w:p>
        </w:tc>
        <w:tc>
          <w:tcPr>
            <w:tcW w:w="850" w:type="dxa"/>
            <w:vAlign w:val="bottom"/>
          </w:tcPr>
          <w:p w:rsidR="00F17549" w:rsidRPr="005911E2" w:rsidRDefault="00F17549" w:rsidP="0022069A">
            <w:pPr>
              <w:pStyle w:val="TableText"/>
              <w:jc w:val="right"/>
              <w:rPr>
                <w:szCs w:val="18"/>
              </w:rPr>
            </w:pPr>
          </w:p>
        </w:tc>
        <w:tc>
          <w:tcPr>
            <w:tcW w:w="709" w:type="dxa"/>
            <w:vAlign w:val="bottom"/>
          </w:tcPr>
          <w:p w:rsidR="00F17549" w:rsidRPr="005911E2" w:rsidRDefault="00F17549" w:rsidP="0022069A">
            <w:pPr>
              <w:pStyle w:val="TableText"/>
              <w:jc w:val="right"/>
              <w:rPr>
                <w:szCs w:val="18"/>
              </w:rPr>
            </w:pPr>
          </w:p>
        </w:tc>
        <w:tc>
          <w:tcPr>
            <w:tcW w:w="992" w:type="dxa"/>
          </w:tcPr>
          <w:p w:rsidR="00F17549" w:rsidRPr="005911E2" w:rsidRDefault="00F17549" w:rsidP="0022069A">
            <w:pPr>
              <w:pStyle w:val="TableText"/>
              <w:jc w:val="right"/>
              <w:rPr>
                <w:szCs w:val="18"/>
              </w:rPr>
            </w:pPr>
          </w:p>
        </w:tc>
      </w:tr>
      <w:tr w:rsidR="00F17549" w:rsidRPr="005911E2" w:rsidTr="00FB6A20">
        <w:trPr>
          <w:jc w:val="right"/>
        </w:trPr>
        <w:tc>
          <w:tcPr>
            <w:tcW w:w="2364" w:type="dxa"/>
            <w:vAlign w:val="bottom"/>
          </w:tcPr>
          <w:p w:rsidR="00F17549" w:rsidRPr="005911E2" w:rsidRDefault="00F17549" w:rsidP="0022069A">
            <w:pPr>
              <w:pStyle w:val="TableText"/>
              <w:ind w:left="317"/>
              <w:rPr>
                <w:szCs w:val="18"/>
              </w:rPr>
            </w:pPr>
            <w:r w:rsidRPr="005911E2">
              <w:rPr>
                <w:szCs w:val="18"/>
              </w:rPr>
              <w:t xml:space="preserve"> Disengaged Youth</w:t>
            </w:r>
          </w:p>
        </w:tc>
        <w:tc>
          <w:tcPr>
            <w:tcW w:w="850" w:type="dxa"/>
          </w:tcPr>
          <w:p w:rsidR="00F17549" w:rsidRPr="005911E2" w:rsidRDefault="00F17549" w:rsidP="00D43D3B">
            <w:pPr>
              <w:pStyle w:val="TableText"/>
              <w:jc w:val="right"/>
              <w:rPr>
                <w:szCs w:val="18"/>
              </w:rPr>
            </w:pPr>
            <w:r w:rsidRPr="005911E2">
              <w:rPr>
                <w:rFonts w:cs="Arial"/>
                <w:color w:val="000000"/>
                <w:szCs w:val="18"/>
                <w:lang w:eastAsia="en-AU" w:bidi="ar-SA"/>
              </w:rPr>
              <w:t>1</w:t>
            </w:r>
            <w:r>
              <w:rPr>
                <w:rFonts w:cs="Arial"/>
                <w:color w:val="000000"/>
                <w:szCs w:val="18"/>
                <w:lang w:eastAsia="en-AU" w:bidi="ar-SA"/>
              </w:rPr>
              <w:t> </w:t>
            </w:r>
            <w:r w:rsidRPr="005911E2">
              <w:rPr>
                <w:rFonts w:cs="Arial"/>
                <w:color w:val="000000"/>
                <w:szCs w:val="18"/>
                <w:lang w:eastAsia="en-AU" w:bidi="ar-SA"/>
              </w:rPr>
              <w:t>406</w:t>
            </w:r>
          </w:p>
        </w:tc>
        <w:tc>
          <w:tcPr>
            <w:tcW w:w="992" w:type="dxa"/>
          </w:tcPr>
          <w:p w:rsidR="00F17549" w:rsidRPr="005911E2" w:rsidRDefault="00F17549" w:rsidP="00D43D3B">
            <w:pPr>
              <w:pStyle w:val="TableText"/>
              <w:jc w:val="right"/>
              <w:rPr>
                <w:szCs w:val="18"/>
              </w:rPr>
            </w:pPr>
            <w:r w:rsidRPr="005911E2">
              <w:rPr>
                <w:rFonts w:cs="Arial"/>
                <w:color w:val="000000"/>
                <w:szCs w:val="18"/>
                <w:lang w:eastAsia="en-AU" w:bidi="ar-SA"/>
              </w:rPr>
              <w:t>2</w:t>
            </w:r>
            <w:r>
              <w:rPr>
                <w:rFonts w:cs="Arial"/>
                <w:color w:val="000000"/>
                <w:szCs w:val="18"/>
                <w:lang w:eastAsia="en-AU" w:bidi="ar-SA"/>
              </w:rPr>
              <w:t> </w:t>
            </w:r>
            <w:r w:rsidRPr="005911E2">
              <w:rPr>
                <w:rFonts w:cs="Arial"/>
                <w:color w:val="000000"/>
                <w:szCs w:val="18"/>
                <w:lang w:eastAsia="en-AU" w:bidi="ar-SA"/>
              </w:rPr>
              <w:t>444</w:t>
            </w:r>
          </w:p>
        </w:tc>
        <w:tc>
          <w:tcPr>
            <w:tcW w:w="851" w:type="dxa"/>
          </w:tcPr>
          <w:p w:rsidR="00F17549" w:rsidRPr="005911E2" w:rsidRDefault="00F17549" w:rsidP="00D43D3B">
            <w:pPr>
              <w:pStyle w:val="TableText"/>
              <w:jc w:val="right"/>
              <w:rPr>
                <w:szCs w:val="18"/>
              </w:rPr>
            </w:pPr>
            <w:r w:rsidRPr="005911E2">
              <w:rPr>
                <w:rFonts w:cs="Arial"/>
                <w:color w:val="000000"/>
                <w:szCs w:val="18"/>
                <w:lang w:eastAsia="en-AU" w:bidi="ar-SA"/>
              </w:rPr>
              <w:t>3</w:t>
            </w:r>
            <w:r>
              <w:rPr>
                <w:rFonts w:cs="Arial"/>
                <w:color w:val="000000"/>
                <w:szCs w:val="18"/>
                <w:lang w:eastAsia="en-AU" w:bidi="ar-SA"/>
              </w:rPr>
              <w:t> </w:t>
            </w:r>
            <w:r w:rsidRPr="005911E2">
              <w:rPr>
                <w:rFonts w:cs="Arial"/>
                <w:color w:val="000000"/>
                <w:szCs w:val="18"/>
                <w:lang w:eastAsia="en-AU" w:bidi="ar-SA"/>
              </w:rPr>
              <w:t>850</w:t>
            </w:r>
          </w:p>
        </w:tc>
        <w:tc>
          <w:tcPr>
            <w:tcW w:w="283" w:type="dxa"/>
            <w:vAlign w:val="bottom"/>
          </w:tcPr>
          <w:p w:rsidR="00F17549" w:rsidRPr="005911E2" w:rsidRDefault="00F17549" w:rsidP="0022069A">
            <w:pPr>
              <w:pStyle w:val="TableText"/>
              <w:jc w:val="right"/>
              <w:rPr>
                <w:szCs w:val="18"/>
              </w:rPr>
            </w:pPr>
          </w:p>
        </w:tc>
        <w:tc>
          <w:tcPr>
            <w:tcW w:w="851" w:type="dxa"/>
            <w:vAlign w:val="bottom"/>
          </w:tcPr>
          <w:p w:rsidR="00F17549" w:rsidRPr="005911E2" w:rsidRDefault="00F17549" w:rsidP="0022069A">
            <w:pPr>
              <w:pStyle w:val="TableText"/>
              <w:jc w:val="right"/>
              <w:rPr>
                <w:szCs w:val="18"/>
              </w:rPr>
            </w:pPr>
            <w:r w:rsidRPr="005911E2">
              <w:rPr>
                <w:szCs w:val="18"/>
              </w:rPr>
              <w:t>21.9</w:t>
            </w:r>
          </w:p>
        </w:tc>
        <w:tc>
          <w:tcPr>
            <w:tcW w:w="850" w:type="dxa"/>
            <w:vAlign w:val="bottom"/>
          </w:tcPr>
          <w:p w:rsidR="00F17549" w:rsidRPr="005911E2" w:rsidRDefault="00F17549" w:rsidP="0022069A">
            <w:pPr>
              <w:pStyle w:val="TableText"/>
              <w:jc w:val="right"/>
              <w:rPr>
                <w:szCs w:val="18"/>
              </w:rPr>
            </w:pPr>
            <w:r w:rsidRPr="005911E2">
              <w:rPr>
                <w:szCs w:val="18"/>
              </w:rPr>
              <w:t>24.5</w:t>
            </w:r>
          </w:p>
        </w:tc>
        <w:tc>
          <w:tcPr>
            <w:tcW w:w="709" w:type="dxa"/>
            <w:vAlign w:val="bottom"/>
          </w:tcPr>
          <w:p w:rsidR="00F17549" w:rsidRPr="005911E2" w:rsidRDefault="00F17549" w:rsidP="0022069A">
            <w:pPr>
              <w:pStyle w:val="TableText"/>
              <w:jc w:val="right"/>
              <w:rPr>
                <w:szCs w:val="18"/>
              </w:rPr>
            </w:pPr>
            <w:r w:rsidRPr="005911E2">
              <w:rPr>
                <w:szCs w:val="18"/>
              </w:rPr>
              <w:t>23.5</w:t>
            </w:r>
          </w:p>
        </w:tc>
        <w:tc>
          <w:tcPr>
            <w:tcW w:w="992" w:type="dxa"/>
            <w:vAlign w:val="bottom"/>
          </w:tcPr>
          <w:p w:rsidR="00F17549" w:rsidRPr="005911E2" w:rsidRDefault="00F17549" w:rsidP="0022069A">
            <w:pPr>
              <w:pStyle w:val="TableText"/>
              <w:jc w:val="right"/>
              <w:rPr>
                <w:szCs w:val="18"/>
              </w:rPr>
            </w:pPr>
            <w:r w:rsidRPr="00F17549">
              <w:rPr>
                <w:szCs w:val="18"/>
              </w:rPr>
              <w:t>63.5</w:t>
            </w:r>
          </w:p>
        </w:tc>
      </w:tr>
      <w:tr w:rsidR="00F17549" w:rsidRPr="005911E2" w:rsidTr="00FB6A20">
        <w:trPr>
          <w:jc w:val="right"/>
        </w:trPr>
        <w:tc>
          <w:tcPr>
            <w:tcW w:w="2364" w:type="dxa"/>
            <w:vAlign w:val="bottom"/>
          </w:tcPr>
          <w:p w:rsidR="00F17549" w:rsidRPr="005911E2" w:rsidRDefault="00F17549" w:rsidP="0022069A">
            <w:pPr>
              <w:pStyle w:val="TableText"/>
              <w:ind w:left="317"/>
              <w:rPr>
                <w:szCs w:val="18"/>
              </w:rPr>
            </w:pPr>
            <w:r>
              <w:rPr>
                <w:szCs w:val="18"/>
              </w:rPr>
              <w:t>Long-Term</w:t>
            </w:r>
            <w:r w:rsidRPr="005911E2">
              <w:rPr>
                <w:szCs w:val="18"/>
              </w:rPr>
              <w:t xml:space="preserve"> Welfare</w:t>
            </w:r>
          </w:p>
        </w:tc>
        <w:tc>
          <w:tcPr>
            <w:tcW w:w="850" w:type="dxa"/>
          </w:tcPr>
          <w:p w:rsidR="00F17549" w:rsidRPr="005911E2" w:rsidRDefault="00F17549" w:rsidP="00D43D3B">
            <w:pPr>
              <w:pStyle w:val="TableText"/>
              <w:jc w:val="right"/>
              <w:rPr>
                <w:szCs w:val="18"/>
              </w:rPr>
            </w:pPr>
            <w:r w:rsidRPr="005911E2">
              <w:rPr>
                <w:rFonts w:cs="Arial"/>
                <w:color w:val="000000"/>
                <w:szCs w:val="18"/>
                <w:lang w:eastAsia="en-AU" w:bidi="ar-SA"/>
              </w:rPr>
              <w:t>3</w:t>
            </w:r>
            <w:r>
              <w:rPr>
                <w:rFonts w:cs="Arial"/>
                <w:color w:val="000000"/>
                <w:szCs w:val="18"/>
                <w:lang w:eastAsia="en-AU" w:bidi="ar-SA"/>
              </w:rPr>
              <w:t> </w:t>
            </w:r>
            <w:r w:rsidRPr="005911E2">
              <w:rPr>
                <w:rFonts w:cs="Arial"/>
                <w:color w:val="000000"/>
                <w:szCs w:val="18"/>
                <w:lang w:eastAsia="en-AU" w:bidi="ar-SA"/>
              </w:rPr>
              <w:t>063</w:t>
            </w:r>
          </w:p>
        </w:tc>
        <w:tc>
          <w:tcPr>
            <w:tcW w:w="992" w:type="dxa"/>
          </w:tcPr>
          <w:p w:rsidR="00F17549" w:rsidRPr="005911E2" w:rsidRDefault="00F17549" w:rsidP="00D43D3B">
            <w:pPr>
              <w:pStyle w:val="TableText"/>
              <w:jc w:val="right"/>
              <w:rPr>
                <w:szCs w:val="18"/>
              </w:rPr>
            </w:pPr>
            <w:r w:rsidRPr="005911E2">
              <w:rPr>
                <w:rFonts w:cs="Arial"/>
                <w:color w:val="000000"/>
                <w:szCs w:val="18"/>
                <w:lang w:eastAsia="en-AU" w:bidi="ar-SA"/>
              </w:rPr>
              <w:t>5</w:t>
            </w:r>
            <w:r>
              <w:rPr>
                <w:rFonts w:cs="Arial"/>
                <w:color w:val="000000"/>
                <w:szCs w:val="18"/>
                <w:lang w:eastAsia="en-AU" w:bidi="ar-SA"/>
              </w:rPr>
              <w:t> </w:t>
            </w:r>
            <w:r w:rsidRPr="005911E2">
              <w:rPr>
                <w:rFonts w:cs="Arial"/>
                <w:color w:val="000000"/>
                <w:szCs w:val="18"/>
                <w:lang w:eastAsia="en-AU" w:bidi="ar-SA"/>
              </w:rPr>
              <w:t>047</w:t>
            </w:r>
          </w:p>
        </w:tc>
        <w:tc>
          <w:tcPr>
            <w:tcW w:w="851" w:type="dxa"/>
          </w:tcPr>
          <w:p w:rsidR="00F17549" w:rsidRPr="005911E2" w:rsidRDefault="00F17549" w:rsidP="00D43D3B">
            <w:pPr>
              <w:pStyle w:val="TableText"/>
              <w:jc w:val="right"/>
              <w:rPr>
                <w:szCs w:val="18"/>
              </w:rPr>
            </w:pPr>
            <w:r w:rsidRPr="005911E2">
              <w:rPr>
                <w:rFonts w:cs="Arial"/>
                <w:color w:val="000000"/>
                <w:szCs w:val="18"/>
                <w:lang w:eastAsia="en-AU" w:bidi="ar-SA"/>
              </w:rPr>
              <w:t>8</w:t>
            </w:r>
            <w:r>
              <w:rPr>
                <w:rFonts w:cs="Arial"/>
                <w:color w:val="000000"/>
                <w:szCs w:val="18"/>
                <w:lang w:eastAsia="en-AU" w:bidi="ar-SA"/>
              </w:rPr>
              <w:t> </w:t>
            </w:r>
            <w:r w:rsidRPr="005911E2">
              <w:rPr>
                <w:rFonts w:cs="Arial"/>
                <w:color w:val="000000"/>
                <w:szCs w:val="18"/>
                <w:lang w:eastAsia="en-AU" w:bidi="ar-SA"/>
              </w:rPr>
              <w:t>110</w:t>
            </w:r>
          </w:p>
        </w:tc>
        <w:tc>
          <w:tcPr>
            <w:tcW w:w="283" w:type="dxa"/>
            <w:vAlign w:val="bottom"/>
          </w:tcPr>
          <w:p w:rsidR="00F17549" w:rsidRPr="005911E2" w:rsidRDefault="00F17549" w:rsidP="0022069A">
            <w:pPr>
              <w:pStyle w:val="TableText"/>
              <w:jc w:val="right"/>
              <w:rPr>
                <w:szCs w:val="18"/>
              </w:rPr>
            </w:pPr>
          </w:p>
        </w:tc>
        <w:tc>
          <w:tcPr>
            <w:tcW w:w="851" w:type="dxa"/>
            <w:vAlign w:val="bottom"/>
          </w:tcPr>
          <w:p w:rsidR="00F17549" w:rsidRPr="005911E2" w:rsidRDefault="00F17549" w:rsidP="0022069A">
            <w:pPr>
              <w:pStyle w:val="TableText"/>
              <w:jc w:val="right"/>
              <w:rPr>
                <w:szCs w:val="18"/>
              </w:rPr>
            </w:pPr>
            <w:r w:rsidRPr="005911E2">
              <w:rPr>
                <w:szCs w:val="18"/>
              </w:rPr>
              <w:t>47.7</w:t>
            </w:r>
          </w:p>
        </w:tc>
        <w:tc>
          <w:tcPr>
            <w:tcW w:w="850" w:type="dxa"/>
            <w:vAlign w:val="bottom"/>
          </w:tcPr>
          <w:p w:rsidR="00F17549" w:rsidRPr="005911E2" w:rsidRDefault="00F17549" w:rsidP="0022069A">
            <w:pPr>
              <w:pStyle w:val="TableText"/>
              <w:jc w:val="right"/>
              <w:rPr>
                <w:szCs w:val="18"/>
              </w:rPr>
            </w:pPr>
            <w:r w:rsidRPr="005911E2">
              <w:rPr>
                <w:szCs w:val="18"/>
              </w:rPr>
              <w:t>50.6</w:t>
            </w:r>
          </w:p>
        </w:tc>
        <w:tc>
          <w:tcPr>
            <w:tcW w:w="709" w:type="dxa"/>
            <w:vAlign w:val="bottom"/>
          </w:tcPr>
          <w:p w:rsidR="00F17549" w:rsidRPr="005911E2" w:rsidRDefault="00F17549" w:rsidP="0022069A">
            <w:pPr>
              <w:pStyle w:val="TableText"/>
              <w:jc w:val="right"/>
              <w:rPr>
                <w:szCs w:val="18"/>
              </w:rPr>
            </w:pPr>
            <w:r w:rsidRPr="005911E2">
              <w:rPr>
                <w:szCs w:val="18"/>
              </w:rPr>
              <w:t>49.5</w:t>
            </w:r>
          </w:p>
        </w:tc>
        <w:tc>
          <w:tcPr>
            <w:tcW w:w="992" w:type="dxa"/>
            <w:vAlign w:val="bottom"/>
          </w:tcPr>
          <w:p w:rsidR="00F17549" w:rsidRPr="005911E2" w:rsidRDefault="00F17549" w:rsidP="0022069A">
            <w:pPr>
              <w:pStyle w:val="TableText"/>
              <w:jc w:val="right"/>
              <w:rPr>
                <w:szCs w:val="18"/>
              </w:rPr>
            </w:pPr>
            <w:r w:rsidRPr="00F17549">
              <w:rPr>
                <w:szCs w:val="18"/>
              </w:rPr>
              <w:t>62.2</w:t>
            </w:r>
          </w:p>
        </w:tc>
      </w:tr>
      <w:tr w:rsidR="00F17549" w:rsidRPr="005911E2" w:rsidTr="00FB6A20">
        <w:trPr>
          <w:jc w:val="right"/>
        </w:trPr>
        <w:tc>
          <w:tcPr>
            <w:tcW w:w="2364" w:type="dxa"/>
            <w:vAlign w:val="bottom"/>
          </w:tcPr>
          <w:p w:rsidR="00F17549" w:rsidRPr="005911E2" w:rsidRDefault="00F17549" w:rsidP="0022069A">
            <w:pPr>
              <w:pStyle w:val="TableText"/>
              <w:ind w:left="317"/>
              <w:rPr>
                <w:i/>
                <w:szCs w:val="18"/>
              </w:rPr>
            </w:pPr>
            <w:r w:rsidRPr="005911E2">
              <w:rPr>
                <w:i/>
                <w:szCs w:val="18"/>
              </w:rPr>
              <w:t>Total CIM</w:t>
            </w:r>
          </w:p>
        </w:tc>
        <w:tc>
          <w:tcPr>
            <w:tcW w:w="850" w:type="dxa"/>
          </w:tcPr>
          <w:p w:rsidR="00F17549" w:rsidRPr="005911E2" w:rsidRDefault="00F17549" w:rsidP="00D43D3B">
            <w:pPr>
              <w:pStyle w:val="TableText"/>
              <w:jc w:val="right"/>
              <w:rPr>
                <w:i/>
                <w:szCs w:val="18"/>
              </w:rPr>
            </w:pPr>
            <w:r w:rsidRPr="005911E2">
              <w:rPr>
                <w:rFonts w:cs="Arial"/>
                <w:i/>
                <w:color w:val="000000"/>
                <w:szCs w:val="18"/>
                <w:lang w:eastAsia="en-AU" w:bidi="ar-SA"/>
              </w:rPr>
              <w:t>4</w:t>
            </w:r>
            <w:r>
              <w:rPr>
                <w:rFonts w:cs="Arial"/>
                <w:i/>
                <w:color w:val="000000"/>
                <w:szCs w:val="18"/>
                <w:lang w:eastAsia="en-AU" w:bidi="ar-SA"/>
              </w:rPr>
              <w:t> </w:t>
            </w:r>
            <w:r w:rsidRPr="005911E2">
              <w:rPr>
                <w:rFonts w:cs="Arial"/>
                <w:i/>
                <w:color w:val="000000"/>
                <w:szCs w:val="18"/>
                <w:lang w:eastAsia="en-AU" w:bidi="ar-SA"/>
              </w:rPr>
              <w:t>469</w:t>
            </w:r>
          </w:p>
        </w:tc>
        <w:tc>
          <w:tcPr>
            <w:tcW w:w="992" w:type="dxa"/>
          </w:tcPr>
          <w:p w:rsidR="00F17549" w:rsidRPr="005911E2" w:rsidRDefault="00F17549" w:rsidP="00D43D3B">
            <w:pPr>
              <w:pStyle w:val="TableText"/>
              <w:jc w:val="right"/>
              <w:rPr>
                <w:i/>
                <w:szCs w:val="18"/>
              </w:rPr>
            </w:pPr>
            <w:r w:rsidRPr="005911E2">
              <w:rPr>
                <w:rFonts w:cs="Arial"/>
                <w:i/>
                <w:color w:val="000000"/>
                <w:szCs w:val="18"/>
                <w:lang w:eastAsia="en-AU" w:bidi="ar-SA"/>
              </w:rPr>
              <w:t>7</w:t>
            </w:r>
            <w:r>
              <w:rPr>
                <w:rFonts w:cs="Arial"/>
                <w:i/>
                <w:color w:val="000000"/>
                <w:szCs w:val="18"/>
                <w:lang w:eastAsia="en-AU" w:bidi="ar-SA"/>
              </w:rPr>
              <w:t> </w:t>
            </w:r>
            <w:r w:rsidRPr="005911E2">
              <w:rPr>
                <w:rFonts w:cs="Arial"/>
                <w:i/>
                <w:color w:val="000000"/>
                <w:szCs w:val="18"/>
                <w:lang w:eastAsia="en-AU" w:bidi="ar-SA"/>
              </w:rPr>
              <w:t>491</w:t>
            </w:r>
          </w:p>
        </w:tc>
        <w:tc>
          <w:tcPr>
            <w:tcW w:w="851" w:type="dxa"/>
          </w:tcPr>
          <w:p w:rsidR="00F17549" w:rsidRPr="005911E2" w:rsidRDefault="00F17549" w:rsidP="00D43D3B">
            <w:pPr>
              <w:pStyle w:val="TableText"/>
              <w:jc w:val="right"/>
              <w:rPr>
                <w:i/>
                <w:szCs w:val="18"/>
              </w:rPr>
            </w:pPr>
            <w:r w:rsidRPr="005911E2">
              <w:rPr>
                <w:rFonts w:cs="Arial"/>
                <w:i/>
                <w:color w:val="000000"/>
                <w:szCs w:val="18"/>
                <w:lang w:eastAsia="en-AU" w:bidi="ar-SA"/>
              </w:rPr>
              <w:t>11</w:t>
            </w:r>
            <w:r>
              <w:rPr>
                <w:rFonts w:cs="Arial"/>
                <w:i/>
                <w:color w:val="000000"/>
                <w:szCs w:val="18"/>
                <w:lang w:eastAsia="en-AU" w:bidi="ar-SA"/>
              </w:rPr>
              <w:t> </w:t>
            </w:r>
            <w:r w:rsidRPr="005911E2">
              <w:rPr>
                <w:rFonts w:cs="Arial"/>
                <w:i/>
                <w:color w:val="000000"/>
                <w:szCs w:val="18"/>
                <w:lang w:eastAsia="en-AU" w:bidi="ar-SA"/>
              </w:rPr>
              <w:t>960</w:t>
            </w:r>
          </w:p>
        </w:tc>
        <w:tc>
          <w:tcPr>
            <w:tcW w:w="283" w:type="dxa"/>
            <w:vAlign w:val="bottom"/>
          </w:tcPr>
          <w:p w:rsidR="00F17549" w:rsidRPr="005911E2" w:rsidRDefault="00F17549" w:rsidP="0022069A">
            <w:pPr>
              <w:pStyle w:val="TableText"/>
              <w:jc w:val="right"/>
              <w:rPr>
                <w:i/>
                <w:szCs w:val="18"/>
              </w:rPr>
            </w:pPr>
          </w:p>
        </w:tc>
        <w:tc>
          <w:tcPr>
            <w:tcW w:w="851" w:type="dxa"/>
          </w:tcPr>
          <w:p w:rsidR="00F17549" w:rsidRPr="005911E2" w:rsidRDefault="00F17549" w:rsidP="0022069A">
            <w:pPr>
              <w:pStyle w:val="TableText"/>
              <w:jc w:val="right"/>
              <w:rPr>
                <w:i/>
                <w:szCs w:val="18"/>
              </w:rPr>
            </w:pPr>
            <w:r w:rsidRPr="005911E2">
              <w:rPr>
                <w:rFonts w:cs="Arial"/>
                <w:i/>
                <w:color w:val="000000"/>
                <w:szCs w:val="18"/>
                <w:lang w:eastAsia="en-AU" w:bidi="ar-SA"/>
              </w:rPr>
              <w:t>69.6</w:t>
            </w:r>
          </w:p>
        </w:tc>
        <w:tc>
          <w:tcPr>
            <w:tcW w:w="850" w:type="dxa"/>
          </w:tcPr>
          <w:p w:rsidR="00F17549" w:rsidRPr="005911E2" w:rsidRDefault="00F17549" w:rsidP="0022069A">
            <w:pPr>
              <w:pStyle w:val="TableText"/>
              <w:jc w:val="right"/>
              <w:rPr>
                <w:i/>
                <w:szCs w:val="18"/>
              </w:rPr>
            </w:pPr>
            <w:r w:rsidRPr="005911E2">
              <w:rPr>
                <w:rFonts w:cs="Arial"/>
                <w:i/>
                <w:color w:val="000000"/>
                <w:szCs w:val="18"/>
                <w:lang w:eastAsia="en-AU" w:bidi="ar-SA"/>
              </w:rPr>
              <w:t>75.1</w:t>
            </w:r>
          </w:p>
        </w:tc>
        <w:tc>
          <w:tcPr>
            <w:tcW w:w="709" w:type="dxa"/>
          </w:tcPr>
          <w:p w:rsidR="00F17549" w:rsidRPr="005911E2" w:rsidRDefault="00F17549" w:rsidP="0022069A">
            <w:pPr>
              <w:pStyle w:val="TableText"/>
              <w:jc w:val="right"/>
              <w:rPr>
                <w:i/>
                <w:szCs w:val="18"/>
              </w:rPr>
            </w:pPr>
            <w:r w:rsidRPr="005911E2">
              <w:rPr>
                <w:rFonts w:cs="Arial"/>
                <w:i/>
                <w:color w:val="000000"/>
                <w:szCs w:val="18"/>
                <w:lang w:eastAsia="en-AU" w:bidi="ar-SA"/>
              </w:rPr>
              <w:t>73.0</w:t>
            </w:r>
          </w:p>
        </w:tc>
        <w:tc>
          <w:tcPr>
            <w:tcW w:w="992" w:type="dxa"/>
            <w:vAlign w:val="bottom"/>
          </w:tcPr>
          <w:p w:rsidR="00F17549" w:rsidRPr="00F17549" w:rsidRDefault="00F17549" w:rsidP="0022069A">
            <w:pPr>
              <w:pStyle w:val="TableText"/>
              <w:jc w:val="right"/>
              <w:rPr>
                <w:szCs w:val="18"/>
              </w:rPr>
            </w:pPr>
            <w:r w:rsidRPr="00F17549">
              <w:rPr>
                <w:szCs w:val="18"/>
              </w:rPr>
              <w:t>62.6</w:t>
            </w:r>
          </w:p>
        </w:tc>
      </w:tr>
      <w:tr w:rsidR="00F17549" w:rsidRPr="005911E2" w:rsidTr="00FB6A20">
        <w:trPr>
          <w:jc w:val="right"/>
        </w:trPr>
        <w:tc>
          <w:tcPr>
            <w:tcW w:w="2364" w:type="dxa"/>
            <w:vAlign w:val="bottom"/>
          </w:tcPr>
          <w:p w:rsidR="00F17549" w:rsidRPr="005911E2" w:rsidRDefault="00F17549" w:rsidP="0022069A">
            <w:pPr>
              <w:pStyle w:val="TableText"/>
              <w:rPr>
                <w:szCs w:val="18"/>
              </w:rPr>
            </w:pPr>
            <w:r w:rsidRPr="005911E2">
              <w:rPr>
                <w:szCs w:val="18"/>
              </w:rPr>
              <w:t>Child Protection IM</w:t>
            </w:r>
          </w:p>
        </w:tc>
        <w:tc>
          <w:tcPr>
            <w:tcW w:w="850" w:type="dxa"/>
            <w:vAlign w:val="bottom"/>
          </w:tcPr>
          <w:p w:rsidR="00F17549" w:rsidRPr="005911E2" w:rsidRDefault="00F17549" w:rsidP="0022069A">
            <w:pPr>
              <w:pStyle w:val="TableText"/>
              <w:jc w:val="right"/>
              <w:rPr>
                <w:szCs w:val="18"/>
              </w:rPr>
            </w:pPr>
            <w:r w:rsidRPr="005911E2">
              <w:rPr>
                <w:rFonts w:cs="Arial"/>
                <w:color w:val="000000"/>
                <w:szCs w:val="18"/>
                <w:lang w:eastAsia="en-AU" w:bidi="ar-SA"/>
              </w:rPr>
              <w:t>9</w:t>
            </w:r>
          </w:p>
        </w:tc>
        <w:tc>
          <w:tcPr>
            <w:tcW w:w="992" w:type="dxa"/>
            <w:vAlign w:val="bottom"/>
          </w:tcPr>
          <w:p w:rsidR="00F17549" w:rsidRPr="005911E2" w:rsidRDefault="00F17549" w:rsidP="0022069A">
            <w:pPr>
              <w:pStyle w:val="TableText"/>
              <w:jc w:val="right"/>
              <w:rPr>
                <w:szCs w:val="18"/>
              </w:rPr>
            </w:pPr>
            <w:r w:rsidRPr="005911E2">
              <w:rPr>
                <w:rFonts w:cs="Arial"/>
                <w:color w:val="000000"/>
                <w:szCs w:val="18"/>
                <w:lang w:eastAsia="en-AU" w:bidi="ar-SA"/>
              </w:rPr>
              <w:t>36</w:t>
            </w:r>
          </w:p>
        </w:tc>
        <w:tc>
          <w:tcPr>
            <w:tcW w:w="851" w:type="dxa"/>
            <w:vAlign w:val="bottom"/>
          </w:tcPr>
          <w:p w:rsidR="00F17549" w:rsidRPr="005911E2" w:rsidRDefault="00F17549" w:rsidP="0022069A">
            <w:pPr>
              <w:pStyle w:val="TableText"/>
              <w:jc w:val="right"/>
              <w:rPr>
                <w:szCs w:val="18"/>
              </w:rPr>
            </w:pPr>
            <w:r w:rsidRPr="005911E2">
              <w:rPr>
                <w:rFonts w:cs="Arial"/>
                <w:color w:val="000000"/>
                <w:szCs w:val="18"/>
                <w:lang w:eastAsia="en-AU" w:bidi="ar-SA"/>
              </w:rPr>
              <w:t>45</w:t>
            </w:r>
          </w:p>
        </w:tc>
        <w:tc>
          <w:tcPr>
            <w:tcW w:w="283" w:type="dxa"/>
            <w:vAlign w:val="bottom"/>
          </w:tcPr>
          <w:p w:rsidR="00F17549" w:rsidRPr="005911E2" w:rsidRDefault="00F17549" w:rsidP="0022069A">
            <w:pPr>
              <w:pStyle w:val="TableText"/>
              <w:jc w:val="right"/>
              <w:rPr>
                <w:szCs w:val="18"/>
              </w:rPr>
            </w:pPr>
          </w:p>
        </w:tc>
        <w:tc>
          <w:tcPr>
            <w:tcW w:w="851" w:type="dxa"/>
          </w:tcPr>
          <w:p w:rsidR="00F17549" w:rsidRPr="005911E2" w:rsidRDefault="00F17549" w:rsidP="0022069A">
            <w:pPr>
              <w:pStyle w:val="TableText"/>
              <w:jc w:val="right"/>
              <w:rPr>
                <w:szCs w:val="18"/>
              </w:rPr>
            </w:pPr>
            <w:r w:rsidRPr="005911E2">
              <w:rPr>
                <w:rFonts w:cs="Arial"/>
                <w:color w:val="000000"/>
                <w:szCs w:val="18"/>
                <w:lang w:eastAsia="en-AU" w:bidi="ar-SA"/>
              </w:rPr>
              <w:t>0.1</w:t>
            </w:r>
          </w:p>
        </w:tc>
        <w:tc>
          <w:tcPr>
            <w:tcW w:w="850" w:type="dxa"/>
          </w:tcPr>
          <w:p w:rsidR="00F17549" w:rsidRPr="005911E2" w:rsidRDefault="00F17549" w:rsidP="0022069A">
            <w:pPr>
              <w:pStyle w:val="TableText"/>
              <w:jc w:val="right"/>
              <w:rPr>
                <w:szCs w:val="18"/>
              </w:rPr>
            </w:pPr>
            <w:r w:rsidRPr="005911E2">
              <w:rPr>
                <w:rFonts w:cs="Arial"/>
                <w:color w:val="000000"/>
                <w:szCs w:val="18"/>
                <w:lang w:eastAsia="en-AU" w:bidi="ar-SA"/>
              </w:rPr>
              <w:t>0.4</w:t>
            </w:r>
          </w:p>
        </w:tc>
        <w:tc>
          <w:tcPr>
            <w:tcW w:w="709" w:type="dxa"/>
          </w:tcPr>
          <w:p w:rsidR="00F17549" w:rsidRPr="005911E2" w:rsidRDefault="00F17549" w:rsidP="0022069A">
            <w:pPr>
              <w:pStyle w:val="TableText"/>
              <w:jc w:val="right"/>
              <w:rPr>
                <w:szCs w:val="18"/>
              </w:rPr>
            </w:pPr>
            <w:r w:rsidRPr="005911E2">
              <w:rPr>
                <w:rFonts w:cs="Arial"/>
                <w:color w:val="000000"/>
                <w:szCs w:val="18"/>
                <w:lang w:eastAsia="en-AU" w:bidi="ar-SA"/>
              </w:rPr>
              <w:t>0.3</w:t>
            </w:r>
          </w:p>
        </w:tc>
        <w:tc>
          <w:tcPr>
            <w:tcW w:w="992" w:type="dxa"/>
            <w:vAlign w:val="bottom"/>
          </w:tcPr>
          <w:p w:rsidR="00F17549" w:rsidRPr="00F17549" w:rsidRDefault="00F17549" w:rsidP="0022069A">
            <w:pPr>
              <w:pStyle w:val="TableText"/>
              <w:jc w:val="right"/>
              <w:rPr>
                <w:szCs w:val="18"/>
              </w:rPr>
            </w:pPr>
            <w:r w:rsidRPr="00F17549">
              <w:rPr>
                <w:szCs w:val="18"/>
              </w:rPr>
              <w:t>80.0</w:t>
            </w:r>
          </w:p>
        </w:tc>
      </w:tr>
      <w:tr w:rsidR="00F17549" w:rsidRPr="005911E2" w:rsidTr="00FB6A20">
        <w:trPr>
          <w:jc w:val="right"/>
        </w:trPr>
        <w:tc>
          <w:tcPr>
            <w:tcW w:w="2364" w:type="dxa"/>
            <w:vAlign w:val="bottom"/>
          </w:tcPr>
          <w:p w:rsidR="00F17549" w:rsidRPr="005911E2" w:rsidRDefault="00F17549" w:rsidP="0022069A">
            <w:pPr>
              <w:pStyle w:val="TableText"/>
              <w:ind w:left="176" w:hanging="142"/>
              <w:rPr>
                <w:szCs w:val="18"/>
              </w:rPr>
            </w:pPr>
            <w:r w:rsidRPr="005911E2">
              <w:rPr>
                <w:szCs w:val="18"/>
              </w:rPr>
              <w:t>Voluntary IM</w:t>
            </w:r>
          </w:p>
        </w:tc>
        <w:tc>
          <w:tcPr>
            <w:tcW w:w="850" w:type="dxa"/>
            <w:vAlign w:val="bottom"/>
          </w:tcPr>
          <w:p w:rsidR="00F17549" w:rsidRPr="005911E2" w:rsidRDefault="00F17549" w:rsidP="00D43D3B">
            <w:pPr>
              <w:pStyle w:val="TableText"/>
              <w:jc w:val="right"/>
              <w:rPr>
                <w:szCs w:val="18"/>
              </w:rPr>
            </w:pPr>
            <w:r w:rsidRPr="005911E2">
              <w:rPr>
                <w:rFonts w:cs="Arial"/>
                <w:color w:val="000000"/>
                <w:szCs w:val="18"/>
                <w:lang w:eastAsia="en-AU" w:bidi="ar-SA"/>
              </w:rPr>
              <w:t>1</w:t>
            </w:r>
            <w:r>
              <w:rPr>
                <w:rFonts w:cs="Arial"/>
                <w:color w:val="000000"/>
                <w:szCs w:val="18"/>
                <w:lang w:eastAsia="en-AU" w:bidi="ar-SA"/>
              </w:rPr>
              <w:t> </w:t>
            </w:r>
            <w:r w:rsidRPr="005911E2">
              <w:rPr>
                <w:rFonts w:cs="Arial"/>
                <w:color w:val="000000"/>
                <w:szCs w:val="18"/>
                <w:lang w:eastAsia="en-AU" w:bidi="ar-SA"/>
              </w:rPr>
              <w:t>845</w:t>
            </w:r>
          </w:p>
        </w:tc>
        <w:tc>
          <w:tcPr>
            <w:tcW w:w="992" w:type="dxa"/>
            <w:vAlign w:val="bottom"/>
          </w:tcPr>
          <w:p w:rsidR="00F17549" w:rsidRPr="005911E2" w:rsidRDefault="00F17549" w:rsidP="00D43D3B">
            <w:pPr>
              <w:pStyle w:val="TableText"/>
              <w:jc w:val="right"/>
              <w:rPr>
                <w:szCs w:val="18"/>
              </w:rPr>
            </w:pPr>
            <w:r w:rsidRPr="005911E2">
              <w:rPr>
                <w:rFonts w:cs="Arial"/>
                <w:color w:val="000000"/>
                <w:szCs w:val="18"/>
                <w:lang w:eastAsia="en-AU" w:bidi="ar-SA"/>
              </w:rPr>
              <w:t>2</w:t>
            </w:r>
            <w:r>
              <w:rPr>
                <w:rFonts w:cs="Arial"/>
                <w:color w:val="000000"/>
                <w:szCs w:val="18"/>
                <w:lang w:eastAsia="en-AU" w:bidi="ar-SA"/>
              </w:rPr>
              <w:t> </w:t>
            </w:r>
            <w:r w:rsidRPr="005911E2">
              <w:rPr>
                <w:rFonts w:cs="Arial"/>
                <w:color w:val="000000"/>
                <w:szCs w:val="18"/>
                <w:lang w:eastAsia="en-AU" w:bidi="ar-SA"/>
              </w:rPr>
              <w:t>345</w:t>
            </w:r>
          </w:p>
        </w:tc>
        <w:tc>
          <w:tcPr>
            <w:tcW w:w="851" w:type="dxa"/>
            <w:vAlign w:val="bottom"/>
          </w:tcPr>
          <w:p w:rsidR="00F17549" w:rsidRPr="005911E2" w:rsidRDefault="00F17549" w:rsidP="00D43D3B">
            <w:pPr>
              <w:pStyle w:val="TableText"/>
              <w:jc w:val="right"/>
              <w:rPr>
                <w:szCs w:val="18"/>
              </w:rPr>
            </w:pPr>
            <w:r w:rsidRPr="005911E2">
              <w:rPr>
                <w:rFonts w:cs="Arial"/>
                <w:color w:val="000000"/>
                <w:szCs w:val="18"/>
                <w:lang w:eastAsia="en-AU" w:bidi="ar-SA"/>
              </w:rPr>
              <w:t>4</w:t>
            </w:r>
            <w:r>
              <w:rPr>
                <w:rFonts w:cs="Arial"/>
                <w:color w:val="000000"/>
                <w:szCs w:val="18"/>
                <w:lang w:eastAsia="en-AU" w:bidi="ar-SA"/>
              </w:rPr>
              <w:t> </w:t>
            </w:r>
            <w:r w:rsidRPr="005911E2">
              <w:rPr>
                <w:rFonts w:cs="Arial"/>
                <w:color w:val="000000"/>
                <w:szCs w:val="18"/>
                <w:lang w:eastAsia="en-AU" w:bidi="ar-SA"/>
              </w:rPr>
              <w:t>190</w:t>
            </w:r>
          </w:p>
        </w:tc>
        <w:tc>
          <w:tcPr>
            <w:tcW w:w="283" w:type="dxa"/>
            <w:vAlign w:val="bottom"/>
          </w:tcPr>
          <w:p w:rsidR="00F17549" w:rsidRPr="005911E2" w:rsidRDefault="00F17549" w:rsidP="0022069A">
            <w:pPr>
              <w:pStyle w:val="TableText"/>
              <w:jc w:val="right"/>
              <w:rPr>
                <w:szCs w:val="18"/>
              </w:rPr>
            </w:pPr>
          </w:p>
        </w:tc>
        <w:tc>
          <w:tcPr>
            <w:tcW w:w="851" w:type="dxa"/>
          </w:tcPr>
          <w:p w:rsidR="00F17549" w:rsidRPr="005911E2" w:rsidRDefault="00F17549" w:rsidP="0022069A">
            <w:pPr>
              <w:pStyle w:val="TableText"/>
              <w:jc w:val="right"/>
              <w:rPr>
                <w:szCs w:val="18"/>
              </w:rPr>
            </w:pPr>
            <w:r w:rsidRPr="005911E2">
              <w:rPr>
                <w:rFonts w:cs="Arial"/>
                <w:color w:val="000000"/>
                <w:szCs w:val="18"/>
                <w:lang w:eastAsia="en-AU" w:bidi="ar-SA"/>
              </w:rPr>
              <w:t>28.7</w:t>
            </w:r>
          </w:p>
        </w:tc>
        <w:tc>
          <w:tcPr>
            <w:tcW w:w="850" w:type="dxa"/>
          </w:tcPr>
          <w:p w:rsidR="00F17549" w:rsidRPr="005911E2" w:rsidRDefault="00F17549" w:rsidP="0022069A">
            <w:pPr>
              <w:pStyle w:val="TableText"/>
              <w:jc w:val="right"/>
              <w:rPr>
                <w:szCs w:val="18"/>
              </w:rPr>
            </w:pPr>
            <w:r w:rsidRPr="005911E2">
              <w:rPr>
                <w:rFonts w:cs="Arial"/>
                <w:color w:val="000000"/>
                <w:szCs w:val="18"/>
                <w:lang w:eastAsia="en-AU" w:bidi="ar-SA"/>
              </w:rPr>
              <w:t>23.5</w:t>
            </w:r>
          </w:p>
        </w:tc>
        <w:tc>
          <w:tcPr>
            <w:tcW w:w="709" w:type="dxa"/>
          </w:tcPr>
          <w:p w:rsidR="00F17549" w:rsidRPr="005911E2" w:rsidRDefault="00F17549" w:rsidP="0022069A">
            <w:pPr>
              <w:pStyle w:val="TableText"/>
              <w:jc w:val="right"/>
              <w:rPr>
                <w:szCs w:val="18"/>
              </w:rPr>
            </w:pPr>
            <w:r w:rsidRPr="005911E2">
              <w:rPr>
                <w:rFonts w:cs="Arial"/>
                <w:color w:val="000000"/>
                <w:szCs w:val="18"/>
                <w:lang w:eastAsia="en-AU" w:bidi="ar-SA"/>
              </w:rPr>
              <w:t>25.6</w:t>
            </w:r>
          </w:p>
        </w:tc>
        <w:tc>
          <w:tcPr>
            <w:tcW w:w="992" w:type="dxa"/>
            <w:vAlign w:val="bottom"/>
          </w:tcPr>
          <w:p w:rsidR="00F17549" w:rsidRPr="00F17549" w:rsidRDefault="00F17549" w:rsidP="0022069A">
            <w:pPr>
              <w:pStyle w:val="TableText"/>
              <w:jc w:val="right"/>
              <w:rPr>
                <w:szCs w:val="18"/>
              </w:rPr>
            </w:pPr>
            <w:r w:rsidRPr="00F17549">
              <w:rPr>
                <w:szCs w:val="18"/>
              </w:rPr>
              <w:t>56.0</w:t>
            </w:r>
          </w:p>
        </w:tc>
      </w:tr>
      <w:tr w:rsidR="00F17549" w:rsidRPr="005911E2" w:rsidTr="00FB6A20">
        <w:trPr>
          <w:jc w:val="right"/>
        </w:trPr>
        <w:tc>
          <w:tcPr>
            <w:tcW w:w="2364" w:type="dxa"/>
            <w:vAlign w:val="bottom"/>
          </w:tcPr>
          <w:p w:rsidR="00F17549" w:rsidRPr="005911E2" w:rsidRDefault="00F17549" w:rsidP="0022069A">
            <w:pPr>
              <w:pStyle w:val="TableText"/>
              <w:rPr>
                <w:szCs w:val="18"/>
              </w:rPr>
            </w:pPr>
            <w:r w:rsidRPr="005911E2">
              <w:rPr>
                <w:szCs w:val="18"/>
              </w:rPr>
              <w:t>Vulnerable IM</w:t>
            </w:r>
          </w:p>
        </w:tc>
        <w:tc>
          <w:tcPr>
            <w:tcW w:w="850" w:type="dxa"/>
            <w:vAlign w:val="bottom"/>
          </w:tcPr>
          <w:p w:rsidR="00F17549" w:rsidRPr="005911E2" w:rsidRDefault="00F17549" w:rsidP="0022069A">
            <w:pPr>
              <w:pStyle w:val="TableText"/>
              <w:jc w:val="right"/>
              <w:rPr>
                <w:szCs w:val="18"/>
              </w:rPr>
            </w:pPr>
            <w:r w:rsidRPr="005911E2">
              <w:rPr>
                <w:rFonts w:cs="Arial"/>
                <w:color w:val="000000"/>
                <w:szCs w:val="18"/>
                <w:lang w:eastAsia="en-AU" w:bidi="ar-SA"/>
              </w:rPr>
              <w:t>95</w:t>
            </w:r>
          </w:p>
        </w:tc>
        <w:tc>
          <w:tcPr>
            <w:tcW w:w="992" w:type="dxa"/>
            <w:vAlign w:val="bottom"/>
          </w:tcPr>
          <w:p w:rsidR="00F17549" w:rsidRPr="005911E2" w:rsidRDefault="00F17549" w:rsidP="0022069A">
            <w:pPr>
              <w:pStyle w:val="TableText"/>
              <w:jc w:val="right"/>
              <w:rPr>
                <w:szCs w:val="18"/>
              </w:rPr>
            </w:pPr>
            <w:r w:rsidRPr="005911E2">
              <w:rPr>
                <w:rFonts w:cs="Arial"/>
                <w:color w:val="000000"/>
                <w:szCs w:val="18"/>
                <w:lang w:eastAsia="en-AU" w:bidi="ar-SA"/>
              </w:rPr>
              <w:t>103</w:t>
            </w:r>
          </w:p>
        </w:tc>
        <w:tc>
          <w:tcPr>
            <w:tcW w:w="851" w:type="dxa"/>
            <w:vAlign w:val="bottom"/>
          </w:tcPr>
          <w:p w:rsidR="00F17549" w:rsidRPr="005911E2" w:rsidRDefault="00F17549" w:rsidP="0022069A">
            <w:pPr>
              <w:pStyle w:val="TableText"/>
              <w:jc w:val="right"/>
              <w:rPr>
                <w:szCs w:val="18"/>
              </w:rPr>
            </w:pPr>
            <w:r w:rsidRPr="005911E2">
              <w:rPr>
                <w:rFonts w:cs="Arial"/>
                <w:color w:val="000000"/>
                <w:szCs w:val="18"/>
                <w:lang w:eastAsia="en-AU" w:bidi="ar-SA"/>
              </w:rPr>
              <w:t>198</w:t>
            </w:r>
          </w:p>
        </w:tc>
        <w:tc>
          <w:tcPr>
            <w:tcW w:w="283" w:type="dxa"/>
            <w:vAlign w:val="bottom"/>
          </w:tcPr>
          <w:p w:rsidR="00F17549" w:rsidRPr="005911E2" w:rsidRDefault="00F17549" w:rsidP="0022069A">
            <w:pPr>
              <w:pStyle w:val="TableText"/>
              <w:jc w:val="right"/>
              <w:rPr>
                <w:szCs w:val="18"/>
              </w:rPr>
            </w:pPr>
          </w:p>
        </w:tc>
        <w:tc>
          <w:tcPr>
            <w:tcW w:w="851" w:type="dxa"/>
          </w:tcPr>
          <w:p w:rsidR="00F17549" w:rsidRPr="005911E2" w:rsidRDefault="00F17549" w:rsidP="0022069A">
            <w:pPr>
              <w:pStyle w:val="TableText"/>
              <w:jc w:val="right"/>
              <w:rPr>
                <w:szCs w:val="18"/>
              </w:rPr>
            </w:pPr>
            <w:r w:rsidRPr="005911E2">
              <w:rPr>
                <w:rFonts w:cs="Arial"/>
                <w:color w:val="000000"/>
                <w:szCs w:val="18"/>
                <w:lang w:eastAsia="en-AU" w:bidi="ar-SA"/>
              </w:rPr>
              <w:t>1.5</w:t>
            </w:r>
          </w:p>
        </w:tc>
        <w:tc>
          <w:tcPr>
            <w:tcW w:w="850" w:type="dxa"/>
          </w:tcPr>
          <w:p w:rsidR="00F17549" w:rsidRPr="005911E2" w:rsidRDefault="00F17549" w:rsidP="0022069A">
            <w:pPr>
              <w:pStyle w:val="TableText"/>
              <w:jc w:val="right"/>
              <w:rPr>
                <w:szCs w:val="18"/>
              </w:rPr>
            </w:pPr>
            <w:r w:rsidRPr="005911E2">
              <w:rPr>
                <w:rFonts w:cs="Arial"/>
                <w:color w:val="000000"/>
                <w:szCs w:val="18"/>
                <w:lang w:eastAsia="en-AU" w:bidi="ar-SA"/>
              </w:rPr>
              <w:t>1.0</w:t>
            </w:r>
          </w:p>
        </w:tc>
        <w:tc>
          <w:tcPr>
            <w:tcW w:w="709" w:type="dxa"/>
          </w:tcPr>
          <w:p w:rsidR="00F17549" w:rsidRPr="005911E2" w:rsidRDefault="00F17549" w:rsidP="0022069A">
            <w:pPr>
              <w:pStyle w:val="TableText"/>
              <w:jc w:val="right"/>
              <w:rPr>
                <w:szCs w:val="18"/>
              </w:rPr>
            </w:pPr>
            <w:r w:rsidRPr="005911E2">
              <w:rPr>
                <w:rFonts w:cs="Arial"/>
                <w:color w:val="000000"/>
                <w:szCs w:val="18"/>
                <w:lang w:eastAsia="en-AU" w:bidi="ar-SA"/>
              </w:rPr>
              <w:t>1.2</w:t>
            </w:r>
          </w:p>
        </w:tc>
        <w:tc>
          <w:tcPr>
            <w:tcW w:w="992" w:type="dxa"/>
            <w:vAlign w:val="bottom"/>
          </w:tcPr>
          <w:p w:rsidR="00F17549" w:rsidRPr="00F17549" w:rsidRDefault="00F17549" w:rsidP="0022069A">
            <w:pPr>
              <w:pStyle w:val="TableText"/>
              <w:jc w:val="right"/>
              <w:rPr>
                <w:szCs w:val="18"/>
              </w:rPr>
            </w:pPr>
            <w:r w:rsidRPr="00F17549">
              <w:rPr>
                <w:szCs w:val="18"/>
              </w:rPr>
              <w:t>52.0</w:t>
            </w:r>
          </w:p>
        </w:tc>
      </w:tr>
      <w:tr w:rsidR="00F17549" w:rsidRPr="005911E2" w:rsidTr="00FB6A20">
        <w:trPr>
          <w:jc w:val="right"/>
        </w:trPr>
        <w:tc>
          <w:tcPr>
            <w:tcW w:w="2364" w:type="dxa"/>
            <w:tcBorders>
              <w:bottom w:val="single" w:sz="4" w:space="0" w:color="auto"/>
            </w:tcBorders>
            <w:vAlign w:val="bottom"/>
          </w:tcPr>
          <w:p w:rsidR="00F17549" w:rsidRPr="005911E2" w:rsidRDefault="00F17549" w:rsidP="0022069A">
            <w:pPr>
              <w:pStyle w:val="TableText"/>
              <w:rPr>
                <w:szCs w:val="18"/>
              </w:rPr>
            </w:pPr>
            <w:r w:rsidRPr="005911E2">
              <w:rPr>
                <w:szCs w:val="18"/>
              </w:rPr>
              <w:t>Total</w:t>
            </w:r>
          </w:p>
        </w:tc>
        <w:tc>
          <w:tcPr>
            <w:tcW w:w="850" w:type="dxa"/>
            <w:tcBorders>
              <w:bottom w:val="single" w:sz="4" w:space="0" w:color="auto"/>
            </w:tcBorders>
            <w:vAlign w:val="bottom"/>
          </w:tcPr>
          <w:p w:rsidR="00F17549" w:rsidRPr="005911E2" w:rsidRDefault="00F17549" w:rsidP="00D43D3B">
            <w:pPr>
              <w:pStyle w:val="TableText"/>
              <w:jc w:val="right"/>
              <w:rPr>
                <w:szCs w:val="18"/>
              </w:rPr>
            </w:pPr>
            <w:r w:rsidRPr="005911E2">
              <w:rPr>
                <w:rFonts w:cs="Arial"/>
                <w:color w:val="000000"/>
                <w:szCs w:val="18"/>
                <w:lang w:eastAsia="en-AU" w:bidi="ar-SA"/>
              </w:rPr>
              <w:t>6</w:t>
            </w:r>
            <w:r>
              <w:rPr>
                <w:rFonts w:cs="Arial"/>
                <w:color w:val="000000"/>
                <w:szCs w:val="18"/>
                <w:lang w:eastAsia="en-AU" w:bidi="ar-SA"/>
              </w:rPr>
              <w:t> </w:t>
            </w:r>
            <w:r w:rsidRPr="005911E2">
              <w:rPr>
                <w:rFonts w:cs="Arial"/>
                <w:color w:val="000000"/>
                <w:szCs w:val="18"/>
                <w:lang w:eastAsia="en-AU" w:bidi="ar-SA"/>
              </w:rPr>
              <w:t>418</w:t>
            </w:r>
          </w:p>
        </w:tc>
        <w:tc>
          <w:tcPr>
            <w:tcW w:w="992" w:type="dxa"/>
            <w:tcBorders>
              <w:bottom w:val="single" w:sz="4" w:space="0" w:color="auto"/>
            </w:tcBorders>
            <w:vAlign w:val="bottom"/>
          </w:tcPr>
          <w:p w:rsidR="00F17549" w:rsidRPr="005911E2" w:rsidRDefault="00F17549" w:rsidP="00D43D3B">
            <w:pPr>
              <w:pStyle w:val="TableText"/>
              <w:jc w:val="right"/>
              <w:rPr>
                <w:szCs w:val="18"/>
              </w:rPr>
            </w:pPr>
            <w:r w:rsidRPr="005911E2">
              <w:rPr>
                <w:rFonts w:cs="Arial"/>
                <w:color w:val="000000"/>
                <w:szCs w:val="18"/>
                <w:lang w:eastAsia="en-AU" w:bidi="ar-SA"/>
              </w:rPr>
              <w:t>9</w:t>
            </w:r>
            <w:r>
              <w:rPr>
                <w:rFonts w:cs="Arial"/>
                <w:color w:val="000000"/>
                <w:szCs w:val="18"/>
                <w:lang w:eastAsia="en-AU" w:bidi="ar-SA"/>
              </w:rPr>
              <w:t> </w:t>
            </w:r>
            <w:r w:rsidRPr="005911E2">
              <w:rPr>
                <w:rFonts w:cs="Arial"/>
                <w:color w:val="000000"/>
                <w:szCs w:val="18"/>
                <w:lang w:eastAsia="en-AU" w:bidi="ar-SA"/>
              </w:rPr>
              <w:t>975</w:t>
            </w:r>
          </w:p>
        </w:tc>
        <w:tc>
          <w:tcPr>
            <w:tcW w:w="851" w:type="dxa"/>
            <w:tcBorders>
              <w:bottom w:val="single" w:sz="4" w:space="0" w:color="auto"/>
            </w:tcBorders>
            <w:vAlign w:val="bottom"/>
          </w:tcPr>
          <w:p w:rsidR="00F17549" w:rsidRPr="005911E2" w:rsidRDefault="00F17549" w:rsidP="00D43D3B">
            <w:pPr>
              <w:pStyle w:val="TableText"/>
              <w:jc w:val="right"/>
              <w:rPr>
                <w:szCs w:val="18"/>
              </w:rPr>
            </w:pPr>
            <w:r w:rsidRPr="005911E2">
              <w:rPr>
                <w:rFonts w:cs="Arial"/>
                <w:color w:val="000000"/>
                <w:szCs w:val="18"/>
                <w:lang w:eastAsia="en-AU" w:bidi="ar-SA"/>
              </w:rPr>
              <w:t>16</w:t>
            </w:r>
            <w:r>
              <w:rPr>
                <w:rFonts w:cs="Arial"/>
                <w:color w:val="000000"/>
                <w:szCs w:val="18"/>
                <w:lang w:eastAsia="en-AU" w:bidi="ar-SA"/>
              </w:rPr>
              <w:t> </w:t>
            </w:r>
            <w:r w:rsidRPr="005911E2">
              <w:rPr>
                <w:rFonts w:cs="Arial"/>
                <w:color w:val="000000"/>
                <w:szCs w:val="18"/>
                <w:lang w:eastAsia="en-AU" w:bidi="ar-SA"/>
              </w:rPr>
              <w:t>393</w:t>
            </w:r>
          </w:p>
        </w:tc>
        <w:tc>
          <w:tcPr>
            <w:tcW w:w="283" w:type="dxa"/>
            <w:tcBorders>
              <w:bottom w:val="single" w:sz="4" w:space="0" w:color="auto"/>
            </w:tcBorders>
            <w:vAlign w:val="bottom"/>
          </w:tcPr>
          <w:p w:rsidR="00F17549" w:rsidRPr="005911E2" w:rsidRDefault="00F17549" w:rsidP="0022069A">
            <w:pPr>
              <w:pStyle w:val="TableText"/>
              <w:jc w:val="right"/>
              <w:rPr>
                <w:szCs w:val="18"/>
              </w:rPr>
            </w:pPr>
          </w:p>
        </w:tc>
        <w:tc>
          <w:tcPr>
            <w:tcW w:w="851" w:type="dxa"/>
            <w:tcBorders>
              <w:bottom w:val="single" w:sz="4" w:space="0" w:color="auto"/>
            </w:tcBorders>
          </w:tcPr>
          <w:p w:rsidR="00F17549" w:rsidRPr="005911E2" w:rsidRDefault="00F17549" w:rsidP="0022069A">
            <w:pPr>
              <w:pStyle w:val="TableText"/>
              <w:jc w:val="right"/>
              <w:rPr>
                <w:szCs w:val="18"/>
              </w:rPr>
            </w:pPr>
            <w:r w:rsidRPr="005911E2">
              <w:rPr>
                <w:rFonts w:cs="Arial"/>
                <w:color w:val="000000"/>
                <w:szCs w:val="18"/>
                <w:lang w:eastAsia="en-AU" w:bidi="ar-SA"/>
              </w:rPr>
              <w:t>100.0</w:t>
            </w:r>
          </w:p>
        </w:tc>
        <w:tc>
          <w:tcPr>
            <w:tcW w:w="850" w:type="dxa"/>
            <w:tcBorders>
              <w:bottom w:val="single" w:sz="4" w:space="0" w:color="auto"/>
            </w:tcBorders>
          </w:tcPr>
          <w:p w:rsidR="00F17549" w:rsidRPr="005911E2" w:rsidRDefault="00F17549" w:rsidP="0022069A">
            <w:pPr>
              <w:pStyle w:val="TableText"/>
              <w:jc w:val="right"/>
              <w:rPr>
                <w:szCs w:val="18"/>
              </w:rPr>
            </w:pPr>
            <w:r w:rsidRPr="005911E2">
              <w:rPr>
                <w:rFonts w:cs="Arial"/>
                <w:color w:val="000000"/>
                <w:szCs w:val="18"/>
                <w:lang w:eastAsia="en-AU" w:bidi="ar-SA"/>
              </w:rPr>
              <w:t>100.0</w:t>
            </w:r>
          </w:p>
        </w:tc>
        <w:tc>
          <w:tcPr>
            <w:tcW w:w="709" w:type="dxa"/>
            <w:tcBorders>
              <w:bottom w:val="single" w:sz="4" w:space="0" w:color="auto"/>
            </w:tcBorders>
          </w:tcPr>
          <w:p w:rsidR="00F17549" w:rsidRPr="005911E2" w:rsidRDefault="00F17549" w:rsidP="0022069A">
            <w:pPr>
              <w:pStyle w:val="TableText"/>
              <w:jc w:val="right"/>
              <w:rPr>
                <w:szCs w:val="18"/>
              </w:rPr>
            </w:pPr>
            <w:r w:rsidRPr="005911E2">
              <w:rPr>
                <w:rFonts w:cs="Arial"/>
                <w:color w:val="000000"/>
                <w:szCs w:val="18"/>
                <w:lang w:eastAsia="en-AU" w:bidi="ar-SA"/>
              </w:rPr>
              <w:t>100.0</w:t>
            </w:r>
          </w:p>
        </w:tc>
        <w:tc>
          <w:tcPr>
            <w:tcW w:w="992" w:type="dxa"/>
            <w:tcBorders>
              <w:bottom w:val="single" w:sz="4" w:space="0" w:color="auto"/>
            </w:tcBorders>
            <w:vAlign w:val="bottom"/>
          </w:tcPr>
          <w:p w:rsidR="00F17549" w:rsidRPr="00F17549" w:rsidRDefault="00F17549" w:rsidP="0022069A">
            <w:pPr>
              <w:pStyle w:val="TableText"/>
              <w:jc w:val="right"/>
              <w:rPr>
                <w:szCs w:val="18"/>
              </w:rPr>
            </w:pPr>
            <w:r w:rsidRPr="00F17549">
              <w:rPr>
                <w:szCs w:val="18"/>
              </w:rPr>
              <w:t>60.8</w:t>
            </w:r>
          </w:p>
        </w:tc>
      </w:tr>
    </w:tbl>
    <w:p w:rsidR="0022069A" w:rsidRPr="005911E2" w:rsidRDefault="0022069A" w:rsidP="00CF78DB">
      <w:pPr>
        <w:pStyle w:val="tablefootnotes"/>
      </w:pPr>
      <w:r w:rsidRPr="005911E2">
        <w:t xml:space="preserve">Note: </w:t>
      </w:r>
      <w:r w:rsidR="001B4FC7">
        <w:tab/>
      </w:r>
      <w:r w:rsidRPr="005911E2">
        <w:t xml:space="preserve">Gender taken from </w:t>
      </w:r>
      <w:r w:rsidR="00F878E4">
        <w:t>income management</w:t>
      </w:r>
      <w:r w:rsidRPr="005911E2">
        <w:t xml:space="preserve"> person record</w:t>
      </w:r>
      <w:r w:rsidR="008749C8">
        <w:t>.</w:t>
      </w:r>
    </w:p>
    <w:p w:rsidR="0022069A" w:rsidRPr="005911E2" w:rsidRDefault="0022069A" w:rsidP="00CF78DB">
      <w:pPr>
        <w:pStyle w:val="tablefootnotes"/>
      </w:pPr>
      <w:r w:rsidRPr="005911E2">
        <w:t xml:space="preserve">Population: </w:t>
      </w:r>
      <w:r w:rsidR="001B4FC7">
        <w:tab/>
      </w:r>
      <w:r w:rsidRPr="005911E2">
        <w:t xml:space="preserve">Income </w:t>
      </w:r>
      <w:r w:rsidR="00E146B5">
        <w:t>s</w:t>
      </w:r>
      <w:r w:rsidRPr="005911E2">
        <w:t>upport recipients in the</w:t>
      </w:r>
      <w:r w:rsidR="006435C8">
        <w:t xml:space="preserve"> Northern Territory </w:t>
      </w:r>
      <w:r w:rsidRPr="005911E2">
        <w:t xml:space="preserve">subject to </w:t>
      </w:r>
      <w:r w:rsidR="00E146B5">
        <w:t>i</w:t>
      </w:r>
      <w:r w:rsidRPr="005911E2">
        <w:t xml:space="preserve">ncome </w:t>
      </w:r>
      <w:r w:rsidR="00E146B5">
        <w:t>m</w:t>
      </w:r>
      <w:r w:rsidRPr="005911E2">
        <w:t>anagement</w:t>
      </w:r>
      <w:r w:rsidR="008749C8">
        <w:t>.</w:t>
      </w:r>
    </w:p>
    <w:p w:rsidR="00D96A58" w:rsidRDefault="00ED395D" w:rsidP="002955BA">
      <w:pPr>
        <w:pStyle w:val="tablefootnotes"/>
      </w:pPr>
      <w:r w:rsidRPr="005911E2">
        <w:t xml:space="preserve">Source: </w:t>
      </w:r>
      <w:r w:rsidR="001B4FC7">
        <w:tab/>
      </w:r>
      <w:r w:rsidRPr="005911E2">
        <w:t xml:space="preserve">Income </w:t>
      </w:r>
      <w:r w:rsidR="00E146B5">
        <w:t>s</w:t>
      </w:r>
      <w:r w:rsidRPr="005911E2">
        <w:t xml:space="preserve">upport payments file and </w:t>
      </w:r>
      <w:r w:rsidR="00F878E4">
        <w:t>income management</w:t>
      </w:r>
      <w:r w:rsidRPr="005911E2">
        <w:t xml:space="preserve"> person file for fortnight ending 28 October</w:t>
      </w:r>
      <w:r w:rsidR="003A1B16" w:rsidRPr="005911E2">
        <w:t xml:space="preserve"> 2011</w:t>
      </w:r>
      <w:r w:rsidR="008749C8">
        <w:t>.</w:t>
      </w:r>
    </w:p>
    <w:p w:rsidR="00CF518E" w:rsidRDefault="00CF518E" w:rsidP="00CF518E">
      <w:pPr>
        <w:pStyle w:val="tablefootnotes"/>
      </w:pPr>
    </w:p>
    <w:p w:rsidR="003A1D87" w:rsidRDefault="003A1D87" w:rsidP="00CF518E">
      <w:pPr>
        <w:pStyle w:val="tablefootnotes"/>
      </w:pPr>
    </w:p>
    <w:p w:rsidR="0022069A" w:rsidRPr="005911E2" w:rsidRDefault="0022069A" w:rsidP="00BD6DFD">
      <w:pPr>
        <w:pStyle w:val="Heading3"/>
      </w:pPr>
      <w:r w:rsidRPr="005911E2">
        <w:t>Type of income support</w:t>
      </w:r>
    </w:p>
    <w:p w:rsidR="0022069A" w:rsidRDefault="0022069A" w:rsidP="0022069A">
      <w:r w:rsidRPr="005911E2">
        <w:t xml:space="preserve">There are differences in the type of </w:t>
      </w:r>
      <w:r w:rsidR="00E146B5">
        <w:t>i</w:t>
      </w:r>
      <w:r w:rsidRPr="005911E2">
        <w:t xml:space="preserve">ncome </w:t>
      </w:r>
      <w:r w:rsidR="00E146B5">
        <w:t>s</w:t>
      </w:r>
      <w:r w:rsidRPr="005911E2">
        <w:t xml:space="preserve">upport </w:t>
      </w:r>
      <w:r w:rsidR="00E146B5">
        <w:t>p</w:t>
      </w:r>
      <w:r w:rsidRPr="005911E2">
        <w:t>ayment</w:t>
      </w:r>
      <w:r w:rsidR="00E146B5">
        <w:t>s</w:t>
      </w:r>
      <w:r w:rsidRPr="005911E2">
        <w:t xml:space="preserve"> received by those on various NIM measures (</w:t>
      </w:r>
      <w:r w:rsidR="006F14AA" w:rsidRPr="005911E2">
        <w:t xml:space="preserve">Table </w:t>
      </w:r>
      <w:r w:rsidR="006F14AA" w:rsidRPr="005911E2">
        <w:rPr>
          <w:noProof/>
        </w:rPr>
        <w:t>4</w:t>
      </w:r>
      <w:r w:rsidR="006F14AA" w:rsidRPr="005911E2">
        <w:noBreakHyphen/>
      </w:r>
      <w:r w:rsidR="006F14AA" w:rsidRPr="005911E2">
        <w:rPr>
          <w:noProof/>
        </w:rPr>
        <w:t>9</w:t>
      </w:r>
      <w:r w:rsidRPr="005911E2">
        <w:t xml:space="preserve">). The majority of people subject to </w:t>
      </w:r>
      <w:r w:rsidR="00E146B5">
        <w:t>Compulsory Income Management</w:t>
      </w:r>
      <w:r w:rsidR="00E146B5" w:rsidRPr="005911E2">
        <w:t xml:space="preserve"> </w:t>
      </w:r>
      <w:r w:rsidRPr="005911E2">
        <w:t xml:space="preserve">are receiving Newstart Allowance (53 per cent), with a large minority receiving Parenting Payment </w:t>
      </w:r>
      <w:r w:rsidR="001B4FC7">
        <w:t>P</w:t>
      </w:r>
      <w:r w:rsidRPr="005911E2">
        <w:t xml:space="preserve">artnered or </w:t>
      </w:r>
      <w:r w:rsidR="001B4FC7">
        <w:t>Parenting Payment S</w:t>
      </w:r>
      <w:r w:rsidRPr="005911E2">
        <w:t xml:space="preserve">ingle </w:t>
      </w:r>
      <w:r w:rsidR="00E146B5">
        <w:t>(</w:t>
      </w:r>
      <w:r w:rsidRPr="005911E2">
        <w:t>19 per cent</w:t>
      </w:r>
      <w:r w:rsidR="00E146B5">
        <w:t xml:space="preserve"> each)</w:t>
      </w:r>
      <w:r w:rsidRPr="005911E2">
        <w:t>.</w:t>
      </w:r>
    </w:p>
    <w:p w:rsidR="00943DCB" w:rsidRPr="005911E2" w:rsidRDefault="00950933" w:rsidP="00943DCB">
      <w:pPr>
        <w:pStyle w:val="BodyText"/>
      </w:pPr>
      <w:r>
        <w:t>T</w:t>
      </w:r>
      <w:r w:rsidR="00943DCB" w:rsidRPr="005911E2">
        <w:t xml:space="preserve">hose subject to </w:t>
      </w:r>
      <w:r w:rsidR="00943DCB">
        <w:t>Voluntary Income Management</w:t>
      </w:r>
      <w:r w:rsidR="00943DCB" w:rsidRPr="005911E2">
        <w:t xml:space="preserve"> and </w:t>
      </w:r>
      <w:r w:rsidR="00943DCB">
        <w:t>Vulnerable Income Management</w:t>
      </w:r>
      <w:r w:rsidR="00943DCB" w:rsidRPr="005911E2">
        <w:t xml:space="preserve"> are drawn primarily from those on the Disability Support Pension followed by the Age Pension.</w:t>
      </w:r>
    </w:p>
    <w:p w:rsidR="00943DCB" w:rsidRPr="005911E2" w:rsidRDefault="00943DCB" w:rsidP="00943DCB">
      <w:pPr>
        <w:pStyle w:val="BodyText"/>
      </w:pPr>
      <w:r w:rsidRPr="005911E2">
        <w:t xml:space="preserve">The third panel of </w:t>
      </w:r>
      <w:r w:rsidR="00C7347D">
        <w:fldChar w:fldCharType="begin"/>
      </w:r>
      <w:r>
        <w:instrText xml:space="preserve"> REF _Ref321194485 \h </w:instrText>
      </w:r>
      <w:r w:rsidR="00C7347D">
        <w:fldChar w:fldCharType="separate"/>
      </w:r>
      <w:r w:rsidR="007D7E45" w:rsidRPr="005911E2">
        <w:t xml:space="preserve">Table </w:t>
      </w:r>
      <w:r w:rsidR="007D7E45">
        <w:rPr>
          <w:noProof/>
        </w:rPr>
        <w:t>4</w:t>
      </w:r>
      <w:r w:rsidR="007D7E45" w:rsidRPr="005911E2">
        <w:noBreakHyphen/>
      </w:r>
      <w:r w:rsidR="007D7E45">
        <w:rPr>
          <w:noProof/>
        </w:rPr>
        <w:t>9</w:t>
      </w:r>
      <w:r w:rsidR="00C7347D">
        <w:fldChar w:fldCharType="end"/>
      </w:r>
      <w:r>
        <w:t xml:space="preserve"> shows</w:t>
      </w:r>
      <w:r w:rsidRPr="005911E2">
        <w:t xml:space="preserve"> the proportion of people on particular </w:t>
      </w:r>
      <w:r>
        <w:t xml:space="preserve">income support </w:t>
      </w:r>
      <w:r w:rsidRPr="005911E2">
        <w:t xml:space="preserve">payments </w:t>
      </w:r>
      <w:r>
        <w:t xml:space="preserve">in the Northern Territory </w:t>
      </w:r>
      <w:r w:rsidRPr="005911E2">
        <w:t xml:space="preserve">who are subject to </w:t>
      </w:r>
      <w:r>
        <w:t>income management</w:t>
      </w:r>
      <w:r w:rsidRPr="005911E2">
        <w:t>. This ranges from 78 per cent of those on Parenting Payment Partnered and 72 per cent for Newstart</w:t>
      </w:r>
      <w:r>
        <w:t xml:space="preserve"> Allowance,</w:t>
      </w:r>
      <w:r w:rsidRPr="005911E2">
        <w:t xml:space="preserve"> to 19 per cent of those on Carer Payment and 11 per cent of those on the Age Pension.</w:t>
      </w:r>
    </w:p>
    <w:p w:rsidR="0022069A" w:rsidRPr="005911E2" w:rsidRDefault="0022069A" w:rsidP="0022069A">
      <w:pPr>
        <w:pStyle w:val="tabfighead"/>
      </w:pPr>
      <w:bookmarkStart w:id="322" w:name="_Ref321194485"/>
      <w:bookmarkStart w:id="323" w:name="_Toc321430412"/>
      <w:bookmarkStart w:id="324" w:name="_Toc321761682"/>
      <w:bookmarkStart w:id="325" w:name="_Toc321254531"/>
      <w:bookmarkStart w:id="326" w:name="_Toc328601579"/>
      <w:bookmarkStart w:id="327" w:name="_Toc329051357"/>
      <w:bookmarkStart w:id="328" w:name="_Toc335915845"/>
      <w:r w:rsidRPr="005911E2">
        <w:lastRenderedPageBreak/>
        <w:t xml:space="preserve">Table </w:t>
      </w:r>
      <w:r w:rsidR="00C7347D" w:rsidRPr="005911E2">
        <w:fldChar w:fldCharType="begin"/>
      </w:r>
      <w:r w:rsidR="00435FEB" w:rsidRPr="005911E2">
        <w:instrText xml:space="preserve"> STYLEREF 1 \s </w:instrText>
      </w:r>
      <w:r w:rsidR="00C7347D" w:rsidRPr="005911E2">
        <w:fldChar w:fldCharType="separate"/>
      </w:r>
      <w:r w:rsidR="007D7E45">
        <w:rPr>
          <w:noProof/>
        </w:rPr>
        <w:t>4</w:t>
      </w:r>
      <w:r w:rsidR="00C7347D" w:rsidRPr="005911E2">
        <w:rPr>
          <w:noProof/>
        </w:rPr>
        <w:fldChar w:fldCharType="end"/>
      </w:r>
      <w:r w:rsidRPr="005911E2">
        <w:noBreakHyphen/>
      </w:r>
      <w:r w:rsidR="00C7347D" w:rsidRPr="005911E2">
        <w:fldChar w:fldCharType="begin"/>
      </w:r>
      <w:r w:rsidR="00435FEB" w:rsidRPr="005911E2">
        <w:instrText xml:space="preserve"> SEQ Table \* ARABIC \s 1 </w:instrText>
      </w:r>
      <w:r w:rsidR="00C7347D" w:rsidRPr="005911E2">
        <w:fldChar w:fldCharType="separate"/>
      </w:r>
      <w:r w:rsidR="007D7E45">
        <w:rPr>
          <w:noProof/>
        </w:rPr>
        <w:t>9</w:t>
      </w:r>
      <w:r w:rsidR="00C7347D" w:rsidRPr="005911E2">
        <w:rPr>
          <w:noProof/>
        </w:rPr>
        <w:fldChar w:fldCharType="end"/>
      </w:r>
      <w:bookmarkEnd w:id="322"/>
      <w:r w:rsidRPr="005911E2">
        <w:tab/>
      </w:r>
      <w:r w:rsidR="006435C8">
        <w:t xml:space="preserve">Northern Territory </w:t>
      </w:r>
      <w:r w:rsidRPr="005911E2">
        <w:t>income managed population by stream and major income support payment, October 2011</w:t>
      </w:r>
      <w:bookmarkEnd w:id="323"/>
      <w:bookmarkEnd w:id="324"/>
      <w:bookmarkEnd w:id="325"/>
      <w:bookmarkEnd w:id="326"/>
      <w:bookmarkEnd w:id="327"/>
      <w:bookmarkEnd w:id="328"/>
    </w:p>
    <w:tbl>
      <w:tblPr>
        <w:tblW w:w="0" w:type="auto"/>
        <w:tblInd w:w="1803" w:type="dxa"/>
        <w:tblLook w:val="04A0" w:firstRow="1" w:lastRow="0" w:firstColumn="1" w:lastColumn="0" w:noHBand="0" w:noVBand="1"/>
      </w:tblPr>
      <w:tblGrid>
        <w:gridCol w:w="2324"/>
        <w:gridCol w:w="706"/>
        <w:gridCol w:w="617"/>
        <w:gridCol w:w="705"/>
        <w:gridCol w:w="617"/>
        <w:gridCol w:w="706"/>
      </w:tblGrid>
      <w:tr w:rsidR="0022069A" w:rsidRPr="00911315" w:rsidTr="008749C8">
        <w:trPr>
          <w:cantSplit/>
        </w:trPr>
        <w:tc>
          <w:tcPr>
            <w:tcW w:w="0" w:type="auto"/>
            <w:tcBorders>
              <w:top w:val="single" w:sz="8" w:space="0" w:color="auto"/>
              <w:left w:val="nil"/>
              <w:bottom w:val="single" w:sz="8" w:space="0" w:color="auto"/>
              <w:right w:val="nil"/>
            </w:tcBorders>
            <w:shd w:val="clear" w:color="auto" w:fill="auto"/>
            <w:vAlign w:val="center"/>
            <w:hideMark/>
          </w:tcPr>
          <w:p w:rsidR="0022069A" w:rsidRPr="00911315" w:rsidRDefault="0022069A" w:rsidP="0022069A">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Income support payment</w:t>
            </w:r>
          </w:p>
        </w:tc>
        <w:tc>
          <w:tcPr>
            <w:tcW w:w="0" w:type="auto"/>
            <w:tcBorders>
              <w:top w:val="single" w:sz="8" w:space="0" w:color="auto"/>
              <w:left w:val="nil"/>
              <w:bottom w:val="single" w:sz="8" w:space="0" w:color="auto"/>
              <w:right w:val="nil"/>
            </w:tcBorders>
            <w:shd w:val="clear" w:color="auto" w:fill="auto"/>
            <w:vAlign w:val="center"/>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CIM</w:t>
            </w:r>
          </w:p>
        </w:tc>
        <w:tc>
          <w:tcPr>
            <w:tcW w:w="0" w:type="auto"/>
            <w:tcBorders>
              <w:top w:val="single" w:sz="8" w:space="0" w:color="auto"/>
              <w:left w:val="nil"/>
              <w:bottom w:val="single" w:sz="8" w:space="0" w:color="auto"/>
              <w:right w:val="nil"/>
            </w:tcBorders>
            <w:shd w:val="clear" w:color="auto" w:fill="auto"/>
            <w:vAlign w:val="center"/>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 xml:space="preserve">VIM </w:t>
            </w:r>
          </w:p>
        </w:tc>
        <w:tc>
          <w:tcPr>
            <w:tcW w:w="0" w:type="auto"/>
            <w:tcBorders>
              <w:top w:val="single" w:sz="8" w:space="0" w:color="auto"/>
              <w:left w:val="nil"/>
              <w:bottom w:val="single" w:sz="8" w:space="0" w:color="auto"/>
              <w:right w:val="nil"/>
            </w:tcBorders>
            <w:shd w:val="clear" w:color="auto" w:fill="auto"/>
            <w:vAlign w:val="center"/>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VULIM</w:t>
            </w:r>
          </w:p>
        </w:tc>
        <w:tc>
          <w:tcPr>
            <w:tcW w:w="0" w:type="auto"/>
            <w:tcBorders>
              <w:top w:val="single" w:sz="8" w:space="0" w:color="auto"/>
              <w:left w:val="nil"/>
              <w:bottom w:val="single" w:sz="8" w:space="0" w:color="auto"/>
              <w:right w:val="nil"/>
            </w:tcBorders>
            <w:shd w:val="clear" w:color="auto" w:fill="auto"/>
            <w:vAlign w:val="center"/>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 xml:space="preserve">CPIM </w:t>
            </w:r>
          </w:p>
        </w:tc>
        <w:tc>
          <w:tcPr>
            <w:tcW w:w="0" w:type="auto"/>
            <w:tcBorders>
              <w:top w:val="single" w:sz="8" w:space="0" w:color="auto"/>
              <w:left w:val="nil"/>
              <w:bottom w:val="single" w:sz="8" w:space="0" w:color="auto"/>
              <w:right w:val="nil"/>
            </w:tcBorders>
            <w:shd w:val="clear" w:color="auto" w:fill="auto"/>
            <w:vAlign w:val="center"/>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Total</w:t>
            </w:r>
          </w:p>
        </w:tc>
      </w:tr>
      <w:tr w:rsidR="0022069A" w:rsidRPr="00911315" w:rsidTr="008749C8">
        <w:trPr>
          <w:cantSplit/>
        </w:trPr>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173" w:hanging="173"/>
              <w:jc w:val="left"/>
              <w:rPr>
                <w:rFonts w:ascii="Verdana" w:hAnsi="Verdana" w:cs="Calibri"/>
                <w:color w:val="000000"/>
                <w:sz w:val="16"/>
                <w:szCs w:val="16"/>
                <w:lang w:eastAsia="en-AU" w:bidi="ar-SA"/>
              </w:rPr>
            </w:pPr>
          </w:p>
        </w:tc>
        <w:tc>
          <w:tcPr>
            <w:tcW w:w="0" w:type="auto"/>
            <w:gridSpan w:val="5"/>
            <w:tcBorders>
              <w:top w:val="single" w:sz="8" w:space="0" w:color="auto"/>
              <w:left w:val="nil"/>
              <w:bottom w:val="nil"/>
              <w:right w:val="nil"/>
            </w:tcBorders>
            <w:shd w:val="clear" w:color="auto" w:fill="auto"/>
            <w:vAlign w:val="center"/>
            <w:hideMark/>
          </w:tcPr>
          <w:p w:rsidR="0022069A" w:rsidRPr="00911315" w:rsidRDefault="0022069A" w:rsidP="0022069A">
            <w:pPr>
              <w:keepNext/>
              <w:keepLines/>
              <w:spacing w:after="60" w:line="240" w:lineRule="auto"/>
              <w:ind w:left="0"/>
              <w:jc w:val="center"/>
              <w:rPr>
                <w:rFonts w:cs="Arial"/>
                <w:color w:val="000000"/>
                <w:sz w:val="16"/>
                <w:szCs w:val="16"/>
                <w:lang w:eastAsia="en-AU" w:bidi="ar-SA"/>
              </w:rPr>
            </w:pPr>
            <w:r w:rsidRPr="00911315">
              <w:rPr>
                <w:rFonts w:cs="Arial"/>
                <w:color w:val="000000"/>
                <w:sz w:val="16"/>
                <w:szCs w:val="16"/>
                <w:lang w:eastAsia="en-AU" w:bidi="ar-SA"/>
              </w:rPr>
              <w:t>Number</w:t>
            </w:r>
          </w:p>
        </w:tc>
      </w:tr>
      <w:tr w:rsidR="0022069A" w:rsidRPr="00911315" w:rsidTr="008749C8">
        <w:trPr>
          <w:cantSplit/>
        </w:trPr>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Newstart Allowance</w:t>
            </w:r>
          </w:p>
        </w:tc>
        <w:tc>
          <w:tcPr>
            <w:tcW w:w="0" w:type="auto"/>
            <w:tcBorders>
              <w:top w:val="nil"/>
              <w:left w:val="nil"/>
              <w:bottom w:val="nil"/>
              <w:right w:val="nil"/>
            </w:tcBorders>
            <w:shd w:val="clear" w:color="auto" w:fill="auto"/>
            <w:vAlign w:val="bottom"/>
            <w:hideMark/>
          </w:tcPr>
          <w:p w:rsidR="0022069A" w:rsidRPr="00911315" w:rsidRDefault="0022069A" w:rsidP="00D43D3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w:t>
            </w:r>
            <w:r w:rsidR="001B4FC7" w:rsidRPr="00911315">
              <w:rPr>
                <w:rFonts w:cs="Arial"/>
                <w:color w:val="000000"/>
                <w:sz w:val="16"/>
                <w:szCs w:val="16"/>
                <w:lang w:eastAsia="en-AU" w:bidi="ar-SA"/>
              </w:rPr>
              <w:t> </w:t>
            </w:r>
            <w:r w:rsidRPr="00911315">
              <w:rPr>
                <w:rFonts w:cs="Arial"/>
                <w:color w:val="000000"/>
                <w:sz w:val="16"/>
                <w:szCs w:val="16"/>
                <w:lang w:eastAsia="en-AU" w:bidi="ar-SA"/>
              </w:rPr>
              <w:t>357</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127</w:t>
            </w:r>
          </w:p>
        </w:tc>
        <w:tc>
          <w:tcPr>
            <w:tcW w:w="0" w:type="auto"/>
            <w:tcBorders>
              <w:top w:val="nil"/>
              <w:left w:val="nil"/>
              <w:bottom w:val="nil"/>
              <w:right w:val="nil"/>
            </w:tcBorders>
            <w:shd w:val="clear" w:color="auto" w:fill="auto"/>
            <w:vAlign w:val="bottom"/>
            <w:hideMark/>
          </w:tcPr>
          <w:p w:rsidR="0022069A" w:rsidRPr="00911315" w:rsidRDefault="00136CFE"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p>
        </w:tc>
        <w:tc>
          <w:tcPr>
            <w:tcW w:w="0" w:type="auto"/>
            <w:tcBorders>
              <w:top w:val="nil"/>
              <w:left w:val="nil"/>
              <w:bottom w:val="nil"/>
              <w:right w:val="nil"/>
            </w:tcBorders>
            <w:shd w:val="clear" w:color="auto" w:fill="auto"/>
            <w:vAlign w:val="bottom"/>
            <w:hideMark/>
          </w:tcPr>
          <w:p w:rsidR="0022069A" w:rsidRPr="00911315" w:rsidRDefault="00136CFE"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13</w:t>
            </w:r>
          </w:p>
        </w:tc>
        <w:tc>
          <w:tcPr>
            <w:tcW w:w="0" w:type="auto"/>
            <w:tcBorders>
              <w:top w:val="nil"/>
              <w:left w:val="nil"/>
              <w:bottom w:val="nil"/>
              <w:right w:val="nil"/>
            </w:tcBorders>
            <w:shd w:val="clear" w:color="auto" w:fill="auto"/>
            <w:vAlign w:val="bottom"/>
            <w:hideMark/>
          </w:tcPr>
          <w:p w:rsidR="0022069A" w:rsidRPr="00911315" w:rsidRDefault="0022069A" w:rsidP="001B4FC7">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w:t>
            </w:r>
            <w:r w:rsidR="001B4FC7" w:rsidRPr="00911315">
              <w:rPr>
                <w:rFonts w:cs="Arial"/>
                <w:color w:val="000000"/>
                <w:sz w:val="16"/>
                <w:szCs w:val="16"/>
                <w:lang w:eastAsia="en-AU" w:bidi="ar-SA"/>
              </w:rPr>
              <w:t> </w:t>
            </w:r>
            <w:r w:rsidRPr="00911315">
              <w:rPr>
                <w:rFonts w:cs="Arial"/>
                <w:color w:val="000000"/>
                <w:sz w:val="16"/>
                <w:szCs w:val="16"/>
                <w:lang w:eastAsia="en-AU" w:bidi="ar-SA"/>
              </w:rPr>
              <w:t>497</w:t>
            </w:r>
          </w:p>
        </w:tc>
      </w:tr>
      <w:tr w:rsidR="0022069A" w:rsidRPr="00911315" w:rsidTr="008749C8">
        <w:trPr>
          <w:cantSplit/>
        </w:trPr>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Parenting Payment Single</w:t>
            </w:r>
          </w:p>
        </w:tc>
        <w:tc>
          <w:tcPr>
            <w:tcW w:w="0" w:type="auto"/>
            <w:tcBorders>
              <w:top w:val="nil"/>
              <w:left w:val="nil"/>
              <w:bottom w:val="nil"/>
              <w:right w:val="nil"/>
            </w:tcBorders>
            <w:shd w:val="clear" w:color="auto" w:fill="auto"/>
            <w:vAlign w:val="bottom"/>
            <w:hideMark/>
          </w:tcPr>
          <w:p w:rsidR="0022069A" w:rsidRPr="00911315" w:rsidRDefault="0022069A" w:rsidP="00D43D3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1B4FC7" w:rsidRPr="00911315">
              <w:rPr>
                <w:rFonts w:cs="Arial"/>
                <w:color w:val="000000"/>
                <w:sz w:val="16"/>
                <w:szCs w:val="16"/>
                <w:lang w:eastAsia="en-AU" w:bidi="ar-SA"/>
              </w:rPr>
              <w:t> </w:t>
            </w:r>
            <w:r w:rsidRPr="00911315">
              <w:rPr>
                <w:rFonts w:cs="Arial"/>
                <w:color w:val="000000"/>
                <w:sz w:val="16"/>
                <w:szCs w:val="16"/>
                <w:lang w:eastAsia="en-AU" w:bidi="ar-SA"/>
              </w:rPr>
              <w:t>213</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26</w:t>
            </w:r>
          </w:p>
        </w:tc>
        <w:tc>
          <w:tcPr>
            <w:tcW w:w="0" w:type="auto"/>
            <w:tcBorders>
              <w:top w:val="nil"/>
              <w:left w:val="nil"/>
              <w:bottom w:val="nil"/>
              <w:right w:val="nil"/>
            </w:tcBorders>
            <w:shd w:val="clear" w:color="auto" w:fill="auto"/>
            <w:vAlign w:val="bottom"/>
            <w:hideMark/>
          </w:tcPr>
          <w:p w:rsidR="0022069A" w:rsidRPr="00911315" w:rsidRDefault="00136CFE"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w:t>
            </w:r>
          </w:p>
        </w:tc>
        <w:tc>
          <w:tcPr>
            <w:tcW w:w="0" w:type="auto"/>
            <w:tcBorders>
              <w:top w:val="nil"/>
              <w:left w:val="nil"/>
              <w:bottom w:val="nil"/>
              <w:right w:val="nil"/>
            </w:tcBorders>
            <w:shd w:val="clear" w:color="auto" w:fill="auto"/>
            <w:vAlign w:val="bottom"/>
            <w:hideMark/>
          </w:tcPr>
          <w:p w:rsidR="0022069A" w:rsidRPr="00911315" w:rsidRDefault="00136CFE"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9</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1B4FC7" w:rsidRPr="00911315">
              <w:rPr>
                <w:rFonts w:cs="Arial"/>
                <w:color w:val="000000"/>
                <w:sz w:val="16"/>
                <w:szCs w:val="16"/>
                <w:lang w:eastAsia="en-AU" w:bidi="ar-SA"/>
              </w:rPr>
              <w:t> </w:t>
            </w:r>
            <w:r w:rsidRPr="00911315">
              <w:rPr>
                <w:rFonts w:cs="Arial"/>
                <w:color w:val="000000"/>
                <w:sz w:val="16"/>
                <w:szCs w:val="16"/>
                <w:lang w:eastAsia="en-AU" w:bidi="ar-SA"/>
              </w:rPr>
              <w:t>254</w:t>
            </w:r>
          </w:p>
        </w:tc>
      </w:tr>
      <w:tr w:rsidR="0022069A" w:rsidRPr="00911315" w:rsidTr="008749C8">
        <w:trPr>
          <w:cantSplit/>
        </w:trPr>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Parenting Payment Partnered</w:t>
            </w:r>
          </w:p>
        </w:tc>
        <w:tc>
          <w:tcPr>
            <w:tcW w:w="0" w:type="auto"/>
            <w:tcBorders>
              <w:top w:val="nil"/>
              <w:left w:val="nil"/>
              <w:bottom w:val="nil"/>
              <w:right w:val="nil"/>
            </w:tcBorders>
            <w:shd w:val="clear" w:color="auto" w:fill="auto"/>
            <w:vAlign w:val="bottom"/>
            <w:hideMark/>
          </w:tcPr>
          <w:p w:rsidR="0022069A" w:rsidRPr="00911315" w:rsidRDefault="0022069A" w:rsidP="00D43D3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1B4FC7" w:rsidRPr="00911315">
              <w:rPr>
                <w:rFonts w:cs="Arial"/>
                <w:color w:val="000000"/>
                <w:sz w:val="16"/>
                <w:szCs w:val="16"/>
                <w:lang w:eastAsia="en-AU" w:bidi="ar-SA"/>
              </w:rPr>
              <w:t> </w:t>
            </w:r>
            <w:r w:rsidRPr="00911315">
              <w:rPr>
                <w:rFonts w:cs="Arial"/>
                <w:color w:val="000000"/>
                <w:sz w:val="16"/>
                <w:szCs w:val="16"/>
                <w:lang w:eastAsia="en-AU" w:bidi="ar-SA"/>
              </w:rPr>
              <w:t>212</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33</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17</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1B4FC7" w:rsidRPr="00911315">
              <w:rPr>
                <w:rFonts w:cs="Arial"/>
                <w:color w:val="000000"/>
                <w:sz w:val="16"/>
                <w:szCs w:val="16"/>
                <w:lang w:eastAsia="en-AU" w:bidi="ar-SA"/>
              </w:rPr>
              <w:t> </w:t>
            </w:r>
            <w:r w:rsidRPr="00911315">
              <w:rPr>
                <w:rFonts w:cs="Arial"/>
                <w:color w:val="000000"/>
                <w:sz w:val="16"/>
                <w:szCs w:val="16"/>
                <w:lang w:eastAsia="en-AU" w:bidi="ar-SA"/>
              </w:rPr>
              <w:t>262</w:t>
            </w:r>
          </w:p>
        </w:tc>
      </w:tr>
      <w:tr w:rsidR="0022069A" w:rsidRPr="00911315" w:rsidTr="008749C8">
        <w:trPr>
          <w:cantSplit/>
        </w:trPr>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Youth Allowance – Other</w:t>
            </w:r>
          </w:p>
        </w:tc>
        <w:tc>
          <w:tcPr>
            <w:tcW w:w="0" w:type="auto"/>
            <w:tcBorders>
              <w:top w:val="nil"/>
              <w:left w:val="nil"/>
              <w:bottom w:val="nil"/>
              <w:right w:val="nil"/>
            </w:tcBorders>
            <w:shd w:val="clear" w:color="auto" w:fill="auto"/>
            <w:vAlign w:val="bottom"/>
            <w:hideMark/>
          </w:tcPr>
          <w:p w:rsidR="0022069A" w:rsidRPr="00911315" w:rsidRDefault="0022069A" w:rsidP="00D43D3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r w:rsidR="001B4FC7" w:rsidRPr="00911315">
              <w:rPr>
                <w:rFonts w:cs="Arial"/>
                <w:color w:val="000000"/>
                <w:sz w:val="16"/>
                <w:szCs w:val="16"/>
                <w:lang w:eastAsia="en-AU" w:bidi="ar-SA"/>
              </w:rPr>
              <w:t> </w:t>
            </w:r>
            <w:r w:rsidRPr="00911315">
              <w:rPr>
                <w:rFonts w:cs="Arial"/>
                <w:color w:val="000000"/>
                <w:sz w:val="16"/>
                <w:szCs w:val="16"/>
                <w:lang w:eastAsia="en-AU" w:bidi="ar-SA"/>
              </w:rPr>
              <w:t>168</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21</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r w:rsidR="001B4FC7" w:rsidRPr="00911315">
              <w:rPr>
                <w:rFonts w:cs="Arial"/>
                <w:color w:val="000000"/>
                <w:sz w:val="16"/>
                <w:szCs w:val="16"/>
                <w:lang w:eastAsia="en-AU" w:bidi="ar-SA"/>
              </w:rPr>
              <w:t> </w:t>
            </w:r>
            <w:r w:rsidRPr="00911315">
              <w:rPr>
                <w:rFonts w:cs="Arial"/>
                <w:color w:val="000000"/>
                <w:sz w:val="16"/>
                <w:szCs w:val="16"/>
                <w:lang w:eastAsia="en-AU" w:bidi="ar-SA"/>
              </w:rPr>
              <w:t>192</w:t>
            </w:r>
          </w:p>
        </w:tc>
      </w:tr>
      <w:tr w:rsidR="0022069A" w:rsidRPr="00911315" w:rsidTr="008749C8">
        <w:trPr>
          <w:cantSplit/>
        </w:trPr>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Disability Support Pension</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0" w:type="auto"/>
            <w:tcBorders>
              <w:top w:val="nil"/>
              <w:left w:val="nil"/>
              <w:bottom w:val="nil"/>
              <w:right w:val="nil"/>
            </w:tcBorders>
            <w:shd w:val="clear" w:color="auto" w:fill="auto"/>
            <w:vAlign w:val="bottom"/>
            <w:hideMark/>
          </w:tcPr>
          <w:p w:rsidR="0022069A" w:rsidRPr="00911315" w:rsidRDefault="0022069A" w:rsidP="00D43D3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1B4FC7" w:rsidRPr="00911315">
              <w:rPr>
                <w:rFonts w:cs="Arial"/>
                <w:color w:val="000000"/>
                <w:sz w:val="16"/>
                <w:szCs w:val="16"/>
                <w:lang w:eastAsia="en-AU" w:bidi="ar-SA"/>
              </w:rPr>
              <w:t> </w:t>
            </w:r>
            <w:r w:rsidRPr="00911315">
              <w:rPr>
                <w:rFonts w:cs="Arial"/>
                <w:color w:val="000000"/>
                <w:sz w:val="16"/>
                <w:szCs w:val="16"/>
                <w:lang w:eastAsia="en-AU" w:bidi="ar-SA"/>
              </w:rPr>
              <w:t>880</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15</w:t>
            </w:r>
            <w:r w:rsidR="00136CFE" w:rsidRPr="00911315">
              <w:rPr>
                <w:rFonts w:cs="Arial"/>
                <w:color w:val="000000"/>
                <w:sz w:val="16"/>
                <w:szCs w:val="16"/>
                <w:lang w:eastAsia="en-AU" w:bidi="ar-SA"/>
              </w:rPr>
              <w:t>3</w:t>
            </w:r>
          </w:p>
        </w:tc>
        <w:tc>
          <w:tcPr>
            <w:tcW w:w="0" w:type="auto"/>
            <w:tcBorders>
              <w:top w:val="nil"/>
              <w:left w:val="nil"/>
              <w:bottom w:val="nil"/>
              <w:right w:val="nil"/>
            </w:tcBorders>
            <w:shd w:val="clear" w:color="auto" w:fill="auto"/>
            <w:vAlign w:val="bottom"/>
            <w:hideMark/>
          </w:tcPr>
          <w:p w:rsidR="0022069A" w:rsidRPr="00911315" w:rsidRDefault="00136CFE"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r w:rsidR="001B4FC7" w:rsidRPr="00911315">
              <w:rPr>
                <w:rFonts w:cs="Arial"/>
                <w:color w:val="000000"/>
                <w:sz w:val="16"/>
                <w:szCs w:val="16"/>
                <w:lang w:eastAsia="en-AU" w:bidi="ar-SA"/>
              </w:rPr>
              <w:t> </w:t>
            </w:r>
            <w:r w:rsidRPr="00911315">
              <w:rPr>
                <w:rFonts w:cs="Arial"/>
                <w:color w:val="000000"/>
                <w:sz w:val="16"/>
                <w:szCs w:val="16"/>
                <w:lang w:eastAsia="en-AU" w:bidi="ar-SA"/>
              </w:rPr>
              <w:t>035</w:t>
            </w:r>
          </w:p>
        </w:tc>
      </w:tr>
      <w:tr w:rsidR="0022069A" w:rsidRPr="00911315" w:rsidTr="008749C8">
        <w:trPr>
          <w:cantSplit/>
        </w:trPr>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Age Pension</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808</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r w:rsidR="00136CFE" w:rsidRPr="00911315">
              <w:rPr>
                <w:rFonts w:cs="Arial"/>
                <w:color w:val="000000"/>
                <w:sz w:val="16"/>
                <w:szCs w:val="16"/>
                <w:lang w:eastAsia="en-AU" w:bidi="ar-SA"/>
              </w:rPr>
              <w:t>5</w:t>
            </w:r>
          </w:p>
        </w:tc>
        <w:tc>
          <w:tcPr>
            <w:tcW w:w="0" w:type="auto"/>
            <w:tcBorders>
              <w:top w:val="nil"/>
              <w:left w:val="nil"/>
              <w:bottom w:val="nil"/>
              <w:right w:val="nil"/>
            </w:tcBorders>
            <w:shd w:val="clear" w:color="auto" w:fill="auto"/>
            <w:vAlign w:val="bottom"/>
            <w:hideMark/>
          </w:tcPr>
          <w:p w:rsidR="0022069A" w:rsidRPr="00911315" w:rsidRDefault="00136CFE"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844</w:t>
            </w:r>
          </w:p>
        </w:tc>
      </w:tr>
      <w:tr w:rsidR="0022069A" w:rsidRPr="00911315" w:rsidTr="008749C8">
        <w:trPr>
          <w:cantSplit/>
        </w:trPr>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Carer Payment</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216</w:t>
            </w:r>
          </w:p>
        </w:tc>
        <w:tc>
          <w:tcPr>
            <w:tcW w:w="0" w:type="auto"/>
            <w:tcBorders>
              <w:top w:val="nil"/>
              <w:left w:val="nil"/>
              <w:bottom w:val="nil"/>
              <w:right w:val="nil"/>
            </w:tcBorders>
            <w:shd w:val="clear" w:color="auto" w:fill="auto"/>
            <w:vAlign w:val="bottom"/>
            <w:hideMark/>
          </w:tcPr>
          <w:p w:rsidR="0022069A" w:rsidRPr="00911315" w:rsidRDefault="00136CFE"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p>
        </w:tc>
        <w:tc>
          <w:tcPr>
            <w:tcW w:w="0" w:type="auto"/>
            <w:tcBorders>
              <w:top w:val="nil"/>
              <w:left w:val="nil"/>
              <w:bottom w:val="nil"/>
              <w:right w:val="nil"/>
            </w:tcBorders>
            <w:shd w:val="clear" w:color="auto" w:fill="auto"/>
            <w:vAlign w:val="bottom"/>
            <w:hideMark/>
          </w:tcPr>
          <w:p w:rsidR="0022069A" w:rsidRPr="00911315" w:rsidRDefault="00136CFE"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218</w:t>
            </w:r>
          </w:p>
        </w:tc>
      </w:tr>
      <w:tr w:rsidR="0022069A" w:rsidRPr="00911315" w:rsidTr="008749C8">
        <w:trPr>
          <w:cantSplit/>
        </w:trPr>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 xml:space="preserve">Other </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79</w:t>
            </w:r>
          </w:p>
        </w:tc>
        <w:tc>
          <w:tcPr>
            <w:tcW w:w="0" w:type="auto"/>
            <w:tcBorders>
              <w:top w:val="nil"/>
              <w:left w:val="nil"/>
              <w:bottom w:val="nil"/>
              <w:right w:val="nil"/>
            </w:tcBorders>
            <w:shd w:val="clear" w:color="auto" w:fill="auto"/>
            <w:vAlign w:val="bottom"/>
            <w:hideMark/>
          </w:tcPr>
          <w:p w:rsidR="0022069A" w:rsidRPr="00911315" w:rsidRDefault="00136CFE"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0" w:type="auto"/>
            <w:tcBorders>
              <w:top w:val="nil"/>
              <w:left w:val="nil"/>
              <w:bottom w:val="nil"/>
              <w:right w:val="nil"/>
            </w:tcBorders>
            <w:shd w:val="clear" w:color="auto" w:fill="auto"/>
            <w:vAlign w:val="bottom"/>
            <w:hideMark/>
          </w:tcPr>
          <w:p w:rsidR="0022069A" w:rsidRPr="00911315" w:rsidRDefault="00136CFE"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91</w:t>
            </w:r>
          </w:p>
        </w:tc>
      </w:tr>
      <w:tr w:rsidR="0022069A" w:rsidRPr="00911315" w:rsidTr="008749C8">
        <w:trPr>
          <w:cantSplit/>
        </w:trPr>
        <w:tc>
          <w:tcPr>
            <w:tcW w:w="0" w:type="auto"/>
            <w:tcBorders>
              <w:top w:val="nil"/>
              <w:left w:val="nil"/>
              <w:bottom w:val="single" w:sz="8" w:space="0" w:color="auto"/>
              <w:right w:val="nil"/>
            </w:tcBorders>
            <w:shd w:val="clear" w:color="auto" w:fill="auto"/>
            <w:vAlign w:val="bottom"/>
            <w:hideMark/>
          </w:tcPr>
          <w:p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 xml:space="preserve">Total </w:t>
            </w:r>
          </w:p>
        </w:tc>
        <w:tc>
          <w:tcPr>
            <w:tcW w:w="0" w:type="auto"/>
            <w:tcBorders>
              <w:top w:val="nil"/>
              <w:left w:val="nil"/>
              <w:bottom w:val="single" w:sz="8" w:space="0" w:color="auto"/>
              <w:right w:val="nil"/>
            </w:tcBorders>
            <w:shd w:val="clear" w:color="auto" w:fill="auto"/>
            <w:vAlign w:val="bottom"/>
            <w:hideMark/>
          </w:tcPr>
          <w:p w:rsidR="0022069A" w:rsidRPr="00911315" w:rsidRDefault="0022069A" w:rsidP="00D43D3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11</w:t>
            </w:r>
            <w:r w:rsidR="001B4FC7" w:rsidRPr="00911315">
              <w:rPr>
                <w:rFonts w:cs="Arial"/>
                <w:color w:val="000000"/>
                <w:sz w:val="16"/>
                <w:szCs w:val="16"/>
                <w:lang w:eastAsia="en-AU" w:bidi="ar-SA"/>
              </w:rPr>
              <w:t> </w:t>
            </w:r>
            <w:r w:rsidRPr="00911315">
              <w:rPr>
                <w:rFonts w:cs="Arial"/>
                <w:color w:val="000000"/>
                <w:sz w:val="16"/>
                <w:szCs w:val="16"/>
                <w:lang w:eastAsia="en-AU" w:bidi="ar-SA"/>
              </w:rPr>
              <w:t>960</w:t>
            </w:r>
          </w:p>
        </w:tc>
        <w:tc>
          <w:tcPr>
            <w:tcW w:w="0" w:type="auto"/>
            <w:tcBorders>
              <w:top w:val="nil"/>
              <w:left w:val="nil"/>
              <w:bottom w:val="single" w:sz="8" w:space="0" w:color="auto"/>
              <w:right w:val="nil"/>
            </w:tcBorders>
            <w:shd w:val="clear" w:color="auto" w:fill="auto"/>
            <w:vAlign w:val="bottom"/>
            <w:hideMark/>
          </w:tcPr>
          <w:p w:rsidR="0022069A" w:rsidRPr="00911315" w:rsidRDefault="0022069A" w:rsidP="00D43D3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w:t>
            </w:r>
            <w:r w:rsidR="001B4FC7" w:rsidRPr="00911315">
              <w:rPr>
                <w:rFonts w:cs="Arial"/>
                <w:color w:val="000000"/>
                <w:sz w:val="16"/>
                <w:szCs w:val="16"/>
                <w:lang w:eastAsia="en-AU" w:bidi="ar-SA"/>
              </w:rPr>
              <w:t> </w:t>
            </w:r>
            <w:r w:rsidRPr="00911315">
              <w:rPr>
                <w:rFonts w:cs="Arial"/>
                <w:color w:val="000000"/>
                <w:sz w:val="16"/>
                <w:szCs w:val="16"/>
                <w:lang w:eastAsia="en-AU" w:bidi="ar-SA"/>
              </w:rPr>
              <w:t>190</w:t>
            </w:r>
          </w:p>
        </w:tc>
        <w:tc>
          <w:tcPr>
            <w:tcW w:w="0" w:type="auto"/>
            <w:tcBorders>
              <w:top w:val="nil"/>
              <w:left w:val="nil"/>
              <w:bottom w:val="single" w:sz="8" w:space="0" w:color="auto"/>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198</w:t>
            </w:r>
          </w:p>
        </w:tc>
        <w:tc>
          <w:tcPr>
            <w:tcW w:w="0" w:type="auto"/>
            <w:tcBorders>
              <w:top w:val="nil"/>
              <w:left w:val="nil"/>
              <w:bottom w:val="single" w:sz="8" w:space="0" w:color="auto"/>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45</w:t>
            </w:r>
          </w:p>
        </w:tc>
        <w:tc>
          <w:tcPr>
            <w:tcW w:w="0" w:type="auto"/>
            <w:tcBorders>
              <w:top w:val="nil"/>
              <w:left w:val="nil"/>
              <w:bottom w:val="single" w:sz="8" w:space="0" w:color="auto"/>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16</w:t>
            </w:r>
            <w:r w:rsidR="001B4FC7" w:rsidRPr="00911315">
              <w:rPr>
                <w:rFonts w:cs="Arial"/>
                <w:color w:val="000000"/>
                <w:sz w:val="16"/>
                <w:szCs w:val="16"/>
                <w:lang w:eastAsia="en-AU" w:bidi="ar-SA"/>
              </w:rPr>
              <w:t> </w:t>
            </w:r>
            <w:r w:rsidRPr="00911315">
              <w:rPr>
                <w:rFonts w:cs="Arial"/>
                <w:color w:val="000000"/>
                <w:sz w:val="16"/>
                <w:szCs w:val="16"/>
                <w:lang w:eastAsia="en-AU" w:bidi="ar-SA"/>
              </w:rPr>
              <w:t>393</w:t>
            </w:r>
          </w:p>
        </w:tc>
      </w:tr>
      <w:tr w:rsidR="0022069A" w:rsidRPr="00911315" w:rsidTr="008749C8">
        <w:trPr>
          <w:cantSplit/>
        </w:trPr>
        <w:tc>
          <w:tcPr>
            <w:tcW w:w="0" w:type="auto"/>
            <w:tcBorders>
              <w:top w:val="nil"/>
              <w:left w:val="nil"/>
              <w:bottom w:val="single" w:sz="8" w:space="0" w:color="auto"/>
              <w:right w:val="nil"/>
            </w:tcBorders>
            <w:shd w:val="clear" w:color="auto" w:fill="auto"/>
            <w:vAlign w:val="bottom"/>
            <w:hideMark/>
          </w:tcPr>
          <w:p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 </w:t>
            </w:r>
          </w:p>
        </w:tc>
        <w:tc>
          <w:tcPr>
            <w:tcW w:w="0" w:type="auto"/>
            <w:gridSpan w:val="5"/>
            <w:tcBorders>
              <w:top w:val="single" w:sz="8" w:space="0" w:color="auto"/>
              <w:left w:val="nil"/>
              <w:bottom w:val="single" w:sz="8" w:space="0" w:color="auto"/>
              <w:right w:val="nil"/>
            </w:tcBorders>
            <w:shd w:val="clear" w:color="auto" w:fill="auto"/>
            <w:vAlign w:val="bottom"/>
            <w:hideMark/>
          </w:tcPr>
          <w:p w:rsidR="0022069A" w:rsidRPr="00911315" w:rsidRDefault="0022069A" w:rsidP="0022069A">
            <w:pPr>
              <w:keepNext/>
              <w:keepLines/>
              <w:spacing w:after="60" w:line="240" w:lineRule="auto"/>
              <w:ind w:left="0"/>
              <w:jc w:val="center"/>
              <w:rPr>
                <w:rFonts w:cs="Arial"/>
                <w:color w:val="000000"/>
                <w:sz w:val="16"/>
                <w:szCs w:val="16"/>
                <w:lang w:eastAsia="en-AU" w:bidi="ar-SA"/>
              </w:rPr>
            </w:pPr>
            <w:r w:rsidRPr="00911315">
              <w:rPr>
                <w:rFonts w:cs="Arial"/>
                <w:color w:val="000000"/>
                <w:sz w:val="16"/>
                <w:szCs w:val="16"/>
                <w:lang w:eastAsia="en-AU" w:bidi="ar-SA"/>
              </w:rPr>
              <w:t>Composition (per cent)</w:t>
            </w:r>
          </w:p>
        </w:tc>
      </w:tr>
      <w:tr w:rsidR="0022069A" w:rsidRPr="00911315" w:rsidTr="008749C8">
        <w:trPr>
          <w:cantSplit/>
        </w:trPr>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Newstart Allowance</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53.2</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3.0</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0.5</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26.7</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39.6</w:t>
            </w:r>
          </w:p>
        </w:tc>
      </w:tr>
      <w:tr w:rsidR="0022069A" w:rsidRPr="00911315" w:rsidTr="008749C8">
        <w:trPr>
          <w:cantSplit/>
        </w:trPr>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Parenting Payment Single</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18.5</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0.6</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2.5</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22.2</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13.7</w:t>
            </w:r>
          </w:p>
        </w:tc>
      </w:tr>
      <w:tr w:rsidR="0022069A" w:rsidRPr="00911315" w:rsidTr="008749C8">
        <w:trPr>
          <w:cantSplit/>
        </w:trPr>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Parenting Payment Partnered</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18.5</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0.8</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0.0</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37.8</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13.8</w:t>
            </w:r>
          </w:p>
        </w:tc>
      </w:tr>
      <w:tr w:rsidR="0022069A" w:rsidRPr="00911315" w:rsidTr="008749C8">
        <w:trPr>
          <w:cantSplit/>
        </w:trPr>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 xml:space="preserve">Youth Allowance – Other </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9.8</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0.5</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1.5</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0.0</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7.3</w:t>
            </w:r>
          </w:p>
        </w:tc>
      </w:tr>
      <w:tr w:rsidR="0022069A" w:rsidRPr="00911315" w:rsidTr="008749C8">
        <w:trPr>
          <w:cantSplit/>
        </w:trPr>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Disability Support Pension</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0.0</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68.7</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76.8</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6.7</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18.5</w:t>
            </w:r>
          </w:p>
        </w:tc>
      </w:tr>
      <w:tr w:rsidR="0022069A" w:rsidRPr="00911315" w:rsidTr="008749C8">
        <w:trPr>
          <w:cantSplit/>
        </w:trPr>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Age Pension</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0.0</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19.3</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18.2</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0.0</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5.1</w:t>
            </w:r>
          </w:p>
        </w:tc>
      </w:tr>
      <w:tr w:rsidR="0022069A" w:rsidRPr="00911315" w:rsidTr="008749C8">
        <w:trPr>
          <w:cantSplit/>
        </w:trPr>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Carer Payment</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0.0</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5.2</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4.4</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1.3</w:t>
            </w:r>
          </w:p>
        </w:tc>
      </w:tr>
      <w:tr w:rsidR="0022069A" w:rsidRPr="00911315" w:rsidTr="008749C8">
        <w:trPr>
          <w:cantSplit/>
        </w:trPr>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 xml:space="preserve">Other </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0.1</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1.9</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0.5</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2.2</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0.6</w:t>
            </w:r>
          </w:p>
        </w:tc>
      </w:tr>
      <w:tr w:rsidR="0022069A" w:rsidRPr="00911315" w:rsidTr="008749C8">
        <w:trPr>
          <w:cantSplit/>
        </w:trPr>
        <w:tc>
          <w:tcPr>
            <w:tcW w:w="0" w:type="auto"/>
            <w:tcBorders>
              <w:top w:val="nil"/>
              <w:left w:val="nil"/>
              <w:bottom w:val="single" w:sz="8" w:space="0" w:color="auto"/>
              <w:right w:val="nil"/>
            </w:tcBorders>
            <w:shd w:val="clear" w:color="auto" w:fill="auto"/>
            <w:vAlign w:val="bottom"/>
            <w:hideMark/>
          </w:tcPr>
          <w:p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 xml:space="preserve">Total </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r w:rsidR="00F17549" w:rsidRPr="00911315">
              <w:rPr>
                <w:rFonts w:cs="Arial"/>
                <w:color w:val="000000"/>
                <w:sz w:val="16"/>
                <w:szCs w:val="16"/>
                <w:lang w:eastAsia="en-AU" w:bidi="ar-SA"/>
              </w:rPr>
              <w:t>.0</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r w:rsidR="00F17549" w:rsidRPr="00911315">
              <w:rPr>
                <w:rFonts w:cs="Arial"/>
                <w:color w:val="000000"/>
                <w:sz w:val="16"/>
                <w:szCs w:val="16"/>
                <w:lang w:eastAsia="en-AU" w:bidi="ar-SA"/>
              </w:rPr>
              <w:t>.0</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r w:rsidR="00F17549" w:rsidRPr="00911315">
              <w:rPr>
                <w:rFonts w:cs="Arial"/>
                <w:color w:val="000000"/>
                <w:sz w:val="16"/>
                <w:szCs w:val="16"/>
                <w:lang w:eastAsia="en-AU" w:bidi="ar-SA"/>
              </w:rPr>
              <w:t>.0</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r w:rsidR="00F17549" w:rsidRPr="00911315">
              <w:rPr>
                <w:rFonts w:cs="Arial"/>
                <w:color w:val="000000"/>
                <w:sz w:val="16"/>
                <w:szCs w:val="16"/>
                <w:lang w:eastAsia="en-AU" w:bidi="ar-SA"/>
              </w:rPr>
              <w:t>.0</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r w:rsidR="00F17549" w:rsidRPr="00911315">
              <w:rPr>
                <w:rFonts w:cs="Arial"/>
                <w:color w:val="000000"/>
                <w:sz w:val="16"/>
                <w:szCs w:val="16"/>
                <w:lang w:eastAsia="en-AU" w:bidi="ar-SA"/>
              </w:rPr>
              <w:t>.0</w:t>
            </w:r>
          </w:p>
        </w:tc>
      </w:tr>
      <w:tr w:rsidR="0022069A" w:rsidRPr="00911315" w:rsidTr="008749C8">
        <w:trPr>
          <w:cantSplit/>
        </w:trPr>
        <w:tc>
          <w:tcPr>
            <w:tcW w:w="0" w:type="auto"/>
            <w:tcBorders>
              <w:top w:val="nil"/>
              <w:left w:val="nil"/>
              <w:bottom w:val="single" w:sz="8" w:space="0" w:color="auto"/>
              <w:right w:val="nil"/>
            </w:tcBorders>
            <w:shd w:val="clear" w:color="auto" w:fill="auto"/>
            <w:vAlign w:val="bottom"/>
            <w:hideMark/>
          </w:tcPr>
          <w:p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 </w:t>
            </w:r>
          </w:p>
        </w:tc>
        <w:tc>
          <w:tcPr>
            <w:tcW w:w="0" w:type="auto"/>
            <w:gridSpan w:val="5"/>
            <w:tcBorders>
              <w:top w:val="single" w:sz="8" w:space="0" w:color="auto"/>
              <w:left w:val="nil"/>
              <w:bottom w:val="single" w:sz="8" w:space="0" w:color="auto"/>
              <w:right w:val="nil"/>
            </w:tcBorders>
            <w:shd w:val="clear" w:color="auto" w:fill="auto"/>
            <w:vAlign w:val="bottom"/>
            <w:hideMark/>
          </w:tcPr>
          <w:p w:rsidR="0022069A" w:rsidRPr="00911315" w:rsidRDefault="0022069A" w:rsidP="0022069A">
            <w:pPr>
              <w:keepNext/>
              <w:keepLines/>
              <w:spacing w:after="60" w:line="240" w:lineRule="auto"/>
              <w:ind w:left="0"/>
              <w:jc w:val="center"/>
              <w:rPr>
                <w:rFonts w:cs="Arial"/>
                <w:color w:val="000000"/>
                <w:sz w:val="16"/>
                <w:szCs w:val="16"/>
                <w:lang w:eastAsia="en-AU" w:bidi="ar-SA"/>
              </w:rPr>
            </w:pPr>
            <w:r w:rsidRPr="00911315">
              <w:rPr>
                <w:rFonts w:cs="Arial"/>
                <w:color w:val="000000"/>
                <w:sz w:val="16"/>
                <w:szCs w:val="16"/>
                <w:lang w:eastAsia="en-AU" w:bidi="ar-SA"/>
              </w:rPr>
              <w:t>Incidence (per cent)</w:t>
            </w:r>
          </w:p>
        </w:tc>
      </w:tr>
      <w:tr w:rsidR="0022069A" w:rsidRPr="00911315" w:rsidTr="008749C8">
        <w:trPr>
          <w:cantSplit/>
        </w:trPr>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Newstart Allowance</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70.4</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1.4</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0.0</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0.1</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72.0</w:t>
            </w:r>
          </w:p>
        </w:tc>
      </w:tr>
      <w:tr w:rsidR="0022069A" w:rsidRPr="00911315" w:rsidTr="008749C8">
        <w:trPr>
          <w:cantSplit/>
        </w:trPr>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Parenting Payment Single</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56.4</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0.7</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0.1</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0.3</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57.4</w:t>
            </w:r>
          </w:p>
        </w:tc>
      </w:tr>
      <w:tr w:rsidR="0022069A" w:rsidRPr="00911315" w:rsidTr="008749C8">
        <w:trPr>
          <w:cantSplit/>
        </w:trPr>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Parenting Payment Partnered</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76.5</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1.1</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0.0</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0.6</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78.2</w:t>
            </w:r>
          </w:p>
        </w:tc>
      </w:tr>
      <w:tr w:rsidR="0022069A" w:rsidRPr="00911315" w:rsidTr="008749C8">
        <w:trPr>
          <w:cantSplit/>
        </w:trPr>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 xml:space="preserve">Youth Allowance – Other </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67.6</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1.2</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0.2</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0.0</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69.0</w:t>
            </w:r>
          </w:p>
        </w:tc>
      </w:tr>
      <w:tr w:rsidR="0022069A" w:rsidRPr="00911315" w:rsidTr="008749C8">
        <w:trPr>
          <w:cantSplit/>
        </w:trPr>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Disability Support Pension</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0.0</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27.7</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1.5</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0.0</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29.2</w:t>
            </w:r>
          </w:p>
        </w:tc>
      </w:tr>
      <w:tr w:rsidR="0022069A" w:rsidRPr="00911315" w:rsidTr="008749C8">
        <w:trPr>
          <w:cantSplit/>
        </w:trPr>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Age Pension</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0.0</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10.7</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0.5</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0.0</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11.1</w:t>
            </w:r>
          </w:p>
        </w:tc>
      </w:tr>
      <w:tr w:rsidR="0022069A" w:rsidRPr="00911315" w:rsidTr="008749C8">
        <w:trPr>
          <w:cantSplit/>
        </w:trPr>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Carer Payment</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0.0</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19.1</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0.0</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0.2</w:t>
            </w:r>
          </w:p>
        </w:tc>
        <w:tc>
          <w:tcPr>
            <w:tcW w:w="0" w:type="auto"/>
            <w:tcBorders>
              <w:top w:val="nil"/>
              <w:left w:val="nil"/>
              <w:bottom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19.2</w:t>
            </w:r>
          </w:p>
        </w:tc>
      </w:tr>
      <w:tr w:rsidR="0022069A" w:rsidRPr="00911315" w:rsidTr="008749C8">
        <w:trPr>
          <w:cantSplit/>
        </w:trPr>
        <w:tc>
          <w:tcPr>
            <w:tcW w:w="0" w:type="auto"/>
            <w:tcBorders>
              <w:top w:val="nil"/>
              <w:left w:val="nil"/>
              <w:right w:val="nil"/>
            </w:tcBorders>
            <w:shd w:val="clear" w:color="auto" w:fill="auto"/>
            <w:vAlign w:val="bottom"/>
            <w:hideMark/>
          </w:tcPr>
          <w:p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 xml:space="preserve">Other </w:t>
            </w:r>
          </w:p>
        </w:tc>
        <w:tc>
          <w:tcPr>
            <w:tcW w:w="0" w:type="auto"/>
            <w:tcBorders>
              <w:top w:val="nil"/>
              <w:left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0.4</w:t>
            </w:r>
          </w:p>
        </w:tc>
        <w:tc>
          <w:tcPr>
            <w:tcW w:w="0" w:type="auto"/>
            <w:tcBorders>
              <w:top w:val="nil"/>
              <w:left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3.0</w:t>
            </w:r>
          </w:p>
        </w:tc>
        <w:tc>
          <w:tcPr>
            <w:tcW w:w="0" w:type="auto"/>
            <w:tcBorders>
              <w:top w:val="nil"/>
              <w:left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0.0</w:t>
            </w:r>
          </w:p>
        </w:tc>
        <w:tc>
          <w:tcPr>
            <w:tcW w:w="0" w:type="auto"/>
            <w:tcBorders>
              <w:top w:val="nil"/>
              <w:left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0.0</w:t>
            </w:r>
          </w:p>
        </w:tc>
        <w:tc>
          <w:tcPr>
            <w:tcW w:w="0" w:type="auto"/>
            <w:tcBorders>
              <w:top w:val="nil"/>
              <w:left w:val="nil"/>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3.5</w:t>
            </w:r>
          </w:p>
        </w:tc>
      </w:tr>
      <w:tr w:rsidR="0022069A" w:rsidRPr="00911315" w:rsidTr="008749C8">
        <w:trPr>
          <w:cantSplit/>
        </w:trPr>
        <w:tc>
          <w:tcPr>
            <w:tcW w:w="0" w:type="auto"/>
            <w:tcBorders>
              <w:top w:val="nil"/>
              <w:left w:val="nil"/>
              <w:bottom w:val="single" w:sz="4" w:space="0" w:color="auto"/>
              <w:right w:val="nil"/>
            </w:tcBorders>
            <w:shd w:val="clear" w:color="auto" w:fill="auto"/>
            <w:vAlign w:val="bottom"/>
            <w:hideMark/>
          </w:tcPr>
          <w:p w:rsidR="0022069A" w:rsidRPr="00911315" w:rsidRDefault="0022069A" w:rsidP="0022069A">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 xml:space="preserve">Total </w:t>
            </w:r>
          </w:p>
        </w:tc>
        <w:tc>
          <w:tcPr>
            <w:tcW w:w="0" w:type="auto"/>
            <w:tcBorders>
              <w:top w:val="nil"/>
              <w:left w:val="nil"/>
              <w:bottom w:val="single" w:sz="4" w:space="0" w:color="auto"/>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30.4</w:t>
            </w:r>
          </w:p>
        </w:tc>
        <w:tc>
          <w:tcPr>
            <w:tcW w:w="0" w:type="auto"/>
            <w:tcBorders>
              <w:top w:val="nil"/>
              <w:left w:val="nil"/>
              <w:bottom w:val="single" w:sz="4" w:space="0" w:color="auto"/>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10.7</w:t>
            </w:r>
          </w:p>
        </w:tc>
        <w:tc>
          <w:tcPr>
            <w:tcW w:w="0" w:type="auto"/>
            <w:tcBorders>
              <w:top w:val="nil"/>
              <w:left w:val="nil"/>
              <w:bottom w:val="single" w:sz="4" w:space="0" w:color="auto"/>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0.5</w:t>
            </w:r>
          </w:p>
        </w:tc>
        <w:tc>
          <w:tcPr>
            <w:tcW w:w="0" w:type="auto"/>
            <w:tcBorders>
              <w:top w:val="nil"/>
              <w:left w:val="nil"/>
              <w:bottom w:val="single" w:sz="4" w:space="0" w:color="auto"/>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0.1</w:t>
            </w:r>
          </w:p>
        </w:tc>
        <w:tc>
          <w:tcPr>
            <w:tcW w:w="0" w:type="auto"/>
            <w:tcBorders>
              <w:top w:val="nil"/>
              <w:left w:val="nil"/>
              <w:bottom w:val="single" w:sz="4" w:space="0" w:color="auto"/>
              <w:right w:val="nil"/>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41.7</w:t>
            </w:r>
          </w:p>
        </w:tc>
      </w:tr>
    </w:tbl>
    <w:p w:rsidR="0022069A" w:rsidRPr="001B4FC7" w:rsidRDefault="0022069A" w:rsidP="00CF78DB">
      <w:pPr>
        <w:pStyle w:val="tablefootnotes"/>
      </w:pPr>
      <w:r w:rsidRPr="001B4FC7">
        <w:t>Note:</w:t>
      </w:r>
      <w:r w:rsidR="001B4FC7" w:rsidRPr="001B4FC7">
        <w:tab/>
      </w:r>
      <w:r w:rsidR="00CD2C3D">
        <w:t xml:space="preserve">Income support </w:t>
      </w:r>
      <w:r w:rsidRPr="001B4FC7">
        <w:t xml:space="preserve">type taken from </w:t>
      </w:r>
      <w:r w:rsidR="00900FCF" w:rsidRPr="001B4FC7">
        <w:t>i</w:t>
      </w:r>
      <w:r w:rsidRPr="001B4FC7">
        <w:t xml:space="preserve">ncome </w:t>
      </w:r>
      <w:r w:rsidR="00900FCF" w:rsidRPr="001B4FC7">
        <w:t>s</w:t>
      </w:r>
      <w:r w:rsidRPr="001B4FC7">
        <w:t>upport payments file, denominator for incidence is the number of persons in the</w:t>
      </w:r>
      <w:r w:rsidR="006435C8">
        <w:t xml:space="preserve"> Northern Territory </w:t>
      </w:r>
      <w:r w:rsidRPr="001B4FC7">
        <w:t xml:space="preserve">receiving the specified </w:t>
      </w:r>
      <w:r w:rsidR="00900FCF" w:rsidRPr="001B4FC7">
        <w:t>i</w:t>
      </w:r>
      <w:r w:rsidRPr="001B4FC7">
        <w:t xml:space="preserve">ncome </w:t>
      </w:r>
      <w:r w:rsidR="00900FCF" w:rsidRPr="001B4FC7">
        <w:t>s</w:t>
      </w:r>
      <w:r w:rsidRPr="001B4FC7">
        <w:t>upport payment during this period.</w:t>
      </w:r>
    </w:p>
    <w:p w:rsidR="00ED395D" w:rsidRPr="001B4FC7" w:rsidRDefault="00ED395D" w:rsidP="00CF78DB">
      <w:pPr>
        <w:pStyle w:val="tablefootnotes"/>
      </w:pPr>
      <w:r w:rsidRPr="001B4FC7">
        <w:t>Population:</w:t>
      </w:r>
      <w:r w:rsidR="001B4FC7">
        <w:tab/>
      </w:r>
      <w:r w:rsidRPr="001B4FC7">
        <w:t xml:space="preserve">Income </w:t>
      </w:r>
      <w:r w:rsidR="00900FCF" w:rsidRPr="001B4FC7">
        <w:t>s</w:t>
      </w:r>
      <w:r w:rsidRPr="001B4FC7">
        <w:t>upport recipients in the</w:t>
      </w:r>
      <w:r w:rsidR="006435C8">
        <w:t xml:space="preserve"> Northern Territory </w:t>
      </w:r>
      <w:r w:rsidRPr="001B4FC7">
        <w:t xml:space="preserve">subject to </w:t>
      </w:r>
      <w:r w:rsidR="00900FCF" w:rsidRPr="001B4FC7">
        <w:t>i</w:t>
      </w:r>
      <w:r w:rsidRPr="001B4FC7">
        <w:t xml:space="preserve">ncome </w:t>
      </w:r>
      <w:r w:rsidR="00900FCF" w:rsidRPr="001B4FC7">
        <w:t>m</w:t>
      </w:r>
      <w:r w:rsidRPr="001B4FC7">
        <w:t>anagement</w:t>
      </w:r>
      <w:r w:rsidR="00943DCB">
        <w:t>.</w:t>
      </w:r>
    </w:p>
    <w:p w:rsidR="0022069A" w:rsidRPr="001B4FC7" w:rsidRDefault="0022069A" w:rsidP="00943DCB">
      <w:pPr>
        <w:pStyle w:val="tablefootnoteslastline"/>
      </w:pPr>
      <w:r w:rsidRPr="001B4FC7">
        <w:t xml:space="preserve">Source: </w:t>
      </w:r>
      <w:r w:rsidR="001B4FC7">
        <w:tab/>
      </w:r>
      <w:r w:rsidRPr="001B4FC7">
        <w:t xml:space="preserve">Income </w:t>
      </w:r>
      <w:r w:rsidR="00900FCF" w:rsidRPr="001B4FC7">
        <w:t>s</w:t>
      </w:r>
      <w:r w:rsidRPr="001B4FC7">
        <w:t xml:space="preserve">upport payments file and </w:t>
      </w:r>
      <w:r w:rsidR="00F878E4" w:rsidRPr="001B4FC7">
        <w:t>income management</w:t>
      </w:r>
      <w:r w:rsidRPr="001B4FC7">
        <w:t xml:space="preserve"> perso</w:t>
      </w:r>
      <w:r w:rsidR="008749C8">
        <w:t>n file for fortnight ending 28</w:t>
      </w:r>
      <w:r w:rsidRPr="001B4FC7">
        <w:t xml:space="preserve"> October</w:t>
      </w:r>
      <w:r w:rsidR="003A1B16" w:rsidRPr="001B4FC7">
        <w:t xml:space="preserve"> 2011</w:t>
      </w:r>
      <w:r w:rsidR="00943DCB">
        <w:t>.</w:t>
      </w:r>
    </w:p>
    <w:p w:rsidR="00B24D9F" w:rsidRPr="005911E2" w:rsidRDefault="00B24D9F" w:rsidP="00943DCB">
      <w:pPr>
        <w:pStyle w:val="tablefootnoteslastline"/>
      </w:pPr>
    </w:p>
    <w:p w:rsidR="0022069A" w:rsidRPr="005911E2" w:rsidRDefault="0022069A" w:rsidP="00BD6DFD">
      <w:pPr>
        <w:pStyle w:val="Heading3"/>
      </w:pPr>
      <w:r w:rsidRPr="005911E2">
        <w:t>Income support by Indigenous status</w:t>
      </w:r>
    </w:p>
    <w:p w:rsidR="006F14AA" w:rsidRDefault="006F14AA" w:rsidP="00AC3E74">
      <w:pPr>
        <w:pStyle w:val="BodyText"/>
      </w:pPr>
      <w:r w:rsidRPr="005911E2">
        <w:t xml:space="preserve">As illustrated in Table </w:t>
      </w:r>
      <w:r w:rsidRPr="005911E2">
        <w:rPr>
          <w:noProof/>
        </w:rPr>
        <w:t>4</w:t>
      </w:r>
      <w:r w:rsidRPr="005911E2">
        <w:noBreakHyphen/>
      </w:r>
      <w:r w:rsidRPr="005911E2">
        <w:rPr>
          <w:noProof/>
        </w:rPr>
        <w:t>10</w:t>
      </w:r>
      <w:r w:rsidR="00D43D3B">
        <w:rPr>
          <w:noProof/>
        </w:rPr>
        <w:t>,</w:t>
      </w:r>
      <w:r w:rsidRPr="005911E2">
        <w:t xml:space="preserve"> most non-Indigenous people subject to </w:t>
      </w:r>
      <w:r w:rsidR="00F878E4">
        <w:t>income management</w:t>
      </w:r>
      <w:r w:rsidRPr="005911E2">
        <w:t xml:space="preserve"> were on Newstart Allowance (55 per cent) or Parenting Payment Single (23 per cent). </w:t>
      </w:r>
      <w:r w:rsidR="00950933">
        <w:t>T</w:t>
      </w:r>
      <w:r w:rsidRPr="005911E2">
        <w:t xml:space="preserve">he Indigenous </w:t>
      </w:r>
      <w:r w:rsidR="00F878E4">
        <w:t>income management</w:t>
      </w:r>
      <w:r w:rsidRPr="005911E2">
        <w:t xml:space="preserve"> population was distributed across a wider set of payments.</w:t>
      </w:r>
    </w:p>
    <w:p w:rsidR="00943DCB" w:rsidRDefault="00943DCB" w:rsidP="00943DCB">
      <w:pPr>
        <w:pStyle w:val="BodyText"/>
        <w:keepLines/>
      </w:pPr>
      <w:r w:rsidRPr="005911E2">
        <w:t>These included: 38 per cent on Newstart</w:t>
      </w:r>
      <w:r>
        <w:t xml:space="preserve"> Allowance</w:t>
      </w:r>
      <w:r w:rsidRPr="005911E2">
        <w:t xml:space="preserve">; 20 per cent on the Disability Support Pension; 14 per cent on Parenting Payment Partnered; 13 per cent on Parenting Payment Single; 7 per cent on Youth Allowance (other) and 6 per cent on the Age Pension. </w:t>
      </w:r>
    </w:p>
    <w:p w:rsidR="00943DCB" w:rsidRDefault="00943DCB" w:rsidP="00943DCB">
      <w:pPr>
        <w:pStyle w:val="BodyText"/>
        <w:keepLines/>
      </w:pPr>
      <w:r w:rsidRPr="005911E2">
        <w:lastRenderedPageBreak/>
        <w:t xml:space="preserve">The incidence of </w:t>
      </w:r>
      <w:r>
        <w:t>income management</w:t>
      </w:r>
      <w:r w:rsidRPr="005911E2">
        <w:t xml:space="preserve"> by payment type also varied considerably by Indigeneity. Whereas the 2</w:t>
      </w:r>
      <w:r>
        <w:t> </w:t>
      </w:r>
      <w:r w:rsidRPr="005911E2">
        <w:t xml:space="preserve">994 Indigenous people subject to </w:t>
      </w:r>
      <w:r>
        <w:t>income management</w:t>
      </w:r>
      <w:r w:rsidRPr="005911E2">
        <w:t xml:space="preserve"> represents some 44 per cent of all Indigenous </w:t>
      </w:r>
      <w:r>
        <w:t>Disability Support Pension</w:t>
      </w:r>
      <w:r w:rsidRPr="005911E2">
        <w:t xml:space="preserve"> recipients</w:t>
      </w:r>
      <w:r>
        <w:t>,</w:t>
      </w:r>
      <w:r w:rsidRPr="005911E2">
        <w:t xml:space="preserve"> the 41 income managed non-Indigenous </w:t>
      </w:r>
      <w:r>
        <w:t>Disability Support Pension</w:t>
      </w:r>
      <w:r w:rsidRPr="005911E2">
        <w:t xml:space="preserve"> recipients represent just 1.1 per cent of the non-Indigenous </w:t>
      </w:r>
      <w:r>
        <w:t>Disability Support Pension</w:t>
      </w:r>
      <w:r w:rsidRPr="005911E2">
        <w:t xml:space="preserve"> population</w:t>
      </w:r>
      <w:r w:rsidR="002A53BE">
        <w:t>.</w:t>
      </w:r>
    </w:p>
    <w:p w:rsidR="0022069A" w:rsidRPr="005911E2" w:rsidRDefault="0022069A" w:rsidP="0022069A">
      <w:pPr>
        <w:pStyle w:val="tabfighead"/>
      </w:pPr>
      <w:bookmarkStart w:id="329" w:name="_Ref321184530"/>
      <w:bookmarkStart w:id="330" w:name="_Toc321430413"/>
      <w:bookmarkStart w:id="331" w:name="_Toc321761683"/>
      <w:bookmarkStart w:id="332" w:name="_Toc321254532"/>
      <w:bookmarkStart w:id="333" w:name="_Toc328601580"/>
      <w:bookmarkStart w:id="334" w:name="_Toc329051358"/>
      <w:bookmarkStart w:id="335" w:name="_Toc335915846"/>
      <w:r w:rsidRPr="005911E2">
        <w:t xml:space="preserve">Table </w:t>
      </w:r>
      <w:r w:rsidR="00C7347D" w:rsidRPr="005911E2">
        <w:fldChar w:fldCharType="begin"/>
      </w:r>
      <w:r w:rsidR="00435FEB" w:rsidRPr="005911E2">
        <w:instrText xml:space="preserve"> STYLEREF 1 \s </w:instrText>
      </w:r>
      <w:r w:rsidR="00C7347D" w:rsidRPr="005911E2">
        <w:fldChar w:fldCharType="separate"/>
      </w:r>
      <w:r w:rsidR="007D7E45">
        <w:rPr>
          <w:noProof/>
        </w:rPr>
        <w:t>4</w:t>
      </w:r>
      <w:r w:rsidR="00C7347D" w:rsidRPr="005911E2">
        <w:rPr>
          <w:noProof/>
        </w:rPr>
        <w:fldChar w:fldCharType="end"/>
      </w:r>
      <w:r w:rsidRPr="005911E2">
        <w:noBreakHyphen/>
      </w:r>
      <w:r w:rsidR="00C7347D" w:rsidRPr="005911E2">
        <w:fldChar w:fldCharType="begin"/>
      </w:r>
      <w:r w:rsidR="00435FEB" w:rsidRPr="005911E2">
        <w:instrText xml:space="preserve"> SEQ Table \* ARABIC \s 1 </w:instrText>
      </w:r>
      <w:r w:rsidR="00C7347D" w:rsidRPr="005911E2">
        <w:fldChar w:fldCharType="separate"/>
      </w:r>
      <w:r w:rsidR="007D7E45">
        <w:rPr>
          <w:noProof/>
        </w:rPr>
        <w:t>10</w:t>
      </w:r>
      <w:r w:rsidR="00C7347D" w:rsidRPr="005911E2">
        <w:rPr>
          <w:noProof/>
        </w:rPr>
        <w:fldChar w:fldCharType="end"/>
      </w:r>
      <w:bookmarkEnd w:id="329"/>
      <w:r w:rsidRPr="005911E2">
        <w:t xml:space="preserve"> </w:t>
      </w:r>
      <w:r w:rsidRPr="005911E2">
        <w:tab/>
      </w:r>
      <w:r w:rsidR="006435C8">
        <w:t>Northern Territory,</w:t>
      </w:r>
      <w:r w:rsidRPr="005911E2">
        <w:t xml:space="preserve"> Income </w:t>
      </w:r>
      <w:r w:rsidR="00D43D3B">
        <w:t>s</w:t>
      </w:r>
      <w:r w:rsidRPr="005911E2">
        <w:t xml:space="preserve">upport </w:t>
      </w:r>
      <w:r w:rsidR="00D43D3B">
        <w:t>r</w:t>
      </w:r>
      <w:r w:rsidRPr="005911E2">
        <w:t>ecipients by Indigenous status and type</w:t>
      </w:r>
      <w:r w:rsidR="00CD2C3D">
        <w:t xml:space="preserve"> of income support</w:t>
      </w:r>
      <w:r w:rsidRPr="005911E2">
        <w:t>, October 2011</w:t>
      </w:r>
      <w:bookmarkEnd w:id="330"/>
      <w:bookmarkEnd w:id="331"/>
      <w:bookmarkEnd w:id="332"/>
      <w:bookmarkEnd w:id="333"/>
      <w:bookmarkEnd w:id="334"/>
      <w:bookmarkEnd w:id="335"/>
    </w:p>
    <w:tbl>
      <w:tblPr>
        <w:tblW w:w="4868" w:type="pct"/>
        <w:jc w:val="right"/>
        <w:tblLayout w:type="fixed"/>
        <w:tblLook w:val="04A0" w:firstRow="1" w:lastRow="0" w:firstColumn="1" w:lastColumn="0" w:noHBand="0" w:noVBand="1"/>
      </w:tblPr>
      <w:tblGrid>
        <w:gridCol w:w="2494"/>
        <w:gridCol w:w="839"/>
        <w:gridCol w:w="746"/>
        <w:gridCol w:w="708"/>
        <w:gridCol w:w="283"/>
        <w:gridCol w:w="625"/>
        <w:gridCol w:w="563"/>
        <w:gridCol w:w="602"/>
        <w:gridCol w:w="236"/>
        <w:gridCol w:w="625"/>
        <w:gridCol w:w="599"/>
        <w:gridCol w:w="535"/>
      </w:tblGrid>
      <w:tr w:rsidR="0022069A" w:rsidRPr="00911315" w:rsidTr="00351FF6">
        <w:trPr>
          <w:cantSplit/>
          <w:trHeight w:val="1029"/>
          <w:jc w:val="right"/>
        </w:trPr>
        <w:tc>
          <w:tcPr>
            <w:tcW w:w="1408" w:type="pct"/>
            <w:vMerge w:val="restart"/>
            <w:tcBorders>
              <w:top w:val="single" w:sz="4" w:space="0" w:color="auto"/>
            </w:tcBorders>
            <w:shd w:val="clear" w:color="auto" w:fill="auto"/>
            <w:hideMark/>
          </w:tcPr>
          <w:p w:rsidR="0022069A" w:rsidRPr="00911315" w:rsidRDefault="0022069A" w:rsidP="0022069A">
            <w:pPr>
              <w:keepNext/>
              <w:keepLines/>
              <w:spacing w:after="0" w:line="240" w:lineRule="auto"/>
              <w:ind w:left="0"/>
              <w:rPr>
                <w:rFonts w:cs="Arial"/>
                <w:color w:val="000000"/>
                <w:sz w:val="16"/>
                <w:szCs w:val="16"/>
                <w:lang w:eastAsia="en-AU" w:bidi="ar-SA"/>
              </w:rPr>
            </w:pPr>
            <w:r w:rsidRPr="00911315">
              <w:rPr>
                <w:rFonts w:cs="Arial"/>
                <w:color w:val="000000"/>
                <w:sz w:val="16"/>
                <w:szCs w:val="16"/>
                <w:lang w:eastAsia="en-AU" w:bidi="ar-SA"/>
              </w:rPr>
              <w:t> Income Support Type</w:t>
            </w:r>
          </w:p>
        </w:tc>
        <w:tc>
          <w:tcPr>
            <w:tcW w:w="474" w:type="pct"/>
            <w:tcBorders>
              <w:top w:val="single" w:sz="4" w:space="0" w:color="auto"/>
              <w:bottom w:val="single" w:sz="4" w:space="0" w:color="auto"/>
            </w:tcBorders>
            <w:shd w:val="clear" w:color="auto" w:fill="auto"/>
            <w:textDirection w:val="btLr"/>
            <w:hideMark/>
          </w:tcPr>
          <w:p w:rsidR="0022069A" w:rsidRPr="00911315" w:rsidRDefault="0022069A" w:rsidP="0022069A">
            <w:pPr>
              <w:keepNext/>
              <w:keepLines/>
              <w:spacing w:after="0" w:line="240" w:lineRule="auto"/>
              <w:ind w:left="113" w:right="113"/>
              <w:jc w:val="right"/>
              <w:rPr>
                <w:rFonts w:cs="Arial"/>
                <w:color w:val="000000"/>
                <w:sz w:val="16"/>
                <w:szCs w:val="16"/>
                <w:lang w:eastAsia="en-AU" w:bidi="ar-SA"/>
              </w:rPr>
            </w:pPr>
            <w:r w:rsidRPr="00911315">
              <w:rPr>
                <w:rFonts w:cs="Arial"/>
                <w:color w:val="000000"/>
                <w:sz w:val="16"/>
                <w:szCs w:val="16"/>
                <w:lang w:eastAsia="en-AU" w:bidi="ar-SA"/>
              </w:rPr>
              <w:t>Non</w:t>
            </w:r>
            <w:r w:rsidR="00D43D3B" w:rsidRPr="00911315">
              <w:rPr>
                <w:rFonts w:cs="Arial"/>
                <w:color w:val="000000"/>
                <w:sz w:val="16"/>
                <w:szCs w:val="16"/>
                <w:lang w:eastAsia="en-AU" w:bidi="ar-SA"/>
              </w:rPr>
              <w:t>-</w:t>
            </w:r>
            <w:r w:rsidRPr="00911315">
              <w:rPr>
                <w:rFonts w:cs="Arial"/>
                <w:color w:val="000000"/>
                <w:sz w:val="16"/>
                <w:szCs w:val="16"/>
                <w:lang w:eastAsia="en-AU" w:bidi="ar-SA"/>
              </w:rPr>
              <w:t xml:space="preserve"> </w:t>
            </w:r>
            <w:r w:rsidRPr="00911315">
              <w:rPr>
                <w:rFonts w:cs="Arial"/>
                <w:color w:val="000000"/>
                <w:sz w:val="16"/>
                <w:szCs w:val="16"/>
                <w:lang w:eastAsia="en-AU" w:bidi="ar-SA"/>
              </w:rPr>
              <w:br/>
              <w:t>Indigenous</w:t>
            </w:r>
          </w:p>
        </w:tc>
        <w:tc>
          <w:tcPr>
            <w:tcW w:w="421" w:type="pct"/>
            <w:tcBorders>
              <w:top w:val="single" w:sz="4" w:space="0" w:color="auto"/>
              <w:bottom w:val="single" w:sz="4" w:space="0" w:color="auto"/>
            </w:tcBorders>
            <w:shd w:val="clear" w:color="auto" w:fill="auto"/>
            <w:textDirection w:val="btLr"/>
            <w:hideMark/>
          </w:tcPr>
          <w:p w:rsidR="0022069A" w:rsidRPr="00911315" w:rsidRDefault="0022069A" w:rsidP="0022069A">
            <w:pPr>
              <w:keepNext/>
              <w:keepLines/>
              <w:spacing w:after="0" w:line="240" w:lineRule="auto"/>
              <w:ind w:left="113" w:right="113"/>
              <w:jc w:val="right"/>
              <w:rPr>
                <w:rFonts w:cs="Arial"/>
                <w:color w:val="000000"/>
                <w:sz w:val="16"/>
                <w:szCs w:val="16"/>
                <w:lang w:eastAsia="en-AU" w:bidi="ar-SA"/>
              </w:rPr>
            </w:pPr>
            <w:r w:rsidRPr="00911315">
              <w:rPr>
                <w:rFonts w:cs="Arial"/>
                <w:color w:val="000000"/>
                <w:sz w:val="16"/>
                <w:szCs w:val="16"/>
                <w:lang w:eastAsia="en-AU" w:bidi="ar-SA"/>
              </w:rPr>
              <w:t>Indigenous</w:t>
            </w:r>
          </w:p>
        </w:tc>
        <w:tc>
          <w:tcPr>
            <w:tcW w:w="400" w:type="pct"/>
            <w:tcBorders>
              <w:top w:val="single" w:sz="4" w:space="0" w:color="auto"/>
              <w:bottom w:val="single" w:sz="4" w:space="0" w:color="auto"/>
            </w:tcBorders>
            <w:shd w:val="clear" w:color="auto" w:fill="auto"/>
            <w:textDirection w:val="btLr"/>
            <w:hideMark/>
          </w:tcPr>
          <w:p w:rsidR="0022069A" w:rsidRPr="00911315" w:rsidRDefault="0022069A" w:rsidP="0022069A">
            <w:pPr>
              <w:keepNext/>
              <w:keepLines/>
              <w:spacing w:after="0" w:line="240" w:lineRule="auto"/>
              <w:ind w:left="113" w:right="113"/>
              <w:jc w:val="right"/>
              <w:rPr>
                <w:rFonts w:cs="Arial"/>
                <w:color w:val="000000"/>
                <w:sz w:val="16"/>
                <w:szCs w:val="16"/>
                <w:lang w:eastAsia="en-AU" w:bidi="ar-SA"/>
              </w:rPr>
            </w:pPr>
            <w:r w:rsidRPr="00911315">
              <w:rPr>
                <w:rFonts w:cs="Arial"/>
                <w:color w:val="000000"/>
                <w:sz w:val="16"/>
                <w:szCs w:val="16"/>
                <w:lang w:eastAsia="en-AU" w:bidi="ar-SA"/>
              </w:rPr>
              <w:t>Total</w:t>
            </w:r>
          </w:p>
        </w:tc>
        <w:tc>
          <w:tcPr>
            <w:tcW w:w="160" w:type="pct"/>
            <w:tcBorders>
              <w:top w:val="single" w:sz="4" w:space="0" w:color="auto"/>
            </w:tcBorders>
            <w:textDirection w:val="btLr"/>
          </w:tcPr>
          <w:p w:rsidR="0022069A" w:rsidRPr="00911315" w:rsidRDefault="0022069A" w:rsidP="0022069A">
            <w:pPr>
              <w:keepNext/>
              <w:keepLines/>
              <w:spacing w:after="0" w:line="240" w:lineRule="auto"/>
              <w:ind w:left="113" w:right="113"/>
              <w:jc w:val="right"/>
              <w:rPr>
                <w:rFonts w:cs="Arial"/>
                <w:color w:val="000000"/>
                <w:sz w:val="16"/>
                <w:szCs w:val="16"/>
                <w:lang w:eastAsia="en-AU" w:bidi="ar-SA"/>
              </w:rPr>
            </w:pPr>
          </w:p>
        </w:tc>
        <w:tc>
          <w:tcPr>
            <w:tcW w:w="353" w:type="pct"/>
            <w:tcBorders>
              <w:top w:val="single" w:sz="4" w:space="0" w:color="auto"/>
              <w:bottom w:val="single" w:sz="4" w:space="0" w:color="auto"/>
            </w:tcBorders>
            <w:shd w:val="clear" w:color="auto" w:fill="auto"/>
            <w:textDirection w:val="btLr"/>
            <w:hideMark/>
          </w:tcPr>
          <w:p w:rsidR="0022069A" w:rsidRPr="00911315" w:rsidRDefault="0022069A" w:rsidP="0022069A">
            <w:pPr>
              <w:keepNext/>
              <w:keepLines/>
              <w:spacing w:after="0" w:line="240" w:lineRule="auto"/>
              <w:ind w:left="113" w:right="113"/>
              <w:jc w:val="right"/>
              <w:rPr>
                <w:rFonts w:cs="Arial"/>
                <w:color w:val="000000"/>
                <w:sz w:val="16"/>
                <w:szCs w:val="16"/>
                <w:lang w:eastAsia="en-AU" w:bidi="ar-SA"/>
              </w:rPr>
            </w:pPr>
            <w:r w:rsidRPr="00911315">
              <w:rPr>
                <w:rFonts w:cs="Arial"/>
                <w:color w:val="000000"/>
                <w:sz w:val="16"/>
                <w:szCs w:val="16"/>
                <w:lang w:eastAsia="en-AU" w:bidi="ar-SA"/>
              </w:rPr>
              <w:t xml:space="preserve">Non </w:t>
            </w:r>
            <w:r w:rsidR="00D43D3B" w:rsidRPr="00911315">
              <w:rPr>
                <w:rFonts w:cs="Arial"/>
                <w:color w:val="000000"/>
                <w:sz w:val="16"/>
                <w:szCs w:val="16"/>
                <w:lang w:eastAsia="en-AU" w:bidi="ar-SA"/>
              </w:rPr>
              <w:t>-</w:t>
            </w:r>
            <w:r w:rsidRPr="00911315">
              <w:rPr>
                <w:rFonts w:cs="Arial"/>
                <w:color w:val="000000"/>
                <w:sz w:val="16"/>
                <w:szCs w:val="16"/>
                <w:lang w:eastAsia="en-AU" w:bidi="ar-SA"/>
              </w:rPr>
              <w:br/>
              <w:t>Indigenous</w:t>
            </w:r>
          </w:p>
        </w:tc>
        <w:tc>
          <w:tcPr>
            <w:tcW w:w="318" w:type="pct"/>
            <w:tcBorders>
              <w:top w:val="single" w:sz="4" w:space="0" w:color="auto"/>
              <w:bottom w:val="single" w:sz="4" w:space="0" w:color="auto"/>
            </w:tcBorders>
            <w:shd w:val="clear" w:color="auto" w:fill="auto"/>
            <w:textDirection w:val="btLr"/>
            <w:hideMark/>
          </w:tcPr>
          <w:p w:rsidR="0022069A" w:rsidRPr="00911315" w:rsidRDefault="0022069A" w:rsidP="0022069A">
            <w:pPr>
              <w:keepNext/>
              <w:keepLines/>
              <w:spacing w:after="0" w:line="240" w:lineRule="auto"/>
              <w:ind w:left="113" w:right="113"/>
              <w:jc w:val="right"/>
              <w:rPr>
                <w:rFonts w:cs="Arial"/>
                <w:color w:val="000000"/>
                <w:sz w:val="16"/>
                <w:szCs w:val="16"/>
                <w:lang w:eastAsia="en-AU" w:bidi="ar-SA"/>
              </w:rPr>
            </w:pPr>
            <w:r w:rsidRPr="00911315">
              <w:rPr>
                <w:rFonts w:cs="Arial"/>
                <w:color w:val="000000"/>
                <w:sz w:val="16"/>
                <w:szCs w:val="16"/>
                <w:lang w:eastAsia="en-AU" w:bidi="ar-SA"/>
              </w:rPr>
              <w:t>Indigenous</w:t>
            </w:r>
          </w:p>
        </w:tc>
        <w:tc>
          <w:tcPr>
            <w:tcW w:w="340" w:type="pct"/>
            <w:tcBorders>
              <w:top w:val="single" w:sz="4" w:space="0" w:color="auto"/>
              <w:bottom w:val="single" w:sz="4" w:space="0" w:color="auto"/>
            </w:tcBorders>
            <w:shd w:val="clear" w:color="auto" w:fill="auto"/>
            <w:textDirection w:val="btLr"/>
            <w:hideMark/>
          </w:tcPr>
          <w:p w:rsidR="0022069A" w:rsidRPr="00911315" w:rsidRDefault="0022069A" w:rsidP="0022069A">
            <w:pPr>
              <w:keepNext/>
              <w:keepLines/>
              <w:spacing w:after="0" w:line="240" w:lineRule="auto"/>
              <w:ind w:left="113" w:right="113"/>
              <w:jc w:val="right"/>
              <w:rPr>
                <w:rFonts w:cs="Arial"/>
                <w:color w:val="000000"/>
                <w:sz w:val="16"/>
                <w:szCs w:val="16"/>
                <w:lang w:eastAsia="en-AU" w:bidi="ar-SA"/>
              </w:rPr>
            </w:pPr>
            <w:r w:rsidRPr="00911315">
              <w:rPr>
                <w:rFonts w:cs="Arial"/>
                <w:color w:val="000000"/>
                <w:sz w:val="16"/>
                <w:szCs w:val="16"/>
                <w:lang w:eastAsia="en-AU" w:bidi="ar-SA"/>
              </w:rPr>
              <w:t>Total</w:t>
            </w:r>
          </w:p>
        </w:tc>
        <w:tc>
          <w:tcPr>
            <w:tcW w:w="133" w:type="pct"/>
            <w:tcBorders>
              <w:top w:val="single" w:sz="4" w:space="0" w:color="auto"/>
            </w:tcBorders>
            <w:textDirection w:val="btLr"/>
          </w:tcPr>
          <w:p w:rsidR="0022069A" w:rsidRPr="00911315" w:rsidRDefault="0022069A" w:rsidP="0022069A">
            <w:pPr>
              <w:keepNext/>
              <w:keepLines/>
              <w:spacing w:after="0" w:line="240" w:lineRule="auto"/>
              <w:ind w:left="113" w:right="113"/>
              <w:jc w:val="right"/>
              <w:rPr>
                <w:rFonts w:cs="Arial"/>
                <w:color w:val="000000"/>
                <w:sz w:val="16"/>
                <w:szCs w:val="16"/>
                <w:lang w:eastAsia="en-AU" w:bidi="ar-SA"/>
              </w:rPr>
            </w:pPr>
          </w:p>
        </w:tc>
        <w:tc>
          <w:tcPr>
            <w:tcW w:w="353" w:type="pct"/>
            <w:tcBorders>
              <w:top w:val="single" w:sz="4" w:space="0" w:color="auto"/>
              <w:bottom w:val="single" w:sz="4" w:space="0" w:color="auto"/>
            </w:tcBorders>
            <w:shd w:val="clear" w:color="auto" w:fill="auto"/>
            <w:textDirection w:val="btLr"/>
            <w:hideMark/>
          </w:tcPr>
          <w:p w:rsidR="0022069A" w:rsidRPr="00911315" w:rsidRDefault="0022069A" w:rsidP="0022069A">
            <w:pPr>
              <w:keepNext/>
              <w:keepLines/>
              <w:spacing w:after="0" w:line="240" w:lineRule="auto"/>
              <w:ind w:left="113" w:right="113"/>
              <w:jc w:val="right"/>
              <w:rPr>
                <w:rFonts w:cs="Arial"/>
                <w:color w:val="000000"/>
                <w:sz w:val="16"/>
                <w:szCs w:val="16"/>
                <w:lang w:eastAsia="en-AU" w:bidi="ar-SA"/>
              </w:rPr>
            </w:pPr>
            <w:r w:rsidRPr="00911315">
              <w:rPr>
                <w:rFonts w:cs="Arial"/>
                <w:color w:val="000000"/>
                <w:sz w:val="16"/>
                <w:szCs w:val="16"/>
                <w:lang w:eastAsia="en-AU" w:bidi="ar-SA"/>
              </w:rPr>
              <w:t>Non</w:t>
            </w:r>
            <w:r w:rsidR="00D43D3B" w:rsidRPr="00911315">
              <w:rPr>
                <w:rFonts w:cs="Arial"/>
                <w:color w:val="000000"/>
                <w:sz w:val="16"/>
                <w:szCs w:val="16"/>
                <w:lang w:eastAsia="en-AU" w:bidi="ar-SA"/>
              </w:rPr>
              <w:t>-</w:t>
            </w:r>
            <w:r w:rsidRPr="00911315">
              <w:rPr>
                <w:rFonts w:cs="Arial"/>
                <w:color w:val="000000"/>
                <w:sz w:val="16"/>
                <w:szCs w:val="16"/>
                <w:lang w:eastAsia="en-AU" w:bidi="ar-SA"/>
              </w:rPr>
              <w:t xml:space="preserve"> </w:t>
            </w:r>
            <w:r w:rsidRPr="00911315">
              <w:rPr>
                <w:rFonts w:cs="Arial"/>
                <w:color w:val="000000"/>
                <w:sz w:val="16"/>
                <w:szCs w:val="16"/>
                <w:lang w:eastAsia="en-AU" w:bidi="ar-SA"/>
              </w:rPr>
              <w:br/>
              <w:t>Indigenous</w:t>
            </w:r>
          </w:p>
        </w:tc>
        <w:tc>
          <w:tcPr>
            <w:tcW w:w="338" w:type="pct"/>
            <w:tcBorders>
              <w:top w:val="single" w:sz="4" w:space="0" w:color="auto"/>
              <w:bottom w:val="single" w:sz="4" w:space="0" w:color="auto"/>
            </w:tcBorders>
            <w:shd w:val="clear" w:color="auto" w:fill="auto"/>
            <w:textDirection w:val="btLr"/>
            <w:hideMark/>
          </w:tcPr>
          <w:p w:rsidR="0022069A" w:rsidRPr="00911315" w:rsidRDefault="0022069A" w:rsidP="0022069A">
            <w:pPr>
              <w:keepNext/>
              <w:keepLines/>
              <w:spacing w:after="0" w:line="240" w:lineRule="auto"/>
              <w:ind w:left="113" w:right="113"/>
              <w:jc w:val="right"/>
              <w:rPr>
                <w:rFonts w:cs="Arial"/>
                <w:color w:val="000000"/>
                <w:sz w:val="16"/>
                <w:szCs w:val="16"/>
                <w:lang w:eastAsia="en-AU" w:bidi="ar-SA"/>
              </w:rPr>
            </w:pPr>
            <w:r w:rsidRPr="00911315">
              <w:rPr>
                <w:rFonts w:cs="Arial"/>
                <w:color w:val="000000"/>
                <w:sz w:val="16"/>
                <w:szCs w:val="16"/>
                <w:lang w:eastAsia="en-AU" w:bidi="ar-SA"/>
              </w:rPr>
              <w:t>Indigenous</w:t>
            </w:r>
          </w:p>
        </w:tc>
        <w:tc>
          <w:tcPr>
            <w:tcW w:w="302" w:type="pct"/>
            <w:tcBorders>
              <w:top w:val="single" w:sz="4" w:space="0" w:color="auto"/>
              <w:bottom w:val="single" w:sz="4" w:space="0" w:color="auto"/>
            </w:tcBorders>
            <w:shd w:val="clear" w:color="auto" w:fill="auto"/>
            <w:textDirection w:val="btLr"/>
            <w:hideMark/>
          </w:tcPr>
          <w:p w:rsidR="0022069A" w:rsidRPr="00911315" w:rsidRDefault="0022069A" w:rsidP="0022069A">
            <w:pPr>
              <w:keepNext/>
              <w:keepLines/>
              <w:spacing w:after="0" w:line="240" w:lineRule="auto"/>
              <w:ind w:left="113" w:right="113"/>
              <w:jc w:val="right"/>
              <w:rPr>
                <w:rFonts w:cs="Arial"/>
                <w:color w:val="000000"/>
                <w:sz w:val="16"/>
                <w:szCs w:val="16"/>
                <w:lang w:eastAsia="en-AU" w:bidi="ar-SA"/>
              </w:rPr>
            </w:pPr>
            <w:r w:rsidRPr="00911315">
              <w:rPr>
                <w:rFonts w:cs="Arial"/>
                <w:color w:val="000000"/>
                <w:sz w:val="16"/>
                <w:szCs w:val="16"/>
                <w:lang w:eastAsia="en-AU" w:bidi="ar-SA"/>
              </w:rPr>
              <w:t>Total</w:t>
            </w:r>
          </w:p>
        </w:tc>
      </w:tr>
      <w:tr w:rsidR="0022069A" w:rsidRPr="00911315" w:rsidTr="00351FF6">
        <w:trPr>
          <w:trHeight w:val="300"/>
          <w:jc w:val="right"/>
        </w:trPr>
        <w:tc>
          <w:tcPr>
            <w:tcW w:w="1408" w:type="pct"/>
            <w:vMerge/>
            <w:tcBorders>
              <w:bottom w:val="single" w:sz="4" w:space="0" w:color="auto"/>
            </w:tcBorders>
            <w:vAlign w:val="center"/>
            <w:hideMark/>
          </w:tcPr>
          <w:p w:rsidR="0022069A" w:rsidRPr="00911315" w:rsidRDefault="0022069A" w:rsidP="0022069A">
            <w:pPr>
              <w:keepNext/>
              <w:keepLines/>
              <w:spacing w:after="0" w:line="240" w:lineRule="auto"/>
              <w:ind w:left="0"/>
              <w:rPr>
                <w:rFonts w:cs="Arial"/>
                <w:color w:val="000000"/>
                <w:sz w:val="16"/>
                <w:szCs w:val="16"/>
                <w:lang w:eastAsia="en-AU" w:bidi="ar-SA"/>
              </w:rPr>
            </w:pPr>
          </w:p>
        </w:tc>
        <w:tc>
          <w:tcPr>
            <w:tcW w:w="1294" w:type="pct"/>
            <w:gridSpan w:val="3"/>
            <w:tcBorders>
              <w:top w:val="single" w:sz="4" w:space="0" w:color="auto"/>
              <w:bottom w:val="single" w:sz="4" w:space="0" w:color="auto"/>
            </w:tcBorders>
            <w:shd w:val="clear" w:color="auto" w:fill="auto"/>
            <w:hideMark/>
          </w:tcPr>
          <w:p w:rsidR="0022069A" w:rsidRPr="00911315" w:rsidRDefault="0022069A" w:rsidP="0022069A">
            <w:pPr>
              <w:keepNext/>
              <w:keepLines/>
              <w:spacing w:after="0" w:line="240" w:lineRule="auto"/>
              <w:ind w:left="0"/>
              <w:jc w:val="center"/>
              <w:rPr>
                <w:rFonts w:cs="Arial"/>
                <w:color w:val="000000"/>
                <w:sz w:val="16"/>
                <w:szCs w:val="16"/>
                <w:lang w:eastAsia="en-AU" w:bidi="ar-SA"/>
              </w:rPr>
            </w:pPr>
            <w:r w:rsidRPr="00911315">
              <w:rPr>
                <w:rFonts w:cs="Arial"/>
                <w:color w:val="000000"/>
                <w:sz w:val="16"/>
                <w:szCs w:val="16"/>
                <w:lang w:eastAsia="en-AU" w:bidi="ar-SA"/>
              </w:rPr>
              <w:t>Number</w:t>
            </w:r>
          </w:p>
        </w:tc>
        <w:tc>
          <w:tcPr>
            <w:tcW w:w="160" w:type="pct"/>
            <w:tcBorders>
              <w:bottom w:val="single" w:sz="4" w:space="0" w:color="auto"/>
            </w:tcBorders>
          </w:tcPr>
          <w:p w:rsidR="0022069A" w:rsidRPr="00911315" w:rsidRDefault="0022069A" w:rsidP="0022069A">
            <w:pPr>
              <w:keepNext/>
              <w:keepLines/>
              <w:spacing w:after="0" w:line="240" w:lineRule="auto"/>
              <w:ind w:left="0"/>
              <w:jc w:val="center"/>
              <w:rPr>
                <w:rFonts w:cs="Arial"/>
                <w:color w:val="000000"/>
                <w:sz w:val="16"/>
                <w:szCs w:val="16"/>
                <w:lang w:eastAsia="en-AU" w:bidi="ar-SA"/>
              </w:rPr>
            </w:pPr>
          </w:p>
        </w:tc>
        <w:tc>
          <w:tcPr>
            <w:tcW w:w="1011" w:type="pct"/>
            <w:gridSpan w:val="3"/>
            <w:tcBorders>
              <w:top w:val="single" w:sz="4" w:space="0" w:color="auto"/>
              <w:bottom w:val="single" w:sz="4" w:space="0" w:color="auto"/>
            </w:tcBorders>
            <w:shd w:val="clear" w:color="auto" w:fill="auto"/>
            <w:hideMark/>
          </w:tcPr>
          <w:p w:rsidR="0022069A" w:rsidRPr="00911315" w:rsidRDefault="0022069A" w:rsidP="0022069A">
            <w:pPr>
              <w:keepNext/>
              <w:keepLines/>
              <w:spacing w:after="0" w:line="240" w:lineRule="auto"/>
              <w:ind w:left="0"/>
              <w:jc w:val="center"/>
              <w:rPr>
                <w:rFonts w:cs="Arial"/>
                <w:color w:val="000000"/>
                <w:sz w:val="16"/>
                <w:szCs w:val="16"/>
                <w:lang w:eastAsia="en-AU" w:bidi="ar-SA"/>
              </w:rPr>
            </w:pPr>
            <w:r w:rsidRPr="00911315">
              <w:rPr>
                <w:rFonts w:cs="Arial"/>
                <w:color w:val="000000"/>
                <w:sz w:val="16"/>
                <w:szCs w:val="16"/>
                <w:lang w:eastAsia="en-AU" w:bidi="ar-SA"/>
              </w:rPr>
              <w:t>Column %</w:t>
            </w:r>
          </w:p>
        </w:tc>
        <w:tc>
          <w:tcPr>
            <w:tcW w:w="133" w:type="pct"/>
            <w:tcBorders>
              <w:bottom w:val="single" w:sz="4" w:space="0" w:color="auto"/>
            </w:tcBorders>
          </w:tcPr>
          <w:p w:rsidR="0022069A" w:rsidRPr="00911315" w:rsidRDefault="0022069A" w:rsidP="0022069A">
            <w:pPr>
              <w:keepNext/>
              <w:keepLines/>
              <w:spacing w:after="0" w:line="240" w:lineRule="auto"/>
              <w:ind w:left="0"/>
              <w:jc w:val="center"/>
              <w:rPr>
                <w:rFonts w:cs="Arial"/>
                <w:color w:val="000000"/>
                <w:sz w:val="16"/>
                <w:szCs w:val="16"/>
                <w:lang w:eastAsia="en-AU" w:bidi="ar-SA"/>
              </w:rPr>
            </w:pPr>
          </w:p>
        </w:tc>
        <w:tc>
          <w:tcPr>
            <w:tcW w:w="993" w:type="pct"/>
            <w:gridSpan w:val="3"/>
            <w:tcBorders>
              <w:top w:val="single" w:sz="4" w:space="0" w:color="auto"/>
              <w:bottom w:val="single" w:sz="4" w:space="0" w:color="auto"/>
            </w:tcBorders>
            <w:shd w:val="clear" w:color="auto" w:fill="auto"/>
            <w:hideMark/>
          </w:tcPr>
          <w:p w:rsidR="0022069A" w:rsidRPr="00911315" w:rsidRDefault="0022069A" w:rsidP="0022069A">
            <w:pPr>
              <w:keepNext/>
              <w:keepLines/>
              <w:spacing w:after="0" w:line="240" w:lineRule="auto"/>
              <w:ind w:left="0"/>
              <w:jc w:val="center"/>
              <w:rPr>
                <w:rFonts w:cs="Arial"/>
                <w:color w:val="000000"/>
                <w:sz w:val="16"/>
                <w:szCs w:val="16"/>
                <w:lang w:eastAsia="en-AU" w:bidi="ar-SA"/>
              </w:rPr>
            </w:pPr>
            <w:r w:rsidRPr="00911315">
              <w:rPr>
                <w:rFonts w:cs="Arial"/>
                <w:color w:val="000000"/>
                <w:sz w:val="16"/>
                <w:szCs w:val="16"/>
                <w:lang w:eastAsia="en-AU" w:bidi="ar-SA"/>
              </w:rPr>
              <w:t>Row %</w:t>
            </w:r>
          </w:p>
        </w:tc>
      </w:tr>
      <w:tr w:rsidR="0022069A" w:rsidRPr="00911315" w:rsidTr="00351FF6">
        <w:trPr>
          <w:jc w:val="right"/>
        </w:trPr>
        <w:tc>
          <w:tcPr>
            <w:tcW w:w="1408" w:type="pct"/>
            <w:tcBorders>
              <w:top w:val="single" w:sz="4" w:space="0" w:color="auto"/>
            </w:tcBorders>
            <w:shd w:val="clear" w:color="auto" w:fill="auto"/>
            <w:vAlign w:val="bottom"/>
            <w:hideMark/>
          </w:tcPr>
          <w:p w:rsidR="0022069A" w:rsidRPr="00911315" w:rsidRDefault="0022069A" w:rsidP="0022069A">
            <w:pPr>
              <w:keepNext/>
              <w:keepLines/>
              <w:spacing w:after="60" w:line="240" w:lineRule="auto"/>
              <w:ind w:left="142" w:hanging="142"/>
              <w:jc w:val="left"/>
              <w:rPr>
                <w:rFonts w:cs="Arial"/>
                <w:color w:val="000000"/>
                <w:sz w:val="16"/>
                <w:szCs w:val="16"/>
                <w:lang w:eastAsia="en-AU" w:bidi="ar-SA"/>
              </w:rPr>
            </w:pPr>
            <w:r w:rsidRPr="00911315">
              <w:rPr>
                <w:rFonts w:cs="Arial"/>
                <w:color w:val="000000"/>
                <w:sz w:val="16"/>
                <w:szCs w:val="16"/>
                <w:lang w:eastAsia="en-AU" w:bidi="ar-SA"/>
              </w:rPr>
              <w:t xml:space="preserve">Abstudy </w:t>
            </w:r>
          </w:p>
        </w:tc>
        <w:tc>
          <w:tcPr>
            <w:tcW w:w="474" w:type="pct"/>
            <w:tcBorders>
              <w:top w:val="single" w:sz="4" w:space="0" w:color="auto"/>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22</w:t>
            </w:r>
          </w:p>
        </w:tc>
        <w:tc>
          <w:tcPr>
            <w:tcW w:w="421" w:type="pct"/>
            <w:tcBorders>
              <w:top w:val="single" w:sz="4" w:space="0" w:color="auto"/>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690</w:t>
            </w:r>
          </w:p>
        </w:tc>
        <w:tc>
          <w:tcPr>
            <w:tcW w:w="400" w:type="pct"/>
            <w:tcBorders>
              <w:top w:val="single" w:sz="4" w:space="0" w:color="auto"/>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712</w:t>
            </w:r>
          </w:p>
        </w:tc>
        <w:tc>
          <w:tcPr>
            <w:tcW w:w="160" w:type="pct"/>
            <w:tcBorders>
              <w:top w:val="single" w:sz="4" w:space="0" w:color="auto"/>
            </w:tcBorders>
            <w:vAlign w:val="bottom"/>
          </w:tcPr>
          <w:p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tcBorders>
              <w:top w:val="single" w:sz="4" w:space="0" w:color="auto"/>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18" w:type="pct"/>
            <w:tcBorders>
              <w:top w:val="single" w:sz="4" w:space="0" w:color="auto"/>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p>
        </w:tc>
        <w:tc>
          <w:tcPr>
            <w:tcW w:w="340" w:type="pct"/>
            <w:tcBorders>
              <w:top w:val="single" w:sz="4" w:space="0" w:color="auto"/>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p>
        </w:tc>
        <w:tc>
          <w:tcPr>
            <w:tcW w:w="133" w:type="pct"/>
            <w:tcBorders>
              <w:top w:val="single" w:sz="4" w:space="0" w:color="auto"/>
            </w:tcBorders>
            <w:vAlign w:val="bottom"/>
          </w:tcPr>
          <w:p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tcBorders>
              <w:top w:val="single" w:sz="4" w:space="0" w:color="auto"/>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p>
        </w:tc>
        <w:tc>
          <w:tcPr>
            <w:tcW w:w="338" w:type="pct"/>
            <w:tcBorders>
              <w:top w:val="single" w:sz="4" w:space="0" w:color="auto"/>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97</w:t>
            </w:r>
          </w:p>
        </w:tc>
        <w:tc>
          <w:tcPr>
            <w:tcW w:w="302" w:type="pct"/>
            <w:tcBorders>
              <w:top w:val="single" w:sz="4" w:space="0" w:color="auto"/>
            </w:tcBorders>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22069A" w:rsidRPr="00911315" w:rsidTr="00351FF6">
        <w:trPr>
          <w:jc w:val="right"/>
        </w:trPr>
        <w:tc>
          <w:tcPr>
            <w:tcW w:w="1408" w:type="pct"/>
            <w:shd w:val="clear" w:color="auto" w:fill="auto"/>
            <w:vAlign w:val="bottom"/>
            <w:hideMark/>
          </w:tcPr>
          <w:p w:rsidR="0022069A" w:rsidRPr="00911315" w:rsidRDefault="0022069A" w:rsidP="0022069A">
            <w:pPr>
              <w:keepNext/>
              <w:keepLines/>
              <w:spacing w:after="60" w:line="240" w:lineRule="auto"/>
              <w:ind w:left="142" w:hanging="142"/>
              <w:jc w:val="left"/>
              <w:rPr>
                <w:rFonts w:cs="Arial"/>
                <w:color w:val="000000"/>
                <w:sz w:val="16"/>
                <w:szCs w:val="16"/>
                <w:lang w:eastAsia="en-AU" w:bidi="ar-SA"/>
              </w:rPr>
            </w:pPr>
            <w:r w:rsidRPr="00911315">
              <w:rPr>
                <w:rFonts w:cs="Arial"/>
                <w:color w:val="000000"/>
                <w:sz w:val="16"/>
                <w:szCs w:val="16"/>
                <w:lang w:eastAsia="en-AU" w:bidi="ar-SA"/>
              </w:rPr>
              <w:t>Age Pension</w:t>
            </w:r>
          </w:p>
        </w:tc>
        <w:tc>
          <w:tcPr>
            <w:tcW w:w="474" w:type="pct"/>
            <w:shd w:val="clear" w:color="auto" w:fill="auto"/>
            <w:vAlign w:val="bottom"/>
            <w:hideMark/>
          </w:tcPr>
          <w:p w:rsidR="0022069A" w:rsidRPr="00911315" w:rsidRDefault="0022069A" w:rsidP="00D43D3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w:t>
            </w:r>
            <w:r w:rsidR="001B4FC7" w:rsidRPr="00911315">
              <w:rPr>
                <w:rFonts w:cs="Arial"/>
                <w:color w:val="000000"/>
                <w:sz w:val="16"/>
                <w:szCs w:val="16"/>
                <w:lang w:eastAsia="en-AU" w:bidi="ar-SA"/>
              </w:rPr>
              <w:t> </w:t>
            </w:r>
            <w:r w:rsidRPr="00911315">
              <w:rPr>
                <w:rFonts w:cs="Arial"/>
                <w:color w:val="000000"/>
                <w:sz w:val="16"/>
                <w:szCs w:val="16"/>
                <w:lang w:eastAsia="en-AU" w:bidi="ar-SA"/>
              </w:rPr>
              <w:t>894</w:t>
            </w:r>
          </w:p>
        </w:tc>
        <w:tc>
          <w:tcPr>
            <w:tcW w:w="421" w:type="pct"/>
            <w:shd w:val="clear" w:color="auto" w:fill="auto"/>
            <w:vAlign w:val="bottom"/>
            <w:hideMark/>
          </w:tcPr>
          <w:p w:rsidR="0022069A" w:rsidRPr="00911315" w:rsidRDefault="0022069A" w:rsidP="00D43D3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r w:rsidR="001B4FC7" w:rsidRPr="00911315">
              <w:rPr>
                <w:rFonts w:cs="Arial"/>
                <w:color w:val="000000"/>
                <w:sz w:val="16"/>
                <w:szCs w:val="16"/>
                <w:lang w:eastAsia="en-AU" w:bidi="ar-SA"/>
              </w:rPr>
              <w:t> </w:t>
            </w:r>
            <w:r w:rsidRPr="00911315">
              <w:rPr>
                <w:rFonts w:cs="Arial"/>
                <w:color w:val="000000"/>
                <w:sz w:val="16"/>
                <w:szCs w:val="16"/>
                <w:lang w:eastAsia="en-AU" w:bidi="ar-SA"/>
              </w:rPr>
              <w:t>691</w:t>
            </w:r>
          </w:p>
        </w:tc>
        <w:tc>
          <w:tcPr>
            <w:tcW w:w="400" w:type="pct"/>
            <w:shd w:val="clear" w:color="auto" w:fill="auto"/>
            <w:vAlign w:val="bottom"/>
            <w:hideMark/>
          </w:tcPr>
          <w:p w:rsidR="0022069A" w:rsidRPr="00911315" w:rsidRDefault="0022069A" w:rsidP="00D43D3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w:t>
            </w:r>
            <w:r w:rsidR="001B4FC7" w:rsidRPr="00911315">
              <w:rPr>
                <w:rFonts w:cs="Arial"/>
                <w:color w:val="000000"/>
                <w:sz w:val="16"/>
                <w:szCs w:val="16"/>
                <w:lang w:eastAsia="en-AU" w:bidi="ar-SA"/>
              </w:rPr>
              <w:t> </w:t>
            </w:r>
            <w:r w:rsidRPr="00911315">
              <w:rPr>
                <w:rFonts w:cs="Arial"/>
                <w:color w:val="000000"/>
                <w:sz w:val="16"/>
                <w:szCs w:val="16"/>
                <w:lang w:eastAsia="en-AU" w:bidi="ar-SA"/>
              </w:rPr>
              <w:t>585</w:t>
            </w:r>
          </w:p>
        </w:tc>
        <w:tc>
          <w:tcPr>
            <w:tcW w:w="160" w:type="pct"/>
            <w:vAlign w:val="bottom"/>
          </w:tcPr>
          <w:p w:rsidR="0022069A" w:rsidRPr="00911315" w:rsidRDefault="0022069A" w:rsidP="0022069A">
            <w:pPr>
              <w:keepNext/>
              <w:keepLines/>
              <w:spacing w:after="60" w:line="240" w:lineRule="auto"/>
              <w:ind w:left="0"/>
              <w:jc w:val="right"/>
              <w:rPr>
                <w:rFonts w:cs="Arial"/>
                <w:bCs/>
                <w:color w:val="000000"/>
                <w:sz w:val="16"/>
                <w:szCs w:val="16"/>
                <w:lang w:eastAsia="en-AU" w:bidi="ar-SA"/>
              </w:rPr>
            </w:pPr>
          </w:p>
        </w:tc>
        <w:tc>
          <w:tcPr>
            <w:tcW w:w="353" w:type="pct"/>
            <w:shd w:val="clear" w:color="auto" w:fill="auto"/>
            <w:vAlign w:val="bottom"/>
            <w:hideMark/>
          </w:tcPr>
          <w:p w:rsidR="0022069A" w:rsidRPr="00911315" w:rsidRDefault="0022069A" w:rsidP="0022069A">
            <w:pPr>
              <w:keepNext/>
              <w:keepLines/>
              <w:spacing w:after="60" w:line="240" w:lineRule="auto"/>
              <w:ind w:left="0"/>
              <w:jc w:val="right"/>
              <w:rPr>
                <w:rFonts w:cs="Arial"/>
                <w:bCs/>
                <w:color w:val="000000"/>
                <w:sz w:val="16"/>
                <w:szCs w:val="16"/>
                <w:lang w:eastAsia="en-AU" w:bidi="ar-SA"/>
              </w:rPr>
            </w:pPr>
            <w:r w:rsidRPr="00911315">
              <w:rPr>
                <w:rFonts w:cs="Arial"/>
                <w:bCs/>
                <w:color w:val="000000"/>
                <w:sz w:val="16"/>
                <w:szCs w:val="16"/>
                <w:lang w:eastAsia="en-AU" w:bidi="ar-SA"/>
              </w:rPr>
              <w:t>39</w:t>
            </w:r>
          </w:p>
        </w:tc>
        <w:tc>
          <w:tcPr>
            <w:tcW w:w="318"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w:t>
            </w:r>
          </w:p>
        </w:tc>
        <w:tc>
          <w:tcPr>
            <w:tcW w:w="340"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19</w:t>
            </w:r>
          </w:p>
        </w:tc>
        <w:tc>
          <w:tcPr>
            <w:tcW w:w="133" w:type="pct"/>
            <w:vAlign w:val="bottom"/>
          </w:tcPr>
          <w:p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78</w:t>
            </w:r>
          </w:p>
        </w:tc>
        <w:tc>
          <w:tcPr>
            <w:tcW w:w="338"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22</w:t>
            </w:r>
          </w:p>
        </w:tc>
        <w:tc>
          <w:tcPr>
            <w:tcW w:w="302"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22069A" w:rsidRPr="00911315" w:rsidTr="00351FF6">
        <w:trPr>
          <w:jc w:val="right"/>
        </w:trPr>
        <w:tc>
          <w:tcPr>
            <w:tcW w:w="1408" w:type="pct"/>
            <w:shd w:val="clear" w:color="auto" w:fill="auto"/>
            <w:vAlign w:val="bottom"/>
            <w:hideMark/>
          </w:tcPr>
          <w:p w:rsidR="0022069A" w:rsidRPr="00911315" w:rsidRDefault="0022069A" w:rsidP="0022069A">
            <w:pPr>
              <w:keepNext/>
              <w:keepLines/>
              <w:spacing w:after="60" w:line="240" w:lineRule="auto"/>
              <w:ind w:left="142" w:hanging="142"/>
              <w:jc w:val="left"/>
              <w:rPr>
                <w:rFonts w:cs="Arial"/>
                <w:color w:val="000000"/>
                <w:sz w:val="16"/>
                <w:szCs w:val="16"/>
                <w:lang w:eastAsia="en-AU" w:bidi="ar-SA"/>
              </w:rPr>
            </w:pPr>
            <w:r w:rsidRPr="00911315">
              <w:rPr>
                <w:rFonts w:cs="Arial"/>
                <w:color w:val="000000"/>
                <w:sz w:val="16"/>
                <w:szCs w:val="16"/>
                <w:lang w:eastAsia="en-AU" w:bidi="ar-SA"/>
              </w:rPr>
              <w:t>Assistance for Isolated Children</w:t>
            </w:r>
          </w:p>
        </w:tc>
        <w:tc>
          <w:tcPr>
            <w:tcW w:w="474"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348</w:t>
            </w:r>
          </w:p>
        </w:tc>
        <w:tc>
          <w:tcPr>
            <w:tcW w:w="421"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388</w:t>
            </w:r>
          </w:p>
        </w:tc>
        <w:tc>
          <w:tcPr>
            <w:tcW w:w="400"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736</w:t>
            </w:r>
          </w:p>
        </w:tc>
        <w:tc>
          <w:tcPr>
            <w:tcW w:w="160" w:type="pct"/>
            <w:vAlign w:val="bottom"/>
          </w:tcPr>
          <w:p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p>
        </w:tc>
        <w:tc>
          <w:tcPr>
            <w:tcW w:w="318"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p>
        </w:tc>
        <w:tc>
          <w:tcPr>
            <w:tcW w:w="340"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p>
        </w:tc>
        <w:tc>
          <w:tcPr>
            <w:tcW w:w="133" w:type="pct"/>
            <w:vAlign w:val="bottom"/>
          </w:tcPr>
          <w:p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47</w:t>
            </w:r>
          </w:p>
        </w:tc>
        <w:tc>
          <w:tcPr>
            <w:tcW w:w="338"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53</w:t>
            </w:r>
          </w:p>
        </w:tc>
        <w:tc>
          <w:tcPr>
            <w:tcW w:w="302"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22069A" w:rsidRPr="00911315" w:rsidTr="00351FF6">
        <w:trPr>
          <w:jc w:val="right"/>
        </w:trPr>
        <w:tc>
          <w:tcPr>
            <w:tcW w:w="1408" w:type="pct"/>
            <w:shd w:val="clear" w:color="auto" w:fill="auto"/>
            <w:vAlign w:val="bottom"/>
            <w:hideMark/>
          </w:tcPr>
          <w:p w:rsidR="0022069A" w:rsidRPr="00911315" w:rsidRDefault="0022069A" w:rsidP="0022069A">
            <w:pPr>
              <w:keepNext/>
              <w:keepLines/>
              <w:spacing w:after="60" w:line="240" w:lineRule="auto"/>
              <w:ind w:left="142" w:hanging="142"/>
              <w:jc w:val="left"/>
              <w:rPr>
                <w:rFonts w:cs="Arial"/>
                <w:color w:val="000000"/>
                <w:sz w:val="16"/>
                <w:szCs w:val="16"/>
                <w:lang w:eastAsia="en-AU" w:bidi="ar-SA"/>
              </w:rPr>
            </w:pPr>
            <w:r w:rsidRPr="00911315">
              <w:rPr>
                <w:rFonts w:cs="Arial"/>
                <w:color w:val="000000"/>
                <w:sz w:val="16"/>
                <w:szCs w:val="16"/>
                <w:lang w:eastAsia="en-AU" w:bidi="ar-SA"/>
              </w:rPr>
              <w:t>Austudy</w:t>
            </w:r>
          </w:p>
        </w:tc>
        <w:tc>
          <w:tcPr>
            <w:tcW w:w="474"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119</w:t>
            </w:r>
          </w:p>
        </w:tc>
        <w:tc>
          <w:tcPr>
            <w:tcW w:w="421"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w:t>
            </w:r>
          </w:p>
        </w:tc>
        <w:tc>
          <w:tcPr>
            <w:tcW w:w="400"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119</w:t>
            </w:r>
          </w:p>
        </w:tc>
        <w:tc>
          <w:tcPr>
            <w:tcW w:w="160" w:type="pct"/>
            <w:vAlign w:val="bottom"/>
          </w:tcPr>
          <w:p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p>
        </w:tc>
        <w:tc>
          <w:tcPr>
            <w:tcW w:w="318"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w:t>
            </w:r>
          </w:p>
        </w:tc>
        <w:tc>
          <w:tcPr>
            <w:tcW w:w="340"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133" w:type="pct"/>
            <w:vAlign w:val="bottom"/>
          </w:tcPr>
          <w:p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c>
          <w:tcPr>
            <w:tcW w:w="338"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w:t>
            </w:r>
          </w:p>
        </w:tc>
        <w:tc>
          <w:tcPr>
            <w:tcW w:w="302"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22069A" w:rsidRPr="00911315" w:rsidTr="00351FF6">
        <w:trPr>
          <w:jc w:val="right"/>
        </w:trPr>
        <w:tc>
          <w:tcPr>
            <w:tcW w:w="1408" w:type="pct"/>
            <w:shd w:val="clear" w:color="auto" w:fill="auto"/>
            <w:vAlign w:val="bottom"/>
            <w:hideMark/>
          </w:tcPr>
          <w:p w:rsidR="0022069A" w:rsidRPr="00911315" w:rsidRDefault="0022069A" w:rsidP="00BB552A">
            <w:pPr>
              <w:keepNext/>
              <w:keepLines/>
              <w:spacing w:after="60" w:line="240" w:lineRule="auto"/>
              <w:ind w:left="142" w:hanging="142"/>
              <w:jc w:val="left"/>
              <w:rPr>
                <w:rFonts w:cs="Arial"/>
                <w:color w:val="000000"/>
                <w:sz w:val="16"/>
                <w:szCs w:val="16"/>
                <w:lang w:eastAsia="en-AU" w:bidi="ar-SA"/>
              </w:rPr>
            </w:pPr>
            <w:r w:rsidRPr="00911315">
              <w:rPr>
                <w:rFonts w:cs="Arial"/>
                <w:color w:val="000000"/>
                <w:sz w:val="16"/>
                <w:szCs w:val="16"/>
                <w:lang w:eastAsia="en-AU" w:bidi="ar-SA"/>
              </w:rPr>
              <w:t xml:space="preserve">Carer </w:t>
            </w:r>
            <w:r w:rsidR="00BB552A" w:rsidRPr="00911315">
              <w:rPr>
                <w:rFonts w:cs="Arial"/>
                <w:color w:val="000000"/>
                <w:sz w:val="16"/>
                <w:szCs w:val="16"/>
                <w:lang w:eastAsia="en-AU" w:bidi="ar-SA"/>
              </w:rPr>
              <w:t>Payment</w:t>
            </w:r>
          </w:p>
        </w:tc>
        <w:tc>
          <w:tcPr>
            <w:tcW w:w="474"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477</w:t>
            </w:r>
          </w:p>
        </w:tc>
        <w:tc>
          <w:tcPr>
            <w:tcW w:w="421"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656</w:t>
            </w:r>
          </w:p>
        </w:tc>
        <w:tc>
          <w:tcPr>
            <w:tcW w:w="400"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r w:rsidR="001B4FC7" w:rsidRPr="00911315">
              <w:rPr>
                <w:rFonts w:cs="Arial"/>
                <w:color w:val="000000"/>
                <w:sz w:val="16"/>
                <w:szCs w:val="16"/>
                <w:lang w:eastAsia="en-AU" w:bidi="ar-SA"/>
              </w:rPr>
              <w:t> </w:t>
            </w:r>
            <w:r w:rsidRPr="00911315">
              <w:rPr>
                <w:rFonts w:cs="Arial"/>
                <w:color w:val="000000"/>
                <w:sz w:val="16"/>
                <w:szCs w:val="16"/>
                <w:lang w:eastAsia="en-AU" w:bidi="ar-SA"/>
              </w:rPr>
              <w:t>133</w:t>
            </w:r>
          </w:p>
        </w:tc>
        <w:tc>
          <w:tcPr>
            <w:tcW w:w="160" w:type="pct"/>
            <w:vAlign w:val="bottom"/>
          </w:tcPr>
          <w:p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p>
        </w:tc>
        <w:tc>
          <w:tcPr>
            <w:tcW w:w="318"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p>
        </w:tc>
        <w:tc>
          <w:tcPr>
            <w:tcW w:w="340"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p>
        </w:tc>
        <w:tc>
          <w:tcPr>
            <w:tcW w:w="133" w:type="pct"/>
            <w:vAlign w:val="bottom"/>
          </w:tcPr>
          <w:p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42</w:t>
            </w:r>
          </w:p>
        </w:tc>
        <w:tc>
          <w:tcPr>
            <w:tcW w:w="338"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58</w:t>
            </w:r>
          </w:p>
        </w:tc>
        <w:tc>
          <w:tcPr>
            <w:tcW w:w="302"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22069A" w:rsidRPr="00911315" w:rsidTr="00351FF6">
        <w:trPr>
          <w:jc w:val="right"/>
        </w:trPr>
        <w:tc>
          <w:tcPr>
            <w:tcW w:w="1408" w:type="pct"/>
            <w:shd w:val="clear" w:color="auto" w:fill="auto"/>
            <w:vAlign w:val="bottom"/>
            <w:hideMark/>
          </w:tcPr>
          <w:p w:rsidR="0022069A" w:rsidRPr="00911315" w:rsidRDefault="0022069A" w:rsidP="0022069A">
            <w:pPr>
              <w:keepNext/>
              <w:keepLines/>
              <w:spacing w:after="60" w:line="240" w:lineRule="auto"/>
              <w:ind w:left="142" w:hanging="142"/>
              <w:jc w:val="left"/>
              <w:rPr>
                <w:rFonts w:cs="Arial"/>
                <w:color w:val="000000"/>
                <w:sz w:val="16"/>
                <w:szCs w:val="16"/>
                <w:lang w:eastAsia="en-AU" w:bidi="ar-SA"/>
              </w:rPr>
            </w:pPr>
            <w:r w:rsidRPr="00911315">
              <w:rPr>
                <w:rFonts w:cs="Arial"/>
                <w:color w:val="000000"/>
                <w:sz w:val="16"/>
                <w:szCs w:val="16"/>
                <w:lang w:eastAsia="en-AU" w:bidi="ar-SA"/>
              </w:rPr>
              <w:t>Disability Support Pension</w:t>
            </w:r>
          </w:p>
        </w:tc>
        <w:tc>
          <w:tcPr>
            <w:tcW w:w="474" w:type="pct"/>
            <w:shd w:val="clear" w:color="auto" w:fill="auto"/>
            <w:vAlign w:val="bottom"/>
            <w:hideMark/>
          </w:tcPr>
          <w:p w:rsidR="0022069A" w:rsidRPr="00911315" w:rsidRDefault="0022069A" w:rsidP="00D43D3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r w:rsidR="001B4FC7" w:rsidRPr="00911315">
              <w:rPr>
                <w:rFonts w:cs="Arial"/>
                <w:color w:val="000000"/>
                <w:sz w:val="16"/>
                <w:szCs w:val="16"/>
                <w:lang w:eastAsia="en-AU" w:bidi="ar-SA"/>
              </w:rPr>
              <w:t> </w:t>
            </w:r>
            <w:r w:rsidRPr="00911315">
              <w:rPr>
                <w:rFonts w:cs="Arial"/>
                <w:color w:val="000000"/>
                <w:sz w:val="16"/>
                <w:szCs w:val="16"/>
                <w:lang w:eastAsia="en-AU" w:bidi="ar-SA"/>
              </w:rPr>
              <w:t>658</w:t>
            </w:r>
          </w:p>
        </w:tc>
        <w:tc>
          <w:tcPr>
            <w:tcW w:w="421" w:type="pct"/>
            <w:shd w:val="clear" w:color="auto" w:fill="auto"/>
            <w:vAlign w:val="bottom"/>
            <w:hideMark/>
          </w:tcPr>
          <w:p w:rsidR="0022069A" w:rsidRPr="00911315" w:rsidRDefault="0022069A" w:rsidP="00D43D3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w:t>
            </w:r>
            <w:r w:rsidR="001B4FC7" w:rsidRPr="00911315">
              <w:rPr>
                <w:rFonts w:cs="Arial"/>
                <w:color w:val="000000"/>
                <w:sz w:val="16"/>
                <w:szCs w:val="16"/>
                <w:lang w:eastAsia="en-AU" w:bidi="ar-SA"/>
              </w:rPr>
              <w:t> </w:t>
            </w:r>
            <w:r w:rsidRPr="00911315">
              <w:rPr>
                <w:rFonts w:cs="Arial"/>
                <w:color w:val="000000"/>
                <w:sz w:val="16"/>
                <w:szCs w:val="16"/>
                <w:lang w:eastAsia="en-AU" w:bidi="ar-SA"/>
              </w:rPr>
              <w:t>741</w:t>
            </w:r>
          </w:p>
        </w:tc>
        <w:tc>
          <w:tcPr>
            <w:tcW w:w="400" w:type="pct"/>
            <w:shd w:val="clear" w:color="auto" w:fill="auto"/>
            <w:vAlign w:val="bottom"/>
            <w:hideMark/>
          </w:tcPr>
          <w:p w:rsidR="0022069A" w:rsidRPr="00911315" w:rsidRDefault="0022069A" w:rsidP="00D43D3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w:t>
            </w:r>
            <w:r w:rsidR="001B4FC7" w:rsidRPr="00911315">
              <w:rPr>
                <w:rFonts w:cs="Arial"/>
                <w:color w:val="000000"/>
                <w:sz w:val="16"/>
                <w:szCs w:val="16"/>
                <w:lang w:eastAsia="en-AU" w:bidi="ar-SA"/>
              </w:rPr>
              <w:t> </w:t>
            </w:r>
            <w:r w:rsidRPr="00911315">
              <w:rPr>
                <w:rFonts w:cs="Arial"/>
                <w:color w:val="000000"/>
                <w:sz w:val="16"/>
                <w:szCs w:val="16"/>
                <w:lang w:eastAsia="en-AU" w:bidi="ar-SA"/>
              </w:rPr>
              <w:t>399</w:t>
            </w:r>
          </w:p>
        </w:tc>
        <w:tc>
          <w:tcPr>
            <w:tcW w:w="160" w:type="pct"/>
            <w:vAlign w:val="bottom"/>
          </w:tcPr>
          <w:p w:rsidR="0022069A" w:rsidRPr="00911315" w:rsidRDefault="0022069A" w:rsidP="0022069A">
            <w:pPr>
              <w:keepNext/>
              <w:keepLines/>
              <w:spacing w:after="60" w:line="240" w:lineRule="auto"/>
              <w:ind w:left="0"/>
              <w:jc w:val="right"/>
              <w:rPr>
                <w:rFonts w:cs="Arial"/>
                <w:bCs/>
                <w:color w:val="000000"/>
                <w:sz w:val="16"/>
                <w:szCs w:val="16"/>
                <w:lang w:eastAsia="en-AU" w:bidi="ar-SA"/>
              </w:rPr>
            </w:pPr>
          </w:p>
        </w:tc>
        <w:tc>
          <w:tcPr>
            <w:tcW w:w="353" w:type="pct"/>
            <w:shd w:val="clear" w:color="auto" w:fill="auto"/>
            <w:vAlign w:val="bottom"/>
            <w:hideMark/>
          </w:tcPr>
          <w:p w:rsidR="0022069A" w:rsidRPr="00911315" w:rsidRDefault="0022069A" w:rsidP="0022069A">
            <w:pPr>
              <w:keepNext/>
              <w:keepLines/>
              <w:spacing w:after="60" w:line="240" w:lineRule="auto"/>
              <w:ind w:left="0"/>
              <w:jc w:val="right"/>
              <w:rPr>
                <w:rFonts w:cs="Arial"/>
                <w:bCs/>
                <w:color w:val="000000"/>
                <w:sz w:val="16"/>
                <w:szCs w:val="16"/>
                <w:lang w:eastAsia="en-AU" w:bidi="ar-SA"/>
              </w:rPr>
            </w:pPr>
            <w:r w:rsidRPr="00911315">
              <w:rPr>
                <w:rFonts w:cs="Arial"/>
                <w:bCs/>
                <w:color w:val="000000"/>
                <w:sz w:val="16"/>
                <w:szCs w:val="16"/>
                <w:lang w:eastAsia="en-AU" w:bidi="ar-SA"/>
              </w:rPr>
              <w:t>24</w:t>
            </w:r>
          </w:p>
        </w:tc>
        <w:tc>
          <w:tcPr>
            <w:tcW w:w="318" w:type="pct"/>
            <w:shd w:val="clear" w:color="auto" w:fill="auto"/>
            <w:vAlign w:val="bottom"/>
            <w:hideMark/>
          </w:tcPr>
          <w:p w:rsidR="0022069A" w:rsidRPr="00911315" w:rsidRDefault="0022069A" w:rsidP="0022069A">
            <w:pPr>
              <w:keepNext/>
              <w:keepLines/>
              <w:spacing w:after="60" w:line="240" w:lineRule="auto"/>
              <w:ind w:left="0"/>
              <w:jc w:val="right"/>
              <w:rPr>
                <w:rFonts w:cs="Arial"/>
                <w:bCs/>
                <w:color w:val="000000"/>
                <w:sz w:val="16"/>
                <w:szCs w:val="16"/>
                <w:lang w:eastAsia="en-AU" w:bidi="ar-SA"/>
              </w:rPr>
            </w:pPr>
            <w:r w:rsidRPr="00911315">
              <w:rPr>
                <w:rFonts w:cs="Arial"/>
                <w:bCs/>
                <w:color w:val="000000"/>
                <w:sz w:val="16"/>
                <w:szCs w:val="16"/>
                <w:lang w:eastAsia="en-AU" w:bidi="ar-SA"/>
              </w:rPr>
              <w:t>28</w:t>
            </w:r>
          </w:p>
        </w:tc>
        <w:tc>
          <w:tcPr>
            <w:tcW w:w="340"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26</w:t>
            </w:r>
          </w:p>
        </w:tc>
        <w:tc>
          <w:tcPr>
            <w:tcW w:w="133" w:type="pct"/>
            <w:vAlign w:val="bottom"/>
          </w:tcPr>
          <w:p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35</w:t>
            </w:r>
          </w:p>
        </w:tc>
        <w:tc>
          <w:tcPr>
            <w:tcW w:w="338"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65</w:t>
            </w:r>
          </w:p>
        </w:tc>
        <w:tc>
          <w:tcPr>
            <w:tcW w:w="302"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22069A" w:rsidRPr="00911315" w:rsidTr="00351FF6">
        <w:trPr>
          <w:jc w:val="right"/>
        </w:trPr>
        <w:tc>
          <w:tcPr>
            <w:tcW w:w="1408" w:type="pct"/>
            <w:shd w:val="clear" w:color="auto" w:fill="auto"/>
            <w:vAlign w:val="bottom"/>
            <w:hideMark/>
          </w:tcPr>
          <w:p w:rsidR="0022069A" w:rsidRPr="00911315" w:rsidRDefault="0022069A" w:rsidP="0022069A">
            <w:pPr>
              <w:keepNext/>
              <w:keepLines/>
              <w:spacing w:after="60" w:line="240" w:lineRule="auto"/>
              <w:ind w:left="142" w:hanging="142"/>
              <w:jc w:val="left"/>
              <w:rPr>
                <w:rFonts w:cs="Arial"/>
                <w:color w:val="000000"/>
                <w:sz w:val="16"/>
                <w:szCs w:val="16"/>
                <w:lang w:eastAsia="en-AU" w:bidi="ar-SA"/>
              </w:rPr>
            </w:pPr>
            <w:r w:rsidRPr="00911315">
              <w:rPr>
                <w:rFonts w:cs="Arial"/>
                <w:color w:val="000000"/>
                <w:sz w:val="16"/>
                <w:szCs w:val="16"/>
                <w:lang w:eastAsia="en-AU" w:bidi="ar-SA"/>
              </w:rPr>
              <w:t>New Start Allowance</w:t>
            </w:r>
          </w:p>
        </w:tc>
        <w:tc>
          <w:tcPr>
            <w:tcW w:w="474" w:type="pct"/>
            <w:shd w:val="clear" w:color="auto" w:fill="auto"/>
            <w:vAlign w:val="bottom"/>
            <w:hideMark/>
          </w:tcPr>
          <w:p w:rsidR="0022069A" w:rsidRPr="00911315" w:rsidRDefault="0022069A" w:rsidP="00D43D3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r w:rsidR="001B4FC7" w:rsidRPr="00911315">
              <w:rPr>
                <w:rFonts w:cs="Arial"/>
                <w:color w:val="000000"/>
                <w:sz w:val="16"/>
                <w:szCs w:val="16"/>
                <w:lang w:eastAsia="en-AU" w:bidi="ar-SA"/>
              </w:rPr>
              <w:t> </w:t>
            </w:r>
            <w:r w:rsidRPr="00911315">
              <w:rPr>
                <w:rFonts w:cs="Arial"/>
                <w:color w:val="000000"/>
                <w:sz w:val="16"/>
                <w:szCs w:val="16"/>
                <w:lang w:eastAsia="en-AU" w:bidi="ar-SA"/>
              </w:rPr>
              <w:t>782</w:t>
            </w:r>
          </w:p>
        </w:tc>
        <w:tc>
          <w:tcPr>
            <w:tcW w:w="421" w:type="pct"/>
            <w:shd w:val="clear" w:color="auto" w:fill="auto"/>
            <w:vAlign w:val="bottom"/>
            <w:hideMark/>
          </w:tcPr>
          <w:p w:rsidR="0022069A" w:rsidRPr="00911315" w:rsidRDefault="0022069A" w:rsidP="00D43D3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w:t>
            </w:r>
            <w:r w:rsidR="001B4FC7" w:rsidRPr="00911315">
              <w:rPr>
                <w:rFonts w:cs="Arial"/>
                <w:color w:val="000000"/>
                <w:sz w:val="16"/>
                <w:szCs w:val="16"/>
                <w:lang w:eastAsia="en-AU" w:bidi="ar-SA"/>
              </w:rPr>
              <w:t> </w:t>
            </w:r>
            <w:r w:rsidRPr="00911315">
              <w:rPr>
                <w:rFonts w:cs="Arial"/>
                <w:color w:val="000000"/>
                <w:sz w:val="16"/>
                <w:szCs w:val="16"/>
                <w:lang w:eastAsia="en-AU" w:bidi="ar-SA"/>
              </w:rPr>
              <w:t>243</w:t>
            </w:r>
          </w:p>
        </w:tc>
        <w:tc>
          <w:tcPr>
            <w:tcW w:w="400" w:type="pct"/>
            <w:shd w:val="clear" w:color="auto" w:fill="auto"/>
            <w:vAlign w:val="bottom"/>
            <w:hideMark/>
          </w:tcPr>
          <w:p w:rsidR="0022069A" w:rsidRPr="00911315" w:rsidRDefault="0022069A" w:rsidP="00D43D3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9</w:t>
            </w:r>
            <w:r w:rsidR="001B4FC7" w:rsidRPr="00911315">
              <w:rPr>
                <w:rFonts w:cs="Arial"/>
                <w:color w:val="000000"/>
                <w:sz w:val="16"/>
                <w:szCs w:val="16"/>
                <w:lang w:eastAsia="en-AU" w:bidi="ar-SA"/>
              </w:rPr>
              <w:t> </w:t>
            </w:r>
            <w:r w:rsidRPr="00911315">
              <w:rPr>
                <w:rFonts w:cs="Arial"/>
                <w:color w:val="000000"/>
                <w:sz w:val="16"/>
                <w:szCs w:val="16"/>
                <w:lang w:eastAsia="en-AU" w:bidi="ar-SA"/>
              </w:rPr>
              <w:t>025</w:t>
            </w:r>
          </w:p>
        </w:tc>
        <w:tc>
          <w:tcPr>
            <w:tcW w:w="160" w:type="pct"/>
            <w:vAlign w:val="bottom"/>
          </w:tcPr>
          <w:p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12</w:t>
            </w:r>
          </w:p>
        </w:tc>
        <w:tc>
          <w:tcPr>
            <w:tcW w:w="318" w:type="pct"/>
            <w:shd w:val="clear" w:color="auto" w:fill="auto"/>
            <w:vAlign w:val="bottom"/>
            <w:hideMark/>
          </w:tcPr>
          <w:p w:rsidR="0022069A" w:rsidRPr="00911315" w:rsidRDefault="0022069A" w:rsidP="0022069A">
            <w:pPr>
              <w:keepNext/>
              <w:keepLines/>
              <w:spacing w:after="60" w:line="240" w:lineRule="auto"/>
              <w:ind w:left="0"/>
              <w:jc w:val="right"/>
              <w:rPr>
                <w:rFonts w:cs="Arial"/>
                <w:bCs/>
                <w:color w:val="000000"/>
                <w:sz w:val="16"/>
                <w:szCs w:val="16"/>
                <w:lang w:eastAsia="en-AU" w:bidi="ar-SA"/>
              </w:rPr>
            </w:pPr>
            <w:r w:rsidRPr="00911315">
              <w:rPr>
                <w:rFonts w:cs="Arial"/>
                <w:bCs/>
                <w:color w:val="000000"/>
                <w:sz w:val="16"/>
                <w:szCs w:val="16"/>
                <w:lang w:eastAsia="en-AU" w:bidi="ar-SA"/>
              </w:rPr>
              <w:t>30</w:t>
            </w:r>
          </w:p>
        </w:tc>
        <w:tc>
          <w:tcPr>
            <w:tcW w:w="340"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23</w:t>
            </w:r>
          </w:p>
        </w:tc>
        <w:tc>
          <w:tcPr>
            <w:tcW w:w="133" w:type="pct"/>
            <w:vAlign w:val="bottom"/>
          </w:tcPr>
          <w:p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20</w:t>
            </w:r>
          </w:p>
        </w:tc>
        <w:tc>
          <w:tcPr>
            <w:tcW w:w="338"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80</w:t>
            </w:r>
          </w:p>
        </w:tc>
        <w:tc>
          <w:tcPr>
            <w:tcW w:w="302"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22069A" w:rsidRPr="00911315" w:rsidTr="00351FF6">
        <w:trPr>
          <w:jc w:val="right"/>
        </w:trPr>
        <w:tc>
          <w:tcPr>
            <w:tcW w:w="1408" w:type="pct"/>
            <w:shd w:val="clear" w:color="auto" w:fill="auto"/>
            <w:vAlign w:val="bottom"/>
            <w:hideMark/>
          </w:tcPr>
          <w:p w:rsidR="0022069A" w:rsidRPr="00911315" w:rsidRDefault="0022069A" w:rsidP="0022069A">
            <w:pPr>
              <w:keepNext/>
              <w:keepLines/>
              <w:spacing w:after="60" w:line="240" w:lineRule="auto"/>
              <w:ind w:left="142" w:hanging="142"/>
              <w:jc w:val="left"/>
              <w:rPr>
                <w:rFonts w:cs="Arial"/>
                <w:color w:val="000000"/>
                <w:sz w:val="16"/>
                <w:szCs w:val="16"/>
                <w:lang w:eastAsia="en-AU" w:bidi="ar-SA"/>
              </w:rPr>
            </w:pPr>
            <w:r w:rsidRPr="00911315">
              <w:rPr>
                <w:rFonts w:cs="Arial"/>
                <w:color w:val="000000"/>
                <w:sz w:val="16"/>
                <w:szCs w:val="16"/>
                <w:lang w:eastAsia="en-AU" w:bidi="ar-SA"/>
              </w:rPr>
              <w:t>Parenting Payment Partnered</w:t>
            </w:r>
          </w:p>
        </w:tc>
        <w:tc>
          <w:tcPr>
            <w:tcW w:w="474"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359</w:t>
            </w:r>
          </w:p>
        </w:tc>
        <w:tc>
          <w:tcPr>
            <w:tcW w:w="421" w:type="pct"/>
            <w:shd w:val="clear" w:color="auto" w:fill="auto"/>
            <w:vAlign w:val="bottom"/>
            <w:hideMark/>
          </w:tcPr>
          <w:p w:rsidR="0022069A" w:rsidRPr="00911315" w:rsidRDefault="0022069A" w:rsidP="00D43D3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1B4FC7" w:rsidRPr="00911315">
              <w:rPr>
                <w:rFonts w:cs="Arial"/>
                <w:color w:val="000000"/>
                <w:sz w:val="16"/>
                <w:szCs w:val="16"/>
                <w:lang w:eastAsia="en-AU" w:bidi="ar-SA"/>
              </w:rPr>
              <w:t> </w:t>
            </w:r>
            <w:r w:rsidRPr="00911315">
              <w:rPr>
                <w:rFonts w:cs="Arial"/>
                <w:color w:val="000000"/>
                <w:sz w:val="16"/>
                <w:szCs w:val="16"/>
                <w:lang w:eastAsia="en-AU" w:bidi="ar-SA"/>
              </w:rPr>
              <w:t>532</w:t>
            </w:r>
          </w:p>
        </w:tc>
        <w:tc>
          <w:tcPr>
            <w:tcW w:w="400" w:type="pct"/>
            <w:shd w:val="clear" w:color="auto" w:fill="auto"/>
            <w:vAlign w:val="bottom"/>
            <w:hideMark/>
          </w:tcPr>
          <w:p w:rsidR="0022069A" w:rsidRPr="00911315" w:rsidRDefault="0022069A" w:rsidP="00D43D3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1B4FC7" w:rsidRPr="00911315">
              <w:rPr>
                <w:rFonts w:cs="Arial"/>
                <w:color w:val="000000"/>
                <w:sz w:val="16"/>
                <w:szCs w:val="16"/>
                <w:lang w:eastAsia="en-AU" w:bidi="ar-SA"/>
              </w:rPr>
              <w:t> </w:t>
            </w:r>
            <w:r w:rsidRPr="00911315">
              <w:rPr>
                <w:rFonts w:cs="Arial"/>
                <w:color w:val="000000"/>
                <w:sz w:val="16"/>
                <w:szCs w:val="16"/>
                <w:lang w:eastAsia="en-AU" w:bidi="ar-SA"/>
              </w:rPr>
              <w:t>891</w:t>
            </w:r>
          </w:p>
        </w:tc>
        <w:tc>
          <w:tcPr>
            <w:tcW w:w="160" w:type="pct"/>
            <w:vAlign w:val="bottom"/>
          </w:tcPr>
          <w:p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p>
        </w:tc>
        <w:tc>
          <w:tcPr>
            <w:tcW w:w="318"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11</w:t>
            </w:r>
          </w:p>
        </w:tc>
        <w:tc>
          <w:tcPr>
            <w:tcW w:w="340"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w:t>
            </w:r>
          </w:p>
        </w:tc>
        <w:tc>
          <w:tcPr>
            <w:tcW w:w="133" w:type="pct"/>
            <w:vAlign w:val="bottom"/>
          </w:tcPr>
          <w:p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12</w:t>
            </w:r>
          </w:p>
        </w:tc>
        <w:tc>
          <w:tcPr>
            <w:tcW w:w="338"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88</w:t>
            </w:r>
          </w:p>
        </w:tc>
        <w:tc>
          <w:tcPr>
            <w:tcW w:w="302"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22069A" w:rsidRPr="00911315" w:rsidTr="00351FF6">
        <w:trPr>
          <w:jc w:val="right"/>
        </w:trPr>
        <w:tc>
          <w:tcPr>
            <w:tcW w:w="1408" w:type="pct"/>
            <w:shd w:val="clear" w:color="auto" w:fill="auto"/>
            <w:vAlign w:val="bottom"/>
            <w:hideMark/>
          </w:tcPr>
          <w:p w:rsidR="0022069A" w:rsidRPr="00911315" w:rsidRDefault="0022069A" w:rsidP="0022069A">
            <w:pPr>
              <w:keepNext/>
              <w:keepLines/>
              <w:spacing w:after="60" w:line="240" w:lineRule="auto"/>
              <w:ind w:left="142" w:hanging="142"/>
              <w:jc w:val="left"/>
              <w:rPr>
                <w:rFonts w:cs="Arial"/>
                <w:color w:val="000000"/>
                <w:sz w:val="16"/>
                <w:szCs w:val="16"/>
                <w:lang w:eastAsia="en-AU" w:bidi="ar-SA"/>
              </w:rPr>
            </w:pPr>
            <w:r w:rsidRPr="00911315">
              <w:rPr>
                <w:rFonts w:cs="Arial"/>
                <w:color w:val="000000"/>
                <w:sz w:val="16"/>
                <w:szCs w:val="16"/>
                <w:lang w:eastAsia="en-AU" w:bidi="ar-SA"/>
              </w:rPr>
              <w:t>Parenting Payment Single</w:t>
            </w:r>
          </w:p>
        </w:tc>
        <w:tc>
          <w:tcPr>
            <w:tcW w:w="474" w:type="pct"/>
            <w:shd w:val="clear" w:color="auto" w:fill="auto"/>
            <w:vAlign w:val="bottom"/>
            <w:hideMark/>
          </w:tcPr>
          <w:p w:rsidR="0022069A" w:rsidRPr="00911315" w:rsidRDefault="0022069A" w:rsidP="00D43D3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r w:rsidR="001B4FC7" w:rsidRPr="00911315">
              <w:rPr>
                <w:rFonts w:cs="Arial"/>
                <w:color w:val="000000"/>
                <w:sz w:val="16"/>
                <w:szCs w:val="16"/>
                <w:lang w:eastAsia="en-AU" w:bidi="ar-SA"/>
              </w:rPr>
              <w:t> </w:t>
            </w:r>
            <w:r w:rsidRPr="00911315">
              <w:rPr>
                <w:rFonts w:cs="Arial"/>
                <w:color w:val="000000"/>
                <w:sz w:val="16"/>
                <w:szCs w:val="16"/>
                <w:lang w:eastAsia="en-AU" w:bidi="ar-SA"/>
              </w:rPr>
              <w:t>38</w:t>
            </w:r>
            <w:r w:rsidR="00136CFE" w:rsidRPr="00911315">
              <w:rPr>
                <w:rFonts w:cs="Arial"/>
                <w:color w:val="000000"/>
                <w:sz w:val="16"/>
                <w:szCs w:val="16"/>
                <w:lang w:eastAsia="en-AU" w:bidi="ar-SA"/>
              </w:rPr>
              <w:t>4</w:t>
            </w:r>
          </w:p>
        </w:tc>
        <w:tc>
          <w:tcPr>
            <w:tcW w:w="421" w:type="pct"/>
            <w:shd w:val="clear" w:color="auto" w:fill="auto"/>
            <w:vAlign w:val="bottom"/>
            <w:hideMark/>
          </w:tcPr>
          <w:p w:rsidR="0022069A" w:rsidRPr="00911315" w:rsidRDefault="0022069A" w:rsidP="00136CFE">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1B4FC7" w:rsidRPr="00911315">
              <w:rPr>
                <w:rFonts w:cs="Arial"/>
                <w:color w:val="000000"/>
                <w:sz w:val="16"/>
                <w:szCs w:val="16"/>
                <w:lang w:eastAsia="en-AU" w:bidi="ar-SA"/>
              </w:rPr>
              <w:t> </w:t>
            </w:r>
            <w:r w:rsidR="00136CFE" w:rsidRPr="00911315">
              <w:rPr>
                <w:rFonts w:cs="Arial"/>
                <w:color w:val="000000"/>
                <w:sz w:val="16"/>
                <w:szCs w:val="16"/>
                <w:lang w:eastAsia="en-AU" w:bidi="ar-SA"/>
              </w:rPr>
              <w:t>542</w:t>
            </w:r>
          </w:p>
        </w:tc>
        <w:tc>
          <w:tcPr>
            <w:tcW w:w="400" w:type="pct"/>
            <w:shd w:val="clear" w:color="auto" w:fill="auto"/>
            <w:vAlign w:val="bottom"/>
            <w:hideMark/>
          </w:tcPr>
          <w:p w:rsidR="0022069A" w:rsidRPr="00911315" w:rsidRDefault="0022069A" w:rsidP="00D43D3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r w:rsidR="001B4FC7" w:rsidRPr="00911315">
              <w:rPr>
                <w:rFonts w:cs="Arial"/>
                <w:color w:val="000000"/>
                <w:sz w:val="16"/>
                <w:szCs w:val="16"/>
                <w:lang w:eastAsia="en-AU" w:bidi="ar-SA"/>
              </w:rPr>
              <w:t> </w:t>
            </w:r>
            <w:r w:rsidRPr="00911315">
              <w:rPr>
                <w:rFonts w:cs="Arial"/>
                <w:color w:val="000000"/>
                <w:sz w:val="16"/>
                <w:szCs w:val="16"/>
                <w:lang w:eastAsia="en-AU" w:bidi="ar-SA"/>
              </w:rPr>
              <w:t>926</w:t>
            </w:r>
          </w:p>
        </w:tc>
        <w:tc>
          <w:tcPr>
            <w:tcW w:w="160" w:type="pct"/>
            <w:vAlign w:val="bottom"/>
          </w:tcPr>
          <w:p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9</w:t>
            </w:r>
          </w:p>
        </w:tc>
        <w:tc>
          <w:tcPr>
            <w:tcW w:w="318"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11</w:t>
            </w:r>
          </w:p>
        </w:tc>
        <w:tc>
          <w:tcPr>
            <w:tcW w:w="340"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w:t>
            </w:r>
          </w:p>
        </w:tc>
        <w:tc>
          <w:tcPr>
            <w:tcW w:w="133" w:type="pct"/>
            <w:vAlign w:val="bottom"/>
          </w:tcPr>
          <w:p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35</w:t>
            </w:r>
          </w:p>
        </w:tc>
        <w:tc>
          <w:tcPr>
            <w:tcW w:w="338"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65</w:t>
            </w:r>
          </w:p>
        </w:tc>
        <w:tc>
          <w:tcPr>
            <w:tcW w:w="302"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22069A" w:rsidRPr="00911315" w:rsidTr="00351FF6">
        <w:trPr>
          <w:jc w:val="right"/>
        </w:trPr>
        <w:tc>
          <w:tcPr>
            <w:tcW w:w="1408" w:type="pct"/>
            <w:shd w:val="clear" w:color="auto" w:fill="auto"/>
            <w:vAlign w:val="bottom"/>
            <w:hideMark/>
          </w:tcPr>
          <w:p w:rsidR="0022069A" w:rsidRPr="00911315" w:rsidRDefault="0022069A" w:rsidP="0022069A">
            <w:pPr>
              <w:keepNext/>
              <w:keepLines/>
              <w:spacing w:after="60" w:line="240" w:lineRule="auto"/>
              <w:ind w:left="142" w:hanging="142"/>
              <w:jc w:val="left"/>
              <w:rPr>
                <w:rFonts w:cs="Arial"/>
                <w:color w:val="000000"/>
                <w:sz w:val="16"/>
                <w:szCs w:val="16"/>
                <w:lang w:eastAsia="en-AU" w:bidi="ar-SA"/>
              </w:rPr>
            </w:pPr>
            <w:r w:rsidRPr="00911315">
              <w:rPr>
                <w:rFonts w:cs="Arial"/>
                <w:color w:val="000000"/>
                <w:sz w:val="16"/>
                <w:szCs w:val="16"/>
                <w:lang w:eastAsia="en-AU" w:bidi="ar-SA"/>
              </w:rPr>
              <w:t>Partner Allowance</w:t>
            </w:r>
          </w:p>
        </w:tc>
        <w:tc>
          <w:tcPr>
            <w:tcW w:w="474" w:type="pct"/>
            <w:shd w:val="clear" w:color="auto" w:fill="auto"/>
            <w:vAlign w:val="bottom"/>
            <w:hideMark/>
          </w:tcPr>
          <w:p w:rsidR="0022069A" w:rsidRPr="00911315" w:rsidRDefault="00136CFE"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51</w:t>
            </w:r>
          </w:p>
        </w:tc>
        <w:tc>
          <w:tcPr>
            <w:tcW w:w="421" w:type="pct"/>
            <w:shd w:val="clear" w:color="auto" w:fill="auto"/>
            <w:vAlign w:val="bottom"/>
            <w:hideMark/>
          </w:tcPr>
          <w:p w:rsidR="0022069A" w:rsidRPr="00911315" w:rsidRDefault="00136CFE"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p>
        </w:tc>
        <w:tc>
          <w:tcPr>
            <w:tcW w:w="400"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54</w:t>
            </w:r>
          </w:p>
        </w:tc>
        <w:tc>
          <w:tcPr>
            <w:tcW w:w="160" w:type="pct"/>
            <w:vAlign w:val="bottom"/>
          </w:tcPr>
          <w:p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18"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40"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133" w:type="pct"/>
            <w:vAlign w:val="bottom"/>
          </w:tcPr>
          <w:p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91</w:t>
            </w:r>
          </w:p>
        </w:tc>
        <w:tc>
          <w:tcPr>
            <w:tcW w:w="338"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9</w:t>
            </w:r>
          </w:p>
        </w:tc>
        <w:tc>
          <w:tcPr>
            <w:tcW w:w="302"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22069A" w:rsidRPr="00911315" w:rsidTr="00351FF6">
        <w:trPr>
          <w:jc w:val="right"/>
        </w:trPr>
        <w:tc>
          <w:tcPr>
            <w:tcW w:w="1408" w:type="pct"/>
            <w:shd w:val="clear" w:color="auto" w:fill="auto"/>
            <w:vAlign w:val="bottom"/>
            <w:hideMark/>
          </w:tcPr>
          <w:p w:rsidR="0022069A" w:rsidRPr="00911315" w:rsidRDefault="0022069A" w:rsidP="0022069A">
            <w:pPr>
              <w:keepNext/>
              <w:keepLines/>
              <w:spacing w:after="60" w:line="240" w:lineRule="auto"/>
              <w:ind w:left="142" w:hanging="142"/>
              <w:jc w:val="left"/>
              <w:rPr>
                <w:rFonts w:cs="Arial"/>
                <w:color w:val="000000"/>
                <w:sz w:val="16"/>
                <w:szCs w:val="16"/>
                <w:lang w:eastAsia="en-AU" w:bidi="ar-SA"/>
              </w:rPr>
            </w:pPr>
            <w:r w:rsidRPr="00911315">
              <w:rPr>
                <w:rFonts w:cs="Arial"/>
                <w:color w:val="000000"/>
                <w:sz w:val="16"/>
                <w:szCs w:val="16"/>
                <w:lang w:eastAsia="en-AU" w:bidi="ar-SA"/>
              </w:rPr>
              <w:t>Sickness Allowance</w:t>
            </w:r>
          </w:p>
        </w:tc>
        <w:tc>
          <w:tcPr>
            <w:tcW w:w="474" w:type="pct"/>
            <w:shd w:val="clear" w:color="auto" w:fill="auto"/>
            <w:vAlign w:val="bottom"/>
            <w:hideMark/>
          </w:tcPr>
          <w:p w:rsidR="0022069A" w:rsidRPr="00911315" w:rsidRDefault="00136CFE"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32</w:t>
            </w:r>
          </w:p>
        </w:tc>
        <w:tc>
          <w:tcPr>
            <w:tcW w:w="421" w:type="pct"/>
            <w:shd w:val="clear" w:color="auto" w:fill="auto"/>
            <w:vAlign w:val="bottom"/>
            <w:hideMark/>
          </w:tcPr>
          <w:p w:rsidR="0022069A" w:rsidRPr="00911315" w:rsidRDefault="00136CFE"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15</w:t>
            </w:r>
          </w:p>
        </w:tc>
        <w:tc>
          <w:tcPr>
            <w:tcW w:w="400"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47</w:t>
            </w:r>
          </w:p>
        </w:tc>
        <w:tc>
          <w:tcPr>
            <w:tcW w:w="160" w:type="pct"/>
            <w:vAlign w:val="bottom"/>
          </w:tcPr>
          <w:p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18"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40"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133" w:type="pct"/>
            <w:vAlign w:val="bottom"/>
          </w:tcPr>
          <w:p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64</w:t>
            </w:r>
          </w:p>
        </w:tc>
        <w:tc>
          <w:tcPr>
            <w:tcW w:w="338"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36</w:t>
            </w:r>
          </w:p>
        </w:tc>
        <w:tc>
          <w:tcPr>
            <w:tcW w:w="302"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22069A" w:rsidRPr="00911315" w:rsidTr="00351FF6">
        <w:trPr>
          <w:jc w:val="right"/>
        </w:trPr>
        <w:tc>
          <w:tcPr>
            <w:tcW w:w="1408" w:type="pct"/>
            <w:shd w:val="clear" w:color="auto" w:fill="auto"/>
            <w:vAlign w:val="bottom"/>
            <w:hideMark/>
          </w:tcPr>
          <w:p w:rsidR="0022069A" w:rsidRPr="00911315" w:rsidRDefault="0022069A" w:rsidP="0022069A">
            <w:pPr>
              <w:keepNext/>
              <w:keepLines/>
              <w:spacing w:after="60" w:line="240" w:lineRule="auto"/>
              <w:ind w:left="142" w:hanging="142"/>
              <w:jc w:val="left"/>
              <w:rPr>
                <w:rFonts w:cs="Arial"/>
                <w:color w:val="000000"/>
                <w:sz w:val="16"/>
                <w:szCs w:val="16"/>
                <w:lang w:eastAsia="en-AU" w:bidi="ar-SA"/>
              </w:rPr>
            </w:pPr>
            <w:r w:rsidRPr="00911315">
              <w:rPr>
                <w:rFonts w:cs="Arial"/>
                <w:color w:val="000000"/>
                <w:sz w:val="16"/>
                <w:szCs w:val="16"/>
                <w:lang w:eastAsia="en-AU" w:bidi="ar-SA"/>
              </w:rPr>
              <w:t>Special Benefit</w:t>
            </w:r>
          </w:p>
        </w:tc>
        <w:tc>
          <w:tcPr>
            <w:tcW w:w="474" w:type="pct"/>
            <w:shd w:val="clear" w:color="auto" w:fill="auto"/>
            <w:vAlign w:val="bottom"/>
            <w:hideMark/>
          </w:tcPr>
          <w:p w:rsidR="0022069A" w:rsidRPr="00911315" w:rsidRDefault="00136CFE"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21</w:t>
            </w:r>
          </w:p>
        </w:tc>
        <w:tc>
          <w:tcPr>
            <w:tcW w:w="421" w:type="pct"/>
            <w:shd w:val="clear" w:color="auto" w:fill="auto"/>
            <w:vAlign w:val="bottom"/>
            <w:hideMark/>
          </w:tcPr>
          <w:p w:rsidR="0022069A" w:rsidRPr="00911315" w:rsidRDefault="00136CFE"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w:t>
            </w:r>
          </w:p>
        </w:tc>
        <w:tc>
          <w:tcPr>
            <w:tcW w:w="400"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26</w:t>
            </w:r>
          </w:p>
        </w:tc>
        <w:tc>
          <w:tcPr>
            <w:tcW w:w="160" w:type="pct"/>
            <w:vAlign w:val="bottom"/>
          </w:tcPr>
          <w:p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18"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40"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133" w:type="pct"/>
            <w:vAlign w:val="bottom"/>
          </w:tcPr>
          <w:p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88</w:t>
            </w:r>
          </w:p>
        </w:tc>
        <w:tc>
          <w:tcPr>
            <w:tcW w:w="338"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12</w:t>
            </w:r>
          </w:p>
        </w:tc>
        <w:tc>
          <w:tcPr>
            <w:tcW w:w="302"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22069A" w:rsidRPr="00911315" w:rsidTr="00351FF6">
        <w:trPr>
          <w:jc w:val="right"/>
        </w:trPr>
        <w:tc>
          <w:tcPr>
            <w:tcW w:w="1408" w:type="pct"/>
            <w:shd w:val="clear" w:color="auto" w:fill="auto"/>
            <w:vAlign w:val="bottom"/>
            <w:hideMark/>
          </w:tcPr>
          <w:p w:rsidR="0022069A" w:rsidRPr="00911315" w:rsidRDefault="0022069A" w:rsidP="0022069A">
            <w:pPr>
              <w:keepNext/>
              <w:keepLines/>
              <w:spacing w:after="60" w:line="240" w:lineRule="auto"/>
              <w:ind w:left="142" w:hanging="142"/>
              <w:jc w:val="left"/>
              <w:rPr>
                <w:rFonts w:cs="Arial"/>
                <w:color w:val="000000"/>
                <w:sz w:val="16"/>
                <w:szCs w:val="16"/>
                <w:lang w:eastAsia="en-AU" w:bidi="ar-SA"/>
              </w:rPr>
            </w:pPr>
            <w:r w:rsidRPr="00911315">
              <w:rPr>
                <w:rFonts w:cs="Arial"/>
                <w:color w:val="000000"/>
                <w:sz w:val="16"/>
                <w:szCs w:val="16"/>
                <w:lang w:eastAsia="en-AU" w:bidi="ar-SA"/>
              </w:rPr>
              <w:t>Widowed Persons Allowance</w:t>
            </w:r>
          </w:p>
        </w:tc>
        <w:tc>
          <w:tcPr>
            <w:tcW w:w="474"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73</w:t>
            </w:r>
          </w:p>
        </w:tc>
        <w:tc>
          <w:tcPr>
            <w:tcW w:w="421"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70</w:t>
            </w:r>
          </w:p>
        </w:tc>
        <w:tc>
          <w:tcPr>
            <w:tcW w:w="400"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143</w:t>
            </w:r>
          </w:p>
        </w:tc>
        <w:tc>
          <w:tcPr>
            <w:tcW w:w="160" w:type="pct"/>
            <w:vAlign w:val="bottom"/>
          </w:tcPr>
          <w:p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18"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40"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133" w:type="pct"/>
            <w:vAlign w:val="bottom"/>
          </w:tcPr>
          <w:p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51</w:t>
            </w:r>
          </w:p>
        </w:tc>
        <w:tc>
          <w:tcPr>
            <w:tcW w:w="338"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49</w:t>
            </w:r>
          </w:p>
        </w:tc>
        <w:tc>
          <w:tcPr>
            <w:tcW w:w="302"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22069A" w:rsidRPr="00911315" w:rsidTr="00351FF6">
        <w:trPr>
          <w:jc w:val="right"/>
        </w:trPr>
        <w:tc>
          <w:tcPr>
            <w:tcW w:w="1408" w:type="pct"/>
            <w:shd w:val="clear" w:color="auto" w:fill="auto"/>
            <w:vAlign w:val="bottom"/>
            <w:hideMark/>
          </w:tcPr>
          <w:p w:rsidR="0022069A" w:rsidRPr="00911315" w:rsidRDefault="0022069A" w:rsidP="0022069A">
            <w:pPr>
              <w:keepNext/>
              <w:keepLines/>
              <w:spacing w:after="60" w:line="240" w:lineRule="auto"/>
              <w:ind w:left="142" w:hanging="142"/>
              <w:jc w:val="left"/>
              <w:rPr>
                <w:rFonts w:cs="Arial"/>
                <w:color w:val="000000"/>
                <w:sz w:val="16"/>
                <w:szCs w:val="16"/>
                <w:lang w:eastAsia="en-AU" w:bidi="ar-SA"/>
              </w:rPr>
            </w:pPr>
            <w:r w:rsidRPr="00911315">
              <w:rPr>
                <w:rFonts w:cs="Arial"/>
                <w:color w:val="000000"/>
                <w:sz w:val="16"/>
                <w:szCs w:val="16"/>
                <w:lang w:eastAsia="en-AU" w:bidi="ar-SA"/>
              </w:rPr>
              <w:t>Wife Pension (Age)</w:t>
            </w:r>
          </w:p>
        </w:tc>
        <w:tc>
          <w:tcPr>
            <w:tcW w:w="474" w:type="pct"/>
            <w:shd w:val="clear" w:color="auto" w:fill="auto"/>
            <w:vAlign w:val="bottom"/>
            <w:hideMark/>
          </w:tcPr>
          <w:p w:rsidR="0022069A" w:rsidRPr="00911315" w:rsidRDefault="00136CFE"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27</w:t>
            </w:r>
          </w:p>
        </w:tc>
        <w:tc>
          <w:tcPr>
            <w:tcW w:w="421" w:type="pct"/>
            <w:shd w:val="clear" w:color="auto" w:fill="auto"/>
            <w:vAlign w:val="bottom"/>
            <w:hideMark/>
          </w:tcPr>
          <w:p w:rsidR="0022069A" w:rsidRPr="00911315" w:rsidRDefault="00136CFE"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w:t>
            </w:r>
          </w:p>
        </w:tc>
        <w:tc>
          <w:tcPr>
            <w:tcW w:w="400"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33</w:t>
            </w:r>
          </w:p>
        </w:tc>
        <w:tc>
          <w:tcPr>
            <w:tcW w:w="160" w:type="pct"/>
            <w:vAlign w:val="bottom"/>
          </w:tcPr>
          <w:p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18"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40"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133" w:type="pct"/>
            <w:vAlign w:val="bottom"/>
          </w:tcPr>
          <w:p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76</w:t>
            </w:r>
          </w:p>
        </w:tc>
        <w:tc>
          <w:tcPr>
            <w:tcW w:w="338"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24</w:t>
            </w:r>
          </w:p>
        </w:tc>
        <w:tc>
          <w:tcPr>
            <w:tcW w:w="302"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22069A" w:rsidRPr="00911315" w:rsidTr="00351FF6">
        <w:trPr>
          <w:jc w:val="right"/>
        </w:trPr>
        <w:tc>
          <w:tcPr>
            <w:tcW w:w="1408" w:type="pct"/>
            <w:shd w:val="clear" w:color="auto" w:fill="auto"/>
            <w:vAlign w:val="bottom"/>
            <w:hideMark/>
          </w:tcPr>
          <w:p w:rsidR="0022069A" w:rsidRPr="00911315" w:rsidRDefault="0022069A" w:rsidP="0022069A">
            <w:pPr>
              <w:keepNext/>
              <w:keepLines/>
              <w:spacing w:after="60" w:line="240" w:lineRule="auto"/>
              <w:ind w:left="142" w:hanging="142"/>
              <w:jc w:val="left"/>
              <w:rPr>
                <w:rFonts w:cs="Arial"/>
                <w:color w:val="000000"/>
                <w:sz w:val="16"/>
                <w:szCs w:val="16"/>
                <w:lang w:eastAsia="en-AU" w:bidi="ar-SA"/>
              </w:rPr>
            </w:pPr>
            <w:r w:rsidRPr="00911315">
              <w:rPr>
                <w:rFonts w:cs="Arial"/>
                <w:color w:val="000000"/>
                <w:sz w:val="16"/>
                <w:szCs w:val="16"/>
                <w:lang w:eastAsia="en-AU" w:bidi="ar-SA"/>
              </w:rPr>
              <w:t>Work for the Dole</w:t>
            </w:r>
          </w:p>
        </w:tc>
        <w:tc>
          <w:tcPr>
            <w:tcW w:w="474"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136CFE" w:rsidRPr="00911315">
              <w:rPr>
                <w:rFonts w:cs="Arial"/>
                <w:color w:val="000000"/>
                <w:sz w:val="16"/>
                <w:szCs w:val="16"/>
                <w:lang w:eastAsia="en-AU" w:bidi="ar-SA"/>
              </w:rPr>
              <w:t>2</w:t>
            </w:r>
          </w:p>
        </w:tc>
        <w:tc>
          <w:tcPr>
            <w:tcW w:w="421" w:type="pct"/>
            <w:shd w:val="clear" w:color="auto" w:fill="auto"/>
            <w:vAlign w:val="bottom"/>
            <w:hideMark/>
          </w:tcPr>
          <w:p w:rsidR="0022069A" w:rsidRPr="00911315" w:rsidRDefault="00136CFE"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w:t>
            </w:r>
          </w:p>
        </w:tc>
        <w:tc>
          <w:tcPr>
            <w:tcW w:w="400"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29</w:t>
            </w:r>
          </w:p>
        </w:tc>
        <w:tc>
          <w:tcPr>
            <w:tcW w:w="160" w:type="pct"/>
            <w:vAlign w:val="bottom"/>
          </w:tcPr>
          <w:p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18"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40"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133" w:type="pct"/>
            <w:vAlign w:val="bottom"/>
          </w:tcPr>
          <w:p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83</w:t>
            </w:r>
          </w:p>
        </w:tc>
        <w:tc>
          <w:tcPr>
            <w:tcW w:w="338"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17</w:t>
            </w:r>
          </w:p>
        </w:tc>
        <w:tc>
          <w:tcPr>
            <w:tcW w:w="302"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22069A" w:rsidRPr="00911315" w:rsidTr="00351FF6">
        <w:trPr>
          <w:jc w:val="right"/>
        </w:trPr>
        <w:tc>
          <w:tcPr>
            <w:tcW w:w="1408" w:type="pct"/>
            <w:shd w:val="clear" w:color="auto" w:fill="auto"/>
            <w:vAlign w:val="bottom"/>
            <w:hideMark/>
          </w:tcPr>
          <w:p w:rsidR="0022069A" w:rsidRPr="00911315" w:rsidRDefault="0022069A" w:rsidP="0022069A">
            <w:pPr>
              <w:keepNext/>
              <w:keepLines/>
              <w:spacing w:after="60" w:line="240" w:lineRule="auto"/>
              <w:ind w:left="142" w:hanging="142"/>
              <w:jc w:val="left"/>
              <w:rPr>
                <w:rFonts w:cs="Arial"/>
                <w:color w:val="000000"/>
                <w:sz w:val="16"/>
                <w:szCs w:val="16"/>
                <w:lang w:eastAsia="en-AU" w:bidi="ar-SA"/>
              </w:rPr>
            </w:pPr>
            <w:r w:rsidRPr="00911315">
              <w:rPr>
                <w:rFonts w:cs="Arial"/>
                <w:color w:val="000000"/>
                <w:sz w:val="16"/>
                <w:szCs w:val="16"/>
                <w:lang w:eastAsia="en-AU" w:bidi="ar-SA"/>
              </w:rPr>
              <w:t>Youth Allowance Others</w:t>
            </w:r>
          </w:p>
        </w:tc>
        <w:tc>
          <w:tcPr>
            <w:tcW w:w="474"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281</w:t>
            </w:r>
          </w:p>
        </w:tc>
        <w:tc>
          <w:tcPr>
            <w:tcW w:w="421"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r w:rsidR="001B4FC7" w:rsidRPr="00911315">
              <w:rPr>
                <w:rFonts w:cs="Arial"/>
                <w:color w:val="000000"/>
                <w:sz w:val="16"/>
                <w:szCs w:val="16"/>
                <w:lang w:eastAsia="en-AU" w:bidi="ar-SA"/>
              </w:rPr>
              <w:t> </w:t>
            </w:r>
            <w:r w:rsidRPr="00911315">
              <w:rPr>
                <w:rFonts w:cs="Arial"/>
                <w:color w:val="000000"/>
                <w:sz w:val="16"/>
                <w:szCs w:val="16"/>
                <w:lang w:eastAsia="en-AU" w:bidi="ar-SA"/>
              </w:rPr>
              <w:t>447</w:t>
            </w:r>
          </w:p>
        </w:tc>
        <w:tc>
          <w:tcPr>
            <w:tcW w:w="400" w:type="pct"/>
            <w:shd w:val="clear" w:color="auto" w:fill="auto"/>
            <w:vAlign w:val="bottom"/>
            <w:hideMark/>
          </w:tcPr>
          <w:p w:rsidR="0022069A" w:rsidRPr="00911315" w:rsidRDefault="0022069A" w:rsidP="00D43D3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r w:rsidR="001B4FC7" w:rsidRPr="00911315">
              <w:rPr>
                <w:rFonts w:cs="Arial"/>
                <w:color w:val="000000"/>
                <w:sz w:val="16"/>
                <w:szCs w:val="16"/>
                <w:lang w:eastAsia="en-AU" w:bidi="ar-SA"/>
              </w:rPr>
              <w:t> </w:t>
            </w:r>
            <w:r w:rsidRPr="00911315">
              <w:rPr>
                <w:rFonts w:cs="Arial"/>
                <w:color w:val="000000"/>
                <w:sz w:val="16"/>
                <w:szCs w:val="16"/>
                <w:lang w:eastAsia="en-AU" w:bidi="ar-SA"/>
              </w:rPr>
              <w:t>728</w:t>
            </w:r>
          </w:p>
        </w:tc>
        <w:tc>
          <w:tcPr>
            <w:tcW w:w="160" w:type="pct"/>
            <w:vAlign w:val="bottom"/>
          </w:tcPr>
          <w:p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p>
        </w:tc>
        <w:tc>
          <w:tcPr>
            <w:tcW w:w="318"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w:t>
            </w:r>
          </w:p>
        </w:tc>
        <w:tc>
          <w:tcPr>
            <w:tcW w:w="340"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w:t>
            </w:r>
          </w:p>
        </w:tc>
        <w:tc>
          <w:tcPr>
            <w:tcW w:w="133" w:type="pct"/>
            <w:vAlign w:val="bottom"/>
          </w:tcPr>
          <w:p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16</w:t>
            </w:r>
          </w:p>
        </w:tc>
        <w:tc>
          <w:tcPr>
            <w:tcW w:w="338"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84</w:t>
            </w:r>
          </w:p>
        </w:tc>
        <w:tc>
          <w:tcPr>
            <w:tcW w:w="302"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22069A" w:rsidRPr="00911315" w:rsidTr="00351FF6">
        <w:trPr>
          <w:jc w:val="right"/>
        </w:trPr>
        <w:tc>
          <w:tcPr>
            <w:tcW w:w="1408" w:type="pct"/>
            <w:shd w:val="clear" w:color="auto" w:fill="auto"/>
            <w:vAlign w:val="bottom"/>
            <w:hideMark/>
          </w:tcPr>
          <w:p w:rsidR="0022069A" w:rsidRPr="00911315" w:rsidRDefault="0022069A" w:rsidP="0022069A">
            <w:pPr>
              <w:keepNext/>
              <w:keepLines/>
              <w:spacing w:after="60" w:line="240" w:lineRule="auto"/>
              <w:ind w:left="142" w:hanging="142"/>
              <w:jc w:val="left"/>
              <w:rPr>
                <w:rFonts w:cs="Arial"/>
                <w:color w:val="000000"/>
                <w:sz w:val="16"/>
                <w:szCs w:val="16"/>
                <w:lang w:eastAsia="en-AU" w:bidi="ar-SA"/>
              </w:rPr>
            </w:pPr>
            <w:r w:rsidRPr="00911315">
              <w:rPr>
                <w:rFonts w:cs="Arial"/>
                <w:color w:val="000000"/>
                <w:sz w:val="16"/>
                <w:szCs w:val="16"/>
                <w:lang w:eastAsia="en-AU" w:bidi="ar-SA"/>
              </w:rPr>
              <w:t>Youth Allowance Students</w:t>
            </w:r>
          </w:p>
        </w:tc>
        <w:tc>
          <w:tcPr>
            <w:tcW w:w="474"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647</w:t>
            </w:r>
          </w:p>
        </w:tc>
        <w:tc>
          <w:tcPr>
            <w:tcW w:w="421"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46</w:t>
            </w:r>
          </w:p>
        </w:tc>
        <w:tc>
          <w:tcPr>
            <w:tcW w:w="400"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693</w:t>
            </w:r>
          </w:p>
        </w:tc>
        <w:tc>
          <w:tcPr>
            <w:tcW w:w="160" w:type="pct"/>
            <w:vAlign w:val="bottom"/>
          </w:tcPr>
          <w:p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w:t>
            </w:r>
          </w:p>
        </w:tc>
        <w:tc>
          <w:tcPr>
            <w:tcW w:w="318"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40"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p>
        </w:tc>
        <w:tc>
          <w:tcPr>
            <w:tcW w:w="133" w:type="pct"/>
            <w:vAlign w:val="bottom"/>
          </w:tcPr>
          <w:p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93</w:t>
            </w:r>
          </w:p>
        </w:tc>
        <w:tc>
          <w:tcPr>
            <w:tcW w:w="338"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w:t>
            </w:r>
          </w:p>
        </w:tc>
        <w:tc>
          <w:tcPr>
            <w:tcW w:w="302" w:type="pct"/>
            <w:shd w:val="clear" w:color="auto" w:fill="auto"/>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22069A" w:rsidRPr="00911315" w:rsidTr="00351FF6">
        <w:trPr>
          <w:jc w:val="right"/>
        </w:trPr>
        <w:tc>
          <w:tcPr>
            <w:tcW w:w="1408" w:type="pct"/>
            <w:tcBorders>
              <w:bottom w:val="single" w:sz="4" w:space="0" w:color="auto"/>
            </w:tcBorders>
            <w:shd w:val="clear" w:color="000000" w:fill="FFFFFF"/>
            <w:vAlign w:val="bottom"/>
            <w:hideMark/>
          </w:tcPr>
          <w:p w:rsidR="0022069A" w:rsidRPr="00911315" w:rsidRDefault="0022069A" w:rsidP="0022069A">
            <w:pPr>
              <w:keepNext/>
              <w:keepLines/>
              <w:spacing w:after="60" w:line="240" w:lineRule="auto"/>
              <w:ind w:left="142" w:hanging="142"/>
              <w:jc w:val="left"/>
              <w:rPr>
                <w:rFonts w:cs="Arial"/>
                <w:bCs/>
                <w:color w:val="000000"/>
                <w:sz w:val="16"/>
                <w:szCs w:val="16"/>
                <w:lang w:eastAsia="en-AU" w:bidi="ar-SA"/>
              </w:rPr>
            </w:pPr>
            <w:r w:rsidRPr="00911315">
              <w:rPr>
                <w:rFonts w:cs="Arial"/>
                <w:bCs/>
                <w:color w:val="000000"/>
                <w:sz w:val="16"/>
                <w:szCs w:val="16"/>
                <w:lang w:eastAsia="en-AU" w:bidi="ar-SA"/>
              </w:rPr>
              <w:t>Total</w:t>
            </w:r>
          </w:p>
        </w:tc>
        <w:tc>
          <w:tcPr>
            <w:tcW w:w="474" w:type="pct"/>
            <w:tcBorders>
              <w:bottom w:val="single" w:sz="4" w:space="0" w:color="auto"/>
            </w:tcBorders>
            <w:shd w:val="clear" w:color="000000" w:fill="FFFFFF"/>
            <w:vAlign w:val="bottom"/>
            <w:hideMark/>
          </w:tcPr>
          <w:p w:rsidR="0022069A" w:rsidRPr="00911315" w:rsidRDefault="0022069A" w:rsidP="00D43D3B">
            <w:pPr>
              <w:keepNext/>
              <w:keepLines/>
              <w:spacing w:after="60" w:line="240" w:lineRule="auto"/>
              <w:ind w:left="0"/>
              <w:jc w:val="right"/>
              <w:rPr>
                <w:rFonts w:cs="Arial"/>
                <w:bCs/>
                <w:color w:val="000000"/>
                <w:sz w:val="16"/>
                <w:szCs w:val="16"/>
                <w:lang w:eastAsia="en-AU" w:bidi="ar-SA"/>
              </w:rPr>
            </w:pPr>
            <w:r w:rsidRPr="00911315">
              <w:rPr>
                <w:rFonts w:cs="Arial"/>
                <w:bCs/>
                <w:color w:val="000000"/>
                <w:sz w:val="16"/>
                <w:szCs w:val="16"/>
                <w:lang w:eastAsia="en-AU" w:bidi="ar-SA"/>
              </w:rPr>
              <w:t>15</w:t>
            </w:r>
            <w:r w:rsidR="001B4FC7" w:rsidRPr="00911315">
              <w:rPr>
                <w:rFonts w:cs="Arial"/>
                <w:bCs/>
                <w:color w:val="000000"/>
                <w:sz w:val="16"/>
                <w:szCs w:val="16"/>
                <w:lang w:eastAsia="en-AU" w:bidi="ar-SA"/>
              </w:rPr>
              <w:t> </w:t>
            </w:r>
            <w:r w:rsidRPr="00911315">
              <w:rPr>
                <w:rFonts w:cs="Arial"/>
                <w:bCs/>
                <w:color w:val="000000"/>
                <w:sz w:val="16"/>
                <w:szCs w:val="16"/>
                <w:lang w:eastAsia="en-AU" w:bidi="ar-SA"/>
              </w:rPr>
              <w:t>202</w:t>
            </w:r>
          </w:p>
        </w:tc>
        <w:tc>
          <w:tcPr>
            <w:tcW w:w="421" w:type="pct"/>
            <w:tcBorders>
              <w:bottom w:val="single" w:sz="4" w:space="0" w:color="auto"/>
            </w:tcBorders>
            <w:shd w:val="clear" w:color="000000" w:fill="FFFFFF"/>
            <w:vAlign w:val="bottom"/>
            <w:hideMark/>
          </w:tcPr>
          <w:p w:rsidR="0022069A" w:rsidRPr="00911315" w:rsidRDefault="0022069A" w:rsidP="00D43D3B">
            <w:pPr>
              <w:keepNext/>
              <w:keepLines/>
              <w:spacing w:after="60" w:line="240" w:lineRule="auto"/>
              <w:ind w:left="0"/>
              <w:jc w:val="right"/>
              <w:rPr>
                <w:rFonts w:cs="Arial"/>
                <w:bCs/>
                <w:color w:val="000000"/>
                <w:sz w:val="16"/>
                <w:szCs w:val="16"/>
                <w:lang w:eastAsia="en-AU" w:bidi="ar-SA"/>
              </w:rPr>
            </w:pPr>
            <w:r w:rsidRPr="00911315">
              <w:rPr>
                <w:rFonts w:cs="Arial"/>
                <w:bCs/>
                <w:color w:val="000000"/>
                <w:sz w:val="16"/>
                <w:szCs w:val="16"/>
                <w:lang w:eastAsia="en-AU" w:bidi="ar-SA"/>
              </w:rPr>
              <w:t>24</w:t>
            </w:r>
            <w:r w:rsidR="001B4FC7" w:rsidRPr="00911315">
              <w:rPr>
                <w:rFonts w:cs="Arial"/>
                <w:bCs/>
                <w:color w:val="000000"/>
                <w:sz w:val="16"/>
                <w:szCs w:val="16"/>
                <w:lang w:eastAsia="en-AU" w:bidi="ar-SA"/>
              </w:rPr>
              <w:t> </w:t>
            </w:r>
            <w:r w:rsidRPr="00911315">
              <w:rPr>
                <w:rFonts w:cs="Arial"/>
                <w:bCs/>
                <w:color w:val="000000"/>
                <w:sz w:val="16"/>
                <w:szCs w:val="16"/>
                <w:lang w:eastAsia="en-AU" w:bidi="ar-SA"/>
              </w:rPr>
              <w:t>083</w:t>
            </w:r>
          </w:p>
        </w:tc>
        <w:tc>
          <w:tcPr>
            <w:tcW w:w="400" w:type="pct"/>
            <w:tcBorders>
              <w:bottom w:val="single" w:sz="4" w:space="0" w:color="auto"/>
            </w:tcBorders>
            <w:shd w:val="clear" w:color="000000" w:fill="FFFFFF"/>
            <w:vAlign w:val="bottom"/>
            <w:hideMark/>
          </w:tcPr>
          <w:p w:rsidR="0022069A" w:rsidRPr="00911315" w:rsidRDefault="0022069A" w:rsidP="00D43D3B">
            <w:pPr>
              <w:keepNext/>
              <w:keepLines/>
              <w:spacing w:after="60" w:line="240" w:lineRule="auto"/>
              <w:ind w:left="0"/>
              <w:jc w:val="right"/>
              <w:rPr>
                <w:rFonts w:cs="Arial"/>
                <w:bCs/>
                <w:color w:val="000000"/>
                <w:sz w:val="16"/>
                <w:szCs w:val="16"/>
                <w:lang w:eastAsia="en-AU" w:bidi="ar-SA"/>
              </w:rPr>
            </w:pPr>
            <w:r w:rsidRPr="00911315">
              <w:rPr>
                <w:rFonts w:cs="Arial"/>
                <w:bCs/>
                <w:color w:val="000000"/>
                <w:sz w:val="16"/>
                <w:szCs w:val="16"/>
                <w:lang w:eastAsia="en-AU" w:bidi="ar-SA"/>
              </w:rPr>
              <w:t>39</w:t>
            </w:r>
            <w:r w:rsidR="001B4FC7" w:rsidRPr="00911315">
              <w:rPr>
                <w:rFonts w:cs="Arial"/>
                <w:bCs/>
                <w:color w:val="000000"/>
                <w:sz w:val="16"/>
                <w:szCs w:val="16"/>
                <w:lang w:eastAsia="en-AU" w:bidi="ar-SA"/>
              </w:rPr>
              <w:t> </w:t>
            </w:r>
            <w:r w:rsidRPr="00911315">
              <w:rPr>
                <w:rFonts w:cs="Arial"/>
                <w:bCs/>
                <w:color w:val="000000"/>
                <w:sz w:val="16"/>
                <w:szCs w:val="16"/>
                <w:lang w:eastAsia="en-AU" w:bidi="ar-SA"/>
              </w:rPr>
              <w:t>285</w:t>
            </w:r>
          </w:p>
        </w:tc>
        <w:tc>
          <w:tcPr>
            <w:tcW w:w="160" w:type="pct"/>
            <w:tcBorders>
              <w:bottom w:val="single" w:sz="4" w:space="0" w:color="auto"/>
            </w:tcBorders>
            <w:shd w:val="clear" w:color="000000" w:fill="FFFFFF"/>
            <w:vAlign w:val="bottom"/>
          </w:tcPr>
          <w:p w:rsidR="0022069A" w:rsidRPr="00911315" w:rsidRDefault="0022069A" w:rsidP="0022069A">
            <w:pPr>
              <w:keepNext/>
              <w:keepLines/>
              <w:spacing w:after="60" w:line="240" w:lineRule="auto"/>
              <w:ind w:left="0"/>
              <w:jc w:val="right"/>
              <w:rPr>
                <w:rFonts w:cs="Arial"/>
                <w:bCs/>
                <w:color w:val="000000"/>
                <w:sz w:val="16"/>
                <w:szCs w:val="16"/>
                <w:lang w:eastAsia="en-AU" w:bidi="ar-SA"/>
              </w:rPr>
            </w:pPr>
          </w:p>
        </w:tc>
        <w:tc>
          <w:tcPr>
            <w:tcW w:w="353" w:type="pct"/>
            <w:tcBorders>
              <w:bottom w:val="single" w:sz="4" w:space="0" w:color="auto"/>
            </w:tcBorders>
            <w:shd w:val="clear" w:color="000000" w:fill="FFFFFF"/>
            <w:vAlign w:val="bottom"/>
            <w:hideMark/>
          </w:tcPr>
          <w:p w:rsidR="0022069A" w:rsidRPr="00911315" w:rsidRDefault="0022069A" w:rsidP="0022069A">
            <w:pPr>
              <w:keepNext/>
              <w:keepLines/>
              <w:spacing w:after="60" w:line="240" w:lineRule="auto"/>
              <w:ind w:left="0"/>
              <w:jc w:val="right"/>
              <w:rPr>
                <w:rFonts w:cs="Arial"/>
                <w:bCs/>
                <w:color w:val="000000"/>
                <w:sz w:val="16"/>
                <w:szCs w:val="16"/>
                <w:lang w:eastAsia="en-AU" w:bidi="ar-SA"/>
              </w:rPr>
            </w:pPr>
            <w:r w:rsidRPr="00911315">
              <w:rPr>
                <w:rFonts w:cs="Arial"/>
                <w:bCs/>
                <w:color w:val="000000"/>
                <w:sz w:val="16"/>
                <w:szCs w:val="16"/>
                <w:lang w:eastAsia="en-AU" w:bidi="ar-SA"/>
              </w:rPr>
              <w:t>100</w:t>
            </w:r>
          </w:p>
        </w:tc>
        <w:tc>
          <w:tcPr>
            <w:tcW w:w="318" w:type="pct"/>
            <w:tcBorders>
              <w:bottom w:val="single" w:sz="4" w:space="0" w:color="auto"/>
            </w:tcBorders>
            <w:shd w:val="clear" w:color="000000" w:fill="FFFFFF"/>
            <w:vAlign w:val="bottom"/>
            <w:hideMark/>
          </w:tcPr>
          <w:p w:rsidR="0022069A" w:rsidRPr="00911315" w:rsidRDefault="0022069A" w:rsidP="0022069A">
            <w:pPr>
              <w:keepNext/>
              <w:keepLines/>
              <w:spacing w:after="60" w:line="240" w:lineRule="auto"/>
              <w:ind w:left="0"/>
              <w:jc w:val="right"/>
              <w:rPr>
                <w:rFonts w:cs="Arial"/>
                <w:bCs/>
                <w:color w:val="000000"/>
                <w:sz w:val="16"/>
                <w:szCs w:val="16"/>
                <w:lang w:eastAsia="en-AU" w:bidi="ar-SA"/>
              </w:rPr>
            </w:pPr>
            <w:r w:rsidRPr="00911315">
              <w:rPr>
                <w:rFonts w:cs="Arial"/>
                <w:bCs/>
                <w:color w:val="000000"/>
                <w:sz w:val="16"/>
                <w:szCs w:val="16"/>
                <w:lang w:eastAsia="en-AU" w:bidi="ar-SA"/>
              </w:rPr>
              <w:t>100</w:t>
            </w:r>
          </w:p>
        </w:tc>
        <w:tc>
          <w:tcPr>
            <w:tcW w:w="340" w:type="pct"/>
            <w:tcBorders>
              <w:bottom w:val="single" w:sz="4" w:space="0" w:color="auto"/>
            </w:tcBorders>
            <w:shd w:val="clear" w:color="000000" w:fill="FFFFFF"/>
            <w:vAlign w:val="bottom"/>
            <w:hideMark/>
          </w:tcPr>
          <w:p w:rsidR="0022069A" w:rsidRPr="00911315" w:rsidRDefault="0022069A" w:rsidP="0022069A">
            <w:pPr>
              <w:keepNext/>
              <w:keepLines/>
              <w:spacing w:after="60" w:line="240" w:lineRule="auto"/>
              <w:ind w:left="0"/>
              <w:jc w:val="right"/>
              <w:rPr>
                <w:rFonts w:cs="Arial"/>
                <w:bCs/>
                <w:color w:val="000000"/>
                <w:sz w:val="16"/>
                <w:szCs w:val="16"/>
                <w:lang w:eastAsia="en-AU" w:bidi="ar-SA"/>
              </w:rPr>
            </w:pPr>
            <w:r w:rsidRPr="00911315">
              <w:rPr>
                <w:rFonts w:cs="Arial"/>
                <w:bCs/>
                <w:color w:val="000000"/>
                <w:sz w:val="16"/>
                <w:szCs w:val="16"/>
                <w:lang w:eastAsia="en-AU" w:bidi="ar-SA"/>
              </w:rPr>
              <w:t>100</w:t>
            </w:r>
          </w:p>
        </w:tc>
        <w:tc>
          <w:tcPr>
            <w:tcW w:w="133" w:type="pct"/>
            <w:tcBorders>
              <w:bottom w:val="single" w:sz="4" w:space="0" w:color="auto"/>
            </w:tcBorders>
            <w:shd w:val="clear" w:color="000000" w:fill="FFFFFF"/>
            <w:vAlign w:val="bottom"/>
          </w:tcPr>
          <w:p w:rsidR="0022069A" w:rsidRPr="00911315" w:rsidRDefault="0022069A" w:rsidP="0022069A">
            <w:pPr>
              <w:keepNext/>
              <w:keepLines/>
              <w:spacing w:after="60" w:line="240" w:lineRule="auto"/>
              <w:ind w:left="0"/>
              <w:jc w:val="right"/>
              <w:rPr>
                <w:rFonts w:cs="Arial"/>
                <w:bCs/>
                <w:color w:val="000000"/>
                <w:sz w:val="16"/>
                <w:szCs w:val="16"/>
                <w:lang w:eastAsia="en-AU" w:bidi="ar-SA"/>
              </w:rPr>
            </w:pPr>
          </w:p>
        </w:tc>
        <w:tc>
          <w:tcPr>
            <w:tcW w:w="353" w:type="pct"/>
            <w:tcBorders>
              <w:bottom w:val="single" w:sz="4" w:space="0" w:color="auto"/>
            </w:tcBorders>
            <w:shd w:val="clear" w:color="000000" w:fill="FFFFFF"/>
            <w:vAlign w:val="bottom"/>
            <w:hideMark/>
          </w:tcPr>
          <w:p w:rsidR="0022069A" w:rsidRPr="00911315" w:rsidRDefault="0022069A" w:rsidP="0022069A">
            <w:pPr>
              <w:keepNext/>
              <w:keepLines/>
              <w:spacing w:after="60" w:line="240" w:lineRule="auto"/>
              <w:ind w:left="0"/>
              <w:jc w:val="right"/>
              <w:rPr>
                <w:rFonts w:cs="Arial"/>
                <w:bCs/>
                <w:color w:val="000000"/>
                <w:sz w:val="16"/>
                <w:szCs w:val="16"/>
                <w:lang w:eastAsia="en-AU" w:bidi="ar-SA"/>
              </w:rPr>
            </w:pPr>
            <w:r w:rsidRPr="00911315">
              <w:rPr>
                <w:rFonts w:cs="Arial"/>
                <w:bCs/>
                <w:color w:val="000000"/>
                <w:sz w:val="16"/>
                <w:szCs w:val="16"/>
                <w:lang w:eastAsia="en-AU" w:bidi="ar-SA"/>
              </w:rPr>
              <w:t>38.7</w:t>
            </w:r>
          </w:p>
        </w:tc>
        <w:tc>
          <w:tcPr>
            <w:tcW w:w="338" w:type="pct"/>
            <w:tcBorders>
              <w:bottom w:val="single" w:sz="4" w:space="0" w:color="auto"/>
            </w:tcBorders>
            <w:shd w:val="clear" w:color="000000" w:fill="FFFFFF"/>
            <w:vAlign w:val="bottom"/>
            <w:hideMark/>
          </w:tcPr>
          <w:p w:rsidR="0022069A" w:rsidRPr="00911315" w:rsidRDefault="0022069A" w:rsidP="0022069A">
            <w:pPr>
              <w:keepNext/>
              <w:keepLines/>
              <w:spacing w:after="60" w:line="240" w:lineRule="auto"/>
              <w:ind w:left="0"/>
              <w:jc w:val="right"/>
              <w:rPr>
                <w:rFonts w:cs="Arial"/>
                <w:bCs/>
                <w:color w:val="000000"/>
                <w:sz w:val="16"/>
                <w:szCs w:val="16"/>
                <w:lang w:eastAsia="en-AU" w:bidi="ar-SA"/>
              </w:rPr>
            </w:pPr>
            <w:r w:rsidRPr="00911315">
              <w:rPr>
                <w:rFonts w:cs="Arial"/>
                <w:bCs/>
                <w:color w:val="000000"/>
                <w:sz w:val="16"/>
                <w:szCs w:val="16"/>
                <w:lang w:eastAsia="en-AU" w:bidi="ar-SA"/>
              </w:rPr>
              <w:t>61.3</w:t>
            </w:r>
          </w:p>
        </w:tc>
        <w:tc>
          <w:tcPr>
            <w:tcW w:w="302" w:type="pct"/>
            <w:tcBorders>
              <w:bottom w:val="single" w:sz="4" w:space="0" w:color="auto"/>
            </w:tcBorders>
            <w:shd w:val="clear" w:color="000000" w:fill="FFFFFF"/>
            <w:vAlign w:val="bottom"/>
            <w:hideMark/>
          </w:tcPr>
          <w:p w:rsidR="0022069A" w:rsidRPr="00911315" w:rsidRDefault="0022069A" w:rsidP="0022069A">
            <w:pPr>
              <w:keepNext/>
              <w:keepLines/>
              <w:spacing w:after="60" w:line="240" w:lineRule="auto"/>
              <w:ind w:left="0"/>
              <w:jc w:val="right"/>
              <w:rPr>
                <w:rFonts w:cs="Arial"/>
                <w:bCs/>
                <w:color w:val="000000"/>
                <w:sz w:val="16"/>
                <w:szCs w:val="16"/>
                <w:lang w:eastAsia="en-AU" w:bidi="ar-SA"/>
              </w:rPr>
            </w:pPr>
            <w:r w:rsidRPr="00911315">
              <w:rPr>
                <w:rFonts w:cs="Arial"/>
                <w:bCs/>
                <w:color w:val="000000"/>
                <w:sz w:val="16"/>
                <w:szCs w:val="16"/>
                <w:lang w:eastAsia="en-AU" w:bidi="ar-SA"/>
              </w:rPr>
              <w:t>100</w:t>
            </w:r>
          </w:p>
        </w:tc>
      </w:tr>
    </w:tbl>
    <w:p w:rsidR="0022069A" w:rsidRPr="005911E2" w:rsidRDefault="0022069A" w:rsidP="00CF78DB">
      <w:pPr>
        <w:pStyle w:val="tablefootnotes"/>
      </w:pPr>
      <w:bookmarkStart w:id="336" w:name="_Ref321184560"/>
      <w:bookmarkStart w:id="337" w:name="_Toc321430414"/>
      <w:bookmarkStart w:id="338" w:name="_Toc321761684"/>
      <w:bookmarkStart w:id="339" w:name="_Toc321254533"/>
    </w:p>
    <w:p w:rsidR="0022069A" w:rsidRDefault="0022069A" w:rsidP="00CF78DB">
      <w:pPr>
        <w:pStyle w:val="tablefootnotes"/>
      </w:pPr>
      <w:r w:rsidRPr="005911E2">
        <w:t xml:space="preserve">Note: </w:t>
      </w:r>
      <w:r w:rsidR="001B4FC7">
        <w:tab/>
      </w:r>
      <w:r w:rsidR="00CD2C3D">
        <w:t>Income support</w:t>
      </w:r>
      <w:r w:rsidRPr="005911E2">
        <w:t xml:space="preserve"> type and Indigenous status taken from </w:t>
      </w:r>
      <w:r w:rsidR="00F878E4">
        <w:t>income management</w:t>
      </w:r>
      <w:r w:rsidRPr="005911E2">
        <w:t xml:space="preserve"> person record</w:t>
      </w:r>
      <w:r w:rsidR="00D43D3B">
        <w:t>.</w:t>
      </w:r>
      <w:r w:rsidR="003A1B16" w:rsidRPr="005911E2">
        <w:t xml:space="preserve"> Total includes a small number on Bereavement Allowance and Youth Allowance-Apprentice</w:t>
      </w:r>
      <w:r w:rsidR="000234FA">
        <w:t>.</w:t>
      </w:r>
    </w:p>
    <w:p w:rsidR="00F17549" w:rsidRPr="005911E2" w:rsidRDefault="00F17549" w:rsidP="00F17549">
      <w:pPr>
        <w:pStyle w:val="tablefootnotes"/>
      </w:pPr>
      <w:r w:rsidRPr="005911E2">
        <w:t xml:space="preserve">Population: </w:t>
      </w:r>
      <w:r>
        <w:tab/>
      </w:r>
      <w:r w:rsidRPr="005911E2">
        <w:t xml:space="preserve">Income </w:t>
      </w:r>
      <w:r>
        <w:t>s</w:t>
      </w:r>
      <w:r w:rsidRPr="005911E2">
        <w:t>upport recipients in the</w:t>
      </w:r>
      <w:r w:rsidR="006435C8">
        <w:t xml:space="preserve"> Northern Territory </w:t>
      </w:r>
      <w:r w:rsidRPr="005911E2">
        <w:t xml:space="preserve">subject to </w:t>
      </w:r>
      <w:r>
        <w:t>i</w:t>
      </w:r>
      <w:r w:rsidRPr="005911E2">
        <w:t xml:space="preserve">ncome </w:t>
      </w:r>
      <w:r>
        <w:t>m</w:t>
      </w:r>
      <w:r w:rsidRPr="005911E2">
        <w:t>anagement</w:t>
      </w:r>
      <w:r w:rsidR="000234FA">
        <w:t>.</w:t>
      </w:r>
    </w:p>
    <w:p w:rsidR="0022069A" w:rsidRPr="005911E2" w:rsidRDefault="0022069A" w:rsidP="00CF78DB">
      <w:pPr>
        <w:pStyle w:val="tablefootnotes"/>
      </w:pPr>
      <w:r w:rsidRPr="005911E2">
        <w:t xml:space="preserve">Source: </w:t>
      </w:r>
      <w:r w:rsidR="001B4FC7">
        <w:tab/>
      </w:r>
      <w:r w:rsidRPr="005911E2">
        <w:t xml:space="preserve">Income </w:t>
      </w:r>
      <w:r w:rsidR="00D43D3B">
        <w:t>s</w:t>
      </w:r>
      <w:r w:rsidRPr="005911E2">
        <w:t xml:space="preserve">upport payments file and </w:t>
      </w:r>
      <w:r w:rsidR="00F878E4">
        <w:t>income management</w:t>
      </w:r>
      <w:r w:rsidRPr="005911E2">
        <w:t xml:space="preserve"> person file for fortnight ending 28 October</w:t>
      </w:r>
      <w:r w:rsidR="003A1B16" w:rsidRPr="005911E2">
        <w:t xml:space="preserve"> 2011</w:t>
      </w:r>
      <w:r w:rsidR="000234FA">
        <w:t>.</w:t>
      </w:r>
    </w:p>
    <w:p w:rsidR="00AC3E74" w:rsidRPr="005911E2" w:rsidRDefault="00AC3E74" w:rsidP="007B4471">
      <w:pPr>
        <w:pStyle w:val="tablefootnoteslastline"/>
      </w:pPr>
    </w:p>
    <w:p w:rsidR="00D43D3B" w:rsidRPr="005911E2" w:rsidRDefault="00D43D3B" w:rsidP="00D43D3B">
      <w:pPr>
        <w:pStyle w:val="BodyText"/>
      </w:pPr>
      <w:r w:rsidRPr="005911E2">
        <w:t xml:space="preserve">Table </w:t>
      </w:r>
      <w:r w:rsidRPr="005911E2">
        <w:rPr>
          <w:noProof/>
        </w:rPr>
        <w:t>4</w:t>
      </w:r>
      <w:r w:rsidRPr="005911E2">
        <w:noBreakHyphen/>
      </w:r>
      <w:r w:rsidRPr="005911E2">
        <w:rPr>
          <w:noProof/>
        </w:rPr>
        <w:t>11</w:t>
      </w:r>
      <w:r w:rsidRPr="005911E2">
        <w:t xml:space="preserve"> shows the makeup of those on </w:t>
      </w:r>
      <w:r>
        <w:t>income management</w:t>
      </w:r>
      <w:r w:rsidRPr="005911E2">
        <w:t>. The table show</w:t>
      </w:r>
      <w:r>
        <w:t>s</w:t>
      </w:r>
      <w:r w:rsidRPr="005911E2">
        <w:t xml:space="preserve"> that the composition of the population of income support recipients differs considerably between the Indigenous and non-Indigenous populations. In particular, nearly 40 per cent of non-Indigenous recipients were receiving the Age Pension, whereas the figure for Indigenous recipients was only </w:t>
      </w:r>
      <w:r w:rsidR="00EA1B30">
        <w:t>7</w:t>
      </w:r>
      <w:r w:rsidRPr="005911E2">
        <w:t xml:space="preserve"> per cent. By contrast</w:t>
      </w:r>
      <w:r>
        <w:t>,</w:t>
      </w:r>
      <w:r w:rsidRPr="005911E2">
        <w:t xml:space="preserve"> 30</w:t>
      </w:r>
      <w:r w:rsidR="00F17549">
        <w:t> </w:t>
      </w:r>
      <w:r w:rsidRPr="005911E2">
        <w:t xml:space="preserve">per cent of Indigenous recipients were on the Newstart Allowance whereas only 12 per cent of non-Indigenous recipients </w:t>
      </w:r>
      <w:r w:rsidR="00F17549">
        <w:t xml:space="preserve">received </w:t>
      </w:r>
      <w:r w:rsidRPr="005911E2">
        <w:t xml:space="preserve">this </w:t>
      </w:r>
      <w:r w:rsidR="00F17549">
        <w:t>type of income support</w:t>
      </w:r>
      <w:r w:rsidRPr="005911E2">
        <w:t xml:space="preserve">. The proportions on </w:t>
      </w:r>
      <w:r>
        <w:t xml:space="preserve">the </w:t>
      </w:r>
      <w:r w:rsidRPr="005911E2">
        <w:t>Disability Support Pension</w:t>
      </w:r>
      <w:r w:rsidR="00B62B2D">
        <w:t xml:space="preserve"> </w:t>
      </w:r>
      <w:r w:rsidRPr="005911E2">
        <w:t xml:space="preserve">were </w:t>
      </w:r>
      <w:r w:rsidR="00F17549">
        <w:t>similar</w:t>
      </w:r>
      <w:r w:rsidRPr="005911E2">
        <w:t xml:space="preserve"> – 24 per cent for non-Indigenous and 28 per cent for Indigenous.</w:t>
      </w:r>
    </w:p>
    <w:p w:rsidR="0022069A" w:rsidRPr="005911E2" w:rsidRDefault="0022069A" w:rsidP="0022069A">
      <w:pPr>
        <w:pStyle w:val="tabfighead"/>
      </w:pPr>
      <w:bookmarkStart w:id="340" w:name="_Toc328601581"/>
      <w:bookmarkStart w:id="341" w:name="_Toc329051359"/>
      <w:bookmarkStart w:id="342" w:name="_Toc335915847"/>
      <w:r w:rsidRPr="005911E2">
        <w:lastRenderedPageBreak/>
        <w:t xml:space="preserve">Table </w:t>
      </w:r>
      <w:r w:rsidR="00C7347D" w:rsidRPr="005911E2">
        <w:fldChar w:fldCharType="begin"/>
      </w:r>
      <w:r w:rsidR="00435FEB" w:rsidRPr="005911E2">
        <w:instrText xml:space="preserve"> STYLEREF 1 \s </w:instrText>
      </w:r>
      <w:r w:rsidR="00C7347D" w:rsidRPr="005911E2">
        <w:fldChar w:fldCharType="separate"/>
      </w:r>
      <w:r w:rsidR="007D7E45">
        <w:rPr>
          <w:noProof/>
        </w:rPr>
        <w:t>4</w:t>
      </w:r>
      <w:r w:rsidR="00C7347D" w:rsidRPr="005911E2">
        <w:rPr>
          <w:noProof/>
        </w:rPr>
        <w:fldChar w:fldCharType="end"/>
      </w:r>
      <w:r w:rsidRPr="005911E2">
        <w:noBreakHyphen/>
      </w:r>
      <w:r w:rsidR="00C7347D" w:rsidRPr="005911E2">
        <w:fldChar w:fldCharType="begin"/>
      </w:r>
      <w:r w:rsidR="00435FEB" w:rsidRPr="005911E2">
        <w:instrText xml:space="preserve"> SEQ Table \* ARABIC \s 1 </w:instrText>
      </w:r>
      <w:r w:rsidR="00C7347D" w:rsidRPr="005911E2">
        <w:fldChar w:fldCharType="separate"/>
      </w:r>
      <w:r w:rsidR="007D7E45">
        <w:rPr>
          <w:noProof/>
        </w:rPr>
        <w:t>11</w:t>
      </w:r>
      <w:r w:rsidR="00C7347D" w:rsidRPr="005911E2">
        <w:rPr>
          <w:noProof/>
        </w:rPr>
        <w:fldChar w:fldCharType="end"/>
      </w:r>
      <w:bookmarkEnd w:id="336"/>
      <w:r w:rsidRPr="005911E2">
        <w:t xml:space="preserve"> </w:t>
      </w:r>
      <w:r w:rsidRPr="005911E2">
        <w:tab/>
      </w:r>
      <w:r w:rsidR="006435C8">
        <w:t>Northern Territory,</w:t>
      </w:r>
      <w:r w:rsidRPr="005911E2">
        <w:t xml:space="preserve"> Persons being </w:t>
      </w:r>
      <w:r w:rsidR="00D43D3B">
        <w:t>i</w:t>
      </w:r>
      <w:r w:rsidRPr="005911E2">
        <w:t xml:space="preserve">ncome </w:t>
      </w:r>
      <w:r w:rsidR="00D43D3B">
        <w:t>m</w:t>
      </w:r>
      <w:r w:rsidRPr="005911E2">
        <w:t>anaged by Indigenous status and</w:t>
      </w:r>
      <w:r w:rsidR="00CD2C3D">
        <w:t xml:space="preserve"> </w:t>
      </w:r>
      <w:r w:rsidR="009F6E1A">
        <w:t xml:space="preserve">type of </w:t>
      </w:r>
      <w:r w:rsidR="00CD2C3D">
        <w:t>income support</w:t>
      </w:r>
      <w:r w:rsidRPr="005911E2">
        <w:t>, October 2011</w:t>
      </w:r>
      <w:bookmarkEnd w:id="337"/>
      <w:bookmarkEnd w:id="338"/>
      <w:bookmarkEnd w:id="339"/>
      <w:bookmarkEnd w:id="340"/>
      <w:bookmarkEnd w:id="341"/>
      <w:bookmarkEnd w:id="342"/>
    </w:p>
    <w:tbl>
      <w:tblPr>
        <w:tblW w:w="4754" w:type="pct"/>
        <w:tblInd w:w="392" w:type="dxa"/>
        <w:tblLayout w:type="fixed"/>
        <w:tblLook w:val="04A0" w:firstRow="1" w:lastRow="0" w:firstColumn="1" w:lastColumn="0" w:noHBand="0" w:noVBand="1"/>
      </w:tblPr>
      <w:tblGrid>
        <w:gridCol w:w="2268"/>
        <w:gridCol w:w="675"/>
        <w:gridCol w:w="884"/>
        <w:gridCol w:w="713"/>
        <w:gridCol w:w="282"/>
        <w:gridCol w:w="623"/>
        <w:gridCol w:w="564"/>
        <w:gridCol w:w="605"/>
        <w:gridCol w:w="236"/>
        <w:gridCol w:w="623"/>
        <w:gridCol w:w="597"/>
        <w:gridCol w:w="578"/>
      </w:tblGrid>
      <w:tr w:rsidR="008749C8" w:rsidRPr="00911315" w:rsidTr="00783DF8">
        <w:trPr>
          <w:cantSplit/>
          <w:trHeight w:val="1028"/>
        </w:trPr>
        <w:tc>
          <w:tcPr>
            <w:tcW w:w="1312" w:type="pct"/>
            <w:vMerge w:val="restart"/>
            <w:tcBorders>
              <w:top w:val="single" w:sz="4" w:space="0" w:color="auto"/>
            </w:tcBorders>
            <w:shd w:val="clear" w:color="auto" w:fill="auto"/>
            <w:hideMark/>
          </w:tcPr>
          <w:p w:rsidR="0022069A" w:rsidRPr="00911315" w:rsidRDefault="0022069A" w:rsidP="0022069A">
            <w:pPr>
              <w:keepNext/>
              <w:keepLines/>
              <w:spacing w:after="0" w:line="240" w:lineRule="auto"/>
              <w:ind w:left="0"/>
              <w:rPr>
                <w:rFonts w:cs="Arial"/>
                <w:color w:val="000000"/>
                <w:sz w:val="16"/>
                <w:szCs w:val="16"/>
                <w:lang w:eastAsia="en-AU" w:bidi="ar-SA"/>
              </w:rPr>
            </w:pPr>
            <w:r w:rsidRPr="00911315">
              <w:rPr>
                <w:rFonts w:cs="Arial"/>
                <w:color w:val="000000"/>
                <w:sz w:val="16"/>
                <w:szCs w:val="16"/>
                <w:lang w:eastAsia="en-AU" w:bidi="ar-SA"/>
              </w:rPr>
              <w:t> Income Support Type</w:t>
            </w:r>
          </w:p>
        </w:tc>
        <w:tc>
          <w:tcPr>
            <w:tcW w:w="390" w:type="pct"/>
            <w:tcBorders>
              <w:top w:val="single" w:sz="4" w:space="0" w:color="auto"/>
              <w:bottom w:val="single" w:sz="4" w:space="0" w:color="auto"/>
            </w:tcBorders>
            <w:shd w:val="clear" w:color="auto" w:fill="auto"/>
            <w:textDirection w:val="btLr"/>
            <w:vAlign w:val="bottom"/>
            <w:hideMark/>
          </w:tcPr>
          <w:p w:rsidR="0022069A" w:rsidRPr="00911315" w:rsidRDefault="0022069A" w:rsidP="00C04728">
            <w:pPr>
              <w:keepNext/>
              <w:keepLines/>
              <w:spacing w:after="0" w:line="240" w:lineRule="auto"/>
              <w:ind w:left="113" w:right="113"/>
              <w:jc w:val="right"/>
              <w:rPr>
                <w:rFonts w:cs="Arial"/>
                <w:color w:val="000000"/>
                <w:sz w:val="16"/>
                <w:szCs w:val="16"/>
                <w:lang w:eastAsia="en-AU" w:bidi="ar-SA"/>
              </w:rPr>
            </w:pPr>
            <w:r w:rsidRPr="00911315">
              <w:rPr>
                <w:rFonts w:cs="Arial"/>
                <w:color w:val="000000"/>
                <w:sz w:val="16"/>
                <w:szCs w:val="16"/>
                <w:lang w:eastAsia="en-AU" w:bidi="ar-SA"/>
              </w:rPr>
              <w:t xml:space="preserve">Non </w:t>
            </w:r>
            <w:r w:rsidR="00D43D3B" w:rsidRPr="00911315">
              <w:rPr>
                <w:rFonts w:cs="Arial"/>
                <w:color w:val="000000"/>
                <w:sz w:val="16"/>
                <w:szCs w:val="16"/>
                <w:lang w:eastAsia="en-AU" w:bidi="ar-SA"/>
              </w:rPr>
              <w:t>-</w:t>
            </w:r>
            <w:r w:rsidRPr="00911315">
              <w:rPr>
                <w:rFonts w:cs="Arial"/>
                <w:color w:val="000000"/>
                <w:sz w:val="16"/>
                <w:szCs w:val="16"/>
                <w:lang w:eastAsia="en-AU" w:bidi="ar-SA"/>
              </w:rPr>
              <w:br/>
              <w:t>Indigenous</w:t>
            </w:r>
          </w:p>
        </w:tc>
        <w:tc>
          <w:tcPr>
            <w:tcW w:w="511" w:type="pct"/>
            <w:tcBorders>
              <w:top w:val="single" w:sz="4" w:space="0" w:color="auto"/>
              <w:bottom w:val="single" w:sz="4" w:space="0" w:color="auto"/>
            </w:tcBorders>
            <w:shd w:val="clear" w:color="auto" w:fill="auto"/>
            <w:textDirection w:val="btLr"/>
            <w:vAlign w:val="bottom"/>
            <w:hideMark/>
          </w:tcPr>
          <w:p w:rsidR="0022069A" w:rsidRPr="00911315" w:rsidRDefault="0022069A" w:rsidP="00C04728">
            <w:pPr>
              <w:keepNext/>
              <w:keepLines/>
              <w:spacing w:after="0" w:line="240" w:lineRule="auto"/>
              <w:ind w:left="113" w:right="113"/>
              <w:jc w:val="right"/>
              <w:rPr>
                <w:rFonts w:cs="Arial"/>
                <w:color w:val="000000"/>
                <w:sz w:val="16"/>
                <w:szCs w:val="16"/>
                <w:lang w:eastAsia="en-AU" w:bidi="ar-SA"/>
              </w:rPr>
            </w:pPr>
            <w:r w:rsidRPr="00911315">
              <w:rPr>
                <w:rFonts w:cs="Arial"/>
                <w:color w:val="000000"/>
                <w:sz w:val="16"/>
                <w:szCs w:val="16"/>
                <w:lang w:eastAsia="en-AU" w:bidi="ar-SA"/>
              </w:rPr>
              <w:t>Indigenous</w:t>
            </w:r>
          </w:p>
        </w:tc>
        <w:tc>
          <w:tcPr>
            <w:tcW w:w="412" w:type="pct"/>
            <w:tcBorders>
              <w:top w:val="single" w:sz="4" w:space="0" w:color="auto"/>
              <w:bottom w:val="single" w:sz="4" w:space="0" w:color="auto"/>
            </w:tcBorders>
            <w:shd w:val="clear" w:color="auto" w:fill="auto"/>
            <w:textDirection w:val="btLr"/>
            <w:vAlign w:val="bottom"/>
            <w:hideMark/>
          </w:tcPr>
          <w:p w:rsidR="0022069A" w:rsidRPr="00911315" w:rsidRDefault="0022069A" w:rsidP="00C04728">
            <w:pPr>
              <w:keepNext/>
              <w:keepLines/>
              <w:spacing w:after="0" w:line="240" w:lineRule="auto"/>
              <w:ind w:left="113" w:right="113"/>
              <w:jc w:val="right"/>
              <w:rPr>
                <w:rFonts w:cs="Arial"/>
                <w:color w:val="000000"/>
                <w:sz w:val="16"/>
                <w:szCs w:val="16"/>
                <w:lang w:eastAsia="en-AU" w:bidi="ar-SA"/>
              </w:rPr>
            </w:pPr>
            <w:r w:rsidRPr="00911315">
              <w:rPr>
                <w:rFonts w:cs="Arial"/>
                <w:color w:val="000000"/>
                <w:sz w:val="16"/>
                <w:szCs w:val="16"/>
                <w:lang w:eastAsia="en-AU" w:bidi="ar-SA"/>
              </w:rPr>
              <w:t>Total</w:t>
            </w:r>
          </w:p>
        </w:tc>
        <w:tc>
          <w:tcPr>
            <w:tcW w:w="163" w:type="pct"/>
            <w:tcBorders>
              <w:top w:val="single" w:sz="4" w:space="0" w:color="auto"/>
            </w:tcBorders>
            <w:textDirection w:val="btLr"/>
            <w:vAlign w:val="bottom"/>
          </w:tcPr>
          <w:p w:rsidR="0022069A" w:rsidRPr="00911315" w:rsidRDefault="0022069A" w:rsidP="00C04728">
            <w:pPr>
              <w:keepNext/>
              <w:keepLines/>
              <w:spacing w:after="0" w:line="240" w:lineRule="auto"/>
              <w:ind w:left="113" w:right="113"/>
              <w:jc w:val="right"/>
              <w:rPr>
                <w:rFonts w:cs="Arial"/>
                <w:color w:val="000000"/>
                <w:sz w:val="16"/>
                <w:szCs w:val="16"/>
                <w:lang w:eastAsia="en-AU" w:bidi="ar-SA"/>
              </w:rPr>
            </w:pPr>
          </w:p>
        </w:tc>
        <w:tc>
          <w:tcPr>
            <w:tcW w:w="360" w:type="pct"/>
            <w:tcBorders>
              <w:top w:val="single" w:sz="4" w:space="0" w:color="auto"/>
              <w:bottom w:val="single" w:sz="4" w:space="0" w:color="auto"/>
            </w:tcBorders>
            <w:shd w:val="clear" w:color="auto" w:fill="auto"/>
            <w:textDirection w:val="btLr"/>
            <w:vAlign w:val="bottom"/>
            <w:hideMark/>
          </w:tcPr>
          <w:p w:rsidR="0022069A" w:rsidRPr="00911315" w:rsidRDefault="0022069A" w:rsidP="00C04728">
            <w:pPr>
              <w:keepNext/>
              <w:keepLines/>
              <w:spacing w:after="0" w:line="240" w:lineRule="auto"/>
              <w:ind w:left="113" w:right="113"/>
              <w:jc w:val="right"/>
              <w:rPr>
                <w:rFonts w:cs="Arial"/>
                <w:color w:val="000000"/>
                <w:sz w:val="16"/>
                <w:szCs w:val="16"/>
                <w:lang w:eastAsia="en-AU" w:bidi="ar-SA"/>
              </w:rPr>
            </w:pPr>
            <w:r w:rsidRPr="00911315">
              <w:rPr>
                <w:rFonts w:cs="Arial"/>
                <w:color w:val="000000"/>
                <w:sz w:val="16"/>
                <w:szCs w:val="16"/>
                <w:lang w:eastAsia="en-AU" w:bidi="ar-SA"/>
              </w:rPr>
              <w:t>Non</w:t>
            </w:r>
            <w:r w:rsidR="00D43D3B" w:rsidRPr="00911315">
              <w:rPr>
                <w:rFonts w:cs="Arial"/>
                <w:color w:val="000000"/>
                <w:sz w:val="16"/>
                <w:szCs w:val="16"/>
                <w:lang w:eastAsia="en-AU" w:bidi="ar-SA"/>
              </w:rPr>
              <w:t>-</w:t>
            </w:r>
            <w:r w:rsidRPr="00911315">
              <w:rPr>
                <w:rFonts w:cs="Arial"/>
                <w:color w:val="000000"/>
                <w:sz w:val="16"/>
                <w:szCs w:val="16"/>
                <w:lang w:eastAsia="en-AU" w:bidi="ar-SA"/>
              </w:rPr>
              <w:t xml:space="preserve"> </w:t>
            </w:r>
            <w:r w:rsidRPr="00911315">
              <w:rPr>
                <w:rFonts w:cs="Arial"/>
                <w:color w:val="000000"/>
                <w:sz w:val="16"/>
                <w:szCs w:val="16"/>
                <w:lang w:eastAsia="en-AU" w:bidi="ar-SA"/>
              </w:rPr>
              <w:br/>
              <w:t>Indigenous</w:t>
            </w:r>
          </w:p>
        </w:tc>
        <w:tc>
          <w:tcPr>
            <w:tcW w:w="326" w:type="pct"/>
            <w:tcBorders>
              <w:top w:val="single" w:sz="4" w:space="0" w:color="auto"/>
              <w:bottom w:val="single" w:sz="4" w:space="0" w:color="auto"/>
            </w:tcBorders>
            <w:shd w:val="clear" w:color="auto" w:fill="auto"/>
            <w:textDirection w:val="btLr"/>
            <w:vAlign w:val="bottom"/>
            <w:hideMark/>
          </w:tcPr>
          <w:p w:rsidR="0022069A" w:rsidRPr="00911315" w:rsidRDefault="0022069A" w:rsidP="00C04728">
            <w:pPr>
              <w:keepNext/>
              <w:keepLines/>
              <w:spacing w:after="0" w:line="240" w:lineRule="auto"/>
              <w:ind w:left="113" w:right="113"/>
              <w:jc w:val="right"/>
              <w:rPr>
                <w:rFonts w:cs="Arial"/>
                <w:color w:val="000000"/>
                <w:sz w:val="16"/>
                <w:szCs w:val="16"/>
                <w:lang w:eastAsia="en-AU" w:bidi="ar-SA"/>
              </w:rPr>
            </w:pPr>
            <w:r w:rsidRPr="00911315">
              <w:rPr>
                <w:rFonts w:cs="Arial"/>
                <w:color w:val="000000"/>
                <w:sz w:val="16"/>
                <w:szCs w:val="16"/>
                <w:lang w:eastAsia="en-AU" w:bidi="ar-SA"/>
              </w:rPr>
              <w:t>Indigenous</w:t>
            </w:r>
          </w:p>
        </w:tc>
        <w:tc>
          <w:tcPr>
            <w:tcW w:w="350" w:type="pct"/>
            <w:tcBorders>
              <w:top w:val="single" w:sz="4" w:space="0" w:color="auto"/>
              <w:bottom w:val="single" w:sz="4" w:space="0" w:color="auto"/>
            </w:tcBorders>
            <w:shd w:val="clear" w:color="auto" w:fill="auto"/>
            <w:textDirection w:val="btLr"/>
            <w:vAlign w:val="bottom"/>
            <w:hideMark/>
          </w:tcPr>
          <w:p w:rsidR="0022069A" w:rsidRPr="00911315" w:rsidRDefault="0022069A" w:rsidP="00C04728">
            <w:pPr>
              <w:keepNext/>
              <w:keepLines/>
              <w:spacing w:after="0" w:line="240" w:lineRule="auto"/>
              <w:ind w:left="113" w:right="113"/>
              <w:jc w:val="right"/>
              <w:rPr>
                <w:rFonts w:cs="Arial"/>
                <w:color w:val="000000"/>
                <w:sz w:val="16"/>
                <w:szCs w:val="16"/>
                <w:lang w:eastAsia="en-AU" w:bidi="ar-SA"/>
              </w:rPr>
            </w:pPr>
            <w:r w:rsidRPr="00911315">
              <w:rPr>
                <w:rFonts w:cs="Arial"/>
                <w:color w:val="000000"/>
                <w:sz w:val="16"/>
                <w:szCs w:val="16"/>
                <w:lang w:eastAsia="en-AU" w:bidi="ar-SA"/>
              </w:rPr>
              <w:t>Total</w:t>
            </w:r>
          </w:p>
        </w:tc>
        <w:tc>
          <w:tcPr>
            <w:tcW w:w="136" w:type="pct"/>
            <w:tcBorders>
              <w:top w:val="single" w:sz="4" w:space="0" w:color="auto"/>
            </w:tcBorders>
            <w:textDirection w:val="btLr"/>
            <w:vAlign w:val="bottom"/>
          </w:tcPr>
          <w:p w:rsidR="0022069A" w:rsidRPr="00911315" w:rsidRDefault="0022069A" w:rsidP="00C04728">
            <w:pPr>
              <w:keepNext/>
              <w:keepLines/>
              <w:spacing w:after="0" w:line="240" w:lineRule="auto"/>
              <w:ind w:left="113" w:right="113"/>
              <w:jc w:val="right"/>
              <w:rPr>
                <w:rFonts w:cs="Arial"/>
                <w:color w:val="000000"/>
                <w:sz w:val="16"/>
                <w:szCs w:val="16"/>
                <w:lang w:eastAsia="en-AU" w:bidi="ar-SA"/>
              </w:rPr>
            </w:pPr>
          </w:p>
        </w:tc>
        <w:tc>
          <w:tcPr>
            <w:tcW w:w="360" w:type="pct"/>
            <w:tcBorders>
              <w:top w:val="single" w:sz="4" w:space="0" w:color="auto"/>
              <w:bottom w:val="single" w:sz="4" w:space="0" w:color="auto"/>
            </w:tcBorders>
            <w:shd w:val="clear" w:color="auto" w:fill="auto"/>
            <w:textDirection w:val="btLr"/>
            <w:vAlign w:val="bottom"/>
            <w:hideMark/>
          </w:tcPr>
          <w:p w:rsidR="0022069A" w:rsidRPr="00911315" w:rsidRDefault="0022069A" w:rsidP="00C04728">
            <w:pPr>
              <w:keepNext/>
              <w:keepLines/>
              <w:spacing w:after="0" w:line="240" w:lineRule="auto"/>
              <w:ind w:left="113" w:right="113"/>
              <w:jc w:val="right"/>
              <w:rPr>
                <w:rFonts w:cs="Arial"/>
                <w:color w:val="000000"/>
                <w:sz w:val="16"/>
                <w:szCs w:val="16"/>
                <w:lang w:eastAsia="en-AU" w:bidi="ar-SA"/>
              </w:rPr>
            </w:pPr>
            <w:r w:rsidRPr="00911315">
              <w:rPr>
                <w:rFonts w:cs="Arial"/>
                <w:color w:val="000000"/>
                <w:sz w:val="16"/>
                <w:szCs w:val="16"/>
                <w:lang w:eastAsia="en-AU" w:bidi="ar-SA"/>
              </w:rPr>
              <w:t xml:space="preserve">Non </w:t>
            </w:r>
            <w:r w:rsidR="00D43D3B" w:rsidRPr="00911315">
              <w:rPr>
                <w:rFonts w:cs="Arial"/>
                <w:color w:val="000000"/>
                <w:sz w:val="16"/>
                <w:szCs w:val="16"/>
                <w:lang w:eastAsia="en-AU" w:bidi="ar-SA"/>
              </w:rPr>
              <w:t>-</w:t>
            </w:r>
            <w:r w:rsidRPr="00911315">
              <w:rPr>
                <w:rFonts w:cs="Arial"/>
                <w:color w:val="000000"/>
                <w:sz w:val="16"/>
                <w:szCs w:val="16"/>
                <w:lang w:eastAsia="en-AU" w:bidi="ar-SA"/>
              </w:rPr>
              <w:br/>
              <w:t>Indigenous</w:t>
            </w:r>
          </w:p>
        </w:tc>
        <w:tc>
          <w:tcPr>
            <w:tcW w:w="345" w:type="pct"/>
            <w:tcBorders>
              <w:top w:val="single" w:sz="4" w:space="0" w:color="auto"/>
              <w:bottom w:val="single" w:sz="4" w:space="0" w:color="auto"/>
            </w:tcBorders>
            <w:shd w:val="clear" w:color="auto" w:fill="auto"/>
            <w:textDirection w:val="btLr"/>
            <w:vAlign w:val="bottom"/>
            <w:hideMark/>
          </w:tcPr>
          <w:p w:rsidR="0022069A" w:rsidRPr="00911315" w:rsidRDefault="0022069A" w:rsidP="00C04728">
            <w:pPr>
              <w:keepNext/>
              <w:keepLines/>
              <w:spacing w:after="0" w:line="240" w:lineRule="auto"/>
              <w:ind w:left="113" w:right="113"/>
              <w:jc w:val="right"/>
              <w:rPr>
                <w:rFonts w:cs="Arial"/>
                <w:color w:val="000000"/>
                <w:sz w:val="16"/>
                <w:szCs w:val="16"/>
                <w:lang w:eastAsia="en-AU" w:bidi="ar-SA"/>
              </w:rPr>
            </w:pPr>
            <w:r w:rsidRPr="00911315">
              <w:rPr>
                <w:rFonts w:cs="Arial"/>
                <w:color w:val="000000"/>
                <w:sz w:val="16"/>
                <w:szCs w:val="16"/>
                <w:lang w:eastAsia="en-AU" w:bidi="ar-SA"/>
              </w:rPr>
              <w:t>Indigenous</w:t>
            </w:r>
          </w:p>
        </w:tc>
        <w:tc>
          <w:tcPr>
            <w:tcW w:w="334" w:type="pct"/>
            <w:tcBorders>
              <w:top w:val="single" w:sz="4" w:space="0" w:color="auto"/>
              <w:bottom w:val="single" w:sz="4" w:space="0" w:color="auto"/>
            </w:tcBorders>
            <w:shd w:val="clear" w:color="auto" w:fill="auto"/>
            <w:textDirection w:val="btLr"/>
            <w:vAlign w:val="bottom"/>
            <w:hideMark/>
          </w:tcPr>
          <w:p w:rsidR="0022069A" w:rsidRPr="00911315" w:rsidRDefault="0022069A" w:rsidP="00C04728">
            <w:pPr>
              <w:keepNext/>
              <w:keepLines/>
              <w:spacing w:after="0" w:line="240" w:lineRule="auto"/>
              <w:ind w:left="113" w:right="113"/>
              <w:jc w:val="right"/>
              <w:rPr>
                <w:rFonts w:cs="Arial"/>
                <w:color w:val="000000"/>
                <w:sz w:val="16"/>
                <w:szCs w:val="16"/>
                <w:lang w:eastAsia="en-AU" w:bidi="ar-SA"/>
              </w:rPr>
            </w:pPr>
            <w:r w:rsidRPr="00911315">
              <w:rPr>
                <w:rFonts w:cs="Arial"/>
                <w:color w:val="000000"/>
                <w:sz w:val="16"/>
                <w:szCs w:val="16"/>
                <w:lang w:eastAsia="en-AU" w:bidi="ar-SA"/>
              </w:rPr>
              <w:t>Total</w:t>
            </w:r>
          </w:p>
        </w:tc>
      </w:tr>
      <w:tr w:rsidR="0022069A" w:rsidRPr="00911315" w:rsidTr="00783DF8">
        <w:trPr>
          <w:trHeight w:val="300"/>
        </w:trPr>
        <w:tc>
          <w:tcPr>
            <w:tcW w:w="1312" w:type="pct"/>
            <w:vMerge/>
            <w:tcBorders>
              <w:bottom w:val="single" w:sz="4" w:space="0" w:color="auto"/>
            </w:tcBorders>
            <w:vAlign w:val="center"/>
            <w:hideMark/>
          </w:tcPr>
          <w:p w:rsidR="0022069A" w:rsidRPr="00911315" w:rsidRDefault="0022069A" w:rsidP="0022069A">
            <w:pPr>
              <w:keepNext/>
              <w:keepLines/>
              <w:spacing w:after="0" w:line="240" w:lineRule="auto"/>
              <w:ind w:left="0"/>
              <w:rPr>
                <w:rFonts w:cs="Arial"/>
                <w:color w:val="000000"/>
                <w:sz w:val="16"/>
                <w:szCs w:val="16"/>
                <w:lang w:eastAsia="en-AU" w:bidi="ar-SA"/>
              </w:rPr>
            </w:pPr>
          </w:p>
        </w:tc>
        <w:tc>
          <w:tcPr>
            <w:tcW w:w="1313" w:type="pct"/>
            <w:gridSpan w:val="3"/>
            <w:tcBorders>
              <w:top w:val="single" w:sz="4" w:space="0" w:color="auto"/>
              <w:bottom w:val="single" w:sz="4" w:space="0" w:color="auto"/>
            </w:tcBorders>
            <w:shd w:val="clear" w:color="auto" w:fill="auto"/>
            <w:hideMark/>
          </w:tcPr>
          <w:p w:rsidR="0022069A" w:rsidRPr="00911315" w:rsidRDefault="0022069A" w:rsidP="0022069A">
            <w:pPr>
              <w:keepNext/>
              <w:keepLines/>
              <w:spacing w:after="0" w:line="240" w:lineRule="auto"/>
              <w:ind w:left="0"/>
              <w:jc w:val="center"/>
              <w:rPr>
                <w:rFonts w:cs="Arial"/>
                <w:color w:val="000000"/>
                <w:sz w:val="16"/>
                <w:szCs w:val="16"/>
                <w:lang w:eastAsia="en-AU" w:bidi="ar-SA"/>
              </w:rPr>
            </w:pPr>
            <w:r w:rsidRPr="00911315">
              <w:rPr>
                <w:rFonts w:cs="Arial"/>
                <w:color w:val="000000"/>
                <w:sz w:val="16"/>
                <w:szCs w:val="16"/>
                <w:lang w:eastAsia="en-AU" w:bidi="ar-SA"/>
              </w:rPr>
              <w:t>Number</w:t>
            </w:r>
          </w:p>
        </w:tc>
        <w:tc>
          <w:tcPr>
            <w:tcW w:w="163" w:type="pct"/>
            <w:tcBorders>
              <w:bottom w:val="single" w:sz="4" w:space="0" w:color="auto"/>
            </w:tcBorders>
          </w:tcPr>
          <w:p w:rsidR="0022069A" w:rsidRPr="00911315" w:rsidRDefault="0022069A" w:rsidP="0022069A">
            <w:pPr>
              <w:keepNext/>
              <w:keepLines/>
              <w:spacing w:after="0" w:line="240" w:lineRule="auto"/>
              <w:ind w:left="0"/>
              <w:jc w:val="center"/>
              <w:rPr>
                <w:rFonts w:cs="Arial"/>
                <w:color w:val="000000"/>
                <w:sz w:val="16"/>
                <w:szCs w:val="16"/>
                <w:lang w:eastAsia="en-AU" w:bidi="ar-SA"/>
              </w:rPr>
            </w:pPr>
          </w:p>
        </w:tc>
        <w:tc>
          <w:tcPr>
            <w:tcW w:w="1036" w:type="pct"/>
            <w:gridSpan w:val="3"/>
            <w:tcBorders>
              <w:top w:val="single" w:sz="4" w:space="0" w:color="auto"/>
              <w:bottom w:val="single" w:sz="4" w:space="0" w:color="auto"/>
            </w:tcBorders>
            <w:shd w:val="clear" w:color="auto" w:fill="auto"/>
            <w:hideMark/>
          </w:tcPr>
          <w:p w:rsidR="0022069A" w:rsidRPr="00911315" w:rsidRDefault="0022069A" w:rsidP="0022069A">
            <w:pPr>
              <w:keepNext/>
              <w:keepLines/>
              <w:spacing w:after="0" w:line="240" w:lineRule="auto"/>
              <w:ind w:left="0"/>
              <w:jc w:val="center"/>
              <w:rPr>
                <w:rFonts w:cs="Arial"/>
                <w:color w:val="000000"/>
                <w:sz w:val="16"/>
                <w:szCs w:val="16"/>
                <w:lang w:eastAsia="en-AU" w:bidi="ar-SA"/>
              </w:rPr>
            </w:pPr>
            <w:r w:rsidRPr="00911315">
              <w:rPr>
                <w:rFonts w:cs="Arial"/>
                <w:color w:val="000000"/>
                <w:sz w:val="16"/>
                <w:szCs w:val="16"/>
                <w:lang w:eastAsia="en-AU" w:bidi="ar-SA"/>
              </w:rPr>
              <w:t>Column %</w:t>
            </w:r>
          </w:p>
        </w:tc>
        <w:tc>
          <w:tcPr>
            <w:tcW w:w="136" w:type="pct"/>
            <w:tcBorders>
              <w:bottom w:val="single" w:sz="4" w:space="0" w:color="auto"/>
            </w:tcBorders>
          </w:tcPr>
          <w:p w:rsidR="0022069A" w:rsidRPr="00911315" w:rsidRDefault="0022069A" w:rsidP="0022069A">
            <w:pPr>
              <w:keepNext/>
              <w:keepLines/>
              <w:spacing w:after="0" w:line="240" w:lineRule="auto"/>
              <w:ind w:left="0"/>
              <w:jc w:val="center"/>
              <w:rPr>
                <w:rFonts w:cs="Arial"/>
                <w:color w:val="000000"/>
                <w:sz w:val="16"/>
                <w:szCs w:val="16"/>
                <w:lang w:eastAsia="en-AU" w:bidi="ar-SA"/>
              </w:rPr>
            </w:pPr>
          </w:p>
        </w:tc>
        <w:tc>
          <w:tcPr>
            <w:tcW w:w="1039" w:type="pct"/>
            <w:gridSpan w:val="3"/>
            <w:tcBorders>
              <w:top w:val="single" w:sz="4" w:space="0" w:color="auto"/>
              <w:bottom w:val="single" w:sz="4" w:space="0" w:color="auto"/>
            </w:tcBorders>
            <w:shd w:val="clear" w:color="auto" w:fill="auto"/>
            <w:hideMark/>
          </w:tcPr>
          <w:p w:rsidR="0022069A" w:rsidRPr="00911315" w:rsidRDefault="0022069A" w:rsidP="0022069A">
            <w:pPr>
              <w:keepNext/>
              <w:keepLines/>
              <w:spacing w:after="0" w:line="240" w:lineRule="auto"/>
              <w:ind w:left="0"/>
              <w:jc w:val="center"/>
              <w:rPr>
                <w:rFonts w:cs="Arial"/>
                <w:color w:val="000000"/>
                <w:sz w:val="16"/>
                <w:szCs w:val="16"/>
                <w:lang w:eastAsia="en-AU" w:bidi="ar-SA"/>
              </w:rPr>
            </w:pPr>
            <w:r w:rsidRPr="00911315">
              <w:rPr>
                <w:rFonts w:cs="Arial"/>
                <w:color w:val="000000"/>
                <w:sz w:val="16"/>
                <w:szCs w:val="16"/>
                <w:lang w:eastAsia="en-AU" w:bidi="ar-SA"/>
              </w:rPr>
              <w:t>Row %</w:t>
            </w:r>
          </w:p>
        </w:tc>
      </w:tr>
      <w:tr w:rsidR="008749C8" w:rsidRPr="00911315" w:rsidTr="00783DF8">
        <w:trPr>
          <w:trHeight w:val="300"/>
        </w:trPr>
        <w:tc>
          <w:tcPr>
            <w:tcW w:w="1312" w:type="pct"/>
            <w:tcBorders>
              <w:top w:val="single" w:sz="4" w:space="0" w:color="auto"/>
            </w:tcBorders>
            <w:shd w:val="clear" w:color="auto" w:fill="auto"/>
            <w:tcMar>
              <w:left w:w="0" w:type="dxa"/>
              <w:right w:w="0" w:type="dxa"/>
            </w:tcMar>
            <w:vAlign w:val="bottom"/>
            <w:hideMark/>
          </w:tcPr>
          <w:p w:rsidR="0022069A" w:rsidRPr="00911315" w:rsidRDefault="0022069A" w:rsidP="0022069A">
            <w:pPr>
              <w:keepNext/>
              <w:keepLines/>
              <w:spacing w:after="0" w:line="240" w:lineRule="auto"/>
              <w:ind w:left="284" w:hanging="284"/>
              <w:jc w:val="left"/>
              <w:rPr>
                <w:rFonts w:cs="Arial"/>
                <w:color w:val="000000"/>
                <w:sz w:val="16"/>
                <w:szCs w:val="16"/>
                <w:lang w:eastAsia="en-AU" w:bidi="ar-SA"/>
              </w:rPr>
            </w:pPr>
            <w:r w:rsidRPr="00911315">
              <w:rPr>
                <w:rFonts w:cs="Arial"/>
                <w:color w:val="000000"/>
                <w:sz w:val="16"/>
                <w:szCs w:val="16"/>
                <w:lang w:eastAsia="en-AU" w:bidi="ar-SA"/>
              </w:rPr>
              <w:t xml:space="preserve">Abstudy </w:t>
            </w:r>
          </w:p>
        </w:tc>
        <w:tc>
          <w:tcPr>
            <w:tcW w:w="390" w:type="pct"/>
            <w:tcBorders>
              <w:top w:val="single" w:sz="4" w:space="0" w:color="auto"/>
            </w:tcBorders>
            <w:shd w:val="clear" w:color="auto" w:fill="auto"/>
            <w:vAlign w:val="bottom"/>
            <w:hideMark/>
          </w:tcPr>
          <w:p w:rsidR="0022069A" w:rsidRPr="00911315" w:rsidRDefault="00136CFE"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511" w:type="pct"/>
            <w:tcBorders>
              <w:top w:val="single" w:sz="4" w:space="0" w:color="auto"/>
            </w:tcBorders>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r w:rsidR="00136CFE" w:rsidRPr="00911315">
              <w:rPr>
                <w:rFonts w:cs="Arial"/>
                <w:color w:val="000000"/>
                <w:sz w:val="16"/>
                <w:szCs w:val="16"/>
                <w:lang w:eastAsia="en-AU" w:bidi="ar-SA"/>
              </w:rPr>
              <w:t>5</w:t>
            </w:r>
          </w:p>
        </w:tc>
        <w:tc>
          <w:tcPr>
            <w:tcW w:w="412" w:type="pct"/>
            <w:tcBorders>
              <w:top w:val="single" w:sz="4" w:space="0" w:color="auto"/>
            </w:tcBorders>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35</w:t>
            </w:r>
          </w:p>
        </w:tc>
        <w:tc>
          <w:tcPr>
            <w:tcW w:w="163" w:type="pct"/>
            <w:tcBorders>
              <w:top w:val="single" w:sz="4" w:space="0" w:color="auto"/>
            </w:tcBorders>
            <w:vAlign w:val="bottom"/>
          </w:tcPr>
          <w:p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tcBorders>
              <w:top w:val="single" w:sz="4" w:space="0" w:color="auto"/>
            </w:tcBorders>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26" w:type="pct"/>
            <w:tcBorders>
              <w:top w:val="single" w:sz="4" w:space="0" w:color="auto"/>
            </w:tcBorders>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50" w:type="pct"/>
            <w:tcBorders>
              <w:top w:val="single" w:sz="4" w:space="0" w:color="auto"/>
            </w:tcBorders>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136" w:type="pct"/>
            <w:tcBorders>
              <w:top w:val="single" w:sz="4" w:space="0" w:color="auto"/>
            </w:tcBorders>
            <w:vAlign w:val="bottom"/>
          </w:tcPr>
          <w:p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tcBorders>
              <w:top w:val="single" w:sz="4" w:space="0" w:color="auto"/>
            </w:tcBorders>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p>
        </w:tc>
        <w:tc>
          <w:tcPr>
            <w:tcW w:w="345" w:type="pct"/>
            <w:tcBorders>
              <w:top w:val="single" w:sz="4" w:space="0" w:color="auto"/>
            </w:tcBorders>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97</w:t>
            </w:r>
          </w:p>
        </w:tc>
        <w:tc>
          <w:tcPr>
            <w:tcW w:w="334" w:type="pct"/>
            <w:tcBorders>
              <w:top w:val="single" w:sz="4" w:space="0" w:color="auto"/>
            </w:tcBorders>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8749C8" w:rsidRPr="00911315" w:rsidTr="00783DF8">
        <w:trPr>
          <w:trHeight w:val="300"/>
        </w:trPr>
        <w:tc>
          <w:tcPr>
            <w:tcW w:w="1312" w:type="pct"/>
            <w:shd w:val="clear" w:color="auto" w:fill="auto"/>
            <w:tcMar>
              <w:left w:w="0" w:type="dxa"/>
              <w:right w:w="0" w:type="dxa"/>
            </w:tcMar>
            <w:vAlign w:val="bottom"/>
            <w:hideMark/>
          </w:tcPr>
          <w:p w:rsidR="0022069A" w:rsidRPr="00911315" w:rsidRDefault="0022069A" w:rsidP="0022069A">
            <w:pPr>
              <w:keepNext/>
              <w:keepLines/>
              <w:spacing w:after="0" w:line="240" w:lineRule="auto"/>
              <w:ind w:left="284" w:hanging="284"/>
              <w:jc w:val="left"/>
              <w:rPr>
                <w:rFonts w:cs="Arial"/>
                <w:color w:val="000000"/>
                <w:sz w:val="16"/>
                <w:szCs w:val="16"/>
                <w:lang w:eastAsia="en-AU" w:bidi="ar-SA"/>
              </w:rPr>
            </w:pPr>
            <w:r w:rsidRPr="00911315">
              <w:rPr>
                <w:rFonts w:cs="Arial"/>
                <w:color w:val="000000"/>
                <w:sz w:val="16"/>
                <w:szCs w:val="16"/>
                <w:lang w:eastAsia="en-AU" w:bidi="ar-SA"/>
              </w:rPr>
              <w:t>Age Pension</w:t>
            </w:r>
          </w:p>
        </w:tc>
        <w:tc>
          <w:tcPr>
            <w:tcW w:w="390"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r w:rsidR="00136CFE" w:rsidRPr="00911315">
              <w:rPr>
                <w:rFonts w:cs="Arial"/>
                <w:color w:val="000000"/>
                <w:sz w:val="16"/>
                <w:szCs w:val="16"/>
                <w:lang w:eastAsia="en-AU" w:bidi="ar-SA"/>
              </w:rPr>
              <w:t>5</w:t>
            </w:r>
          </w:p>
        </w:tc>
        <w:tc>
          <w:tcPr>
            <w:tcW w:w="511" w:type="pct"/>
            <w:shd w:val="clear" w:color="auto" w:fill="auto"/>
            <w:vAlign w:val="bottom"/>
            <w:hideMark/>
          </w:tcPr>
          <w:p w:rsidR="0022069A" w:rsidRPr="00911315" w:rsidRDefault="00136CFE" w:rsidP="00136CFE">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829</w:t>
            </w:r>
          </w:p>
        </w:tc>
        <w:tc>
          <w:tcPr>
            <w:tcW w:w="412"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844</w:t>
            </w:r>
          </w:p>
        </w:tc>
        <w:tc>
          <w:tcPr>
            <w:tcW w:w="163" w:type="pct"/>
            <w:vAlign w:val="bottom"/>
          </w:tcPr>
          <w:p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p>
        </w:tc>
        <w:tc>
          <w:tcPr>
            <w:tcW w:w="326"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6</w:t>
            </w:r>
          </w:p>
        </w:tc>
        <w:tc>
          <w:tcPr>
            <w:tcW w:w="350"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5</w:t>
            </w:r>
          </w:p>
        </w:tc>
        <w:tc>
          <w:tcPr>
            <w:tcW w:w="136" w:type="pct"/>
            <w:vAlign w:val="bottom"/>
          </w:tcPr>
          <w:p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p>
        </w:tc>
        <w:tc>
          <w:tcPr>
            <w:tcW w:w="345"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98</w:t>
            </w:r>
          </w:p>
        </w:tc>
        <w:tc>
          <w:tcPr>
            <w:tcW w:w="334"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8749C8" w:rsidRPr="00911315" w:rsidTr="00783DF8">
        <w:trPr>
          <w:trHeight w:val="300"/>
        </w:trPr>
        <w:tc>
          <w:tcPr>
            <w:tcW w:w="1312" w:type="pct"/>
            <w:shd w:val="clear" w:color="auto" w:fill="auto"/>
            <w:tcMar>
              <w:left w:w="0" w:type="dxa"/>
              <w:right w:w="0" w:type="dxa"/>
            </w:tcMar>
            <w:vAlign w:val="bottom"/>
            <w:hideMark/>
          </w:tcPr>
          <w:p w:rsidR="0022069A" w:rsidRPr="00911315" w:rsidRDefault="0022069A" w:rsidP="0022069A">
            <w:pPr>
              <w:keepNext/>
              <w:keepLines/>
              <w:spacing w:after="0" w:line="240" w:lineRule="auto"/>
              <w:ind w:left="284" w:hanging="284"/>
              <w:jc w:val="left"/>
              <w:rPr>
                <w:rFonts w:cs="Arial"/>
                <w:color w:val="000000"/>
                <w:sz w:val="16"/>
                <w:szCs w:val="16"/>
                <w:lang w:eastAsia="en-AU" w:bidi="ar-SA"/>
              </w:rPr>
            </w:pPr>
            <w:r w:rsidRPr="00911315">
              <w:rPr>
                <w:rFonts w:cs="Arial"/>
                <w:color w:val="000000"/>
                <w:sz w:val="16"/>
                <w:szCs w:val="16"/>
                <w:lang w:eastAsia="en-AU" w:bidi="ar-SA"/>
              </w:rPr>
              <w:t>Austudy</w:t>
            </w:r>
          </w:p>
        </w:tc>
        <w:tc>
          <w:tcPr>
            <w:tcW w:w="390" w:type="pct"/>
            <w:shd w:val="clear" w:color="auto" w:fill="auto"/>
            <w:vAlign w:val="bottom"/>
            <w:hideMark/>
          </w:tcPr>
          <w:p w:rsidR="0022069A" w:rsidRPr="00911315" w:rsidRDefault="0022069A" w:rsidP="0022069A">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119</w:t>
            </w:r>
          </w:p>
        </w:tc>
        <w:tc>
          <w:tcPr>
            <w:tcW w:w="511" w:type="pct"/>
            <w:shd w:val="clear" w:color="auto" w:fill="auto"/>
            <w:vAlign w:val="bottom"/>
            <w:hideMark/>
          </w:tcPr>
          <w:p w:rsidR="0022069A" w:rsidRPr="00911315" w:rsidRDefault="00F17549" w:rsidP="0022069A">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412" w:type="pct"/>
            <w:shd w:val="clear" w:color="auto" w:fill="auto"/>
            <w:vAlign w:val="bottom"/>
            <w:hideMark/>
          </w:tcPr>
          <w:p w:rsidR="0022069A" w:rsidRPr="00911315" w:rsidRDefault="0022069A" w:rsidP="0022069A">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119</w:t>
            </w:r>
          </w:p>
        </w:tc>
        <w:tc>
          <w:tcPr>
            <w:tcW w:w="163" w:type="pct"/>
            <w:vAlign w:val="bottom"/>
          </w:tcPr>
          <w:p w:rsidR="0022069A" w:rsidRPr="00911315" w:rsidRDefault="0022069A" w:rsidP="0022069A">
            <w:pPr>
              <w:keepNext/>
              <w:keepLines/>
              <w:spacing w:after="0" w:line="240" w:lineRule="auto"/>
              <w:ind w:left="0"/>
              <w:jc w:val="right"/>
              <w:rPr>
                <w:rFonts w:cs="Arial"/>
                <w:color w:val="000000"/>
                <w:sz w:val="16"/>
                <w:szCs w:val="16"/>
                <w:lang w:eastAsia="en-AU" w:bidi="ar-SA"/>
              </w:rPr>
            </w:pPr>
          </w:p>
        </w:tc>
        <w:tc>
          <w:tcPr>
            <w:tcW w:w="360" w:type="pct"/>
            <w:shd w:val="clear" w:color="auto" w:fill="auto"/>
            <w:vAlign w:val="bottom"/>
            <w:hideMark/>
          </w:tcPr>
          <w:p w:rsidR="0022069A" w:rsidRPr="00911315" w:rsidRDefault="0022069A" w:rsidP="0022069A">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p>
        </w:tc>
        <w:tc>
          <w:tcPr>
            <w:tcW w:w="326" w:type="pct"/>
            <w:shd w:val="clear" w:color="auto" w:fill="auto"/>
            <w:vAlign w:val="bottom"/>
            <w:hideMark/>
          </w:tcPr>
          <w:p w:rsidR="0022069A" w:rsidRPr="00911315" w:rsidRDefault="00F17549" w:rsidP="0022069A">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50" w:type="pct"/>
            <w:shd w:val="clear" w:color="auto" w:fill="auto"/>
            <w:vAlign w:val="bottom"/>
            <w:hideMark/>
          </w:tcPr>
          <w:p w:rsidR="0022069A" w:rsidRPr="00911315" w:rsidRDefault="0022069A" w:rsidP="0022069A">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136" w:type="pct"/>
            <w:vAlign w:val="bottom"/>
          </w:tcPr>
          <w:p w:rsidR="0022069A" w:rsidRPr="00911315" w:rsidRDefault="0022069A" w:rsidP="0022069A">
            <w:pPr>
              <w:keepNext/>
              <w:keepLines/>
              <w:spacing w:after="0" w:line="240" w:lineRule="auto"/>
              <w:ind w:left="0"/>
              <w:jc w:val="right"/>
              <w:rPr>
                <w:rFonts w:cs="Arial"/>
                <w:color w:val="000000"/>
                <w:sz w:val="16"/>
                <w:szCs w:val="16"/>
                <w:lang w:eastAsia="en-AU" w:bidi="ar-SA"/>
              </w:rPr>
            </w:pPr>
          </w:p>
        </w:tc>
        <w:tc>
          <w:tcPr>
            <w:tcW w:w="360" w:type="pct"/>
            <w:shd w:val="clear" w:color="auto" w:fill="auto"/>
            <w:vAlign w:val="bottom"/>
            <w:hideMark/>
          </w:tcPr>
          <w:p w:rsidR="0022069A" w:rsidRPr="00911315" w:rsidRDefault="0022069A" w:rsidP="0022069A">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c>
          <w:tcPr>
            <w:tcW w:w="345" w:type="pct"/>
            <w:shd w:val="clear" w:color="auto" w:fill="auto"/>
            <w:vAlign w:val="bottom"/>
            <w:hideMark/>
          </w:tcPr>
          <w:p w:rsidR="0022069A" w:rsidRPr="00911315" w:rsidRDefault="00F17549" w:rsidP="0022069A">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34" w:type="pct"/>
            <w:shd w:val="clear" w:color="auto" w:fill="auto"/>
            <w:vAlign w:val="bottom"/>
            <w:hideMark/>
          </w:tcPr>
          <w:p w:rsidR="0022069A" w:rsidRPr="00911315" w:rsidRDefault="0022069A" w:rsidP="0022069A">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8749C8" w:rsidRPr="00911315" w:rsidTr="00783DF8">
        <w:trPr>
          <w:trHeight w:val="300"/>
        </w:trPr>
        <w:tc>
          <w:tcPr>
            <w:tcW w:w="1312" w:type="pct"/>
            <w:shd w:val="clear" w:color="auto" w:fill="auto"/>
            <w:tcMar>
              <w:left w:w="0" w:type="dxa"/>
              <w:right w:w="0" w:type="dxa"/>
            </w:tcMar>
            <w:vAlign w:val="bottom"/>
            <w:hideMark/>
          </w:tcPr>
          <w:p w:rsidR="0022069A" w:rsidRPr="00911315" w:rsidRDefault="0022069A" w:rsidP="00F17549">
            <w:pPr>
              <w:keepNext/>
              <w:keepLines/>
              <w:spacing w:after="0" w:line="240" w:lineRule="auto"/>
              <w:ind w:left="284" w:hanging="284"/>
              <w:jc w:val="left"/>
              <w:rPr>
                <w:rFonts w:cs="Arial"/>
                <w:color w:val="000000"/>
                <w:sz w:val="16"/>
                <w:szCs w:val="16"/>
                <w:lang w:eastAsia="en-AU" w:bidi="ar-SA"/>
              </w:rPr>
            </w:pPr>
            <w:r w:rsidRPr="00911315">
              <w:rPr>
                <w:rFonts w:cs="Arial"/>
                <w:color w:val="000000"/>
                <w:sz w:val="16"/>
                <w:szCs w:val="16"/>
                <w:lang w:eastAsia="en-AU" w:bidi="ar-SA"/>
              </w:rPr>
              <w:t xml:space="preserve">Carer </w:t>
            </w:r>
            <w:r w:rsidR="00F17549" w:rsidRPr="00911315">
              <w:rPr>
                <w:rFonts w:cs="Arial"/>
                <w:color w:val="000000"/>
                <w:sz w:val="16"/>
                <w:szCs w:val="16"/>
                <w:lang w:eastAsia="en-AU" w:bidi="ar-SA"/>
              </w:rPr>
              <w:t>Payment</w:t>
            </w:r>
          </w:p>
        </w:tc>
        <w:tc>
          <w:tcPr>
            <w:tcW w:w="390"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p>
        </w:tc>
        <w:tc>
          <w:tcPr>
            <w:tcW w:w="511"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215</w:t>
            </w:r>
          </w:p>
        </w:tc>
        <w:tc>
          <w:tcPr>
            <w:tcW w:w="412"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218</w:t>
            </w:r>
          </w:p>
        </w:tc>
        <w:tc>
          <w:tcPr>
            <w:tcW w:w="163" w:type="pct"/>
            <w:vAlign w:val="bottom"/>
          </w:tcPr>
          <w:p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26"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p>
        </w:tc>
        <w:tc>
          <w:tcPr>
            <w:tcW w:w="350"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p>
        </w:tc>
        <w:tc>
          <w:tcPr>
            <w:tcW w:w="136" w:type="pct"/>
            <w:vAlign w:val="bottom"/>
          </w:tcPr>
          <w:p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p>
        </w:tc>
        <w:tc>
          <w:tcPr>
            <w:tcW w:w="345"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99</w:t>
            </w:r>
          </w:p>
        </w:tc>
        <w:tc>
          <w:tcPr>
            <w:tcW w:w="334"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8749C8" w:rsidRPr="00911315" w:rsidTr="00783DF8">
        <w:trPr>
          <w:trHeight w:val="300"/>
        </w:trPr>
        <w:tc>
          <w:tcPr>
            <w:tcW w:w="1312" w:type="pct"/>
            <w:shd w:val="clear" w:color="auto" w:fill="auto"/>
            <w:tcMar>
              <w:left w:w="0" w:type="dxa"/>
              <w:right w:w="0" w:type="dxa"/>
            </w:tcMar>
            <w:vAlign w:val="bottom"/>
            <w:hideMark/>
          </w:tcPr>
          <w:p w:rsidR="0022069A" w:rsidRPr="00911315" w:rsidRDefault="0022069A" w:rsidP="0022069A">
            <w:pPr>
              <w:keepNext/>
              <w:keepLines/>
              <w:spacing w:after="0" w:line="240" w:lineRule="auto"/>
              <w:ind w:left="284" w:hanging="284"/>
              <w:jc w:val="left"/>
              <w:rPr>
                <w:rFonts w:cs="Arial"/>
                <w:color w:val="000000"/>
                <w:sz w:val="16"/>
                <w:szCs w:val="16"/>
                <w:lang w:eastAsia="en-AU" w:bidi="ar-SA"/>
              </w:rPr>
            </w:pPr>
            <w:r w:rsidRPr="00911315">
              <w:rPr>
                <w:rFonts w:cs="Arial"/>
                <w:color w:val="000000"/>
                <w:sz w:val="16"/>
                <w:szCs w:val="16"/>
                <w:lang w:eastAsia="en-AU" w:bidi="ar-SA"/>
              </w:rPr>
              <w:t>Disability Support Pension</w:t>
            </w:r>
          </w:p>
        </w:tc>
        <w:tc>
          <w:tcPr>
            <w:tcW w:w="390"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41</w:t>
            </w:r>
          </w:p>
        </w:tc>
        <w:tc>
          <w:tcPr>
            <w:tcW w:w="511" w:type="pct"/>
            <w:shd w:val="clear" w:color="auto" w:fill="auto"/>
            <w:vAlign w:val="bottom"/>
            <w:hideMark/>
          </w:tcPr>
          <w:p w:rsidR="0022069A" w:rsidRPr="00911315" w:rsidRDefault="0022069A" w:rsidP="00D43D3B">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1B4FC7" w:rsidRPr="00911315">
              <w:rPr>
                <w:rFonts w:cs="Arial"/>
                <w:color w:val="000000"/>
                <w:sz w:val="16"/>
                <w:szCs w:val="16"/>
                <w:lang w:eastAsia="en-AU" w:bidi="ar-SA"/>
              </w:rPr>
              <w:t> </w:t>
            </w:r>
            <w:r w:rsidRPr="00911315">
              <w:rPr>
                <w:rFonts w:cs="Arial"/>
                <w:color w:val="000000"/>
                <w:sz w:val="16"/>
                <w:szCs w:val="16"/>
                <w:lang w:eastAsia="en-AU" w:bidi="ar-SA"/>
              </w:rPr>
              <w:t>994</w:t>
            </w:r>
          </w:p>
        </w:tc>
        <w:tc>
          <w:tcPr>
            <w:tcW w:w="412" w:type="pct"/>
            <w:shd w:val="clear" w:color="auto" w:fill="auto"/>
            <w:vAlign w:val="bottom"/>
            <w:hideMark/>
          </w:tcPr>
          <w:p w:rsidR="0022069A" w:rsidRPr="00911315" w:rsidRDefault="0022069A" w:rsidP="00D43D3B">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r w:rsidR="001B4FC7" w:rsidRPr="00911315">
              <w:rPr>
                <w:rFonts w:cs="Arial"/>
                <w:color w:val="000000"/>
                <w:sz w:val="16"/>
                <w:szCs w:val="16"/>
                <w:lang w:eastAsia="en-AU" w:bidi="ar-SA"/>
              </w:rPr>
              <w:t> </w:t>
            </w:r>
            <w:r w:rsidRPr="00911315">
              <w:rPr>
                <w:rFonts w:cs="Arial"/>
                <w:color w:val="000000"/>
                <w:sz w:val="16"/>
                <w:szCs w:val="16"/>
                <w:lang w:eastAsia="en-AU" w:bidi="ar-SA"/>
              </w:rPr>
              <w:t>035</w:t>
            </w:r>
          </w:p>
        </w:tc>
        <w:tc>
          <w:tcPr>
            <w:tcW w:w="163" w:type="pct"/>
            <w:vAlign w:val="bottom"/>
          </w:tcPr>
          <w:p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p>
        </w:tc>
        <w:tc>
          <w:tcPr>
            <w:tcW w:w="326"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20</w:t>
            </w:r>
          </w:p>
        </w:tc>
        <w:tc>
          <w:tcPr>
            <w:tcW w:w="350"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19</w:t>
            </w:r>
          </w:p>
        </w:tc>
        <w:tc>
          <w:tcPr>
            <w:tcW w:w="136" w:type="pct"/>
            <w:vAlign w:val="bottom"/>
          </w:tcPr>
          <w:p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p>
        </w:tc>
        <w:tc>
          <w:tcPr>
            <w:tcW w:w="345"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99</w:t>
            </w:r>
          </w:p>
        </w:tc>
        <w:tc>
          <w:tcPr>
            <w:tcW w:w="334"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8749C8" w:rsidRPr="00911315" w:rsidTr="00783DF8">
        <w:trPr>
          <w:trHeight w:val="300"/>
        </w:trPr>
        <w:tc>
          <w:tcPr>
            <w:tcW w:w="1312" w:type="pct"/>
            <w:shd w:val="clear" w:color="auto" w:fill="auto"/>
            <w:tcMar>
              <w:left w:w="0" w:type="dxa"/>
              <w:right w:w="0" w:type="dxa"/>
            </w:tcMar>
            <w:vAlign w:val="bottom"/>
            <w:hideMark/>
          </w:tcPr>
          <w:p w:rsidR="0022069A" w:rsidRPr="00911315" w:rsidRDefault="0022069A" w:rsidP="0022069A">
            <w:pPr>
              <w:keepNext/>
              <w:keepLines/>
              <w:spacing w:after="0" w:line="240" w:lineRule="auto"/>
              <w:ind w:left="284" w:hanging="284"/>
              <w:jc w:val="left"/>
              <w:rPr>
                <w:rFonts w:cs="Arial"/>
                <w:color w:val="000000"/>
                <w:sz w:val="16"/>
                <w:szCs w:val="16"/>
                <w:lang w:eastAsia="en-AU" w:bidi="ar-SA"/>
              </w:rPr>
            </w:pPr>
            <w:r w:rsidRPr="00911315">
              <w:rPr>
                <w:rFonts w:cs="Arial"/>
                <w:color w:val="000000"/>
                <w:sz w:val="16"/>
                <w:szCs w:val="16"/>
                <w:lang w:eastAsia="en-AU" w:bidi="ar-SA"/>
              </w:rPr>
              <w:t>New Start Allowance</w:t>
            </w:r>
          </w:p>
        </w:tc>
        <w:tc>
          <w:tcPr>
            <w:tcW w:w="390"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804</w:t>
            </w:r>
          </w:p>
        </w:tc>
        <w:tc>
          <w:tcPr>
            <w:tcW w:w="511" w:type="pct"/>
            <w:shd w:val="clear" w:color="auto" w:fill="auto"/>
            <w:vAlign w:val="bottom"/>
            <w:hideMark/>
          </w:tcPr>
          <w:p w:rsidR="0022069A" w:rsidRPr="00911315" w:rsidRDefault="0022069A" w:rsidP="00D43D3B">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5</w:t>
            </w:r>
            <w:r w:rsidR="001B4FC7" w:rsidRPr="00911315">
              <w:rPr>
                <w:rFonts w:cs="Arial"/>
                <w:color w:val="000000"/>
                <w:sz w:val="16"/>
                <w:szCs w:val="16"/>
                <w:lang w:eastAsia="en-AU" w:bidi="ar-SA"/>
              </w:rPr>
              <w:t> </w:t>
            </w:r>
            <w:r w:rsidRPr="00911315">
              <w:rPr>
                <w:rFonts w:cs="Arial"/>
                <w:color w:val="000000"/>
                <w:sz w:val="16"/>
                <w:szCs w:val="16"/>
                <w:lang w:eastAsia="en-AU" w:bidi="ar-SA"/>
              </w:rPr>
              <w:t>692</w:t>
            </w:r>
          </w:p>
        </w:tc>
        <w:tc>
          <w:tcPr>
            <w:tcW w:w="412" w:type="pct"/>
            <w:shd w:val="clear" w:color="auto" w:fill="auto"/>
            <w:vAlign w:val="bottom"/>
            <w:hideMark/>
          </w:tcPr>
          <w:p w:rsidR="0022069A" w:rsidRPr="00911315" w:rsidRDefault="0022069A" w:rsidP="00D43D3B">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6</w:t>
            </w:r>
            <w:r w:rsidR="001B4FC7" w:rsidRPr="00911315">
              <w:rPr>
                <w:rFonts w:cs="Arial"/>
                <w:color w:val="000000"/>
                <w:sz w:val="16"/>
                <w:szCs w:val="16"/>
                <w:lang w:eastAsia="en-AU" w:bidi="ar-SA"/>
              </w:rPr>
              <w:t> </w:t>
            </w:r>
            <w:r w:rsidRPr="00911315">
              <w:rPr>
                <w:rFonts w:cs="Arial"/>
                <w:color w:val="000000"/>
                <w:sz w:val="16"/>
                <w:szCs w:val="16"/>
                <w:lang w:eastAsia="en-AU" w:bidi="ar-SA"/>
              </w:rPr>
              <w:t>496</w:t>
            </w:r>
          </w:p>
        </w:tc>
        <w:tc>
          <w:tcPr>
            <w:tcW w:w="163" w:type="pct"/>
            <w:vAlign w:val="bottom"/>
          </w:tcPr>
          <w:p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55</w:t>
            </w:r>
          </w:p>
        </w:tc>
        <w:tc>
          <w:tcPr>
            <w:tcW w:w="326"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38</w:t>
            </w:r>
          </w:p>
        </w:tc>
        <w:tc>
          <w:tcPr>
            <w:tcW w:w="350"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40</w:t>
            </w:r>
          </w:p>
        </w:tc>
        <w:tc>
          <w:tcPr>
            <w:tcW w:w="136" w:type="pct"/>
            <w:vAlign w:val="bottom"/>
          </w:tcPr>
          <w:p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12</w:t>
            </w:r>
          </w:p>
        </w:tc>
        <w:tc>
          <w:tcPr>
            <w:tcW w:w="345"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88</w:t>
            </w:r>
          </w:p>
        </w:tc>
        <w:tc>
          <w:tcPr>
            <w:tcW w:w="334"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8749C8" w:rsidRPr="00911315" w:rsidTr="00783DF8">
        <w:trPr>
          <w:trHeight w:val="300"/>
        </w:trPr>
        <w:tc>
          <w:tcPr>
            <w:tcW w:w="1312" w:type="pct"/>
            <w:shd w:val="clear" w:color="auto" w:fill="auto"/>
            <w:tcMar>
              <w:left w:w="0" w:type="dxa"/>
              <w:right w:w="0" w:type="dxa"/>
            </w:tcMar>
            <w:vAlign w:val="bottom"/>
            <w:hideMark/>
          </w:tcPr>
          <w:p w:rsidR="0022069A" w:rsidRPr="00911315" w:rsidRDefault="0022069A" w:rsidP="0022069A">
            <w:pPr>
              <w:keepNext/>
              <w:keepLines/>
              <w:spacing w:after="0" w:line="240" w:lineRule="auto"/>
              <w:ind w:left="284" w:hanging="284"/>
              <w:jc w:val="left"/>
              <w:rPr>
                <w:rFonts w:cs="Arial"/>
                <w:color w:val="000000"/>
                <w:sz w:val="16"/>
                <w:szCs w:val="16"/>
                <w:lang w:eastAsia="en-AU" w:bidi="ar-SA"/>
              </w:rPr>
            </w:pPr>
            <w:r w:rsidRPr="00911315">
              <w:rPr>
                <w:rFonts w:cs="Arial"/>
                <w:color w:val="000000"/>
                <w:sz w:val="16"/>
                <w:szCs w:val="16"/>
                <w:lang w:eastAsia="en-AU" w:bidi="ar-SA"/>
              </w:rPr>
              <w:t>Parenting Payment Partnered</w:t>
            </w:r>
          </w:p>
        </w:tc>
        <w:tc>
          <w:tcPr>
            <w:tcW w:w="390"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106</w:t>
            </w:r>
          </w:p>
        </w:tc>
        <w:tc>
          <w:tcPr>
            <w:tcW w:w="511" w:type="pct"/>
            <w:shd w:val="clear" w:color="auto" w:fill="auto"/>
            <w:vAlign w:val="bottom"/>
            <w:hideMark/>
          </w:tcPr>
          <w:p w:rsidR="0022069A" w:rsidRPr="00911315" w:rsidRDefault="0022069A" w:rsidP="00D43D3B">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1B4FC7" w:rsidRPr="00911315">
              <w:rPr>
                <w:rFonts w:cs="Arial"/>
                <w:color w:val="000000"/>
                <w:sz w:val="16"/>
                <w:szCs w:val="16"/>
                <w:lang w:eastAsia="en-AU" w:bidi="ar-SA"/>
              </w:rPr>
              <w:t> </w:t>
            </w:r>
            <w:r w:rsidRPr="00911315">
              <w:rPr>
                <w:rFonts w:cs="Arial"/>
                <w:color w:val="000000"/>
                <w:sz w:val="16"/>
                <w:szCs w:val="16"/>
                <w:lang w:eastAsia="en-AU" w:bidi="ar-SA"/>
              </w:rPr>
              <w:t>156</w:t>
            </w:r>
          </w:p>
        </w:tc>
        <w:tc>
          <w:tcPr>
            <w:tcW w:w="412" w:type="pct"/>
            <w:shd w:val="clear" w:color="auto" w:fill="auto"/>
            <w:vAlign w:val="bottom"/>
            <w:hideMark/>
          </w:tcPr>
          <w:p w:rsidR="0022069A" w:rsidRPr="00911315" w:rsidRDefault="0022069A" w:rsidP="00D43D3B">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1B4FC7" w:rsidRPr="00911315">
              <w:rPr>
                <w:rFonts w:cs="Arial"/>
                <w:color w:val="000000"/>
                <w:sz w:val="16"/>
                <w:szCs w:val="16"/>
                <w:lang w:eastAsia="en-AU" w:bidi="ar-SA"/>
              </w:rPr>
              <w:t> </w:t>
            </w:r>
            <w:r w:rsidRPr="00911315">
              <w:rPr>
                <w:rFonts w:cs="Arial"/>
                <w:color w:val="000000"/>
                <w:sz w:val="16"/>
                <w:szCs w:val="16"/>
                <w:lang w:eastAsia="en-AU" w:bidi="ar-SA"/>
              </w:rPr>
              <w:t>262</w:t>
            </w:r>
          </w:p>
        </w:tc>
        <w:tc>
          <w:tcPr>
            <w:tcW w:w="163" w:type="pct"/>
            <w:vAlign w:val="bottom"/>
          </w:tcPr>
          <w:p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7</w:t>
            </w:r>
          </w:p>
        </w:tc>
        <w:tc>
          <w:tcPr>
            <w:tcW w:w="326"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14</w:t>
            </w:r>
          </w:p>
        </w:tc>
        <w:tc>
          <w:tcPr>
            <w:tcW w:w="350"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14</w:t>
            </w:r>
          </w:p>
        </w:tc>
        <w:tc>
          <w:tcPr>
            <w:tcW w:w="136" w:type="pct"/>
            <w:vAlign w:val="bottom"/>
          </w:tcPr>
          <w:p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5</w:t>
            </w:r>
          </w:p>
        </w:tc>
        <w:tc>
          <w:tcPr>
            <w:tcW w:w="345"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95</w:t>
            </w:r>
          </w:p>
        </w:tc>
        <w:tc>
          <w:tcPr>
            <w:tcW w:w="334"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8749C8" w:rsidRPr="00911315" w:rsidTr="00783DF8">
        <w:trPr>
          <w:trHeight w:val="300"/>
        </w:trPr>
        <w:tc>
          <w:tcPr>
            <w:tcW w:w="1312" w:type="pct"/>
            <w:shd w:val="clear" w:color="auto" w:fill="auto"/>
            <w:tcMar>
              <w:left w:w="0" w:type="dxa"/>
              <w:right w:w="0" w:type="dxa"/>
            </w:tcMar>
            <w:vAlign w:val="bottom"/>
            <w:hideMark/>
          </w:tcPr>
          <w:p w:rsidR="0022069A" w:rsidRPr="00911315" w:rsidRDefault="0022069A" w:rsidP="0022069A">
            <w:pPr>
              <w:keepNext/>
              <w:keepLines/>
              <w:spacing w:after="0" w:line="240" w:lineRule="auto"/>
              <w:ind w:left="284" w:hanging="284"/>
              <w:jc w:val="left"/>
              <w:rPr>
                <w:rFonts w:cs="Arial"/>
                <w:color w:val="000000"/>
                <w:sz w:val="16"/>
                <w:szCs w:val="16"/>
                <w:lang w:eastAsia="en-AU" w:bidi="ar-SA"/>
              </w:rPr>
            </w:pPr>
            <w:r w:rsidRPr="00911315">
              <w:rPr>
                <w:rFonts w:cs="Arial"/>
                <w:color w:val="000000"/>
                <w:sz w:val="16"/>
                <w:szCs w:val="16"/>
                <w:lang w:eastAsia="en-AU" w:bidi="ar-SA"/>
              </w:rPr>
              <w:t>Parenting Payment Single</w:t>
            </w:r>
          </w:p>
        </w:tc>
        <w:tc>
          <w:tcPr>
            <w:tcW w:w="390"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335</w:t>
            </w:r>
          </w:p>
        </w:tc>
        <w:tc>
          <w:tcPr>
            <w:tcW w:w="511" w:type="pct"/>
            <w:shd w:val="clear" w:color="auto" w:fill="auto"/>
            <w:vAlign w:val="bottom"/>
            <w:hideMark/>
          </w:tcPr>
          <w:p w:rsidR="0022069A" w:rsidRPr="00911315" w:rsidRDefault="0022069A" w:rsidP="00D43D3B">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r w:rsidR="001B4FC7" w:rsidRPr="00911315">
              <w:rPr>
                <w:rFonts w:cs="Arial"/>
                <w:color w:val="000000"/>
                <w:sz w:val="16"/>
                <w:szCs w:val="16"/>
                <w:lang w:eastAsia="en-AU" w:bidi="ar-SA"/>
              </w:rPr>
              <w:t> </w:t>
            </w:r>
            <w:r w:rsidRPr="00911315">
              <w:rPr>
                <w:rFonts w:cs="Arial"/>
                <w:color w:val="000000"/>
                <w:sz w:val="16"/>
                <w:szCs w:val="16"/>
                <w:lang w:eastAsia="en-AU" w:bidi="ar-SA"/>
              </w:rPr>
              <w:t>920</w:t>
            </w:r>
          </w:p>
        </w:tc>
        <w:tc>
          <w:tcPr>
            <w:tcW w:w="412" w:type="pct"/>
            <w:shd w:val="clear" w:color="auto" w:fill="auto"/>
            <w:vAlign w:val="bottom"/>
            <w:hideMark/>
          </w:tcPr>
          <w:p w:rsidR="0022069A" w:rsidRPr="00911315" w:rsidRDefault="0022069A" w:rsidP="00D43D3B">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1B4FC7" w:rsidRPr="00911315">
              <w:rPr>
                <w:rFonts w:cs="Arial"/>
                <w:color w:val="000000"/>
                <w:sz w:val="16"/>
                <w:szCs w:val="16"/>
                <w:lang w:eastAsia="en-AU" w:bidi="ar-SA"/>
              </w:rPr>
              <w:t> </w:t>
            </w:r>
            <w:r w:rsidRPr="00911315">
              <w:rPr>
                <w:rFonts w:cs="Arial"/>
                <w:color w:val="000000"/>
                <w:sz w:val="16"/>
                <w:szCs w:val="16"/>
                <w:lang w:eastAsia="en-AU" w:bidi="ar-SA"/>
              </w:rPr>
              <w:t>255</w:t>
            </w:r>
          </w:p>
        </w:tc>
        <w:tc>
          <w:tcPr>
            <w:tcW w:w="163" w:type="pct"/>
            <w:vAlign w:val="bottom"/>
          </w:tcPr>
          <w:p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23</w:t>
            </w:r>
          </w:p>
        </w:tc>
        <w:tc>
          <w:tcPr>
            <w:tcW w:w="326"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13</w:t>
            </w:r>
          </w:p>
        </w:tc>
        <w:tc>
          <w:tcPr>
            <w:tcW w:w="350"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14</w:t>
            </w:r>
          </w:p>
        </w:tc>
        <w:tc>
          <w:tcPr>
            <w:tcW w:w="136" w:type="pct"/>
            <w:vAlign w:val="bottom"/>
          </w:tcPr>
          <w:p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15</w:t>
            </w:r>
          </w:p>
        </w:tc>
        <w:tc>
          <w:tcPr>
            <w:tcW w:w="345"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85</w:t>
            </w:r>
          </w:p>
        </w:tc>
        <w:tc>
          <w:tcPr>
            <w:tcW w:w="334"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8749C8" w:rsidRPr="00911315" w:rsidTr="00783DF8">
        <w:trPr>
          <w:trHeight w:val="300"/>
        </w:trPr>
        <w:tc>
          <w:tcPr>
            <w:tcW w:w="1312" w:type="pct"/>
            <w:shd w:val="clear" w:color="auto" w:fill="auto"/>
            <w:tcMar>
              <w:left w:w="0" w:type="dxa"/>
              <w:right w:w="0" w:type="dxa"/>
            </w:tcMar>
            <w:vAlign w:val="bottom"/>
            <w:hideMark/>
          </w:tcPr>
          <w:p w:rsidR="0022069A" w:rsidRPr="00911315" w:rsidRDefault="0022069A" w:rsidP="0022069A">
            <w:pPr>
              <w:keepNext/>
              <w:keepLines/>
              <w:spacing w:after="0" w:line="240" w:lineRule="auto"/>
              <w:ind w:left="284" w:hanging="284"/>
              <w:jc w:val="left"/>
              <w:rPr>
                <w:rFonts w:cs="Arial"/>
                <w:color w:val="000000"/>
                <w:sz w:val="16"/>
                <w:szCs w:val="16"/>
                <w:lang w:eastAsia="en-AU" w:bidi="ar-SA"/>
              </w:rPr>
            </w:pPr>
            <w:r w:rsidRPr="00911315">
              <w:rPr>
                <w:rFonts w:cs="Arial"/>
                <w:color w:val="000000"/>
                <w:sz w:val="16"/>
                <w:szCs w:val="16"/>
                <w:lang w:eastAsia="en-AU" w:bidi="ar-SA"/>
              </w:rPr>
              <w:t>Special Benefit</w:t>
            </w:r>
          </w:p>
        </w:tc>
        <w:tc>
          <w:tcPr>
            <w:tcW w:w="390" w:type="pct"/>
            <w:shd w:val="clear" w:color="auto" w:fill="auto"/>
            <w:vAlign w:val="bottom"/>
            <w:hideMark/>
          </w:tcPr>
          <w:p w:rsidR="0022069A" w:rsidRPr="00911315" w:rsidRDefault="00136CFE"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4</w:t>
            </w:r>
          </w:p>
        </w:tc>
        <w:tc>
          <w:tcPr>
            <w:tcW w:w="511" w:type="pct"/>
            <w:shd w:val="clear" w:color="auto" w:fill="auto"/>
            <w:vAlign w:val="bottom"/>
            <w:hideMark/>
          </w:tcPr>
          <w:p w:rsidR="0022069A" w:rsidRPr="00911315" w:rsidRDefault="007337E1"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4</w:t>
            </w:r>
          </w:p>
        </w:tc>
        <w:tc>
          <w:tcPr>
            <w:tcW w:w="412"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8</w:t>
            </w:r>
          </w:p>
        </w:tc>
        <w:tc>
          <w:tcPr>
            <w:tcW w:w="163" w:type="pct"/>
            <w:vAlign w:val="bottom"/>
          </w:tcPr>
          <w:p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26"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50"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136" w:type="pct"/>
            <w:vAlign w:val="bottom"/>
          </w:tcPr>
          <w:p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75</w:t>
            </w:r>
          </w:p>
        </w:tc>
        <w:tc>
          <w:tcPr>
            <w:tcW w:w="345"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25</w:t>
            </w:r>
          </w:p>
        </w:tc>
        <w:tc>
          <w:tcPr>
            <w:tcW w:w="334"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8749C8" w:rsidRPr="00911315" w:rsidTr="00783DF8">
        <w:trPr>
          <w:trHeight w:val="300"/>
        </w:trPr>
        <w:tc>
          <w:tcPr>
            <w:tcW w:w="1312" w:type="pct"/>
            <w:shd w:val="clear" w:color="auto" w:fill="auto"/>
            <w:tcMar>
              <w:left w:w="0" w:type="dxa"/>
              <w:right w:w="0" w:type="dxa"/>
            </w:tcMar>
            <w:vAlign w:val="bottom"/>
            <w:hideMark/>
          </w:tcPr>
          <w:p w:rsidR="0022069A" w:rsidRPr="00911315" w:rsidRDefault="0022069A" w:rsidP="0022069A">
            <w:pPr>
              <w:keepNext/>
              <w:keepLines/>
              <w:spacing w:after="0" w:line="240" w:lineRule="auto"/>
              <w:ind w:left="284" w:hanging="284"/>
              <w:jc w:val="left"/>
              <w:rPr>
                <w:rFonts w:cs="Arial"/>
                <w:color w:val="000000"/>
                <w:sz w:val="16"/>
                <w:szCs w:val="16"/>
                <w:lang w:eastAsia="en-AU" w:bidi="ar-SA"/>
              </w:rPr>
            </w:pPr>
            <w:r w:rsidRPr="00911315">
              <w:rPr>
                <w:rFonts w:cs="Arial"/>
                <w:color w:val="000000"/>
                <w:sz w:val="16"/>
                <w:szCs w:val="16"/>
                <w:lang w:eastAsia="en-AU" w:bidi="ar-SA"/>
              </w:rPr>
              <w:t>Widowed Persons Allowance</w:t>
            </w:r>
          </w:p>
        </w:tc>
        <w:tc>
          <w:tcPr>
            <w:tcW w:w="390" w:type="pct"/>
            <w:shd w:val="clear" w:color="auto" w:fill="auto"/>
            <w:vAlign w:val="bottom"/>
            <w:hideMark/>
          </w:tcPr>
          <w:p w:rsidR="0022069A" w:rsidRPr="00911315" w:rsidRDefault="007337E1"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p>
        </w:tc>
        <w:tc>
          <w:tcPr>
            <w:tcW w:w="511" w:type="pct"/>
            <w:shd w:val="clear" w:color="auto" w:fill="auto"/>
            <w:vAlign w:val="bottom"/>
            <w:hideMark/>
          </w:tcPr>
          <w:p w:rsidR="0022069A" w:rsidRPr="00911315" w:rsidRDefault="007337E1"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38</w:t>
            </w:r>
          </w:p>
        </w:tc>
        <w:tc>
          <w:tcPr>
            <w:tcW w:w="412"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41</w:t>
            </w:r>
          </w:p>
        </w:tc>
        <w:tc>
          <w:tcPr>
            <w:tcW w:w="163" w:type="pct"/>
            <w:vAlign w:val="bottom"/>
          </w:tcPr>
          <w:p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26"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50"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136" w:type="pct"/>
            <w:vAlign w:val="bottom"/>
          </w:tcPr>
          <w:p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p>
        </w:tc>
        <w:tc>
          <w:tcPr>
            <w:tcW w:w="345"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98</w:t>
            </w:r>
          </w:p>
        </w:tc>
        <w:tc>
          <w:tcPr>
            <w:tcW w:w="334"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8749C8" w:rsidRPr="00911315" w:rsidTr="00783DF8">
        <w:trPr>
          <w:trHeight w:val="300"/>
        </w:trPr>
        <w:tc>
          <w:tcPr>
            <w:tcW w:w="1312" w:type="pct"/>
            <w:shd w:val="clear" w:color="auto" w:fill="auto"/>
            <w:tcMar>
              <w:left w:w="0" w:type="dxa"/>
              <w:right w:w="0" w:type="dxa"/>
            </w:tcMar>
            <w:vAlign w:val="bottom"/>
            <w:hideMark/>
          </w:tcPr>
          <w:p w:rsidR="0022069A" w:rsidRPr="00911315" w:rsidRDefault="0022069A" w:rsidP="0022069A">
            <w:pPr>
              <w:keepNext/>
              <w:keepLines/>
              <w:spacing w:after="0" w:line="240" w:lineRule="auto"/>
              <w:ind w:left="284" w:hanging="284"/>
              <w:jc w:val="left"/>
              <w:rPr>
                <w:rFonts w:cs="Arial"/>
                <w:color w:val="000000"/>
                <w:sz w:val="16"/>
                <w:szCs w:val="16"/>
                <w:lang w:eastAsia="en-AU" w:bidi="ar-SA"/>
              </w:rPr>
            </w:pPr>
            <w:r w:rsidRPr="00911315">
              <w:rPr>
                <w:rFonts w:cs="Arial"/>
                <w:color w:val="000000"/>
                <w:sz w:val="16"/>
                <w:szCs w:val="16"/>
                <w:lang w:eastAsia="en-AU" w:bidi="ar-SA"/>
              </w:rPr>
              <w:t xml:space="preserve">Youth Allowance </w:t>
            </w:r>
            <w:r w:rsidR="00F17549" w:rsidRPr="00911315">
              <w:rPr>
                <w:rFonts w:cs="Arial"/>
                <w:color w:val="000000"/>
                <w:sz w:val="16"/>
                <w:szCs w:val="16"/>
                <w:lang w:eastAsia="en-AU" w:bidi="ar-SA"/>
              </w:rPr>
              <w:t xml:space="preserve">- </w:t>
            </w:r>
            <w:r w:rsidRPr="00911315">
              <w:rPr>
                <w:rFonts w:cs="Arial"/>
                <w:color w:val="000000"/>
                <w:sz w:val="16"/>
                <w:szCs w:val="16"/>
                <w:lang w:eastAsia="en-AU" w:bidi="ar-SA"/>
              </w:rPr>
              <w:t>Other</w:t>
            </w:r>
          </w:p>
        </w:tc>
        <w:tc>
          <w:tcPr>
            <w:tcW w:w="390"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15</w:t>
            </w:r>
            <w:r w:rsidR="007337E1" w:rsidRPr="00911315">
              <w:rPr>
                <w:rFonts w:cs="Arial"/>
                <w:color w:val="000000"/>
                <w:sz w:val="16"/>
                <w:szCs w:val="16"/>
                <w:lang w:eastAsia="en-AU" w:bidi="ar-SA"/>
              </w:rPr>
              <w:t>6</w:t>
            </w:r>
          </w:p>
        </w:tc>
        <w:tc>
          <w:tcPr>
            <w:tcW w:w="511" w:type="pct"/>
            <w:shd w:val="clear" w:color="auto" w:fill="auto"/>
            <w:vAlign w:val="bottom"/>
            <w:hideMark/>
          </w:tcPr>
          <w:p w:rsidR="0022069A" w:rsidRPr="00911315" w:rsidRDefault="0022069A" w:rsidP="00D43D3B">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r w:rsidR="001B4FC7" w:rsidRPr="00911315">
              <w:rPr>
                <w:rFonts w:cs="Arial"/>
                <w:color w:val="000000"/>
                <w:sz w:val="16"/>
                <w:szCs w:val="16"/>
                <w:lang w:eastAsia="en-AU" w:bidi="ar-SA"/>
              </w:rPr>
              <w:t> </w:t>
            </w:r>
            <w:r w:rsidRPr="00911315">
              <w:rPr>
                <w:rFonts w:cs="Arial"/>
                <w:color w:val="000000"/>
                <w:sz w:val="16"/>
                <w:szCs w:val="16"/>
                <w:lang w:eastAsia="en-AU" w:bidi="ar-SA"/>
              </w:rPr>
              <w:t>03</w:t>
            </w:r>
            <w:r w:rsidR="007337E1" w:rsidRPr="00911315">
              <w:rPr>
                <w:rFonts w:cs="Arial"/>
                <w:color w:val="000000"/>
                <w:sz w:val="16"/>
                <w:szCs w:val="16"/>
                <w:lang w:eastAsia="en-AU" w:bidi="ar-SA"/>
              </w:rPr>
              <w:t>2</w:t>
            </w:r>
          </w:p>
        </w:tc>
        <w:tc>
          <w:tcPr>
            <w:tcW w:w="412" w:type="pct"/>
            <w:shd w:val="clear" w:color="auto" w:fill="auto"/>
            <w:vAlign w:val="bottom"/>
            <w:hideMark/>
          </w:tcPr>
          <w:p w:rsidR="0022069A" w:rsidRPr="00911315" w:rsidRDefault="0022069A" w:rsidP="00D43D3B">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r w:rsidR="001B4FC7" w:rsidRPr="00911315">
              <w:rPr>
                <w:rFonts w:cs="Arial"/>
                <w:color w:val="000000"/>
                <w:sz w:val="16"/>
                <w:szCs w:val="16"/>
                <w:lang w:eastAsia="en-AU" w:bidi="ar-SA"/>
              </w:rPr>
              <w:t> </w:t>
            </w:r>
            <w:r w:rsidRPr="00911315">
              <w:rPr>
                <w:rFonts w:cs="Arial"/>
                <w:color w:val="000000"/>
                <w:sz w:val="16"/>
                <w:szCs w:val="16"/>
                <w:lang w:eastAsia="en-AU" w:bidi="ar-SA"/>
              </w:rPr>
              <w:t>188</w:t>
            </w:r>
          </w:p>
        </w:tc>
        <w:tc>
          <w:tcPr>
            <w:tcW w:w="163" w:type="pct"/>
            <w:vAlign w:val="bottom"/>
          </w:tcPr>
          <w:p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11</w:t>
            </w:r>
          </w:p>
        </w:tc>
        <w:tc>
          <w:tcPr>
            <w:tcW w:w="326"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7</w:t>
            </w:r>
          </w:p>
        </w:tc>
        <w:tc>
          <w:tcPr>
            <w:tcW w:w="350"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7</w:t>
            </w:r>
          </w:p>
        </w:tc>
        <w:tc>
          <w:tcPr>
            <w:tcW w:w="136" w:type="pct"/>
            <w:vAlign w:val="bottom"/>
          </w:tcPr>
          <w:p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13</w:t>
            </w:r>
          </w:p>
        </w:tc>
        <w:tc>
          <w:tcPr>
            <w:tcW w:w="345"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87</w:t>
            </w:r>
          </w:p>
        </w:tc>
        <w:tc>
          <w:tcPr>
            <w:tcW w:w="334"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8749C8" w:rsidRPr="00911315" w:rsidTr="00783DF8">
        <w:trPr>
          <w:trHeight w:val="315"/>
        </w:trPr>
        <w:tc>
          <w:tcPr>
            <w:tcW w:w="1312" w:type="pct"/>
            <w:shd w:val="clear" w:color="auto" w:fill="auto"/>
            <w:tcMar>
              <w:left w:w="0" w:type="dxa"/>
              <w:right w:w="0" w:type="dxa"/>
            </w:tcMar>
            <w:vAlign w:val="bottom"/>
            <w:hideMark/>
          </w:tcPr>
          <w:p w:rsidR="0022069A" w:rsidRPr="00911315" w:rsidRDefault="0022069A" w:rsidP="0022069A">
            <w:pPr>
              <w:keepNext/>
              <w:keepLines/>
              <w:spacing w:after="0" w:line="240" w:lineRule="auto"/>
              <w:ind w:left="284" w:hanging="284"/>
              <w:jc w:val="left"/>
              <w:rPr>
                <w:rFonts w:cs="Arial"/>
                <w:color w:val="000000"/>
                <w:sz w:val="16"/>
                <w:szCs w:val="16"/>
                <w:lang w:eastAsia="en-AU" w:bidi="ar-SA"/>
              </w:rPr>
            </w:pPr>
            <w:r w:rsidRPr="00911315">
              <w:rPr>
                <w:rFonts w:cs="Arial"/>
                <w:color w:val="000000"/>
                <w:sz w:val="16"/>
                <w:szCs w:val="16"/>
                <w:lang w:eastAsia="en-AU" w:bidi="ar-SA"/>
              </w:rPr>
              <w:t xml:space="preserve">Youth Allowance </w:t>
            </w:r>
            <w:r w:rsidR="00F17549" w:rsidRPr="00911315">
              <w:rPr>
                <w:rFonts w:cs="Arial"/>
                <w:color w:val="000000"/>
                <w:sz w:val="16"/>
                <w:szCs w:val="16"/>
                <w:lang w:eastAsia="en-AU" w:bidi="ar-SA"/>
              </w:rPr>
              <w:t xml:space="preserve">- </w:t>
            </w:r>
            <w:r w:rsidRPr="00911315">
              <w:rPr>
                <w:rFonts w:cs="Arial"/>
                <w:color w:val="000000"/>
                <w:sz w:val="16"/>
                <w:szCs w:val="16"/>
                <w:lang w:eastAsia="en-AU" w:bidi="ar-SA"/>
              </w:rPr>
              <w:t>Student</w:t>
            </w:r>
          </w:p>
        </w:tc>
        <w:tc>
          <w:tcPr>
            <w:tcW w:w="390" w:type="pct"/>
            <w:shd w:val="clear" w:color="auto" w:fill="auto"/>
            <w:vAlign w:val="bottom"/>
            <w:hideMark/>
          </w:tcPr>
          <w:p w:rsidR="0022069A" w:rsidRPr="00911315" w:rsidRDefault="007337E1"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p>
        </w:tc>
        <w:tc>
          <w:tcPr>
            <w:tcW w:w="511" w:type="pct"/>
            <w:shd w:val="clear" w:color="auto" w:fill="auto"/>
            <w:vAlign w:val="bottom"/>
            <w:hideMark/>
          </w:tcPr>
          <w:p w:rsidR="0022069A" w:rsidRPr="00911315" w:rsidRDefault="007337E1"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p>
        </w:tc>
        <w:tc>
          <w:tcPr>
            <w:tcW w:w="412"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4</w:t>
            </w:r>
          </w:p>
        </w:tc>
        <w:tc>
          <w:tcPr>
            <w:tcW w:w="163" w:type="pct"/>
            <w:vAlign w:val="bottom"/>
          </w:tcPr>
          <w:p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26"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50"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136" w:type="pct"/>
            <w:vAlign w:val="bottom"/>
          </w:tcPr>
          <w:p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shd w:val="clear" w:color="auto" w:fill="auto"/>
            <w:vAlign w:val="bottom"/>
            <w:hideMark/>
          </w:tcPr>
          <w:p w:rsidR="0022069A" w:rsidRPr="00911315" w:rsidRDefault="007337E1"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50</w:t>
            </w:r>
          </w:p>
        </w:tc>
        <w:tc>
          <w:tcPr>
            <w:tcW w:w="345" w:type="pct"/>
            <w:shd w:val="clear" w:color="auto" w:fill="auto"/>
            <w:vAlign w:val="bottom"/>
            <w:hideMark/>
          </w:tcPr>
          <w:p w:rsidR="0022069A" w:rsidRPr="00911315" w:rsidRDefault="007337E1" w:rsidP="007337E1">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50</w:t>
            </w:r>
          </w:p>
        </w:tc>
        <w:tc>
          <w:tcPr>
            <w:tcW w:w="334" w:type="pct"/>
            <w:shd w:val="clear" w:color="auto" w:fill="auto"/>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8749C8" w:rsidRPr="00911315" w:rsidTr="00783DF8">
        <w:trPr>
          <w:trHeight w:val="315"/>
        </w:trPr>
        <w:tc>
          <w:tcPr>
            <w:tcW w:w="1312" w:type="pct"/>
            <w:tcBorders>
              <w:bottom w:val="single" w:sz="4" w:space="0" w:color="auto"/>
            </w:tcBorders>
            <w:shd w:val="clear" w:color="000000" w:fill="FFFFFF"/>
            <w:tcMar>
              <w:left w:w="0" w:type="dxa"/>
              <w:right w:w="0" w:type="dxa"/>
            </w:tcMar>
            <w:vAlign w:val="bottom"/>
            <w:hideMark/>
          </w:tcPr>
          <w:p w:rsidR="0022069A" w:rsidRPr="00911315" w:rsidRDefault="0022069A" w:rsidP="0022069A">
            <w:pPr>
              <w:keepNext/>
              <w:keepLines/>
              <w:spacing w:after="0" w:line="240" w:lineRule="auto"/>
              <w:ind w:left="284" w:hanging="284"/>
              <w:jc w:val="left"/>
              <w:rPr>
                <w:rFonts w:cs="Arial"/>
                <w:bCs/>
                <w:color w:val="000000"/>
                <w:sz w:val="16"/>
                <w:szCs w:val="16"/>
                <w:lang w:eastAsia="en-AU" w:bidi="ar-SA"/>
              </w:rPr>
            </w:pPr>
            <w:r w:rsidRPr="00911315">
              <w:rPr>
                <w:rFonts w:cs="Arial"/>
                <w:bCs/>
                <w:color w:val="000000"/>
                <w:sz w:val="16"/>
                <w:szCs w:val="16"/>
                <w:lang w:eastAsia="en-AU" w:bidi="ar-SA"/>
              </w:rPr>
              <w:t>Total</w:t>
            </w:r>
          </w:p>
        </w:tc>
        <w:tc>
          <w:tcPr>
            <w:tcW w:w="390" w:type="pct"/>
            <w:tcBorders>
              <w:bottom w:val="single" w:sz="4" w:space="0" w:color="auto"/>
            </w:tcBorders>
            <w:shd w:val="clear" w:color="000000" w:fill="FFFFFF"/>
            <w:vAlign w:val="bottom"/>
            <w:hideMark/>
          </w:tcPr>
          <w:p w:rsidR="0022069A" w:rsidRPr="00911315" w:rsidRDefault="0022069A" w:rsidP="00D43D3B">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r w:rsidR="001B4FC7" w:rsidRPr="00911315">
              <w:rPr>
                <w:rFonts w:cs="Arial"/>
                <w:color w:val="000000"/>
                <w:sz w:val="16"/>
                <w:szCs w:val="16"/>
                <w:lang w:eastAsia="en-AU" w:bidi="ar-SA"/>
              </w:rPr>
              <w:t> </w:t>
            </w:r>
            <w:r w:rsidRPr="00911315">
              <w:rPr>
                <w:rFonts w:cs="Arial"/>
                <w:color w:val="000000"/>
                <w:sz w:val="16"/>
                <w:szCs w:val="16"/>
                <w:lang w:eastAsia="en-AU" w:bidi="ar-SA"/>
              </w:rPr>
              <w:t>469</w:t>
            </w:r>
          </w:p>
        </w:tc>
        <w:tc>
          <w:tcPr>
            <w:tcW w:w="511" w:type="pct"/>
            <w:tcBorders>
              <w:bottom w:val="single" w:sz="4" w:space="0" w:color="auto"/>
            </w:tcBorders>
            <w:shd w:val="clear" w:color="000000" w:fill="FFFFFF"/>
            <w:vAlign w:val="bottom"/>
            <w:hideMark/>
          </w:tcPr>
          <w:p w:rsidR="0022069A" w:rsidRPr="00911315" w:rsidRDefault="0022069A" w:rsidP="00D43D3B">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14</w:t>
            </w:r>
            <w:r w:rsidR="001B4FC7" w:rsidRPr="00911315">
              <w:rPr>
                <w:rFonts w:cs="Arial"/>
                <w:color w:val="000000"/>
                <w:sz w:val="16"/>
                <w:szCs w:val="16"/>
                <w:lang w:eastAsia="en-AU" w:bidi="ar-SA"/>
              </w:rPr>
              <w:t> </w:t>
            </w:r>
            <w:r w:rsidRPr="00911315">
              <w:rPr>
                <w:rFonts w:cs="Arial"/>
                <w:color w:val="000000"/>
                <w:sz w:val="16"/>
                <w:szCs w:val="16"/>
                <w:lang w:eastAsia="en-AU" w:bidi="ar-SA"/>
              </w:rPr>
              <w:t>924</w:t>
            </w:r>
          </w:p>
        </w:tc>
        <w:tc>
          <w:tcPr>
            <w:tcW w:w="412" w:type="pct"/>
            <w:tcBorders>
              <w:bottom w:val="single" w:sz="4" w:space="0" w:color="auto"/>
            </w:tcBorders>
            <w:shd w:val="clear" w:color="000000" w:fill="FFFFFF"/>
            <w:vAlign w:val="bottom"/>
            <w:hideMark/>
          </w:tcPr>
          <w:p w:rsidR="0022069A" w:rsidRPr="00911315" w:rsidRDefault="0022069A" w:rsidP="00D43D3B">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16</w:t>
            </w:r>
            <w:r w:rsidR="001B4FC7" w:rsidRPr="00911315">
              <w:rPr>
                <w:rFonts w:cs="Arial"/>
                <w:color w:val="000000"/>
                <w:sz w:val="16"/>
                <w:szCs w:val="16"/>
                <w:lang w:eastAsia="en-AU" w:bidi="ar-SA"/>
              </w:rPr>
              <w:t> </w:t>
            </w:r>
            <w:r w:rsidRPr="00911315">
              <w:rPr>
                <w:rFonts w:cs="Arial"/>
                <w:color w:val="000000"/>
                <w:sz w:val="16"/>
                <w:szCs w:val="16"/>
                <w:lang w:eastAsia="en-AU" w:bidi="ar-SA"/>
              </w:rPr>
              <w:t>393</w:t>
            </w:r>
          </w:p>
        </w:tc>
        <w:tc>
          <w:tcPr>
            <w:tcW w:w="163" w:type="pct"/>
            <w:tcBorders>
              <w:bottom w:val="single" w:sz="4" w:space="0" w:color="auto"/>
            </w:tcBorders>
            <w:shd w:val="clear" w:color="000000" w:fill="FFFFFF"/>
            <w:vAlign w:val="bottom"/>
          </w:tcPr>
          <w:p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tcBorders>
              <w:bottom w:val="single" w:sz="4" w:space="0" w:color="auto"/>
            </w:tcBorders>
            <w:shd w:val="clear" w:color="000000" w:fill="FFFFFF"/>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c>
          <w:tcPr>
            <w:tcW w:w="326" w:type="pct"/>
            <w:tcBorders>
              <w:bottom w:val="single" w:sz="4" w:space="0" w:color="auto"/>
            </w:tcBorders>
            <w:shd w:val="clear" w:color="000000" w:fill="FFFFFF"/>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c>
          <w:tcPr>
            <w:tcW w:w="350" w:type="pct"/>
            <w:tcBorders>
              <w:bottom w:val="single" w:sz="4" w:space="0" w:color="auto"/>
            </w:tcBorders>
            <w:shd w:val="clear" w:color="000000" w:fill="FFFFFF"/>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c>
          <w:tcPr>
            <w:tcW w:w="136" w:type="pct"/>
            <w:tcBorders>
              <w:bottom w:val="single" w:sz="4" w:space="0" w:color="auto"/>
            </w:tcBorders>
            <w:shd w:val="clear" w:color="000000" w:fill="FFFFFF"/>
            <w:vAlign w:val="bottom"/>
          </w:tcPr>
          <w:p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tcBorders>
              <w:bottom w:val="single" w:sz="4" w:space="0" w:color="auto"/>
            </w:tcBorders>
            <w:shd w:val="clear" w:color="000000" w:fill="FFFFFF"/>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9</w:t>
            </w:r>
          </w:p>
        </w:tc>
        <w:tc>
          <w:tcPr>
            <w:tcW w:w="345" w:type="pct"/>
            <w:tcBorders>
              <w:bottom w:val="single" w:sz="4" w:space="0" w:color="auto"/>
            </w:tcBorders>
            <w:shd w:val="clear" w:color="000000" w:fill="FFFFFF"/>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91</w:t>
            </w:r>
          </w:p>
        </w:tc>
        <w:tc>
          <w:tcPr>
            <w:tcW w:w="334" w:type="pct"/>
            <w:tcBorders>
              <w:bottom w:val="single" w:sz="4" w:space="0" w:color="auto"/>
            </w:tcBorders>
            <w:shd w:val="clear" w:color="000000" w:fill="FFFFFF"/>
            <w:vAlign w:val="bottom"/>
            <w:hideMark/>
          </w:tcPr>
          <w:p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bl>
    <w:p w:rsidR="0022069A" w:rsidRPr="005911E2" w:rsidRDefault="0022069A" w:rsidP="00CF78DB">
      <w:pPr>
        <w:pStyle w:val="tablefootnotes"/>
      </w:pPr>
    </w:p>
    <w:p w:rsidR="0022069A" w:rsidRDefault="0022069A" w:rsidP="00CF78DB">
      <w:pPr>
        <w:pStyle w:val="tablefootnotes"/>
      </w:pPr>
      <w:r w:rsidRPr="005911E2">
        <w:t xml:space="preserve">Note: </w:t>
      </w:r>
      <w:r w:rsidR="001B4FC7">
        <w:tab/>
      </w:r>
      <w:r w:rsidR="00CD2C3D">
        <w:t>Income Support</w:t>
      </w:r>
      <w:r w:rsidR="00CD2C3D" w:rsidRPr="005911E2">
        <w:t xml:space="preserve"> </w:t>
      </w:r>
      <w:r w:rsidRPr="005911E2">
        <w:t xml:space="preserve">type and Indigenous status taken from </w:t>
      </w:r>
      <w:r w:rsidR="00F878E4">
        <w:t>income management</w:t>
      </w:r>
      <w:r w:rsidRPr="005911E2">
        <w:t xml:space="preserve"> person record</w:t>
      </w:r>
      <w:r w:rsidR="00583547">
        <w:t>.</w:t>
      </w:r>
      <w:r w:rsidR="003A1B16" w:rsidRPr="005911E2">
        <w:t xml:space="preserve"> Total includes a small number on Bereavement Allowance and Youth Allowance- Apprentice, Partner Allowance Sickness Benefit, Wife Pension (Age) and Work for the Dole</w:t>
      </w:r>
      <w:r w:rsidR="00943DCB">
        <w:t>.</w:t>
      </w:r>
    </w:p>
    <w:p w:rsidR="00F17549" w:rsidRPr="005911E2" w:rsidRDefault="00F17549" w:rsidP="004E3A29">
      <w:pPr>
        <w:pStyle w:val="tablefootnotes"/>
      </w:pPr>
      <w:r w:rsidRPr="005911E2">
        <w:t xml:space="preserve">Population: </w:t>
      </w:r>
      <w:r>
        <w:tab/>
      </w:r>
      <w:r w:rsidRPr="005911E2">
        <w:t xml:space="preserve">Income </w:t>
      </w:r>
      <w:r>
        <w:t>s</w:t>
      </w:r>
      <w:r w:rsidRPr="005911E2">
        <w:t>upport recipients in the</w:t>
      </w:r>
      <w:r w:rsidR="006435C8">
        <w:t xml:space="preserve"> Northern Territory </w:t>
      </w:r>
      <w:r w:rsidRPr="005911E2">
        <w:t xml:space="preserve">subject to </w:t>
      </w:r>
      <w:r>
        <w:t>i</w:t>
      </w:r>
      <w:r w:rsidRPr="005911E2">
        <w:t xml:space="preserve">ncome </w:t>
      </w:r>
      <w:r>
        <w:t>m</w:t>
      </w:r>
      <w:r w:rsidRPr="005911E2">
        <w:t>anagement</w:t>
      </w:r>
      <w:r w:rsidR="00943DCB">
        <w:t>.</w:t>
      </w:r>
    </w:p>
    <w:p w:rsidR="0022069A" w:rsidRPr="005911E2" w:rsidRDefault="0022069A" w:rsidP="004E3A29">
      <w:pPr>
        <w:pStyle w:val="tablefootnotes"/>
      </w:pPr>
      <w:r w:rsidRPr="005911E2">
        <w:t xml:space="preserve">Source: </w:t>
      </w:r>
      <w:r w:rsidR="001B4FC7">
        <w:tab/>
      </w:r>
      <w:r w:rsidRPr="005911E2">
        <w:t xml:space="preserve">Income </w:t>
      </w:r>
      <w:r w:rsidR="00583547">
        <w:t>s</w:t>
      </w:r>
      <w:r w:rsidRPr="005911E2">
        <w:t xml:space="preserve">upport payments file and </w:t>
      </w:r>
      <w:r w:rsidR="00F878E4">
        <w:t>income management</w:t>
      </w:r>
      <w:r w:rsidRPr="005911E2">
        <w:t xml:space="preserve"> person file for fortnight ending 28 October</w:t>
      </w:r>
      <w:r w:rsidR="00943DCB">
        <w:t>.</w:t>
      </w:r>
    </w:p>
    <w:p w:rsidR="0022069A" w:rsidRPr="005911E2" w:rsidRDefault="0022069A" w:rsidP="00616B0F">
      <w:pPr>
        <w:pStyle w:val="Heading2"/>
      </w:pPr>
      <w:bookmarkStart w:id="343" w:name="_Toc321225113"/>
      <w:bookmarkStart w:id="344" w:name="_Toc321761599"/>
      <w:bookmarkStart w:id="345" w:name="_Toc321254457"/>
      <w:bookmarkStart w:id="346" w:name="_Toc328601481"/>
      <w:bookmarkStart w:id="347" w:name="_Toc329870363"/>
      <w:bookmarkStart w:id="348" w:name="_Toc335915749"/>
      <w:r w:rsidRPr="005911E2">
        <w:t>Age</w:t>
      </w:r>
      <w:bookmarkEnd w:id="343"/>
      <w:bookmarkEnd w:id="344"/>
      <w:bookmarkEnd w:id="345"/>
      <w:bookmarkEnd w:id="346"/>
      <w:bookmarkEnd w:id="347"/>
      <w:bookmarkEnd w:id="348"/>
    </w:p>
    <w:p w:rsidR="0022069A" w:rsidRPr="005911E2" w:rsidRDefault="0022069A" w:rsidP="0022069A">
      <w:pPr>
        <w:pStyle w:val="BodyText"/>
        <w:rPr>
          <w:lang w:eastAsia="en-US"/>
        </w:rPr>
      </w:pPr>
      <w:r w:rsidRPr="005911E2">
        <w:rPr>
          <w:lang w:eastAsia="en-US"/>
        </w:rPr>
        <w:t xml:space="preserve">The age profiles of people on </w:t>
      </w:r>
      <w:r w:rsidR="004808B3">
        <w:rPr>
          <w:lang w:eastAsia="en-US"/>
        </w:rPr>
        <w:t>Compulsory Income Management</w:t>
      </w:r>
      <w:r w:rsidRPr="005911E2">
        <w:rPr>
          <w:lang w:eastAsia="en-US"/>
        </w:rPr>
        <w:t xml:space="preserve"> and </w:t>
      </w:r>
      <w:r w:rsidR="002B5A5C">
        <w:rPr>
          <w:lang w:eastAsia="en-US"/>
        </w:rPr>
        <w:t>Voluntary Income Management</w:t>
      </w:r>
      <w:r w:rsidRPr="005911E2">
        <w:rPr>
          <w:lang w:eastAsia="en-US"/>
        </w:rPr>
        <w:t xml:space="preserve"> are illustrated in </w:t>
      </w:r>
      <w:r w:rsidRPr="005911E2">
        <w:t xml:space="preserve">Figure </w:t>
      </w:r>
      <w:r w:rsidRPr="005911E2">
        <w:rPr>
          <w:noProof/>
        </w:rPr>
        <w:t>4</w:t>
      </w:r>
      <w:r w:rsidRPr="005911E2">
        <w:noBreakHyphen/>
      </w:r>
      <w:r w:rsidR="00583547">
        <w:rPr>
          <w:noProof/>
        </w:rPr>
        <w:t>7</w:t>
      </w:r>
      <w:r w:rsidRPr="005911E2">
        <w:rPr>
          <w:lang w:eastAsia="en-US"/>
        </w:rPr>
        <w:t xml:space="preserve">. This shows markedly different age compositions of the two populations. While 50 per cent of those on </w:t>
      </w:r>
      <w:r w:rsidR="004808B3">
        <w:rPr>
          <w:lang w:eastAsia="en-US"/>
        </w:rPr>
        <w:t>Compulsory Income Management</w:t>
      </w:r>
      <w:r w:rsidRPr="005911E2">
        <w:rPr>
          <w:lang w:eastAsia="en-US"/>
        </w:rPr>
        <w:t xml:space="preserve"> are aged 29 years or younger, the median age for those on </w:t>
      </w:r>
      <w:r w:rsidR="002B5A5C">
        <w:rPr>
          <w:lang w:eastAsia="en-US"/>
        </w:rPr>
        <w:t>Voluntary Income Management</w:t>
      </w:r>
      <w:r w:rsidRPr="005911E2">
        <w:rPr>
          <w:lang w:eastAsia="en-US"/>
        </w:rPr>
        <w:t xml:space="preserve"> is two decades older, 49 years.</w:t>
      </w:r>
    </w:p>
    <w:p w:rsidR="00AF4090" w:rsidRDefault="0022069A" w:rsidP="0022069A">
      <w:pPr>
        <w:pStyle w:val="BodyText"/>
        <w:rPr>
          <w:lang w:eastAsia="en-US"/>
        </w:rPr>
      </w:pPr>
      <w:r w:rsidRPr="005911E2">
        <w:rPr>
          <w:lang w:eastAsia="en-US"/>
        </w:rPr>
        <w:t xml:space="preserve">While 36 per cent of people on </w:t>
      </w:r>
      <w:r w:rsidR="004808B3">
        <w:rPr>
          <w:lang w:eastAsia="en-US"/>
        </w:rPr>
        <w:t>Compulsory Income Management</w:t>
      </w:r>
      <w:r w:rsidRPr="005911E2">
        <w:rPr>
          <w:lang w:eastAsia="en-US"/>
        </w:rPr>
        <w:t xml:space="preserve"> are aged 25 years or younger, just 9.9 per cent of those on </w:t>
      </w:r>
      <w:r w:rsidR="002B5A5C">
        <w:rPr>
          <w:lang w:eastAsia="en-US"/>
        </w:rPr>
        <w:t>Voluntary Income Management</w:t>
      </w:r>
      <w:r w:rsidRPr="005911E2">
        <w:rPr>
          <w:lang w:eastAsia="en-US"/>
        </w:rPr>
        <w:t xml:space="preserve"> are</w:t>
      </w:r>
      <w:r w:rsidR="00F22B4D">
        <w:rPr>
          <w:lang w:eastAsia="en-US"/>
        </w:rPr>
        <w:t xml:space="preserve"> in this age </w:t>
      </w:r>
      <w:r w:rsidR="00F35EAE">
        <w:rPr>
          <w:lang w:eastAsia="en-US"/>
        </w:rPr>
        <w:t>group</w:t>
      </w:r>
      <w:r w:rsidRPr="005911E2">
        <w:rPr>
          <w:lang w:eastAsia="en-US"/>
        </w:rPr>
        <w:t xml:space="preserve">. At the other end of the age range, </w:t>
      </w:r>
      <w:r w:rsidR="00CF78DB">
        <w:rPr>
          <w:lang w:eastAsia="en-US"/>
        </w:rPr>
        <w:t>only 3 </w:t>
      </w:r>
      <w:r w:rsidRPr="005911E2">
        <w:rPr>
          <w:lang w:eastAsia="en-US"/>
        </w:rPr>
        <w:t xml:space="preserve">per cent of people on </w:t>
      </w:r>
      <w:r w:rsidR="004808B3">
        <w:rPr>
          <w:lang w:eastAsia="en-US"/>
        </w:rPr>
        <w:t>Compulsory Income Management</w:t>
      </w:r>
      <w:r w:rsidRPr="005911E2">
        <w:rPr>
          <w:lang w:eastAsia="en-US"/>
        </w:rPr>
        <w:t xml:space="preserve"> are aged </w:t>
      </w:r>
      <w:r w:rsidR="00CF78DB">
        <w:rPr>
          <w:lang w:eastAsia="en-US"/>
        </w:rPr>
        <w:t xml:space="preserve">over </w:t>
      </w:r>
      <w:r w:rsidRPr="005911E2">
        <w:rPr>
          <w:lang w:eastAsia="en-US"/>
        </w:rPr>
        <w:t xml:space="preserve">55 years, compared with </w:t>
      </w:r>
      <w:r w:rsidR="00CF78DB">
        <w:rPr>
          <w:lang w:eastAsia="en-US"/>
        </w:rPr>
        <w:t>36</w:t>
      </w:r>
      <w:r w:rsidR="00CF78DB" w:rsidRPr="005911E2">
        <w:rPr>
          <w:lang w:eastAsia="en-US"/>
        </w:rPr>
        <w:t xml:space="preserve"> </w:t>
      </w:r>
      <w:r w:rsidRPr="005911E2">
        <w:rPr>
          <w:lang w:eastAsia="en-US"/>
        </w:rPr>
        <w:t xml:space="preserve">per cent of those on </w:t>
      </w:r>
      <w:r w:rsidR="002B5A5C">
        <w:rPr>
          <w:lang w:eastAsia="en-US"/>
        </w:rPr>
        <w:t>Voluntary Income Management</w:t>
      </w:r>
      <w:r w:rsidRPr="005911E2">
        <w:rPr>
          <w:lang w:eastAsia="en-US"/>
        </w:rPr>
        <w:t xml:space="preserve">. </w:t>
      </w:r>
    </w:p>
    <w:p w:rsidR="0022069A" w:rsidRPr="005911E2" w:rsidRDefault="0022069A" w:rsidP="0022069A">
      <w:pPr>
        <w:pStyle w:val="tabfighead"/>
      </w:pPr>
      <w:bookmarkStart w:id="349" w:name="_Ref321184834"/>
      <w:bookmarkStart w:id="350" w:name="_Toc321761751"/>
      <w:bookmarkStart w:id="351" w:name="_Toc321254600"/>
      <w:bookmarkStart w:id="352" w:name="_Toc328601653"/>
      <w:bookmarkStart w:id="353" w:name="_Toc335915919"/>
      <w:r w:rsidRPr="005911E2">
        <w:lastRenderedPageBreak/>
        <w:t xml:space="preserve">Figure </w:t>
      </w:r>
      <w:r w:rsidR="00C7347D">
        <w:fldChar w:fldCharType="begin"/>
      </w:r>
      <w:r w:rsidR="00E74851">
        <w:instrText xml:space="preserve"> STYLEREF 1 \s </w:instrText>
      </w:r>
      <w:r w:rsidR="00C7347D">
        <w:fldChar w:fldCharType="separate"/>
      </w:r>
      <w:r w:rsidR="007D7E45">
        <w:rPr>
          <w:noProof/>
        </w:rPr>
        <w:t>4</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7</w:t>
      </w:r>
      <w:r w:rsidR="00C7347D">
        <w:fldChar w:fldCharType="end"/>
      </w:r>
      <w:bookmarkEnd w:id="349"/>
      <w:r w:rsidRPr="005911E2">
        <w:t xml:space="preserve"> </w:t>
      </w:r>
      <w:r w:rsidRPr="005911E2">
        <w:tab/>
      </w:r>
      <w:r w:rsidR="006435C8">
        <w:t>Northern Territory,</w:t>
      </w:r>
      <w:r w:rsidR="0021019D" w:rsidRPr="005911E2">
        <w:t xml:space="preserve"> Persons being income managed </w:t>
      </w:r>
      <w:r w:rsidRPr="005911E2">
        <w:t>by age and main stream of income management, October 2011</w:t>
      </w:r>
      <w:bookmarkEnd w:id="350"/>
      <w:bookmarkEnd w:id="351"/>
      <w:bookmarkEnd w:id="352"/>
      <w:bookmarkEnd w:id="353"/>
    </w:p>
    <w:tbl>
      <w:tblPr>
        <w:tblStyle w:val="TableGrid"/>
        <w:tblW w:w="0" w:type="auto"/>
        <w:tblInd w:w="1951" w:type="dxa"/>
        <w:tblLook w:val="04A0" w:firstRow="1" w:lastRow="0" w:firstColumn="1" w:lastColumn="0" w:noHBand="0" w:noVBand="1"/>
        <w:tblCaption w:val="Figure 4-7 Northern Territory, Persons being income managed by age and main stream of income management, October 2011"/>
        <w:tblDescription w:val="Figure 4-7 Northern Territory, Persons being income managed by age and main stream of income management, October 2011"/>
      </w:tblPr>
      <w:tblGrid>
        <w:gridCol w:w="7144"/>
      </w:tblGrid>
      <w:tr w:rsidR="00AF4090" w:rsidTr="009D15E2">
        <w:trPr>
          <w:tblHeader/>
        </w:trPr>
        <w:tc>
          <w:tcPr>
            <w:tcW w:w="7144" w:type="dxa"/>
            <w:tcBorders>
              <w:top w:val="nil"/>
              <w:left w:val="nil"/>
              <w:bottom w:val="nil"/>
              <w:right w:val="nil"/>
            </w:tcBorders>
            <w:vAlign w:val="center"/>
          </w:tcPr>
          <w:p w:rsidR="00AF4090" w:rsidRDefault="009F6E1A" w:rsidP="00AF4090">
            <w:pPr>
              <w:pStyle w:val="tablefootnotes"/>
              <w:ind w:left="0" w:firstLine="0"/>
              <w:jc w:val="left"/>
            </w:pPr>
            <w:r>
              <w:rPr>
                <w:noProof/>
                <w:lang w:eastAsia="en-AU" w:bidi="ar-SA"/>
              </w:rPr>
              <w:drawing>
                <wp:inline distT="0" distB="0" distL="0" distR="0" wp14:anchorId="391DBFAB" wp14:editId="454EE0DB">
                  <wp:extent cx="4579620" cy="2750820"/>
                  <wp:effectExtent l="0" t="0" r="0" b="0"/>
                  <wp:docPr id="11" name="Picture 5" descr="Figure 4-7 Northern Territory, Persons being income managed by age and main stream of income management, October 2011" title="Figure 4-7 Northern Territory, Persons being income managed by age and main stream of income management, Octo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4579620" cy="2750820"/>
                          </a:xfrm>
                          <a:prstGeom prst="rect">
                            <a:avLst/>
                          </a:prstGeom>
                          <a:noFill/>
                          <a:ln w="9525">
                            <a:noFill/>
                            <a:miter lim="800000"/>
                            <a:headEnd/>
                            <a:tailEnd/>
                          </a:ln>
                        </pic:spPr>
                      </pic:pic>
                    </a:graphicData>
                  </a:graphic>
                </wp:inline>
              </w:drawing>
            </w:r>
          </w:p>
        </w:tc>
      </w:tr>
    </w:tbl>
    <w:p w:rsidR="00583547" w:rsidRPr="00CF78DB" w:rsidRDefault="00CF78DB" w:rsidP="00CF78DB">
      <w:pPr>
        <w:pStyle w:val="tablefootnotes"/>
      </w:pPr>
      <w:r w:rsidRPr="00CF78DB">
        <w:t xml:space="preserve">Population: </w:t>
      </w:r>
      <w:r w:rsidRPr="00CF78DB">
        <w:tab/>
        <w:t>Income support recipients in the</w:t>
      </w:r>
      <w:r w:rsidR="006435C8">
        <w:t xml:space="preserve"> Northern Territory </w:t>
      </w:r>
      <w:r w:rsidRPr="00CF78DB">
        <w:t>subject to income management</w:t>
      </w:r>
      <w:r w:rsidR="00943DCB">
        <w:t>.</w:t>
      </w:r>
    </w:p>
    <w:p w:rsidR="0022069A" w:rsidRPr="00CF78DB" w:rsidRDefault="0022069A" w:rsidP="00CF78DB">
      <w:pPr>
        <w:pStyle w:val="tablefootnotes"/>
      </w:pPr>
      <w:r w:rsidRPr="00CF78DB">
        <w:t xml:space="preserve">Source: </w:t>
      </w:r>
      <w:r w:rsidR="00CF78DB" w:rsidRPr="00CF78DB">
        <w:tab/>
      </w:r>
      <w:r w:rsidRPr="00CF78DB">
        <w:t xml:space="preserve">Income </w:t>
      </w:r>
      <w:r w:rsidR="00583547" w:rsidRPr="00CF78DB">
        <w:t>s</w:t>
      </w:r>
      <w:r w:rsidRPr="00CF78DB">
        <w:t xml:space="preserve">upport payments file and </w:t>
      </w:r>
      <w:r w:rsidR="00F878E4" w:rsidRPr="00CF78DB">
        <w:t>income management</w:t>
      </w:r>
      <w:r w:rsidRPr="00CF78DB">
        <w:t xml:space="preserve"> person file for fortnight ending 28 October</w:t>
      </w:r>
      <w:r w:rsidR="00CF78DB" w:rsidRPr="00CF78DB">
        <w:t xml:space="preserve"> 2011</w:t>
      </w:r>
      <w:r w:rsidR="00943DCB">
        <w:t>.</w:t>
      </w:r>
    </w:p>
    <w:p w:rsidR="0022069A" w:rsidRPr="00CF78DB" w:rsidRDefault="0022069A" w:rsidP="00CF78DB">
      <w:pPr>
        <w:pStyle w:val="tablefootnotes"/>
      </w:pPr>
    </w:p>
    <w:p w:rsidR="0022069A" w:rsidRPr="005911E2" w:rsidRDefault="0022069A" w:rsidP="00BD6DFD">
      <w:pPr>
        <w:pStyle w:val="Heading3"/>
      </w:pPr>
      <w:r w:rsidRPr="005911E2">
        <w:t xml:space="preserve">Family </w:t>
      </w:r>
      <w:r w:rsidR="00900FCF">
        <w:t>t</w:t>
      </w:r>
      <w:r w:rsidRPr="005911E2">
        <w:t>ype</w:t>
      </w:r>
    </w:p>
    <w:p w:rsidR="003A1B16" w:rsidRDefault="006F14AA" w:rsidP="003A1B16">
      <w:pPr>
        <w:pStyle w:val="BodyText"/>
        <w:rPr>
          <w:lang w:eastAsia="en-US"/>
        </w:rPr>
      </w:pPr>
      <w:r w:rsidRPr="005911E2">
        <w:t xml:space="preserve">Figure </w:t>
      </w:r>
      <w:r w:rsidRPr="005911E2">
        <w:rPr>
          <w:noProof/>
        </w:rPr>
        <w:t>4</w:t>
      </w:r>
      <w:r w:rsidRPr="005911E2">
        <w:noBreakHyphen/>
      </w:r>
      <w:r w:rsidRPr="005911E2">
        <w:rPr>
          <w:noProof/>
        </w:rPr>
        <w:t>8</w:t>
      </w:r>
      <w:r w:rsidR="003A1B16" w:rsidRPr="005911E2">
        <w:t xml:space="preserve"> and </w:t>
      </w:r>
      <w:r w:rsidRPr="005911E2">
        <w:t xml:space="preserve">Table </w:t>
      </w:r>
      <w:r w:rsidRPr="005911E2">
        <w:rPr>
          <w:noProof/>
        </w:rPr>
        <w:t>4</w:t>
      </w:r>
      <w:r w:rsidRPr="005911E2">
        <w:noBreakHyphen/>
      </w:r>
      <w:r w:rsidRPr="005911E2">
        <w:rPr>
          <w:noProof/>
        </w:rPr>
        <w:t>12</w:t>
      </w:r>
      <w:r w:rsidR="003A1B16" w:rsidRPr="005911E2">
        <w:t xml:space="preserve"> </w:t>
      </w:r>
      <w:r w:rsidR="003A1B16" w:rsidRPr="005911E2">
        <w:rPr>
          <w:lang w:eastAsia="en-US"/>
        </w:rPr>
        <w:t xml:space="preserve">show the family type of individuals on </w:t>
      </w:r>
      <w:r w:rsidR="00F878E4">
        <w:rPr>
          <w:lang w:eastAsia="en-US"/>
        </w:rPr>
        <w:t>income management</w:t>
      </w:r>
      <w:r w:rsidR="00583547">
        <w:rPr>
          <w:lang w:eastAsia="en-US"/>
        </w:rPr>
        <w:t>.</w:t>
      </w:r>
      <w:r w:rsidR="003A1B16" w:rsidRPr="005911E2">
        <w:rPr>
          <w:rStyle w:val="FootnoteReference"/>
        </w:rPr>
        <w:footnoteReference w:id="53"/>
      </w:r>
      <w:r w:rsidR="003A1B16" w:rsidRPr="005911E2">
        <w:rPr>
          <w:lang w:eastAsia="en-US"/>
        </w:rPr>
        <w:t xml:space="preserve"> </w:t>
      </w:r>
    </w:p>
    <w:p w:rsidR="00AC44F7" w:rsidRPr="005911E2" w:rsidRDefault="00AC44F7" w:rsidP="00AF4090">
      <w:pPr>
        <w:pStyle w:val="tabfighead"/>
        <w:spacing w:after="0"/>
        <w:rPr>
          <w:lang w:bidi="ar-SA"/>
        </w:rPr>
      </w:pPr>
      <w:bookmarkStart w:id="354" w:name="_Ref324607165"/>
      <w:bookmarkStart w:id="355" w:name="_Toc328601654"/>
      <w:bookmarkStart w:id="356" w:name="_Toc335915920"/>
      <w:r w:rsidRPr="005911E2">
        <w:t xml:space="preserve">Figure </w:t>
      </w:r>
      <w:r w:rsidR="00C7347D">
        <w:fldChar w:fldCharType="begin"/>
      </w:r>
      <w:r w:rsidR="00E74851">
        <w:instrText xml:space="preserve"> STYLEREF 1 \s </w:instrText>
      </w:r>
      <w:r w:rsidR="00C7347D">
        <w:fldChar w:fldCharType="separate"/>
      </w:r>
      <w:r w:rsidR="007D7E45">
        <w:rPr>
          <w:noProof/>
        </w:rPr>
        <w:t>4</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8</w:t>
      </w:r>
      <w:r w:rsidR="00C7347D">
        <w:fldChar w:fldCharType="end"/>
      </w:r>
      <w:bookmarkEnd w:id="354"/>
      <w:r w:rsidRPr="005911E2">
        <w:tab/>
      </w:r>
      <w:r w:rsidR="006435C8">
        <w:rPr>
          <w:lang w:bidi="ar-SA"/>
        </w:rPr>
        <w:t>Northern Territory,</w:t>
      </w:r>
      <w:r w:rsidRPr="005911E2">
        <w:rPr>
          <w:lang w:bidi="ar-SA"/>
        </w:rPr>
        <w:t xml:space="preserve"> income managed population by Indigeneity and family type, October 2011</w:t>
      </w:r>
      <w:bookmarkEnd w:id="355"/>
      <w:bookmarkEnd w:id="356"/>
    </w:p>
    <w:tbl>
      <w:tblPr>
        <w:tblStyle w:val="TableGrid"/>
        <w:tblW w:w="0" w:type="auto"/>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8 Northern Territory, income managed population by Indigeneity and family type, October 2011"/>
        <w:tblDescription w:val="Figure 4-8 Northern Territory, income managed population by Indigeneity and family type, October 2011"/>
      </w:tblPr>
      <w:tblGrid>
        <w:gridCol w:w="7144"/>
      </w:tblGrid>
      <w:tr w:rsidR="00AC44F7" w:rsidRPr="005911E2" w:rsidTr="009D15E2">
        <w:trPr>
          <w:tblHeader/>
        </w:trPr>
        <w:tc>
          <w:tcPr>
            <w:tcW w:w="7144" w:type="dxa"/>
          </w:tcPr>
          <w:p w:rsidR="00AC44F7" w:rsidRPr="005911E2" w:rsidRDefault="00E75F1A" w:rsidP="00AF4090">
            <w:pPr>
              <w:pStyle w:val="tablefootnotes"/>
              <w:rPr>
                <w:lang w:bidi="ar-SA"/>
              </w:rPr>
            </w:pPr>
            <w:r>
              <w:rPr>
                <w:noProof/>
                <w:lang w:eastAsia="en-AU" w:bidi="ar-SA"/>
              </w:rPr>
              <w:drawing>
                <wp:anchor distT="0" distB="0" distL="114300" distR="114300" simplePos="0" relativeHeight="251771904" behindDoc="0" locked="0" layoutInCell="1" allowOverlap="1" wp14:anchorId="1F9A0707" wp14:editId="730C4C97">
                  <wp:simplePos x="2886236" y="6331058"/>
                  <wp:positionH relativeFrom="margin">
                    <wp:align>left</wp:align>
                  </wp:positionH>
                  <wp:positionV relativeFrom="margin">
                    <wp:align>center</wp:align>
                  </wp:positionV>
                  <wp:extent cx="3594725" cy="2107769"/>
                  <wp:effectExtent l="0" t="0" r="6350" b="6985"/>
                  <wp:wrapSquare wrapText="bothSides"/>
                  <wp:docPr id="50" name="Picture 30" descr="Figure 4-8 Northern Territory, income managed population by Indigeneity and family type, October 2011" title="Figure 4-8 Northern Territory, income managed population by Indigeneity and family type, Octo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94725" cy="2107769"/>
                          </a:xfrm>
                          <a:prstGeom prst="rect">
                            <a:avLst/>
                          </a:prstGeom>
                          <a:noFill/>
                          <a:ln>
                            <a:noFill/>
                          </a:ln>
                        </pic:spPr>
                      </pic:pic>
                    </a:graphicData>
                  </a:graphic>
                </wp:anchor>
              </w:drawing>
            </w:r>
          </w:p>
        </w:tc>
      </w:tr>
    </w:tbl>
    <w:p w:rsidR="00AC44F7" w:rsidRDefault="00AC44F7" w:rsidP="00CF78DB">
      <w:pPr>
        <w:pStyle w:val="tablefootnotes"/>
        <w:rPr>
          <w:lang w:bidi="ar-SA"/>
        </w:rPr>
      </w:pPr>
      <w:r w:rsidRPr="005911E2">
        <w:rPr>
          <w:lang w:bidi="ar-SA"/>
        </w:rPr>
        <w:t xml:space="preserve">Source: </w:t>
      </w:r>
      <w:r w:rsidR="00CF78DB">
        <w:rPr>
          <w:lang w:bidi="ar-SA"/>
        </w:rPr>
        <w:tab/>
      </w:r>
      <w:r w:rsidRPr="005911E2">
        <w:rPr>
          <w:lang w:bidi="ar-SA"/>
        </w:rPr>
        <w:t xml:space="preserve">Income </w:t>
      </w:r>
      <w:r w:rsidR="00583547">
        <w:rPr>
          <w:lang w:bidi="ar-SA"/>
        </w:rPr>
        <w:t>s</w:t>
      </w:r>
      <w:r w:rsidRPr="005911E2">
        <w:rPr>
          <w:lang w:bidi="ar-SA"/>
        </w:rPr>
        <w:t xml:space="preserve">upport payments file and </w:t>
      </w:r>
      <w:r w:rsidR="00F878E4">
        <w:rPr>
          <w:lang w:bidi="ar-SA"/>
        </w:rPr>
        <w:t>income management</w:t>
      </w:r>
      <w:r w:rsidRPr="005911E2">
        <w:rPr>
          <w:lang w:bidi="ar-SA"/>
        </w:rPr>
        <w:t xml:space="preserve"> person file for fortnight ending 28 October</w:t>
      </w:r>
      <w:r w:rsidR="00CF78DB">
        <w:rPr>
          <w:lang w:bidi="ar-SA"/>
        </w:rPr>
        <w:t xml:space="preserve"> 2011</w:t>
      </w:r>
      <w:r w:rsidR="00943DCB">
        <w:rPr>
          <w:lang w:bidi="ar-SA"/>
        </w:rPr>
        <w:t>.</w:t>
      </w:r>
    </w:p>
    <w:p w:rsidR="009A4DD8" w:rsidRPr="005911E2" w:rsidRDefault="009A4DD8" w:rsidP="007B4471">
      <w:pPr>
        <w:pStyle w:val="tablefootnoteslastline"/>
        <w:rPr>
          <w:lang w:bidi="ar-SA"/>
        </w:rPr>
      </w:pPr>
    </w:p>
    <w:p w:rsidR="006A49C5" w:rsidRDefault="006A49C5" w:rsidP="009A4DD8">
      <w:r>
        <w:t>Single persons were the largest grouping, by family type, on income management.</w:t>
      </w:r>
      <w:r w:rsidR="00BB14C5">
        <w:t xml:space="preserve"> </w:t>
      </w:r>
      <w:r>
        <w:t xml:space="preserve">They accounted for 38 per cent of Indigenous people on Income </w:t>
      </w:r>
      <w:r>
        <w:lastRenderedPageBreak/>
        <w:t>management and 55 per cent of non-Indigenous people. They were followed by people who live in a couple without dependent children. While this was the second largest group of Indigenous people on these measures (26 per cent), this was not the case for non-Indigenous (12 per cent). Amongst the non-Indigenous income managed population the second largest group were single parents (26 per cent).</w:t>
      </w:r>
      <w:r w:rsidR="00BB14C5">
        <w:t xml:space="preserve"> </w:t>
      </w:r>
      <w:r>
        <w:t>This was, at 18 per cent, the smallest grouping amongst Indigenous people.</w:t>
      </w:r>
      <w:r w:rsidR="00BB14C5">
        <w:t xml:space="preserve"> </w:t>
      </w:r>
      <w:r>
        <w:t>While members of couples with dependent children accounted for almost one in five (19 per cent) of the Indigenous people subject to Income management this fell to one in fourteen (7 per cent amongst the non-Indigenous income managed population.</w:t>
      </w:r>
    </w:p>
    <w:p w:rsidR="00397CDC" w:rsidRDefault="00C7347D" w:rsidP="009A4DD8">
      <w:r>
        <w:fldChar w:fldCharType="begin"/>
      </w:r>
      <w:r w:rsidR="006A49C5">
        <w:instrText xml:space="preserve"> REF _Ref321185432 \h </w:instrText>
      </w:r>
      <w:r>
        <w:fldChar w:fldCharType="separate"/>
      </w:r>
      <w:r w:rsidR="007D7E45" w:rsidRPr="005911E2">
        <w:t xml:space="preserve">Table </w:t>
      </w:r>
      <w:r w:rsidR="007D7E45">
        <w:rPr>
          <w:noProof/>
        </w:rPr>
        <w:t>4</w:t>
      </w:r>
      <w:r w:rsidR="007D7E45" w:rsidRPr="005911E2">
        <w:noBreakHyphen/>
      </w:r>
      <w:r w:rsidR="007D7E45">
        <w:rPr>
          <w:noProof/>
        </w:rPr>
        <w:t>12</w:t>
      </w:r>
      <w:r>
        <w:fldChar w:fldCharType="end"/>
      </w:r>
      <w:r w:rsidR="006A49C5">
        <w:t xml:space="preserve"> provides additional information on the income managed population by family status and Indigeneity, including the relative incidence of </w:t>
      </w:r>
      <w:r w:rsidR="00397CDC">
        <w:t>being subject to compulsory income management. While this latter data is not wholly comparable with other estimate</w:t>
      </w:r>
      <w:r w:rsidR="00F22B4D">
        <w:t>s</w:t>
      </w:r>
      <w:r w:rsidR="00397CDC">
        <w:t xml:space="preserve"> in this chapter</w:t>
      </w:r>
      <w:r w:rsidR="00F22B4D">
        <w:t>,</w:t>
      </w:r>
      <w:r w:rsidR="00397CDC">
        <w:t xml:space="preserve"> it nevertheless illustrates how</w:t>
      </w:r>
      <w:r w:rsidR="00F22B4D">
        <w:t>,</w:t>
      </w:r>
      <w:r w:rsidR="00397CDC">
        <w:t xml:space="preserve"> within each family type</w:t>
      </w:r>
      <w:r w:rsidR="00F22B4D">
        <w:t>,</w:t>
      </w:r>
      <w:r w:rsidR="00397CDC">
        <w:t xml:space="preserve"> Indigenous people were more likely to be </w:t>
      </w:r>
      <w:r w:rsidR="00F22B4D">
        <w:t>subject to</w:t>
      </w:r>
      <w:r w:rsidR="00397CDC">
        <w:t xml:space="preserve"> </w:t>
      </w:r>
      <w:r w:rsidR="00FF6DFC">
        <w:t xml:space="preserve">compulsory forms of </w:t>
      </w:r>
      <w:r w:rsidR="00397CDC">
        <w:t xml:space="preserve">income management than non-Indigenous income support recipients. This was particularly marked for people who were </w:t>
      </w:r>
      <w:r w:rsidR="00F22B4D">
        <w:t>a</w:t>
      </w:r>
      <w:r w:rsidR="00397CDC">
        <w:t xml:space="preserve"> member of couple, especially those without children.</w:t>
      </w:r>
    </w:p>
    <w:p w:rsidR="003A1B16" w:rsidRPr="005911E2" w:rsidRDefault="00F22B4D" w:rsidP="00E24340">
      <w:pPr>
        <w:pStyle w:val="BodyText"/>
        <w:rPr>
          <w:lang w:bidi="ar-SA"/>
        </w:rPr>
      </w:pPr>
      <w:r>
        <w:rPr>
          <w:lang w:eastAsia="en-US"/>
        </w:rPr>
        <w:t>S</w:t>
      </w:r>
      <w:r w:rsidR="00397CDC">
        <w:rPr>
          <w:lang w:eastAsia="en-US"/>
        </w:rPr>
        <w:t xml:space="preserve">ingle people without children </w:t>
      </w:r>
      <w:r w:rsidR="00FC4038">
        <w:rPr>
          <w:lang w:eastAsia="en-US"/>
        </w:rPr>
        <w:t>were the largest single</w:t>
      </w:r>
      <w:r w:rsidR="00397CDC">
        <w:rPr>
          <w:lang w:eastAsia="en-US"/>
        </w:rPr>
        <w:t xml:space="preserve"> family type across </w:t>
      </w:r>
      <w:r w:rsidR="00FC4038">
        <w:rPr>
          <w:lang w:eastAsia="en-US"/>
        </w:rPr>
        <w:t>the income management population, accounting for 79 per cent of those on the vulnerable stream, 57 per cent of those on the voluntary stream and 34 per cent of those on Compulsory Income Management</w:t>
      </w:r>
      <w:r w:rsidR="00397CDC">
        <w:rPr>
          <w:lang w:eastAsia="en-US"/>
        </w:rPr>
        <w:t xml:space="preserve">. </w:t>
      </w:r>
      <w:r w:rsidR="00397CDC" w:rsidRPr="005911E2">
        <w:rPr>
          <w:lang w:eastAsia="en-US"/>
        </w:rPr>
        <w:t xml:space="preserve">Couples without children are the second largest group of people on </w:t>
      </w:r>
      <w:r w:rsidR="00397CDC">
        <w:rPr>
          <w:lang w:eastAsia="en-US"/>
        </w:rPr>
        <w:t>Voluntary Income Management</w:t>
      </w:r>
      <w:r w:rsidR="00FC4038">
        <w:rPr>
          <w:lang w:eastAsia="en-US"/>
        </w:rPr>
        <w:t xml:space="preserve"> (27 per cent) and accounted for 24 per cent of those on Compulsory Income Management</w:t>
      </w:r>
      <w:r w:rsidR="00397CDC" w:rsidRPr="005911E2">
        <w:rPr>
          <w:lang w:eastAsia="en-US"/>
        </w:rPr>
        <w:t>.</w:t>
      </w:r>
    </w:p>
    <w:p w:rsidR="0022069A" w:rsidRPr="005911E2" w:rsidRDefault="0022069A" w:rsidP="0022069A">
      <w:pPr>
        <w:pStyle w:val="tabfighead"/>
      </w:pPr>
      <w:bookmarkStart w:id="357" w:name="_Ref321185432"/>
      <w:bookmarkStart w:id="358" w:name="_Toc321430415"/>
      <w:bookmarkStart w:id="359" w:name="_Toc321761685"/>
      <w:bookmarkStart w:id="360" w:name="_Toc321254534"/>
      <w:bookmarkStart w:id="361" w:name="_Toc328601582"/>
      <w:bookmarkStart w:id="362" w:name="_Toc329051360"/>
      <w:bookmarkStart w:id="363" w:name="_Toc335915848"/>
      <w:r w:rsidRPr="005911E2">
        <w:t xml:space="preserve">Table </w:t>
      </w:r>
      <w:r w:rsidR="00C7347D" w:rsidRPr="005911E2">
        <w:fldChar w:fldCharType="begin"/>
      </w:r>
      <w:r w:rsidR="00435FEB" w:rsidRPr="005911E2">
        <w:instrText xml:space="preserve"> STYLEREF 1 \s </w:instrText>
      </w:r>
      <w:r w:rsidR="00C7347D" w:rsidRPr="005911E2">
        <w:fldChar w:fldCharType="separate"/>
      </w:r>
      <w:r w:rsidR="007D7E45">
        <w:rPr>
          <w:noProof/>
        </w:rPr>
        <w:t>4</w:t>
      </w:r>
      <w:r w:rsidR="00C7347D" w:rsidRPr="005911E2">
        <w:rPr>
          <w:noProof/>
        </w:rPr>
        <w:fldChar w:fldCharType="end"/>
      </w:r>
      <w:r w:rsidRPr="005911E2">
        <w:noBreakHyphen/>
      </w:r>
      <w:r w:rsidR="00C7347D" w:rsidRPr="005911E2">
        <w:fldChar w:fldCharType="begin"/>
      </w:r>
      <w:r w:rsidR="00435FEB" w:rsidRPr="005911E2">
        <w:instrText xml:space="preserve"> SEQ Table \* ARABIC \s 1 </w:instrText>
      </w:r>
      <w:r w:rsidR="00C7347D" w:rsidRPr="005911E2">
        <w:fldChar w:fldCharType="separate"/>
      </w:r>
      <w:r w:rsidR="007D7E45">
        <w:rPr>
          <w:noProof/>
        </w:rPr>
        <w:t>12</w:t>
      </w:r>
      <w:r w:rsidR="00C7347D" w:rsidRPr="005911E2">
        <w:rPr>
          <w:noProof/>
        </w:rPr>
        <w:fldChar w:fldCharType="end"/>
      </w:r>
      <w:bookmarkEnd w:id="357"/>
      <w:r w:rsidRPr="005911E2">
        <w:t xml:space="preserve"> </w:t>
      </w:r>
      <w:r w:rsidRPr="005911E2">
        <w:tab/>
      </w:r>
      <w:r w:rsidR="006435C8">
        <w:t xml:space="preserve">Northern Territory </w:t>
      </w:r>
      <w:r w:rsidRPr="005911E2">
        <w:t>income managed population by family type and Indigeneity, October 2011</w:t>
      </w:r>
      <w:bookmarkEnd w:id="358"/>
      <w:bookmarkEnd w:id="359"/>
      <w:bookmarkEnd w:id="360"/>
      <w:bookmarkEnd w:id="361"/>
      <w:bookmarkEnd w:id="362"/>
      <w:bookmarkEnd w:id="363"/>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4-12 Northern Territory income managed population by family type and Indigeneity, October 2011"/>
        <w:tblDescription w:val="Table 4-12 Northern Territory income managed population by family type and Indigeneity, October 2011"/>
      </w:tblPr>
      <w:tblGrid>
        <w:gridCol w:w="1559"/>
        <w:gridCol w:w="1559"/>
        <w:gridCol w:w="992"/>
        <w:gridCol w:w="1169"/>
        <w:gridCol w:w="1185"/>
        <w:gridCol w:w="1061"/>
      </w:tblGrid>
      <w:tr w:rsidR="0022069A" w:rsidRPr="005911E2" w:rsidTr="009D15E2">
        <w:trPr>
          <w:tblHeader/>
          <w:jc w:val="right"/>
        </w:trPr>
        <w:tc>
          <w:tcPr>
            <w:tcW w:w="1559" w:type="dxa"/>
            <w:tcBorders>
              <w:top w:val="single" w:sz="4" w:space="0" w:color="auto"/>
              <w:bottom w:val="single" w:sz="4" w:space="0" w:color="auto"/>
            </w:tcBorders>
          </w:tcPr>
          <w:p w:rsidR="0022069A" w:rsidRPr="005911E2" w:rsidRDefault="0022069A" w:rsidP="00E24340">
            <w:pPr>
              <w:pStyle w:val="braytabletext"/>
            </w:pPr>
          </w:p>
        </w:tc>
        <w:tc>
          <w:tcPr>
            <w:tcW w:w="1559" w:type="dxa"/>
            <w:tcBorders>
              <w:top w:val="single" w:sz="4" w:space="0" w:color="auto"/>
              <w:bottom w:val="single" w:sz="4" w:space="0" w:color="auto"/>
            </w:tcBorders>
          </w:tcPr>
          <w:p w:rsidR="0022069A" w:rsidRPr="005911E2" w:rsidRDefault="0022069A" w:rsidP="00783DF8">
            <w:pPr>
              <w:pStyle w:val="braytabletext"/>
              <w:jc w:val="right"/>
            </w:pPr>
            <w:r w:rsidRPr="005911E2">
              <w:t>Couple with dependent child</w:t>
            </w:r>
          </w:p>
        </w:tc>
        <w:tc>
          <w:tcPr>
            <w:tcW w:w="992" w:type="dxa"/>
            <w:tcBorders>
              <w:top w:val="single" w:sz="4" w:space="0" w:color="auto"/>
              <w:bottom w:val="single" w:sz="4" w:space="0" w:color="auto"/>
            </w:tcBorders>
          </w:tcPr>
          <w:p w:rsidR="0022069A" w:rsidRPr="005911E2" w:rsidRDefault="0022069A" w:rsidP="00783DF8">
            <w:pPr>
              <w:pStyle w:val="braytabletext"/>
              <w:jc w:val="right"/>
            </w:pPr>
            <w:r w:rsidRPr="005911E2">
              <w:t>Single Parent</w:t>
            </w:r>
          </w:p>
        </w:tc>
        <w:tc>
          <w:tcPr>
            <w:tcW w:w="1169" w:type="dxa"/>
            <w:tcBorders>
              <w:top w:val="single" w:sz="4" w:space="0" w:color="auto"/>
              <w:bottom w:val="single" w:sz="4" w:space="0" w:color="auto"/>
            </w:tcBorders>
          </w:tcPr>
          <w:p w:rsidR="0022069A" w:rsidRPr="005911E2" w:rsidRDefault="0022069A" w:rsidP="00783DF8">
            <w:pPr>
              <w:pStyle w:val="braytabletext"/>
              <w:jc w:val="right"/>
            </w:pPr>
            <w:r w:rsidRPr="005911E2">
              <w:t>Couple Only</w:t>
            </w:r>
          </w:p>
        </w:tc>
        <w:tc>
          <w:tcPr>
            <w:tcW w:w="1185" w:type="dxa"/>
            <w:tcBorders>
              <w:top w:val="single" w:sz="4" w:space="0" w:color="auto"/>
              <w:bottom w:val="single" w:sz="4" w:space="0" w:color="auto"/>
            </w:tcBorders>
          </w:tcPr>
          <w:p w:rsidR="0022069A" w:rsidRPr="005911E2" w:rsidRDefault="0022069A" w:rsidP="00783DF8">
            <w:pPr>
              <w:pStyle w:val="braytabletext"/>
              <w:jc w:val="right"/>
            </w:pPr>
            <w:r w:rsidRPr="005911E2">
              <w:t>Single Person</w:t>
            </w:r>
          </w:p>
        </w:tc>
        <w:tc>
          <w:tcPr>
            <w:tcW w:w="1061" w:type="dxa"/>
            <w:tcBorders>
              <w:top w:val="single" w:sz="4" w:space="0" w:color="auto"/>
              <w:bottom w:val="single" w:sz="4" w:space="0" w:color="auto"/>
            </w:tcBorders>
          </w:tcPr>
          <w:p w:rsidR="0022069A" w:rsidRPr="005911E2" w:rsidRDefault="0022069A" w:rsidP="00783DF8">
            <w:pPr>
              <w:pStyle w:val="braytabletext"/>
              <w:jc w:val="right"/>
            </w:pPr>
            <w:r w:rsidRPr="005911E2">
              <w:t xml:space="preserve">Total </w:t>
            </w:r>
          </w:p>
        </w:tc>
      </w:tr>
      <w:tr w:rsidR="0022069A" w:rsidRPr="005911E2" w:rsidTr="00351FF6">
        <w:trPr>
          <w:jc w:val="right"/>
        </w:trPr>
        <w:tc>
          <w:tcPr>
            <w:tcW w:w="1559" w:type="dxa"/>
            <w:tcBorders>
              <w:top w:val="single" w:sz="4" w:space="0" w:color="auto"/>
            </w:tcBorders>
          </w:tcPr>
          <w:p w:rsidR="0022069A" w:rsidRPr="005911E2" w:rsidRDefault="0022069A" w:rsidP="00E24340">
            <w:pPr>
              <w:pStyle w:val="braytabletext"/>
            </w:pPr>
          </w:p>
        </w:tc>
        <w:tc>
          <w:tcPr>
            <w:tcW w:w="5966" w:type="dxa"/>
            <w:gridSpan w:val="5"/>
            <w:tcBorders>
              <w:top w:val="single" w:sz="4" w:space="0" w:color="auto"/>
            </w:tcBorders>
          </w:tcPr>
          <w:p w:rsidR="0022069A" w:rsidRPr="005911E2" w:rsidRDefault="0022069A" w:rsidP="00E24340">
            <w:pPr>
              <w:pStyle w:val="braytabletext"/>
              <w:jc w:val="center"/>
            </w:pPr>
            <w:r w:rsidRPr="005911E2">
              <w:t>Number</w:t>
            </w:r>
          </w:p>
        </w:tc>
      </w:tr>
      <w:tr w:rsidR="0022069A" w:rsidRPr="005911E2" w:rsidTr="00351FF6">
        <w:trPr>
          <w:jc w:val="right"/>
        </w:trPr>
        <w:tc>
          <w:tcPr>
            <w:tcW w:w="1559" w:type="dxa"/>
          </w:tcPr>
          <w:p w:rsidR="0022069A" w:rsidRPr="005911E2" w:rsidRDefault="0022069A" w:rsidP="00E24340">
            <w:pPr>
              <w:pStyle w:val="braytabletext"/>
            </w:pPr>
            <w:r w:rsidRPr="005911E2">
              <w:t>Indigenous</w:t>
            </w:r>
          </w:p>
        </w:tc>
        <w:tc>
          <w:tcPr>
            <w:tcW w:w="1559" w:type="dxa"/>
          </w:tcPr>
          <w:p w:rsidR="0022069A" w:rsidRPr="005911E2" w:rsidRDefault="0022069A" w:rsidP="00E24340">
            <w:pPr>
              <w:pStyle w:val="braytabletext"/>
              <w:jc w:val="right"/>
            </w:pPr>
            <w:r w:rsidRPr="005911E2">
              <w:t>2</w:t>
            </w:r>
            <w:r w:rsidR="00CF78DB">
              <w:t> </w:t>
            </w:r>
            <w:r w:rsidRPr="005911E2">
              <w:t>851</w:t>
            </w:r>
          </w:p>
        </w:tc>
        <w:tc>
          <w:tcPr>
            <w:tcW w:w="992" w:type="dxa"/>
          </w:tcPr>
          <w:p w:rsidR="0022069A" w:rsidRPr="005911E2" w:rsidRDefault="0022069A" w:rsidP="00E24340">
            <w:pPr>
              <w:pStyle w:val="braytabletext"/>
              <w:jc w:val="right"/>
            </w:pPr>
            <w:r w:rsidRPr="005911E2">
              <w:t>2</w:t>
            </w:r>
            <w:r w:rsidR="00CF78DB">
              <w:t> </w:t>
            </w:r>
            <w:r w:rsidRPr="005911E2">
              <w:t>625</w:t>
            </w:r>
          </w:p>
        </w:tc>
        <w:tc>
          <w:tcPr>
            <w:tcW w:w="1169" w:type="dxa"/>
          </w:tcPr>
          <w:p w:rsidR="0022069A" w:rsidRPr="005911E2" w:rsidRDefault="0022069A" w:rsidP="00E24340">
            <w:pPr>
              <w:pStyle w:val="braytabletext"/>
              <w:jc w:val="right"/>
            </w:pPr>
            <w:r w:rsidRPr="005911E2">
              <w:t>3</w:t>
            </w:r>
            <w:r w:rsidR="00CF78DB">
              <w:t> </w:t>
            </w:r>
            <w:r w:rsidRPr="005911E2">
              <w:t>845</w:t>
            </w:r>
          </w:p>
        </w:tc>
        <w:tc>
          <w:tcPr>
            <w:tcW w:w="1185" w:type="dxa"/>
          </w:tcPr>
          <w:p w:rsidR="0022069A" w:rsidRPr="005911E2" w:rsidRDefault="0022069A" w:rsidP="00E24340">
            <w:pPr>
              <w:pStyle w:val="braytabletext"/>
              <w:jc w:val="right"/>
            </w:pPr>
            <w:r w:rsidRPr="005911E2">
              <w:t>5</w:t>
            </w:r>
            <w:r w:rsidR="00CF78DB">
              <w:t> </w:t>
            </w:r>
            <w:r w:rsidRPr="005911E2">
              <w:t>606</w:t>
            </w:r>
          </w:p>
        </w:tc>
        <w:tc>
          <w:tcPr>
            <w:tcW w:w="1061" w:type="dxa"/>
          </w:tcPr>
          <w:p w:rsidR="0022069A" w:rsidRPr="005911E2" w:rsidRDefault="0022069A" w:rsidP="00E24340">
            <w:pPr>
              <w:pStyle w:val="braytabletext"/>
              <w:jc w:val="right"/>
            </w:pPr>
            <w:r w:rsidRPr="005911E2">
              <w:t>14</w:t>
            </w:r>
            <w:r w:rsidR="00CF78DB">
              <w:t> </w:t>
            </w:r>
            <w:r w:rsidRPr="005911E2">
              <w:t>927</w:t>
            </w:r>
          </w:p>
        </w:tc>
      </w:tr>
      <w:tr w:rsidR="0022069A" w:rsidRPr="005911E2" w:rsidTr="00351FF6">
        <w:trPr>
          <w:jc w:val="right"/>
        </w:trPr>
        <w:tc>
          <w:tcPr>
            <w:tcW w:w="1559" w:type="dxa"/>
          </w:tcPr>
          <w:p w:rsidR="0022069A" w:rsidRPr="005911E2" w:rsidRDefault="0022069A" w:rsidP="00E24340">
            <w:pPr>
              <w:pStyle w:val="braytabletext"/>
            </w:pPr>
            <w:r w:rsidRPr="005911E2">
              <w:t>Non-Indigenous</w:t>
            </w:r>
          </w:p>
        </w:tc>
        <w:tc>
          <w:tcPr>
            <w:tcW w:w="1559" w:type="dxa"/>
          </w:tcPr>
          <w:p w:rsidR="0022069A" w:rsidRPr="005911E2" w:rsidRDefault="0022069A" w:rsidP="00E24340">
            <w:pPr>
              <w:pStyle w:val="braytabletext"/>
              <w:jc w:val="right"/>
            </w:pPr>
            <w:r w:rsidRPr="005911E2">
              <w:t>109</w:t>
            </w:r>
          </w:p>
        </w:tc>
        <w:tc>
          <w:tcPr>
            <w:tcW w:w="992" w:type="dxa"/>
          </w:tcPr>
          <w:p w:rsidR="0022069A" w:rsidRPr="005911E2" w:rsidRDefault="0022069A" w:rsidP="00E24340">
            <w:pPr>
              <w:pStyle w:val="braytabletext"/>
              <w:jc w:val="right"/>
            </w:pPr>
            <w:r w:rsidRPr="005911E2">
              <w:t>381</w:t>
            </w:r>
          </w:p>
        </w:tc>
        <w:tc>
          <w:tcPr>
            <w:tcW w:w="1169" w:type="dxa"/>
          </w:tcPr>
          <w:p w:rsidR="0022069A" w:rsidRPr="005911E2" w:rsidRDefault="0022069A" w:rsidP="00E24340">
            <w:pPr>
              <w:pStyle w:val="braytabletext"/>
              <w:jc w:val="right"/>
            </w:pPr>
            <w:r w:rsidRPr="005911E2">
              <w:t>169</w:t>
            </w:r>
          </w:p>
        </w:tc>
        <w:tc>
          <w:tcPr>
            <w:tcW w:w="1185" w:type="dxa"/>
          </w:tcPr>
          <w:p w:rsidR="0022069A" w:rsidRPr="005911E2" w:rsidRDefault="0022069A" w:rsidP="00E24340">
            <w:pPr>
              <w:pStyle w:val="braytabletext"/>
              <w:jc w:val="right"/>
            </w:pPr>
            <w:r w:rsidRPr="005911E2">
              <w:t>807</w:t>
            </w:r>
          </w:p>
        </w:tc>
        <w:tc>
          <w:tcPr>
            <w:tcW w:w="1061" w:type="dxa"/>
          </w:tcPr>
          <w:p w:rsidR="0022069A" w:rsidRPr="005911E2" w:rsidRDefault="0022069A" w:rsidP="00E24340">
            <w:pPr>
              <w:pStyle w:val="braytabletext"/>
              <w:jc w:val="right"/>
            </w:pPr>
            <w:r w:rsidRPr="005911E2">
              <w:t>1</w:t>
            </w:r>
            <w:r w:rsidR="00CF78DB">
              <w:t> </w:t>
            </w:r>
            <w:r w:rsidRPr="005911E2">
              <w:t>466</w:t>
            </w:r>
          </w:p>
        </w:tc>
      </w:tr>
      <w:tr w:rsidR="0022069A" w:rsidRPr="005911E2" w:rsidTr="00351FF6">
        <w:trPr>
          <w:jc w:val="right"/>
        </w:trPr>
        <w:tc>
          <w:tcPr>
            <w:tcW w:w="1559" w:type="dxa"/>
            <w:tcBorders>
              <w:bottom w:val="single" w:sz="4" w:space="0" w:color="auto"/>
            </w:tcBorders>
          </w:tcPr>
          <w:p w:rsidR="0022069A" w:rsidRPr="005911E2" w:rsidRDefault="0022069A" w:rsidP="00E24340">
            <w:pPr>
              <w:pStyle w:val="braytabletext"/>
            </w:pPr>
            <w:r w:rsidRPr="005911E2">
              <w:t xml:space="preserve">Total </w:t>
            </w:r>
          </w:p>
        </w:tc>
        <w:tc>
          <w:tcPr>
            <w:tcW w:w="1559" w:type="dxa"/>
            <w:tcBorders>
              <w:bottom w:val="single" w:sz="4" w:space="0" w:color="auto"/>
            </w:tcBorders>
          </w:tcPr>
          <w:p w:rsidR="0022069A" w:rsidRPr="005911E2" w:rsidRDefault="0022069A" w:rsidP="00E24340">
            <w:pPr>
              <w:pStyle w:val="braytabletext"/>
              <w:jc w:val="right"/>
            </w:pPr>
            <w:r w:rsidRPr="005911E2">
              <w:t>2</w:t>
            </w:r>
            <w:r w:rsidR="00CF78DB">
              <w:t> </w:t>
            </w:r>
            <w:r w:rsidRPr="005911E2">
              <w:t>960</w:t>
            </w:r>
          </w:p>
        </w:tc>
        <w:tc>
          <w:tcPr>
            <w:tcW w:w="992" w:type="dxa"/>
            <w:tcBorders>
              <w:bottom w:val="single" w:sz="4" w:space="0" w:color="auto"/>
            </w:tcBorders>
          </w:tcPr>
          <w:p w:rsidR="0022069A" w:rsidRPr="005911E2" w:rsidRDefault="0022069A" w:rsidP="00E24340">
            <w:pPr>
              <w:pStyle w:val="braytabletext"/>
              <w:jc w:val="right"/>
            </w:pPr>
            <w:r w:rsidRPr="005911E2">
              <w:t>3</w:t>
            </w:r>
            <w:r w:rsidR="00CF78DB">
              <w:t> </w:t>
            </w:r>
            <w:r w:rsidRPr="005911E2">
              <w:t>006</w:t>
            </w:r>
          </w:p>
        </w:tc>
        <w:tc>
          <w:tcPr>
            <w:tcW w:w="1169" w:type="dxa"/>
            <w:tcBorders>
              <w:bottom w:val="single" w:sz="4" w:space="0" w:color="auto"/>
            </w:tcBorders>
          </w:tcPr>
          <w:p w:rsidR="0022069A" w:rsidRPr="005911E2" w:rsidRDefault="0022069A" w:rsidP="00E24340">
            <w:pPr>
              <w:pStyle w:val="braytabletext"/>
              <w:jc w:val="right"/>
            </w:pPr>
            <w:r w:rsidRPr="005911E2">
              <w:t>4</w:t>
            </w:r>
            <w:r w:rsidR="00CF78DB">
              <w:t> </w:t>
            </w:r>
            <w:r w:rsidRPr="005911E2">
              <w:t>014</w:t>
            </w:r>
          </w:p>
        </w:tc>
        <w:tc>
          <w:tcPr>
            <w:tcW w:w="1185" w:type="dxa"/>
            <w:tcBorders>
              <w:bottom w:val="single" w:sz="4" w:space="0" w:color="auto"/>
            </w:tcBorders>
          </w:tcPr>
          <w:p w:rsidR="0022069A" w:rsidRPr="005911E2" w:rsidRDefault="0022069A" w:rsidP="00E24340">
            <w:pPr>
              <w:pStyle w:val="braytabletext"/>
              <w:jc w:val="right"/>
            </w:pPr>
            <w:r w:rsidRPr="005911E2">
              <w:t>6</w:t>
            </w:r>
            <w:r w:rsidR="00CF78DB">
              <w:t> </w:t>
            </w:r>
            <w:r w:rsidRPr="005911E2">
              <w:t>413</w:t>
            </w:r>
          </w:p>
        </w:tc>
        <w:tc>
          <w:tcPr>
            <w:tcW w:w="1061" w:type="dxa"/>
            <w:tcBorders>
              <w:bottom w:val="single" w:sz="4" w:space="0" w:color="auto"/>
            </w:tcBorders>
          </w:tcPr>
          <w:p w:rsidR="0022069A" w:rsidRPr="005911E2" w:rsidRDefault="0022069A" w:rsidP="00E24340">
            <w:pPr>
              <w:pStyle w:val="braytabletext"/>
              <w:jc w:val="right"/>
            </w:pPr>
            <w:r w:rsidRPr="005911E2">
              <w:t>16</w:t>
            </w:r>
            <w:r w:rsidR="00CF78DB">
              <w:t> </w:t>
            </w:r>
            <w:r w:rsidRPr="005911E2">
              <w:t>393</w:t>
            </w:r>
          </w:p>
        </w:tc>
      </w:tr>
      <w:tr w:rsidR="0022069A" w:rsidRPr="005911E2" w:rsidTr="00351FF6">
        <w:trPr>
          <w:jc w:val="right"/>
        </w:trPr>
        <w:tc>
          <w:tcPr>
            <w:tcW w:w="1559" w:type="dxa"/>
            <w:tcBorders>
              <w:top w:val="single" w:sz="4" w:space="0" w:color="auto"/>
              <w:bottom w:val="single" w:sz="4" w:space="0" w:color="auto"/>
            </w:tcBorders>
          </w:tcPr>
          <w:p w:rsidR="0022069A" w:rsidRPr="005911E2" w:rsidRDefault="0022069A" w:rsidP="00E24340">
            <w:pPr>
              <w:pStyle w:val="braytabletext"/>
            </w:pPr>
          </w:p>
        </w:tc>
        <w:tc>
          <w:tcPr>
            <w:tcW w:w="5966" w:type="dxa"/>
            <w:gridSpan w:val="5"/>
            <w:tcBorders>
              <w:top w:val="single" w:sz="4" w:space="0" w:color="auto"/>
              <w:bottom w:val="single" w:sz="4" w:space="0" w:color="auto"/>
            </w:tcBorders>
          </w:tcPr>
          <w:p w:rsidR="0022069A" w:rsidRPr="005911E2" w:rsidRDefault="0022069A" w:rsidP="00E24340">
            <w:pPr>
              <w:pStyle w:val="braytabletext"/>
              <w:jc w:val="center"/>
            </w:pPr>
            <w:r w:rsidRPr="005911E2">
              <w:t>Composition</w:t>
            </w:r>
          </w:p>
        </w:tc>
      </w:tr>
      <w:tr w:rsidR="0022069A" w:rsidRPr="005911E2" w:rsidTr="00351FF6">
        <w:trPr>
          <w:jc w:val="right"/>
        </w:trPr>
        <w:tc>
          <w:tcPr>
            <w:tcW w:w="1559" w:type="dxa"/>
            <w:tcBorders>
              <w:top w:val="single" w:sz="4" w:space="0" w:color="auto"/>
            </w:tcBorders>
          </w:tcPr>
          <w:p w:rsidR="0022069A" w:rsidRPr="005911E2" w:rsidRDefault="0022069A" w:rsidP="00E24340">
            <w:pPr>
              <w:pStyle w:val="braytabletext"/>
            </w:pPr>
          </w:p>
        </w:tc>
        <w:tc>
          <w:tcPr>
            <w:tcW w:w="5966" w:type="dxa"/>
            <w:gridSpan w:val="5"/>
            <w:tcBorders>
              <w:top w:val="single" w:sz="4" w:space="0" w:color="auto"/>
            </w:tcBorders>
          </w:tcPr>
          <w:p w:rsidR="0022069A" w:rsidRPr="005911E2" w:rsidRDefault="0022069A" w:rsidP="00E24340">
            <w:pPr>
              <w:pStyle w:val="braytabletext"/>
              <w:jc w:val="center"/>
            </w:pPr>
            <w:r w:rsidRPr="005911E2">
              <w:t>-</w:t>
            </w:r>
            <w:r w:rsidR="006435C8">
              <w:t xml:space="preserve"> </w:t>
            </w:r>
            <w:r w:rsidRPr="005911E2">
              <w:t>%</w:t>
            </w:r>
            <w:r w:rsidR="006435C8">
              <w:t xml:space="preserve"> </w:t>
            </w:r>
            <w:r w:rsidRPr="005911E2">
              <w:t>-</w:t>
            </w:r>
          </w:p>
        </w:tc>
      </w:tr>
      <w:tr w:rsidR="0022069A" w:rsidRPr="005911E2" w:rsidTr="00351FF6">
        <w:trPr>
          <w:jc w:val="right"/>
        </w:trPr>
        <w:tc>
          <w:tcPr>
            <w:tcW w:w="1559" w:type="dxa"/>
          </w:tcPr>
          <w:p w:rsidR="0022069A" w:rsidRPr="005911E2" w:rsidRDefault="0022069A" w:rsidP="00E24340">
            <w:pPr>
              <w:pStyle w:val="braytabletext"/>
            </w:pPr>
            <w:r w:rsidRPr="005911E2">
              <w:t>Indigenous</w:t>
            </w:r>
          </w:p>
        </w:tc>
        <w:tc>
          <w:tcPr>
            <w:tcW w:w="1559" w:type="dxa"/>
          </w:tcPr>
          <w:p w:rsidR="0022069A" w:rsidRPr="005911E2" w:rsidRDefault="0022069A" w:rsidP="00E24340">
            <w:pPr>
              <w:pStyle w:val="braytabletext"/>
              <w:jc w:val="right"/>
            </w:pPr>
            <w:r w:rsidRPr="005911E2">
              <w:t>19.1</w:t>
            </w:r>
          </w:p>
        </w:tc>
        <w:tc>
          <w:tcPr>
            <w:tcW w:w="992" w:type="dxa"/>
          </w:tcPr>
          <w:p w:rsidR="0022069A" w:rsidRPr="005911E2" w:rsidRDefault="0022069A" w:rsidP="00E24340">
            <w:pPr>
              <w:pStyle w:val="braytabletext"/>
              <w:jc w:val="right"/>
            </w:pPr>
            <w:r w:rsidRPr="005911E2">
              <w:t>17.6</w:t>
            </w:r>
          </w:p>
        </w:tc>
        <w:tc>
          <w:tcPr>
            <w:tcW w:w="1169" w:type="dxa"/>
          </w:tcPr>
          <w:p w:rsidR="0022069A" w:rsidRPr="005911E2" w:rsidRDefault="0022069A" w:rsidP="00E24340">
            <w:pPr>
              <w:pStyle w:val="braytabletext"/>
              <w:jc w:val="right"/>
            </w:pPr>
            <w:r w:rsidRPr="005911E2">
              <w:t>25.8</w:t>
            </w:r>
          </w:p>
        </w:tc>
        <w:tc>
          <w:tcPr>
            <w:tcW w:w="1185" w:type="dxa"/>
          </w:tcPr>
          <w:p w:rsidR="0022069A" w:rsidRPr="005911E2" w:rsidRDefault="0022069A" w:rsidP="00E24340">
            <w:pPr>
              <w:pStyle w:val="braytabletext"/>
              <w:jc w:val="right"/>
            </w:pPr>
            <w:r w:rsidRPr="005911E2">
              <w:t>37.6</w:t>
            </w:r>
          </w:p>
        </w:tc>
        <w:tc>
          <w:tcPr>
            <w:tcW w:w="1061" w:type="dxa"/>
          </w:tcPr>
          <w:p w:rsidR="0022069A" w:rsidRPr="005911E2" w:rsidRDefault="0022069A" w:rsidP="00E24340">
            <w:pPr>
              <w:pStyle w:val="braytabletext"/>
              <w:jc w:val="right"/>
            </w:pPr>
            <w:r w:rsidRPr="005911E2">
              <w:t>100.0</w:t>
            </w:r>
          </w:p>
        </w:tc>
      </w:tr>
      <w:tr w:rsidR="0022069A" w:rsidRPr="005911E2" w:rsidTr="00351FF6">
        <w:trPr>
          <w:jc w:val="right"/>
        </w:trPr>
        <w:tc>
          <w:tcPr>
            <w:tcW w:w="1559" w:type="dxa"/>
          </w:tcPr>
          <w:p w:rsidR="0022069A" w:rsidRPr="005911E2" w:rsidRDefault="0022069A" w:rsidP="00E24340">
            <w:pPr>
              <w:pStyle w:val="braytabletext"/>
            </w:pPr>
            <w:r w:rsidRPr="005911E2">
              <w:t>Non-Indigenous</w:t>
            </w:r>
          </w:p>
        </w:tc>
        <w:tc>
          <w:tcPr>
            <w:tcW w:w="1559" w:type="dxa"/>
          </w:tcPr>
          <w:p w:rsidR="0022069A" w:rsidRPr="005911E2" w:rsidRDefault="0022069A" w:rsidP="00E24340">
            <w:pPr>
              <w:pStyle w:val="braytabletext"/>
              <w:jc w:val="right"/>
            </w:pPr>
            <w:r w:rsidRPr="005911E2">
              <w:t>7.4</w:t>
            </w:r>
          </w:p>
        </w:tc>
        <w:tc>
          <w:tcPr>
            <w:tcW w:w="992" w:type="dxa"/>
          </w:tcPr>
          <w:p w:rsidR="0022069A" w:rsidRPr="005911E2" w:rsidRDefault="0022069A" w:rsidP="00E24340">
            <w:pPr>
              <w:pStyle w:val="braytabletext"/>
              <w:jc w:val="right"/>
            </w:pPr>
            <w:r w:rsidRPr="005911E2">
              <w:t>26.0</w:t>
            </w:r>
          </w:p>
        </w:tc>
        <w:tc>
          <w:tcPr>
            <w:tcW w:w="1169" w:type="dxa"/>
          </w:tcPr>
          <w:p w:rsidR="0022069A" w:rsidRPr="005911E2" w:rsidRDefault="0022069A" w:rsidP="00E24340">
            <w:pPr>
              <w:pStyle w:val="braytabletext"/>
              <w:jc w:val="right"/>
            </w:pPr>
            <w:r w:rsidRPr="005911E2">
              <w:t>11.5</w:t>
            </w:r>
          </w:p>
        </w:tc>
        <w:tc>
          <w:tcPr>
            <w:tcW w:w="1185" w:type="dxa"/>
          </w:tcPr>
          <w:p w:rsidR="0022069A" w:rsidRPr="005911E2" w:rsidRDefault="0022069A" w:rsidP="00E24340">
            <w:pPr>
              <w:pStyle w:val="braytabletext"/>
              <w:jc w:val="right"/>
            </w:pPr>
            <w:r w:rsidRPr="005911E2">
              <w:t>55.0</w:t>
            </w:r>
          </w:p>
        </w:tc>
        <w:tc>
          <w:tcPr>
            <w:tcW w:w="1061" w:type="dxa"/>
          </w:tcPr>
          <w:p w:rsidR="0022069A" w:rsidRPr="005911E2" w:rsidRDefault="0022069A" w:rsidP="00E24340">
            <w:pPr>
              <w:pStyle w:val="braytabletext"/>
              <w:jc w:val="right"/>
            </w:pPr>
            <w:r w:rsidRPr="005911E2">
              <w:t>100.0</w:t>
            </w:r>
          </w:p>
        </w:tc>
      </w:tr>
      <w:tr w:rsidR="0022069A" w:rsidRPr="005911E2" w:rsidTr="00351FF6">
        <w:trPr>
          <w:jc w:val="right"/>
        </w:trPr>
        <w:tc>
          <w:tcPr>
            <w:tcW w:w="1559" w:type="dxa"/>
            <w:tcBorders>
              <w:bottom w:val="single" w:sz="4" w:space="0" w:color="auto"/>
            </w:tcBorders>
          </w:tcPr>
          <w:p w:rsidR="0022069A" w:rsidRPr="005911E2" w:rsidRDefault="0022069A" w:rsidP="00E24340">
            <w:pPr>
              <w:pStyle w:val="braytabletext"/>
            </w:pPr>
            <w:r w:rsidRPr="005911E2">
              <w:t xml:space="preserve">Total </w:t>
            </w:r>
          </w:p>
        </w:tc>
        <w:tc>
          <w:tcPr>
            <w:tcW w:w="1559" w:type="dxa"/>
            <w:tcBorders>
              <w:bottom w:val="single" w:sz="4" w:space="0" w:color="auto"/>
            </w:tcBorders>
          </w:tcPr>
          <w:p w:rsidR="0022069A" w:rsidRPr="005911E2" w:rsidRDefault="0022069A" w:rsidP="00E24340">
            <w:pPr>
              <w:pStyle w:val="braytabletext"/>
              <w:jc w:val="right"/>
            </w:pPr>
            <w:r w:rsidRPr="005911E2">
              <w:t>18.1</w:t>
            </w:r>
          </w:p>
        </w:tc>
        <w:tc>
          <w:tcPr>
            <w:tcW w:w="992" w:type="dxa"/>
            <w:tcBorders>
              <w:bottom w:val="single" w:sz="4" w:space="0" w:color="auto"/>
            </w:tcBorders>
          </w:tcPr>
          <w:p w:rsidR="0022069A" w:rsidRPr="005911E2" w:rsidRDefault="0022069A" w:rsidP="00E24340">
            <w:pPr>
              <w:pStyle w:val="braytabletext"/>
              <w:jc w:val="right"/>
            </w:pPr>
            <w:r w:rsidRPr="005911E2">
              <w:t>18.3</w:t>
            </w:r>
          </w:p>
        </w:tc>
        <w:tc>
          <w:tcPr>
            <w:tcW w:w="1169" w:type="dxa"/>
            <w:tcBorders>
              <w:bottom w:val="single" w:sz="4" w:space="0" w:color="auto"/>
            </w:tcBorders>
          </w:tcPr>
          <w:p w:rsidR="0022069A" w:rsidRPr="005911E2" w:rsidRDefault="0022069A" w:rsidP="00E24340">
            <w:pPr>
              <w:pStyle w:val="braytabletext"/>
              <w:jc w:val="right"/>
            </w:pPr>
            <w:r w:rsidRPr="005911E2">
              <w:t>24.5</w:t>
            </w:r>
          </w:p>
        </w:tc>
        <w:tc>
          <w:tcPr>
            <w:tcW w:w="1185" w:type="dxa"/>
            <w:tcBorders>
              <w:bottom w:val="single" w:sz="4" w:space="0" w:color="auto"/>
            </w:tcBorders>
          </w:tcPr>
          <w:p w:rsidR="0022069A" w:rsidRPr="005911E2" w:rsidRDefault="0022069A" w:rsidP="00E24340">
            <w:pPr>
              <w:pStyle w:val="braytabletext"/>
              <w:jc w:val="right"/>
            </w:pPr>
            <w:r w:rsidRPr="005911E2">
              <w:t>39.1</w:t>
            </w:r>
          </w:p>
        </w:tc>
        <w:tc>
          <w:tcPr>
            <w:tcW w:w="1061" w:type="dxa"/>
            <w:tcBorders>
              <w:bottom w:val="single" w:sz="4" w:space="0" w:color="auto"/>
            </w:tcBorders>
          </w:tcPr>
          <w:p w:rsidR="0022069A" w:rsidRPr="005911E2" w:rsidRDefault="0022069A" w:rsidP="00E24340">
            <w:pPr>
              <w:pStyle w:val="braytabletext"/>
              <w:jc w:val="right"/>
            </w:pPr>
            <w:r w:rsidRPr="005911E2">
              <w:t>100.0</w:t>
            </w:r>
          </w:p>
        </w:tc>
      </w:tr>
      <w:tr w:rsidR="0022069A" w:rsidRPr="005911E2" w:rsidTr="00351FF6">
        <w:trPr>
          <w:jc w:val="right"/>
        </w:trPr>
        <w:tc>
          <w:tcPr>
            <w:tcW w:w="1559" w:type="dxa"/>
            <w:tcBorders>
              <w:top w:val="single" w:sz="4" w:space="0" w:color="auto"/>
              <w:bottom w:val="single" w:sz="4" w:space="0" w:color="auto"/>
            </w:tcBorders>
          </w:tcPr>
          <w:p w:rsidR="0022069A" w:rsidRPr="005911E2" w:rsidRDefault="0022069A" w:rsidP="00E24340">
            <w:pPr>
              <w:pStyle w:val="braytabletext"/>
            </w:pPr>
          </w:p>
        </w:tc>
        <w:tc>
          <w:tcPr>
            <w:tcW w:w="5966" w:type="dxa"/>
            <w:gridSpan w:val="5"/>
            <w:tcBorders>
              <w:top w:val="single" w:sz="4" w:space="0" w:color="auto"/>
              <w:bottom w:val="single" w:sz="4" w:space="0" w:color="auto"/>
            </w:tcBorders>
          </w:tcPr>
          <w:p w:rsidR="0022069A" w:rsidRPr="005911E2" w:rsidRDefault="0022069A" w:rsidP="00E24340">
            <w:pPr>
              <w:pStyle w:val="braytabletext"/>
              <w:jc w:val="center"/>
            </w:pPr>
            <w:r w:rsidRPr="005911E2">
              <w:t>Incidence of CIM (within CIM targeted income support payment recipients)</w:t>
            </w:r>
          </w:p>
        </w:tc>
      </w:tr>
      <w:tr w:rsidR="0022069A" w:rsidRPr="005911E2" w:rsidTr="00351FF6">
        <w:trPr>
          <w:jc w:val="right"/>
        </w:trPr>
        <w:tc>
          <w:tcPr>
            <w:tcW w:w="1559" w:type="dxa"/>
            <w:tcBorders>
              <w:top w:val="single" w:sz="4" w:space="0" w:color="auto"/>
            </w:tcBorders>
          </w:tcPr>
          <w:p w:rsidR="0022069A" w:rsidRPr="005911E2" w:rsidRDefault="0022069A" w:rsidP="00E24340">
            <w:pPr>
              <w:pStyle w:val="braytabletext"/>
            </w:pPr>
          </w:p>
        </w:tc>
        <w:tc>
          <w:tcPr>
            <w:tcW w:w="5966" w:type="dxa"/>
            <w:gridSpan w:val="5"/>
            <w:tcBorders>
              <w:top w:val="single" w:sz="4" w:space="0" w:color="auto"/>
            </w:tcBorders>
            <w:shd w:val="clear" w:color="auto" w:fill="auto"/>
          </w:tcPr>
          <w:p w:rsidR="0022069A" w:rsidRPr="005911E2" w:rsidRDefault="0022069A" w:rsidP="00E24340">
            <w:pPr>
              <w:pStyle w:val="braytabletext"/>
              <w:jc w:val="center"/>
            </w:pPr>
            <w:r w:rsidRPr="005911E2">
              <w:t>-</w:t>
            </w:r>
            <w:r w:rsidR="006435C8">
              <w:t xml:space="preserve"> </w:t>
            </w:r>
            <w:r w:rsidRPr="005911E2">
              <w:t>%</w:t>
            </w:r>
            <w:r w:rsidR="006435C8">
              <w:t xml:space="preserve"> </w:t>
            </w:r>
            <w:r w:rsidRPr="005911E2">
              <w:t>-</w:t>
            </w:r>
          </w:p>
        </w:tc>
      </w:tr>
      <w:tr w:rsidR="0022069A" w:rsidRPr="005911E2" w:rsidTr="00351FF6">
        <w:trPr>
          <w:jc w:val="right"/>
        </w:trPr>
        <w:tc>
          <w:tcPr>
            <w:tcW w:w="1559" w:type="dxa"/>
          </w:tcPr>
          <w:p w:rsidR="0022069A" w:rsidRPr="005911E2" w:rsidRDefault="0022069A" w:rsidP="00E24340">
            <w:pPr>
              <w:pStyle w:val="braytabletext"/>
            </w:pPr>
            <w:r w:rsidRPr="005911E2">
              <w:t>Indigenous</w:t>
            </w:r>
          </w:p>
        </w:tc>
        <w:tc>
          <w:tcPr>
            <w:tcW w:w="1559" w:type="dxa"/>
            <w:shd w:val="clear" w:color="auto" w:fill="auto"/>
            <w:vAlign w:val="bottom"/>
          </w:tcPr>
          <w:p w:rsidR="0022069A" w:rsidRPr="005911E2" w:rsidRDefault="0022069A" w:rsidP="00E24340">
            <w:pPr>
              <w:pStyle w:val="braytabletext"/>
              <w:jc w:val="right"/>
            </w:pPr>
            <w:r w:rsidRPr="005911E2">
              <w:t>88.0</w:t>
            </w:r>
          </w:p>
        </w:tc>
        <w:tc>
          <w:tcPr>
            <w:tcW w:w="992" w:type="dxa"/>
            <w:shd w:val="clear" w:color="auto" w:fill="auto"/>
            <w:vAlign w:val="bottom"/>
          </w:tcPr>
          <w:p w:rsidR="0022069A" w:rsidRPr="005911E2" w:rsidRDefault="0022069A" w:rsidP="00E24340">
            <w:pPr>
              <w:pStyle w:val="braytabletext"/>
              <w:jc w:val="right"/>
            </w:pPr>
            <w:r w:rsidRPr="005911E2">
              <w:t>90.7</w:t>
            </w:r>
          </w:p>
        </w:tc>
        <w:tc>
          <w:tcPr>
            <w:tcW w:w="1169" w:type="dxa"/>
            <w:shd w:val="clear" w:color="auto" w:fill="auto"/>
            <w:vAlign w:val="bottom"/>
          </w:tcPr>
          <w:p w:rsidR="0022069A" w:rsidRPr="005911E2" w:rsidRDefault="0022069A" w:rsidP="00E24340">
            <w:pPr>
              <w:pStyle w:val="braytabletext"/>
              <w:jc w:val="right"/>
            </w:pPr>
            <w:r w:rsidRPr="005911E2">
              <w:t>80.7</w:t>
            </w:r>
          </w:p>
        </w:tc>
        <w:tc>
          <w:tcPr>
            <w:tcW w:w="1185" w:type="dxa"/>
            <w:shd w:val="clear" w:color="auto" w:fill="auto"/>
            <w:vAlign w:val="bottom"/>
          </w:tcPr>
          <w:p w:rsidR="0022069A" w:rsidRPr="005911E2" w:rsidRDefault="0022069A" w:rsidP="00E24340">
            <w:pPr>
              <w:pStyle w:val="braytabletext"/>
              <w:jc w:val="right"/>
            </w:pPr>
            <w:r w:rsidRPr="005911E2">
              <w:t>68.1</w:t>
            </w:r>
          </w:p>
        </w:tc>
        <w:tc>
          <w:tcPr>
            <w:tcW w:w="1061" w:type="dxa"/>
            <w:shd w:val="clear" w:color="auto" w:fill="auto"/>
            <w:vAlign w:val="bottom"/>
          </w:tcPr>
          <w:p w:rsidR="0022069A" w:rsidRPr="005911E2" w:rsidRDefault="0022069A" w:rsidP="00E24340">
            <w:pPr>
              <w:pStyle w:val="braytabletext"/>
              <w:jc w:val="right"/>
            </w:pPr>
            <w:r w:rsidRPr="005911E2">
              <w:t>80.0</w:t>
            </w:r>
          </w:p>
        </w:tc>
      </w:tr>
      <w:tr w:rsidR="0022069A" w:rsidRPr="005911E2" w:rsidTr="00351FF6">
        <w:trPr>
          <w:jc w:val="right"/>
        </w:trPr>
        <w:tc>
          <w:tcPr>
            <w:tcW w:w="1559" w:type="dxa"/>
          </w:tcPr>
          <w:p w:rsidR="0022069A" w:rsidRPr="005911E2" w:rsidRDefault="0022069A" w:rsidP="00E24340">
            <w:pPr>
              <w:pStyle w:val="braytabletext"/>
            </w:pPr>
            <w:r w:rsidRPr="005911E2">
              <w:t>Non-Indigenous</w:t>
            </w:r>
          </w:p>
        </w:tc>
        <w:tc>
          <w:tcPr>
            <w:tcW w:w="1559" w:type="dxa"/>
            <w:shd w:val="clear" w:color="auto" w:fill="auto"/>
            <w:vAlign w:val="bottom"/>
          </w:tcPr>
          <w:p w:rsidR="0022069A" w:rsidRPr="005911E2" w:rsidRDefault="0022069A" w:rsidP="00E24340">
            <w:pPr>
              <w:pStyle w:val="braytabletext"/>
              <w:jc w:val="right"/>
            </w:pPr>
            <w:r w:rsidRPr="005911E2">
              <w:t>75.6</w:t>
            </w:r>
          </w:p>
        </w:tc>
        <w:tc>
          <w:tcPr>
            <w:tcW w:w="992" w:type="dxa"/>
            <w:shd w:val="clear" w:color="auto" w:fill="auto"/>
            <w:vAlign w:val="bottom"/>
          </w:tcPr>
          <w:p w:rsidR="0022069A" w:rsidRPr="005911E2" w:rsidRDefault="0022069A" w:rsidP="00E24340">
            <w:pPr>
              <w:pStyle w:val="braytabletext"/>
              <w:jc w:val="right"/>
            </w:pPr>
            <w:r w:rsidRPr="005911E2">
              <w:t>81.4</w:t>
            </w:r>
          </w:p>
        </w:tc>
        <w:tc>
          <w:tcPr>
            <w:tcW w:w="1169" w:type="dxa"/>
            <w:shd w:val="clear" w:color="auto" w:fill="auto"/>
            <w:vAlign w:val="bottom"/>
          </w:tcPr>
          <w:p w:rsidR="0022069A" w:rsidRPr="005911E2" w:rsidRDefault="0022069A" w:rsidP="00E24340">
            <w:pPr>
              <w:pStyle w:val="braytabletext"/>
              <w:jc w:val="right"/>
            </w:pPr>
            <w:r w:rsidRPr="005911E2">
              <w:t>55.2</w:t>
            </w:r>
          </w:p>
        </w:tc>
        <w:tc>
          <w:tcPr>
            <w:tcW w:w="1185" w:type="dxa"/>
            <w:shd w:val="clear" w:color="auto" w:fill="auto"/>
            <w:vAlign w:val="bottom"/>
          </w:tcPr>
          <w:p w:rsidR="0022069A" w:rsidRPr="005911E2" w:rsidRDefault="0022069A" w:rsidP="00E24340">
            <w:pPr>
              <w:pStyle w:val="braytabletext"/>
              <w:jc w:val="right"/>
            </w:pPr>
            <w:r w:rsidRPr="005911E2">
              <w:t>64.2</w:t>
            </w:r>
          </w:p>
        </w:tc>
        <w:tc>
          <w:tcPr>
            <w:tcW w:w="1061" w:type="dxa"/>
            <w:shd w:val="clear" w:color="auto" w:fill="auto"/>
            <w:vAlign w:val="bottom"/>
          </w:tcPr>
          <w:p w:rsidR="0022069A" w:rsidRPr="005911E2" w:rsidRDefault="0022069A" w:rsidP="00E24340">
            <w:pPr>
              <w:pStyle w:val="braytabletext"/>
              <w:jc w:val="right"/>
            </w:pPr>
            <w:r w:rsidRPr="005911E2">
              <w:t>70.1</w:t>
            </w:r>
          </w:p>
        </w:tc>
      </w:tr>
      <w:tr w:rsidR="0022069A" w:rsidRPr="005911E2" w:rsidTr="00351FF6">
        <w:trPr>
          <w:jc w:val="right"/>
        </w:trPr>
        <w:tc>
          <w:tcPr>
            <w:tcW w:w="1559" w:type="dxa"/>
            <w:tcBorders>
              <w:bottom w:val="single" w:sz="4" w:space="0" w:color="auto"/>
            </w:tcBorders>
          </w:tcPr>
          <w:p w:rsidR="0022069A" w:rsidRPr="005911E2" w:rsidRDefault="0022069A" w:rsidP="00E24340">
            <w:pPr>
              <w:pStyle w:val="braytabletext"/>
            </w:pPr>
            <w:r w:rsidRPr="005911E2">
              <w:t xml:space="preserve">Total </w:t>
            </w:r>
          </w:p>
        </w:tc>
        <w:tc>
          <w:tcPr>
            <w:tcW w:w="1559" w:type="dxa"/>
            <w:tcBorders>
              <w:bottom w:val="single" w:sz="4" w:space="0" w:color="auto"/>
            </w:tcBorders>
            <w:shd w:val="clear" w:color="auto" w:fill="auto"/>
            <w:vAlign w:val="bottom"/>
          </w:tcPr>
          <w:p w:rsidR="0022069A" w:rsidRPr="005911E2" w:rsidRDefault="0022069A" w:rsidP="00E24340">
            <w:pPr>
              <w:pStyle w:val="braytabletext"/>
              <w:jc w:val="right"/>
            </w:pPr>
            <w:r w:rsidRPr="005911E2">
              <w:t>86.7</w:t>
            </w:r>
          </w:p>
        </w:tc>
        <w:tc>
          <w:tcPr>
            <w:tcW w:w="992" w:type="dxa"/>
            <w:tcBorders>
              <w:bottom w:val="single" w:sz="4" w:space="0" w:color="auto"/>
            </w:tcBorders>
            <w:shd w:val="clear" w:color="auto" w:fill="auto"/>
            <w:vAlign w:val="bottom"/>
          </w:tcPr>
          <w:p w:rsidR="0022069A" w:rsidRPr="005911E2" w:rsidRDefault="0022069A" w:rsidP="00E24340">
            <w:pPr>
              <w:pStyle w:val="braytabletext"/>
              <w:jc w:val="right"/>
            </w:pPr>
            <w:r w:rsidRPr="005911E2">
              <w:t>87.6</w:t>
            </w:r>
          </w:p>
        </w:tc>
        <w:tc>
          <w:tcPr>
            <w:tcW w:w="1169" w:type="dxa"/>
            <w:tcBorders>
              <w:bottom w:val="single" w:sz="4" w:space="0" w:color="auto"/>
            </w:tcBorders>
            <w:shd w:val="clear" w:color="auto" w:fill="auto"/>
            <w:vAlign w:val="bottom"/>
          </w:tcPr>
          <w:p w:rsidR="0022069A" w:rsidRPr="005911E2" w:rsidRDefault="0022069A" w:rsidP="00E24340">
            <w:pPr>
              <w:pStyle w:val="braytabletext"/>
              <w:jc w:val="right"/>
            </w:pPr>
            <w:r w:rsidRPr="005911E2">
              <w:t>78.3</w:t>
            </w:r>
          </w:p>
        </w:tc>
        <w:tc>
          <w:tcPr>
            <w:tcW w:w="1185" w:type="dxa"/>
            <w:tcBorders>
              <w:bottom w:val="single" w:sz="4" w:space="0" w:color="auto"/>
            </w:tcBorders>
            <w:shd w:val="clear" w:color="auto" w:fill="auto"/>
            <w:vAlign w:val="bottom"/>
          </w:tcPr>
          <w:p w:rsidR="0022069A" w:rsidRPr="005911E2" w:rsidRDefault="0022069A" w:rsidP="00E24340">
            <w:pPr>
              <w:pStyle w:val="braytabletext"/>
              <w:jc w:val="right"/>
            </w:pPr>
            <w:r w:rsidRPr="005911E2">
              <w:t>66.9</w:t>
            </w:r>
          </w:p>
        </w:tc>
        <w:tc>
          <w:tcPr>
            <w:tcW w:w="1061" w:type="dxa"/>
            <w:tcBorders>
              <w:bottom w:val="single" w:sz="4" w:space="0" w:color="auto"/>
            </w:tcBorders>
            <w:shd w:val="clear" w:color="auto" w:fill="auto"/>
            <w:vAlign w:val="bottom"/>
          </w:tcPr>
          <w:p w:rsidR="0022069A" w:rsidRPr="005911E2" w:rsidRDefault="0022069A" w:rsidP="00E24340">
            <w:pPr>
              <w:pStyle w:val="braytabletext"/>
              <w:jc w:val="right"/>
            </w:pPr>
            <w:r w:rsidRPr="005911E2">
              <w:t>77.7</w:t>
            </w:r>
          </w:p>
        </w:tc>
      </w:tr>
    </w:tbl>
    <w:p w:rsidR="00583547" w:rsidRDefault="00583547" w:rsidP="00CF78DB">
      <w:pPr>
        <w:pStyle w:val="tablefootnotes"/>
      </w:pPr>
    </w:p>
    <w:p w:rsidR="0022069A" w:rsidRPr="005911E2" w:rsidRDefault="0022069A" w:rsidP="00CF78DB">
      <w:pPr>
        <w:pStyle w:val="tablefootnotes"/>
      </w:pPr>
      <w:r w:rsidRPr="005911E2">
        <w:t xml:space="preserve">Note: </w:t>
      </w:r>
      <w:r w:rsidR="00CF78DB">
        <w:tab/>
      </w:r>
      <w:r w:rsidRPr="005911E2">
        <w:t xml:space="preserve">Family type derived from income support payment and </w:t>
      </w:r>
      <w:r w:rsidR="00F878E4">
        <w:t>income management</w:t>
      </w:r>
      <w:r w:rsidRPr="005911E2">
        <w:t xml:space="preserve"> person files; Indigenous status from </w:t>
      </w:r>
      <w:r w:rsidR="00F878E4">
        <w:t>income management</w:t>
      </w:r>
      <w:r w:rsidRPr="005911E2">
        <w:t xml:space="preserve"> person record. Definition of incidence </w:t>
      </w:r>
      <w:r w:rsidR="00636FC6">
        <w:t xml:space="preserve">in the third panel </w:t>
      </w:r>
      <w:r w:rsidRPr="005911E2">
        <w:t xml:space="preserve">is all people on </w:t>
      </w:r>
      <w:r w:rsidR="004808B3">
        <w:t>Compulsory Income Management</w:t>
      </w:r>
      <w:r w:rsidRPr="005911E2">
        <w:t xml:space="preserve"> out of all the people receiving an income support payment targeted by </w:t>
      </w:r>
      <w:r w:rsidR="004808B3">
        <w:t>Compulsory Income Management</w:t>
      </w:r>
      <w:r w:rsidRPr="005911E2">
        <w:t>.</w:t>
      </w:r>
      <w:r w:rsidR="003A0C52">
        <w:t xml:space="preserve"> NB the numerator </w:t>
      </w:r>
      <w:r w:rsidR="00FC4038">
        <w:t>for this</w:t>
      </w:r>
      <w:r w:rsidR="003A0C52">
        <w:t xml:space="preserve"> is 14</w:t>
      </w:r>
      <w:r w:rsidR="009A4DD8">
        <w:t> </w:t>
      </w:r>
      <w:r w:rsidR="003A0C52">
        <w:t>759</w:t>
      </w:r>
      <w:r w:rsidR="00F35EAE">
        <w:t>.</w:t>
      </w:r>
      <w:r w:rsidR="003A0C52">
        <w:t xml:space="preserve"> This is derived from a different dataset than </w:t>
      </w:r>
      <w:r w:rsidR="00FC4038">
        <w:t>used elsewhere</w:t>
      </w:r>
      <w:r w:rsidR="003A0C52">
        <w:t>.</w:t>
      </w:r>
      <w:r w:rsidR="00BB14C5">
        <w:t xml:space="preserve"> </w:t>
      </w:r>
      <w:r w:rsidR="003A0C52">
        <w:t xml:space="preserve">Nevertheless the </w:t>
      </w:r>
      <w:r w:rsidR="00BB552A">
        <w:t>results</w:t>
      </w:r>
      <w:r w:rsidR="003A0C52">
        <w:t xml:space="preserve"> are representative of the population.</w:t>
      </w:r>
    </w:p>
    <w:p w:rsidR="00CF78DB" w:rsidRPr="005911E2" w:rsidRDefault="00CF78DB" w:rsidP="00CF78DB">
      <w:pPr>
        <w:pStyle w:val="tablefootnotes"/>
      </w:pPr>
      <w:r w:rsidRPr="005911E2">
        <w:t xml:space="preserve">Population: </w:t>
      </w:r>
      <w:r>
        <w:tab/>
      </w:r>
      <w:r w:rsidRPr="005911E2">
        <w:t xml:space="preserve">Income </w:t>
      </w:r>
      <w:r>
        <w:t>s</w:t>
      </w:r>
      <w:r w:rsidRPr="005911E2">
        <w:t>upport recipients in the</w:t>
      </w:r>
      <w:r w:rsidR="006435C8">
        <w:t xml:space="preserve"> Northern Territory </w:t>
      </w:r>
      <w:r w:rsidRPr="005911E2">
        <w:t xml:space="preserve">subject to </w:t>
      </w:r>
      <w:r>
        <w:t>i</w:t>
      </w:r>
      <w:r w:rsidRPr="005911E2">
        <w:t xml:space="preserve">ncome </w:t>
      </w:r>
      <w:r>
        <w:t>m</w:t>
      </w:r>
      <w:r w:rsidRPr="005911E2">
        <w:t>anagement</w:t>
      </w:r>
      <w:r w:rsidR="00943DCB">
        <w:t>.</w:t>
      </w:r>
    </w:p>
    <w:p w:rsidR="0022069A" w:rsidRDefault="0022069A" w:rsidP="00943DCB">
      <w:pPr>
        <w:pStyle w:val="tablefootnoteslastline"/>
      </w:pPr>
      <w:r w:rsidRPr="005911E2">
        <w:t xml:space="preserve">Source: </w:t>
      </w:r>
      <w:r w:rsidR="00CF78DB">
        <w:tab/>
      </w:r>
      <w:r w:rsidRPr="005911E2">
        <w:t xml:space="preserve">Income </w:t>
      </w:r>
      <w:r w:rsidR="00583547">
        <w:t>s</w:t>
      </w:r>
      <w:r w:rsidRPr="005911E2">
        <w:t xml:space="preserve">upport payments file and </w:t>
      </w:r>
      <w:r w:rsidR="00F878E4">
        <w:t>income management</w:t>
      </w:r>
      <w:r w:rsidRPr="005911E2">
        <w:t xml:space="preserve"> person file for fortnight ending 28 October</w:t>
      </w:r>
      <w:r w:rsidR="00943DCB">
        <w:t>.</w:t>
      </w:r>
    </w:p>
    <w:p w:rsidR="0022069A" w:rsidRPr="005911E2" w:rsidRDefault="0022069A" w:rsidP="00BD6DFD">
      <w:pPr>
        <w:pStyle w:val="Heading3"/>
      </w:pPr>
      <w:r w:rsidRPr="005911E2">
        <w:lastRenderedPageBreak/>
        <w:t>Age and number of children</w:t>
      </w:r>
    </w:p>
    <w:p w:rsidR="0022069A" w:rsidRPr="005911E2" w:rsidRDefault="0022069A" w:rsidP="0022069A">
      <w:pPr>
        <w:pStyle w:val="BodyText"/>
        <w:rPr>
          <w:lang w:eastAsia="en-US"/>
        </w:rPr>
      </w:pPr>
      <w:r w:rsidRPr="005911E2">
        <w:rPr>
          <w:lang w:eastAsia="en-US"/>
        </w:rPr>
        <w:t>Of the 5</w:t>
      </w:r>
      <w:r w:rsidR="00583547">
        <w:rPr>
          <w:lang w:eastAsia="en-US"/>
        </w:rPr>
        <w:t xml:space="preserve"> </w:t>
      </w:r>
      <w:r w:rsidRPr="005911E2">
        <w:rPr>
          <w:lang w:eastAsia="en-US"/>
        </w:rPr>
        <w:t xml:space="preserve">966 people with children who are subject to </w:t>
      </w:r>
      <w:r w:rsidR="00F878E4">
        <w:rPr>
          <w:lang w:eastAsia="en-US"/>
        </w:rPr>
        <w:t>income management</w:t>
      </w:r>
      <w:r w:rsidRPr="005911E2">
        <w:rPr>
          <w:lang w:eastAsia="en-US"/>
        </w:rPr>
        <w:t xml:space="preserve">, see </w:t>
      </w:r>
      <w:r w:rsidR="006F14AA" w:rsidRPr="005911E2">
        <w:t xml:space="preserve">Table </w:t>
      </w:r>
      <w:r w:rsidR="006F14AA" w:rsidRPr="005911E2">
        <w:rPr>
          <w:noProof/>
        </w:rPr>
        <w:t>4</w:t>
      </w:r>
      <w:r w:rsidR="006F14AA" w:rsidRPr="005911E2">
        <w:noBreakHyphen/>
      </w:r>
      <w:r w:rsidR="006F14AA" w:rsidRPr="005911E2">
        <w:rPr>
          <w:noProof/>
        </w:rPr>
        <w:t>13</w:t>
      </w:r>
      <w:r w:rsidRPr="005911E2">
        <w:rPr>
          <w:noProof/>
        </w:rPr>
        <w:t>,</w:t>
      </w:r>
      <w:r w:rsidRPr="005911E2">
        <w:rPr>
          <w:lang w:eastAsia="en-US"/>
        </w:rPr>
        <w:t xml:space="preserve"> the majority (43 per cent) have one child. The average age of the youngest child within these families is 4.7 years (under school age).</w:t>
      </w:r>
    </w:p>
    <w:p w:rsidR="0022069A" w:rsidRPr="005911E2" w:rsidRDefault="0022069A" w:rsidP="0022069A">
      <w:pPr>
        <w:pStyle w:val="BodyText"/>
        <w:rPr>
          <w:lang w:eastAsia="en-US"/>
        </w:rPr>
      </w:pPr>
      <w:r w:rsidRPr="005911E2">
        <w:rPr>
          <w:lang w:eastAsia="en-US"/>
        </w:rPr>
        <w:t xml:space="preserve">Within the </w:t>
      </w:r>
      <w:r w:rsidR="00F878E4">
        <w:rPr>
          <w:lang w:eastAsia="en-US"/>
        </w:rPr>
        <w:t>income management</w:t>
      </w:r>
      <w:r w:rsidRPr="005911E2">
        <w:rPr>
          <w:lang w:eastAsia="en-US"/>
        </w:rPr>
        <w:t xml:space="preserve"> initiatives, the very small number of people on the child protection measure had the highest average number of children (2.7) and youngest average </w:t>
      </w:r>
      <w:r w:rsidR="003C3275">
        <w:rPr>
          <w:lang w:eastAsia="en-US"/>
        </w:rPr>
        <w:t xml:space="preserve">age </w:t>
      </w:r>
      <w:r w:rsidRPr="005911E2">
        <w:rPr>
          <w:lang w:eastAsia="en-US"/>
        </w:rPr>
        <w:t>of the youngest child (2.5 years of age).</w:t>
      </w:r>
    </w:p>
    <w:p w:rsidR="0022069A" w:rsidRPr="005911E2" w:rsidRDefault="0022069A" w:rsidP="0022069A">
      <w:pPr>
        <w:pStyle w:val="tabfighead"/>
      </w:pPr>
      <w:bookmarkStart w:id="364" w:name="_Ref321185914"/>
      <w:bookmarkStart w:id="365" w:name="_Toc321430416"/>
      <w:bookmarkStart w:id="366" w:name="_Toc321761686"/>
      <w:bookmarkStart w:id="367" w:name="_Toc321254535"/>
      <w:bookmarkStart w:id="368" w:name="_Toc328601583"/>
      <w:bookmarkStart w:id="369" w:name="_Toc329051361"/>
      <w:bookmarkStart w:id="370" w:name="_Toc335915849"/>
      <w:r w:rsidRPr="005911E2">
        <w:t xml:space="preserve">Table </w:t>
      </w:r>
      <w:r w:rsidR="00C7347D" w:rsidRPr="005911E2">
        <w:fldChar w:fldCharType="begin"/>
      </w:r>
      <w:r w:rsidR="00435FEB" w:rsidRPr="005911E2">
        <w:instrText xml:space="preserve"> STYLEREF 1 \s </w:instrText>
      </w:r>
      <w:r w:rsidR="00C7347D" w:rsidRPr="005911E2">
        <w:fldChar w:fldCharType="separate"/>
      </w:r>
      <w:r w:rsidR="007D7E45">
        <w:rPr>
          <w:noProof/>
        </w:rPr>
        <w:t>4</w:t>
      </w:r>
      <w:r w:rsidR="00C7347D" w:rsidRPr="005911E2">
        <w:rPr>
          <w:noProof/>
        </w:rPr>
        <w:fldChar w:fldCharType="end"/>
      </w:r>
      <w:r w:rsidRPr="005911E2">
        <w:noBreakHyphen/>
      </w:r>
      <w:r w:rsidR="00C7347D" w:rsidRPr="005911E2">
        <w:fldChar w:fldCharType="begin"/>
      </w:r>
      <w:r w:rsidR="00435FEB" w:rsidRPr="005911E2">
        <w:instrText xml:space="preserve"> SEQ Table \* ARABIC \s 1 </w:instrText>
      </w:r>
      <w:r w:rsidR="00C7347D" w:rsidRPr="005911E2">
        <w:fldChar w:fldCharType="separate"/>
      </w:r>
      <w:r w:rsidR="007D7E45">
        <w:rPr>
          <w:noProof/>
        </w:rPr>
        <w:t>13</w:t>
      </w:r>
      <w:r w:rsidR="00C7347D" w:rsidRPr="005911E2">
        <w:rPr>
          <w:noProof/>
        </w:rPr>
        <w:fldChar w:fldCharType="end"/>
      </w:r>
      <w:bookmarkEnd w:id="364"/>
      <w:r w:rsidRPr="005911E2">
        <w:tab/>
      </w:r>
      <w:r w:rsidR="006435C8">
        <w:t xml:space="preserve">Northern Territory </w:t>
      </w:r>
      <w:r w:rsidRPr="005911E2">
        <w:t>income managed population by number and age of children and Indigeneity, October 2011</w:t>
      </w:r>
      <w:bookmarkEnd w:id="365"/>
      <w:bookmarkEnd w:id="366"/>
      <w:bookmarkEnd w:id="367"/>
      <w:bookmarkEnd w:id="368"/>
      <w:bookmarkEnd w:id="369"/>
      <w:bookmarkEnd w:id="370"/>
    </w:p>
    <w:tbl>
      <w:tblPr>
        <w:tblStyle w:val="TableGrid"/>
        <w:tblW w:w="7513" w:type="dxa"/>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4-13 Northern Territory income managed population by number and age of children and Indigeneity, October 2011"/>
        <w:tblDescription w:val="Table 4-13 Northern Territory income managed population by number and age of children and Indigeneity, October 2011"/>
      </w:tblPr>
      <w:tblGrid>
        <w:gridCol w:w="2410"/>
        <w:gridCol w:w="1276"/>
        <w:gridCol w:w="1276"/>
        <w:gridCol w:w="1275"/>
        <w:gridCol w:w="1276"/>
      </w:tblGrid>
      <w:tr w:rsidR="0022069A" w:rsidRPr="005911E2" w:rsidTr="009D15E2">
        <w:trPr>
          <w:tblHeader/>
        </w:trPr>
        <w:tc>
          <w:tcPr>
            <w:tcW w:w="2410" w:type="dxa"/>
            <w:tcBorders>
              <w:top w:val="single" w:sz="4" w:space="0" w:color="auto"/>
              <w:bottom w:val="single" w:sz="4" w:space="0" w:color="auto"/>
            </w:tcBorders>
          </w:tcPr>
          <w:p w:rsidR="0022069A" w:rsidRPr="005911E2" w:rsidRDefault="0022069A" w:rsidP="0022069A">
            <w:pPr>
              <w:pStyle w:val="TableText"/>
              <w:rPr>
                <w:szCs w:val="18"/>
              </w:rPr>
            </w:pPr>
          </w:p>
        </w:tc>
        <w:tc>
          <w:tcPr>
            <w:tcW w:w="1276" w:type="dxa"/>
            <w:tcBorders>
              <w:top w:val="single" w:sz="4" w:space="0" w:color="auto"/>
              <w:bottom w:val="single" w:sz="4" w:space="0" w:color="auto"/>
            </w:tcBorders>
          </w:tcPr>
          <w:p w:rsidR="0022069A" w:rsidRPr="005911E2" w:rsidRDefault="0022069A" w:rsidP="00CF78DB">
            <w:pPr>
              <w:pStyle w:val="TableText"/>
              <w:jc w:val="right"/>
              <w:rPr>
                <w:szCs w:val="18"/>
              </w:rPr>
            </w:pPr>
            <w:r w:rsidRPr="005911E2">
              <w:rPr>
                <w:szCs w:val="18"/>
              </w:rPr>
              <w:t>Average age of youngest child</w:t>
            </w:r>
          </w:p>
          <w:p w:rsidR="0022069A" w:rsidRPr="005911E2" w:rsidRDefault="0022069A" w:rsidP="00CF78DB">
            <w:pPr>
              <w:pStyle w:val="TableText"/>
              <w:jc w:val="right"/>
              <w:rPr>
                <w:szCs w:val="18"/>
              </w:rPr>
            </w:pPr>
            <w:r w:rsidRPr="005911E2">
              <w:rPr>
                <w:szCs w:val="18"/>
              </w:rPr>
              <w:t>-</w:t>
            </w:r>
            <w:r w:rsidR="006435C8">
              <w:rPr>
                <w:szCs w:val="18"/>
              </w:rPr>
              <w:t xml:space="preserve"> </w:t>
            </w:r>
            <w:r w:rsidRPr="005911E2">
              <w:rPr>
                <w:szCs w:val="18"/>
              </w:rPr>
              <w:t>years</w:t>
            </w:r>
            <w:r w:rsidR="006435C8">
              <w:rPr>
                <w:szCs w:val="18"/>
              </w:rPr>
              <w:t xml:space="preserve"> </w:t>
            </w:r>
            <w:r w:rsidRPr="005911E2">
              <w:rPr>
                <w:szCs w:val="18"/>
              </w:rPr>
              <w:t>-</w:t>
            </w:r>
          </w:p>
        </w:tc>
        <w:tc>
          <w:tcPr>
            <w:tcW w:w="1276" w:type="dxa"/>
            <w:tcBorders>
              <w:top w:val="single" w:sz="4" w:space="0" w:color="auto"/>
              <w:bottom w:val="single" w:sz="4" w:space="0" w:color="auto"/>
            </w:tcBorders>
          </w:tcPr>
          <w:p w:rsidR="0022069A" w:rsidRPr="005911E2" w:rsidRDefault="0022069A" w:rsidP="00CF78DB">
            <w:pPr>
              <w:pStyle w:val="TableText"/>
              <w:jc w:val="right"/>
              <w:rPr>
                <w:szCs w:val="18"/>
              </w:rPr>
            </w:pPr>
            <w:r w:rsidRPr="005911E2">
              <w:rPr>
                <w:szCs w:val="18"/>
              </w:rPr>
              <w:t>Average number of children</w:t>
            </w:r>
          </w:p>
          <w:p w:rsidR="0022069A" w:rsidRPr="005911E2" w:rsidRDefault="0022069A" w:rsidP="00CF78DB">
            <w:pPr>
              <w:pStyle w:val="TableText"/>
              <w:jc w:val="right"/>
              <w:rPr>
                <w:szCs w:val="18"/>
              </w:rPr>
            </w:pPr>
            <w:r w:rsidRPr="005911E2">
              <w:rPr>
                <w:szCs w:val="18"/>
              </w:rPr>
              <w:t>-</w:t>
            </w:r>
            <w:r w:rsidR="006435C8">
              <w:rPr>
                <w:szCs w:val="18"/>
              </w:rPr>
              <w:t xml:space="preserve"> </w:t>
            </w:r>
            <w:r w:rsidRPr="005911E2">
              <w:rPr>
                <w:szCs w:val="18"/>
              </w:rPr>
              <w:t>number</w:t>
            </w:r>
            <w:r w:rsidR="006435C8">
              <w:rPr>
                <w:szCs w:val="18"/>
              </w:rPr>
              <w:t xml:space="preserve"> </w:t>
            </w:r>
            <w:r w:rsidRPr="005911E2">
              <w:rPr>
                <w:szCs w:val="18"/>
              </w:rPr>
              <w:t>-</w:t>
            </w:r>
          </w:p>
        </w:tc>
        <w:tc>
          <w:tcPr>
            <w:tcW w:w="1275" w:type="dxa"/>
            <w:tcBorders>
              <w:top w:val="single" w:sz="4" w:space="0" w:color="auto"/>
              <w:bottom w:val="single" w:sz="4" w:space="0" w:color="auto"/>
            </w:tcBorders>
          </w:tcPr>
          <w:p w:rsidR="0022069A" w:rsidRPr="005911E2" w:rsidRDefault="0022069A" w:rsidP="00CF78DB">
            <w:pPr>
              <w:pStyle w:val="TableText"/>
              <w:jc w:val="right"/>
              <w:rPr>
                <w:szCs w:val="18"/>
              </w:rPr>
            </w:pPr>
            <w:r w:rsidRPr="005911E2">
              <w:rPr>
                <w:szCs w:val="18"/>
              </w:rPr>
              <w:t xml:space="preserve">Number </w:t>
            </w:r>
            <w:r w:rsidR="004736C9" w:rsidRPr="005911E2">
              <w:rPr>
                <w:szCs w:val="18"/>
              </w:rPr>
              <w:t xml:space="preserve">of </w:t>
            </w:r>
            <w:r w:rsidRPr="005911E2">
              <w:rPr>
                <w:szCs w:val="18"/>
              </w:rPr>
              <w:t>people with at least one child</w:t>
            </w:r>
          </w:p>
          <w:p w:rsidR="0022069A" w:rsidRPr="005911E2" w:rsidRDefault="0022069A" w:rsidP="006435C8">
            <w:pPr>
              <w:pStyle w:val="TableText"/>
              <w:jc w:val="right"/>
              <w:rPr>
                <w:szCs w:val="18"/>
              </w:rPr>
            </w:pPr>
            <w:r w:rsidRPr="005911E2">
              <w:rPr>
                <w:szCs w:val="18"/>
              </w:rPr>
              <w:t>-</w:t>
            </w:r>
            <w:r w:rsidR="006435C8">
              <w:rPr>
                <w:szCs w:val="18"/>
              </w:rPr>
              <w:t xml:space="preserve"> </w:t>
            </w:r>
            <w:r w:rsidRPr="005911E2">
              <w:rPr>
                <w:szCs w:val="18"/>
              </w:rPr>
              <w:t>numbe</w:t>
            </w:r>
            <w:r w:rsidR="006435C8">
              <w:rPr>
                <w:szCs w:val="18"/>
              </w:rPr>
              <w:t xml:space="preserve">r </w:t>
            </w:r>
            <w:r w:rsidRPr="005911E2">
              <w:rPr>
                <w:szCs w:val="18"/>
              </w:rPr>
              <w:t>-</w:t>
            </w:r>
          </w:p>
        </w:tc>
        <w:tc>
          <w:tcPr>
            <w:tcW w:w="1276" w:type="dxa"/>
            <w:tcBorders>
              <w:top w:val="single" w:sz="4" w:space="0" w:color="auto"/>
              <w:bottom w:val="single" w:sz="4" w:space="0" w:color="auto"/>
            </w:tcBorders>
          </w:tcPr>
          <w:p w:rsidR="0022069A" w:rsidRPr="005911E2" w:rsidRDefault="002934A1" w:rsidP="00CF78DB">
            <w:pPr>
              <w:pStyle w:val="TableText"/>
              <w:jc w:val="right"/>
              <w:rPr>
                <w:szCs w:val="18"/>
              </w:rPr>
            </w:pPr>
            <w:r>
              <w:rPr>
                <w:szCs w:val="18"/>
              </w:rPr>
              <w:t>Proportion</w:t>
            </w:r>
            <w:r w:rsidRPr="005911E2">
              <w:rPr>
                <w:szCs w:val="18"/>
              </w:rPr>
              <w:t xml:space="preserve"> </w:t>
            </w:r>
            <w:r w:rsidR="0022069A" w:rsidRPr="005911E2">
              <w:rPr>
                <w:szCs w:val="18"/>
              </w:rPr>
              <w:t>with children</w:t>
            </w:r>
            <w:r w:rsidR="00783DF8">
              <w:rPr>
                <w:szCs w:val="18"/>
              </w:rPr>
              <w:br/>
            </w:r>
          </w:p>
          <w:p w:rsidR="0022069A" w:rsidRPr="005911E2" w:rsidRDefault="0022069A" w:rsidP="00CF78DB">
            <w:pPr>
              <w:pStyle w:val="TableText"/>
              <w:jc w:val="right"/>
              <w:rPr>
                <w:szCs w:val="18"/>
              </w:rPr>
            </w:pPr>
            <w:r w:rsidRPr="005911E2">
              <w:rPr>
                <w:szCs w:val="18"/>
              </w:rPr>
              <w:t>- % -</w:t>
            </w:r>
          </w:p>
        </w:tc>
      </w:tr>
      <w:tr w:rsidR="0022069A" w:rsidRPr="005911E2" w:rsidTr="002955BA">
        <w:tc>
          <w:tcPr>
            <w:tcW w:w="7513" w:type="dxa"/>
            <w:gridSpan w:val="5"/>
            <w:tcBorders>
              <w:top w:val="single" w:sz="4" w:space="0" w:color="auto"/>
              <w:bottom w:val="single" w:sz="4" w:space="0" w:color="auto"/>
            </w:tcBorders>
          </w:tcPr>
          <w:p w:rsidR="0022069A" w:rsidRPr="005911E2" w:rsidRDefault="0022069A" w:rsidP="0022069A">
            <w:pPr>
              <w:pStyle w:val="TableText"/>
              <w:jc w:val="center"/>
              <w:rPr>
                <w:szCs w:val="18"/>
              </w:rPr>
            </w:pPr>
            <w:r w:rsidRPr="005911E2">
              <w:rPr>
                <w:szCs w:val="18"/>
              </w:rPr>
              <w:t>Indigenous</w:t>
            </w:r>
          </w:p>
        </w:tc>
      </w:tr>
      <w:tr w:rsidR="0022069A" w:rsidRPr="005911E2" w:rsidTr="002955BA">
        <w:tc>
          <w:tcPr>
            <w:tcW w:w="2410" w:type="dxa"/>
            <w:tcBorders>
              <w:top w:val="single" w:sz="4" w:space="0" w:color="auto"/>
            </w:tcBorders>
          </w:tcPr>
          <w:p w:rsidR="0022069A" w:rsidRPr="005911E2" w:rsidRDefault="0022069A" w:rsidP="0022069A">
            <w:pPr>
              <w:pStyle w:val="TableText"/>
              <w:ind w:left="250" w:hanging="250"/>
              <w:rPr>
                <w:szCs w:val="18"/>
              </w:rPr>
            </w:pPr>
            <w:r w:rsidRPr="005911E2">
              <w:rPr>
                <w:szCs w:val="18"/>
              </w:rPr>
              <w:t>Compulsory IM</w:t>
            </w:r>
          </w:p>
        </w:tc>
        <w:tc>
          <w:tcPr>
            <w:tcW w:w="1276" w:type="dxa"/>
            <w:tcBorders>
              <w:top w:val="single" w:sz="4" w:space="0" w:color="auto"/>
            </w:tcBorders>
            <w:vAlign w:val="bottom"/>
          </w:tcPr>
          <w:p w:rsidR="0022069A" w:rsidRPr="005911E2" w:rsidRDefault="0022069A" w:rsidP="0022069A">
            <w:pPr>
              <w:pStyle w:val="TableText"/>
              <w:jc w:val="right"/>
              <w:rPr>
                <w:szCs w:val="18"/>
              </w:rPr>
            </w:pPr>
            <w:r w:rsidRPr="005911E2">
              <w:rPr>
                <w:rFonts w:cs="Arial"/>
                <w:color w:val="000000"/>
                <w:szCs w:val="18"/>
                <w:lang w:eastAsia="en-AU" w:bidi="ar-SA"/>
              </w:rPr>
              <w:t>4.3</w:t>
            </w:r>
          </w:p>
        </w:tc>
        <w:tc>
          <w:tcPr>
            <w:tcW w:w="1276" w:type="dxa"/>
            <w:tcBorders>
              <w:top w:val="single" w:sz="4" w:space="0" w:color="auto"/>
            </w:tcBorders>
            <w:vAlign w:val="bottom"/>
          </w:tcPr>
          <w:p w:rsidR="0022069A" w:rsidRPr="005911E2" w:rsidRDefault="0022069A" w:rsidP="0022069A">
            <w:pPr>
              <w:pStyle w:val="TableText"/>
              <w:jc w:val="right"/>
              <w:rPr>
                <w:szCs w:val="18"/>
              </w:rPr>
            </w:pPr>
            <w:r w:rsidRPr="005911E2">
              <w:rPr>
                <w:rFonts w:cs="Arial"/>
                <w:color w:val="000000"/>
                <w:szCs w:val="18"/>
                <w:lang w:eastAsia="en-AU" w:bidi="ar-SA"/>
              </w:rPr>
              <w:t>2.0</w:t>
            </w:r>
          </w:p>
        </w:tc>
        <w:tc>
          <w:tcPr>
            <w:tcW w:w="1275" w:type="dxa"/>
            <w:tcBorders>
              <w:top w:val="single" w:sz="4" w:space="0" w:color="auto"/>
            </w:tcBorders>
            <w:vAlign w:val="bottom"/>
          </w:tcPr>
          <w:p w:rsidR="0022069A" w:rsidRPr="005911E2" w:rsidRDefault="0022069A" w:rsidP="0022069A">
            <w:pPr>
              <w:pStyle w:val="TableText"/>
              <w:jc w:val="right"/>
              <w:rPr>
                <w:szCs w:val="18"/>
              </w:rPr>
            </w:pPr>
            <w:r w:rsidRPr="005911E2">
              <w:rPr>
                <w:rFonts w:cs="Arial"/>
                <w:color w:val="000000"/>
                <w:szCs w:val="18"/>
                <w:lang w:eastAsia="en-AU" w:bidi="ar-SA"/>
              </w:rPr>
              <w:t>4</w:t>
            </w:r>
            <w:r w:rsidR="00CF78DB">
              <w:rPr>
                <w:rFonts w:cs="Arial"/>
                <w:color w:val="000000"/>
                <w:szCs w:val="18"/>
                <w:lang w:eastAsia="en-AU" w:bidi="ar-SA"/>
              </w:rPr>
              <w:t> </w:t>
            </w:r>
            <w:r w:rsidRPr="005911E2">
              <w:rPr>
                <w:rFonts w:cs="Arial"/>
                <w:color w:val="000000"/>
                <w:szCs w:val="18"/>
                <w:lang w:eastAsia="en-AU" w:bidi="ar-SA"/>
              </w:rPr>
              <w:t>777</w:t>
            </w:r>
          </w:p>
        </w:tc>
        <w:tc>
          <w:tcPr>
            <w:tcW w:w="1276" w:type="dxa"/>
            <w:tcBorders>
              <w:top w:val="single" w:sz="4" w:space="0" w:color="auto"/>
            </w:tcBorders>
            <w:shd w:val="clear" w:color="auto" w:fill="auto"/>
          </w:tcPr>
          <w:p w:rsidR="0022069A" w:rsidRPr="005911E2" w:rsidRDefault="0022069A" w:rsidP="0022069A">
            <w:pPr>
              <w:pStyle w:val="TableText"/>
              <w:jc w:val="right"/>
              <w:rPr>
                <w:rFonts w:cs="Arial"/>
                <w:color w:val="000000"/>
                <w:szCs w:val="18"/>
                <w:lang w:eastAsia="en-AU" w:bidi="ar-SA"/>
              </w:rPr>
            </w:pPr>
            <w:r w:rsidRPr="005911E2">
              <w:rPr>
                <w:rFonts w:cs="Arial"/>
                <w:color w:val="000000"/>
                <w:szCs w:val="18"/>
                <w:lang w:eastAsia="en-AU" w:bidi="ar-SA"/>
              </w:rPr>
              <w:t>45.2</w:t>
            </w:r>
          </w:p>
        </w:tc>
      </w:tr>
      <w:tr w:rsidR="0022069A" w:rsidRPr="005911E2" w:rsidTr="002955BA">
        <w:tc>
          <w:tcPr>
            <w:tcW w:w="2410" w:type="dxa"/>
          </w:tcPr>
          <w:p w:rsidR="0022069A" w:rsidRPr="005911E2" w:rsidRDefault="0022069A" w:rsidP="0022069A">
            <w:pPr>
              <w:pStyle w:val="TableText"/>
              <w:ind w:left="250" w:hanging="250"/>
              <w:rPr>
                <w:szCs w:val="18"/>
              </w:rPr>
            </w:pPr>
            <w:r w:rsidRPr="005911E2">
              <w:rPr>
                <w:szCs w:val="18"/>
              </w:rPr>
              <w:t>Child Protection IM</w:t>
            </w:r>
            <w:r w:rsidR="009F6E1A">
              <w:rPr>
                <w:szCs w:val="18"/>
              </w:rPr>
              <w:t xml:space="preserve"> (a)</w:t>
            </w:r>
          </w:p>
        </w:tc>
        <w:tc>
          <w:tcPr>
            <w:tcW w:w="1276" w:type="dxa"/>
            <w:vAlign w:val="bottom"/>
          </w:tcPr>
          <w:p w:rsidR="0022069A" w:rsidRPr="005911E2" w:rsidRDefault="0022069A" w:rsidP="0022069A">
            <w:pPr>
              <w:pStyle w:val="TableText"/>
              <w:jc w:val="right"/>
              <w:rPr>
                <w:szCs w:val="18"/>
              </w:rPr>
            </w:pPr>
            <w:r w:rsidRPr="005911E2">
              <w:rPr>
                <w:rFonts w:cs="Arial"/>
                <w:color w:val="000000"/>
                <w:szCs w:val="18"/>
                <w:lang w:eastAsia="en-AU" w:bidi="ar-SA"/>
              </w:rPr>
              <w:t>2.2</w:t>
            </w:r>
          </w:p>
        </w:tc>
        <w:tc>
          <w:tcPr>
            <w:tcW w:w="1276" w:type="dxa"/>
            <w:vAlign w:val="bottom"/>
          </w:tcPr>
          <w:p w:rsidR="0022069A" w:rsidRPr="005911E2" w:rsidRDefault="0022069A" w:rsidP="0022069A">
            <w:pPr>
              <w:pStyle w:val="TableText"/>
              <w:jc w:val="right"/>
              <w:rPr>
                <w:szCs w:val="18"/>
              </w:rPr>
            </w:pPr>
            <w:r w:rsidRPr="005911E2">
              <w:rPr>
                <w:rFonts w:cs="Arial"/>
                <w:color w:val="000000"/>
                <w:szCs w:val="18"/>
                <w:lang w:eastAsia="en-AU" w:bidi="ar-SA"/>
              </w:rPr>
              <w:t>2.6</w:t>
            </w:r>
          </w:p>
        </w:tc>
        <w:tc>
          <w:tcPr>
            <w:tcW w:w="1275" w:type="dxa"/>
            <w:vAlign w:val="bottom"/>
          </w:tcPr>
          <w:p w:rsidR="0022069A" w:rsidRPr="005911E2" w:rsidRDefault="0022069A" w:rsidP="0022069A">
            <w:pPr>
              <w:pStyle w:val="TableText"/>
              <w:jc w:val="right"/>
              <w:rPr>
                <w:szCs w:val="18"/>
              </w:rPr>
            </w:pPr>
            <w:r w:rsidRPr="005911E2">
              <w:rPr>
                <w:rFonts w:cs="Arial"/>
                <w:color w:val="000000"/>
                <w:szCs w:val="18"/>
                <w:lang w:eastAsia="en-AU" w:bidi="ar-SA"/>
              </w:rPr>
              <w:t>28</w:t>
            </w:r>
          </w:p>
        </w:tc>
        <w:tc>
          <w:tcPr>
            <w:tcW w:w="1276" w:type="dxa"/>
            <w:shd w:val="clear" w:color="auto" w:fill="auto"/>
          </w:tcPr>
          <w:p w:rsidR="0022069A" w:rsidRPr="005911E2" w:rsidRDefault="0022069A" w:rsidP="0022069A">
            <w:pPr>
              <w:pStyle w:val="TableText"/>
              <w:jc w:val="right"/>
              <w:rPr>
                <w:rFonts w:cs="Arial"/>
                <w:color w:val="000000"/>
                <w:szCs w:val="18"/>
                <w:lang w:eastAsia="en-AU" w:bidi="ar-SA"/>
              </w:rPr>
            </w:pPr>
            <w:r w:rsidRPr="005911E2">
              <w:rPr>
                <w:rFonts w:cs="Arial"/>
                <w:color w:val="000000"/>
                <w:szCs w:val="18"/>
                <w:lang w:eastAsia="en-AU" w:bidi="ar-SA"/>
              </w:rPr>
              <w:t>70.0</w:t>
            </w:r>
          </w:p>
        </w:tc>
      </w:tr>
      <w:tr w:rsidR="0022069A" w:rsidRPr="005911E2" w:rsidTr="002955BA">
        <w:tc>
          <w:tcPr>
            <w:tcW w:w="2410" w:type="dxa"/>
          </w:tcPr>
          <w:p w:rsidR="0022069A" w:rsidRPr="005911E2" w:rsidRDefault="0022069A" w:rsidP="0022069A">
            <w:pPr>
              <w:pStyle w:val="TableText"/>
              <w:ind w:left="250" w:hanging="250"/>
              <w:rPr>
                <w:szCs w:val="18"/>
              </w:rPr>
            </w:pPr>
            <w:r w:rsidRPr="005911E2">
              <w:rPr>
                <w:szCs w:val="18"/>
              </w:rPr>
              <w:t>Voluntary IM</w:t>
            </w:r>
          </w:p>
        </w:tc>
        <w:tc>
          <w:tcPr>
            <w:tcW w:w="1276" w:type="dxa"/>
            <w:vAlign w:val="bottom"/>
          </w:tcPr>
          <w:p w:rsidR="0022069A" w:rsidRPr="005911E2" w:rsidRDefault="0022069A" w:rsidP="0022069A">
            <w:pPr>
              <w:pStyle w:val="TableText"/>
              <w:jc w:val="right"/>
              <w:rPr>
                <w:szCs w:val="18"/>
              </w:rPr>
            </w:pPr>
            <w:r w:rsidRPr="005911E2">
              <w:rPr>
                <w:rFonts w:cs="Arial"/>
                <w:color w:val="000000"/>
                <w:szCs w:val="18"/>
                <w:lang w:eastAsia="en-AU" w:bidi="ar-SA"/>
              </w:rPr>
              <w:t>7.9</w:t>
            </w:r>
          </w:p>
        </w:tc>
        <w:tc>
          <w:tcPr>
            <w:tcW w:w="1276" w:type="dxa"/>
            <w:vAlign w:val="bottom"/>
          </w:tcPr>
          <w:p w:rsidR="0022069A" w:rsidRPr="005911E2" w:rsidRDefault="0022069A" w:rsidP="0022069A">
            <w:pPr>
              <w:pStyle w:val="TableText"/>
              <w:jc w:val="right"/>
              <w:rPr>
                <w:szCs w:val="18"/>
              </w:rPr>
            </w:pPr>
            <w:r w:rsidRPr="005911E2">
              <w:rPr>
                <w:rFonts w:cs="Arial"/>
                <w:color w:val="000000"/>
                <w:szCs w:val="18"/>
                <w:lang w:eastAsia="en-AU" w:bidi="ar-SA"/>
              </w:rPr>
              <w:t>1.8</w:t>
            </w:r>
          </w:p>
        </w:tc>
        <w:tc>
          <w:tcPr>
            <w:tcW w:w="1275" w:type="dxa"/>
            <w:vAlign w:val="bottom"/>
          </w:tcPr>
          <w:p w:rsidR="0022069A" w:rsidRPr="005911E2" w:rsidRDefault="0022069A" w:rsidP="0022069A">
            <w:pPr>
              <w:pStyle w:val="TableText"/>
              <w:jc w:val="right"/>
              <w:rPr>
                <w:szCs w:val="18"/>
              </w:rPr>
            </w:pPr>
            <w:r w:rsidRPr="005911E2">
              <w:rPr>
                <w:rFonts w:cs="Arial"/>
                <w:color w:val="000000"/>
                <w:szCs w:val="18"/>
                <w:lang w:eastAsia="en-AU" w:bidi="ar-SA"/>
              </w:rPr>
              <w:t>659</w:t>
            </w:r>
          </w:p>
        </w:tc>
        <w:tc>
          <w:tcPr>
            <w:tcW w:w="1276" w:type="dxa"/>
            <w:shd w:val="clear" w:color="auto" w:fill="auto"/>
          </w:tcPr>
          <w:p w:rsidR="0022069A" w:rsidRPr="005911E2" w:rsidRDefault="0022069A" w:rsidP="0022069A">
            <w:pPr>
              <w:pStyle w:val="TableText"/>
              <w:jc w:val="right"/>
              <w:rPr>
                <w:rFonts w:cs="Arial"/>
                <w:color w:val="000000"/>
                <w:szCs w:val="18"/>
                <w:lang w:eastAsia="en-AU" w:bidi="ar-SA"/>
              </w:rPr>
            </w:pPr>
            <w:r w:rsidRPr="005911E2">
              <w:rPr>
                <w:rFonts w:cs="Arial"/>
                <w:color w:val="000000"/>
                <w:szCs w:val="18"/>
                <w:lang w:eastAsia="en-AU" w:bidi="ar-SA"/>
              </w:rPr>
              <w:t>16.0</w:t>
            </w:r>
          </w:p>
        </w:tc>
      </w:tr>
      <w:tr w:rsidR="0022069A" w:rsidRPr="005911E2" w:rsidTr="002955BA">
        <w:tc>
          <w:tcPr>
            <w:tcW w:w="2410" w:type="dxa"/>
          </w:tcPr>
          <w:p w:rsidR="0022069A" w:rsidRPr="005911E2" w:rsidRDefault="0022069A" w:rsidP="0022069A">
            <w:pPr>
              <w:pStyle w:val="TableText"/>
              <w:ind w:left="250" w:hanging="250"/>
              <w:rPr>
                <w:szCs w:val="18"/>
              </w:rPr>
            </w:pPr>
            <w:r w:rsidRPr="005911E2">
              <w:rPr>
                <w:szCs w:val="18"/>
              </w:rPr>
              <w:t>Vulnerable IM</w:t>
            </w:r>
          </w:p>
        </w:tc>
        <w:tc>
          <w:tcPr>
            <w:tcW w:w="1276" w:type="dxa"/>
            <w:vAlign w:val="bottom"/>
          </w:tcPr>
          <w:p w:rsidR="0022069A" w:rsidRPr="005911E2" w:rsidRDefault="0022069A" w:rsidP="0022069A">
            <w:pPr>
              <w:pStyle w:val="TableText"/>
              <w:jc w:val="right"/>
              <w:rPr>
                <w:szCs w:val="18"/>
              </w:rPr>
            </w:pPr>
            <w:r w:rsidRPr="005911E2">
              <w:rPr>
                <w:rFonts w:cs="Arial"/>
                <w:color w:val="000000"/>
                <w:szCs w:val="18"/>
                <w:lang w:eastAsia="en-AU" w:bidi="ar-SA"/>
              </w:rPr>
              <w:t>4.2</w:t>
            </w:r>
          </w:p>
        </w:tc>
        <w:tc>
          <w:tcPr>
            <w:tcW w:w="1276" w:type="dxa"/>
            <w:vAlign w:val="bottom"/>
          </w:tcPr>
          <w:p w:rsidR="0022069A" w:rsidRPr="005911E2" w:rsidRDefault="0022069A" w:rsidP="0022069A">
            <w:pPr>
              <w:pStyle w:val="TableText"/>
              <w:jc w:val="right"/>
              <w:rPr>
                <w:szCs w:val="18"/>
              </w:rPr>
            </w:pPr>
            <w:r w:rsidRPr="005911E2">
              <w:rPr>
                <w:rFonts w:cs="Arial"/>
                <w:color w:val="000000"/>
                <w:szCs w:val="18"/>
                <w:lang w:eastAsia="en-AU" w:bidi="ar-SA"/>
              </w:rPr>
              <w:t>1.3</w:t>
            </w:r>
          </w:p>
        </w:tc>
        <w:tc>
          <w:tcPr>
            <w:tcW w:w="1275" w:type="dxa"/>
            <w:vAlign w:val="bottom"/>
          </w:tcPr>
          <w:p w:rsidR="0022069A" w:rsidRPr="005911E2" w:rsidRDefault="0022069A" w:rsidP="0022069A">
            <w:pPr>
              <w:pStyle w:val="TableText"/>
              <w:jc w:val="right"/>
              <w:rPr>
                <w:szCs w:val="18"/>
              </w:rPr>
            </w:pPr>
            <w:r w:rsidRPr="005911E2">
              <w:rPr>
                <w:rFonts w:cs="Arial"/>
                <w:color w:val="000000"/>
                <w:szCs w:val="18"/>
                <w:lang w:eastAsia="en-AU" w:bidi="ar-SA"/>
              </w:rPr>
              <w:t>12</w:t>
            </w:r>
          </w:p>
        </w:tc>
        <w:tc>
          <w:tcPr>
            <w:tcW w:w="1276" w:type="dxa"/>
            <w:shd w:val="clear" w:color="auto" w:fill="auto"/>
          </w:tcPr>
          <w:p w:rsidR="0022069A" w:rsidRPr="005911E2" w:rsidRDefault="0022069A" w:rsidP="0022069A">
            <w:pPr>
              <w:pStyle w:val="TableText"/>
              <w:jc w:val="right"/>
              <w:rPr>
                <w:rFonts w:cs="Arial"/>
                <w:color w:val="000000"/>
                <w:szCs w:val="18"/>
                <w:lang w:eastAsia="en-AU" w:bidi="ar-SA"/>
              </w:rPr>
            </w:pPr>
            <w:r w:rsidRPr="005911E2">
              <w:rPr>
                <w:rFonts w:cs="Arial"/>
                <w:color w:val="000000"/>
                <w:szCs w:val="18"/>
                <w:lang w:eastAsia="en-AU" w:bidi="ar-SA"/>
              </w:rPr>
              <w:t>6.3</w:t>
            </w:r>
          </w:p>
        </w:tc>
      </w:tr>
      <w:tr w:rsidR="0022069A" w:rsidRPr="005911E2" w:rsidTr="002955BA">
        <w:tc>
          <w:tcPr>
            <w:tcW w:w="2410" w:type="dxa"/>
            <w:tcBorders>
              <w:bottom w:val="single" w:sz="4" w:space="0" w:color="auto"/>
            </w:tcBorders>
          </w:tcPr>
          <w:p w:rsidR="0022069A" w:rsidRPr="005911E2" w:rsidRDefault="0022069A" w:rsidP="0022069A">
            <w:pPr>
              <w:pStyle w:val="TableText"/>
              <w:ind w:left="250" w:hanging="250"/>
              <w:rPr>
                <w:szCs w:val="18"/>
              </w:rPr>
            </w:pPr>
            <w:r w:rsidRPr="005911E2">
              <w:rPr>
                <w:szCs w:val="18"/>
              </w:rPr>
              <w:t>Total</w:t>
            </w:r>
          </w:p>
        </w:tc>
        <w:tc>
          <w:tcPr>
            <w:tcW w:w="1276" w:type="dxa"/>
            <w:tcBorders>
              <w:bottom w:val="single" w:sz="4" w:space="0" w:color="auto"/>
            </w:tcBorders>
            <w:vAlign w:val="bottom"/>
          </w:tcPr>
          <w:p w:rsidR="0022069A" w:rsidRPr="005911E2" w:rsidRDefault="0022069A" w:rsidP="0022069A">
            <w:pPr>
              <w:pStyle w:val="TableText"/>
              <w:jc w:val="right"/>
              <w:rPr>
                <w:szCs w:val="18"/>
              </w:rPr>
            </w:pPr>
            <w:r w:rsidRPr="005911E2">
              <w:rPr>
                <w:rFonts w:cs="Arial"/>
                <w:color w:val="000000"/>
                <w:szCs w:val="18"/>
                <w:lang w:eastAsia="en-AU" w:bidi="ar-SA"/>
              </w:rPr>
              <w:t>4.7</w:t>
            </w:r>
          </w:p>
        </w:tc>
        <w:tc>
          <w:tcPr>
            <w:tcW w:w="1276" w:type="dxa"/>
            <w:tcBorders>
              <w:bottom w:val="single" w:sz="4" w:space="0" w:color="auto"/>
            </w:tcBorders>
            <w:vAlign w:val="bottom"/>
          </w:tcPr>
          <w:p w:rsidR="0022069A" w:rsidRPr="005911E2" w:rsidRDefault="0022069A" w:rsidP="0022069A">
            <w:pPr>
              <w:pStyle w:val="TableText"/>
              <w:jc w:val="right"/>
              <w:rPr>
                <w:szCs w:val="18"/>
              </w:rPr>
            </w:pPr>
            <w:r w:rsidRPr="005911E2">
              <w:rPr>
                <w:rFonts w:cs="Arial"/>
                <w:color w:val="000000"/>
                <w:szCs w:val="18"/>
                <w:lang w:eastAsia="en-AU" w:bidi="ar-SA"/>
              </w:rPr>
              <w:t>2.0</w:t>
            </w:r>
          </w:p>
        </w:tc>
        <w:tc>
          <w:tcPr>
            <w:tcW w:w="1275" w:type="dxa"/>
            <w:tcBorders>
              <w:bottom w:val="single" w:sz="4" w:space="0" w:color="auto"/>
            </w:tcBorders>
            <w:vAlign w:val="bottom"/>
          </w:tcPr>
          <w:p w:rsidR="0022069A" w:rsidRPr="005911E2" w:rsidRDefault="0022069A" w:rsidP="0022069A">
            <w:pPr>
              <w:pStyle w:val="TableText"/>
              <w:jc w:val="right"/>
              <w:rPr>
                <w:szCs w:val="18"/>
              </w:rPr>
            </w:pPr>
            <w:r w:rsidRPr="005911E2">
              <w:rPr>
                <w:rFonts w:cs="Arial"/>
                <w:color w:val="000000"/>
                <w:szCs w:val="18"/>
                <w:lang w:eastAsia="en-AU" w:bidi="ar-SA"/>
              </w:rPr>
              <w:t>5</w:t>
            </w:r>
            <w:r w:rsidR="00CF78DB">
              <w:rPr>
                <w:rFonts w:cs="Arial"/>
                <w:color w:val="000000"/>
                <w:szCs w:val="18"/>
                <w:lang w:eastAsia="en-AU" w:bidi="ar-SA"/>
              </w:rPr>
              <w:t> </w:t>
            </w:r>
            <w:r w:rsidRPr="005911E2">
              <w:rPr>
                <w:rFonts w:cs="Arial"/>
                <w:color w:val="000000"/>
                <w:szCs w:val="18"/>
                <w:lang w:eastAsia="en-AU" w:bidi="ar-SA"/>
              </w:rPr>
              <w:t>476</w:t>
            </w:r>
          </w:p>
        </w:tc>
        <w:tc>
          <w:tcPr>
            <w:tcW w:w="1276" w:type="dxa"/>
            <w:tcBorders>
              <w:bottom w:val="single" w:sz="4" w:space="0" w:color="auto"/>
            </w:tcBorders>
            <w:shd w:val="clear" w:color="auto" w:fill="auto"/>
          </w:tcPr>
          <w:p w:rsidR="0022069A" w:rsidRPr="005911E2" w:rsidRDefault="0022069A" w:rsidP="0022069A">
            <w:pPr>
              <w:pStyle w:val="TableText"/>
              <w:jc w:val="right"/>
              <w:rPr>
                <w:rFonts w:cs="Arial"/>
                <w:color w:val="000000"/>
                <w:szCs w:val="18"/>
                <w:lang w:eastAsia="en-AU" w:bidi="ar-SA"/>
              </w:rPr>
            </w:pPr>
            <w:r w:rsidRPr="005911E2">
              <w:rPr>
                <w:rFonts w:cs="Arial"/>
                <w:color w:val="000000"/>
                <w:szCs w:val="18"/>
                <w:lang w:eastAsia="en-AU" w:bidi="ar-SA"/>
              </w:rPr>
              <w:t>36.7</w:t>
            </w:r>
          </w:p>
        </w:tc>
      </w:tr>
      <w:tr w:rsidR="0022069A" w:rsidRPr="005911E2" w:rsidTr="002955BA">
        <w:tc>
          <w:tcPr>
            <w:tcW w:w="7513" w:type="dxa"/>
            <w:gridSpan w:val="5"/>
            <w:tcBorders>
              <w:top w:val="single" w:sz="4" w:space="0" w:color="auto"/>
              <w:bottom w:val="single" w:sz="4" w:space="0" w:color="auto"/>
            </w:tcBorders>
            <w:shd w:val="clear" w:color="auto" w:fill="auto"/>
            <w:vAlign w:val="bottom"/>
          </w:tcPr>
          <w:p w:rsidR="0022069A" w:rsidRPr="005911E2" w:rsidRDefault="0022069A" w:rsidP="0022069A">
            <w:pPr>
              <w:pStyle w:val="TableText"/>
              <w:jc w:val="center"/>
              <w:rPr>
                <w:rFonts w:cs="Arial"/>
                <w:color w:val="000000"/>
                <w:szCs w:val="18"/>
                <w:lang w:eastAsia="en-AU" w:bidi="ar-SA"/>
              </w:rPr>
            </w:pPr>
            <w:r w:rsidRPr="005911E2">
              <w:rPr>
                <w:szCs w:val="18"/>
              </w:rPr>
              <w:t>Non-Indigenous</w:t>
            </w:r>
          </w:p>
        </w:tc>
      </w:tr>
      <w:tr w:rsidR="0022069A" w:rsidRPr="005911E2" w:rsidTr="002955BA">
        <w:tc>
          <w:tcPr>
            <w:tcW w:w="2410" w:type="dxa"/>
            <w:tcBorders>
              <w:top w:val="single" w:sz="4" w:space="0" w:color="auto"/>
            </w:tcBorders>
          </w:tcPr>
          <w:p w:rsidR="0022069A" w:rsidRPr="005911E2" w:rsidRDefault="0022069A" w:rsidP="0022069A">
            <w:pPr>
              <w:pStyle w:val="TableText"/>
              <w:ind w:left="250" w:hanging="250"/>
              <w:rPr>
                <w:szCs w:val="18"/>
              </w:rPr>
            </w:pPr>
            <w:r w:rsidRPr="005911E2">
              <w:rPr>
                <w:szCs w:val="18"/>
              </w:rPr>
              <w:t>Compulsory IM</w:t>
            </w:r>
          </w:p>
        </w:tc>
        <w:tc>
          <w:tcPr>
            <w:tcW w:w="1276" w:type="dxa"/>
            <w:tcBorders>
              <w:top w:val="single" w:sz="4" w:space="0" w:color="auto"/>
            </w:tcBorders>
            <w:vAlign w:val="bottom"/>
          </w:tcPr>
          <w:p w:rsidR="0022069A" w:rsidRPr="005911E2" w:rsidRDefault="0022069A" w:rsidP="0022069A">
            <w:pPr>
              <w:pStyle w:val="TableText"/>
              <w:jc w:val="right"/>
              <w:rPr>
                <w:szCs w:val="18"/>
              </w:rPr>
            </w:pPr>
            <w:r w:rsidRPr="005911E2">
              <w:rPr>
                <w:rFonts w:cs="Arial"/>
                <w:color w:val="000000"/>
                <w:szCs w:val="18"/>
                <w:lang w:eastAsia="en-AU" w:bidi="ar-SA"/>
              </w:rPr>
              <w:t>4.7</w:t>
            </w:r>
          </w:p>
        </w:tc>
        <w:tc>
          <w:tcPr>
            <w:tcW w:w="1276" w:type="dxa"/>
            <w:tcBorders>
              <w:top w:val="single" w:sz="4" w:space="0" w:color="auto"/>
            </w:tcBorders>
            <w:vAlign w:val="bottom"/>
          </w:tcPr>
          <w:p w:rsidR="0022069A" w:rsidRPr="005911E2" w:rsidRDefault="0022069A" w:rsidP="0022069A">
            <w:pPr>
              <w:pStyle w:val="TableText"/>
              <w:jc w:val="right"/>
              <w:rPr>
                <w:szCs w:val="18"/>
              </w:rPr>
            </w:pPr>
            <w:r w:rsidRPr="005911E2">
              <w:rPr>
                <w:rFonts w:cs="Arial"/>
                <w:color w:val="000000"/>
                <w:szCs w:val="18"/>
                <w:lang w:eastAsia="en-AU" w:bidi="ar-SA"/>
              </w:rPr>
              <w:t>2.1</w:t>
            </w:r>
          </w:p>
        </w:tc>
        <w:tc>
          <w:tcPr>
            <w:tcW w:w="1275" w:type="dxa"/>
            <w:tcBorders>
              <w:top w:val="single" w:sz="4" w:space="0" w:color="auto"/>
            </w:tcBorders>
            <w:vAlign w:val="bottom"/>
          </w:tcPr>
          <w:p w:rsidR="0022069A" w:rsidRPr="005911E2" w:rsidRDefault="0022069A" w:rsidP="0022069A">
            <w:pPr>
              <w:pStyle w:val="TableText"/>
              <w:jc w:val="right"/>
              <w:rPr>
                <w:szCs w:val="18"/>
              </w:rPr>
            </w:pPr>
            <w:r w:rsidRPr="005911E2">
              <w:rPr>
                <w:rFonts w:cs="Arial"/>
                <w:color w:val="000000"/>
                <w:szCs w:val="18"/>
                <w:lang w:eastAsia="en-AU" w:bidi="ar-SA"/>
              </w:rPr>
              <w:t>477</w:t>
            </w:r>
          </w:p>
        </w:tc>
        <w:tc>
          <w:tcPr>
            <w:tcW w:w="1276" w:type="dxa"/>
            <w:tcBorders>
              <w:top w:val="single" w:sz="4" w:space="0" w:color="auto"/>
            </w:tcBorders>
            <w:shd w:val="clear" w:color="auto" w:fill="auto"/>
          </w:tcPr>
          <w:p w:rsidR="0022069A" w:rsidRPr="005911E2" w:rsidRDefault="0022069A" w:rsidP="0022069A">
            <w:pPr>
              <w:pStyle w:val="TableText"/>
              <w:jc w:val="right"/>
              <w:rPr>
                <w:rFonts w:cs="Arial"/>
                <w:color w:val="000000"/>
                <w:szCs w:val="18"/>
                <w:lang w:eastAsia="en-AU" w:bidi="ar-SA"/>
              </w:rPr>
            </w:pPr>
            <w:r w:rsidRPr="005911E2">
              <w:rPr>
                <w:rFonts w:cs="Arial"/>
                <w:color w:val="000000"/>
                <w:szCs w:val="18"/>
                <w:lang w:eastAsia="en-AU" w:bidi="ar-SA"/>
              </w:rPr>
              <w:t>34.2</w:t>
            </w:r>
          </w:p>
        </w:tc>
      </w:tr>
      <w:tr w:rsidR="0022069A" w:rsidRPr="005911E2" w:rsidTr="002955BA">
        <w:tc>
          <w:tcPr>
            <w:tcW w:w="2410" w:type="dxa"/>
          </w:tcPr>
          <w:p w:rsidR="0022069A" w:rsidRPr="005911E2" w:rsidRDefault="0022069A" w:rsidP="0022069A">
            <w:pPr>
              <w:pStyle w:val="TableText"/>
              <w:ind w:left="250" w:hanging="250"/>
              <w:rPr>
                <w:szCs w:val="18"/>
              </w:rPr>
            </w:pPr>
            <w:r w:rsidRPr="005911E2">
              <w:rPr>
                <w:szCs w:val="18"/>
              </w:rPr>
              <w:t>Child Protection IM</w:t>
            </w:r>
            <w:r w:rsidR="009F6E1A">
              <w:rPr>
                <w:szCs w:val="18"/>
              </w:rPr>
              <w:t xml:space="preserve"> (a)</w:t>
            </w:r>
          </w:p>
        </w:tc>
        <w:tc>
          <w:tcPr>
            <w:tcW w:w="1276" w:type="dxa"/>
            <w:vAlign w:val="bottom"/>
          </w:tcPr>
          <w:p w:rsidR="0022069A" w:rsidRPr="005911E2" w:rsidRDefault="0022069A" w:rsidP="0022069A">
            <w:pPr>
              <w:pStyle w:val="TableText"/>
              <w:jc w:val="right"/>
              <w:rPr>
                <w:szCs w:val="18"/>
              </w:rPr>
            </w:pPr>
            <w:r w:rsidRPr="005911E2">
              <w:rPr>
                <w:rFonts w:cs="Arial"/>
                <w:color w:val="000000"/>
                <w:szCs w:val="18"/>
                <w:lang w:eastAsia="en-AU" w:bidi="ar-SA"/>
              </w:rPr>
              <w:t>4.3</w:t>
            </w:r>
          </w:p>
        </w:tc>
        <w:tc>
          <w:tcPr>
            <w:tcW w:w="1276" w:type="dxa"/>
            <w:vAlign w:val="bottom"/>
          </w:tcPr>
          <w:p w:rsidR="0022069A" w:rsidRPr="005911E2" w:rsidRDefault="0022069A" w:rsidP="0022069A">
            <w:pPr>
              <w:pStyle w:val="TableText"/>
              <w:jc w:val="right"/>
              <w:rPr>
                <w:szCs w:val="18"/>
              </w:rPr>
            </w:pPr>
            <w:r w:rsidRPr="005911E2">
              <w:rPr>
                <w:rFonts w:cs="Arial"/>
                <w:color w:val="000000"/>
                <w:szCs w:val="18"/>
                <w:lang w:eastAsia="en-AU" w:bidi="ar-SA"/>
              </w:rPr>
              <w:t>3.8</w:t>
            </w:r>
          </w:p>
        </w:tc>
        <w:tc>
          <w:tcPr>
            <w:tcW w:w="1275" w:type="dxa"/>
            <w:vAlign w:val="bottom"/>
          </w:tcPr>
          <w:p w:rsidR="0022069A" w:rsidRPr="005911E2" w:rsidRDefault="0022069A" w:rsidP="0022069A">
            <w:pPr>
              <w:pStyle w:val="TableText"/>
              <w:jc w:val="right"/>
              <w:rPr>
                <w:szCs w:val="18"/>
              </w:rPr>
            </w:pPr>
            <w:r w:rsidRPr="005911E2">
              <w:rPr>
                <w:rFonts w:cs="Arial"/>
                <w:color w:val="000000"/>
                <w:szCs w:val="18"/>
                <w:lang w:eastAsia="en-AU" w:bidi="ar-SA"/>
              </w:rPr>
              <w:t>4</w:t>
            </w:r>
          </w:p>
        </w:tc>
        <w:tc>
          <w:tcPr>
            <w:tcW w:w="1276" w:type="dxa"/>
            <w:shd w:val="clear" w:color="auto" w:fill="auto"/>
          </w:tcPr>
          <w:p w:rsidR="0022069A" w:rsidRPr="005911E2" w:rsidRDefault="0022069A" w:rsidP="0022069A">
            <w:pPr>
              <w:pStyle w:val="TableText"/>
              <w:jc w:val="right"/>
              <w:rPr>
                <w:rFonts w:cs="Arial"/>
                <w:color w:val="000000"/>
                <w:szCs w:val="18"/>
                <w:lang w:eastAsia="en-AU" w:bidi="ar-SA"/>
              </w:rPr>
            </w:pPr>
            <w:r w:rsidRPr="005911E2">
              <w:rPr>
                <w:rFonts w:cs="Arial"/>
                <w:color w:val="000000"/>
                <w:szCs w:val="18"/>
                <w:lang w:eastAsia="en-AU" w:bidi="ar-SA"/>
              </w:rPr>
              <w:t>80.0</w:t>
            </w:r>
          </w:p>
        </w:tc>
      </w:tr>
      <w:tr w:rsidR="0022069A" w:rsidRPr="005911E2" w:rsidTr="002955BA">
        <w:tc>
          <w:tcPr>
            <w:tcW w:w="2410" w:type="dxa"/>
          </w:tcPr>
          <w:p w:rsidR="0022069A" w:rsidRPr="005911E2" w:rsidRDefault="0022069A" w:rsidP="0022069A">
            <w:pPr>
              <w:pStyle w:val="TableText"/>
              <w:ind w:left="250" w:hanging="250"/>
              <w:rPr>
                <w:szCs w:val="18"/>
              </w:rPr>
            </w:pPr>
            <w:r w:rsidRPr="005911E2">
              <w:rPr>
                <w:szCs w:val="18"/>
              </w:rPr>
              <w:t>Voluntary IM</w:t>
            </w:r>
          </w:p>
        </w:tc>
        <w:tc>
          <w:tcPr>
            <w:tcW w:w="1276" w:type="dxa"/>
            <w:vAlign w:val="bottom"/>
          </w:tcPr>
          <w:p w:rsidR="0022069A" w:rsidRPr="005911E2" w:rsidRDefault="0022069A" w:rsidP="0022069A">
            <w:pPr>
              <w:pStyle w:val="TableText"/>
              <w:jc w:val="right"/>
              <w:rPr>
                <w:szCs w:val="18"/>
              </w:rPr>
            </w:pPr>
            <w:r w:rsidRPr="005911E2">
              <w:rPr>
                <w:rFonts w:cs="Arial"/>
                <w:color w:val="000000"/>
                <w:szCs w:val="18"/>
                <w:lang w:eastAsia="en-AU" w:bidi="ar-SA"/>
              </w:rPr>
              <w:t>6.9</w:t>
            </w:r>
          </w:p>
        </w:tc>
        <w:tc>
          <w:tcPr>
            <w:tcW w:w="1276" w:type="dxa"/>
            <w:vAlign w:val="bottom"/>
          </w:tcPr>
          <w:p w:rsidR="0022069A" w:rsidRPr="005911E2" w:rsidRDefault="0022069A" w:rsidP="0022069A">
            <w:pPr>
              <w:pStyle w:val="TableText"/>
              <w:jc w:val="right"/>
              <w:rPr>
                <w:szCs w:val="18"/>
              </w:rPr>
            </w:pPr>
            <w:r w:rsidRPr="005911E2">
              <w:rPr>
                <w:rFonts w:cs="Arial"/>
                <w:color w:val="000000"/>
                <w:szCs w:val="18"/>
                <w:lang w:eastAsia="en-AU" w:bidi="ar-SA"/>
              </w:rPr>
              <w:t>2.0</w:t>
            </w:r>
          </w:p>
        </w:tc>
        <w:tc>
          <w:tcPr>
            <w:tcW w:w="1275" w:type="dxa"/>
            <w:vAlign w:val="bottom"/>
          </w:tcPr>
          <w:p w:rsidR="0022069A" w:rsidRPr="005911E2" w:rsidRDefault="0022069A" w:rsidP="0022069A">
            <w:pPr>
              <w:pStyle w:val="TableText"/>
              <w:jc w:val="right"/>
              <w:rPr>
                <w:szCs w:val="18"/>
              </w:rPr>
            </w:pPr>
            <w:r w:rsidRPr="005911E2">
              <w:rPr>
                <w:rFonts w:cs="Arial"/>
                <w:color w:val="000000"/>
                <w:szCs w:val="18"/>
                <w:lang w:eastAsia="en-AU" w:bidi="ar-SA"/>
              </w:rPr>
              <w:t>8</w:t>
            </w:r>
          </w:p>
        </w:tc>
        <w:tc>
          <w:tcPr>
            <w:tcW w:w="1276" w:type="dxa"/>
            <w:shd w:val="clear" w:color="auto" w:fill="auto"/>
          </w:tcPr>
          <w:p w:rsidR="0022069A" w:rsidRPr="005911E2" w:rsidRDefault="0022069A" w:rsidP="0022069A">
            <w:pPr>
              <w:pStyle w:val="TableText"/>
              <w:jc w:val="right"/>
              <w:rPr>
                <w:rFonts w:cs="Arial"/>
                <w:color w:val="000000"/>
                <w:szCs w:val="18"/>
                <w:lang w:eastAsia="en-AU" w:bidi="ar-SA"/>
              </w:rPr>
            </w:pPr>
            <w:r w:rsidRPr="005911E2">
              <w:rPr>
                <w:rFonts w:cs="Arial"/>
                <w:color w:val="000000"/>
                <w:szCs w:val="18"/>
                <w:lang w:eastAsia="en-AU" w:bidi="ar-SA"/>
              </w:rPr>
              <w:t>13.6</w:t>
            </w:r>
          </w:p>
        </w:tc>
      </w:tr>
      <w:tr w:rsidR="0022069A" w:rsidRPr="005911E2" w:rsidTr="002955BA">
        <w:tc>
          <w:tcPr>
            <w:tcW w:w="2410" w:type="dxa"/>
          </w:tcPr>
          <w:p w:rsidR="0022069A" w:rsidRPr="005911E2" w:rsidRDefault="0022069A" w:rsidP="0022069A">
            <w:pPr>
              <w:pStyle w:val="TableText"/>
              <w:ind w:left="250" w:hanging="250"/>
              <w:rPr>
                <w:szCs w:val="18"/>
              </w:rPr>
            </w:pPr>
            <w:r w:rsidRPr="005911E2">
              <w:rPr>
                <w:szCs w:val="18"/>
              </w:rPr>
              <w:t>Vulnerable IM</w:t>
            </w:r>
          </w:p>
        </w:tc>
        <w:tc>
          <w:tcPr>
            <w:tcW w:w="1276" w:type="dxa"/>
            <w:vAlign w:val="bottom"/>
          </w:tcPr>
          <w:p w:rsidR="0022069A" w:rsidRPr="005911E2" w:rsidRDefault="0022069A" w:rsidP="0022069A">
            <w:pPr>
              <w:pStyle w:val="TableText"/>
              <w:jc w:val="right"/>
              <w:rPr>
                <w:szCs w:val="18"/>
              </w:rPr>
            </w:pPr>
            <w:r w:rsidRPr="005911E2">
              <w:rPr>
                <w:rFonts w:cs="Arial"/>
                <w:color w:val="000000"/>
                <w:szCs w:val="18"/>
                <w:lang w:eastAsia="en-AU" w:bidi="ar-SA"/>
              </w:rPr>
              <w:t>2.0</w:t>
            </w:r>
          </w:p>
        </w:tc>
        <w:tc>
          <w:tcPr>
            <w:tcW w:w="1276" w:type="dxa"/>
            <w:vAlign w:val="bottom"/>
          </w:tcPr>
          <w:p w:rsidR="0022069A" w:rsidRPr="005911E2" w:rsidRDefault="0022069A" w:rsidP="0022069A">
            <w:pPr>
              <w:pStyle w:val="TableText"/>
              <w:jc w:val="right"/>
              <w:rPr>
                <w:szCs w:val="18"/>
              </w:rPr>
            </w:pPr>
            <w:r w:rsidRPr="005911E2">
              <w:rPr>
                <w:rFonts w:cs="Arial"/>
                <w:color w:val="000000"/>
                <w:szCs w:val="18"/>
                <w:lang w:eastAsia="en-AU" w:bidi="ar-SA"/>
              </w:rPr>
              <w:t>5.0</w:t>
            </w:r>
          </w:p>
        </w:tc>
        <w:tc>
          <w:tcPr>
            <w:tcW w:w="1275" w:type="dxa"/>
            <w:vAlign w:val="bottom"/>
          </w:tcPr>
          <w:p w:rsidR="0022069A" w:rsidRPr="005911E2" w:rsidRDefault="0022069A" w:rsidP="0022069A">
            <w:pPr>
              <w:pStyle w:val="TableText"/>
              <w:jc w:val="right"/>
              <w:rPr>
                <w:szCs w:val="18"/>
              </w:rPr>
            </w:pPr>
            <w:r w:rsidRPr="005911E2">
              <w:rPr>
                <w:rFonts w:cs="Arial"/>
                <w:color w:val="000000"/>
                <w:szCs w:val="18"/>
                <w:lang w:eastAsia="en-AU" w:bidi="ar-SA"/>
              </w:rPr>
              <w:t>1</w:t>
            </w:r>
          </w:p>
        </w:tc>
        <w:tc>
          <w:tcPr>
            <w:tcW w:w="1276" w:type="dxa"/>
            <w:shd w:val="clear" w:color="auto" w:fill="auto"/>
          </w:tcPr>
          <w:p w:rsidR="0022069A" w:rsidRPr="005911E2" w:rsidRDefault="0022069A" w:rsidP="0022069A">
            <w:pPr>
              <w:pStyle w:val="TableText"/>
              <w:jc w:val="right"/>
              <w:rPr>
                <w:rFonts w:cs="Arial"/>
                <w:color w:val="000000"/>
                <w:szCs w:val="18"/>
                <w:lang w:eastAsia="en-AU" w:bidi="ar-SA"/>
              </w:rPr>
            </w:pPr>
            <w:r w:rsidRPr="005911E2">
              <w:rPr>
                <w:rFonts w:cs="Arial"/>
                <w:color w:val="000000"/>
                <w:szCs w:val="18"/>
                <w:lang w:eastAsia="en-AU" w:bidi="ar-SA"/>
              </w:rPr>
              <w:t>16.7</w:t>
            </w:r>
          </w:p>
        </w:tc>
      </w:tr>
      <w:tr w:rsidR="0022069A" w:rsidRPr="005911E2" w:rsidTr="002955BA">
        <w:tc>
          <w:tcPr>
            <w:tcW w:w="2410" w:type="dxa"/>
            <w:tcBorders>
              <w:bottom w:val="single" w:sz="4" w:space="0" w:color="auto"/>
            </w:tcBorders>
          </w:tcPr>
          <w:p w:rsidR="0022069A" w:rsidRPr="005911E2" w:rsidRDefault="0022069A" w:rsidP="0022069A">
            <w:pPr>
              <w:pStyle w:val="TableText"/>
              <w:ind w:left="250" w:hanging="250"/>
              <w:rPr>
                <w:szCs w:val="18"/>
              </w:rPr>
            </w:pPr>
            <w:r w:rsidRPr="005911E2">
              <w:rPr>
                <w:szCs w:val="18"/>
              </w:rPr>
              <w:t>Total</w:t>
            </w:r>
          </w:p>
        </w:tc>
        <w:tc>
          <w:tcPr>
            <w:tcW w:w="1276" w:type="dxa"/>
            <w:tcBorders>
              <w:bottom w:val="single" w:sz="4" w:space="0" w:color="auto"/>
            </w:tcBorders>
            <w:vAlign w:val="bottom"/>
          </w:tcPr>
          <w:p w:rsidR="0022069A" w:rsidRPr="005911E2" w:rsidRDefault="0022069A" w:rsidP="0022069A">
            <w:pPr>
              <w:pStyle w:val="TableText"/>
              <w:jc w:val="right"/>
              <w:rPr>
                <w:szCs w:val="18"/>
              </w:rPr>
            </w:pPr>
            <w:r w:rsidRPr="005911E2">
              <w:rPr>
                <w:rFonts w:cs="Arial"/>
                <w:color w:val="000000"/>
                <w:szCs w:val="18"/>
                <w:lang w:eastAsia="en-AU" w:bidi="ar-SA"/>
              </w:rPr>
              <w:t>4.7</w:t>
            </w:r>
          </w:p>
        </w:tc>
        <w:tc>
          <w:tcPr>
            <w:tcW w:w="1276" w:type="dxa"/>
            <w:tcBorders>
              <w:bottom w:val="single" w:sz="4" w:space="0" w:color="auto"/>
            </w:tcBorders>
            <w:vAlign w:val="bottom"/>
          </w:tcPr>
          <w:p w:rsidR="0022069A" w:rsidRPr="005911E2" w:rsidRDefault="0022069A" w:rsidP="0022069A">
            <w:pPr>
              <w:pStyle w:val="TableText"/>
              <w:jc w:val="right"/>
              <w:rPr>
                <w:szCs w:val="18"/>
              </w:rPr>
            </w:pPr>
            <w:r w:rsidRPr="005911E2">
              <w:rPr>
                <w:rFonts w:cs="Arial"/>
                <w:color w:val="000000"/>
                <w:szCs w:val="18"/>
                <w:lang w:eastAsia="en-AU" w:bidi="ar-SA"/>
              </w:rPr>
              <w:t>2.1</w:t>
            </w:r>
          </w:p>
        </w:tc>
        <w:tc>
          <w:tcPr>
            <w:tcW w:w="1275" w:type="dxa"/>
            <w:tcBorders>
              <w:bottom w:val="single" w:sz="4" w:space="0" w:color="auto"/>
            </w:tcBorders>
            <w:vAlign w:val="bottom"/>
          </w:tcPr>
          <w:p w:rsidR="0022069A" w:rsidRPr="005911E2" w:rsidRDefault="0022069A" w:rsidP="0022069A">
            <w:pPr>
              <w:pStyle w:val="TableText"/>
              <w:jc w:val="right"/>
              <w:rPr>
                <w:szCs w:val="18"/>
              </w:rPr>
            </w:pPr>
            <w:r w:rsidRPr="005911E2">
              <w:rPr>
                <w:rFonts w:cs="Arial"/>
                <w:color w:val="000000"/>
                <w:szCs w:val="18"/>
                <w:lang w:eastAsia="en-AU" w:bidi="ar-SA"/>
              </w:rPr>
              <w:t>490</w:t>
            </w:r>
          </w:p>
        </w:tc>
        <w:tc>
          <w:tcPr>
            <w:tcW w:w="1276" w:type="dxa"/>
            <w:tcBorders>
              <w:bottom w:val="single" w:sz="4" w:space="0" w:color="auto"/>
            </w:tcBorders>
            <w:shd w:val="clear" w:color="auto" w:fill="auto"/>
          </w:tcPr>
          <w:p w:rsidR="0022069A" w:rsidRPr="005911E2" w:rsidRDefault="0022069A" w:rsidP="0022069A">
            <w:pPr>
              <w:pStyle w:val="TableText"/>
              <w:jc w:val="right"/>
              <w:rPr>
                <w:rFonts w:cs="Arial"/>
                <w:color w:val="000000"/>
                <w:szCs w:val="18"/>
                <w:lang w:eastAsia="en-AU" w:bidi="ar-SA"/>
              </w:rPr>
            </w:pPr>
            <w:r w:rsidRPr="005911E2">
              <w:rPr>
                <w:rFonts w:cs="Arial"/>
                <w:color w:val="000000"/>
                <w:szCs w:val="18"/>
                <w:lang w:eastAsia="en-AU" w:bidi="ar-SA"/>
              </w:rPr>
              <w:t>33.4</w:t>
            </w:r>
          </w:p>
        </w:tc>
      </w:tr>
      <w:tr w:rsidR="0022069A" w:rsidRPr="005911E2" w:rsidTr="002955BA">
        <w:tc>
          <w:tcPr>
            <w:tcW w:w="7513" w:type="dxa"/>
            <w:gridSpan w:val="5"/>
            <w:tcBorders>
              <w:top w:val="single" w:sz="4" w:space="0" w:color="auto"/>
              <w:bottom w:val="single" w:sz="4" w:space="0" w:color="auto"/>
            </w:tcBorders>
            <w:shd w:val="clear" w:color="auto" w:fill="auto"/>
            <w:vAlign w:val="bottom"/>
          </w:tcPr>
          <w:p w:rsidR="0022069A" w:rsidRPr="005911E2" w:rsidRDefault="0022069A" w:rsidP="0022069A">
            <w:pPr>
              <w:pStyle w:val="TableText"/>
              <w:jc w:val="center"/>
              <w:rPr>
                <w:rFonts w:cs="Arial"/>
                <w:color w:val="000000"/>
                <w:szCs w:val="18"/>
                <w:lang w:eastAsia="en-AU" w:bidi="ar-SA"/>
              </w:rPr>
            </w:pPr>
            <w:r w:rsidRPr="005911E2">
              <w:rPr>
                <w:szCs w:val="18"/>
              </w:rPr>
              <w:t>Total</w:t>
            </w:r>
          </w:p>
        </w:tc>
      </w:tr>
      <w:tr w:rsidR="0022069A" w:rsidRPr="005911E2" w:rsidTr="002955BA">
        <w:tc>
          <w:tcPr>
            <w:tcW w:w="2410" w:type="dxa"/>
            <w:tcBorders>
              <w:top w:val="single" w:sz="4" w:space="0" w:color="auto"/>
            </w:tcBorders>
          </w:tcPr>
          <w:p w:rsidR="0022069A" w:rsidRPr="005911E2" w:rsidRDefault="0022069A" w:rsidP="0022069A">
            <w:pPr>
              <w:pStyle w:val="TableText"/>
              <w:ind w:left="250" w:hanging="250"/>
              <w:rPr>
                <w:szCs w:val="18"/>
              </w:rPr>
            </w:pPr>
            <w:r w:rsidRPr="005911E2">
              <w:rPr>
                <w:szCs w:val="18"/>
              </w:rPr>
              <w:t>Compulsory IM</w:t>
            </w:r>
          </w:p>
        </w:tc>
        <w:tc>
          <w:tcPr>
            <w:tcW w:w="1276" w:type="dxa"/>
            <w:tcBorders>
              <w:top w:val="single" w:sz="4" w:space="0" w:color="auto"/>
            </w:tcBorders>
            <w:vAlign w:val="bottom"/>
          </w:tcPr>
          <w:p w:rsidR="0022069A" w:rsidRPr="005911E2" w:rsidRDefault="0022069A" w:rsidP="0022069A">
            <w:pPr>
              <w:pStyle w:val="TableText"/>
              <w:jc w:val="right"/>
              <w:rPr>
                <w:szCs w:val="18"/>
              </w:rPr>
            </w:pPr>
            <w:r w:rsidRPr="005911E2">
              <w:rPr>
                <w:rFonts w:cs="Arial"/>
                <w:color w:val="000000"/>
                <w:szCs w:val="18"/>
                <w:lang w:eastAsia="en-AU" w:bidi="ar-SA"/>
              </w:rPr>
              <w:t>4.3</w:t>
            </w:r>
          </w:p>
        </w:tc>
        <w:tc>
          <w:tcPr>
            <w:tcW w:w="1276" w:type="dxa"/>
            <w:tcBorders>
              <w:top w:val="single" w:sz="4" w:space="0" w:color="auto"/>
            </w:tcBorders>
            <w:vAlign w:val="bottom"/>
          </w:tcPr>
          <w:p w:rsidR="0022069A" w:rsidRPr="005911E2" w:rsidRDefault="0022069A" w:rsidP="0022069A">
            <w:pPr>
              <w:pStyle w:val="TableText"/>
              <w:jc w:val="right"/>
              <w:rPr>
                <w:szCs w:val="18"/>
              </w:rPr>
            </w:pPr>
            <w:r w:rsidRPr="005911E2">
              <w:rPr>
                <w:rFonts w:cs="Arial"/>
                <w:color w:val="000000"/>
                <w:szCs w:val="18"/>
                <w:lang w:eastAsia="en-AU" w:bidi="ar-SA"/>
              </w:rPr>
              <w:t>2.0</w:t>
            </w:r>
          </w:p>
        </w:tc>
        <w:tc>
          <w:tcPr>
            <w:tcW w:w="1275" w:type="dxa"/>
            <w:tcBorders>
              <w:top w:val="single" w:sz="4" w:space="0" w:color="auto"/>
            </w:tcBorders>
            <w:vAlign w:val="bottom"/>
          </w:tcPr>
          <w:p w:rsidR="0022069A" w:rsidRPr="005911E2" w:rsidRDefault="0022069A" w:rsidP="0022069A">
            <w:pPr>
              <w:pStyle w:val="TableText"/>
              <w:jc w:val="right"/>
              <w:rPr>
                <w:szCs w:val="18"/>
              </w:rPr>
            </w:pPr>
            <w:r w:rsidRPr="005911E2">
              <w:rPr>
                <w:rFonts w:cs="Arial"/>
                <w:color w:val="000000"/>
                <w:szCs w:val="18"/>
                <w:lang w:eastAsia="en-AU" w:bidi="ar-SA"/>
              </w:rPr>
              <w:t>5</w:t>
            </w:r>
            <w:r w:rsidR="00CF78DB">
              <w:rPr>
                <w:rFonts w:cs="Arial"/>
                <w:color w:val="000000"/>
                <w:szCs w:val="18"/>
                <w:lang w:eastAsia="en-AU" w:bidi="ar-SA"/>
              </w:rPr>
              <w:t> </w:t>
            </w:r>
            <w:r w:rsidRPr="005911E2">
              <w:rPr>
                <w:rFonts w:cs="Arial"/>
                <w:color w:val="000000"/>
                <w:szCs w:val="18"/>
                <w:lang w:eastAsia="en-AU" w:bidi="ar-SA"/>
              </w:rPr>
              <w:t>254</w:t>
            </w:r>
          </w:p>
        </w:tc>
        <w:tc>
          <w:tcPr>
            <w:tcW w:w="1276" w:type="dxa"/>
            <w:tcBorders>
              <w:top w:val="single" w:sz="4" w:space="0" w:color="auto"/>
            </w:tcBorders>
            <w:shd w:val="clear" w:color="auto" w:fill="auto"/>
          </w:tcPr>
          <w:p w:rsidR="0022069A" w:rsidRPr="005911E2" w:rsidRDefault="0022069A" w:rsidP="0022069A">
            <w:pPr>
              <w:pStyle w:val="TableText"/>
              <w:jc w:val="right"/>
              <w:rPr>
                <w:rFonts w:cs="Arial"/>
                <w:color w:val="000000"/>
                <w:szCs w:val="18"/>
                <w:lang w:eastAsia="en-AU" w:bidi="ar-SA"/>
              </w:rPr>
            </w:pPr>
            <w:r w:rsidRPr="005911E2">
              <w:rPr>
                <w:rFonts w:cs="Arial"/>
                <w:color w:val="000000"/>
                <w:szCs w:val="18"/>
                <w:lang w:eastAsia="en-AU" w:bidi="ar-SA"/>
              </w:rPr>
              <w:t>43.9</w:t>
            </w:r>
          </w:p>
        </w:tc>
      </w:tr>
      <w:tr w:rsidR="0022069A" w:rsidRPr="005911E2" w:rsidTr="002955BA">
        <w:tc>
          <w:tcPr>
            <w:tcW w:w="2410" w:type="dxa"/>
          </w:tcPr>
          <w:p w:rsidR="0022069A" w:rsidRPr="005911E2" w:rsidRDefault="0022069A" w:rsidP="0022069A">
            <w:pPr>
              <w:pStyle w:val="TableText"/>
              <w:ind w:left="250" w:hanging="250"/>
              <w:rPr>
                <w:szCs w:val="18"/>
              </w:rPr>
            </w:pPr>
            <w:r w:rsidRPr="005911E2">
              <w:rPr>
                <w:szCs w:val="18"/>
              </w:rPr>
              <w:t>Child Protection IM</w:t>
            </w:r>
            <w:r w:rsidR="009F6E1A">
              <w:rPr>
                <w:szCs w:val="18"/>
              </w:rPr>
              <w:t xml:space="preserve"> (a)</w:t>
            </w:r>
          </w:p>
        </w:tc>
        <w:tc>
          <w:tcPr>
            <w:tcW w:w="1276" w:type="dxa"/>
            <w:vAlign w:val="bottom"/>
          </w:tcPr>
          <w:p w:rsidR="0022069A" w:rsidRPr="005911E2" w:rsidRDefault="0022069A" w:rsidP="0022069A">
            <w:pPr>
              <w:pStyle w:val="TableText"/>
              <w:jc w:val="right"/>
              <w:rPr>
                <w:szCs w:val="18"/>
              </w:rPr>
            </w:pPr>
            <w:r w:rsidRPr="005911E2">
              <w:rPr>
                <w:rFonts w:cs="Arial"/>
                <w:color w:val="000000"/>
                <w:szCs w:val="18"/>
                <w:lang w:eastAsia="en-AU" w:bidi="ar-SA"/>
              </w:rPr>
              <w:t>2.5</w:t>
            </w:r>
          </w:p>
        </w:tc>
        <w:tc>
          <w:tcPr>
            <w:tcW w:w="1276" w:type="dxa"/>
            <w:vAlign w:val="bottom"/>
          </w:tcPr>
          <w:p w:rsidR="0022069A" w:rsidRPr="005911E2" w:rsidRDefault="0022069A" w:rsidP="0022069A">
            <w:pPr>
              <w:pStyle w:val="TableText"/>
              <w:jc w:val="right"/>
              <w:rPr>
                <w:szCs w:val="18"/>
              </w:rPr>
            </w:pPr>
            <w:r w:rsidRPr="005911E2">
              <w:rPr>
                <w:rFonts w:cs="Arial"/>
                <w:color w:val="000000"/>
                <w:szCs w:val="18"/>
                <w:lang w:eastAsia="en-AU" w:bidi="ar-SA"/>
              </w:rPr>
              <w:t>2.7</w:t>
            </w:r>
          </w:p>
        </w:tc>
        <w:tc>
          <w:tcPr>
            <w:tcW w:w="1275" w:type="dxa"/>
            <w:vAlign w:val="bottom"/>
          </w:tcPr>
          <w:p w:rsidR="0022069A" w:rsidRPr="005911E2" w:rsidRDefault="0022069A" w:rsidP="0022069A">
            <w:pPr>
              <w:pStyle w:val="TableText"/>
              <w:jc w:val="right"/>
              <w:rPr>
                <w:szCs w:val="18"/>
              </w:rPr>
            </w:pPr>
            <w:r w:rsidRPr="005911E2">
              <w:rPr>
                <w:rFonts w:cs="Arial"/>
                <w:color w:val="000000"/>
                <w:szCs w:val="18"/>
                <w:lang w:eastAsia="en-AU" w:bidi="ar-SA"/>
              </w:rPr>
              <w:t>32</w:t>
            </w:r>
          </w:p>
        </w:tc>
        <w:tc>
          <w:tcPr>
            <w:tcW w:w="1276" w:type="dxa"/>
            <w:shd w:val="clear" w:color="auto" w:fill="auto"/>
          </w:tcPr>
          <w:p w:rsidR="0022069A" w:rsidRPr="005911E2" w:rsidRDefault="0022069A" w:rsidP="0022069A">
            <w:pPr>
              <w:pStyle w:val="TableText"/>
              <w:jc w:val="right"/>
              <w:rPr>
                <w:rFonts w:cs="Arial"/>
                <w:color w:val="000000"/>
                <w:szCs w:val="18"/>
                <w:lang w:eastAsia="en-AU" w:bidi="ar-SA"/>
              </w:rPr>
            </w:pPr>
            <w:r w:rsidRPr="005911E2">
              <w:rPr>
                <w:rFonts w:cs="Arial"/>
                <w:color w:val="000000"/>
                <w:szCs w:val="18"/>
                <w:lang w:eastAsia="en-AU" w:bidi="ar-SA"/>
              </w:rPr>
              <w:t>71.1</w:t>
            </w:r>
          </w:p>
        </w:tc>
      </w:tr>
      <w:tr w:rsidR="0022069A" w:rsidRPr="005911E2" w:rsidTr="002955BA">
        <w:tc>
          <w:tcPr>
            <w:tcW w:w="2410" w:type="dxa"/>
          </w:tcPr>
          <w:p w:rsidR="0022069A" w:rsidRPr="005911E2" w:rsidRDefault="0022069A" w:rsidP="0022069A">
            <w:pPr>
              <w:pStyle w:val="TableText"/>
              <w:ind w:left="250" w:hanging="250"/>
              <w:rPr>
                <w:szCs w:val="18"/>
              </w:rPr>
            </w:pPr>
            <w:r w:rsidRPr="005911E2">
              <w:rPr>
                <w:szCs w:val="18"/>
              </w:rPr>
              <w:t>Voluntary IM</w:t>
            </w:r>
          </w:p>
        </w:tc>
        <w:tc>
          <w:tcPr>
            <w:tcW w:w="1276" w:type="dxa"/>
            <w:vAlign w:val="bottom"/>
          </w:tcPr>
          <w:p w:rsidR="0022069A" w:rsidRPr="005911E2" w:rsidRDefault="0022069A" w:rsidP="0022069A">
            <w:pPr>
              <w:pStyle w:val="TableText"/>
              <w:jc w:val="right"/>
              <w:rPr>
                <w:szCs w:val="18"/>
              </w:rPr>
            </w:pPr>
            <w:r w:rsidRPr="005911E2">
              <w:rPr>
                <w:rFonts w:cs="Arial"/>
                <w:color w:val="000000"/>
                <w:szCs w:val="18"/>
                <w:lang w:eastAsia="en-AU" w:bidi="ar-SA"/>
              </w:rPr>
              <w:t>7.9</w:t>
            </w:r>
          </w:p>
        </w:tc>
        <w:tc>
          <w:tcPr>
            <w:tcW w:w="1276" w:type="dxa"/>
            <w:vAlign w:val="bottom"/>
          </w:tcPr>
          <w:p w:rsidR="0022069A" w:rsidRPr="005911E2" w:rsidRDefault="0022069A" w:rsidP="0022069A">
            <w:pPr>
              <w:pStyle w:val="TableText"/>
              <w:jc w:val="right"/>
              <w:rPr>
                <w:szCs w:val="18"/>
              </w:rPr>
            </w:pPr>
            <w:r w:rsidRPr="005911E2">
              <w:rPr>
                <w:rFonts w:cs="Arial"/>
                <w:color w:val="000000"/>
                <w:szCs w:val="18"/>
                <w:lang w:eastAsia="en-AU" w:bidi="ar-SA"/>
              </w:rPr>
              <w:t>1.8</w:t>
            </w:r>
          </w:p>
        </w:tc>
        <w:tc>
          <w:tcPr>
            <w:tcW w:w="1275" w:type="dxa"/>
            <w:vAlign w:val="bottom"/>
          </w:tcPr>
          <w:p w:rsidR="0022069A" w:rsidRPr="005911E2" w:rsidRDefault="0022069A" w:rsidP="0022069A">
            <w:pPr>
              <w:pStyle w:val="TableText"/>
              <w:jc w:val="right"/>
              <w:rPr>
                <w:szCs w:val="18"/>
              </w:rPr>
            </w:pPr>
            <w:r w:rsidRPr="005911E2">
              <w:rPr>
                <w:rFonts w:cs="Arial"/>
                <w:color w:val="000000"/>
                <w:szCs w:val="18"/>
                <w:lang w:eastAsia="en-AU" w:bidi="ar-SA"/>
              </w:rPr>
              <w:t>667</w:t>
            </w:r>
          </w:p>
        </w:tc>
        <w:tc>
          <w:tcPr>
            <w:tcW w:w="1276" w:type="dxa"/>
            <w:shd w:val="clear" w:color="auto" w:fill="auto"/>
          </w:tcPr>
          <w:p w:rsidR="0022069A" w:rsidRPr="005911E2" w:rsidRDefault="0022069A" w:rsidP="0022069A">
            <w:pPr>
              <w:pStyle w:val="TableText"/>
              <w:jc w:val="right"/>
              <w:rPr>
                <w:rFonts w:cs="Arial"/>
                <w:color w:val="000000"/>
                <w:szCs w:val="18"/>
                <w:lang w:eastAsia="en-AU" w:bidi="ar-SA"/>
              </w:rPr>
            </w:pPr>
            <w:r w:rsidRPr="005911E2">
              <w:rPr>
                <w:rFonts w:cs="Arial"/>
                <w:color w:val="000000"/>
                <w:szCs w:val="18"/>
                <w:lang w:eastAsia="en-AU" w:bidi="ar-SA"/>
              </w:rPr>
              <w:t>15.9</w:t>
            </w:r>
          </w:p>
        </w:tc>
      </w:tr>
      <w:tr w:rsidR="0022069A" w:rsidRPr="005911E2" w:rsidTr="002955BA">
        <w:tc>
          <w:tcPr>
            <w:tcW w:w="2410" w:type="dxa"/>
          </w:tcPr>
          <w:p w:rsidR="0022069A" w:rsidRPr="005911E2" w:rsidRDefault="0022069A" w:rsidP="0022069A">
            <w:pPr>
              <w:pStyle w:val="TableText"/>
              <w:ind w:left="250" w:hanging="250"/>
              <w:rPr>
                <w:szCs w:val="18"/>
              </w:rPr>
            </w:pPr>
            <w:r w:rsidRPr="005911E2">
              <w:rPr>
                <w:szCs w:val="18"/>
              </w:rPr>
              <w:t>Vulnerable IM</w:t>
            </w:r>
          </w:p>
        </w:tc>
        <w:tc>
          <w:tcPr>
            <w:tcW w:w="1276" w:type="dxa"/>
            <w:vAlign w:val="bottom"/>
          </w:tcPr>
          <w:p w:rsidR="0022069A" w:rsidRPr="005911E2" w:rsidRDefault="0022069A" w:rsidP="0022069A">
            <w:pPr>
              <w:pStyle w:val="TableText"/>
              <w:jc w:val="right"/>
              <w:rPr>
                <w:szCs w:val="18"/>
              </w:rPr>
            </w:pPr>
            <w:r w:rsidRPr="005911E2">
              <w:rPr>
                <w:rFonts w:cs="Arial"/>
                <w:color w:val="000000"/>
                <w:szCs w:val="18"/>
                <w:lang w:eastAsia="en-AU" w:bidi="ar-SA"/>
              </w:rPr>
              <w:t>4.0</w:t>
            </w:r>
          </w:p>
        </w:tc>
        <w:tc>
          <w:tcPr>
            <w:tcW w:w="1276" w:type="dxa"/>
            <w:vAlign w:val="bottom"/>
          </w:tcPr>
          <w:p w:rsidR="0022069A" w:rsidRPr="005911E2" w:rsidRDefault="0022069A" w:rsidP="0022069A">
            <w:pPr>
              <w:pStyle w:val="TableText"/>
              <w:jc w:val="right"/>
              <w:rPr>
                <w:szCs w:val="18"/>
              </w:rPr>
            </w:pPr>
            <w:r w:rsidRPr="005911E2">
              <w:rPr>
                <w:rFonts w:cs="Arial"/>
                <w:color w:val="000000"/>
                <w:szCs w:val="18"/>
                <w:lang w:eastAsia="en-AU" w:bidi="ar-SA"/>
              </w:rPr>
              <w:t>1.6</w:t>
            </w:r>
          </w:p>
        </w:tc>
        <w:tc>
          <w:tcPr>
            <w:tcW w:w="1275" w:type="dxa"/>
            <w:vAlign w:val="bottom"/>
          </w:tcPr>
          <w:p w:rsidR="0022069A" w:rsidRPr="005911E2" w:rsidRDefault="0022069A" w:rsidP="0022069A">
            <w:pPr>
              <w:pStyle w:val="TableText"/>
              <w:jc w:val="right"/>
              <w:rPr>
                <w:szCs w:val="18"/>
              </w:rPr>
            </w:pPr>
            <w:r w:rsidRPr="005911E2">
              <w:rPr>
                <w:rFonts w:cs="Arial"/>
                <w:color w:val="000000"/>
                <w:szCs w:val="18"/>
                <w:lang w:eastAsia="en-AU" w:bidi="ar-SA"/>
              </w:rPr>
              <w:t>13</w:t>
            </w:r>
          </w:p>
        </w:tc>
        <w:tc>
          <w:tcPr>
            <w:tcW w:w="1276" w:type="dxa"/>
            <w:shd w:val="clear" w:color="auto" w:fill="auto"/>
          </w:tcPr>
          <w:p w:rsidR="0022069A" w:rsidRPr="005911E2" w:rsidRDefault="0022069A" w:rsidP="0022069A">
            <w:pPr>
              <w:pStyle w:val="TableText"/>
              <w:jc w:val="right"/>
              <w:rPr>
                <w:rFonts w:cs="Arial"/>
                <w:color w:val="000000"/>
                <w:szCs w:val="18"/>
                <w:lang w:eastAsia="en-AU" w:bidi="ar-SA"/>
              </w:rPr>
            </w:pPr>
            <w:r w:rsidRPr="005911E2">
              <w:rPr>
                <w:rFonts w:cs="Arial"/>
                <w:color w:val="000000"/>
                <w:szCs w:val="18"/>
                <w:lang w:eastAsia="en-AU" w:bidi="ar-SA"/>
              </w:rPr>
              <w:t>6.6</w:t>
            </w:r>
          </w:p>
        </w:tc>
      </w:tr>
      <w:tr w:rsidR="0022069A" w:rsidRPr="005911E2" w:rsidTr="002955BA">
        <w:tc>
          <w:tcPr>
            <w:tcW w:w="2410" w:type="dxa"/>
            <w:tcBorders>
              <w:bottom w:val="single" w:sz="4" w:space="0" w:color="auto"/>
            </w:tcBorders>
          </w:tcPr>
          <w:p w:rsidR="0022069A" w:rsidRPr="005911E2" w:rsidRDefault="0022069A" w:rsidP="0022069A">
            <w:pPr>
              <w:pStyle w:val="TableText"/>
              <w:ind w:left="250" w:hanging="250"/>
              <w:rPr>
                <w:szCs w:val="18"/>
              </w:rPr>
            </w:pPr>
            <w:r w:rsidRPr="005911E2">
              <w:rPr>
                <w:szCs w:val="18"/>
              </w:rPr>
              <w:t>Total</w:t>
            </w:r>
          </w:p>
        </w:tc>
        <w:tc>
          <w:tcPr>
            <w:tcW w:w="1276" w:type="dxa"/>
            <w:tcBorders>
              <w:bottom w:val="single" w:sz="4" w:space="0" w:color="auto"/>
            </w:tcBorders>
            <w:vAlign w:val="bottom"/>
          </w:tcPr>
          <w:p w:rsidR="0022069A" w:rsidRPr="005911E2" w:rsidRDefault="0022069A" w:rsidP="0022069A">
            <w:pPr>
              <w:pStyle w:val="TableText"/>
              <w:jc w:val="right"/>
              <w:rPr>
                <w:szCs w:val="18"/>
              </w:rPr>
            </w:pPr>
            <w:r w:rsidRPr="005911E2">
              <w:rPr>
                <w:rFonts w:cs="Arial"/>
                <w:color w:val="000000"/>
                <w:szCs w:val="18"/>
                <w:lang w:eastAsia="en-AU" w:bidi="ar-SA"/>
              </w:rPr>
              <w:t>4.7</w:t>
            </w:r>
          </w:p>
        </w:tc>
        <w:tc>
          <w:tcPr>
            <w:tcW w:w="1276" w:type="dxa"/>
            <w:tcBorders>
              <w:bottom w:val="single" w:sz="4" w:space="0" w:color="auto"/>
            </w:tcBorders>
            <w:vAlign w:val="bottom"/>
          </w:tcPr>
          <w:p w:rsidR="0022069A" w:rsidRPr="005911E2" w:rsidRDefault="0022069A" w:rsidP="0022069A">
            <w:pPr>
              <w:pStyle w:val="TableText"/>
              <w:jc w:val="right"/>
              <w:rPr>
                <w:szCs w:val="18"/>
              </w:rPr>
            </w:pPr>
            <w:r w:rsidRPr="005911E2">
              <w:rPr>
                <w:rFonts w:cs="Arial"/>
                <w:color w:val="000000"/>
                <w:szCs w:val="18"/>
                <w:lang w:eastAsia="en-AU" w:bidi="ar-SA"/>
              </w:rPr>
              <w:t>2.0</w:t>
            </w:r>
          </w:p>
        </w:tc>
        <w:tc>
          <w:tcPr>
            <w:tcW w:w="1275" w:type="dxa"/>
            <w:tcBorders>
              <w:bottom w:val="single" w:sz="4" w:space="0" w:color="auto"/>
            </w:tcBorders>
            <w:vAlign w:val="bottom"/>
          </w:tcPr>
          <w:p w:rsidR="0022069A" w:rsidRPr="005911E2" w:rsidRDefault="0022069A" w:rsidP="000238F6">
            <w:pPr>
              <w:pStyle w:val="TableText"/>
              <w:jc w:val="right"/>
              <w:rPr>
                <w:szCs w:val="18"/>
              </w:rPr>
            </w:pPr>
            <w:r w:rsidRPr="005911E2">
              <w:rPr>
                <w:rFonts w:cs="Arial"/>
                <w:color w:val="000000"/>
                <w:szCs w:val="18"/>
                <w:lang w:eastAsia="en-AU" w:bidi="ar-SA"/>
              </w:rPr>
              <w:t>5</w:t>
            </w:r>
            <w:r w:rsidR="00CF78DB">
              <w:rPr>
                <w:rFonts w:cs="Arial"/>
                <w:color w:val="000000"/>
                <w:szCs w:val="18"/>
                <w:lang w:eastAsia="en-AU" w:bidi="ar-SA"/>
              </w:rPr>
              <w:t> </w:t>
            </w:r>
            <w:r w:rsidRPr="005911E2">
              <w:rPr>
                <w:rFonts w:cs="Arial"/>
                <w:color w:val="000000"/>
                <w:szCs w:val="18"/>
                <w:lang w:eastAsia="en-AU" w:bidi="ar-SA"/>
              </w:rPr>
              <w:t>966</w:t>
            </w:r>
          </w:p>
        </w:tc>
        <w:tc>
          <w:tcPr>
            <w:tcW w:w="1276" w:type="dxa"/>
            <w:tcBorders>
              <w:bottom w:val="single" w:sz="4" w:space="0" w:color="auto"/>
            </w:tcBorders>
            <w:shd w:val="clear" w:color="auto" w:fill="auto"/>
          </w:tcPr>
          <w:p w:rsidR="0022069A" w:rsidRPr="005911E2" w:rsidRDefault="0022069A" w:rsidP="0022069A">
            <w:pPr>
              <w:pStyle w:val="TableText"/>
              <w:jc w:val="right"/>
              <w:rPr>
                <w:rFonts w:cs="Arial"/>
                <w:color w:val="000000"/>
                <w:szCs w:val="18"/>
                <w:lang w:eastAsia="en-AU" w:bidi="ar-SA"/>
              </w:rPr>
            </w:pPr>
            <w:r w:rsidRPr="005911E2">
              <w:rPr>
                <w:rFonts w:cs="Arial"/>
                <w:color w:val="000000"/>
                <w:szCs w:val="18"/>
                <w:lang w:eastAsia="en-AU" w:bidi="ar-SA"/>
              </w:rPr>
              <w:t>36.4</w:t>
            </w:r>
          </w:p>
        </w:tc>
      </w:tr>
    </w:tbl>
    <w:p w:rsidR="0022069A" w:rsidRDefault="0022069A" w:rsidP="00CF78DB">
      <w:pPr>
        <w:pStyle w:val="tablefootnotes"/>
      </w:pPr>
      <w:r w:rsidRPr="005911E2">
        <w:t>Note:</w:t>
      </w:r>
      <w:r w:rsidR="00CF78DB">
        <w:tab/>
      </w:r>
      <w:r w:rsidRPr="005911E2">
        <w:t xml:space="preserve">Child characteristics derived from income support file and </w:t>
      </w:r>
      <w:r w:rsidR="00F878E4">
        <w:t>income management</w:t>
      </w:r>
      <w:r w:rsidRPr="005911E2">
        <w:t xml:space="preserve"> person file; Indigenous status taken from </w:t>
      </w:r>
      <w:r w:rsidR="00F878E4">
        <w:t>income management</w:t>
      </w:r>
      <w:r w:rsidRPr="005911E2">
        <w:t xml:space="preserve"> person record.</w:t>
      </w:r>
    </w:p>
    <w:p w:rsidR="00A04D4A" w:rsidRPr="005911E2" w:rsidRDefault="00A04D4A" w:rsidP="00CF78DB">
      <w:pPr>
        <w:pStyle w:val="tablefootnotes"/>
      </w:pPr>
      <w:r>
        <w:tab/>
        <w:t>(a)</w:t>
      </w:r>
      <w:r>
        <w:tab/>
        <w:t>The apparent absence of children in some records for people subject to Child Protection Income Management is likely to reflect the impact of differing time periods in the extraction of data and the point at which the type of IM is measured, as well as the way in which data was extracted where parents may have joint custody.</w:t>
      </w:r>
    </w:p>
    <w:p w:rsidR="003A1B16" w:rsidRPr="005911E2" w:rsidRDefault="003A1B16" w:rsidP="00CF78DB">
      <w:pPr>
        <w:pStyle w:val="tablefootnotes"/>
      </w:pPr>
      <w:r w:rsidRPr="005911E2">
        <w:t xml:space="preserve">Population: </w:t>
      </w:r>
      <w:r w:rsidR="00CF78DB">
        <w:tab/>
      </w:r>
      <w:r w:rsidRPr="005911E2">
        <w:t xml:space="preserve">Income </w:t>
      </w:r>
      <w:r w:rsidR="003C3275">
        <w:t>s</w:t>
      </w:r>
      <w:r w:rsidRPr="005911E2">
        <w:t>upport recipients in the</w:t>
      </w:r>
      <w:r w:rsidR="006435C8">
        <w:t xml:space="preserve"> Northern Territory </w:t>
      </w:r>
      <w:r w:rsidRPr="005911E2">
        <w:t xml:space="preserve">subject to </w:t>
      </w:r>
      <w:r w:rsidR="003C3275">
        <w:t>i</w:t>
      </w:r>
      <w:r w:rsidRPr="005911E2">
        <w:t xml:space="preserve">ncome </w:t>
      </w:r>
      <w:r w:rsidR="003C3275">
        <w:t>m</w:t>
      </w:r>
      <w:r w:rsidRPr="005911E2">
        <w:t>anagement</w:t>
      </w:r>
      <w:r w:rsidR="00943DCB">
        <w:t>.</w:t>
      </w:r>
    </w:p>
    <w:p w:rsidR="0022069A" w:rsidRPr="005911E2" w:rsidRDefault="0022069A" w:rsidP="00CF78DB">
      <w:pPr>
        <w:pStyle w:val="tablefootnotes"/>
      </w:pPr>
      <w:r w:rsidRPr="005911E2">
        <w:t xml:space="preserve">Source: </w:t>
      </w:r>
      <w:r w:rsidR="00CF78DB">
        <w:tab/>
      </w:r>
      <w:r w:rsidRPr="005911E2">
        <w:t xml:space="preserve">Income </w:t>
      </w:r>
      <w:r w:rsidR="003C3275">
        <w:t>s</w:t>
      </w:r>
      <w:r w:rsidRPr="005911E2">
        <w:t xml:space="preserve">upport payments file and </w:t>
      </w:r>
      <w:r w:rsidR="00F878E4">
        <w:t>income management</w:t>
      </w:r>
      <w:r w:rsidRPr="005911E2">
        <w:t xml:space="preserve"> person file for fortnight ending 28 October</w:t>
      </w:r>
      <w:r w:rsidR="00CF78DB">
        <w:t xml:space="preserve"> 2011</w:t>
      </w:r>
      <w:r w:rsidR="00943DCB">
        <w:t>.</w:t>
      </w:r>
    </w:p>
    <w:p w:rsidR="0022069A" w:rsidRPr="005911E2" w:rsidRDefault="0022069A" w:rsidP="00CF78DB">
      <w:pPr>
        <w:pStyle w:val="tablefootnotes"/>
      </w:pPr>
    </w:p>
    <w:p w:rsidR="0022069A" w:rsidRPr="005911E2" w:rsidRDefault="0022069A" w:rsidP="0022069A">
      <w:pPr>
        <w:pStyle w:val="BodyText"/>
        <w:rPr>
          <w:lang w:eastAsia="en-US"/>
        </w:rPr>
      </w:pPr>
      <w:r w:rsidRPr="005911E2">
        <w:rPr>
          <w:lang w:eastAsia="en-US"/>
        </w:rPr>
        <w:t xml:space="preserve">Around 43 per cent of </w:t>
      </w:r>
      <w:r w:rsidRPr="005911E2">
        <w:t>families</w:t>
      </w:r>
      <w:r w:rsidRPr="005911E2">
        <w:rPr>
          <w:lang w:eastAsia="en-US"/>
        </w:rPr>
        <w:t xml:space="preserve"> with children had just one child. A further 39 per cent had 2 children, 16 per cent had 3 children</w:t>
      </w:r>
      <w:r w:rsidR="003C3275">
        <w:rPr>
          <w:lang w:eastAsia="en-US"/>
        </w:rPr>
        <w:t>,</w:t>
      </w:r>
      <w:r w:rsidRPr="005911E2">
        <w:rPr>
          <w:lang w:eastAsia="en-US"/>
        </w:rPr>
        <w:t xml:space="preserve"> and the remaining 11 per cent had four or more children.</w:t>
      </w:r>
    </w:p>
    <w:p w:rsidR="0022069A" w:rsidRPr="005911E2" w:rsidRDefault="0022069A" w:rsidP="00BD6DFD">
      <w:pPr>
        <w:pStyle w:val="Heading3"/>
      </w:pPr>
      <w:r w:rsidRPr="005911E2">
        <w:t>Country of birth and immigration status</w:t>
      </w:r>
    </w:p>
    <w:p w:rsidR="0022069A" w:rsidRPr="005911E2" w:rsidRDefault="0022069A" w:rsidP="0022069A">
      <w:pPr>
        <w:pStyle w:val="BodyText"/>
        <w:rPr>
          <w:lang w:eastAsia="en-US"/>
        </w:rPr>
      </w:pPr>
      <w:r w:rsidRPr="005911E2">
        <w:rPr>
          <w:lang w:eastAsia="en-US"/>
        </w:rPr>
        <w:t xml:space="preserve">In addition to the 91 per cent of the </w:t>
      </w:r>
      <w:r w:rsidR="00F878E4">
        <w:rPr>
          <w:lang w:eastAsia="en-US"/>
        </w:rPr>
        <w:t>income management</w:t>
      </w:r>
      <w:r w:rsidRPr="005911E2">
        <w:rPr>
          <w:lang w:eastAsia="en-US"/>
        </w:rPr>
        <w:t xml:space="preserve"> population who were Indigenous, 6.8 per cent were non-Indigenous Australian born, 1.7 </w:t>
      </w:r>
      <w:r w:rsidR="003C3275">
        <w:rPr>
          <w:lang w:eastAsia="en-US"/>
        </w:rPr>
        <w:t xml:space="preserve">per cent </w:t>
      </w:r>
      <w:r w:rsidRPr="005911E2">
        <w:rPr>
          <w:lang w:eastAsia="en-US"/>
        </w:rPr>
        <w:t xml:space="preserve">were born overseas with a non-English </w:t>
      </w:r>
      <w:r w:rsidR="003C3275">
        <w:rPr>
          <w:lang w:eastAsia="en-US"/>
        </w:rPr>
        <w:t>s</w:t>
      </w:r>
      <w:r w:rsidRPr="005911E2">
        <w:rPr>
          <w:lang w:eastAsia="en-US"/>
        </w:rPr>
        <w:t xml:space="preserve">peaking </w:t>
      </w:r>
      <w:r w:rsidR="003C3275">
        <w:rPr>
          <w:lang w:eastAsia="en-US"/>
        </w:rPr>
        <w:t>b</w:t>
      </w:r>
      <w:r w:rsidRPr="005911E2">
        <w:rPr>
          <w:lang w:eastAsia="en-US"/>
        </w:rPr>
        <w:t>ackground</w:t>
      </w:r>
      <w:r w:rsidR="003C3275">
        <w:rPr>
          <w:lang w:eastAsia="en-US"/>
        </w:rPr>
        <w:t>,</w:t>
      </w:r>
      <w:r w:rsidRPr="005911E2">
        <w:rPr>
          <w:lang w:eastAsia="en-US"/>
        </w:rPr>
        <w:t xml:space="preserve"> and 0.6 per cent were born in English speaking countries. Thus approximately 25 per cent of the non-Indigenous population subject to </w:t>
      </w:r>
      <w:r w:rsidR="00F878E4">
        <w:rPr>
          <w:lang w:eastAsia="en-US"/>
        </w:rPr>
        <w:t>income management</w:t>
      </w:r>
      <w:r w:rsidRPr="005911E2">
        <w:rPr>
          <w:lang w:eastAsia="en-US"/>
        </w:rPr>
        <w:t xml:space="preserve"> were from a non-English Speaking Background.</w:t>
      </w:r>
    </w:p>
    <w:p w:rsidR="0022069A" w:rsidRPr="005911E2" w:rsidRDefault="0022069A" w:rsidP="0022069A">
      <w:pPr>
        <w:pStyle w:val="tabfighead"/>
      </w:pPr>
      <w:bookmarkStart w:id="371" w:name="_Toc321430417"/>
      <w:bookmarkStart w:id="372" w:name="_Toc321761687"/>
      <w:bookmarkStart w:id="373" w:name="_Toc321254536"/>
      <w:bookmarkStart w:id="374" w:name="_Toc328601584"/>
      <w:bookmarkStart w:id="375" w:name="_Toc329051362"/>
      <w:bookmarkStart w:id="376" w:name="_Toc335915850"/>
      <w:r w:rsidRPr="005911E2">
        <w:lastRenderedPageBreak/>
        <w:t xml:space="preserve">Table </w:t>
      </w:r>
      <w:r w:rsidR="00C7347D" w:rsidRPr="005911E2">
        <w:fldChar w:fldCharType="begin"/>
      </w:r>
      <w:r w:rsidR="00435FEB" w:rsidRPr="005911E2">
        <w:instrText xml:space="preserve"> STYLEREF 1 \s </w:instrText>
      </w:r>
      <w:r w:rsidR="00C7347D" w:rsidRPr="005911E2">
        <w:fldChar w:fldCharType="separate"/>
      </w:r>
      <w:r w:rsidR="007D7E45">
        <w:rPr>
          <w:noProof/>
        </w:rPr>
        <w:t>4</w:t>
      </w:r>
      <w:r w:rsidR="00C7347D" w:rsidRPr="005911E2">
        <w:rPr>
          <w:noProof/>
        </w:rPr>
        <w:fldChar w:fldCharType="end"/>
      </w:r>
      <w:r w:rsidRPr="005911E2">
        <w:noBreakHyphen/>
      </w:r>
      <w:r w:rsidR="00C7347D" w:rsidRPr="005911E2">
        <w:fldChar w:fldCharType="begin"/>
      </w:r>
      <w:r w:rsidR="00435FEB" w:rsidRPr="005911E2">
        <w:instrText xml:space="preserve"> SEQ Table \* ARABIC \s 1 </w:instrText>
      </w:r>
      <w:r w:rsidR="00C7347D" w:rsidRPr="005911E2">
        <w:fldChar w:fldCharType="separate"/>
      </w:r>
      <w:r w:rsidR="007D7E45">
        <w:rPr>
          <w:noProof/>
        </w:rPr>
        <w:t>14</w:t>
      </w:r>
      <w:r w:rsidR="00C7347D" w:rsidRPr="005911E2">
        <w:rPr>
          <w:noProof/>
        </w:rPr>
        <w:fldChar w:fldCharType="end"/>
      </w:r>
      <w:r w:rsidRPr="005911E2">
        <w:tab/>
      </w:r>
      <w:r w:rsidR="006435C8">
        <w:t>Northern Territory,</w:t>
      </w:r>
      <w:r w:rsidRPr="005911E2">
        <w:t xml:space="preserve"> income managed population by </w:t>
      </w:r>
      <w:r w:rsidR="00A04D4A">
        <w:t>broad country of birth</w:t>
      </w:r>
      <w:r w:rsidRPr="005911E2">
        <w:t>, October 2011</w:t>
      </w:r>
      <w:bookmarkEnd w:id="371"/>
      <w:bookmarkEnd w:id="372"/>
      <w:bookmarkEnd w:id="373"/>
      <w:bookmarkEnd w:id="374"/>
      <w:bookmarkEnd w:id="375"/>
      <w:bookmarkEnd w:id="376"/>
    </w:p>
    <w:tbl>
      <w:tblPr>
        <w:tblStyle w:val="TableGrid"/>
        <w:tblW w:w="8080"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4 -14 Northern Territory, income managed population by broad country of birth, October 2011"/>
        <w:tblDescription w:val="Table 4-14 Northern Territory, income managed population by broad country of birth, October 2011"/>
      </w:tblPr>
      <w:tblGrid>
        <w:gridCol w:w="2681"/>
        <w:gridCol w:w="836"/>
        <w:gridCol w:w="834"/>
        <w:gridCol w:w="843"/>
        <w:gridCol w:w="705"/>
        <w:gridCol w:w="859"/>
        <w:gridCol w:w="1322"/>
      </w:tblGrid>
      <w:tr w:rsidR="0022069A" w:rsidRPr="005911E2" w:rsidTr="009D15E2">
        <w:trPr>
          <w:trHeight w:hRule="exact" w:val="680"/>
          <w:tblHeader/>
        </w:trPr>
        <w:tc>
          <w:tcPr>
            <w:tcW w:w="2681" w:type="dxa"/>
            <w:tcBorders>
              <w:top w:val="single" w:sz="4" w:space="0" w:color="auto"/>
              <w:bottom w:val="single" w:sz="4" w:space="0" w:color="auto"/>
            </w:tcBorders>
          </w:tcPr>
          <w:p w:rsidR="0022069A" w:rsidRPr="005911E2" w:rsidRDefault="0022069A" w:rsidP="0022069A">
            <w:pPr>
              <w:pStyle w:val="TableText"/>
            </w:pPr>
          </w:p>
        </w:tc>
        <w:tc>
          <w:tcPr>
            <w:tcW w:w="836" w:type="dxa"/>
            <w:tcBorders>
              <w:top w:val="single" w:sz="4" w:space="0" w:color="auto"/>
              <w:bottom w:val="single" w:sz="4" w:space="0" w:color="auto"/>
            </w:tcBorders>
          </w:tcPr>
          <w:p w:rsidR="0022069A" w:rsidRPr="005911E2" w:rsidRDefault="0022069A" w:rsidP="0022069A">
            <w:pPr>
              <w:pStyle w:val="TableText"/>
              <w:jc w:val="right"/>
            </w:pPr>
            <w:r w:rsidRPr="005911E2">
              <w:t>CIM</w:t>
            </w:r>
          </w:p>
        </w:tc>
        <w:tc>
          <w:tcPr>
            <w:tcW w:w="834" w:type="dxa"/>
            <w:tcBorders>
              <w:top w:val="single" w:sz="4" w:space="0" w:color="auto"/>
              <w:bottom w:val="single" w:sz="4" w:space="0" w:color="auto"/>
            </w:tcBorders>
          </w:tcPr>
          <w:p w:rsidR="0022069A" w:rsidRPr="005911E2" w:rsidRDefault="0022069A" w:rsidP="0022069A">
            <w:pPr>
              <w:pStyle w:val="TableText"/>
              <w:jc w:val="right"/>
            </w:pPr>
            <w:r w:rsidRPr="005911E2">
              <w:t xml:space="preserve">VIM </w:t>
            </w:r>
          </w:p>
        </w:tc>
        <w:tc>
          <w:tcPr>
            <w:tcW w:w="843" w:type="dxa"/>
            <w:tcBorders>
              <w:top w:val="single" w:sz="4" w:space="0" w:color="auto"/>
              <w:bottom w:val="single" w:sz="4" w:space="0" w:color="auto"/>
            </w:tcBorders>
          </w:tcPr>
          <w:p w:rsidR="0022069A" w:rsidRPr="005911E2" w:rsidRDefault="0022069A" w:rsidP="0022069A">
            <w:pPr>
              <w:pStyle w:val="TableText"/>
              <w:jc w:val="right"/>
            </w:pPr>
            <w:r w:rsidRPr="005911E2">
              <w:t>VULIM</w:t>
            </w:r>
          </w:p>
        </w:tc>
        <w:tc>
          <w:tcPr>
            <w:tcW w:w="705" w:type="dxa"/>
            <w:tcBorders>
              <w:top w:val="single" w:sz="4" w:space="0" w:color="auto"/>
              <w:bottom w:val="single" w:sz="4" w:space="0" w:color="auto"/>
            </w:tcBorders>
          </w:tcPr>
          <w:p w:rsidR="0022069A" w:rsidRPr="005911E2" w:rsidRDefault="0022069A" w:rsidP="0022069A">
            <w:pPr>
              <w:pStyle w:val="TableText"/>
              <w:jc w:val="right"/>
            </w:pPr>
            <w:r w:rsidRPr="005911E2">
              <w:t xml:space="preserve">CPIM </w:t>
            </w:r>
          </w:p>
        </w:tc>
        <w:tc>
          <w:tcPr>
            <w:tcW w:w="859" w:type="dxa"/>
            <w:tcBorders>
              <w:top w:val="single" w:sz="4" w:space="0" w:color="auto"/>
              <w:bottom w:val="single" w:sz="4" w:space="0" w:color="auto"/>
            </w:tcBorders>
          </w:tcPr>
          <w:p w:rsidR="0022069A" w:rsidRPr="005911E2" w:rsidRDefault="0022069A" w:rsidP="0022069A">
            <w:pPr>
              <w:pStyle w:val="TableText"/>
              <w:jc w:val="right"/>
            </w:pPr>
            <w:r w:rsidRPr="005911E2">
              <w:t>Total</w:t>
            </w:r>
          </w:p>
        </w:tc>
        <w:tc>
          <w:tcPr>
            <w:tcW w:w="1322" w:type="dxa"/>
            <w:tcBorders>
              <w:top w:val="single" w:sz="4" w:space="0" w:color="auto"/>
              <w:bottom w:val="single" w:sz="4" w:space="0" w:color="auto"/>
            </w:tcBorders>
            <w:shd w:val="clear" w:color="auto" w:fill="auto"/>
          </w:tcPr>
          <w:p w:rsidR="0022069A" w:rsidRPr="005911E2" w:rsidRDefault="0022069A" w:rsidP="0022069A">
            <w:pPr>
              <w:pStyle w:val="TableText"/>
              <w:jc w:val="right"/>
              <w:rPr>
                <w:i/>
              </w:rPr>
            </w:pPr>
            <w:r w:rsidRPr="005911E2">
              <w:rPr>
                <w:i/>
                <w:iCs/>
              </w:rPr>
              <w:t>Potential IS population for CIM</w:t>
            </w:r>
          </w:p>
        </w:tc>
      </w:tr>
      <w:tr w:rsidR="0021019D" w:rsidRPr="005911E2" w:rsidTr="00CF78DB">
        <w:tc>
          <w:tcPr>
            <w:tcW w:w="2681" w:type="dxa"/>
            <w:tcBorders>
              <w:top w:val="single" w:sz="4" w:space="0" w:color="auto"/>
            </w:tcBorders>
            <w:vAlign w:val="bottom"/>
          </w:tcPr>
          <w:p w:rsidR="0021019D" w:rsidRPr="005911E2" w:rsidRDefault="0021019D" w:rsidP="0022069A">
            <w:pPr>
              <w:pStyle w:val="TableText"/>
              <w:rPr>
                <w:color w:val="000000"/>
                <w:lang w:eastAsia="en-AU" w:bidi="ar-SA"/>
              </w:rPr>
            </w:pPr>
          </w:p>
        </w:tc>
        <w:tc>
          <w:tcPr>
            <w:tcW w:w="5399" w:type="dxa"/>
            <w:gridSpan w:val="6"/>
            <w:tcBorders>
              <w:top w:val="single" w:sz="4" w:space="0" w:color="auto"/>
            </w:tcBorders>
          </w:tcPr>
          <w:p w:rsidR="0021019D" w:rsidRPr="005911E2" w:rsidRDefault="0021019D" w:rsidP="0021019D">
            <w:pPr>
              <w:pStyle w:val="TableText"/>
              <w:jc w:val="center"/>
              <w:rPr>
                <w:i/>
              </w:rPr>
            </w:pPr>
            <w:r w:rsidRPr="005911E2">
              <w:rPr>
                <w:color w:val="000000"/>
                <w:lang w:eastAsia="en-AU" w:bidi="ar-SA"/>
              </w:rPr>
              <w:t>Number</w:t>
            </w:r>
          </w:p>
        </w:tc>
      </w:tr>
      <w:tr w:rsidR="0022069A" w:rsidRPr="005911E2" w:rsidTr="00CF78DB">
        <w:tc>
          <w:tcPr>
            <w:tcW w:w="2681" w:type="dxa"/>
            <w:vAlign w:val="bottom"/>
          </w:tcPr>
          <w:p w:rsidR="0022069A" w:rsidRPr="005911E2" w:rsidRDefault="0022069A" w:rsidP="0022069A">
            <w:pPr>
              <w:pStyle w:val="TableText"/>
            </w:pPr>
            <w:r w:rsidRPr="005911E2">
              <w:rPr>
                <w:color w:val="000000"/>
                <w:lang w:eastAsia="en-AU" w:bidi="ar-SA"/>
              </w:rPr>
              <w:t>Australian Born Indigenous</w:t>
            </w:r>
          </w:p>
        </w:tc>
        <w:tc>
          <w:tcPr>
            <w:tcW w:w="836" w:type="dxa"/>
            <w:vAlign w:val="bottom"/>
          </w:tcPr>
          <w:p w:rsidR="0022069A" w:rsidRPr="005911E2" w:rsidRDefault="0022069A" w:rsidP="003C3275">
            <w:pPr>
              <w:pStyle w:val="TableText"/>
              <w:jc w:val="right"/>
              <w:rPr>
                <w:color w:val="000000"/>
                <w:lang w:eastAsia="en-AU" w:bidi="ar-SA"/>
              </w:rPr>
            </w:pPr>
            <w:r w:rsidRPr="005911E2">
              <w:rPr>
                <w:color w:val="000000"/>
                <w:lang w:eastAsia="en-AU" w:bidi="ar-SA"/>
              </w:rPr>
              <w:t>10</w:t>
            </w:r>
            <w:r w:rsidR="00CF78DB">
              <w:rPr>
                <w:color w:val="000000"/>
                <w:lang w:eastAsia="en-AU" w:bidi="ar-SA"/>
              </w:rPr>
              <w:t> </w:t>
            </w:r>
            <w:r w:rsidRPr="005911E2">
              <w:rPr>
                <w:color w:val="000000"/>
                <w:lang w:eastAsia="en-AU" w:bidi="ar-SA"/>
              </w:rPr>
              <w:t>553</w:t>
            </w:r>
          </w:p>
        </w:tc>
        <w:tc>
          <w:tcPr>
            <w:tcW w:w="834" w:type="dxa"/>
            <w:vAlign w:val="bottom"/>
          </w:tcPr>
          <w:p w:rsidR="0022069A" w:rsidRPr="005911E2" w:rsidRDefault="0022069A" w:rsidP="0022069A">
            <w:pPr>
              <w:pStyle w:val="TableText"/>
              <w:jc w:val="right"/>
              <w:rPr>
                <w:color w:val="000000"/>
                <w:lang w:eastAsia="en-AU" w:bidi="ar-SA"/>
              </w:rPr>
            </w:pPr>
            <w:r w:rsidRPr="005911E2">
              <w:rPr>
                <w:color w:val="000000"/>
                <w:lang w:eastAsia="en-AU" w:bidi="ar-SA"/>
              </w:rPr>
              <w:t>4</w:t>
            </w:r>
            <w:r w:rsidR="00CF78DB">
              <w:rPr>
                <w:color w:val="000000"/>
                <w:lang w:eastAsia="en-AU" w:bidi="ar-SA"/>
              </w:rPr>
              <w:t> </w:t>
            </w:r>
            <w:r w:rsidRPr="005911E2">
              <w:rPr>
                <w:color w:val="000000"/>
                <w:lang w:eastAsia="en-AU" w:bidi="ar-SA"/>
              </w:rPr>
              <w:t>128</w:t>
            </w:r>
          </w:p>
        </w:tc>
        <w:tc>
          <w:tcPr>
            <w:tcW w:w="843" w:type="dxa"/>
            <w:vAlign w:val="bottom"/>
          </w:tcPr>
          <w:p w:rsidR="0022069A" w:rsidRPr="005911E2" w:rsidRDefault="0022069A" w:rsidP="0022069A">
            <w:pPr>
              <w:pStyle w:val="TableText"/>
              <w:jc w:val="right"/>
              <w:rPr>
                <w:color w:val="000000"/>
                <w:lang w:eastAsia="en-AU" w:bidi="ar-SA"/>
              </w:rPr>
            </w:pPr>
            <w:r w:rsidRPr="005911E2">
              <w:rPr>
                <w:color w:val="000000"/>
                <w:lang w:eastAsia="en-AU" w:bidi="ar-SA"/>
              </w:rPr>
              <w:t>192</w:t>
            </w:r>
          </w:p>
        </w:tc>
        <w:tc>
          <w:tcPr>
            <w:tcW w:w="705" w:type="dxa"/>
            <w:vAlign w:val="bottom"/>
          </w:tcPr>
          <w:p w:rsidR="0022069A" w:rsidRPr="005911E2" w:rsidRDefault="0022069A" w:rsidP="0022069A">
            <w:pPr>
              <w:pStyle w:val="TableText"/>
              <w:jc w:val="right"/>
              <w:rPr>
                <w:color w:val="000000"/>
                <w:lang w:eastAsia="en-AU" w:bidi="ar-SA"/>
              </w:rPr>
            </w:pPr>
            <w:r w:rsidRPr="005911E2">
              <w:rPr>
                <w:color w:val="000000"/>
                <w:lang w:eastAsia="en-AU" w:bidi="ar-SA"/>
              </w:rPr>
              <w:t>40</w:t>
            </w:r>
          </w:p>
        </w:tc>
        <w:tc>
          <w:tcPr>
            <w:tcW w:w="859" w:type="dxa"/>
            <w:vAlign w:val="bottom"/>
          </w:tcPr>
          <w:p w:rsidR="0022069A" w:rsidRPr="005911E2" w:rsidRDefault="0022069A" w:rsidP="0022069A">
            <w:pPr>
              <w:pStyle w:val="TableText"/>
              <w:jc w:val="right"/>
              <w:rPr>
                <w:color w:val="000000"/>
                <w:lang w:eastAsia="en-AU" w:bidi="ar-SA"/>
              </w:rPr>
            </w:pPr>
            <w:r w:rsidRPr="005911E2">
              <w:rPr>
                <w:color w:val="000000"/>
                <w:lang w:eastAsia="en-AU" w:bidi="ar-SA"/>
              </w:rPr>
              <w:t>14</w:t>
            </w:r>
            <w:r w:rsidR="00CF78DB">
              <w:rPr>
                <w:color w:val="000000"/>
                <w:lang w:eastAsia="en-AU" w:bidi="ar-SA"/>
              </w:rPr>
              <w:t> </w:t>
            </w:r>
            <w:r w:rsidRPr="005911E2">
              <w:rPr>
                <w:color w:val="000000"/>
                <w:lang w:eastAsia="en-AU" w:bidi="ar-SA"/>
              </w:rPr>
              <w:t>913</w:t>
            </w:r>
          </w:p>
        </w:tc>
        <w:tc>
          <w:tcPr>
            <w:tcW w:w="1322" w:type="dxa"/>
            <w:shd w:val="clear" w:color="auto" w:fill="auto"/>
          </w:tcPr>
          <w:p w:rsidR="0022069A" w:rsidRPr="005911E2" w:rsidRDefault="0022069A" w:rsidP="003C3275">
            <w:pPr>
              <w:pStyle w:val="TableText"/>
              <w:jc w:val="right"/>
              <w:rPr>
                <w:color w:val="000000"/>
                <w:lang w:eastAsia="en-AU" w:bidi="ar-SA"/>
              </w:rPr>
            </w:pPr>
            <w:r w:rsidRPr="005911E2">
              <w:rPr>
                <w:color w:val="000000"/>
                <w:lang w:eastAsia="en-AU" w:bidi="ar-SA"/>
              </w:rPr>
              <w:t>14</w:t>
            </w:r>
            <w:r w:rsidR="003C3275">
              <w:rPr>
                <w:color w:val="000000"/>
                <w:lang w:eastAsia="en-AU" w:bidi="ar-SA"/>
              </w:rPr>
              <w:t xml:space="preserve"> </w:t>
            </w:r>
            <w:r w:rsidRPr="005911E2">
              <w:rPr>
                <w:color w:val="000000"/>
                <w:lang w:eastAsia="en-AU" w:bidi="ar-SA"/>
              </w:rPr>
              <w:t>473</w:t>
            </w:r>
          </w:p>
        </w:tc>
      </w:tr>
      <w:tr w:rsidR="0022069A" w:rsidRPr="005911E2" w:rsidTr="00CF78DB">
        <w:tc>
          <w:tcPr>
            <w:tcW w:w="2681" w:type="dxa"/>
            <w:vAlign w:val="bottom"/>
          </w:tcPr>
          <w:p w:rsidR="0022069A" w:rsidRPr="005911E2" w:rsidRDefault="0022069A" w:rsidP="0022069A">
            <w:pPr>
              <w:pStyle w:val="TableText"/>
            </w:pPr>
            <w:r w:rsidRPr="005911E2">
              <w:rPr>
                <w:color w:val="000000"/>
                <w:lang w:eastAsia="en-AU" w:bidi="ar-SA"/>
              </w:rPr>
              <w:t>Australian Born non-Indigenous</w:t>
            </w:r>
          </w:p>
        </w:tc>
        <w:tc>
          <w:tcPr>
            <w:tcW w:w="836" w:type="dxa"/>
            <w:vAlign w:val="bottom"/>
          </w:tcPr>
          <w:p w:rsidR="0022069A" w:rsidRPr="005911E2" w:rsidRDefault="0022069A" w:rsidP="003C3275">
            <w:pPr>
              <w:pStyle w:val="TableText"/>
              <w:jc w:val="right"/>
              <w:rPr>
                <w:color w:val="000000"/>
                <w:lang w:eastAsia="en-AU" w:bidi="ar-SA"/>
              </w:rPr>
            </w:pPr>
            <w:r w:rsidRPr="005911E2">
              <w:rPr>
                <w:color w:val="000000"/>
                <w:lang w:eastAsia="en-AU" w:bidi="ar-SA"/>
              </w:rPr>
              <w:t>1</w:t>
            </w:r>
            <w:r w:rsidR="00CF78DB">
              <w:rPr>
                <w:color w:val="000000"/>
                <w:lang w:eastAsia="en-AU" w:bidi="ar-SA"/>
              </w:rPr>
              <w:t> </w:t>
            </w:r>
            <w:r w:rsidRPr="005911E2">
              <w:rPr>
                <w:color w:val="000000"/>
                <w:lang w:eastAsia="en-AU" w:bidi="ar-SA"/>
              </w:rPr>
              <w:t>050</w:t>
            </w:r>
          </w:p>
        </w:tc>
        <w:tc>
          <w:tcPr>
            <w:tcW w:w="834" w:type="dxa"/>
            <w:vAlign w:val="bottom"/>
          </w:tcPr>
          <w:p w:rsidR="0022069A" w:rsidRPr="005911E2" w:rsidRDefault="0022069A" w:rsidP="0022069A">
            <w:pPr>
              <w:pStyle w:val="TableText"/>
              <w:jc w:val="right"/>
              <w:rPr>
                <w:color w:val="000000"/>
                <w:lang w:eastAsia="en-AU" w:bidi="ar-SA"/>
              </w:rPr>
            </w:pPr>
            <w:r w:rsidRPr="005911E2">
              <w:rPr>
                <w:color w:val="000000"/>
                <w:lang w:eastAsia="en-AU" w:bidi="ar-SA"/>
              </w:rPr>
              <w:t>50</w:t>
            </w:r>
          </w:p>
        </w:tc>
        <w:tc>
          <w:tcPr>
            <w:tcW w:w="843" w:type="dxa"/>
            <w:vAlign w:val="bottom"/>
          </w:tcPr>
          <w:p w:rsidR="0022069A" w:rsidRPr="005911E2" w:rsidRDefault="0022069A" w:rsidP="0022069A">
            <w:pPr>
              <w:pStyle w:val="TableText"/>
              <w:jc w:val="right"/>
              <w:rPr>
                <w:color w:val="000000"/>
                <w:lang w:eastAsia="en-AU" w:bidi="ar-SA"/>
              </w:rPr>
            </w:pPr>
            <w:r w:rsidRPr="005911E2">
              <w:rPr>
                <w:color w:val="000000"/>
                <w:lang w:eastAsia="en-AU" w:bidi="ar-SA"/>
              </w:rPr>
              <w:t>5</w:t>
            </w:r>
          </w:p>
        </w:tc>
        <w:tc>
          <w:tcPr>
            <w:tcW w:w="705" w:type="dxa"/>
            <w:vAlign w:val="bottom"/>
          </w:tcPr>
          <w:p w:rsidR="0022069A" w:rsidRPr="005911E2" w:rsidRDefault="0022069A" w:rsidP="0022069A">
            <w:pPr>
              <w:pStyle w:val="TableText"/>
              <w:jc w:val="right"/>
              <w:rPr>
                <w:color w:val="000000"/>
                <w:lang w:eastAsia="en-AU" w:bidi="ar-SA"/>
              </w:rPr>
            </w:pPr>
            <w:r w:rsidRPr="005911E2">
              <w:rPr>
                <w:color w:val="000000"/>
                <w:lang w:eastAsia="en-AU" w:bidi="ar-SA"/>
              </w:rPr>
              <w:t>5</w:t>
            </w:r>
          </w:p>
        </w:tc>
        <w:tc>
          <w:tcPr>
            <w:tcW w:w="859" w:type="dxa"/>
            <w:vAlign w:val="bottom"/>
          </w:tcPr>
          <w:p w:rsidR="0022069A" w:rsidRPr="005911E2" w:rsidRDefault="0022069A" w:rsidP="0022069A">
            <w:pPr>
              <w:pStyle w:val="TableText"/>
              <w:jc w:val="right"/>
              <w:rPr>
                <w:color w:val="000000"/>
                <w:lang w:eastAsia="en-AU" w:bidi="ar-SA"/>
              </w:rPr>
            </w:pPr>
            <w:r w:rsidRPr="005911E2">
              <w:rPr>
                <w:color w:val="000000"/>
                <w:lang w:eastAsia="en-AU" w:bidi="ar-SA"/>
              </w:rPr>
              <w:t>1</w:t>
            </w:r>
            <w:r w:rsidR="00CF78DB">
              <w:rPr>
                <w:color w:val="000000"/>
                <w:lang w:eastAsia="en-AU" w:bidi="ar-SA"/>
              </w:rPr>
              <w:t> </w:t>
            </w:r>
            <w:r w:rsidRPr="005911E2">
              <w:rPr>
                <w:color w:val="000000"/>
                <w:lang w:eastAsia="en-AU" w:bidi="ar-SA"/>
              </w:rPr>
              <w:t>110</w:t>
            </w:r>
          </w:p>
        </w:tc>
        <w:tc>
          <w:tcPr>
            <w:tcW w:w="1322" w:type="dxa"/>
            <w:shd w:val="clear" w:color="auto" w:fill="auto"/>
          </w:tcPr>
          <w:p w:rsidR="0022069A" w:rsidRPr="005911E2" w:rsidRDefault="0022069A" w:rsidP="003C3275">
            <w:pPr>
              <w:pStyle w:val="TableText"/>
              <w:jc w:val="right"/>
              <w:rPr>
                <w:color w:val="000000"/>
                <w:lang w:eastAsia="en-AU" w:bidi="ar-SA"/>
              </w:rPr>
            </w:pPr>
            <w:r w:rsidRPr="005911E2">
              <w:rPr>
                <w:color w:val="000000"/>
                <w:lang w:eastAsia="en-AU" w:bidi="ar-SA"/>
              </w:rPr>
              <w:t>3</w:t>
            </w:r>
            <w:r w:rsidR="003C3275">
              <w:rPr>
                <w:color w:val="000000"/>
                <w:lang w:eastAsia="en-AU" w:bidi="ar-SA"/>
              </w:rPr>
              <w:t xml:space="preserve"> </w:t>
            </w:r>
            <w:r w:rsidRPr="005911E2">
              <w:rPr>
                <w:color w:val="000000"/>
                <w:lang w:eastAsia="en-AU" w:bidi="ar-SA"/>
              </w:rPr>
              <w:t>347</w:t>
            </w:r>
          </w:p>
        </w:tc>
      </w:tr>
      <w:tr w:rsidR="0022069A" w:rsidRPr="005911E2" w:rsidTr="00CF78DB">
        <w:tc>
          <w:tcPr>
            <w:tcW w:w="2681" w:type="dxa"/>
            <w:vAlign w:val="bottom"/>
          </w:tcPr>
          <w:p w:rsidR="0022069A" w:rsidRPr="005911E2" w:rsidRDefault="0022069A" w:rsidP="0022069A">
            <w:pPr>
              <w:pStyle w:val="TableText"/>
            </w:pPr>
            <w:r w:rsidRPr="005911E2">
              <w:rPr>
                <w:color w:val="000000"/>
                <w:lang w:eastAsia="en-AU" w:bidi="ar-SA"/>
              </w:rPr>
              <w:t>Overseas Born - ESB</w:t>
            </w:r>
          </w:p>
        </w:tc>
        <w:tc>
          <w:tcPr>
            <w:tcW w:w="836" w:type="dxa"/>
            <w:vAlign w:val="bottom"/>
          </w:tcPr>
          <w:p w:rsidR="0022069A" w:rsidRPr="005911E2" w:rsidRDefault="0022069A" w:rsidP="0022069A">
            <w:pPr>
              <w:pStyle w:val="TableText"/>
              <w:jc w:val="right"/>
              <w:rPr>
                <w:color w:val="000000"/>
                <w:lang w:eastAsia="en-AU" w:bidi="ar-SA"/>
              </w:rPr>
            </w:pPr>
            <w:r w:rsidRPr="005911E2">
              <w:rPr>
                <w:color w:val="000000"/>
                <w:lang w:eastAsia="en-AU" w:bidi="ar-SA"/>
              </w:rPr>
              <w:t>90</w:t>
            </w:r>
          </w:p>
        </w:tc>
        <w:tc>
          <w:tcPr>
            <w:tcW w:w="834" w:type="dxa"/>
            <w:vAlign w:val="bottom"/>
          </w:tcPr>
          <w:p w:rsidR="0022069A" w:rsidRPr="005911E2" w:rsidRDefault="007337E1" w:rsidP="0022069A">
            <w:pPr>
              <w:pStyle w:val="TableText"/>
              <w:jc w:val="right"/>
              <w:rPr>
                <w:color w:val="000000"/>
                <w:lang w:eastAsia="en-AU" w:bidi="ar-SA"/>
              </w:rPr>
            </w:pPr>
            <w:r>
              <w:rPr>
                <w:color w:val="000000"/>
                <w:lang w:eastAsia="en-AU" w:bidi="ar-SA"/>
              </w:rPr>
              <w:t>4</w:t>
            </w:r>
          </w:p>
        </w:tc>
        <w:tc>
          <w:tcPr>
            <w:tcW w:w="843" w:type="dxa"/>
            <w:vAlign w:val="bottom"/>
          </w:tcPr>
          <w:p w:rsidR="0022069A" w:rsidRPr="005911E2" w:rsidRDefault="007337E1" w:rsidP="0022069A">
            <w:pPr>
              <w:pStyle w:val="TableText"/>
              <w:jc w:val="right"/>
              <w:rPr>
                <w:color w:val="000000"/>
                <w:lang w:eastAsia="en-AU" w:bidi="ar-SA"/>
              </w:rPr>
            </w:pPr>
            <w:r>
              <w:rPr>
                <w:color w:val="000000"/>
                <w:lang w:eastAsia="en-AU" w:bidi="ar-SA"/>
              </w:rPr>
              <w:t>0</w:t>
            </w:r>
          </w:p>
        </w:tc>
        <w:tc>
          <w:tcPr>
            <w:tcW w:w="705" w:type="dxa"/>
            <w:vAlign w:val="bottom"/>
          </w:tcPr>
          <w:p w:rsidR="0022069A" w:rsidRPr="005911E2" w:rsidRDefault="0022069A" w:rsidP="0022069A">
            <w:pPr>
              <w:pStyle w:val="TableText"/>
              <w:jc w:val="right"/>
              <w:rPr>
                <w:color w:val="000000"/>
                <w:lang w:eastAsia="en-AU" w:bidi="ar-SA"/>
              </w:rPr>
            </w:pPr>
            <w:r w:rsidRPr="005911E2">
              <w:rPr>
                <w:color w:val="000000"/>
                <w:lang w:eastAsia="en-AU" w:bidi="ar-SA"/>
              </w:rPr>
              <w:t>0</w:t>
            </w:r>
          </w:p>
        </w:tc>
        <w:tc>
          <w:tcPr>
            <w:tcW w:w="859" w:type="dxa"/>
            <w:vAlign w:val="bottom"/>
          </w:tcPr>
          <w:p w:rsidR="0022069A" w:rsidRPr="005911E2" w:rsidRDefault="0022069A" w:rsidP="0022069A">
            <w:pPr>
              <w:pStyle w:val="TableText"/>
              <w:jc w:val="right"/>
              <w:rPr>
                <w:color w:val="000000"/>
                <w:lang w:eastAsia="en-AU" w:bidi="ar-SA"/>
              </w:rPr>
            </w:pPr>
            <w:r w:rsidRPr="005911E2">
              <w:rPr>
                <w:color w:val="000000"/>
                <w:lang w:eastAsia="en-AU" w:bidi="ar-SA"/>
              </w:rPr>
              <w:t>94</w:t>
            </w:r>
          </w:p>
        </w:tc>
        <w:tc>
          <w:tcPr>
            <w:tcW w:w="1322" w:type="dxa"/>
            <w:shd w:val="clear" w:color="auto" w:fill="auto"/>
          </w:tcPr>
          <w:p w:rsidR="0022069A" w:rsidRPr="005911E2" w:rsidRDefault="0022069A" w:rsidP="0022069A">
            <w:pPr>
              <w:pStyle w:val="TableText"/>
              <w:jc w:val="right"/>
              <w:rPr>
                <w:color w:val="000000"/>
                <w:lang w:eastAsia="en-AU" w:bidi="ar-SA"/>
              </w:rPr>
            </w:pPr>
            <w:r w:rsidRPr="005911E2">
              <w:rPr>
                <w:color w:val="000000"/>
                <w:lang w:eastAsia="en-AU" w:bidi="ar-SA"/>
              </w:rPr>
              <w:t>234</w:t>
            </w:r>
          </w:p>
        </w:tc>
      </w:tr>
      <w:tr w:rsidR="0022069A" w:rsidRPr="005911E2" w:rsidTr="00CF78DB">
        <w:tc>
          <w:tcPr>
            <w:tcW w:w="2681" w:type="dxa"/>
            <w:vAlign w:val="bottom"/>
          </w:tcPr>
          <w:p w:rsidR="0022069A" w:rsidRPr="005911E2" w:rsidRDefault="0022069A" w:rsidP="0022069A">
            <w:pPr>
              <w:pStyle w:val="TableText"/>
            </w:pPr>
            <w:r w:rsidRPr="005911E2">
              <w:rPr>
                <w:color w:val="000000"/>
                <w:lang w:eastAsia="en-AU" w:bidi="ar-SA"/>
              </w:rPr>
              <w:t xml:space="preserve">Overseas Born - NESB </w:t>
            </w:r>
          </w:p>
        </w:tc>
        <w:tc>
          <w:tcPr>
            <w:tcW w:w="836" w:type="dxa"/>
            <w:vAlign w:val="bottom"/>
          </w:tcPr>
          <w:p w:rsidR="0022069A" w:rsidRPr="005911E2" w:rsidRDefault="0022069A" w:rsidP="0022069A">
            <w:pPr>
              <w:pStyle w:val="TableText"/>
              <w:jc w:val="right"/>
              <w:rPr>
                <w:color w:val="000000"/>
                <w:lang w:eastAsia="en-AU" w:bidi="ar-SA"/>
              </w:rPr>
            </w:pPr>
            <w:r w:rsidRPr="005911E2">
              <w:rPr>
                <w:color w:val="000000"/>
                <w:lang w:eastAsia="en-AU" w:bidi="ar-SA"/>
              </w:rPr>
              <w:t>267</w:t>
            </w:r>
          </w:p>
        </w:tc>
        <w:tc>
          <w:tcPr>
            <w:tcW w:w="834" w:type="dxa"/>
            <w:vAlign w:val="bottom"/>
          </w:tcPr>
          <w:p w:rsidR="0022069A" w:rsidRPr="005911E2" w:rsidRDefault="007337E1" w:rsidP="0022069A">
            <w:pPr>
              <w:pStyle w:val="TableText"/>
              <w:jc w:val="right"/>
              <w:rPr>
                <w:color w:val="000000"/>
                <w:lang w:eastAsia="en-AU" w:bidi="ar-SA"/>
              </w:rPr>
            </w:pPr>
            <w:r>
              <w:rPr>
                <w:color w:val="000000"/>
                <w:lang w:eastAsia="en-AU" w:bidi="ar-SA"/>
              </w:rPr>
              <w:t>8</w:t>
            </w:r>
          </w:p>
        </w:tc>
        <w:tc>
          <w:tcPr>
            <w:tcW w:w="843" w:type="dxa"/>
            <w:vAlign w:val="bottom"/>
          </w:tcPr>
          <w:p w:rsidR="0022069A" w:rsidRPr="005911E2" w:rsidRDefault="007337E1" w:rsidP="0022069A">
            <w:pPr>
              <w:pStyle w:val="TableText"/>
              <w:jc w:val="right"/>
              <w:rPr>
                <w:color w:val="000000"/>
                <w:lang w:eastAsia="en-AU" w:bidi="ar-SA"/>
              </w:rPr>
            </w:pPr>
            <w:r>
              <w:rPr>
                <w:color w:val="000000"/>
                <w:lang w:eastAsia="en-AU" w:bidi="ar-SA"/>
              </w:rPr>
              <w:t>1</w:t>
            </w:r>
          </w:p>
        </w:tc>
        <w:tc>
          <w:tcPr>
            <w:tcW w:w="705" w:type="dxa"/>
            <w:vAlign w:val="bottom"/>
          </w:tcPr>
          <w:p w:rsidR="0022069A" w:rsidRPr="005911E2" w:rsidRDefault="0022069A" w:rsidP="0022069A">
            <w:pPr>
              <w:pStyle w:val="TableText"/>
              <w:jc w:val="right"/>
              <w:rPr>
                <w:color w:val="000000"/>
                <w:lang w:eastAsia="en-AU" w:bidi="ar-SA"/>
              </w:rPr>
            </w:pPr>
            <w:r w:rsidRPr="005911E2">
              <w:rPr>
                <w:color w:val="000000"/>
                <w:lang w:eastAsia="en-AU" w:bidi="ar-SA"/>
              </w:rPr>
              <w:t>0</w:t>
            </w:r>
          </w:p>
        </w:tc>
        <w:tc>
          <w:tcPr>
            <w:tcW w:w="859" w:type="dxa"/>
            <w:vAlign w:val="bottom"/>
          </w:tcPr>
          <w:p w:rsidR="0022069A" w:rsidRPr="005911E2" w:rsidRDefault="0022069A" w:rsidP="0022069A">
            <w:pPr>
              <w:pStyle w:val="TableText"/>
              <w:jc w:val="right"/>
              <w:rPr>
                <w:color w:val="000000"/>
                <w:lang w:eastAsia="en-AU" w:bidi="ar-SA"/>
              </w:rPr>
            </w:pPr>
            <w:r w:rsidRPr="005911E2">
              <w:rPr>
                <w:color w:val="000000"/>
                <w:lang w:eastAsia="en-AU" w:bidi="ar-SA"/>
              </w:rPr>
              <w:t>276</w:t>
            </w:r>
          </w:p>
        </w:tc>
        <w:tc>
          <w:tcPr>
            <w:tcW w:w="1322" w:type="dxa"/>
            <w:shd w:val="clear" w:color="auto" w:fill="auto"/>
          </w:tcPr>
          <w:p w:rsidR="0022069A" w:rsidRPr="005911E2" w:rsidRDefault="0022069A" w:rsidP="0022069A">
            <w:pPr>
              <w:pStyle w:val="TableText"/>
              <w:jc w:val="right"/>
              <w:rPr>
                <w:color w:val="000000"/>
                <w:lang w:eastAsia="en-AU" w:bidi="ar-SA"/>
              </w:rPr>
            </w:pPr>
            <w:r w:rsidRPr="005911E2">
              <w:rPr>
                <w:color w:val="000000"/>
                <w:lang w:eastAsia="en-AU" w:bidi="ar-SA"/>
              </w:rPr>
              <w:t>947</w:t>
            </w:r>
          </w:p>
        </w:tc>
      </w:tr>
      <w:tr w:rsidR="0022069A" w:rsidRPr="005911E2" w:rsidTr="00CF78DB">
        <w:tc>
          <w:tcPr>
            <w:tcW w:w="2681" w:type="dxa"/>
            <w:tcBorders>
              <w:bottom w:val="single" w:sz="4" w:space="0" w:color="auto"/>
            </w:tcBorders>
            <w:vAlign w:val="bottom"/>
          </w:tcPr>
          <w:p w:rsidR="0022069A" w:rsidRPr="005911E2" w:rsidRDefault="0022069A" w:rsidP="0022069A">
            <w:pPr>
              <w:pStyle w:val="TableText"/>
              <w:rPr>
                <w:color w:val="000000"/>
                <w:lang w:eastAsia="en-AU" w:bidi="ar-SA"/>
              </w:rPr>
            </w:pPr>
            <w:r w:rsidRPr="005911E2">
              <w:rPr>
                <w:color w:val="000000"/>
                <w:lang w:eastAsia="en-AU" w:bidi="ar-SA"/>
              </w:rPr>
              <w:t xml:space="preserve">Total </w:t>
            </w:r>
          </w:p>
        </w:tc>
        <w:tc>
          <w:tcPr>
            <w:tcW w:w="836" w:type="dxa"/>
            <w:tcBorders>
              <w:bottom w:val="single" w:sz="4" w:space="0" w:color="auto"/>
            </w:tcBorders>
            <w:vAlign w:val="bottom"/>
          </w:tcPr>
          <w:p w:rsidR="0022069A" w:rsidRPr="005911E2" w:rsidRDefault="0022069A" w:rsidP="003C3275">
            <w:pPr>
              <w:pStyle w:val="TableText"/>
              <w:jc w:val="right"/>
              <w:rPr>
                <w:color w:val="000000"/>
                <w:lang w:eastAsia="en-AU" w:bidi="ar-SA"/>
              </w:rPr>
            </w:pPr>
            <w:r w:rsidRPr="005911E2">
              <w:rPr>
                <w:color w:val="000000"/>
                <w:lang w:eastAsia="en-AU" w:bidi="ar-SA"/>
              </w:rPr>
              <w:t>11</w:t>
            </w:r>
            <w:r w:rsidR="00CF78DB">
              <w:rPr>
                <w:color w:val="000000"/>
                <w:lang w:eastAsia="en-AU" w:bidi="ar-SA"/>
              </w:rPr>
              <w:t> </w:t>
            </w:r>
            <w:r w:rsidRPr="005911E2">
              <w:rPr>
                <w:color w:val="000000"/>
                <w:lang w:eastAsia="en-AU" w:bidi="ar-SA"/>
              </w:rPr>
              <w:t>960</w:t>
            </w:r>
          </w:p>
        </w:tc>
        <w:tc>
          <w:tcPr>
            <w:tcW w:w="834" w:type="dxa"/>
            <w:tcBorders>
              <w:bottom w:val="single" w:sz="4" w:space="0" w:color="auto"/>
            </w:tcBorders>
            <w:vAlign w:val="bottom"/>
          </w:tcPr>
          <w:p w:rsidR="0022069A" w:rsidRPr="005911E2" w:rsidRDefault="0022069A" w:rsidP="0022069A">
            <w:pPr>
              <w:pStyle w:val="TableText"/>
              <w:jc w:val="right"/>
              <w:rPr>
                <w:color w:val="000000"/>
                <w:lang w:eastAsia="en-AU" w:bidi="ar-SA"/>
              </w:rPr>
            </w:pPr>
            <w:r w:rsidRPr="005911E2">
              <w:rPr>
                <w:color w:val="000000"/>
                <w:lang w:eastAsia="en-AU" w:bidi="ar-SA"/>
              </w:rPr>
              <w:t>4</w:t>
            </w:r>
            <w:r w:rsidR="00CF78DB">
              <w:rPr>
                <w:color w:val="000000"/>
                <w:lang w:eastAsia="en-AU" w:bidi="ar-SA"/>
              </w:rPr>
              <w:t> </w:t>
            </w:r>
            <w:r w:rsidRPr="005911E2">
              <w:rPr>
                <w:color w:val="000000"/>
                <w:lang w:eastAsia="en-AU" w:bidi="ar-SA"/>
              </w:rPr>
              <w:t>190</w:t>
            </w:r>
          </w:p>
        </w:tc>
        <w:tc>
          <w:tcPr>
            <w:tcW w:w="843" w:type="dxa"/>
            <w:tcBorders>
              <w:bottom w:val="single" w:sz="4" w:space="0" w:color="auto"/>
            </w:tcBorders>
            <w:vAlign w:val="bottom"/>
          </w:tcPr>
          <w:p w:rsidR="0022069A" w:rsidRPr="005911E2" w:rsidRDefault="0022069A" w:rsidP="0022069A">
            <w:pPr>
              <w:pStyle w:val="TableText"/>
              <w:jc w:val="right"/>
              <w:rPr>
                <w:color w:val="000000"/>
                <w:lang w:eastAsia="en-AU" w:bidi="ar-SA"/>
              </w:rPr>
            </w:pPr>
            <w:r w:rsidRPr="005911E2">
              <w:rPr>
                <w:color w:val="000000"/>
                <w:lang w:eastAsia="en-AU" w:bidi="ar-SA"/>
              </w:rPr>
              <w:t>198</w:t>
            </w:r>
          </w:p>
        </w:tc>
        <w:tc>
          <w:tcPr>
            <w:tcW w:w="705" w:type="dxa"/>
            <w:tcBorders>
              <w:bottom w:val="single" w:sz="4" w:space="0" w:color="auto"/>
            </w:tcBorders>
            <w:vAlign w:val="bottom"/>
          </w:tcPr>
          <w:p w:rsidR="0022069A" w:rsidRPr="005911E2" w:rsidRDefault="0022069A" w:rsidP="0022069A">
            <w:pPr>
              <w:pStyle w:val="TableText"/>
              <w:jc w:val="right"/>
              <w:rPr>
                <w:color w:val="000000"/>
                <w:lang w:eastAsia="en-AU" w:bidi="ar-SA"/>
              </w:rPr>
            </w:pPr>
            <w:r w:rsidRPr="005911E2">
              <w:rPr>
                <w:color w:val="000000"/>
                <w:lang w:eastAsia="en-AU" w:bidi="ar-SA"/>
              </w:rPr>
              <w:t>45</w:t>
            </w:r>
          </w:p>
        </w:tc>
        <w:tc>
          <w:tcPr>
            <w:tcW w:w="859" w:type="dxa"/>
            <w:tcBorders>
              <w:bottom w:val="single" w:sz="4" w:space="0" w:color="auto"/>
            </w:tcBorders>
            <w:vAlign w:val="bottom"/>
          </w:tcPr>
          <w:p w:rsidR="0022069A" w:rsidRPr="005911E2" w:rsidRDefault="0022069A" w:rsidP="003C3275">
            <w:pPr>
              <w:pStyle w:val="TableText"/>
              <w:jc w:val="right"/>
              <w:rPr>
                <w:color w:val="000000"/>
                <w:lang w:eastAsia="en-AU" w:bidi="ar-SA"/>
              </w:rPr>
            </w:pPr>
            <w:r w:rsidRPr="005911E2">
              <w:rPr>
                <w:color w:val="000000"/>
                <w:lang w:eastAsia="en-AU" w:bidi="ar-SA"/>
              </w:rPr>
              <w:t>16</w:t>
            </w:r>
            <w:r w:rsidR="00CF78DB">
              <w:rPr>
                <w:color w:val="000000"/>
                <w:lang w:eastAsia="en-AU" w:bidi="ar-SA"/>
              </w:rPr>
              <w:t> </w:t>
            </w:r>
            <w:r w:rsidRPr="005911E2">
              <w:rPr>
                <w:color w:val="000000"/>
                <w:lang w:eastAsia="en-AU" w:bidi="ar-SA"/>
              </w:rPr>
              <w:t>393</w:t>
            </w:r>
          </w:p>
        </w:tc>
        <w:tc>
          <w:tcPr>
            <w:tcW w:w="1322" w:type="dxa"/>
            <w:tcBorders>
              <w:bottom w:val="single" w:sz="4" w:space="0" w:color="auto"/>
            </w:tcBorders>
            <w:shd w:val="clear" w:color="auto" w:fill="auto"/>
          </w:tcPr>
          <w:p w:rsidR="0022069A" w:rsidRPr="005911E2" w:rsidRDefault="0022069A" w:rsidP="003C3275">
            <w:pPr>
              <w:pStyle w:val="TableText"/>
              <w:jc w:val="right"/>
              <w:rPr>
                <w:color w:val="000000"/>
                <w:lang w:eastAsia="en-AU" w:bidi="ar-SA"/>
              </w:rPr>
            </w:pPr>
            <w:r w:rsidRPr="005911E2">
              <w:rPr>
                <w:color w:val="000000"/>
                <w:lang w:eastAsia="en-AU" w:bidi="ar-SA"/>
              </w:rPr>
              <w:t>19</w:t>
            </w:r>
            <w:r w:rsidR="003C3275">
              <w:rPr>
                <w:color w:val="000000"/>
                <w:lang w:eastAsia="en-AU" w:bidi="ar-SA"/>
              </w:rPr>
              <w:t xml:space="preserve"> </w:t>
            </w:r>
            <w:r w:rsidRPr="005911E2">
              <w:rPr>
                <w:color w:val="000000"/>
                <w:lang w:eastAsia="en-AU" w:bidi="ar-SA"/>
              </w:rPr>
              <w:t>001</w:t>
            </w:r>
          </w:p>
        </w:tc>
      </w:tr>
      <w:tr w:rsidR="0022069A" w:rsidRPr="005911E2" w:rsidTr="00CF78DB">
        <w:tc>
          <w:tcPr>
            <w:tcW w:w="2681" w:type="dxa"/>
            <w:tcBorders>
              <w:top w:val="single" w:sz="4" w:space="0" w:color="auto"/>
              <w:bottom w:val="single" w:sz="4" w:space="0" w:color="auto"/>
            </w:tcBorders>
            <w:vAlign w:val="bottom"/>
          </w:tcPr>
          <w:p w:rsidR="0022069A" w:rsidRPr="005911E2" w:rsidRDefault="0022069A" w:rsidP="0022069A">
            <w:pPr>
              <w:pStyle w:val="TableText"/>
              <w:rPr>
                <w:color w:val="000000"/>
                <w:lang w:eastAsia="en-AU" w:bidi="ar-SA"/>
              </w:rPr>
            </w:pPr>
          </w:p>
        </w:tc>
        <w:tc>
          <w:tcPr>
            <w:tcW w:w="4077" w:type="dxa"/>
            <w:gridSpan w:val="5"/>
            <w:tcBorders>
              <w:top w:val="single" w:sz="4" w:space="0" w:color="auto"/>
              <w:bottom w:val="single" w:sz="4" w:space="0" w:color="auto"/>
            </w:tcBorders>
            <w:vAlign w:val="bottom"/>
          </w:tcPr>
          <w:p w:rsidR="0022069A" w:rsidRPr="005911E2" w:rsidRDefault="0022069A" w:rsidP="0021019D">
            <w:pPr>
              <w:pStyle w:val="TableText"/>
              <w:jc w:val="center"/>
            </w:pPr>
            <w:r w:rsidRPr="005911E2">
              <w:t>Composition</w:t>
            </w:r>
          </w:p>
        </w:tc>
        <w:tc>
          <w:tcPr>
            <w:tcW w:w="1322" w:type="dxa"/>
            <w:tcBorders>
              <w:top w:val="single" w:sz="4" w:space="0" w:color="auto"/>
              <w:bottom w:val="single" w:sz="4" w:space="0" w:color="auto"/>
            </w:tcBorders>
            <w:shd w:val="clear" w:color="auto" w:fill="auto"/>
            <w:vAlign w:val="bottom"/>
          </w:tcPr>
          <w:p w:rsidR="0022069A" w:rsidRPr="005911E2" w:rsidRDefault="0022069A" w:rsidP="0022069A">
            <w:pPr>
              <w:pStyle w:val="TableText"/>
              <w:jc w:val="right"/>
            </w:pPr>
            <w:r w:rsidRPr="005911E2">
              <w:rPr>
                <w:i/>
                <w:iCs/>
              </w:rPr>
              <w:t>Incidence rate for CIM</w:t>
            </w:r>
            <w:r w:rsidRPr="005911E2">
              <w:t xml:space="preserve"> </w:t>
            </w:r>
          </w:p>
        </w:tc>
      </w:tr>
      <w:tr w:rsidR="0021019D" w:rsidRPr="005911E2" w:rsidTr="00CF78DB">
        <w:tc>
          <w:tcPr>
            <w:tcW w:w="2681" w:type="dxa"/>
            <w:tcBorders>
              <w:top w:val="single" w:sz="4" w:space="0" w:color="auto"/>
            </w:tcBorders>
            <w:vAlign w:val="bottom"/>
          </w:tcPr>
          <w:p w:rsidR="0021019D" w:rsidRPr="005911E2" w:rsidRDefault="0021019D" w:rsidP="0022069A">
            <w:pPr>
              <w:pStyle w:val="TableText"/>
              <w:rPr>
                <w:color w:val="000000"/>
                <w:lang w:eastAsia="en-AU" w:bidi="ar-SA"/>
              </w:rPr>
            </w:pPr>
          </w:p>
        </w:tc>
        <w:tc>
          <w:tcPr>
            <w:tcW w:w="5399" w:type="dxa"/>
            <w:gridSpan w:val="6"/>
            <w:tcBorders>
              <w:top w:val="single" w:sz="4" w:space="0" w:color="auto"/>
            </w:tcBorders>
            <w:vAlign w:val="bottom"/>
          </w:tcPr>
          <w:p w:rsidR="0021019D" w:rsidRPr="005911E2" w:rsidRDefault="0021019D" w:rsidP="0021019D">
            <w:pPr>
              <w:pStyle w:val="TableText"/>
              <w:jc w:val="center"/>
              <w:rPr>
                <w:color w:val="000000"/>
                <w:lang w:eastAsia="en-AU" w:bidi="ar-SA"/>
              </w:rPr>
            </w:pPr>
            <w:r w:rsidRPr="005911E2">
              <w:rPr>
                <w:color w:val="000000"/>
                <w:lang w:eastAsia="en-AU" w:bidi="ar-SA"/>
              </w:rPr>
              <w:t>- % -</w:t>
            </w:r>
          </w:p>
        </w:tc>
      </w:tr>
      <w:tr w:rsidR="0022069A" w:rsidRPr="005911E2" w:rsidTr="00CF78DB">
        <w:tc>
          <w:tcPr>
            <w:tcW w:w="2681" w:type="dxa"/>
            <w:vAlign w:val="bottom"/>
          </w:tcPr>
          <w:p w:rsidR="0022069A" w:rsidRPr="005911E2" w:rsidRDefault="0022069A" w:rsidP="0022069A">
            <w:pPr>
              <w:pStyle w:val="TableText"/>
              <w:rPr>
                <w:color w:val="000000"/>
                <w:lang w:eastAsia="en-AU" w:bidi="ar-SA"/>
              </w:rPr>
            </w:pPr>
            <w:r w:rsidRPr="005911E2">
              <w:rPr>
                <w:color w:val="000000"/>
                <w:lang w:eastAsia="en-AU" w:bidi="ar-SA"/>
              </w:rPr>
              <w:t>Australian Born Indigenous</w:t>
            </w:r>
          </w:p>
        </w:tc>
        <w:tc>
          <w:tcPr>
            <w:tcW w:w="836" w:type="dxa"/>
            <w:vAlign w:val="bottom"/>
          </w:tcPr>
          <w:p w:rsidR="0022069A" w:rsidRPr="005911E2" w:rsidRDefault="0022069A" w:rsidP="0022069A">
            <w:pPr>
              <w:pStyle w:val="TableText"/>
              <w:jc w:val="right"/>
            </w:pPr>
            <w:r w:rsidRPr="005911E2">
              <w:rPr>
                <w:color w:val="000000"/>
                <w:lang w:eastAsia="en-AU" w:bidi="ar-SA"/>
              </w:rPr>
              <w:t>88.2</w:t>
            </w:r>
          </w:p>
        </w:tc>
        <w:tc>
          <w:tcPr>
            <w:tcW w:w="834" w:type="dxa"/>
            <w:vAlign w:val="bottom"/>
          </w:tcPr>
          <w:p w:rsidR="0022069A" w:rsidRPr="005911E2" w:rsidRDefault="0022069A" w:rsidP="0022069A">
            <w:pPr>
              <w:pStyle w:val="TableText"/>
              <w:jc w:val="right"/>
            </w:pPr>
            <w:r w:rsidRPr="005911E2">
              <w:rPr>
                <w:color w:val="000000"/>
                <w:lang w:eastAsia="en-AU" w:bidi="ar-SA"/>
              </w:rPr>
              <w:t>98.5</w:t>
            </w:r>
          </w:p>
        </w:tc>
        <w:tc>
          <w:tcPr>
            <w:tcW w:w="843" w:type="dxa"/>
            <w:vAlign w:val="bottom"/>
          </w:tcPr>
          <w:p w:rsidR="0022069A" w:rsidRPr="005911E2" w:rsidRDefault="0022069A" w:rsidP="0022069A">
            <w:pPr>
              <w:pStyle w:val="TableText"/>
              <w:jc w:val="right"/>
            </w:pPr>
            <w:r w:rsidRPr="005911E2">
              <w:rPr>
                <w:color w:val="000000"/>
                <w:lang w:eastAsia="en-AU" w:bidi="ar-SA"/>
              </w:rPr>
              <w:t>97.0</w:t>
            </w:r>
          </w:p>
        </w:tc>
        <w:tc>
          <w:tcPr>
            <w:tcW w:w="705" w:type="dxa"/>
            <w:vAlign w:val="bottom"/>
          </w:tcPr>
          <w:p w:rsidR="0022069A" w:rsidRPr="005911E2" w:rsidRDefault="0022069A" w:rsidP="0022069A">
            <w:pPr>
              <w:pStyle w:val="TableText"/>
              <w:jc w:val="right"/>
            </w:pPr>
            <w:r w:rsidRPr="005911E2">
              <w:rPr>
                <w:color w:val="000000"/>
                <w:lang w:eastAsia="en-AU" w:bidi="ar-SA"/>
              </w:rPr>
              <w:t>88.9</w:t>
            </w:r>
          </w:p>
        </w:tc>
        <w:tc>
          <w:tcPr>
            <w:tcW w:w="859" w:type="dxa"/>
            <w:vAlign w:val="bottom"/>
          </w:tcPr>
          <w:p w:rsidR="0022069A" w:rsidRPr="005911E2" w:rsidRDefault="0022069A" w:rsidP="0022069A">
            <w:pPr>
              <w:pStyle w:val="TableText"/>
              <w:jc w:val="right"/>
            </w:pPr>
            <w:r w:rsidRPr="005911E2">
              <w:rPr>
                <w:color w:val="000000"/>
                <w:lang w:eastAsia="en-AU" w:bidi="ar-SA"/>
              </w:rPr>
              <w:t>91.0</w:t>
            </w:r>
          </w:p>
        </w:tc>
        <w:tc>
          <w:tcPr>
            <w:tcW w:w="1322" w:type="dxa"/>
            <w:shd w:val="clear" w:color="auto" w:fill="auto"/>
          </w:tcPr>
          <w:p w:rsidR="0022069A" w:rsidRPr="005911E2" w:rsidRDefault="0022069A" w:rsidP="0022069A">
            <w:pPr>
              <w:pStyle w:val="TableText"/>
              <w:jc w:val="right"/>
              <w:rPr>
                <w:color w:val="000000"/>
                <w:lang w:eastAsia="en-AU" w:bidi="ar-SA"/>
              </w:rPr>
            </w:pPr>
            <w:r w:rsidRPr="005911E2">
              <w:rPr>
                <w:color w:val="000000"/>
                <w:lang w:eastAsia="en-AU" w:bidi="ar-SA"/>
              </w:rPr>
              <w:t>74.8</w:t>
            </w:r>
          </w:p>
        </w:tc>
      </w:tr>
      <w:tr w:rsidR="0022069A" w:rsidRPr="005911E2" w:rsidTr="00CF78DB">
        <w:tc>
          <w:tcPr>
            <w:tcW w:w="2681" w:type="dxa"/>
            <w:vAlign w:val="bottom"/>
          </w:tcPr>
          <w:p w:rsidR="0022069A" w:rsidRPr="005911E2" w:rsidRDefault="0022069A" w:rsidP="0022069A">
            <w:pPr>
              <w:pStyle w:val="TableText"/>
              <w:rPr>
                <w:color w:val="000000"/>
                <w:lang w:eastAsia="en-AU" w:bidi="ar-SA"/>
              </w:rPr>
            </w:pPr>
            <w:r w:rsidRPr="005911E2">
              <w:rPr>
                <w:color w:val="000000"/>
                <w:lang w:eastAsia="en-AU" w:bidi="ar-SA"/>
              </w:rPr>
              <w:t>Australian Born non-Indigenous</w:t>
            </w:r>
          </w:p>
        </w:tc>
        <w:tc>
          <w:tcPr>
            <w:tcW w:w="836" w:type="dxa"/>
            <w:vAlign w:val="bottom"/>
          </w:tcPr>
          <w:p w:rsidR="0022069A" w:rsidRPr="005911E2" w:rsidRDefault="0022069A" w:rsidP="0022069A">
            <w:pPr>
              <w:pStyle w:val="TableText"/>
              <w:jc w:val="right"/>
            </w:pPr>
            <w:r w:rsidRPr="005911E2">
              <w:rPr>
                <w:color w:val="000000"/>
                <w:lang w:eastAsia="en-AU" w:bidi="ar-SA"/>
              </w:rPr>
              <w:t>8.8</w:t>
            </w:r>
          </w:p>
        </w:tc>
        <w:tc>
          <w:tcPr>
            <w:tcW w:w="834" w:type="dxa"/>
            <w:vAlign w:val="bottom"/>
          </w:tcPr>
          <w:p w:rsidR="0022069A" w:rsidRPr="005911E2" w:rsidRDefault="0022069A" w:rsidP="0022069A">
            <w:pPr>
              <w:pStyle w:val="TableText"/>
              <w:jc w:val="right"/>
            </w:pPr>
            <w:r w:rsidRPr="005911E2">
              <w:rPr>
                <w:color w:val="000000"/>
                <w:lang w:eastAsia="en-AU" w:bidi="ar-SA"/>
              </w:rPr>
              <w:t>1.2</w:t>
            </w:r>
          </w:p>
        </w:tc>
        <w:tc>
          <w:tcPr>
            <w:tcW w:w="843" w:type="dxa"/>
            <w:vAlign w:val="bottom"/>
          </w:tcPr>
          <w:p w:rsidR="0022069A" w:rsidRPr="005911E2" w:rsidRDefault="0022069A" w:rsidP="0022069A">
            <w:pPr>
              <w:pStyle w:val="TableText"/>
              <w:jc w:val="right"/>
            </w:pPr>
            <w:r w:rsidRPr="005911E2">
              <w:rPr>
                <w:color w:val="000000"/>
                <w:lang w:eastAsia="en-AU" w:bidi="ar-SA"/>
              </w:rPr>
              <w:t>2.5</w:t>
            </w:r>
          </w:p>
        </w:tc>
        <w:tc>
          <w:tcPr>
            <w:tcW w:w="705" w:type="dxa"/>
            <w:vAlign w:val="bottom"/>
          </w:tcPr>
          <w:p w:rsidR="0022069A" w:rsidRPr="005911E2" w:rsidRDefault="0022069A" w:rsidP="0022069A">
            <w:pPr>
              <w:pStyle w:val="TableText"/>
              <w:jc w:val="right"/>
            </w:pPr>
            <w:r w:rsidRPr="005911E2">
              <w:rPr>
                <w:color w:val="000000"/>
                <w:lang w:eastAsia="en-AU" w:bidi="ar-SA"/>
              </w:rPr>
              <w:t>11.1</w:t>
            </w:r>
          </w:p>
        </w:tc>
        <w:tc>
          <w:tcPr>
            <w:tcW w:w="859" w:type="dxa"/>
            <w:vAlign w:val="bottom"/>
          </w:tcPr>
          <w:p w:rsidR="0022069A" w:rsidRPr="005911E2" w:rsidRDefault="0022069A" w:rsidP="0022069A">
            <w:pPr>
              <w:pStyle w:val="TableText"/>
              <w:jc w:val="right"/>
            </w:pPr>
            <w:r w:rsidRPr="005911E2">
              <w:rPr>
                <w:color w:val="000000"/>
                <w:lang w:eastAsia="en-AU" w:bidi="ar-SA"/>
              </w:rPr>
              <w:t>6.8</w:t>
            </w:r>
          </w:p>
        </w:tc>
        <w:tc>
          <w:tcPr>
            <w:tcW w:w="1322" w:type="dxa"/>
            <w:shd w:val="clear" w:color="auto" w:fill="auto"/>
          </w:tcPr>
          <w:p w:rsidR="0022069A" w:rsidRPr="005911E2" w:rsidRDefault="0022069A" w:rsidP="0022069A">
            <w:pPr>
              <w:pStyle w:val="TableText"/>
              <w:jc w:val="right"/>
              <w:rPr>
                <w:color w:val="000000"/>
                <w:lang w:eastAsia="en-AU" w:bidi="ar-SA"/>
              </w:rPr>
            </w:pPr>
            <w:r w:rsidRPr="005911E2">
              <w:rPr>
                <w:color w:val="000000"/>
                <w:lang w:eastAsia="en-AU" w:bidi="ar-SA"/>
              </w:rPr>
              <w:t>31.7</w:t>
            </w:r>
          </w:p>
        </w:tc>
      </w:tr>
      <w:tr w:rsidR="0022069A" w:rsidRPr="005911E2" w:rsidTr="00CF78DB">
        <w:tc>
          <w:tcPr>
            <w:tcW w:w="2681" w:type="dxa"/>
            <w:vAlign w:val="bottom"/>
          </w:tcPr>
          <w:p w:rsidR="0022069A" w:rsidRPr="005911E2" w:rsidRDefault="0022069A" w:rsidP="0022069A">
            <w:pPr>
              <w:pStyle w:val="TableText"/>
              <w:rPr>
                <w:color w:val="000000"/>
                <w:lang w:eastAsia="en-AU" w:bidi="ar-SA"/>
              </w:rPr>
            </w:pPr>
            <w:r w:rsidRPr="005911E2">
              <w:rPr>
                <w:color w:val="000000"/>
                <w:lang w:eastAsia="en-AU" w:bidi="ar-SA"/>
              </w:rPr>
              <w:t>Overseas Born - ESB</w:t>
            </w:r>
          </w:p>
        </w:tc>
        <w:tc>
          <w:tcPr>
            <w:tcW w:w="836" w:type="dxa"/>
            <w:vAlign w:val="bottom"/>
          </w:tcPr>
          <w:p w:rsidR="0022069A" w:rsidRPr="005911E2" w:rsidRDefault="0022069A" w:rsidP="0022069A">
            <w:pPr>
              <w:pStyle w:val="TableText"/>
              <w:jc w:val="right"/>
            </w:pPr>
            <w:r w:rsidRPr="005911E2">
              <w:rPr>
                <w:color w:val="000000"/>
                <w:lang w:eastAsia="en-AU" w:bidi="ar-SA"/>
              </w:rPr>
              <w:t>0.8</w:t>
            </w:r>
          </w:p>
        </w:tc>
        <w:tc>
          <w:tcPr>
            <w:tcW w:w="834" w:type="dxa"/>
            <w:vAlign w:val="bottom"/>
          </w:tcPr>
          <w:p w:rsidR="0022069A" w:rsidRPr="005911E2" w:rsidRDefault="0022069A" w:rsidP="0022069A">
            <w:pPr>
              <w:pStyle w:val="TableText"/>
              <w:jc w:val="right"/>
            </w:pPr>
            <w:r w:rsidRPr="005911E2">
              <w:rPr>
                <w:color w:val="000000"/>
                <w:lang w:eastAsia="en-AU" w:bidi="ar-SA"/>
              </w:rPr>
              <w:t>0.1</w:t>
            </w:r>
          </w:p>
        </w:tc>
        <w:tc>
          <w:tcPr>
            <w:tcW w:w="843" w:type="dxa"/>
            <w:vAlign w:val="bottom"/>
          </w:tcPr>
          <w:p w:rsidR="0022069A" w:rsidRPr="005911E2" w:rsidRDefault="0022069A" w:rsidP="007337E1">
            <w:pPr>
              <w:pStyle w:val="TableText"/>
              <w:jc w:val="right"/>
            </w:pPr>
            <w:r w:rsidRPr="005911E2">
              <w:rPr>
                <w:color w:val="000000"/>
                <w:lang w:eastAsia="en-AU" w:bidi="ar-SA"/>
              </w:rPr>
              <w:t>0.</w:t>
            </w:r>
            <w:r w:rsidR="007337E1">
              <w:rPr>
                <w:color w:val="000000"/>
                <w:lang w:eastAsia="en-AU" w:bidi="ar-SA"/>
              </w:rPr>
              <w:t>0</w:t>
            </w:r>
          </w:p>
        </w:tc>
        <w:tc>
          <w:tcPr>
            <w:tcW w:w="705" w:type="dxa"/>
            <w:vAlign w:val="bottom"/>
          </w:tcPr>
          <w:p w:rsidR="0022069A" w:rsidRPr="005911E2" w:rsidRDefault="0022069A" w:rsidP="0022069A">
            <w:pPr>
              <w:pStyle w:val="TableText"/>
              <w:jc w:val="right"/>
            </w:pPr>
            <w:r w:rsidRPr="005911E2">
              <w:rPr>
                <w:color w:val="000000"/>
                <w:lang w:eastAsia="en-AU" w:bidi="ar-SA"/>
              </w:rPr>
              <w:t>0.0</w:t>
            </w:r>
          </w:p>
        </w:tc>
        <w:tc>
          <w:tcPr>
            <w:tcW w:w="859" w:type="dxa"/>
            <w:vAlign w:val="bottom"/>
          </w:tcPr>
          <w:p w:rsidR="0022069A" w:rsidRPr="005911E2" w:rsidRDefault="0022069A" w:rsidP="0022069A">
            <w:pPr>
              <w:pStyle w:val="TableText"/>
              <w:jc w:val="right"/>
            </w:pPr>
            <w:r w:rsidRPr="005911E2">
              <w:rPr>
                <w:color w:val="000000"/>
                <w:lang w:eastAsia="en-AU" w:bidi="ar-SA"/>
              </w:rPr>
              <w:t>0.6</w:t>
            </w:r>
          </w:p>
        </w:tc>
        <w:tc>
          <w:tcPr>
            <w:tcW w:w="1322" w:type="dxa"/>
            <w:shd w:val="clear" w:color="auto" w:fill="auto"/>
          </w:tcPr>
          <w:p w:rsidR="0022069A" w:rsidRPr="005911E2" w:rsidRDefault="0022069A" w:rsidP="0022069A">
            <w:pPr>
              <w:pStyle w:val="TableText"/>
              <w:jc w:val="right"/>
              <w:rPr>
                <w:color w:val="000000"/>
                <w:lang w:eastAsia="en-AU" w:bidi="ar-SA"/>
              </w:rPr>
            </w:pPr>
            <w:r w:rsidRPr="005911E2">
              <w:rPr>
                <w:color w:val="000000"/>
                <w:lang w:eastAsia="en-AU" w:bidi="ar-SA"/>
              </w:rPr>
              <w:t>38.5</w:t>
            </w:r>
          </w:p>
        </w:tc>
      </w:tr>
      <w:tr w:rsidR="0022069A" w:rsidRPr="005911E2" w:rsidTr="00CF78DB">
        <w:tc>
          <w:tcPr>
            <w:tcW w:w="2681" w:type="dxa"/>
            <w:vAlign w:val="bottom"/>
          </w:tcPr>
          <w:p w:rsidR="0022069A" w:rsidRPr="005911E2" w:rsidRDefault="0022069A" w:rsidP="0022069A">
            <w:pPr>
              <w:pStyle w:val="TableText"/>
              <w:rPr>
                <w:color w:val="000000"/>
                <w:lang w:eastAsia="en-AU" w:bidi="ar-SA"/>
              </w:rPr>
            </w:pPr>
            <w:r w:rsidRPr="005911E2">
              <w:rPr>
                <w:color w:val="000000"/>
                <w:lang w:eastAsia="en-AU" w:bidi="ar-SA"/>
              </w:rPr>
              <w:t xml:space="preserve">Overseas Born - NESB </w:t>
            </w:r>
          </w:p>
        </w:tc>
        <w:tc>
          <w:tcPr>
            <w:tcW w:w="836" w:type="dxa"/>
            <w:vAlign w:val="bottom"/>
          </w:tcPr>
          <w:p w:rsidR="0022069A" w:rsidRPr="005911E2" w:rsidRDefault="0022069A" w:rsidP="0022069A">
            <w:pPr>
              <w:pStyle w:val="TableText"/>
              <w:jc w:val="right"/>
            </w:pPr>
            <w:r w:rsidRPr="005911E2">
              <w:rPr>
                <w:color w:val="000000"/>
                <w:lang w:eastAsia="en-AU" w:bidi="ar-SA"/>
              </w:rPr>
              <w:t>2.2</w:t>
            </w:r>
          </w:p>
        </w:tc>
        <w:tc>
          <w:tcPr>
            <w:tcW w:w="834" w:type="dxa"/>
            <w:vAlign w:val="bottom"/>
          </w:tcPr>
          <w:p w:rsidR="0022069A" w:rsidRPr="005911E2" w:rsidRDefault="0022069A" w:rsidP="0022069A">
            <w:pPr>
              <w:pStyle w:val="TableText"/>
              <w:jc w:val="right"/>
            </w:pPr>
            <w:r w:rsidRPr="005911E2">
              <w:rPr>
                <w:color w:val="000000"/>
                <w:lang w:eastAsia="en-AU" w:bidi="ar-SA"/>
              </w:rPr>
              <w:t>0.2</w:t>
            </w:r>
          </w:p>
        </w:tc>
        <w:tc>
          <w:tcPr>
            <w:tcW w:w="843" w:type="dxa"/>
            <w:vAlign w:val="bottom"/>
          </w:tcPr>
          <w:p w:rsidR="0022069A" w:rsidRPr="005911E2" w:rsidRDefault="0022069A" w:rsidP="0022069A">
            <w:pPr>
              <w:pStyle w:val="TableText"/>
              <w:jc w:val="right"/>
            </w:pPr>
            <w:r w:rsidRPr="005911E2">
              <w:rPr>
                <w:color w:val="000000"/>
                <w:lang w:eastAsia="en-AU" w:bidi="ar-SA"/>
              </w:rPr>
              <w:t>0.0</w:t>
            </w:r>
          </w:p>
        </w:tc>
        <w:tc>
          <w:tcPr>
            <w:tcW w:w="705" w:type="dxa"/>
            <w:vAlign w:val="bottom"/>
          </w:tcPr>
          <w:p w:rsidR="0022069A" w:rsidRPr="005911E2" w:rsidRDefault="0022069A" w:rsidP="0022069A">
            <w:pPr>
              <w:pStyle w:val="TableText"/>
              <w:jc w:val="right"/>
            </w:pPr>
            <w:r w:rsidRPr="005911E2">
              <w:rPr>
                <w:color w:val="000000"/>
                <w:lang w:eastAsia="en-AU" w:bidi="ar-SA"/>
              </w:rPr>
              <w:t>0.0</w:t>
            </w:r>
          </w:p>
        </w:tc>
        <w:tc>
          <w:tcPr>
            <w:tcW w:w="859" w:type="dxa"/>
            <w:vAlign w:val="bottom"/>
          </w:tcPr>
          <w:p w:rsidR="0022069A" w:rsidRPr="005911E2" w:rsidRDefault="0022069A" w:rsidP="0022069A">
            <w:pPr>
              <w:pStyle w:val="TableText"/>
              <w:jc w:val="right"/>
            </w:pPr>
            <w:r w:rsidRPr="005911E2">
              <w:rPr>
                <w:color w:val="000000"/>
                <w:lang w:eastAsia="en-AU" w:bidi="ar-SA"/>
              </w:rPr>
              <w:t>1.7</w:t>
            </w:r>
          </w:p>
        </w:tc>
        <w:tc>
          <w:tcPr>
            <w:tcW w:w="1322" w:type="dxa"/>
            <w:shd w:val="clear" w:color="auto" w:fill="auto"/>
          </w:tcPr>
          <w:p w:rsidR="0022069A" w:rsidRPr="005911E2" w:rsidRDefault="0022069A" w:rsidP="0022069A">
            <w:pPr>
              <w:pStyle w:val="TableText"/>
              <w:jc w:val="right"/>
              <w:rPr>
                <w:color w:val="000000"/>
                <w:lang w:eastAsia="en-AU" w:bidi="ar-SA"/>
              </w:rPr>
            </w:pPr>
            <w:r w:rsidRPr="005911E2">
              <w:rPr>
                <w:color w:val="000000"/>
                <w:lang w:eastAsia="en-AU" w:bidi="ar-SA"/>
              </w:rPr>
              <w:t>28.2</w:t>
            </w:r>
          </w:p>
        </w:tc>
      </w:tr>
      <w:tr w:rsidR="0022069A" w:rsidRPr="005911E2" w:rsidTr="00CF78DB">
        <w:tc>
          <w:tcPr>
            <w:tcW w:w="2681" w:type="dxa"/>
            <w:tcBorders>
              <w:bottom w:val="single" w:sz="4" w:space="0" w:color="auto"/>
            </w:tcBorders>
            <w:vAlign w:val="bottom"/>
          </w:tcPr>
          <w:p w:rsidR="0022069A" w:rsidRPr="005911E2" w:rsidRDefault="0022069A" w:rsidP="0022069A">
            <w:pPr>
              <w:pStyle w:val="TableText"/>
              <w:rPr>
                <w:color w:val="000000"/>
                <w:lang w:eastAsia="en-AU" w:bidi="ar-SA"/>
              </w:rPr>
            </w:pPr>
            <w:r w:rsidRPr="005911E2">
              <w:rPr>
                <w:color w:val="000000"/>
                <w:lang w:eastAsia="en-AU" w:bidi="ar-SA"/>
              </w:rPr>
              <w:t xml:space="preserve">Total </w:t>
            </w:r>
          </w:p>
        </w:tc>
        <w:tc>
          <w:tcPr>
            <w:tcW w:w="836" w:type="dxa"/>
            <w:tcBorders>
              <w:bottom w:val="single" w:sz="4" w:space="0" w:color="auto"/>
            </w:tcBorders>
            <w:vAlign w:val="bottom"/>
          </w:tcPr>
          <w:p w:rsidR="0022069A" w:rsidRPr="005911E2" w:rsidRDefault="0022069A" w:rsidP="0022069A">
            <w:pPr>
              <w:pStyle w:val="TableText"/>
              <w:jc w:val="right"/>
            </w:pPr>
            <w:r w:rsidRPr="005911E2">
              <w:rPr>
                <w:color w:val="000000"/>
                <w:lang w:eastAsia="en-AU" w:bidi="ar-SA"/>
              </w:rPr>
              <w:t>100.0</w:t>
            </w:r>
          </w:p>
        </w:tc>
        <w:tc>
          <w:tcPr>
            <w:tcW w:w="834" w:type="dxa"/>
            <w:tcBorders>
              <w:bottom w:val="single" w:sz="4" w:space="0" w:color="auto"/>
            </w:tcBorders>
            <w:vAlign w:val="bottom"/>
          </w:tcPr>
          <w:p w:rsidR="0022069A" w:rsidRPr="005911E2" w:rsidRDefault="0022069A" w:rsidP="0022069A">
            <w:pPr>
              <w:pStyle w:val="TableText"/>
              <w:jc w:val="right"/>
            </w:pPr>
            <w:r w:rsidRPr="005911E2">
              <w:rPr>
                <w:color w:val="000000"/>
                <w:lang w:eastAsia="en-AU" w:bidi="ar-SA"/>
              </w:rPr>
              <w:t>100.0</w:t>
            </w:r>
          </w:p>
        </w:tc>
        <w:tc>
          <w:tcPr>
            <w:tcW w:w="843" w:type="dxa"/>
            <w:tcBorders>
              <w:bottom w:val="single" w:sz="4" w:space="0" w:color="auto"/>
            </w:tcBorders>
            <w:vAlign w:val="bottom"/>
          </w:tcPr>
          <w:p w:rsidR="0022069A" w:rsidRPr="005911E2" w:rsidRDefault="0022069A" w:rsidP="0022069A">
            <w:pPr>
              <w:pStyle w:val="TableText"/>
              <w:jc w:val="right"/>
            </w:pPr>
            <w:r w:rsidRPr="005911E2">
              <w:rPr>
                <w:color w:val="000000"/>
                <w:lang w:eastAsia="en-AU" w:bidi="ar-SA"/>
              </w:rPr>
              <w:t>100.0</w:t>
            </w:r>
          </w:p>
        </w:tc>
        <w:tc>
          <w:tcPr>
            <w:tcW w:w="705" w:type="dxa"/>
            <w:tcBorders>
              <w:bottom w:val="single" w:sz="4" w:space="0" w:color="auto"/>
            </w:tcBorders>
            <w:vAlign w:val="bottom"/>
          </w:tcPr>
          <w:p w:rsidR="0022069A" w:rsidRPr="005911E2" w:rsidRDefault="0022069A" w:rsidP="0022069A">
            <w:pPr>
              <w:pStyle w:val="TableText"/>
              <w:jc w:val="right"/>
            </w:pPr>
            <w:r w:rsidRPr="005911E2">
              <w:rPr>
                <w:color w:val="000000"/>
                <w:lang w:eastAsia="en-AU" w:bidi="ar-SA"/>
              </w:rPr>
              <w:t>100.0</w:t>
            </w:r>
          </w:p>
        </w:tc>
        <w:tc>
          <w:tcPr>
            <w:tcW w:w="859" w:type="dxa"/>
            <w:tcBorders>
              <w:bottom w:val="single" w:sz="4" w:space="0" w:color="auto"/>
            </w:tcBorders>
            <w:vAlign w:val="bottom"/>
          </w:tcPr>
          <w:p w:rsidR="0022069A" w:rsidRPr="005911E2" w:rsidRDefault="0022069A" w:rsidP="0022069A">
            <w:pPr>
              <w:pStyle w:val="TableText"/>
              <w:jc w:val="right"/>
            </w:pPr>
            <w:r w:rsidRPr="005911E2">
              <w:rPr>
                <w:color w:val="000000"/>
                <w:lang w:eastAsia="en-AU" w:bidi="ar-SA"/>
              </w:rPr>
              <w:t>100.0</w:t>
            </w:r>
          </w:p>
        </w:tc>
        <w:tc>
          <w:tcPr>
            <w:tcW w:w="1322" w:type="dxa"/>
            <w:tcBorders>
              <w:bottom w:val="single" w:sz="4" w:space="0" w:color="auto"/>
            </w:tcBorders>
            <w:shd w:val="clear" w:color="auto" w:fill="auto"/>
          </w:tcPr>
          <w:p w:rsidR="0022069A" w:rsidRPr="005911E2" w:rsidRDefault="0022069A" w:rsidP="0022069A">
            <w:pPr>
              <w:pStyle w:val="TableText"/>
              <w:jc w:val="right"/>
              <w:rPr>
                <w:color w:val="000000"/>
                <w:lang w:eastAsia="en-AU" w:bidi="ar-SA"/>
              </w:rPr>
            </w:pPr>
            <w:r w:rsidRPr="005911E2">
              <w:rPr>
                <w:color w:val="000000"/>
                <w:lang w:eastAsia="en-AU" w:bidi="ar-SA"/>
              </w:rPr>
              <w:t>64.5</w:t>
            </w:r>
          </w:p>
        </w:tc>
      </w:tr>
    </w:tbl>
    <w:p w:rsidR="003C3275" w:rsidRDefault="00CF78DB" w:rsidP="00CF78DB">
      <w:pPr>
        <w:pStyle w:val="tablefootnotes"/>
      </w:pPr>
      <w:r w:rsidRPr="00CF78DB">
        <w:t xml:space="preserve">Note: </w:t>
      </w:r>
      <w:r>
        <w:tab/>
        <w:t>IS – Income Support</w:t>
      </w:r>
      <w:r w:rsidR="00657163">
        <w:t xml:space="preserve">, </w:t>
      </w:r>
      <w:r w:rsidR="003C3275">
        <w:t>ESB – English speaking background, NESB – Non-English speaking background)</w:t>
      </w:r>
      <w:r w:rsidR="00943DCB">
        <w:t>.</w:t>
      </w:r>
    </w:p>
    <w:p w:rsidR="0022069A" w:rsidRPr="005911E2" w:rsidRDefault="00CF78DB" w:rsidP="00CF78DB">
      <w:pPr>
        <w:pStyle w:val="tablefootnotes"/>
      </w:pPr>
      <w:r>
        <w:tab/>
      </w:r>
      <w:r w:rsidR="000234FA">
        <w:t>ESB/NESB o</w:t>
      </w:r>
      <w:r w:rsidR="0022069A" w:rsidRPr="005911E2">
        <w:t xml:space="preserve">rigin derived from income support file. Denominator for incidence is all persons receiving an income support payment targeted by </w:t>
      </w:r>
      <w:r w:rsidR="004808B3">
        <w:t>Compulsory Income Management</w:t>
      </w:r>
      <w:r w:rsidR="0022069A" w:rsidRPr="005911E2">
        <w:t>. Note that the estimated incidence rates are approximate in that while the population on income support reflects the ‘trigger payments’ it does not reflect other criteria such as duration</w:t>
      </w:r>
      <w:r w:rsidR="003C3275">
        <w:t xml:space="preserve">. However, </w:t>
      </w:r>
      <w:r w:rsidR="0022069A" w:rsidRPr="005911E2">
        <w:t xml:space="preserve">the data does provide a useful insight into the relative impact of </w:t>
      </w:r>
      <w:r w:rsidR="00F878E4">
        <w:t>income management</w:t>
      </w:r>
      <w:r w:rsidR="0022069A" w:rsidRPr="005911E2">
        <w:t>.</w:t>
      </w:r>
    </w:p>
    <w:p w:rsidR="0022069A" w:rsidRPr="005911E2" w:rsidRDefault="003A1B16" w:rsidP="00CF78DB">
      <w:pPr>
        <w:pStyle w:val="tablefootnotes"/>
      </w:pPr>
      <w:r w:rsidRPr="005911E2">
        <w:t xml:space="preserve">Population: </w:t>
      </w:r>
      <w:r w:rsidR="00CF78DB">
        <w:tab/>
      </w:r>
      <w:r w:rsidRPr="005911E2">
        <w:t xml:space="preserve">Income </w:t>
      </w:r>
      <w:r w:rsidR="003C3275">
        <w:t>s</w:t>
      </w:r>
      <w:r w:rsidRPr="005911E2">
        <w:t>upport recipients in the</w:t>
      </w:r>
      <w:r w:rsidR="006435C8">
        <w:t xml:space="preserve"> Northern Territory </w:t>
      </w:r>
      <w:r w:rsidRPr="005911E2">
        <w:t xml:space="preserve">subject to </w:t>
      </w:r>
      <w:r w:rsidR="003C3275">
        <w:t>i</w:t>
      </w:r>
      <w:r w:rsidRPr="005911E2">
        <w:t xml:space="preserve">ncome </w:t>
      </w:r>
      <w:r w:rsidR="003C3275">
        <w:t>m</w:t>
      </w:r>
      <w:r w:rsidRPr="005911E2">
        <w:t>anagement</w:t>
      </w:r>
      <w:r w:rsidR="00943DCB">
        <w:t>.</w:t>
      </w:r>
    </w:p>
    <w:p w:rsidR="0022069A" w:rsidRPr="005911E2" w:rsidRDefault="0022069A" w:rsidP="00CF78DB">
      <w:pPr>
        <w:pStyle w:val="tablefootnotes"/>
      </w:pPr>
      <w:r w:rsidRPr="005911E2">
        <w:t xml:space="preserve">Source: </w:t>
      </w:r>
      <w:r w:rsidR="00CF78DB">
        <w:tab/>
      </w:r>
      <w:r w:rsidRPr="005911E2">
        <w:t xml:space="preserve">Income </w:t>
      </w:r>
      <w:r w:rsidR="003C3275">
        <w:t>s</w:t>
      </w:r>
      <w:r w:rsidRPr="005911E2">
        <w:t xml:space="preserve">upport payments file and </w:t>
      </w:r>
      <w:r w:rsidR="00F878E4">
        <w:t>income management</w:t>
      </w:r>
      <w:r w:rsidRPr="005911E2">
        <w:t xml:space="preserve"> person file for fortnight ending 28 October</w:t>
      </w:r>
      <w:r w:rsidR="00CF78DB">
        <w:t xml:space="preserve"> 2011</w:t>
      </w:r>
      <w:r w:rsidR="00943DCB">
        <w:t>.</w:t>
      </w:r>
    </w:p>
    <w:p w:rsidR="0022069A" w:rsidRPr="005911E2" w:rsidRDefault="0022069A" w:rsidP="00CF78DB">
      <w:pPr>
        <w:pStyle w:val="tablefootnotes"/>
      </w:pPr>
    </w:p>
    <w:p w:rsidR="0022069A" w:rsidRPr="005911E2" w:rsidRDefault="0022069A" w:rsidP="0022069A">
      <w:pPr>
        <w:pStyle w:val="BodyText"/>
        <w:rPr>
          <w:lang w:eastAsia="en-US"/>
        </w:rPr>
      </w:pPr>
      <w:r w:rsidRPr="005911E2">
        <w:rPr>
          <w:lang w:eastAsia="en-US"/>
        </w:rPr>
        <w:t>Within the group of people born outside Australia, just under a third were born in South-East Asia (31 per cent), mainly from the Philippines, East Timor, Vietnam and Indonesia; 18 per cent were born elsewhere in Oceania, primarily New Zealand; 14 per cent were born in North West Europe</w:t>
      </w:r>
      <w:r w:rsidR="003C3275">
        <w:rPr>
          <w:lang w:eastAsia="en-US"/>
        </w:rPr>
        <w:t>,</w:t>
      </w:r>
      <w:r w:rsidRPr="005911E2">
        <w:rPr>
          <w:lang w:eastAsia="en-US"/>
        </w:rPr>
        <w:t xml:space="preserve"> with most of these having been born in the United Kingdom; 11 per cent were born in Sub-Saharan Africa, mostly in Liberia and the Congo; and some 10 per cent were born in North Africa, mostly in Sudan.</w:t>
      </w:r>
    </w:p>
    <w:p w:rsidR="00E81107" w:rsidRDefault="0022069A" w:rsidP="007B4471">
      <w:pPr>
        <w:pStyle w:val="Heading4"/>
      </w:pPr>
      <w:r w:rsidRPr="005911E2">
        <w:t>Visa status</w:t>
      </w:r>
    </w:p>
    <w:p w:rsidR="0022069A" w:rsidRPr="005911E2" w:rsidRDefault="0022069A" w:rsidP="0022069A">
      <w:pPr>
        <w:pStyle w:val="BodyText"/>
        <w:rPr>
          <w:lang w:eastAsia="en-US"/>
        </w:rPr>
      </w:pPr>
      <w:r w:rsidRPr="005911E2">
        <w:rPr>
          <w:lang w:eastAsia="en-US"/>
        </w:rPr>
        <w:t>A small number of people (245</w:t>
      </w:r>
      <w:r w:rsidR="003C3275">
        <w:rPr>
          <w:lang w:eastAsia="en-US"/>
        </w:rPr>
        <w:t xml:space="preserve"> or</w:t>
      </w:r>
      <w:r w:rsidRPr="005911E2">
        <w:rPr>
          <w:lang w:eastAsia="en-US"/>
        </w:rPr>
        <w:t xml:space="preserve"> 1.5 per cent) subject to </w:t>
      </w:r>
      <w:r w:rsidR="00F878E4">
        <w:rPr>
          <w:lang w:eastAsia="en-US"/>
        </w:rPr>
        <w:t>income management</w:t>
      </w:r>
      <w:r w:rsidRPr="005911E2">
        <w:rPr>
          <w:lang w:eastAsia="en-US"/>
        </w:rPr>
        <w:t xml:space="preserve"> in the</w:t>
      </w:r>
      <w:r w:rsidR="006435C8">
        <w:rPr>
          <w:lang w:eastAsia="en-US"/>
        </w:rPr>
        <w:t xml:space="preserve"> Northern Territory </w:t>
      </w:r>
      <w:r w:rsidRPr="005911E2">
        <w:rPr>
          <w:lang w:eastAsia="en-US"/>
        </w:rPr>
        <w:t>had a Visa status on their Centrelink record. The main groupings of visas people held were various types of humanitarian visas (41 per cent) and family and related visas (15 per cent). A f</w:t>
      </w:r>
      <w:r w:rsidR="00AF4090">
        <w:rPr>
          <w:lang w:eastAsia="en-US"/>
        </w:rPr>
        <w:t>urther 16 per cent held a ‘Special C</w:t>
      </w:r>
      <w:r w:rsidRPr="005911E2">
        <w:rPr>
          <w:lang w:eastAsia="en-US"/>
        </w:rPr>
        <w:t>ategory’ visa which is for New Zealand residents with the balance being distributed across a range of other visa types</w:t>
      </w:r>
      <w:r w:rsidR="003C3275">
        <w:rPr>
          <w:lang w:eastAsia="en-US"/>
        </w:rPr>
        <w:t>.</w:t>
      </w:r>
      <w:r w:rsidRPr="005911E2">
        <w:rPr>
          <w:rStyle w:val="FootnoteReference"/>
        </w:rPr>
        <w:footnoteReference w:id="54"/>
      </w:r>
    </w:p>
    <w:p w:rsidR="0022069A" w:rsidRPr="005911E2" w:rsidRDefault="0022069A" w:rsidP="00616B0F">
      <w:pPr>
        <w:pStyle w:val="Heading2"/>
      </w:pPr>
      <w:bookmarkStart w:id="377" w:name="_Toc321225114"/>
      <w:bookmarkStart w:id="378" w:name="_Toc321761600"/>
      <w:bookmarkStart w:id="379" w:name="_Toc321254458"/>
      <w:bookmarkStart w:id="380" w:name="_Toc328601482"/>
      <w:bookmarkStart w:id="381" w:name="_Toc329870364"/>
      <w:bookmarkStart w:id="382" w:name="_Toc335915750"/>
      <w:r w:rsidRPr="005911E2">
        <w:t>The geographic incidence of income management</w:t>
      </w:r>
      <w:bookmarkEnd w:id="377"/>
      <w:bookmarkEnd w:id="378"/>
      <w:bookmarkEnd w:id="379"/>
      <w:bookmarkEnd w:id="380"/>
      <w:bookmarkEnd w:id="381"/>
      <w:bookmarkEnd w:id="382"/>
    </w:p>
    <w:p w:rsidR="0022069A" w:rsidRDefault="006F14AA" w:rsidP="0022069A">
      <w:pPr>
        <w:pStyle w:val="BodyText"/>
      </w:pPr>
      <w:r w:rsidRPr="005911E2">
        <w:t xml:space="preserve">Table </w:t>
      </w:r>
      <w:r w:rsidRPr="005911E2">
        <w:rPr>
          <w:noProof/>
        </w:rPr>
        <w:t>4</w:t>
      </w:r>
      <w:r w:rsidRPr="005911E2">
        <w:noBreakHyphen/>
      </w:r>
      <w:r w:rsidRPr="005911E2">
        <w:rPr>
          <w:noProof/>
        </w:rPr>
        <w:t>15</w:t>
      </w:r>
      <w:r w:rsidR="0022069A" w:rsidRPr="005911E2">
        <w:t xml:space="preserve"> </w:t>
      </w:r>
      <w:r w:rsidR="00397CDC">
        <w:t>shows</w:t>
      </w:r>
      <w:r w:rsidR="0022069A" w:rsidRPr="005911E2">
        <w:t xml:space="preserve"> the number of people receiving </w:t>
      </w:r>
      <w:r w:rsidR="00397CDC">
        <w:t>income support</w:t>
      </w:r>
      <w:r w:rsidR="00397CDC" w:rsidRPr="005911E2">
        <w:t xml:space="preserve"> </w:t>
      </w:r>
      <w:r w:rsidR="0022069A" w:rsidRPr="005911E2">
        <w:t xml:space="preserve">payments by </w:t>
      </w:r>
      <w:r w:rsidR="003C3275">
        <w:t xml:space="preserve">Australian Bureau of Statistics </w:t>
      </w:r>
      <w:r w:rsidR="0022069A" w:rsidRPr="005911E2">
        <w:t>Statistical Subdivision</w:t>
      </w:r>
      <w:r w:rsidR="00CF78DB">
        <w:t xml:space="preserve"> </w:t>
      </w:r>
      <w:r w:rsidR="003C3275">
        <w:t>(geographic area)</w:t>
      </w:r>
      <w:r w:rsidR="00397CDC">
        <w:t>, and the proportion of these who are subject to income management</w:t>
      </w:r>
      <w:r w:rsidR="0022069A" w:rsidRPr="005911E2">
        <w:t xml:space="preserve">. </w:t>
      </w:r>
    </w:p>
    <w:p w:rsidR="0022069A" w:rsidRPr="005911E2" w:rsidRDefault="0022069A" w:rsidP="0022069A">
      <w:pPr>
        <w:pStyle w:val="tabfighead"/>
      </w:pPr>
      <w:bookmarkStart w:id="383" w:name="_Ref311122853"/>
      <w:bookmarkStart w:id="384" w:name="_Toc312066927"/>
      <w:bookmarkStart w:id="385" w:name="_Toc321430418"/>
      <w:bookmarkStart w:id="386" w:name="_Toc321761688"/>
      <w:bookmarkStart w:id="387" w:name="_Toc321254537"/>
      <w:bookmarkStart w:id="388" w:name="_Toc328601585"/>
      <w:bookmarkStart w:id="389" w:name="_Toc329051363"/>
      <w:bookmarkStart w:id="390" w:name="_Toc335915851"/>
      <w:r w:rsidRPr="005911E2">
        <w:lastRenderedPageBreak/>
        <w:t xml:space="preserve">Table </w:t>
      </w:r>
      <w:r w:rsidR="00C7347D" w:rsidRPr="005911E2">
        <w:fldChar w:fldCharType="begin"/>
      </w:r>
      <w:r w:rsidR="00435FEB" w:rsidRPr="005911E2">
        <w:instrText xml:space="preserve"> STYLEREF 1 \s </w:instrText>
      </w:r>
      <w:r w:rsidR="00C7347D" w:rsidRPr="005911E2">
        <w:fldChar w:fldCharType="separate"/>
      </w:r>
      <w:r w:rsidR="007D7E45">
        <w:rPr>
          <w:noProof/>
        </w:rPr>
        <w:t>4</w:t>
      </w:r>
      <w:r w:rsidR="00C7347D" w:rsidRPr="005911E2">
        <w:rPr>
          <w:noProof/>
        </w:rPr>
        <w:fldChar w:fldCharType="end"/>
      </w:r>
      <w:r w:rsidRPr="005911E2">
        <w:noBreakHyphen/>
      </w:r>
      <w:r w:rsidR="00C7347D" w:rsidRPr="005911E2">
        <w:fldChar w:fldCharType="begin"/>
      </w:r>
      <w:r w:rsidR="00435FEB" w:rsidRPr="005911E2">
        <w:instrText xml:space="preserve"> SEQ Table \* ARABIC \s 1 </w:instrText>
      </w:r>
      <w:r w:rsidR="00C7347D" w:rsidRPr="005911E2">
        <w:fldChar w:fldCharType="separate"/>
      </w:r>
      <w:r w:rsidR="007D7E45">
        <w:rPr>
          <w:noProof/>
        </w:rPr>
        <w:t>15</w:t>
      </w:r>
      <w:r w:rsidR="00C7347D" w:rsidRPr="005911E2">
        <w:rPr>
          <w:noProof/>
        </w:rPr>
        <w:fldChar w:fldCharType="end"/>
      </w:r>
      <w:bookmarkEnd w:id="383"/>
      <w:r w:rsidRPr="005911E2">
        <w:t xml:space="preserve"> </w:t>
      </w:r>
      <w:r w:rsidRPr="005911E2">
        <w:tab/>
      </w:r>
      <w:r w:rsidR="006435C8">
        <w:t>Northern Territory,</w:t>
      </w:r>
      <w:r w:rsidR="00CD6407">
        <w:t xml:space="preserve"> Income management rates by Statistical S</w:t>
      </w:r>
      <w:r w:rsidRPr="005911E2">
        <w:t>ubdivision, 2010 to 2011</w:t>
      </w:r>
      <w:bookmarkEnd w:id="384"/>
      <w:bookmarkEnd w:id="385"/>
      <w:bookmarkEnd w:id="386"/>
      <w:bookmarkEnd w:id="387"/>
      <w:bookmarkEnd w:id="388"/>
      <w:bookmarkEnd w:id="389"/>
      <w:bookmarkEnd w:id="390"/>
    </w:p>
    <w:tbl>
      <w:tblPr>
        <w:tblW w:w="8406" w:type="dxa"/>
        <w:tblInd w:w="652" w:type="dxa"/>
        <w:tblLook w:val="04A0" w:firstRow="1" w:lastRow="0" w:firstColumn="1" w:lastColumn="0" w:noHBand="0" w:noVBand="1"/>
      </w:tblPr>
      <w:tblGrid>
        <w:gridCol w:w="1843"/>
        <w:gridCol w:w="791"/>
        <w:gridCol w:w="988"/>
        <w:gridCol w:w="988"/>
        <w:gridCol w:w="971"/>
        <w:gridCol w:w="940"/>
        <w:gridCol w:w="850"/>
        <w:gridCol w:w="1035"/>
      </w:tblGrid>
      <w:tr w:rsidR="0022069A" w:rsidRPr="00911315" w:rsidTr="00351FF6">
        <w:trPr>
          <w:trHeight w:val="228"/>
        </w:trPr>
        <w:tc>
          <w:tcPr>
            <w:tcW w:w="1843" w:type="dxa"/>
            <w:tcBorders>
              <w:top w:val="single" w:sz="4" w:space="0" w:color="auto"/>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rPr>
                <w:rFonts w:cs="Arial"/>
                <w:color w:val="000000"/>
                <w:sz w:val="16"/>
                <w:szCs w:val="16"/>
                <w:lang w:eastAsia="en-AU" w:bidi="ar-SA"/>
              </w:rPr>
            </w:pPr>
          </w:p>
        </w:tc>
        <w:tc>
          <w:tcPr>
            <w:tcW w:w="4678" w:type="dxa"/>
            <w:gridSpan w:val="5"/>
            <w:tcBorders>
              <w:top w:val="single" w:sz="4" w:space="0" w:color="auto"/>
              <w:left w:val="nil"/>
              <w:bottom w:val="single" w:sz="4" w:space="0" w:color="auto"/>
              <w:right w:val="nil"/>
            </w:tcBorders>
            <w:shd w:val="clear" w:color="auto" w:fill="auto"/>
            <w:noWrap/>
            <w:hideMark/>
          </w:tcPr>
          <w:p w:rsidR="0022069A" w:rsidRPr="00911315" w:rsidRDefault="0022069A" w:rsidP="00CF78DB">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Number receiving income support payments</w:t>
            </w:r>
          </w:p>
        </w:tc>
        <w:tc>
          <w:tcPr>
            <w:tcW w:w="850" w:type="dxa"/>
            <w:tcBorders>
              <w:top w:val="single" w:sz="4" w:space="0" w:color="auto"/>
              <w:left w:val="nil"/>
              <w:bottom w:val="single" w:sz="4" w:space="0" w:color="auto"/>
              <w:right w:val="nil"/>
            </w:tcBorders>
            <w:shd w:val="clear" w:color="auto" w:fill="auto"/>
            <w:noWrap/>
            <w:vAlign w:val="bottom"/>
            <w:hideMark/>
          </w:tcPr>
          <w:p w:rsidR="0022069A" w:rsidRPr="00911315" w:rsidRDefault="0022069A" w:rsidP="0022069A">
            <w:pPr>
              <w:keepNext/>
              <w:keepLines/>
              <w:spacing w:after="60" w:line="240" w:lineRule="auto"/>
              <w:ind w:left="0"/>
              <w:jc w:val="center"/>
              <w:rPr>
                <w:rFonts w:cs="Arial"/>
                <w:color w:val="000000"/>
                <w:sz w:val="16"/>
                <w:szCs w:val="16"/>
                <w:lang w:eastAsia="en-AU" w:bidi="ar-SA"/>
              </w:rPr>
            </w:pPr>
          </w:p>
        </w:tc>
        <w:tc>
          <w:tcPr>
            <w:tcW w:w="1035" w:type="dxa"/>
            <w:tcBorders>
              <w:top w:val="single" w:sz="4" w:space="0" w:color="auto"/>
              <w:left w:val="nil"/>
              <w:bottom w:val="single" w:sz="4" w:space="0" w:color="auto"/>
              <w:right w:val="nil"/>
            </w:tcBorders>
            <w:shd w:val="clear" w:color="auto" w:fill="auto"/>
            <w:noWrap/>
            <w:vAlign w:val="bottom"/>
            <w:hideMark/>
          </w:tcPr>
          <w:p w:rsidR="0022069A" w:rsidRPr="00911315" w:rsidRDefault="0022069A" w:rsidP="00CF78D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Change Jun</w:t>
            </w:r>
            <w:r w:rsidR="00CF78DB" w:rsidRPr="00911315">
              <w:rPr>
                <w:rFonts w:cs="Arial"/>
                <w:color w:val="000000"/>
                <w:sz w:val="16"/>
                <w:szCs w:val="16"/>
                <w:lang w:eastAsia="en-AU" w:bidi="ar-SA"/>
              </w:rPr>
              <w:t> </w:t>
            </w:r>
            <w:r w:rsidRPr="00911315">
              <w:rPr>
                <w:rFonts w:cs="Arial"/>
                <w:color w:val="000000"/>
                <w:sz w:val="16"/>
                <w:szCs w:val="16"/>
                <w:lang w:eastAsia="en-AU" w:bidi="ar-SA"/>
              </w:rPr>
              <w:t>10 to Sept</w:t>
            </w:r>
            <w:r w:rsidR="00CF78DB" w:rsidRPr="00911315">
              <w:rPr>
                <w:rFonts w:cs="Arial"/>
                <w:color w:val="000000"/>
                <w:sz w:val="16"/>
                <w:szCs w:val="16"/>
                <w:lang w:eastAsia="en-AU" w:bidi="ar-SA"/>
              </w:rPr>
              <w:t> </w:t>
            </w:r>
            <w:r w:rsidRPr="00911315">
              <w:rPr>
                <w:rFonts w:cs="Arial"/>
                <w:color w:val="000000"/>
                <w:sz w:val="16"/>
                <w:szCs w:val="16"/>
                <w:lang w:eastAsia="en-AU" w:bidi="ar-SA"/>
              </w:rPr>
              <w:t>11</w:t>
            </w:r>
          </w:p>
        </w:tc>
      </w:tr>
      <w:tr w:rsidR="0022069A" w:rsidRPr="00911315" w:rsidTr="00351FF6">
        <w:trPr>
          <w:trHeight w:val="228"/>
        </w:trPr>
        <w:tc>
          <w:tcPr>
            <w:tcW w:w="1843" w:type="dxa"/>
            <w:tcBorders>
              <w:top w:val="nil"/>
              <w:left w:val="nil"/>
              <w:bottom w:val="single" w:sz="4" w:space="0" w:color="auto"/>
              <w:right w:val="nil"/>
            </w:tcBorders>
            <w:shd w:val="clear" w:color="auto" w:fill="auto"/>
            <w:noWrap/>
            <w:vAlign w:val="bottom"/>
            <w:hideMark/>
          </w:tcPr>
          <w:p w:rsidR="0022069A" w:rsidRPr="00911315" w:rsidRDefault="0022069A" w:rsidP="0022069A">
            <w:pPr>
              <w:keepNext/>
              <w:keepLines/>
              <w:spacing w:after="60" w:line="240" w:lineRule="auto"/>
              <w:ind w:left="0"/>
              <w:rPr>
                <w:rFonts w:cs="Arial"/>
                <w:color w:val="000000"/>
                <w:sz w:val="16"/>
                <w:szCs w:val="16"/>
                <w:lang w:eastAsia="en-AU" w:bidi="ar-SA"/>
              </w:rPr>
            </w:pPr>
          </w:p>
        </w:tc>
        <w:tc>
          <w:tcPr>
            <w:tcW w:w="791" w:type="dxa"/>
            <w:tcBorders>
              <w:top w:val="single" w:sz="4" w:space="0" w:color="auto"/>
              <w:left w:val="nil"/>
              <w:bottom w:val="single" w:sz="4" w:space="0" w:color="auto"/>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Jun-10</w:t>
            </w:r>
          </w:p>
        </w:tc>
        <w:tc>
          <w:tcPr>
            <w:tcW w:w="988" w:type="dxa"/>
            <w:tcBorders>
              <w:top w:val="single" w:sz="4" w:space="0" w:color="auto"/>
              <w:left w:val="nil"/>
              <w:bottom w:val="single" w:sz="4" w:space="0" w:color="auto"/>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Sep-10</w:t>
            </w:r>
          </w:p>
        </w:tc>
        <w:tc>
          <w:tcPr>
            <w:tcW w:w="988" w:type="dxa"/>
            <w:tcBorders>
              <w:top w:val="single" w:sz="4" w:space="0" w:color="auto"/>
              <w:left w:val="nil"/>
              <w:bottom w:val="single" w:sz="4" w:space="0" w:color="auto"/>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Dec-10</w:t>
            </w:r>
          </w:p>
        </w:tc>
        <w:tc>
          <w:tcPr>
            <w:tcW w:w="971" w:type="dxa"/>
            <w:tcBorders>
              <w:top w:val="single" w:sz="4" w:space="0" w:color="auto"/>
              <w:left w:val="nil"/>
              <w:bottom w:val="single" w:sz="4" w:space="0" w:color="auto"/>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Mar-11</w:t>
            </w:r>
          </w:p>
        </w:tc>
        <w:tc>
          <w:tcPr>
            <w:tcW w:w="940" w:type="dxa"/>
            <w:tcBorders>
              <w:top w:val="single" w:sz="4" w:space="0" w:color="auto"/>
              <w:left w:val="nil"/>
              <w:bottom w:val="single" w:sz="4" w:space="0" w:color="auto"/>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Jun-11</w:t>
            </w:r>
          </w:p>
        </w:tc>
        <w:tc>
          <w:tcPr>
            <w:tcW w:w="850" w:type="dxa"/>
            <w:tcBorders>
              <w:top w:val="single" w:sz="4" w:space="0" w:color="auto"/>
              <w:left w:val="nil"/>
              <w:bottom w:val="single" w:sz="4" w:space="0" w:color="auto"/>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Sep-11</w:t>
            </w:r>
          </w:p>
        </w:tc>
        <w:tc>
          <w:tcPr>
            <w:tcW w:w="1035" w:type="dxa"/>
            <w:tcBorders>
              <w:top w:val="single" w:sz="4" w:space="0" w:color="auto"/>
              <w:left w:val="nil"/>
              <w:bottom w:val="single" w:sz="4" w:space="0" w:color="auto"/>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 % -</w:t>
            </w:r>
          </w:p>
        </w:tc>
      </w:tr>
      <w:tr w:rsidR="0022069A" w:rsidRPr="00911315" w:rsidTr="00351FF6">
        <w:trPr>
          <w:trHeight w:val="228"/>
        </w:trPr>
        <w:tc>
          <w:tcPr>
            <w:tcW w:w="1843" w:type="dxa"/>
            <w:tcBorders>
              <w:top w:val="single" w:sz="4" w:space="0" w:color="auto"/>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rPr>
                <w:rFonts w:cs="Arial"/>
                <w:color w:val="000000"/>
                <w:sz w:val="16"/>
                <w:szCs w:val="16"/>
                <w:lang w:eastAsia="en-AU" w:bidi="ar-SA"/>
              </w:rPr>
            </w:pPr>
            <w:r w:rsidRPr="00911315">
              <w:rPr>
                <w:rFonts w:cs="Arial"/>
                <w:color w:val="000000"/>
                <w:sz w:val="16"/>
                <w:szCs w:val="16"/>
                <w:lang w:eastAsia="en-AU" w:bidi="ar-SA"/>
              </w:rPr>
              <w:t>Darwin City</w:t>
            </w:r>
          </w:p>
        </w:tc>
        <w:tc>
          <w:tcPr>
            <w:tcW w:w="791" w:type="dxa"/>
            <w:tcBorders>
              <w:top w:val="single" w:sz="4" w:space="0" w:color="auto"/>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w:t>
            </w:r>
            <w:r w:rsidR="00CF78DB" w:rsidRPr="00911315">
              <w:rPr>
                <w:rFonts w:cs="Arial"/>
                <w:color w:val="000000"/>
                <w:sz w:val="16"/>
                <w:szCs w:val="16"/>
                <w:lang w:eastAsia="en-AU" w:bidi="ar-SA"/>
              </w:rPr>
              <w:t> </w:t>
            </w:r>
            <w:r w:rsidRPr="00911315">
              <w:rPr>
                <w:rFonts w:cs="Arial"/>
                <w:color w:val="000000"/>
                <w:sz w:val="16"/>
                <w:szCs w:val="16"/>
                <w:lang w:eastAsia="en-AU" w:bidi="ar-SA"/>
              </w:rPr>
              <w:t>685</w:t>
            </w:r>
          </w:p>
        </w:tc>
        <w:tc>
          <w:tcPr>
            <w:tcW w:w="988" w:type="dxa"/>
            <w:tcBorders>
              <w:top w:val="single" w:sz="4" w:space="0" w:color="auto"/>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9</w:t>
            </w:r>
            <w:r w:rsidR="00CF78DB" w:rsidRPr="00911315">
              <w:rPr>
                <w:rFonts w:cs="Arial"/>
                <w:color w:val="000000"/>
                <w:sz w:val="16"/>
                <w:szCs w:val="16"/>
                <w:lang w:eastAsia="en-AU" w:bidi="ar-SA"/>
              </w:rPr>
              <w:t> </w:t>
            </w:r>
            <w:r w:rsidRPr="00911315">
              <w:rPr>
                <w:rFonts w:cs="Arial"/>
                <w:color w:val="000000"/>
                <w:sz w:val="16"/>
                <w:szCs w:val="16"/>
                <w:lang w:eastAsia="en-AU" w:bidi="ar-SA"/>
              </w:rPr>
              <w:t>984</w:t>
            </w:r>
          </w:p>
        </w:tc>
        <w:tc>
          <w:tcPr>
            <w:tcW w:w="988" w:type="dxa"/>
            <w:tcBorders>
              <w:top w:val="single" w:sz="4" w:space="0" w:color="auto"/>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w:t>
            </w:r>
            <w:r w:rsidR="00CF78DB" w:rsidRPr="00911315">
              <w:rPr>
                <w:rFonts w:cs="Arial"/>
                <w:color w:val="000000"/>
                <w:sz w:val="16"/>
                <w:szCs w:val="16"/>
                <w:lang w:eastAsia="en-AU" w:bidi="ar-SA"/>
              </w:rPr>
              <w:t> </w:t>
            </w:r>
            <w:r w:rsidRPr="00911315">
              <w:rPr>
                <w:rFonts w:cs="Arial"/>
                <w:color w:val="000000"/>
                <w:sz w:val="16"/>
                <w:szCs w:val="16"/>
                <w:lang w:eastAsia="en-AU" w:bidi="ar-SA"/>
              </w:rPr>
              <w:t>022</w:t>
            </w:r>
          </w:p>
        </w:tc>
        <w:tc>
          <w:tcPr>
            <w:tcW w:w="971" w:type="dxa"/>
            <w:tcBorders>
              <w:top w:val="single" w:sz="4" w:space="0" w:color="auto"/>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w:t>
            </w:r>
            <w:r w:rsidR="00CF78DB" w:rsidRPr="00911315">
              <w:rPr>
                <w:rFonts w:cs="Arial"/>
                <w:color w:val="000000"/>
                <w:sz w:val="16"/>
                <w:szCs w:val="16"/>
                <w:lang w:eastAsia="en-AU" w:bidi="ar-SA"/>
              </w:rPr>
              <w:t> </w:t>
            </w:r>
            <w:r w:rsidRPr="00911315">
              <w:rPr>
                <w:rFonts w:cs="Arial"/>
                <w:color w:val="000000"/>
                <w:sz w:val="16"/>
                <w:szCs w:val="16"/>
                <w:lang w:eastAsia="en-AU" w:bidi="ar-SA"/>
              </w:rPr>
              <w:t>250</w:t>
            </w:r>
          </w:p>
        </w:tc>
        <w:tc>
          <w:tcPr>
            <w:tcW w:w="940" w:type="dxa"/>
            <w:tcBorders>
              <w:top w:val="single" w:sz="4" w:space="0" w:color="auto"/>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w:t>
            </w:r>
            <w:r w:rsidR="00CF78DB" w:rsidRPr="00911315">
              <w:rPr>
                <w:rFonts w:cs="Arial"/>
                <w:color w:val="000000"/>
                <w:sz w:val="16"/>
                <w:szCs w:val="16"/>
                <w:lang w:eastAsia="en-AU" w:bidi="ar-SA"/>
              </w:rPr>
              <w:t> </w:t>
            </w:r>
            <w:r w:rsidRPr="00911315">
              <w:rPr>
                <w:rFonts w:cs="Arial"/>
                <w:color w:val="000000"/>
                <w:sz w:val="16"/>
                <w:szCs w:val="16"/>
                <w:lang w:eastAsia="en-AU" w:bidi="ar-SA"/>
              </w:rPr>
              <w:t>232</w:t>
            </w:r>
          </w:p>
        </w:tc>
        <w:tc>
          <w:tcPr>
            <w:tcW w:w="850" w:type="dxa"/>
            <w:tcBorders>
              <w:top w:val="single" w:sz="4" w:space="0" w:color="auto"/>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9</w:t>
            </w:r>
            <w:r w:rsidR="00CF78DB" w:rsidRPr="00911315">
              <w:rPr>
                <w:rFonts w:cs="Arial"/>
                <w:color w:val="000000"/>
                <w:sz w:val="16"/>
                <w:szCs w:val="16"/>
                <w:lang w:eastAsia="en-AU" w:bidi="ar-SA"/>
              </w:rPr>
              <w:t> </w:t>
            </w:r>
            <w:r w:rsidRPr="00911315">
              <w:rPr>
                <w:rFonts w:cs="Arial"/>
                <w:color w:val="000000"/>
                <w:sz w:val="16"/>
                <w:szCs w:val="16"/>
                <w:lang w:eastAsia="en-AU" w:bidi="ar-SA"/>
              </w:rPr>
              <w:t>597</w:t>
            </w:r>
          </w:p>
        </w:tc>
        <w:tc>
          <w:tcPr>
            <w:tcW w:w="1035" w:type="dxa"/>
            <w:tcBorders>
              <w:top w:val="single" w:sz="4" w:space="0" w:color="auto"/>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-10.2</w:t>
            </w:r>
          </w:p>
        </w:tc>
      </w:tr>
      <w:tr w:rsidR="0022069A" w:rsidRPr="00911315" w:rsidTr="00351FF6">
        <w:trPr>
          <w:trHeight w:val="228"/>
        </w:trPr>
        <w:tc>
          <w:tcPr>
            <w:tcW w:w="1843"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rPr>
                <w:rFonts w:cs="Arial"/>
                <w:color w:val="000000"/>
                <w:sz w:val="16"/>
                <w:szCs w:val="16"/>
                <w:lang w:eastAsia="en-AU" w:bidi="ar-SA"/>
              </w:rPr>
            </w:pPr>
            <w:r w:rsidRPr="00911315">
              <w:rPr>
                <w:rFonts w:cs="Arial"/>
                <w:color w:val="000000"/>
                <w:sz w:val="16"/>
                <w:szCs w:val="16"/>
                <w:lang w:eastAsia="en-AU" w:bidi="ar-SA"/>
              </w:rPr>
              <w:t>Palmerston-East Arm</w:t>
            </w:r>
          </w:p>
        </w:tc>
        <w:tc>
          <w:tcPr>
            <w:tcW w:w="791" w:type="dxa"/>
            <w:tcBorders>
              <w:top w:val="nil"/>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r w:rsidR="00CF78DB" w:rsidRPr="00911315">
              <w:rPr>
                <w:rFonts w:cs="Arial"/>
                <w:color w:val="000000"/>
                <w:sz w:val="16"/>
                <w:szCs w:val="16"/>
                <w:lang w:eastAsia="en-AU" w:bidi="ar-SA"/>
              </w:rPr>
              <w:t> </w:t>
            </w:r>
            <w:r w:rsidRPr="00911315">
              <w:rPr>
                <w:rFonts w:cs="Arial"/>
                <w:color w:val="000000"/>
                <w:sz w:val="16"/>
                <w:szCs w:val="16"/>
                <w:lang w:eastAsia="en-AU" w:bidi="ar-SA"/>
              </w:rPr>
              <w:t>392</w:t>
            </w:r>
          </w:p>
        </w:tc>
        <w:tc>
          <w:tcPr>
            <w:tcW w:w="988" w:type="dxa"/>
            <w:tcBorders>
              <w:top w:val="nil"/>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r w:rsidR="00CF78DB" w:rsidRPr="00911315">
              <w:rPr>
                <w:rFonts w:cs="Arial"/>
                <w:color w:val="000000"/>
                <w:sz w:val="16"/>
                <w:szCs w:val="16"/>
                <w:lang w:eastAsia="en-AU" w:bidi="ar-SA"/>
              </w:rPr>
              <w:t> </w:t>
            </w:r>
            <w:r w:rsidRPr="00911315">
              <w:rPr>
                <w:rFonts w:cs="Arial"/>
                <w:color w:val="000000"/>
                <w:sz w:val="16"/>
                <w:szCs w:val="16"/>
                <w:lang w:eastAsia="en-AU" w:bidi="ar-SA"/>
              </w:rPr>
              <w:t>268</w:t>
            </w:r>
          </w:p>
        </w:tc>
        <w:tc>
          <w:tcPr>
            <w:tcW w:w="988" w:type="dxa"/>
            <w:tcBorders>
              <w:top w:val="nil"/>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r w:rsidR="00CF78DB" w:rsidRPr="00911315">
              <w:rPr>
                <w:rFonts w:cs="Arial"/>
                <w:color w:val="000000"/>
                <w:sz w:val="16"/>
                <w:szCs w:val="16"/>
                <w:lang w:eastAsia="en-AU" w:bidi="ar-SA"/>
              </w:rPr>
              <w:t> </w:t>
            </w:r>
            <w:r w:rsidRPr="00911315">
              <w:rPr>
                <w:rFonts w:cs="Arial"/>
                <w:color w:val="000000"/>
                <w:sz w:val="16"/>
                <w:szCs w:val="16"/>
                <w:lang w:eastAsia="en-AU" w:bidi="ar-SA"/>
              </w:rPr>
              <w:t>320</w:t>
            </w:r>
          </w:p>
        </w:tc>
        <w:tc>
          <w:tcPr>
            <w:tcW w:w="971" w:type="dxa"/>
            <w:tcBorders>
              <w:top w:val="nil"/>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r w:rsidR="00CF78DB" w:rsidRPr="00911315">
              <w:rPr>
                <w:rFonts w:cs="Arial"/>
                <w:color w:val="000000"/>
                <w:sz w:val="16"/>
                <w:szCs w:val="16"/>
                <w:lang w:eastAsia="en-AU" w:bidi="ar-SA"/>
              </w:rPr>
              <w:t> </w:t>
            </w:r>
            <w:r w:rsidRPr="00911315">
              <w:rPr>
                <w:rFonts w:cs="Arial"/>
                <w:color w:val="000000"/>
                <w:sz w:val="16"/>
                <w:szCs w:val="16"/>
                <w:lang w:eastAsia="en-AU" w:bidi="ar-SA"/>
              </w:rPr>
              <w:t>361</w:t>
            </w:r>
          </w:p>
        </w:tc>
        <w:tc>
          <w:tcPr>
            <w:tcW w:w="940" w:type="dxa"/>
            <w:tcBorders>
              <w:top w:val="nil"/>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r w:rsidR="00CF78DB" w:rsidRPr="00911315">
              <w:rPr>
                <w:rFonts w:cs="Arial"/>
                <w:color w:val="000000"/>
                <w:sz w:val="16"/>
                <w:szCs w:val="16"/>
                <w:lang w:eastAsia="en-AU" w:bidi="ar-SA"/>
              </w:rPr>
              <w:t> </w:t>
            </w:r>
            <w:r w:rsidRPr="00911315">
              <w:rPr>
                <w:rFonts w:cs="Arial"/>
                <w:color w:val="000000"/>
                <w:sz w:val="16"/>
                <w:szCs w:val="16"/>
                <w:lang w:eastAsia="en-AU" w:bidi="ar-SA"/>
              </w:rPr>
              <w:t>412</w:t>
            </w:r>
          </w:p>
        </w:tc>
        <w:tc>
          <w:tcPr>
            <w:tcW w:w="850" w:type="dxa"/>
            <w:tcBorders>
              <w:top w:val="nil"/>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r w:rsidR="00CF78DB" w:rsidRPr="00911315">
              <w:rPr>
                <w:rFonts w:cs="Arial"/>
                <w:color w:val="000000"/>
                <w:sz w:val="16"/>
                <w:szCs w:val="16"/>
                <w:lang w:eastAsia="en-AU" w:bidi="ar-SA"/>
              </w:rPr>
              <w:t> </w:t>
            </w:r>
            <w:r w:rsidRPr="00911315">
              <w:rPr>
                <w:rFonts w:cs="Arial"/>
                <w:color w:val="000000"/>
                <w:sz w:val="16"/>
                <w:szCs w:val="16"/>
                <w:lang w:eastAsia="en-AU" w:bidi="ar-SA"/>
              </w:rPr>
              <w:t>214</w:t>
            </w:r>
          </w:p>
        </w:tc>
        <w:tc>
          <w:tcPr>
            <w:tcW w:w="1035"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-5.2</w:t>
            </w:r>
          </w:p>
        </w:tc>
      </w:tr>
      <w:tr w:rsidR="0022069A" w:rsidRPr="00911315" w:rsidTr="00351FF6">
        <w:trPr>
          <w:trHeight w:val="228"/>
        </w:trPr>
        <w:tc>
          <w:tcPr>
            <w:tcW w:w="1843"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rPr>
                <w:rFonts w:cs="Arial"/>
                <w:color w:val="000000"/>
                <w:sz w:val="16"/>
                <w:szCs w:val="16"/>
                <w:lang w:eastAsia="en-AU" w:bidi="ar-SA"/>
              </w:rPr>
            </w:pPr>
            <w:r w:rsidRPr="00911315">
              <w:rPr>
                <w:rFonts w:cs="Arial"/>
                <w:color w:val="000000"/>
                <w:sz w:val="16"/>
                <w:szCs w:val="16"/>
                <w:lang w:eastAsia="en-AU" w:bidi="ar-SA"/>
              </w:rPr>
              <w:t>Litchfield</w:t>
            </w:r>
          </w:p>
        </w:tc>
        <w:tc>
          <w:tcPr>
            <w:tcW w:w="791" w:type="dxa"/>
            <w:tcBorders>
              <w:top w:val="nil"/>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r w:rsidR="00CF78DB" w:rsidRPr="00911315">
              <w:rPr>
                <w:rFonts w:cs="Arial"/>
                <w:color w:val="000000"/>
                <w:sz w:val="16"/>
                <w:szCs w:val="16"/>
                <w:lang w:eastAsia="en-AU" w:bidi="ar-SA"/>
              </w:rPr>
              <w:t> </w:t>
            </w:r>
            <w:r w:rsidRPr="00911315">
              <w:rPr>
                <w:rFonts w:cs="Arial"/>
                <w:color w:val="000000"/>
                <w:sz w:val="16"/>
                <w:szCs w:val="16"/>
                <w:lang w:eastAsia="en-AU" w:bidi="ar-SA"/>
              </w:rPr>
              <w:t>722</w:t>
            </w:r>
          </w:p>
        </w:tc>
        <w:tc>
          <w:tcPr>
            <w:tcW w:w="988" w:type="dxa"/>
            <w:tcBorders>
              <w:top w:val="nil"/>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r w:rsidR="00CF78DB" w:rsidRPr="00911315">
              <w:rPr>
                <w:rFonts w:cs="Arial"/>
                <w:color w:val="000000"/>
                <w:sz w:val="16"/>
                <w:szCs w:val="16"/>
                <w:lang w:eastAsia="en-AU" w:bidi="ar-SA"/>
              </w:rPr>
              <w:t> </w:t>
            </w:r>
            <w:r w:rsidRPr="00911315">
              <w:rPr>
                <w:rFonts w:cs="Arial"/>
                <w:color w:val="000000"/>
                <w:sz w:val="16"/>
                <w:szCs w:val="16"/>
                <w:lang w:eastAsia="en-AU" w:bidi="ar-SA"/>
              </w:rPr>
              <w:t>710</w:t>
            </w:r>
          </w:p>
        </w:tc>
        <w:tc>
          <w:tcPr>
            <w:tcW w:w="988" w:type="dxa"/>
            <w:tcBorders>
              <w:top w:val="nil"/>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r w:rsidR="00CF78DB" w:rsidRPr="00911315">
              <w:rPr>
                <w:rFonts w:cs="Arial"/>
                <w:color w:val="000000"/>
                <w:sz w:val="16"/>
                <w:szCs w:val="16"/>
                <w:lang w:eastAsia="en-AU" w:bidi="ar-SA"/>
              </w:rPr>
              <w:t> </w:t>
            </w:r>
            <w:r w:rsidRPr="00911315">
              <w:rPr>
                <w:rFonts w:cs="Arial"/>
                <w:color w:val="000000"/>
                <w:sz w:val="16"/>
                <w:szCs w:val="16"/>
                <w:lang w:eastAsia="en-AU" w:bidi="ar-SA"/>
              </w:rPr>
              <w:t>692</w:t>
            </w:r>
          </w:p>
        </w:tc>
        <w:tc>
          <w:tcPr>
            <w:tcW w:w="971" w:type="dxa"/>
            <w:tcBorders>
              <w:top w:val="nil"/>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r w:rsidR="00CF78DB" w:rsidRPr="00911315">
              <w:rPr>
                <w:rFonts w:cs="Arial"/>
                <w:color w:val="000000"/>
                <w:sz w:val="16"/>
                <w:szCs w:val="16"/>
                <w:lang w:eastAsia="en-AU" w:bidi="ar-SA"/>
              </w:rPr>
              <w:t> </w:t>
            </w:r>
            <w:r w:rsidRPr="00911315">
              <w:rPr>
                <w:rFonts w:cs="Arial"/>
                <w:color w:val="000000"/>
                <w:sz w:val="16"/>
                <w:szCs w:val="16"/>
                <w:lang w:eastAsia="en-AU" w:bidi="ar-SA"/>
              </w:rPr>
              <w:t>767</w:t>
            </w:r>
          </w:p>
        </w:tc>
        <w:tc>
          <w:tcPr>
            <w:tcW w:w="940" w:type="dxa"/>
            <w:tcBorders>
              <w:top w:val="nil"/>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r w:rsidR="00CF78DB" w:rsidRPr="00911315">
              <w:rPr>
                <w:rFonts w:cs="Arial"/>
                <w:color w:val="000000"/>
                <w:sz w:val="16"/>
                <w:szCs w:val="16"/>
                <w:lang w:eastAsia="en-AU" w:bidi="ar-SA"/>
              </w:rPr>
              <w:t> </w:t>
            </w:r>
            <w:r w:rsidRPr="00911315">
              <w:rPr>
                <w:rFonts w:cs="Arial"/>
                <w:color w:val="000000"/>
                <w:sz w:val="16"/>
                <w:szCs w:val="16"/>
                <w:lang w:eastAsia="en-AU" w:bidi="ar-SA"/>
              </w:rPr>
              <w:t>846</w:t>
            </w:r>
          </w:p>
        </w:tc>
        <w:tc>
          <w:tcPr>
            <w:tcW w:w="850" w:type="dxa"/>
            <w:tcBorders>
              <w:top w:val="nil"/>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CF78DB" w:rsidRPr="00911315">
              <w:rPr>
                <w:rFonts w:cs="Arial"/>
                <w:color w:val="000000"/>
                <w:sz w:val="16"/>
                <w:szCs w:val="16"/>
                <w:lang w:eastAsia="en-AU" w:bidi="ar-SA"/>
              </w:rPr>
              <w:t> </w:t>
            </w:r>
            <w:r w:rsidRPr="00911315">
              <w:rPr>
                <w:rFonts w:cs="Arial"/>
                <w:color w:val="000000"/>
                <w:sz w:val="16"/>
                <w:szCs w:val="16"/>
                <w:lang w:eastAsia="en-AU" w:bidi="ar-SA"/>
              </w:rPr>
              <w:t>031</w:t>
            </w:r>
          </w:p>
        </w:tc>
        <w:tc>
          <w:tcPr>
            <w:tcW w:w="1035"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17.9</w:t>
            </w:r>
          </w:p>
        </w:tc>
      </w:tr>
      <w:tr w:rsidR="0022069A" w:rsidRPr="00911315" w:rsidTr="00351FF6">
        <w:trPr>
          <w:trHeight w:val="228"/>
        </w:trPr>
        <w:tc>
          <w:tcPr>
            <w:tcW w:w="1843"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rPr>
                <w:rFonts w:cs="Arial"/>
                <w:color w:val="000000"/>
                <w:sz w:val="16"/>
                <w:szCs w:val="16"/>
                <w:lang w:eastAsia="en-AU" w:bidi="ar-SA"/>
              </w:rPr>
            </w:pPr>
            <w:r w:rsidRPr="00911315">
              <w:rPr>
                <w:rFonts w:cs="Arial"/>
                <w:color w:val="000000"/>
                <w:sz w:val="16"/>
                <w:szCs w:val="16"/>
                <w:lang w:eastAsia="en-AU" w:bidi="ar-SA"/>
              </w:rPr>
              <w:t>Finniss</w:t>
            </w:r>
          </w:p>
        </w:tc>
        <w:tc>
          <w:tcPr>
            <w:tcW w:w="791"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556</w:t>
            </w:r>
          </w:p>
        </w:tc>
        <w:tc>
          <w:tcPr>
            <w:tcW w:w="988"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563</w:t>
            </w:r>
          </w:p>
        </w:tc>
        <w:tc>
          <w:tcPr>
            <w:tcW w:w="988"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559</w:t>
            </w:r>
          </w:p>
        </w:tc>
        <w:tc>
          <w:tcPr>
            <w:tcW w:w="971"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573</w:t>
            </w:r>
          </w:p>
        </w:tc>
        <w:tc>
          <w:tcPr>
            <w:tcW w:w="940"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615</w:t>
            </w:r>
          </w:p>
        </w:tc>
        <w:tc>
          <w:tcPr>
            <w:tcW w:w="850"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725</w:t>
            </w:r>
          </w:p>
        </w:tc>
        <w:tc>
          <w:tcPr>
            <w:tcW w:w="1035"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30.4</w:t>
            </w:r>
          </w:p>
        </w:tc>
      </w:tr>
      <w:tr w:rsidR="0022069A" w:rsidRPr="00911315" w:rsidTr="00351FF6">
        <w:trPr>
          <w:trHeight w:val="298"/>
        </w:trPr>
        <w:tc>
          <w:tcPr>
            <w:tcW w:w="1843"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rPr>
                <w:rFonts w:cs="Arial"/>
                <w:color w:val="000000"/>
                <w:sz w:val="16"/>
                <w:szCs w:val="16"/>
                <w:lang w:eastAsia="en-AU" w:bidi="ar-SA"/>
              </w:rPr>
            </w:pPr>
            <w:r w:rsidRPr="00911315">
              <w:rPr>
                <w:rFonts w:cs="Arial"/>
                <w:color w:val="000000"/>
                <w:sz w:val="16"/>
                <w:szCs w:val="16"/>
                <w:lang w:eastAsia="en-AU" w:bidi="ar-SA"/>
              </w:rPr>
              <w:t>Bathurst-Melville</w:t>
            </w:r>
          </w:p>
        </w:tc>
        <w:tc>
          <w:tcPr>
            <w:tcW w:w="791"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870</w:t>
            </w:r>
          </w:p>
        </w:tc>
        <w:tc>
          <w:tcPr>
            <w:tcW w:w="988"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928</w:t>
            </w:r>
          </w:p>
        </w:tc>
        <w:tc>
          <w:tcPr>
            <w:tcW w:w="988"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964</w:t>
            </w:r>
          </w:p>
        </w:tc>
        <w:tc>
          <w:tcPr>
            <w:tcW w:w="971"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946</w:t>
            </w:r>
          </w:p>
        </w:tc>
        <w:tc>
          <w:tcPr>
            <w:tcW w:w="940"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941</w:t>
            </w:r>
          </w:p>
        </w:tc>
        <w:tc>
          <w:tcPr>
            <w:tcW w:w="850"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975</w:t>
            </w:r>
          </w:p>
        </w:tc>
        <w:tc>
          <w:tcPr>
            <w:tcW w:w="1035"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12.1</w:t>
            </w:r>
          </w:p>
        </w:tc>
      </w:tr>
      <w:tr w:rsidR="0022069A" w:rsidRPr="00911315" w:rsidTr="00351FF6">
        <w:trPr>
          <w:trHeight w:val="228"/>
        </w:trPr>
        <w:tc>
          <w:tcPr>
            <w:tcW w:w="1843"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rPr>
                <w:rFonts w:cs="Arial"/>
                <w:color w:val="000000"/>
                <w:sz w:val="16"/>
                <w:szCs w:val="16"/>
                <w:lang w:eastAsia="en-AU" w:bidi="ar-SA"/>
              </w:rPr>
            </w:pPr>
            <w:r w:rsidRPr="00911315">
              <w:rPr>
                <w:rFonts w:cs="Arial"/>
                <w:color w:val="000000"/>
                <w:sz w:val="16"/>
                <w:szCs w:val="16"/>
                <w:lang w:eastAsia="en-AU" w:bidi="ar-SA"/>
              </w:rPr>
              <w:t>Alligator</w:t>
            </w:r>
          </w:p>
        </w:tc>
        <w:tc>
          <w:tcPr>
            <w:tcW w:w="791" w:type="dxa"/>
            <w:tcBorders>
              <w:top w:val="nil"/>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r w:rsidR="00CF78DB" w:rsidRPr="00911315">
              <w:rPr>
                <w:rFonts w:cs="Arial"/>
                <w:color w:val="000000"/>
                <w:sz w:val="16"/>
                <w:szCs w:val="16"/>
                <w:lang w:eastAsia="en-AU" w:bidi="ar-SA"/>
              </w:rPr>
              <w:t> </w:t>
            </w:r>
            <w:r w:rsidRPr="00911315">
              <w:rPr>
                <w:rFonts w:cs="Arial"/>
                <w:color w:val="000000"/>
                <w:sz w:val="16"/>
                <w:szCs w:val="16"/>
                <w:lang w:eastAsia="en-AU" w:bidi="ar-SA"/>
              </w:rPr>
              <w:t>941</w:t>
            </w:r>
          </w:p>
        </w:tc>
        <w:tc>
          <w:tcPr>
            <w:tcW w:w="988" w:type="dxa"/>
            <w:tcBorders>
              <w:top w:val="nil"/>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CF78DB" w:rsidRPr="00911315">
              <w:rPr>
                <w:rFonts w:cs="Arial"/>
                <w:color w:val="000000"/>
                <w:sz w:val="16"/>
                <w:szCs w:val="16"/>
                <w:lang w:eastAsia="en-AU" w:bidi="ar-SA"/>
              </w:rPr>
              <w:t> </w:t>
            </w:r>
            <w:r w:rsidRPr="00911315">
              <w:rPr>
                <w:rFonts w:cs="Arial"/>
                <w:color w:val="000000"/>
                <w:sz w:val="16"/>
                <w:szCs w:val="16"/>
                <w:lang w:eastAsia="en-AU" w:bidi="ar-SA"/>
              </w:rPr>
              <w:t>030</w:t>
            </w:r>
          </w:p>
        </w:tc>
        <w:tc>
          <w:tcPr>
            <w:tcW w:w="988" w:type="dxa"/>
            <w:tcBorders>
              <w:top w:val="nil"/>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CF78DB" w:rsidRPr="00911315">
              <w:rPr>
                <w:rFonts w:cs="Arial"/>
                <w:color w:val="000000"/>
                <w:sz w:val="16"/>
                <w:szCs w:val="16"/>
                <w:lang w:eastAsia="en-AU" w:bidi="ar-SA"/>
              </w:rPr>
              <w:t> </w:t>
            </w:r>
            <w:r w:rsidRPr="00911315">
              <w:rPr>
                <w:rFonts w:cs="Arial"/>
                <w:color w:val="000000"/>
                <w:sz w:val="16"/>
                <w:szCs w:val="16"/>
                <w:lang w:eastAsia="en-AU" w:bidi="ar-SA"/>
              </w:rPr>
              <w:t>023</w:t>
            </w:r>
          </w:p>
        </w:tc>
        <w:tc>
          <w:tcPr>
            <w:tcW w:w="971" w:type="dxa"/>
            <w:tcBorders>
              <w:top w:val="nil"/>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CF78DB" w:rsidRPr="00911315">
              <w:rPr>
                <w:rFonts w:cs="Arial"/>
                <w:color w:val="000000"/>
                <w:sz w:val="16"/>
                <w:szCs w:val="16"/>
                <w:lang w:eastAsia="en-AU" w:bidi="ar-SA"/>
              </w:rPr>
              <w:t> </w:t>
            </w:r>
            <w:r w:rsidRPr="00911315">
              <w:rPr>
                <w:rFonts w:cs="Arial"/>
                <w:color w:val="000000"/>
                <w:sz w:val="16"/>
                <w:szCs w:val="16"/>
                <w:lang w:eastAsia="en-AU" w:bidi="ar-SA"/>
              </w:rPr>
              <w:t>043</w:t>
            </w:r>
          </w:p>
        </w:tc>
        <w:tc>
          <w:tcPr>
            <w:tcW w:w="940" w:type="dxa"/>
            <w:tcBorders>
              <w:top w:val="nil"/>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CF78DB" w:rsidRPr="00911315">
              <w:rPr>
                <w:rFonts w:cs="Arial"/>
                <w:color w:val="000000"/>
                <w:sz w:val="16"/>
                <w:szCs w:val="16"/>
                <w:lang w:eastAsia="en-AU" w:bidi="ar-SA"/>
              </w:rPr>
              <w:t> </w:t>
            </w:r>
            <w:r w:rsidRPr="00911315">
              <w:rPr>
                <w:rFonts w:cs="Arial"/>
                <w:color w:val="000000"/>
                <w:sz w:val="16"/>
                <w:szCs w:val="16"/>
                <w:lang w:eastAsia="en-AU" w:bidi="ar-SA"/>
              </w:rPr>
              <w:t>042</w:t>
            </w:r>
          </w:p>
        </w:tc>
        <w:tc>
          <w:tcPr>
            <w:tcW w:w="850" w:type="dxa"/>
            <w:tcBorders>
              <w:top w:val="nil"/>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CF78DB" w:rsidRPr="00911315">
              <w:rPr>
                <w:rFonts w:cs="Arial"/>
                <w:color w:val="000000"/>
                <w:sz w:val="16"/>
                <w:szCs w:val="16"/>
                <w:lang w:eastAsia="en-AU" w:bidi="ar-SA"/>
              </w:rPr>
              <w:t> </w:t>
            </w:r>
            <w:r w:rsidRPr="00911315">
              <w:rPr>
                <w:rFonts w:cs="Arial"/>
                <w:color w:val="000000"/>
                <w:sz w:val="16"/>
                <w:szCs w:val="16"/>
                <w:lang w:eastAsia="en-AU" w:bidi="ar-SA"/>
              </w:rPr>
              <w:t>037</w:t>
            </w:r>
          </w:p>
        </w:tc>
        <w:tc>
          <w:tcPr>
            <w:tcW w:w="1035"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4.9</w:t>
            </w:r>
          </w:p>
        </w:tc>
      </w:tr>
      <w:tr w:rsidR="0022069A" w:rsidRPr="00911315" w:rsidTr="00351FF6">
        <w:trPr>
          <w:trHeight w:val="228"/>
        </w:trPr>
        <w:tc>
          <w:tcPr>
            <w:tcW w:w="1843"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rPr>
                <w:rFonts w:cs="Arial"/>
                <w:color w:val="000000"/>
                <w:sz w:val="16"/>
                <w:szCs w:val="16"/>
                <w:lang w:eastAsia="en-AU" w:bidi="ar-SA"/>
              </w:rPr>
            </w:pPr>
            <w:r w:rsidRPr="00911315">
              <w:rPr>
                <w:rFonts w:cs="Arial"/>
                <w:color w:val="000000"/>
                <w:sz w:val="16"/>
                <w:szCs w:val="16"/>
                <w:lang w:eastAsia="en-AU" w:bidi="ar-SA"/>
              </w:rPr>
              <w:t>East Arnhem</w:t>
            </w:r>
          </w:p>
        </w:tc>
        <w:tc>
          <w:tcPr>
            <w:tcW w:w="791" w:type="dxa"/>
            <w:tcBorders>
              <w:top w:val="nil"/>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r w:rsidR="00CF78DB" w:rsidRPr="00911315">
              <w:rPr>
                <w:rFonts w:cs="Arial"/>
                <w:color w:val="000000"/>
                <w:sz w:val="16"/>
                <w:szCs w:val="16"/>
                <w:lang w:eastAsia="en-AU" w:bidi="ar-SA"/>
              </w:rPr>
              <w:t> </w:t>
            </w:r>
            <w:r w:rsidRPr="00911315">
              <w:rPr>
                <w:rFonts w:cs="Arial"/>
                <w:color w:val="000000"/>
                <w:sz w:val="16"/>
                <w:szCs w:val="16"/>
                <w:lang w:eastAsia="en-AU" w:bidi="ar-SA"/>
              </w:rPr>
              <w:t>487</w:t>
            </w:r>
          </w:p>
        </w:tc>
        <w:tc>
          <w:tcPr>
            <w:tcW w:w="988" w:type="dxa"/>
            <w:tcBorders>
              <w:top w:val="nil"/>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r w:rsidR="00CF78DB" w:rsidRPr="00911315">
              <w:rPr>
                <w:rFonts w:cs="Arial"/>
                <w:color w:val="000000"/>
                <w:sz w:val="16"/>
                <w:szCs w:val="16"/>
                <w:lang w:eastAsia="en-AU" w:bidi="ar-SA"/>
              </w:rPr>
              <w:t> </w:t>
            </w:r>
            <w:r w:rsidRPr="00911315">
              <w:rPr>
                <w:rFonts w:cs="Arial"/>
                <w:color w:val="000000"/>
                <w:sz w:val="16"/>
                <w:szCs w:val="16"/>
                <w:lang w:eastAsia="en-AU" w:bidi="ar-SA"/>
              </w:rPr>
              <w:t>603</w:t>
            </w:r>
          </w:p>
        </w:tc>
        <w:tc>
          <w:tcPr>
            <w:tcW w:w="988" w:type="dxa"/>
            <w:tcBorders>
              <w:top w:val="nil"/>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r w:rsidR="00CF78DB" w:rsidRPr="00911315">
              <w:rPr>
                <w:rFonts w:cs="Arial"/>
                <w:color w:val="000000"/>
                <w:sz w:val="16"/>
                <w:szCs w:val="16"/>
                <w:lang w:eastAsia="en-AU" w:bidi="ar-SA"/>
              </w:rPr>
              <w:t> </w:t>
            </w:r>
            <w:r w:rsidRPr="00911315">
              <w:rPr>
                <w:rFonts w:cs="Arial"/>
                <w:color w:val="000000"/>
                <w:sz w:val="16"/>
                <w:szCs w:val="16"/>
                <w:lang w:eastAsia="en-AU" w:bidi="ar-SA"/>
              </w:rPr>
              <w:t>618</w:t>
            </w:r>
          </w:p>
        </w:tc>
        <w:tc>
          <w:tcPr>
            <w:tcW w:w="971" w:type="dxa"/>
            <w:tcBorders>
              <w:top w:val="nil"/>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r w:rsidR="00CF78DB" w:rsidRPr="00911315">
              <w:rPr>
                <w:rFonts w:cs="Arial"/>
                <w:color w:val="000000"/>
                <w:sz w:val="16"/>
                <w:szCs w:val="16"/>
                <w:lang w:eastAsia="en-AU" w:bidi="ar-SA"/>
              </w:rPr>
              <w:t> </w:t>
            </w:r>
            <w:r w:rsidRPr="00911315">
              <w:rPr>
                <w:rFonts w:cs="Arial"/>
                <w:color w:val="000000"/>
                <w:sz w:val="16"/>
                <w:szCs w:val="16"/>
                <w:lang w:eastAsia="en-AU" w:bidi="ar-SA"/>
              </w:rPr>
              <w:t>687</w:t>
            </w:r>
          </w:p>
        </w:tc>
        <w:tc>
          <w:tcPr>
            <w:tcW w:w="940" w:type="dxa"/>
            <w:tcBorders>
              <w:top w:val="nil"/>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r w:rsidR="00CF78DB" w:rsidRPr="00911315">
              <w:rPr>
                <w:rFonts w:cs="Arial"/>
                <w:color w:val="000000"/>
                <w:sz w:val="16"/>
                <w:szCs w:val="16"/>
                <w:lang w:eastAsia="en-AU" w:bidi="ar-SA"/>
              </w:rPr>
              <w:t> </w:t>
            </w:r>
            <w:r w:rsidRPr="00911315">
              <w:rPr>
                <w:rFonts w:cs="Arial"/>
                <w:color w:val="000000"/>
                <w:sz w:val="16"/>
                <w:szCs w:val="16"/>
                <w:lang w:eastAsia="en-AU" w:bidi="ar-SA"/>
              </w:rPr>
              <w:t>750</w:t>
            </w:r>
          </w:p>
        </w:tc>
        <w:tc>
          <w:tcPr>
            <w:tcW w:w="850" w:type="dxa"/>
            <w:tcBorders>
              <w:top w:val="nil"/>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r w:rsidR="00CF78DB" w:rsidRPr="00911315">
              <w:rPr>
                <w:rFonts w:cs="Arial"/>
                <w:color w:val="000000"/>
                <w:sz w:val="16"/>
                <w:szCs w:val="16"/>
                <w:lang w:eastAsia="en-AU" w:bidi="ar-SA"/>
              </w:rPr>
              <w:t> </w:t>
            </w:r>
            <w:r w:rsidRPr="00911315">
              <w:rPr>
                <w:rFonts w:cs="Arial"/>
                <w:color w:val="000000"/>
                <w:sz w:val="16"/>
                <w:szCs w:val="16"/>
                <w:lang w:eastAsia="en-AU" w:bidi="ar-SA"/>
              </w:rPr>
              <w:t>692</w:t>
            </w:r>
          </w:p>
        </w:tc>
        <w:tc>
          <w:tcPr>
            <w:tcW w:w="1035"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5.9</w:t>
            </w:r>
          </w:p>
        </w:tc>
      </w:tr>
      <w:tr w:rsidR="0022069A" w:rsidRPr="00911315" w:rsidTr="00351FF6">
        <w:trPr>
          <w:trHeight w:val="228"/>
        </w:trPr>
        <w:tc>
          <w:tcPr>
            <w:tcW w:w="1843"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rPr>
                <w:rFonts w:cs="Arial"/>
                <w:color w:val="000000"/>
                <w:sz w:val="16"/>
                <w:szCs w:val="16"/>
                <w:lang w:eastAsia="en-AU" w:bidi="ar-SA"/>
              </w:rPr>
            </w:pPr>
            <w:r w:rsidRPr="00911315">
              <w:rPr>
                <w:rFonts w:cs="Arial"/>
                <w:color w:val="000000"/>
                <w:sz w:val="16"/>
                <w:szCs w:val="16"/>
                <w:lang w:eastAsia="en-AU" w:bidi="ar-SA"/>
              </w:rPr>
              <w:t>Lower Top End NT</w:t>
            </w:r>
          </w:p>
        </w:tc>
        <w:tc>
          <w:tcPr>
            <w:tcW w:w="791" w:type="dxa"/>
            <w:tcBorders>
              <w:top w:val="nil"/>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w:t>
            </w:r>
            <w:r w:rsidR="00CF78DB" w:rsidRPr="00911315">
              <w:rPr>
                <w:rFonts w:cs="Arial"/>
                <w:color w:val="000000"/>
                <w:sz w:val="16"/>
                <w:szCs w:val="16"/>
                <w:lang w:eastAsia="en-AU" w:bidi="ar-SA"/>
              </w:rPr>
              <w:t> </w:t>
            </w:r>
            <w:r w:rsidRPr="00911315">
              <w:rPr>
                <w:rFonts w:cs="Arial"/>
                <w:color w:val="000000"/>
                <w:sz w:val="16"/>
                <w:szCs w:val="16"/>
                <w:lang w:eastAsia="en-AU" w:bidi="ar-SA"/>
              </w:rPr>
              <w:t>962</w:t>
            </w:r>
          </w:p>
        </w:tc>
        <w:tc>
          <w:tcPr>
            <w:tcW w:w="988" w:type="dxa"/>
            <w:tcBorders>
              <w:top w:val="nil"/>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w:t>
            </w:r>
            <w:r w:rsidR="00CF78DB" w:rsidRPr="00911315">
              <w:rPr>
                <w:rFonts w:cs="Arial"/>
                <w:color w:val="000000"/>
                <w:sz w:val="16"/>
                <w:szCs w:val="16"/>
                <w:lang w:eastAsia="en-AU" w:bidi="ar-SA"/>
              </w:rPr>
              <w:t> </w:t>
            </w:r>
            <w:r w:rsidRPr="00911315">
              <w:rPr>
                <w:rFonts w:cs="Arial"/>
                <w:color w:val="000000"/>
                <w:sz w:val="16"/>
                <w:szCs w:val="16"/>
                <w:lang w:eastAsia="en-AU" w:bidi="ar-SA"/>
              </w:rPr>
              <w:t>043</w:t>
            </w:r>
          </w:p>
        </w:tc>
        <w:tc>
          <w:tcPr>
            <w:tcW w:w="988" w:type="dxa"/>
            <w:tcBorders>
              <w:top w:val="nil"/>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w:t>
            </w:r>
            <w:r w:rsidR="00CF78DB" w:rsidRPr="00911315">
              <w:rPr>
                <w:rFonts w:cs="Arial"/>
                <w:color w:val="000000"/>
                <w:sz w:val="16"/>
                <w:szCs w:val="16"/>
                <w:lang w:eastAsia="en-AU" w:bidi="ar-SA"/>
              </w:rPr>
              <w:t> </w:t>
            </w:r>
            <w:r w:rsidRPr="00911315">
              <w:rPr>
                <w:rFonts w:cs="Arial"/>
                <w:color w:val="000000"/>
                <w:sz w:val="16"/>
                <w:szCs w:val="16"/>
                <w:lang w:eastAsia="en-AU" w:bidi="ar-SA"/>
              </w:rPr>
              <w:t>141</w:t>
            </w:r>
          </w:p>
        </w:tc>
        <w:tc>
          <w:tcPr>
            <w:tcW w:w="971" w:type="dxa"/>
            <w:tcBorders>
              <w:top w:val="nil"/>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w:t>
            </w:r>
            <w:r w:rsidR="00CF78DB" w:rsidRPr="00911315">
              <w:rPr>
                <w:rFonts w:cs="Arial"/>
                <w:color w:val="000000"/>
                <w:sz w:val="16"/>
                <w:szCs w:val="16"/>
                <w:lang w:eastAsia="en-AU" w:bidi="ar-SA"/>
              </w:rPr>
              <w:t> </w:t>
            </w:r>
            <w:r w:rsidRPr="00911315">
              <w:rPr>
                <w:rFonts w:cs="Arial"/>
                <w:color w:val="000000"/>
                <w:sz w:val="16"/>
                <w:szCs w:val="16"/>
                <w:lang w:eastAsia="en-AU" w:bidi="ar-SA"/>
              </w:rPr>
              <w:t>133</w:t>
            </w:r>
          </w:p>
        </w:tc>
        <w:tc>
          <w:tcPr>
            <w:tcW w:w="940" w:type="dxa"/>
            <w:tcBorders>
              <w:top w:val="nil"/>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w:t>
            </w:r>
            <w:r w:rsidR="00CF78DB" w:rsidRPr="00911315">
              <w:rPr>
                <w:rFonts w:cs="Arial"/>
                <w:color w:val="000000"/>
                <w:sz w:val="16"/>
                <w:szCs w:val="16"/>
                <w:lang w:eastAsia="en-AU" w:bidi="ar-SA"/>
              </w:rPr>
              <w:t> </w:t>
            </w:r>
            <w:r w:rsidRPr="00911315">
              <w:rPr>
                <w:rFonts w:cs="Arial"/>
                <w:color w:val="000000"/>
                <w:sz w:val="16"/>
                <w:szCs w:val="16"/>
                <w:lang w:eastAsia="en-AU" w:bidi="ar-SA"/>
              </w:rPr>
              <w:t>209</w:t>
            </w:r>
          </w:p>
        </w:tc>
        <w:tc>
          <w:tcPr>
            <w:tcW w:w="850" w:type="dxa"/>
            <w:tcBorders>
              <w:top w:val="nil"/>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w:t>
            </w:r>
            <w:r w:rsidR="00CF78DB" w:rsidRPr="00911315">
              <w:rPr>
                <w:rFonts w:cs="Arial"/>
                <w:color w:val="000000"/>
                <w:sz w:val="16"/>
                <w:szCs w:val="16"/>
                <w:lang w:eastAsia="en-AU" w:bidi="ar-SA"/>
              </w:rPr>
              <w:t> </w:t>
            </w:r>
            <w:r w:rsidRPr="00911315">
              <w:rPr>
                <w:rFonts w:cs="Arial"/>
                <w:color w:val="000000"/>
                <w:sz w:val="16"/>
                <w:szCs w:val="16"/>
                <w:lang w:eastAsia="en-AU" w:bidi="ar-SA"/>
              </w:rPr>
              <w:t>101</w:t>
            </w:r>
          </w:p>
        </w:tc>
        <w:tc>
          <w:tcPr>
            <w:tcW w:w="1035"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2.3</w:t>
            </w:r>
          </w:p>
        </w:tc>
      </w:tr>
      <w:tr w:rsidR="0022069A" w:rsidRPr="00911315" w:rsidTr="00351FF6">
        <w:trPr>
          <w:trHeight w:val="228"/>
        </w:trPr>
        <w:tc>
          <w:tcPr>
            <w:tcW w:w="1843"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rPr>
                <w:rFonts w:cs="Arial"/>
                <w:color w:val="000000"/>
                <w:sz w:val="16"/>
                <w:szCs w:val="16"/>
                <w:lang w:eastAsia="en-AU" w:bidi="ar-SA"/>
              </w:rPr>
            </w:pPr>
            <w:r w:rsidRPr="00911315">
              <w:rPr>
                <w:rFonts w:cs="Arial"/>
                <w:color w:val="000000"/>
                <w:sz w:val="16"/>
                <w:szCs w:val="16"/>
                <w:lang w:eastAsia="en-AU" w:bidi="ar-SA"/>
              </w:rPr>
              <w:t>Barkly</w:t>
            </w:r>
          </w:p>
        </w:tc>
        <w:tc>
          <w:tcPr>
            <w:tcW w:w="791" w:type="dxa"/>
            <w:tcBorders>
              <w:top w:val="nil"/>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r w:rsidR="00CF78DB" w:rsidRPr="00911315">
              <w:rPr>
                <w:rFonts w:cs="Arial"/>
                <w:color w:val="000000"/>
                <w:sz w:val="16"/>
                <w:szCs w:val="16"/>
                <w:lang w:eastAsia="en-AU" w:bidi="ar-SA"/>
              </w:rPr>
              <w:t> </w:t>
            </w:r>
            <w:r w:rsidRPr="00911315">
              <w:rPr>
                <w:rFonts w:cs="Arial"/>
                <w:color w:val="000000"/>
                <w:sz w:val="16"/>
                <w:szCs w:val="16"/>
                <w:lang w:eastAsia="en-AU" w:bidi="ar-SA"/>
              </w:rPr>
              <w:t>817</w:t>
            </w:r>
          </w:p>
        </w:tc>
        <w:tc>
          <w:tcPr>
            <w:tcW w:w="988" w:type="dxa"/>
            <w:tcBorders>
              <w:top w:val="nil"/>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CF78DB" w:rsidRPr="00911315">
              <w:rPr>
                <w:rFonts w:cs="Arial"/>
                <w:color w:val="000000"/>
                <w:sz w:val="16"/>
                <w:szCs w:val="16"/>
                <w:lang w:eastAsia="en-AU" w:bidi="ar-SA"/>
              </w:rPr>
              <w:t> </w:t>
            </w:r>
            <w:r w:rsidRPr="00911315">
              <w:rPr>
                <w:rFonts w:cs="Arial"/>
                <w:color w:val="000000"/>
                <w:sz w:val="16"/>
                <w:szCs w:val="16"/>
                <w:lang w:eastAsia="en-AU" w:bidi="ar-SA"/>
              </w:rPr>
              <w:t>335</w:t>
            </w:r>
          </w:p>
        </w:tc>
        <w:tc>
          <w:tcPr>
            <w:tcW w:w="988" w:type="dxa"/>
            <w:tcBorders>
              <w:top w:val="nil"/>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CF78DB" w:rsidRPr="00911315">
              <w:rPr>
                <w:rFonts w:cs="Arial"/>
                <w:color w:val="000000"/>
                <w:sz w:val="16"/>
                <w:szCs w:val="16"/>
                <w:lang w:eastAsia="en-AU" w:bidi="ar-SA"/>
              </w:rPr>
              <w:t> </w:t>
            </w:r>
            <w:r w:rsidRPr="00911315">
              <w:rPr>
                <w:rFonts w:cs="Arial"/>
                <w:color w:val="000000"/>
                <w:sz w:val="16"/>
                <w:szCs w:val="16"/>
                <w:lang w:eastAsia="en-AU" w:bidi="ar-SA"/>
              </w:rPr>
              <w:t>302</w:t>
            </w:r>
          </w:p>
        </w:tc>
        <w:tc>
          <w:tcPr>
            <w:tcW w:w="971" w:type="dxa"/>
            <w:tcBorders>
              <w:top w:val="nil"/>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CF78DB" w:rsidRPr="00911315">
              <w:rPr>
                <w:rFonts w:cs="Arial"/>
                <w:color w:val="000000"/>
                <w:sz w:val="16"/>
                <w:szCs w:val="16"/>
                <w:lang w:eastAsia="en-AU" w:bidi="ar-SA"/>
              </w:rPr>
              <w:t> </w:t>
            </w:r>
            <w:r w:rsidRPr="00911315">
              <w:rPr>
                <w:rFonts w:cs="Arial"/>
                <w:color w:val="000000"/>
                <w:sz w:val="16"/>
                <w:szCs w:val="16"/>
                <w:lang w:eastAsia="en-AU" w:bidi="ar-SA"/>
              </w:rPr>
              <w:t>355</w:t>
            </w:r>
          </w:p>
        </w:tc>
        <w:tc>
          <w:tcPr>
            <w:tcW w:w="940" w:type="dxa"/>
            <w:tcBorders>
              <w:top w:val="nil"/>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CF78DB" w:rsidRPr="00911315">
              <w:rPr>
                <w:rFonts w:cs="Arial"/>
                <w:color w:val="000000"/>
                <w:sz w:val="16"/>
                <w:szCs w:val="16"/>
                <w:lang w:eastAsia="en-AU" w:bidi="ar-SA"/>
              </w:rPr>
              <w:t> </w:t>
            </w:r>
            <w:r w:rsidRPr="00911315">
              <w:rPr>
                <w:rFonts w:cs="Arial"/>
                <w:color w:val="000000"/>
                <w:sz w:val="16"/>
                <w:szCs w:val="16"/>
                <w:lang w:eastAsia="en-AU" w:bidi="ar-SA"/>
              </w:rPr>
              <w:t>364</w:t>
            </w:r>
          </w:p>
        </w:tc>
        <w:tc>
          <w:tcPr>
            <w:tcW w:w="850" w:type="dxa"/>
            <w:tcBorders>
              <w:top w:val="nil"/>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CF78DB" w:rsidRPr="00911315">
              <w:rPr>
                <w:rFonts w:cs="Arial"/>
                <w:color w:val="000000"/>
                <w:sz w:val="16"/>
                <w:szCs w:val="16"/>
                <w:lang w:eastAsia="en-AU" w:bidi="ar-SA"/>
              </w:rPr>
              <w:t> </w:t>
            </w:r>
            <w:r w:rsidRPr="00911315">
              <w:rPr>
                <w:rFonts w:cs="Arial"/>
                <w:color w:val="000000"/>
                <w:sz w:val="16"/>
                <w:szCs w:val="16"/>
                <w:lang w:eastAsia="en-AU" w:bidi="ar-SA"/>
              </w:rPr>
              <w:t>492</w:t>
            </w:r>
          </w:p>
        </w:tc>
        <w:tc>
          <w:tcPr>
            <w:tcW w:w="1035"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37.1</w:t>
            </w:r>
          </w:p>
        </w:tc>
      </w:tr>
      <w:tr w:rsidR="0022069A" w:rsidRPr="00911315" w:rsidTr="00351FF6">
        <w:trPr>
          <w:trHeight w:val="228"/>
        </w:trPr>
        <w:tc>
          <w:tcPr>
            <w:tcW w:w="1843"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rPr>
                <w:rFonts w:cs="Arial"/>
                <w:color w:val="000000"/>
                <w:sz w:val="16"/>
                <w:szCs w:val="16"/>
                <w:lang w:eastAsia="en-AU" w:bidi="ar-SA"/>
              </w:rPr>
            </w:pPr>
            <w:r w:rsidRPr="00911315">
              <w:rPr>
                <w:rFonts w:cs="Arial"/>
                <w:color w:val="000000"/>
                <w:sz w:val="16"/>
                <w:szCs w:val="16"/>
                <w:lang w:eastAsia="en-AU" w:bidi="ar-SA"/>
              </w:rPr>
              <w:t>Central NT</w:t>
            </w:r>
          </w:p>
        </w:tc>
        <w:tc>
          <w:tcPr>
            <w:tcW w:w="791" w:type="dxa"/>
            <w:tcBorders>
              <w:top w:val="nil"/>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8</w:t>
            </w:r>
            <w:r w:rsidR="00CF78DB" w:rsidRPr="00911315">
              <w:rPr>
                <w:rFonts w:cs="Arial"/>
                <w:color w:val="000000"/>
                <w:sz w:val="16"/>
                <w:szCs w:val="16"/>
                <w:lang w:eastAsia="en-AU" w:bidi="ar-SA"/>
              </w:rPr>
              <w:t> </w:t>
            </w:r>
            <w:r w:rsidRPr="00911315">
              <w:rPr>
                <w:rFonts w:cs="Arial"/>
                <w:color w:val="000000"/>
                <w:sz w:val="16"/>
                <w:szCs w:val="16"/>
                <w:lang w:eastAsia="en-AU" w:bidi="ar-SA"/>
              </w:rPr>
              <w:t>788</w:t>
            </w:r>
          </w:p>
        </w:tc>
        <w:tc>
          <w:tcPr>
            <w:tcW w:w="988" w:type="dxa"/>
            <w:tcBorders>
              <w:top w:val="nil"/>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8</w:t>
            </w:r>
            <w:r w:rsidR="00CF78DB" w:rsidRPr="00911315">
              <w:rPr>
                <w:rFonts w:cs="Arial"/>
                <w:color w:val="000000"/>
                <w:sz w:val="16"/>
                <w:szCs w:val="16"/>
                <w:lang w:eastAsia="en-AU" w:bidi="ar-SA"/>
              </w:rPr>
              <w:t> </w:t>
            </w:r>
            <w:r w:rsidRPr="00911315">
              <w:rPr>
                <w:rFonts w:cs="Arial"/>
                <w:color w:val="000000"/>
                <w:sz w:val="16"/>
                <w:szCs w:val="16"/>
                <w:lang w:eastAsia="en-AU" w:bidi="ar-SA"/>
              </w:rPr>
              <w:t>174</w:t>
            </w:r>
          </w:p>
        </w:tc>
        <w:tc>
          <w:tcPr>
            <w:tcW w:w="988" w:type="dxa"/>
            <w:tcBorders>
              <w:top w:val="nil"/>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8</w:t>
            </w:r>
            <w:r w:rsidR="00CF78DB" w:rsidRPr="00911315">
              <w:rPr>
                <w:rFonts w:cs="Arial"/>
                <w:color w:val="000000"/>
                <w:sz w:val="16"/>
                <w:szCs w:val="16"/>
                <w:lang w:eastAsia="en-AU" w:bidi="ar-SA"/>
              </w:rPr>
              <w:t> </w:t>
            </w:r>
            <w:r w:rsidRPr="00911315">
              <w:rPr>
                <w:rFonts w:cs="Arial"/>
                <w:color w:val="000000"/>
                <w:sz w:val="16"/>
                <w:szCs w:val="16"/>
                <w:lang w:eastAsia="en-AU" w:bidi="ar-SA"/>
              </w:rPr>
              <w:t>216</w:t>
            </w:r>
          </w:p>
        </w:tc>
        <w:tc>
          <w:tcPr>
            <w:tcW w:w="971" w:type="dxa"/>
            <w:tcBorders>
              <w:top w:val="nil"/>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8</w:t>
            </w:r>
            <w:r w:rsidR="00CF78DB" w:rsidRPr="00911315">
              <w:rPr>
                <w:rFonts w:cs="Arial"/>
                <w:color w:val="000000"/>
                <w:sz w:val="16"/>
                <w:szCs w:val="16"/>
                <w:lang w:eastAsia="en-AU" w:bidi="ar-SA"/>
              </w:rPr>
              <w:t> </w:t>
            </w:r>
            <w:r w:rsidRPr="00911315">
              <w:rPr>
                <w:rFonts w:cs="Arial"/>
                <w:color w:val="000000"/>
                <w:sz w:val="16"/>
                <w:szCs w:val="16"/>
                <w:lang w:eastAsia="en-AU" w:bidi="ar-SA"/>
              </w:rPr>
              <w:t>241</w:t>
            </w:r>
          </w:p>
        </w:tc>
        <w:tc>
          <w:tcPr>
            <w:tcW w:w="940" w:type="dxa"/>
            <w:tcBorders>
              <w:top w:val="nil"/>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8</w:t>
            </w:r>
            <w:r w:rsidR="00CF78DB" w:rsidRPr="00911315">
              <w:rPr>
                <w:rFonts w:cs="Arial"/>
                <w:color w:val="000000"/>
                <w:sz w:val="16"/>
                <w:szCs w:val="16"/>
                <w:lang w:eastAsia="en-AU" w:bidi="ar-SA"/>
              </w:rPr>
              <w:t> </w:t>
            </w:r>
            <w:r w:rsidRPr="00911315">
              <w:rPr>
                <w:rFonts w:cs="Arial"/>
                <w:color w:val="000000"/>
                <w:sz w:val="16"/>
                <w:szCs w:val="16"/>
                <w:lang w:eastAsia="en-AU" w:bidi="ar-SA"/>
              </w:rPr>
              <w:t>380</w:t>
            </w:r>
          </w:p>
        </w:tc>
        <w:tc>
          <w:tcPr>
            <w:tcW w:w="850" w:type="dxa"/>
            <w:tcBorders>
              <w:top w:val="nil"/>
              <w:left w:val="nil"/>
              <w:bottom w:val="nil"/>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w:t>
            </w:r>
            <w:r w:rsidR="00CF78DB" w:rsidRPr="00911315">
              <w:rPr>
                <w:rFonts w:cs="Arial"/>
                <w:color w:val="000000"/>
                <w:sz w:val="16"/>
                <w:szCs w:val="16"/>
                <w:lang w:eastAsia="en-AU" w:bidi="ar-SA"/>
              </w:rPr>
              <w:t> </w:t>
            </w:r>
            <w:r w:rsidRPr="00911315">
              <w:rPr>
                <w:rFonts w:cs="Arial"/>
                <w:color w:val="000000"/>
                <w:sz w:val="16"/>
                <w:szCs w:val="16"/>
                <w:lang w:eastAsia="en-AU" w:bidi="ar-SA"/>
              </w:rPr>
              <w:t>757</w:t>
            </w:r>
          </w:p>
        </w:tc>
        <w:tc>
          <w:tcPr>
            <w:tcW w:w="1035"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-11.7</w:t>
            </w:r>
          </w:p>
        </w:tc>
      </w:tr>
      <w:tr w:rsidR="0022069A" w:rsidRPr="00911315" w:rsidTr="00351FF6">
        <w:trPr>
          <w:trHeight w:val="228"/>
        </w:trPr>
        <w:tc>
          <w:tcPr>
            <w:tcW w:w="1843" w:type="dxa"/>
            <w:tcBorders>
              <w:top w:val="nil"/>
              <w:left w:val="nil"/>
              <w:bottom w:val="single" w:sz="4" w:space="0" w:color="auto"/>
              <w:right w:val="nil"/>
            </w:tcBorders>
            <w:shd w:val="clear" w:color="auto" w:fill="auto"/>
            <w:noWrap/>
            <w:vAlign w:val="bottom"/>
            <w:hideMark/>
          </w:tcPr>
          <w:p w:rsidR="0022069A" w:rsidRPr="00911315" w:rsidRDefault="0022069A" w:rsidP="0022069A">
            <w:pPr>
              <w:keepNext/>
              <w:keepLines/>
              <w:spacing w:after="60" w:line="240" w:lineRule="auto"/>
              <w:ind w:left="0"/>
              <w:rPr>
                <w:rFonts w:cs="Arial"/>
                <w:color w:val="000000"/>
                <w:sz w:val="16"/>
                <w:szCs w:val="16"/>
                <w:lang w:eastAsia="en-AU" w:bidi="ar-SA"/>
              </w:rPr>
            </w:pPr>
            <w:r w:rsidRPr="00911315">
              <w:rPr>
                <w:rFonts w:cs="Arial"/>
                <w:color w:val="000000"/>
                <w:sz w:val="16"/>
                <w:szCs w:val="16"/>
                <w:lang w:eastAsia="en-AU" w:bidi="ar-SA"/>
              </w:rPr>
              <w:t>All</w:t>
            </w:r>
          </w:p>
        </w:tc>
        <w:tc>
          <w:tcPr>
            <w:tcW w:w="791" w:type="dxa"/>
            <w:tcBorders>
              <w:top w:val="nil"/>
              <w:left w:val="nil"/>
              <w:bottom w:val="single" w:sz="4" w:space="0" w:color="auto"/>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39</w:t>
            </w:r>
            <w:r w:rsidR="00CF78DB" w:rsidRPr="00911315">
              <w:rPr>
                <w:rFonts w:cs="Arial"/>
                <w:color w:val="000000"/>
                <w:sz w:val="16"/>
                <w:szCs w:val="16"/>
                <w:lang w:eastAsia="en-AU" w:bidi="ar-SA"/>
              </w:rPr>
              <w:t> </w:t>
            </w:r>
            <w:r w:rsidRPr="00911315">
              <w:rPr>
                <w:rFonts w:cs="Arial"/>
                <w:color w:val="000000"/>
                <w:sz w:val="16"/>
                <w:szCs w:val="16"/>
                <w:lang w:eastAsia="en-AU" w:bidi="ar-SA"/>
              </w:rPr>
              <w:t>220</w:t>
            </w:r>
          </w:p>
        </w:tc>
        <w:tc>
          <w:tcPr>
            <w:tcW w:w="988" w:type="dxa"/>
            <w:tcBorders>
              <w:top w:val="nil"/>
              <w:left w:val="nil"/>
              <w:bottom w:val="single" w:sz="4" w:space="0" w:color="auto"/>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38</w:t>
            </w:r>
            <w:r w:rsidR="00CF78DB" w:rsidRPr="00911315">
              <w:rPr>
                <w:rFonts w:cs="Arial"/>
                <w:color w:val="000000"/>
                <w:sz w:val="16"/>
                <w:szCs w:val="16"/>
                <w:lang w:eastAsia="en-AU" w:bidi="ar-SA"/>
              </w:rPr>
              <w:t> </w:t>
            </w:r>
            <w:r w:rsidRPr="00911315">
              <w:rPr>
                <w:rFonts w:cs="Arial"/>
                <w:color w:val="000000"/>
                <w:sz w:val="16"/>
                <w:szCs w:val="16"/>
                <w:lang w:eastAsia="en-AU" w:bidi="ar-SA"/>
              </w:rPr>
              <w:t>638</w:t>
            </w:r>
          </w:p>
        </w:tc>
        <w:tc>
          <w:tcPr>
            <w:tcW w:w="988" w:type="dxa"/>
            <w:tcBorders>
              <w:top w:val="nil"/>
              <w:left w:val="nil"/>
              <w:bottom w:val="single" w:sz="4" w:space="0" w:color="auto"/>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38</w:t>
            </w:r>
            <w:r w:rsidR="00CF78DB" w:rsidRPr="00911315">
              <w:rPr>
                <w:rFonts w:cs="Arial"/>
                <w:color w:val="000000"/>
                <w:sz w:val="16"/>
                <w:szCs w:val="16"/>
                <w:lang w:eastAsia="en-AU" w:bidi="ar-SA"/>
              </w:rPr>
              <w:t> </w:t>
            </w:r>
            <w:r w:rsidRPr="00911315">
              <w:rPr>
                <w:rFonts w:cs="Arial"/>
                <w:color w:val="000000"/>
                <w:sz w:val="16"/>
                <w:szCs w:val="16"/>
                <w:lang w:eastAsia="en-AU" w:bidi="ar-SA"/>
              </w:rPr>
              <w:t>857</w:t>
            </w:r>
          </w:p>
        </w:tc>
        <w:tc>
          <w:tcPr>
            <w:tcW w:w="971" w:type="dxa"/>
            <w:tcBorders>
              <w:top w:val="nil"/>
              <w:left w:val="nil"/>
              <w:bottom w:val="single" w:sz="4" w:space="0" w:color="auto"/>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39</w:t>
            </w:r>
            <w:r w:rsidR="00CF78DB" w:rsidRPr="00911315">
              <w:rPr>
                <w:rFonts w:cs="Arial"/>
                <w:color w:val="000000"/>
                <w:sz w:val="16"/>
                <w:szCs w:val="16"/>
                <w:lang w:eastAsia="en-AU" w:bidi="ar-SA"/>
              </w:rPr>
              <w:t> </w:t>
            </w:r>
            <w:r w:rsidRPr="00911315">
              <w:rPr>
                <w:rFonts w:cs="Arial"/>
                <w:color w:val="000000"/>
                <w:sz w:val="16"/>
                <w:szCs w:val="16"/>
                <w:lang w:eastAsia="en-AU" w:bidi="ar-SA"/>
              </w:rPr>
              <w:t>356</w:t>
            </w:r>
          </w:p>
        </w:tc>
        <w:tc>
          <w:tcPr>
            <w:tcW w:w="940" w:type="dxa"/>
            <w:tcBorders>
              <w:top w:val="nil"/>
              <w:left w:val="nil"/>
              <w:bottom w:val="single" w:sz="4" w:space="0" w:color="auto"/>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39</w:t>
            </w:r>
            <w:r w:rsidR="00CF78DB" w:rsidRPr="00911315">
              <w:rPr>
                <w:rFonts w:cs="Arial"/>
                <w:color w:val="000000"/>
                <w:sz w:val="16"/>
                <w:szCs w:val="16"/>
                <w:lang w:eastAsia="en-AU" w:bidi="ar-SA"/>
              </w:rPr>
              <w:t> </w:t>
            </w:r>
            <w:r w:rsidRPr="00911315">
              <w:rPr>
                <w:rFonts w:cs="Arial"/>
                <w:color w:val="000000"/>
                <w:sz w:val="16"/>
                <w:szCs w:val="16"/>
                <w:lang w:eastAsia="en-AU" w:bidi="ar-SA"/>
              </w:rPr>
              <w:t>791</w:t>
            </w:r>
          </w:p>
        </w:tc>
        <w:tc>
          <w:tcPr>
            <w:tcW w:w="850" w:type="dxa"/>
            <w:tcBorders>
              <w:top w:val="nil"/>
              <w:left w:val="nil"/>
              <w:bottom w:val="single" w:sz="4" w:space="0" w:color="auto"/>
              <w:right w:val="nil"/>
            </w:tcBorders>
            <w:shd w:val="clear" w:color="auto" w:fill="auto"/>
            <w:noWrap/>
            <w:vAlign w:val="bottom"/>
            <w:hideMark/>
          </w:tcPr>
          <w:p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38</w:t>
            </w:r>
            <w:r w:rsidR="00CF78DB" w:rsidRPr="00911315">
              <w:rPr>
                <w:rFonts w:cs="Arial"/>
                <w:color w:val="000000"/>
                <w:sz w:val="16"/>
                <w:szCs w:val="16"/>
                <w:lang w:eastAsia="en-AU" w:bidi="ar-SA"/>
              </w:rPr>
              <w:t> </w:t>
            </w:r>
            <w:r w:rsidRPr="00911315">
              <w:rPr>
                <w:rFonts w:cs="Arial"/>
                <w:color w:val="000000"/>
                <w:sz w:val="16"/>
                <w:szCs w:val="16"/>
                <w:lang w:eastAsia="en-AU" w:bidi="ar-SA"/>
              </w:rPr>
              <w:t>621</w:t>
            </w:r>
          </w:p>
        </w:tc>
        <w:tc>
          <w:tcPr>
            <w:tcW w:w="1035" w:type="dxa"/>
            <w:tcBorders>
              <w:top w:val="nil"/>
              <w:left w:val="nil"/>
              <w:bottom w:val="single" w:sz="4" w:space="0" w:color="auto"/>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-1.5</w:t>
            </w:r>
          </w:p>
        </w:tc>
      </w:tr>
      <w:tr w:rsidR="0022069A" w:rsidRPr="00911315" w:rsidTr="00351FF6">
        <w:trPr>
          <w:trHeight w:val="228"/>
        </w:trPr>
        <w:tc>
          <w:tcPr>
            <w:tcW w:w="1843" w:type="dxa"/>
            <w:tcBorders>
              <w:top w:val="single" w:sz="4" w:space="0" w:color="auto"/>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rPr>
                <w:rFonts w:cs="Arial"/>
                <w:color w:val="000000"/>
                <w:sz w:val="16"/>
                <w:szCs w:val="16"/>
                <w:lang w:eastAsia="en-AU" w:bidi="ar-SA"/>
              </w:rPr>
            </w:pPr>
          </w:p>
        </w:tc>
        <w:tc>
          <w:tcPr>
            <w:tcW w:w="4678" w:type="dxa"/>
            <w:gridSpan w:val="5"/>
            <w:tcBorders>
              <w:top w:val="single" w:sz="4" w:space="0" w:color="auto"/>
              <w:left w:val="nil"/>
              <w:bottom w:val="single" w:sz="4" w:space="0" w:color="auto"/>
              <w:right w:val="nil"/>
            </w:tcBorders>
            <w:shd w:val="clear" w:color="auto" w:fill="auto"/>
            <w:noWrap/>
            <w:vAlign w:val="bottom"/>
            <w:hideMark/>
          </w:tcPr>
          <w:p w:rsidR="0022069A" w:rsidRPr="00911315" w:rsidRDefault="0021019D" w:rsidP="00CF78DB">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Proportion</w:t>
            </w:r>
            <w:r w:rsidR="0022069A" w:rsidRPr="00911315">
              <w:rPr>
                <w:rFonts w:cs="Arial"/>
                <w:color w:val="000000"/>
                <w:sz w:val="16"/>
                <w:szCs w:val="16"/>
                <w:lang w:eastAsia="en-AU" w:bidi="ar-SA"/>
              </w:rPr>
              <w:t xml:space="preserve"> Income managed</w:t>
            </w:r>
            <w:r w:rsidRPr="00911315">
              <w:rPr>
                <w:rFonts w:cs="Arial"/>
                <w:color w:val="000000"/>
                <w:sz w:val="16"/>
                <w:szCs w:val="16"/>
                <w:lang w:eastAsia="en-AU" w:bidi="ar-SA"/>
              </w:rPr>
              <w:t xml:space="preserve"> (%)</w:t>
            </w:r>
          </w:p>
        </w:tc>
        <w:tc>
          <w:tcPr>
            <w:tcW w:w="850" w:type="dxa"/>
            <w:tcBorders>
              <w:top w:val="single" w:sz="4" w:space="0" w:color="auto"/>
              <w:left w:val="nil"/>
              <w:bottom w:val="single" w:sz="4" w:space="0" w:color="auto"/>
              <w:right w:val="nil"/>
            </w:tcBorders>
            <w:shd w:val="clear" w:color="auto" w:fill="auto"/>
            <w:noWrap/>
            <w:vAlign w:val="bottom"/>
            <w:hideMark/>
          </w:tcPr>
          <w:p w:rsidR="0022069A" w:rsidRPr="00911315" w:rsidRDefault="0022069A" w:rsidP="0022069A">
            <w:pPr>
              <w:keepNext/>
              <w:keepLines/>
              <w:spacing w:after="60" w:line="240" w:lineRule="auto"/>
              <w:ind w:left="0"/>
              <w:jc w:val="center"/>
              <w:rPr>
                <w:rFonts w:cs="Arial"/>
                <w:color w:val="000000"/>
                <w:sz w:val="16"/>
                <w:szCs w:val="16"/>
                <w:lang w:eastAsia="en-AU" w:bidi="ar-SA"/>
              </w:rPr>
            </w:pPr>
          </w:p>
        </w:tc>
        <w:tc>
          <w:tcPr>
            <w:tcW w:w="1035" w:type="dxa"/>
            <w:vMerge w:val="restart"/>
            <w:tcBorders>
              <w:top w:val="single" w:sz="4" w:space="0" w:color="auto"/>
              <w:left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Percentage point change</w:t>
            </w:r>
          </w:p>
        </w:tc>
      </w:tr>
      <w:tr w:rsidR="0022069A" w:rsidRPr="00911315" w:rsidTr="00351FF6">
        <w:trPr>
          <w:trHeight w:val="228"/>
        </w:trPr>
        <w:tc>
          <w:tcPr>
            <w:tcW w:w="1843" w:type="dxa"/>
            <w:tcBorders>
              <w:top w:val="nil"/>
              <w:left w:val="nil"/>
              <w:bottom w:val="single" w:sz="4" w:space="0" w:color="auto"/>
              <w:right w:val="nil"/>
            </w:tcBorders>
            <w:shd w:val="clear" w:color="auto" w:fill="auto"/>
            <w:noWrap/>
            <w:vAlign w:val="bottom"/>
            <w:hideMark/>
          </w:tcPr>
          <w:p w:rsidR="0022069A" w:rsidRPr="00911315" w:rsidRDefault="0022069A" w:rsidP="0022069A">
            <w:pPr>
              <w:keepNext/>
              <w:keepLines/>
              <w:spacing w:after="60" w:line="240" w:lineRule="auto"/>
              <w:ind w:left="0"/>
              <w:rPr>
                <w:rFonts w:cs="Arial"/>
                <w:color w:val="000000"/>
                <w:sz w:val="16"/>
                <w:szCs w:val="16"/>
                <w:lang w:eastAsia="en-AU" w:bidi="ar-SA"/>
              </w:rPr>
            </w:pPr>
          </w:p>
        </w:tc>
        <w:tc>
          <w:tcPr>
            <w:tcW w:w="791" w:type="dxa"/>
            <w:tcBorders>
              <w:top w:val="single" w:sz="4" w:space="0" w:color="auto"/>
              <w:left w:val="nil"/>
              <w:bottom w:val="single" w:sz="4" w:space="0" w:color="auto"/>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Jun-10</w:t>
            </w:r>
          </w:p>
        </w:tc>
        <w:tc>
          <w:tcPr>
            <w:tcW w:w="988" w:type="dxa"/>
            <w:tcBorders>
              <w:top w:val="single" w:sz="4" w:space="0" w:color="auto"/>
              <w:left w:val="nil"/>
              <w:bottom w:val="single" w:sz="4" w:space="0" w:color="auto"/>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Sep-10</w:t>
            </w:r>
          </w:p>
        </w:tc>
        <w:tc>
          <w:tcPr>
            <w:tcW w:w="988" w:type="dxa"/>
            <w:tcBorders>
              <w:top w:val="single" w:sz="4" w:space="0" w:color="auto"/>
              <w:left w:val="nil"/>
              <w:bottom w:val="single" w:sz="4" w:space="0" w:color="auto"/>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Dec-10</w:t>
            </w:r>
          </w:p>
        </w:tc>
        <w:tc>
          <w:tcPr>
            <w:tcW w:w="971" w:type="dxa"/>
            <w:tcBorders>
              <w:top w:val="single" w:sz="4" w:space="0" w:color="auto"/>
              <w:left w:val="nil"/>
              <w:bottom w:val="single" w:sz="4" w:space="0" w:color="auto"/>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Mar-11</w:t>
            </w:r>
          </w:p>
        </w:tc>
        <w:tc>
          <w:tcPr>
            <w:tcW w:w="940" w:type="dxa"/>
            <w:tcBorders>
              <w:top w:val="single" w:sz="4" w:space="0" w:color="auto"/>
              <w:left w:val="nil"/>
              <w:bottom w:val="single" w:sz="4" w:space="0" w:color="auto"/>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Jun-11</w:t>
            </w:r>
          </w:p>
        </w:tc>
        <w:tc>
          <w:tcPr>
            <w:tcW w:w="850" w:type="dxa"/>
            <w:tcBorders>
              <w:top w:val="single" w:sz="4" w:space="0" w:color="auto"/>
              <w:left w:val="nil"/>
              <w:bottom w:val="single" w:sz="4" w:space="0" w:color="auto"/>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Sep-11</w:t>
            </w:r>
          </w:p>
        </w:tc>
        <w:tc>
          <w:tcPr>
            <w:tcW w:w="1035" w:type="dxa"/>
            <w:vMerge/>
            <w:tcBorders>
              <w:left w:val="nil"/>
              <w:bottom w:val="single" w:sz="4" w:space="0" w:color="auto"/>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p>
        </w:tc>
      </w:tr>
      <w:tr w:rsidR="0022069A" w:rsidRPr="00911315" w:rsidTr="00351FF6">
        <w:trPr>
          <w:trHeight w:val="228"/>
        </w:trPr>
        <w:tc>
          <w:tcPr>
            <w:tcW w:w="1843" w:type="dxa"/>
            <w:tcBorders>
              <w:top w:val="single" w:sz="4" w:space="0" w:color="auto"/>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rPr>
                <w:rFonts w:cs="Arial"/>
                <w:color w:val="000000"/>
                <w:sz w:val="16"/>
                <w:szCs w:val="16"/>
                <w:lang w:eastAsia="en-AU" w:bidi="ar-SA"/>
              </w:rPr>
            </w:pPr>
            <w:r w:rsidRPr="00911315">
              <w:rPr>
                <w:rFonts w:cs="Arial"/>
                <w:color w:val="000000"/>
                <w:sz w:val="16"/>
                <w:szCs w:val="16"/>
                <w:lang w:eastAsia="en-AU" w:bidi="ar-SA"/>
              </w:rPr>
              <w:t>Darwin City</w:t>
            </w:r>
          </w:p>
        </w:tc>
        <w:tc>
          <w:tcPr>
            <w:tcW w:w="791" w:type="dxa"/>
            <w:tcBorders>
              <w:top w:val="single" w:sz="4" w:space="0" w:color="auto"/>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10.7</w:t>
            </w:r>
          </w:p>
        </w:tc>
        <w:tc>
          <w:tcPr>
            <w:tcW w:w="988" w:type="dxa"/>
            <w:tcBorders>
              <w:top w:val="single" w:sz="4" w:space="0" w:color="auto"/>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6.7</w:t>
            </w:r>
          </w:p>
        </w:tc>
        <w:tc>
          <w:tcPr>
            <w:tcW w:w="988" w:type="dxa"/>
            <w:tcBorders>
              <w:top w:val="single" w:sz="4" w:space="0" w:color="auto"/>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13.7</w:t>
            </w:r>
          </w:p>
        </w:tc>
        <w:tc>
          <w:tcPr>
            <w:tcW w:w="971" w:type="dxa"/>
            <w:tcBorders>
              <w:top w:val="single" w:sz="4" w:space="0" w:color="auto"/>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12.6</w:t>
            </w:r>
          </w:p>
        </w:tc>
        <w:tc>
          <w:tcPr>
            <w:tcW w:w="940" w:type="dxa"/>
            <w:tcBorders>
              <w:top w:val="single" w:sz="4" w:space="0" w:color="auto"/>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17.3</w:t>
            </w:r>
          </w:p>
        </w:tc>
        <w:tc>
          <w:tcPr>
            <w:tcW w:w="850" w:type="dxa"/>
            <w:tcBorders>
              <w:top w:val="single" w:sz="4" w:space="0" w:color="auto"/>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16.0</w:t>
            </w:r>
          </w:p>
        </w:tc>
        <w:tc>
          <w:tcPr>
            <w:tcW w:w="1035" w:type="dxa"/>
            <w:tcBorders>
              <w:top w:val="single" w:sz="4" w:space="0" w:color="auto"/>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5.3</w:t>
            </w:r>
          </w:p>
        </w:tc>
      </w:tr>
      <w:tr w:rsidR="0022069A" w:rsidRPr="00911315" w:rsidTr="00351FF6">
        <w:trPr>
          <w:trHeight w:val="228"/>
        </w:trPr>
        <w:tc>
          <w:tcPr>
            <w:tcW w:w="1843"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rPr>
                <w:rFonts w:cs="Arial"/>
                <w:color w:val="000000"/>
                <w:sz w:val="16"/>
                <w:szCs w:val="16"/>
                <w:lang w:eastAsia="en-AU" w:bidi="ar-SA"/>
              </w:rPr>
            </w:pPr>
            <w:r w:rsidRPr="00911315">
              <w:rPr>
                <w:rFonts w:cs="Arial"/>
                <w:color w:val="000000"/>
                <w:sz w:val="16"/>
                <w:szCs w:val="16"/>
                <w:lang w:eastAsia="en-AU" w:bidi="ar-SA"/>
              </w:rPr>
              <w:t>Palmerston-East Arm</w:t>
            </w:r>
          </w:p>
        </w:tc>
        <w:tc>
          <w:tcPr>
            <w:tcW w:w="791"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4.0</w:t>
            </w:r>
          </w:p>
        </w:tc>
        <w:tc>
          <w:tcPr>
            <w:tcW w:w="988"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3.7</w:t>
            </w:r>
          </w:p>
        </w:tc>
        <w:tc>
          <w:tcPr>
            <w:tcW w:w="988"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16</w:t>
            </w:r>
            <w:r w:rsidR="00C3520C" w:rsidRPr="00911315">
              <w:rPr>
                <w:rFonts w:cs="Arial"/>
                <w:color w:val="000000"/>
                <w:sz w:val="16"/>
                <w:szCs w:val="16"/>
                <w:lang w:eastAsia="en-AU" w:bidi="ar-SA"/>
              </w:rPr>
              <w:t>.0</w:t>
            </w:r>
          </w:p>
        </w:tc>
        <w:tc>
          <w:tcPr>
            <w:tcW w:w="971"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15.1</w:t>
            </w:r>
          </w:p>
        </w:tc>
        <w:tc>
          <w:tcPr>
            <w:tcW w:w="940"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21.5</w:t>
            </w:r>
          </w:p>
        </w:tc>
        <w:tc>
          <w:tcPr>
            <w:tcW w:w="850"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20.4</w:t>
            </w:r>
          </w:p>
        </w:tc>
        <w:tc>
          <w:tcPr>
            <w:tcW w:w="1035"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16.4</w:t>
            </w:r>
          </w:p>
        </w:tc>
      </w:tr>
      <w:tr w:rsidR="0022069A" w:rsidRPr="00911315" w:rsidTr="00351FF6">
        <w:trPr>
          <w:trHeight w:val="228"/>
        </w:trPr>
        <w:tc>
          <w:tcPr>
            <w:tcW w:w="1843"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rPr>
                <w:rFonts w:cs="Arial"/>
                <w:color w:val="000000"/>
                <w:sz w:val="16"/>
                <w:szCs w:val="16"/>
                <w:lang w:eastAsia="en-AU" w:bidi="ar-SA"/>
              </w:rPr>
            </w:pPr>
            <w:r w:rsidRPr="00911315">
              <w:rPr>
                <w:rFonts w:cs="Arial"/>
                <w:color w:val="000000"/>
                <w:sz w:val="16"/>
                <w:szCs w:val="16"/>
                <w:lang w:eastAsia="en-AU" w:bidi="ar-SA"/>
              </w:rPr>
              <w:t>Litchfield</w:t>
            </w:r>
          </w:p>
        </w:tc>
        <w:tc>
          <w:tcPr>
            <w:tcW w:w="791"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2.8</w:t>
            </w:r>
          </w:p>
        </w:tc>
        <w:tc>
          <w:tcPr>
            <w:tcW w:w="988"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2.3</w:t>
            </w:r>
          </w:p>
        </w:tc>
        <w:tc>
          <w:tcPr>
            <w:tcW w:w="988"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8.9</w:t>
            </w:r>
          </w:p>
        </w:tc>
        <w:tc>
          <w:tcPr>
            <w:tcW w:w="971"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8.3</w:t>
            </w:r>
          </w:p>
        </w:tc>
        <w:tc>
          <w:tcPr>
            <w:tcW w:w="940"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12.6</w:t>
            </w:r>
          </w:p>
        </w:tc>
        <w:tc>
          <w:tcPr>
            <w:tcW w:w="850"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13.4</w:t>
            </w:r>
          </w:p>
        </w:tc>
        <w:tc>
          <w:tcPr>
            <w:tcW w:w="1035"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10.6</w:t>
            </w:r>
          </w:p>
        </w:tc>
      </w:tr>
      <w:tr w:rsidR="0022069A" w:rsidRPr="00911315" w:rsidTr="00351FF6">
        <w:trPr>
          <w:trHeight w:val="228"/>
        </w:trPr>
        <w:tc>
          <w:tcPr>
            <w:tcW w:w="1843"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rPr>
                <w:rFonts w:cs="Arial"/>
                <w:color w:val="000000"/>
                <w:sz w:val="16"/>
                <w:szCs w:val="16"/>
                <w:lang w:eastAsia="en-AU" w:bidi="ar-SA"/>
              </w:rPr>
            </w:pPr>
            <w:r w:rsidRPr="00911315">
              <w:rPr>
                <w:rFonts w:cs="Arial"/>
                <w:color w:val="000000"/>
                <w:sz w:val="16"/>
                <w:szCs w:val="16"/>
                <w:lang w:eastAsia="en-AU" w:bidi="ar-SA"/>
              </w:rPr>
              <w:t>Finniss</w:t>
            </w:r>
          </w:p>
        </w:tc>
        <w:tc>
          <w:tcPr>
            <w:tcW w:w="791"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14.7</w:t>
            </w:r>
          </w:p>
        </w:tc>
        <w:tc>
          <w:tcPr>
            <w:tcW w:w="988"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19.0</w:t>
            </w:r>
          </w:p>
        </w:tc>
        <w:tc>
          <w:tcPr>
            <w:tcW w:w="988"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29.2</w:t>
            </w:r>
          </w:p>
        </w:tc>
        <w:tc>
          <w:tcPr>
            <w:tcW w:w="971"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28.6</w:t>
            </w:r>
          </w:p>
        </w:tc>
        <w:tc>
          <w:tcPr>
            <w:tcW w:w="940"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29.6</w:t>
            </w:r>
          </w:p>
        </w:tc>
        <w:tc>
          <w:tcPr>
            <w:tcW w:w="850"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24.3</w:t>
            </w:r>
          </w:p>
        </w:tc>
        <w:tc>
          <w:tcPr>
            <w:tcW w:w="1035"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9.6</w:t>
            </w:r>
          </w:p>
        </w:tc>
      </w:tr>
      <w:tr w:rsidR="0022069A" w:rsidRPr="00911315" w:rsidTr="00351FF6">
        <w:trPr>
          <w:trHeight w:val="228"/>
        </w:trPr>
        <w:tc>
          <w:tcPr>
            <w:tcW w:w="1843"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rPr>
                <w:rFonts w:cs="Arial"/>
                <w:color w:val="000000"/>
                <w:sz w:val="16"/>
                <w:szCs w:val="16"/>
                <w:lang w:eastAsia="en-AU" w:bidi="ar-SA"/>
              </w:rPr>
            </w:pPr>
            <w:r w:rsidRPr="00911315">
              <w:rPr>
                <w:rFonts w:cs="Arial"/>
                <w:color w:val="000000"/>
                <w:sz w:val="16"/>
                <w:szCs w:val="16"/>
                <w:lang w:eastAsia="en-AU" w:bidi="ar-SA"/>
              </w:rPr>
              <w:t>Bathurst-Melville</w:t>
            </w:r>
          </w:p>
        </w:tc>
        <w:tc>
          <w:tcPr>
            <w:tcW w:w="791"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79.3</w:t>
            </w:r>
          </w:p>
        </w:tc>
        <w:tc>
          <w:tcPr>
            <w:tcW w:w="988"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78.9</w:t>
            </w:r>
          </w:p>
        </w:tc>
        <w:tc>
          <w:tcPr>
            <w:tcW w:w="988"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69.2</w:t>
            </w:r>
          </w:p>
        </w:tc>
        <w:tc>
          <w:tcPr>
            <w:tcW w:w="971"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66.9</w:t>
            </w:r>
          </w:p>
        </w:tc>
        <w:tc>
          <w:tcPr>
            <w:tcW w:w="940"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64.1</w:t>
            </w:r>
          </w:p>
        </w:tc>
        <w:tc>
          <w:tcPr>
            <w:tcW w:w="850"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64.8</w:t>
            </w:r>
          </w:p>
        </w:tc>
        <w:tc>
          <w:tcPr>
            <w:tcW w:w="1035"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-14.5</w:t>
            </w:r>
          </w:p>
        </w:tc>
      </w:tr>
      <w:tr w:rsidR="0022069A" w:rsidRPr="00911315" w:rsidTr="00351FF6">
        <w:trPr>
          <w:trHeight w:val="228"/>
        </w:trPr>
        <w:tc>
          <w:tcPr>
            <w:tcW w:w="1843"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rPr>
                <w:rFonts w:cs="Arial"/>
                <w:color w:val="000000"/>
                <w:sz w:val="16"/>
                <w:szCs w:val="16"/>
                <w:lang w:eastAsia="en-AU" w:bidi="ar-SA"/>
              </w:rPr>
            </w:pPr>
            <w:r w:rsidRPr="00911315">
              <w:rPr>
                <w:rFonts w:cs="Arial"/>
                <w:color w:val="000000"/>
                <w:sz w:val="16"/>
                <w:szCs w:val="16"/>
                <w:lang w:eastAsia="en-AU" w:bidi="ar-SA"/>
              </w:rPr>
              <w:t>Alligator</w:t>
            </w:r>
          </w:p>
        </w:tc>
        <w:tc>
          <w:tcPr>
            <w:tcW w:w="791"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71.7</w:t>
            </w:r>
          </w:p>
        </w:tc>
        <w:tc>
          <w:tcPr>
            <w:tcW w:w="988"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68.9</w:t>
            </w:r>
          </w:p>
        </w:tc>
        <w:tc>
          <w:tcPr>
            <w:tcW w:w="988"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64.4</w:t>
            </w:r>
          </w:p>
        </w:tc>
        <w:tc>
          <w:tcPr>
            <w:tcW w:w="971"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61.4</w:t>
            </w:r>
          </w:p>
        </w:tc>
        <w:tc>
          <w:tcPr>
            <w:tcW w:w="940"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61.8</w:t>
            </w:r>
          </w:p>
        </w:tc>
        <w:tc>
          <w:tcPr>
            <w:tcW w:w="850"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61.1</w:t>
            </w:r>
          </w:p>
        </w:tc>
        <w:tc>
          <w:tcPr>
            <w:tcW w:w="1035"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-10.6</w:t>
            </w:r>
          </w:p>
        </w:tc>
      </w:tr>
      <w:tr w:rsidR="0022069A" w:rsidRPr="00911315" w:rsidTr="00351FF6">
        <w:trPr>
          <w:trHeight w:val="228"/>
        </w:trPr>
        <w:tc>
          <w:tcPr>
            <w:tcW w:w="1843"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rPr>
                <w:rFonts w:cs="Arial"/>
                <w:color w:val="000000"/>
                <w:sz w:val="16"/>
                <w:szCs w:val="16"/>
                <w:lang w:eastAsia="en-AU" w:bidi="ar-SA"/>
              </w:rPr>
            </w:pPr>
            <w:r w:rsidRPr="00911315">
              <w:rPr>
                <w:rFonts w:cs="Arial"/>
                <w:color w:val="000000"/>
                <w:sz w:val="16"/>
                <w:szCs w:val="16"/>
                <w:lang w:eastAsia="en-AU" w:bidi="ar-SA"/>
              </w:rPr>
              <w:t>East Arnhem</w:t>
            </w:r>
          </w:p>
        </w:tc>
        <w:tc>
          <w:tcPr>
            <w:tcW w:w="791"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82.1</w:t>
            </w:r>
          </w:p>
        </w:tc>
        <w:tc>
          <w:tcPr>
            <w:tcW w:w="988"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72.1</w:t>
            </w:r>
          </w:p>
        </w:tc>
        <w:tc>
          <w:tcPr>
            <w:tcW w:w="988"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68.1</w:t>
            </w:r>
          </w:p>
        </w:tc>
        <w:tc>
          <w:tcPr>
            <w:tcW w:w="971"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66.3</w:t>
            </w:r>
          </w:p>
        </w:tc>
        <w:tc>
          <w:tcPr>
            <w:tcW w:w="940"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65.6</w:t>
            </w:r>
          </w:p>
        </w:tc>
        <w:tc>
          <w:tcPr>
            <w:tcW w:w="850"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64.9</w:t>
            </w:r>
          </w:p>
        </w:tc>
        <w:tc>
          <w:tcPr>
            <w:tcW w:w="1035"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-17.2</w:t>
            </w:r>
          </w:p>
        </w:tc>
      </w:tr>
      <w:tr w:rsidR="0022069A" w:rsidRPr="00911315" w:rsidTr="00351FF6">
        <w:trPr>
          <w:trHeight w:val="228"/>
        </w:trPr>
        <w:tc>
          <w:tcPr>
            <w:tcW w:w="1843"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rPr>
                <w:rFonts w:cs="Arial"/>
                <w:color w:val="000000"/>
                <w:sz w:val="16"/>
                <w:szCs w:val="16"/>
                <w:lang w:eastAsia="en-AU" w:bidi="ar-SA"/>
              </w:rPr>
            </w:pPr>
            <w:r w:rsidRPr="00911315">
              <w:rPr>
                <w:rFonts w:cs="Arial"/>
                <w:color w:val="000000"/>
                <w:sz w:val="16"/>
                <w:szCs w:val="16"/>
                <w:lang w:eastAsia="en-AU" w:bidi="ar-SA"/>
              </w:rPr>
              <w:t>Lower Top End NT</w:t>
            </w:r>
          </w:p>
        </w:tc>
        <w:tc>
          <w:tcPr>
            <w:tcW w:w="791"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60.8</w:t>
            </w:r>
          </w:p>
        </w:tc>
        <w:tc>
          <w:tcPr>
            <w:tcW w:w="988"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57</w:t>
            </w:r>
            <w:r w:rsidR="00C3520C" w:rsidRPr="00911315">
              <w:rPr>
                <w:rFonts w:cs="Arial"/>
                <w:color w:val="000000"/>
                <w:sz w:val="16"/>
                <w:szCs w:val="16"/>
                <w:lang w:eastAsia="en-AU" w:bidi="ar-SA"/>
              </w:rPr>
              <w:t>.0</w:t>
            </w:r>
          </w:p>
        </w:tc>
        <w:tc>
          <w:tcPr>
            <w:tcW w:w="988"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58.1</w:t>
            </w:r>
          </w:p>
        </w:tc>
        <w:tc>
          <w:tcPr>
            <w:tcW w:w="971"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55.7</w:t>
            </w:r>
          </w:p>
        </w:tc>
        <w:tc>
          <w:tcPr>
            <w:tcW w:w="940"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55.4</w:t>
            </w:r>
          </w:p>
        </w:tc>
        <w:tc>
          <w:tcPr>
            <w:tcW w:w="850"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56.2</w:t>
            </w:r>
          </w:p>
        </w:tc>
        <w:tc>
          <w:tcPr>
            <w:tcW w:w="1035"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-4.6</w:t>
            </w:r>
          </w:p>
        </w:tc>
      </w:tr>
      <w:tr w:rsidR="0022069A" w:rsidRPr="00911315" w:rsidTr="00351FF6">
        <w:trPr>
          <w:trHeight w:val="228"/>
        </w:trPr>
        <w:tc>
          <w:tcPr>
            <w:tcW w:w="1843"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rPr>
                <w:rFonts w:cs="Arial"/>
                <w:color w:val="000000"/>
                <w:sz w:val="16"/>
                <w:szCs w:val="16"/>
                <w:lang w:eastAsia="en-AU" w:bidi="ar-SA"/>
              </w:rPr>
            </w:pPr>
            <w:r w:rsidRPr="00911315">
              <w:rPr>
                <w:rFonts w:cs="Arial"/>
                <w:color w:val="000000"/>
                <w:sz w:val="16"/>
                <w:szCs w:val="16"/>
                <w:lang w:eastAsia="en-AU" w:bidi="ar-SA"/>
              </w:rPr>
              <w:t>Barkly</w:t>
            </w:r>
          </w:p>
        </w:tc>
        <w:tc>
          <w:tcPr>
            <w:tcW w:w="791"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63.1</w:t>
            </w:r>
          </w:p>
        </w:tc>
        <w:tc>
          <w:tcPr>
            <w:tcW w:w="988"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64.2</w:t>
            </w:r>
          </w:p>
        </w:tc>
        <w:tc>
          <w:tcPr>
            <w:tcW w:w="988"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66.5</w:t>
            </w:r>
          </w:p>
        </w:tc>
        <w:tc>
          <w:tcPr>
            <w:tcW w:w="971"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65.4</w:t>
            </w:r>
          </w:p>
        </w:tc>
        <w:tc>
          <w:tcPr>
            <w:tcW w:w="940"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65.9</w:t>
            </w:r>
          </w:p>
        </w:tc>
        <w:tc>
          <w:tcPr>
            <w:tcW w:w="850"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67.6</w:t>
            </w:r>
          </w:p>
        </w:tc>
        <w:tc>
          <w:tcPr>
            <w:tcW w:w="1035" w:type="dxa"/>
            <w:tcBorders>
              <w:top w:val="nil"/>
              <w:left w:val="nil"/>
              <w:bottom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4.5</w:t>
            </w:r>
          </w:p>
        </w:tc>
      </w:tr>
      <w:tr w:rsidR="0022069A" w:rsidRPr="00911315" w:rsidTr="00351FF6">
        <w:trPr>
          <w:trHeight w:val="228"/>
        </w:trPr>
        <w:tc>
          <w:tcPr>
            <w:tcW w:w="1843" w:type="dxa"/>
            <w:tcBorders>
              <w:top w:val="nil"/>
              <w:left w:val="nil"/>
              <w:right w:val="nil"/>
            </w:tcBorders>
            <w:shd w:val="clear" w:color="auto" w:fill="auto"/>
            <w:noWrap/>
            <w:vAlign w:val="bottom"/>
            <w:hideMark/>
          </w:tcPr>
          <w:p w:rsidR="0022069A" w:rsidRPr="00911315" w:rsidRDefault="0022069A" w:rsidP="0022069A">
            <w:pPr>
              <w:keepNext/>
              <w:keepLines/>
              <w:spacing w:after="60" w:line="240" w:lineRule="auto"/>
              <w:ind w:left="0"/>
              <w:rPr>
                <w:rFonts w:cs="Arial"/>
                <w:color w:val="000000"/>
                <w:sz w:val="16"/>
                <w:szCs w:val="16"/>
                <w:lang w:eastAsia="en-AU" w:bidi="ar-SA"/>
              </w:rPr>
            </w:pPr>
            <w:r w:rsidRPr="00911315">
              <w:rPr>
                <w:rFonts w:cs="Arial"/>
                <w:color w:val="000000"/>
                <w:sz w:val="16"/>
                <w:szCs w:val="16"/>
                <w:lang w:eastAsia="en-AU" w:bidi="ar-SA"/>
              </w:rPr>
              <w:t>Central NT</w:t>
            </w:r>
          </w:p>
        </w:tc>
        <w:tc>
          <w:tcPr>
            <w:tcW w:w="791" w:type="dxa"/>
            <w:tcBorders>
              <w:top w:val="nil"/>
              <w:left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53.6</w:t>
            </w:r>
          </w:p>
        </w:tc>
        <w:tc>
          <w:tcPr>
            <w:tcW w:w="988" w:type="dxa"/>
            <w:tcBorders>
              <w:top w:val="nil"/>
              <w:left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56</w:t>
            </w:r>
            <w:r w:rsidR="00C3520C" w:rsidRPr="00911315">
              <w:rPr>
                <w:rFonts w:cs="Arial"/>
                <w:color w:val="000000"/>
                <w:sz w:val="16"/>
                <w:szCs w:val="16"/>
                <w:lang w:eastAsia="en-AU" w:bidi="ar-SA"/>
              </w:rPr>
              <w:t>.0</w:t>
            </w:r>
          </w:p>
        </w:tc>
        <w:tc>
          <w:tcPr>
            <w:tcW w:w="988" w:type="dxa"/>
            <w:tcBorders>
              <w:top w:val="nil"/>
              <w:left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57.7</w:t>
            </w:r>
          </w:p>
        </w:tc>
        <w:tc>
          <w:tcPr>
            <w:tcW w:w="971" w:type="dxa"/>
            <w:tcBorders>
              <w:top w:val="nil"/>
              <w:left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56</w:t>
            </w:r>
            <w:r w:rsidR="00C3520C" w:rsidRPr="00911315">
              <w:rPr>
                <w:rFonts w:cs="Arial"/>
                <w:color w:val="000000"/>
                <w:sz w:val="16"/>
                <w:szCs w:val="16"/>
                <w:lang w:eastAsia="en-AU" w:bidi="ar-SA"/>
              </w:rPr>
              <w:t>.0</w:t>
            </w:r>
          </w:p>
        </w:tc>
        <w:tc>
          <w:tcPr>
            <w:tcW w:w="940" w:type="dxa"/>
            <w:tcBorders>
              <w:top w:val="nil"/>
              <w:left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55.7</w:t>
            </w:r>
          </w:p>
        </w:tc>
        <w:tc>
          <w:tcPr>
            <w:tcW w:w="850" w:type="dxa"/>
            <w:tcBorders>
              <w:top w:val="nil"/>
              <w:left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55.1</w:t>
            </w:r>
          </w:p>
        </w:tc>
        <w:tc>
          <w:tcPr>
            <w:tcW w:w="1035" w:type="dxa"/>
            <w:tcBorders>
              <w:top w:val="nil"/>
              <w:left w:val="nil"/>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1.5</w:t>
            </w:r>
          </w:p>
        </w:tc>
      </w:tr>
      <w:tr w:rsidR="0022069A" w:rsidRPr="00911315" w:rsidTr="00351FF6">
        <w:trPr>
          <w:trHeight w:val="228"/>
        </w:trPr>
        <w:tc>
          <w:tcPr>
            <w:tcW w:w="1843" w:type="dxa"/>
            <w:tcBorders>
              <w:top w:val="nil"/>
              <w:left w:val="nil"/>
              <w:bottom w:val="single" w:sz="4" w:space="0" w:color="auto"/>
              <w:right w:val="nil"/>
            </w:tcBorders>
            <w:shd w:val="clear" w:color="auto" w:fill="auto"/>
            <w:noWrap/>
            <w:vAlign w:val="bottom"/>
            <w:hideMark/>
          </w:tcPr>
          <w:p w:rsidR="0022069A" w:rsidRPr="00911315" w:rsidRDefault="0022069A" w:rsidP="0022069A">
            <w:pPr>
              <w:keepNext/>
              <w:keepLines/>
              <w:spacing w:after="60" w:line="240" w:lineRule="auto"/>
              <w:ind w:left="0"/>
              <w:rPr>
                <w:rFonts w:cs="Arial"/>
                <w:color w:val="000000"/>
                <w:sz w:val="16"/>
                <w:szCs w:val="16"/>
                <w:lang w:eastAsia="en-AU" w:bidi="ar-SA"/>
              </w:rPr>
            </w:pPr>
            <w:r w:rsidRPr="00911315">
              <w:rPr>
                <w:rFonts w:cs="Arial"/>
                <w:color w:val="000000"/>
                <w:sz w:val="16"/>
                <w:szCs w:val="16"/>
                <w:lang w:eastAsia="en-AU" w:bidi="ar-SA"/>
              </w:rPr>
              <w:t>All</w:t>
            </w:r>
          </w:p>
        </w:tc>
        <w:tc>
          <w:tcPr>
            <w:tcW w:w="791" w:type="dxa"/>
            <w:tcBorders>
              <w:top w:val="nil"/>
              <w:left w:val="nil"/>
              <w:bottom w:val="single" w:sz="4" w:space="0" w:color="auto"/>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40.4</w:t>
            </w:r>
          </w:p>
        </w:tc>
        <w:tc>
          <w:tcPr>
            <w:tcW w:w="988" w:type="dxa"/>
            <w:tcBorders>
              <w:top w:val="nil"/>
              <w:left w:val="nil"/>
              <w:bottom w:val="single" w:sz="4" w:space="0" w:color="auto"/>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39.1</w:t>
            </w:r>
          </w:p>
        </w:tc>
        <w:tc>
          <w:tcPr>
            <w:tcW w:w="988" w:type="dxa"/>
            <w:tcBorders>
              <w:top w:val="nil"/>
              <w:left w:val="nil"/>
              <w:bottom w:val="single" w:sz="4" w:space="0" w:color="auto"/>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42.4</w:t>
            </w:r>
          </w:p>
        </w:tc>
        <w:tc>
          <w:tcPr>
            <w:tcW w:w="971" w:type="dxa"/>
            <w:tcBorders>
              <w:top w:val="nil"/>
              <w:left w:val="nil"/>
              <w:bottom w:val="single" w:sz="4" w:space="0" w:color="auto"/>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40.7</w:t>
            </w:r>
          </w:p>
        </w:tc>
        <w:tc>
          <w:tcPr>
            <w:tcW w:w="940" w:type="dxa"/>
            <w:tcBorders>
              <w:top w:val="nil"/>
              <w:left w:val="nil"/>
              <w:bottom w:val="single" w:sz="4" w:space="0" w:color="auto"/>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42.5</w:t>
            </w:r>
          </w:p>
        </w:tc>
        <w:tc>
          <w:tcPr>
            <w:tcW w:w="850" w:type="dxa"/>
            <w:tcBorders>
              <w:top w:val="nil"/>
              <w:left w:val="nil"/>
              <w:bottom w:val="single" w:sz="4" w:space="0" w:color="auto"/>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42.2</w:t>
            </w:r>
          </w:p>
        </w:tc>
        <w:tc>
          <w:tcPr>
            <w:tcW w:w="1035" w:type="dxa"/>
            <w:tcBorders>
              <w:top w:val="nil"/>
              <w:left w:val="nil"/>
              <w:bottom w:val="single" w:sz="4" w:space="0" w:color="auto"/>
              <w:right w:val="nil"/>
            </w:tcBorders>
            <w:shd w:val="clear" w:color="auto" w:fill="auto"/>
            <w:noWrap/>
            <w:vAlign w:val="bottom"/>
            <w:hideMark/>
          </w:tcPr>
          <w:p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1.8</w:t>
            </w:r>
          </w:p>
        </w:tc>
      </w:tr>
    </w:tbl>
    <w:p w:rsidR="0022069A" w:rsidRPr="005911E2" w:rsidRDefault="003C3275" w:rsidP="00CF78DB">
      <w:pPr>
        <w:pStyle w:val="tablefootnotes"/>
      </w:pPr>
      <w:r>
        <w:t>P</w:t>
      </w:r>
      <w:r w:rsidR="0022069A" w:rsidRPr="005911E2">
        <w:t>opulation</w:t>
      </w:r>
      <w:r w:rsidR="00CF78DB">
        <w:t>:</w:t>
      </w:r>
      <w:r w:rsidR="00CF78DB">
        <w:tab/>
      </w:r>
      <w:r w:rsidR="0022069A" w:rsidRPr="005911E2">
        <w:t xml:space="preserve"> </w:t>
      </w:r>
      <w:r w:rsidR="00CF78DB">
        <w:t>A</w:t>
      </w:r>
      <w:r w:rsidR="0022069A" w:rsidRPr="005911E2">
        <w:t xml:space="preserve">ll </w:t>
      </w:r>
      <w:r w:rsidR="00CF78DB">
        <w:t xml:space="preserve">income support </w:t>
      </w:r>
      <w:r w:rsidR="0022069A" w:rsidRPr="005911E2">
        <w:t xml:space="preserve">payment recipients resident in the </w:t>
      </w:r>
      <w:r w:rsidR="006435C8">
        <w:t>Northern Territory.</w:t>
      </w:r>
    </w:p>
    <w:p w:rsidR="0022069A" w:rsidRPr="005911E2" w:rsidRDefault="0022069A" w:rsidP="00CF78DB">
      <w:pPr>
        <w:pStyle w:val="tablefootnotes"/>
      </w:pPr>
      <w:r w:rsidRPr="005911E2">
        <w:t xml:space="preserve">Source: </w:t>
      </w:r>
      <w:r w:rsidRPr="005911E2">
        <w:tab/>
        <w:t>Derived from the FaHCSIA Housing Dataset.</w:t>
      </w:r>
    </w:p>
    <w:p w:rsidR="0022069A" w:rsidRDefault="0022069A" w:rsidP="00CF78DB">
      <w:pPr>
        <w:pStyle w:val="tablefootnotes"/>
      </w:pPr>
    </w:p>
    <w:p w:rsidR="00397CDC" w:rsidRPr="005911E2" w:rsidRDefault="00397CDC" w:rsidP="00397CDC">
      <w:pPr>
        <w:pStyle w:val="BodyText"/>
      </w:pPr>
      <w:r w:rsidRPr="005911E2">
        <w:t xml:space="preserve">The proportion of the population on income support subject to </w:t>
      </w:r>
      <w:r>
        <w:t>income management</w:t>
      </w:r>
      <w:r w:rsidRPr="005911E2">
        <w:t xml:space="preserve"> varies by location and within locations over the period of the rollout of NIM and subsequently. In September 2011 the proportion of income sup</w:t>
      </w:r>
      <w:r w:rsidR="00CD6407">
        <w:t>port recipients in Statistical S</w:t>
      </w:r>
      <w:r w:rsidRPr="005911E2">
        <w:t>ub</w:t>
      </w:r>
      <w:r>
        <w:t>d</w:t>
      </w:r>
      <w:r w:rsidRPr="005911E2">
        <w:t xml:space="preserve">ivisions who were subject to </w:t>
      </w:r>
      <w:r>
        <w:t>income management</w:t>
      </w:r>
      <w:r w:rsidRPr="005911E2">
        <w:t xml:space="preserve"> varied from 13 per cent in Litchfield to 68 per cent in Barkly. This though is less</w:t>
      </w:r>
      <w:r w:rsidR="00743696">
        <w:t xml:space="preserve"> </w:t>
      </w:r>
      <w:r w:rsidRPr="005911E2">
        <w:t>than the range from 4 per cent to 82 per cent which was re</w:t>
      </w:r>
      <w:r w:rsidR="00CD6407">
        <w:t>corded under the NTER IM. Four Statistical S</w:t>
      </w:r>
      <w:r w:rsidRPr="005911E2">
        <w:t xml:space="preserve">ubdivisions, East Arnhem, Bathurst-Melville and Alligator all had declines in the rate of </w:t>
      </w:r>
      <w:r>
        <w:t>income management</w:t>
      </w:r>
      <w:r w:rsidRPr="005911E2">
        <w:t xml:space="preserve"> of more than 10 percentage points</w:t>
      </w:r>
      <w:r w:rsidR="00743696" w:rsidRPr="00743696">
        <w:t xml:space="preserve"> </w:t>
      </w:r>
      <w:r w:rsidR="00743696" w:rsidRPr="005911E2">
        <w:t>over this period</w:t>
      </w:r>
      <w:r w:rsidRPr="005911E2">
        <w:t>. In contrast</w:t>
      </w:r>
      <w:r>
        <w:t>,</w:t>
      </w:r>
      <w:r w:rsidRPr="005911E2">
        <w:t xml:space="preserve"> </w:t>
      </w:r>
      <w:r w:rsidR="00743696">
        <w:t>increases</w:t>
      </w:r>
      <w:r w:rsidRPr="005911E2">
        <w:t xml:space="preserve"> of more than 10 percentage points were recorded in Palmerston-East Arm and Litchfield.</w:t>
      </w:r>
    </w:p>
    <w:p w:rsidR="00397CDC" w:rsidRPr="005911E2" w:rsidRDefault="00397CDC" w:rsidP="00E24340">
      <w:pPr>
        <w:pStyle w:val="BodyText"/>
      </w:pPr>
      <w:r w:rsidRPr="005911E2">
        <w:t xml:space="preserve">There is little consistency between the changes in the absolute size of the income support population and the proportion that are subject to </w:t>
      </w:r>
      <w:r>
        <w:t>income management</w:t>
      </w:r>
      <w:r w:rsidRPr="005911E2">
        <w:t>.</w:t>
      </w:r>
    </w:p>
    <w:p w:rsidR="0022069A" w:rsidRPr="005911E2" w:rsidRDefault="0022069A" w:rsidP="00616B0F">
      <w:pPr>
        <w:pStyle w:val="Heading2"/>
      </w:pPr>
      <w:bookmarkStart w:id="391" w:name="_Toc321225116"/>
      <w:bookmarkStart w:id="392" w:name="_Toc321761601"/>
      <w:bookmarkStart w:id="393" w:name="_Toc321254459"/>
      <w:bookmarkStart w:id="394" w:name="_Toc328601483"/>
      <w:bookmarkStart w:id="395" w:name="_Toc329870365"/>
      <w:bookmarkStart w:id="396" w:name="_Toc335915751"/>
      <w:r w:rsidRPr="005911E2">
        <w:t>Summary</w:t>
      </w:r>
      <w:bookmarkEnd w:id="391"/>
      <w:bookmarkEnd w:id="392"/>
      <w:bookmarkEnd w:id="393"/>
      <w:bookmarkEnd w:id="394"/>
      <w:bookmarkEnd w:id="395"/>
      <w:bookmarkEnd w:id="396"/>
    </w:p>
    <w:p w:rsidR="0022069A" w:rsidRPr="005911E2" w:rsidRDefault="0022069A" w:rsidP="0022069A">
      <w:pPr>
        <w:pStyle w:val="BodyText"/>
        <w:rPr>
          <w:lang w:eastAsia="en-US"/>
        </w:rPr>
      </w:pPr>
      <w:r w:rsidRPr="005911E2">
        <w:rPr>
          <w:lang w:eastAsia="en-US"/>
        </w:rPr>
        <w:t xml:space="preserve">The rollout of NIM was largely completed by the end of 2010. The net effect of the implementation on the total number of people on </w:t>
      </w:r>
      <w:r w:rsidR="00F878E4">
        <w:rPr>
          <w:lang w:eastAsia="en-US"/>
        </w:rPr>
        <w:t>income management</w:t>
      </w:r>
      <w:r w:rsidRPr="005911E2">
        <w:rPr>
          <w:lang w:eastAsia="en-US"/>
        </w:rPr>
        <w:t xml:space="preserve"> in the</w:t>
      </w:r>
      <w:r w:rsidR="006435C8">
        <w:rPr>
          <w:lang w:eastAsia="en-US"/>
        </w:rPr>
        <w:t xml:space="preserve"> Northern Territory </w:t>
      </w:r>
      <w:r w:rsidRPr="005911E2">
        <w:rPr>
          <w:lang w:eastAsia="en-US"/>
        </w:rPr>
        <w:t>was relatively small. There were</w:t>
      </w:r>
      <w:r w:rsidR="00743696">
        <w:rPr>
          <w:lang w:eastAsia="en-US"/>
        </w:rPr>
        <w:t>,</w:t>
      </w:r>
      <w:r w:rsidRPr="005911E2">
        <w:rPr>
          <w:lang w:eastAsia="en-US"/>
        </w:rPr>
        <w:t xml:space="preserve"> however</w:t>
      </w:r>
      <w:r w:rsidR="00743696">
        <w:rPr>
          <w:lang w:eastAsia="en-US"/>
        </w:rPr>
        <w:t>,</w:t>
      </w:r>
      <w:r w:rsidRPr="005911E2">
        <w:rPr>
          <w:lang w:eastAsia="en-US"/>
        </w:rPr>
        <w:t xml:space="preserve"> quite marked differences by Indigeneity and location.</w:t>
      </w:r>
    </w:p>
    <w:p w:rsidR="0022069A" w:rsidRDefault="0022069A" w:rsidP="0022069A">
      <w:pPr>
        <w:pStyle w:val="BodyText"/>
        <w:rPr>
          <w:lang w:eastAsia="en-US"/>
        </w:rPr>
      </w:pPr>
      <w:r w:rsidRPr="005911E2">
        <w:rPr>
          <w:lang w:eastAsia="en-US"/>
        </w:rPr>
        <w:lastRenderedPageBreak/>
        <w:t>Notwithstanding these changes</w:t>
      </w:r>
      <w:r w:rsidR="00D66200">
        <w:rPr>
          <w:lang w:eastAsia="en-US"/>
        </w:rPr>
        <w:t>,</w:t>
      </w:r>
      <w:r w:rsidRPr="005911E2">
        <w:rPr>
          <w:lang w:eastAsia="en-US"/>
        </w:rPr>
        <w:t xml:space="preserve"> most people who were on NTER </w:t>
      </w:r>
      <w:r w:rsidR="00E8695F">
        <w:rPr>
          <w:lang w:eastAsia="en-US"/>
        </w:rPr>
        <w:t>IM</w:t>
      </w:r>
      <w:r w:rsidRPr="005911E2">
        <w:rPr>
          <w:lang w:eastAsia="en-US"/>
        </w:rPr>
        <w:t xml:space="preserve"> </w:t>
      </w:r>
      <w:r w:rsidR="00743696">
        <w:rPr>
          <w:lang w:eastAsia="en-US"/>
        </w:rPr>
        <w:t>continued to be subject to</w:t>
      </w:r>
      <w:r w:rsidRPr="005911E2">
        <w:rPr>
          <w:lang w:eastAsia="en-US"/>
        </w:rPr>
        <w:t xml:space="preserve"> </w:t>
      </w:r>
      <w:r w:rsidR="00F878E4">
        <w:rPr>
          <w:lang w:eastAsia="en-US"/>
        </w:rPr>
        <w:t>income management</w:t>
      </w:r>
      <w:r w:rsidRPr="005911E2">
        <w:rPr>
          <w:lang w:eastAsia="en-US"/>
        </w:rPr>
        <w:t xml:space="preserve"> in October 2011. Forty</w:t>
      </w:r>
      <w:r w:rsidR="00EA1B30">
        <w:rPr>
          <w:lang w:eastAsia="en-US"/>
        </w:rPr>
        <w:t>-</w:t>
      </w:r>
      <w:r w:rsidRPr="005911E2">
        <w:rPr>
          <w:lang w:eastAsia="en-US"/>
        </w:rPr>
        <w:t xml:space="preserve">four per cent were on </w:t>
      </w:r>
      <w:r w:rsidR="004808B3">
        <w:rPr>
          <w:lang w:eastAsia="en-US"/>
        </w:rPr>
        <w:t>Compulsory Income Management</w:t>
      </w:r>
      <w:r w:rsidRPr="005911E2">
        <w:rPr>
          <w:lang w:eastAsia="en-US"/>
        </w:rPr>
        <w:t xml:space="preserve"> and 23 per cent on </w:t>
      </w:r>
      <w:r w:rsidR="002B5A5C">
        <w:rPr>
          <w:lang w:eastAsia="en-US"/>
        </w:rPr>
        <w:t>Voluntary Income Management</w:t>
      </w:r>
      <w:r w:rsidRPr="005911E2">
        <w:rPr>
          <w:lang w:eastAsia="en-US"/>
        </w:rPr>
        <w:t>.</w:t>
      </w:r>
    </w:p>
    <w:p w:rsidR="00F92919" w:rsidRPr="005911E2" w:rsidRDefault="00F92919" w:rsidP="0022069A">
      <w:pPr>
        <w:pStyle w:val="BodyText"/>
        <w:rPr>
          <w:lang w:eastAsia="en-US"/>
        </w:rPr>
      </w:pPr>
      <w:r>
        <w:rPr>
          <w:lang w:eastAsia="en-US"/>
        </w:rPr>
        <w:t>While there are some data limitations concerning exits</w:t>
      </w:r>
      <w:r w:rsidR="00743696">
        <w:rPr>
          <w:lang w:eastAsia="en-US"/>
        </w:rPr>
        <w:t>,</w:t>
      </w:r>
      <w:r>
        <w:rPr>
          <w:lang w:eastAsia="en-US"/>
        </w:rPr>
        <w:t xml:space="preserve"> it appears that while some people leave income management fairly soon after commencing</w:t>
      </w:r>
      <w:r w:rsidR="00743696">
        <w:rPr>
          <w:lang w:eastAsia="en-US"/>
        </w:rPr>
        <w:t>,</w:t>
      </w:r>
      <w:r>
        <w:rPr>
          <w:lang w:eastAsia="en-US"/>
        </w:rPr>
        <w:t xml:space="preserve"> the majority of the population on income management are likely to be </w:t>
      </w:r>
      <w:r w:rsidR="00743696">
        <w:rPr>
          <w:lang w:eastAsia="en-US"/>
        </w:rPr>
        <w:t xml:space="preserve">income managed for </w:t>
      </w:r>
      <w:r>
        <w:rPr>
          <w:lang w:eastAsia="en-US"/>
        </w:rPr>
        <w:t>long</w:t>
      </w:r>
      <w:r w:rsidR="00743696">
        <w:rPr>
          <w:lang w:eastAsia="en-US"/>
        </w:rPr>
        <w:t xml:space="preserve"> periods</w:t>
      </w:r>
      <w:r>
        <w:rPr>
          <w:lang w:eastAsia="en-US"/>
        </w:rPr>
        <w:t xml:space="preserve">. </w:t>
      </w:r>
      <w:r w:rsidR="00743696">
        <w:rPr>
          <w:lang w:eastAsia="en-US"/>
        </w:rPr>
        <w:t xml:space="preserve">Over 80 per cent of </w:t>
      </w:r>
      <w:r>
        <w:rPr>
          <w:lang w:eastAsia="en-US"/>
        </w:rPr>
        <w:t>Indigenous people who had previously been on NTER IM were still on NIM after a year.</w:t>
      </w:r>
      <w:r w:rsidR="00BB14C5">
        <w:rPr>
          <w:lang w:eastAsia="en-US"/>
        </w:rPr>
        <w:t xml:space="preserve"> </w:t>
      </w:r>
      <w:r>
        <w:rPr>
          <w:lang w:eastAsia="en-US"/>
        </w:rPr>
        <w:t>Amongst non-Indigenous people subject to compulsory forms of IM</w:t>
      </w:r>
      <w:r w:rsidR="00743696">
        <w:rPr>
          <w:lang w:eastAsia="en-US"/>
        </w:rPr>
        <w:t>,</w:t>
      </w:r>
      <w:r>
        <w:rPr>
          <w:lang w:eastAsia="en-US"/>
        </w:rPr>
        <w:t xml:space="preserve"> around 45 to 60 per cent exit within a year. </w:t>
      </w:r>
    </w:p>
    <w:p w:rsidR="0022069A" w:rsidRPr="005911E2" w:rsidRDefault="0022069A" w:rsidP="0022069A">
      <w:pPr>
        <w:pStyle w:val="BodyText"/>
        <w:rPr>
          <w:lang w:eastAsia="en-US"/>
        </w:rPr>
      </w:pPr>
      <w:r w:rsidRPr="005911E2">
        <w:rPr>
          <w:lang w:eastAsia="en-US"/>
        </w:rPr>
        <w:t xml:space="preserve">The most dominant demographic feature of the </w:t>
      </w:r>
      <w:r w:rsidR="00F878E4">
        <w:rPr>
          <w:lang w:eastAsia="en-US"/>
        </w:rPr>
        <w:t>income management</w:t>
      </w:r>
      <w:r w:rsidRPr="005911E2">
        <w:rPr>
          <w:lang w:eastAsia="en-US"/>
        </w:rPr>
        <w:t xml:space="preserve"> population is the predominance of Indigenous Australians who, while accounting for 72 per cent of income </w:t>
      </w:r>
      <w:r w:rsidR="00D66200">
        <w:rPr>
          <w:lang w:eastAsia="en-US"/>
        </w:rPr>
        <w:t>support</w:t>
      </w:r>
      <w:r w:rsidR="00D66200" w:rsidRPr="005911E2">
        <w:rPr>
          <w:lang w:eastAsia="en-US"/>
        </w:rPr>
        <w:t xml:space="preserve"> </w:t>
      </w:r>
      <w:r w:rsidRPr="005911E2">
        <w:rPr>
          <w:lang w:eastAsia="en-US"/>
        </w:rPr>
        <w:t xml:space="preserve">recipients in the Northern Territory, account for 91 per cent of the population subject to </w:t>
      </w:r>
      <w:r w:rsidR="00F878E4">
        <w:rPr>
          <w:lang w:eastAsia="en-US"/>
        </w:rPr>
        <w:t>income management</w:t>
      </w:r>
      <w:r w:rsidRPr="005911E2">
        <w:rPr>
          <w:lang w:eastAsia="en-US"/>
        </w:rPr>
        <w:t xml:space="preserve">. The population subject to </w:t>
      </w:r>
      <w:r w:rsidR="00F878E4">
        <w:rPr>
          <w:lang w:eastAsia="en-US"/>
        </w:rPr>
        <w:t>income management</w:t>
      </w:r>
      <w:r w:rsidRPr="005911E2">
        <w:rPr>
          <w:lang w:eastAsia="en-US"/>
        </w:rPr>
        <w:t xml:space="preserve"> is m</w:t>
      </w:r>
      <w:r w:rsidR="00743696">
        <w:rPr>
          <w:lang w:eastAsia="en-US"/>
        </w:rPr>
        <w:t>ore likely to be female</w:t>
      </w:r>
      <w:r w:rsidR="001D0BF6">
        <w:rPr>
          <w:lang w:eastAsia="en-US"/>
        </w:rPr>
        <w:t xml:space="preserve"> – </w:t>
      </w:r>
      <w:r w:rsidRPr="005911E2">
        <w:rPr>
          <w:lang w:eastAsia="en-US"/>
        </w:rPr>
        <w:t>61 per cent.</w:t>
      </w:r>
    </w:p>
    <w:p w:rsidR="0022069A" w:rsidRPr="005911E2" w:rsidRDefault="00D66200" w:rsidP="0022069A">
      <w:pPr>
        <w:pStyle w:val="BodyText"/>
        <w:rPr>
          <w:lang w:eastAsia="en-US"/>
        </w:rPr>
      </w:pPr>
      <w:r>
        <w:rPr>
          <w:lang w:eastAsia="en-US"/>
        </w:rPr>
        <w:t>People born o</w:t>
      </w:r>
      <w:r w:rsidR="0022069A" w:rsidRPr="005911E2">
        <w:rPr>
          <w:lang w:eastAsia="en-US"/>
        </w:rPr>
        <w:t xml:space="preserve">verseas form only a very small part of the </w:t>
      </w:r>
      <w:r w:rsidR="00F878E4">
        <w:rPr>
          <w:lang w:eastAsia="en-US"/>
        </w:rPr>
        <w:t>income management</w:t>
      </w:r>
      <w:r w:rsidR="0022069A" w:rsidRPr="005911E2">
        <w:rPr>
          <w:lang w:eastAsia="en-US"/>
        </w:rPr>
        <w:t xml:space="preserve"> population and the proportion of overseas born income support recipients on </w:t>
      </w:r>
      <w:r w:rsidR="00F878E4">
        <w:rPr>
          <w:lang w:eastAsia="en-US"/>
        </w:rPr>
        <w:t>income management</w:t>
      </w:r>
      <w:r w:rsidR="0022069A" w:rsidRPr="005911E2">
        <w:rPr>
          <w:lang w:eastAsia="en-US"/>
        </w:rPr>
        <w:t xml:space="preserve"> is lower than that for Australian born non-Indigenous people.</w:t>
      </w:r>
    </w:p>
    <w:p w:rsidR="0022069A" w:rsidRPr="005911E2" w:rsidRDefault="0022069A" w:rsidP="0022069A">
      <w:pPr>
        <w:pStyle w:val="BodyText"/>
        <w:rPr>
          <w:lang w:eastAsia="en-US"/>
        </w:rPr>
      </w:pPr>
      <w:r w:rsidRPr="005911E2">
        <w:rPr>
          <w:lang w:eastAsia="en-US"/>
        </w:rPr>
        <w:t xml:space="preserve">The age distribution of those on </w:t>
      </w:r>
      <w:r w:rsidR="002B5A5C">
        <w:rPr>
          <w:lang w:eastAsia="en-US"/>
        </w:rPr>
        <w:t>Voluntary Income Management</w:t>
      </w:r>
      <w:r w:rsidRPr="005911E2">
        <w:rPr>
          <w:lang w:eastAsia="en-US"/>
        </w:rPr>
        <w:t xml:space="preserve"> is considerably older than that on </w:t>
      </w:r>
      <w:r w:rsidR="004808B3">
        <w:rPr>
          <w:lang w:eastAsia="en-US"/>
        </w:rPr>
        <w:t>Compulsory Income Management</w:t>
      </w:r>
      <w:r w:rsidRPr="005911E2">
        <w:rPr>
          <w:lang w:eastAsia="en-US"/>
        </w:rPr>
        <w:t>.</w:t>
      </w:r>
    </w:p>
    <w:p w:rsidR="00F60CD5" w:rsidRPr="005911E2" w:rsidRDefault="00F60CD5" w:rsidP="00C0582B">
      <w:pPr>
        <w:pStyle w:val="chapterend"/>
      </w:pPr>
    </w:p>
    <w:p w:rsidR="00F60CD5" w:rsidRPr="005911E2" w:rsidRDefault="00F60CD5" w:rsidP="00B26206">
      <w:pPr>
        <w:pStyle w:val="BodyText"/>
        <w:sectPr w:rsidR="00F60CD5" w:rsidRPr="005911E2" w:rsidSect="00F357A2">
          <w:pgSz w:w="11906" w:h="16838" w:code="9"/>
          <w:pgMar w:top="1418" w:right="1797" w:bottom="1418" w:left="1230" w:header="567" w:footer="284" w:gutter="0"/>
          <w:cols w:space="708"/>
          <w:docGrid w:linePitch="360"/>
        </w:sectPr>
      </w:pPr>
    </w:p>
    <w:p w:rsidR="008552F1" w:rsidRPr="005911E2" w:rsidRDefault="008552F1" w:rsidP="00BD6DFD">
      <w:pPr>
        <w:pStyle w:val="Heading1"/>
      </w:pPr>
      <w:bookmarkStart w:id="397" w:name="_Toc321225117"/>
      <w:bookmarkStart w:id="398" w:name="_Toc321254460"/>
      <w:bookmarkStart w:id="399" w:name="_Toc328601484"/>
      <w:bookmarkStart w:id="400" w:name="_Toc329870366"/>
      <w:bookmarkStart w:id="401" w:name="_Toc335915752"/>
      <w:r w:rsidRPr="005911E2">
        <w:lastRenderedPageBreak/>
        <w:t xml:space="preserve">Analysis of </w:t>
      </w:r>
      <w:r w:rsidR="000B6577">
        <w:t>I</w:t>
      </w:r>
      <w:r w:rsidR="00F878E4">
        <w:t xml:space="preserve">ncome </w:t>
      </w:r>
      <w:r w:rsidR="000B6577">
        <w:t>M</w:t>
      </w:r>
      <w:r w:rsidR="00F878E4">
        <w:t>anagement</w:t>
      </w:r>
      <w:r w:rsidRPr="005911E2">
        <w:t xml:space="preserve"> Expenditure</w:t>
      </w:r>
      <w:bookmarkEnd w:id="397"/>
      <w:bookmarkEnd w:id="398"/>
      <w:bookmarkEnd w:id="399"/>
      <w:bookmarkEnd w:id="400"/>
      <w:bookmarkEnd w:id="401"/>
    </w:p>
    <w:p w:rsidR="001013EC" w:rsidRPr="005911E2" w:rsidRDefault="001013EC" w:rsidP="001013EC">
      <w:pPr>
        <w:pStyle w:val="BodyText"/>
      </w:pPr>
      <w:r w:rsidRPr="005911E2">
        <w:t xml:space="preserve">This chapter provides an overview of the means by which income managed funds are spent and what they are </w:t>
      </w:r>
      <w:r w:rsidR="000B6577">
        <w:t xml:space="preserve">spent on, </w:t>
      </w:r>
      <w:r w:rsidRPr="005911E2">
        <w:t xml:space="preserve">to the extent this is possible with existing data. As indicated in </w:t>
      </w:r>
      <w:r w:rsidR="000B6577">
        <w:t>C</w:t>
      </w:r>
      <w:r w:rsidRPr="005911E2">
        <w:t xml:space="preserve">hapter </w:t>
      </w:r>
      <w:r w:rsidR="006F14AA" w:rsidRPr="005911E2">
        <w:t>3</w:t>
      </w:r>
      <w:r w:rsidRPr="005911E2">
        <w:t xml:space="preserve">, this data only affords a partial insight into the spending of people on </w:t>
      </w:r>
      <w:r w:rsidR="00F878E4">
        <w:t>income management</w:t>
      </w:r>
      <w:r w:rsidRPr="005911E2">
        <w:t xml:space="preserve">. The limitations of the data relate </w:t>
      </w:r>
      <w:r w:rsidR="00397CDC">
        <w:t>to</w:t>
      </w:r>
      <w:r w:rsidR="00397CDC" w:rsidRPr="005911E2">
        <w:t xml:space="preserve"> </w:t>
      </w:r>
      <w:r w:rsidRPr="005911E2">
        <w:t>the fact that</w:t>
      </w:r>
      <w:r w:rsidR="00601E30">
        <w:t xml:space="preserve"> </w:t>
      </w:r>
      <w:r w:rsidRPr="005911E2">
        <w:t xml:space="preserve">only information on the income managed component of </w:t>
      </w:r>
      <w:r w:rsidR="000B6577">
        <w:t>a person</w:t>
      </w:r>
      <w:r w:rsidR="00CF78DB">
        <w:t>’</w:t>
      </w:r>
      <w:r w:rsidR="000B6577">
        <w:t xml:space="preserve">s </w:t>
      </w:r>
      <w:r w:rsidRPr="005911E2">
        <w:t>income is available, and</w:t>
      </w:r>
      <w:r w:rsidR="00601E30">
        <w:t xml:space="preserve"> </w:t>
      </w:r>
      <w:r w:rsidRPr="005911E2">
        <w:t xml:space="preserve">only limited information is available on the actual items </w:t>
      </w:r>
      <w:r w:rsidR="00766188">
        <w:t>purchased with</w:t>
      </w:r>
      <w:r w:rsidRPr="005911E2">
        <w:t xml:space="preserve"> </w:t>
      </w:r>
      <w:r w:rsidR="00F878E4">
        <w:t>income management</w:t>
      </w:r>
      <w:r w:rsidRPr="005911E2">
        <w:t xml:space="preserve"> funds. </w:t>
      </w:r>
    </w:p>
    <w:p w:rsidR="001013EC" w:rsidRPr="005911E2" w:rsidRDefault="001013EC" w:rsidP="001013EC">
      <w:pPr>
        <w:pStyle w:val="BodyText"/>
      </w:pPr>
      <w:r w:rsidRPr="005911E2">
        <w:t xml:space="preserve">As outlined in Chapter </w:t>
      </w:r>
      <w:r w:rsidR="006F14AA" w:rsidRPr="005911E2">
        <w:t>2</w:t>
      </w:r>
      <w:r w:rsidR="000B6577">
        <w:t>,</w:t>
      </w:r>
      <w:r w:rsidRPr="005911E2">
        <w:t xml:space="preserve"> </w:t>
      </w:r>
      <w:r w:rsidR="000B6577">
        <w:t>i</w:t>
      </w:r>
      <w:r w:rsidRPr="005911E2">
        <w:t>ncome managed funds can be expended in several different ways. These include:</w:t>
      </w:r>
    </w:p>
    <w:p w:rsidR="001013EC" w:rsidRPr="005911E2" w:rsidRDefault="001013EC" w:rsidP="00051CDC">
      <w:pPr>
        <w:pStyle w:val="ListBullet"/>
      </w:pPr>
      <w:r w:rsidRPr="005911E2">
        <w:t>being allocate</w:t>
      </w:r>
      <w:r w:rsidR="000B6577">
        <w:t>d</w:t>
      </w:r>
      <w:r w:rsidRPr="005911E2">
        <w:t xml:space="preserve"> to a person’s BasicsCard; this then allows the person to spend the money on items at outlets that have gained agreement to become BasicsCard merchants</w:t>
      </w:r>
      <w:r w:rsidR="007558E5">
        <w:t xml:space="preserve">. </w:t>
      </w:r>
      <w:r w:rsidR="000B6577">
        <w:t>I</w:t>
      </w:r>
      <w:r w:rsidR="00F878E4">
        <w:t xml:space="preserve">ncome </w:t>
      </w:r>
      <w:r w:rsidR="00397CDC">
        <w:t xml:space="preserve">managed </w:t>
      </w:r>
      <w:r w:rsidR="007558E5">
        <w:t>funds cannot be spent on excluded items</w:t>
      </w:r>
      <w:r w:rsidRPr="005911E2">
        <w:t xml:space="preserve"> (Chapter 6 provides more details)</w:t>
      </w:r>
    </w:p>
    <w:p w:rsidR="001013EC" w:rsidRPr="005911E2" w:rsidRDefault="001013EC" w:rsidP="00051CDC">
      <w:pPr>
        <w:pStyle w:val="ListBullet"/>
      </w:pPr>
      <w:r w:rsidRPr="005911E2">
        <w:t xml:space="preserve">the direct payment by Centrelink of regular costs, such as </w:t>
      </w:r>
      <w:r w:rsidR="00397CDC">
        <w:t xml:space="preserve">for </w:t>
      </w:r>
      <w:r w:rsidRPr="005911E2">
        <w:t>housing. This is similar to the existing Centrepay facility</w:t>
      </w:r>
    </w:p>
    <w:p w:rsidR="001013EC" w:rsidRPr="005911E2" w:rsidRDefault="001013EC" w:rsidP="00051CDC">
      <w:pPr>
        <w:pStyle w:val="ListBullet"/>
      </w:pPr>
      <w:r w:rsidRPr="005911E2">
        <w:t>payment of specific bills by request. In this type of arrangement, individuals’ contact Centrelink and ask for particular bills to be paid on their behalf. Centrelink may use a range of mechanisms to pay these bills including direct transfer of funds or by credit card. At the time a person requests such a payment to be made, Centrelink assesses whether or not the item is acceptable in terms of the use of income managed funds</w:t>
      </w:r>
    </w:p>
    <w:p w:rsidR="001013EC" w:rsidRPr="005911E2" w:rsidRDefault="001013EC" w:rsidP="00051CDC">
      <w:pPr>
        <w:pStyle w:val="ListBullet"/>
      </w:pPr>
      <w:r w:rsidRPr="005911E2">
        <w:t xml:space="preserve">direct allocation to stores where people undertake purchases. Again, these payments are made conditional upon the stores agreeing that the funds will only be used for the purchase of </w:t>
      </w:r>
      <w:r w:rsidR="0041164A">
        <w:t xml:space="preserve">non excluded </w:t>
      </w:r>
      <w:r w:rsidRPr="005911E2">
        <w:t>items</w:t>
      </w:r>
    </w:p>
    <w:p w:rsidR="001013EC" w:rsidRPr="005911E2" w:rsidRDefault="001013EC" w:rsidP="00051CDC">
      <w:pPr>
        <w:pStyle w:val="ListBullet"/>
      </w:pPr>
      <w:r w:rsidRPr="005911E2">
        <w:t xml:space="preserve">at the end of a period of income management any outstanding balance is returned to the person. Where such a return is made it is usually made at a maximum </w:t>
      </w:r>
      <w:r w:rsidR="00397CDC">
        <w:t xml:space="preserve">rate </w:t>
      </w:r>
      <w:r w:rsidRPr="005911E2">
        <w:t>of $100 per week.</w:t>
      </w:r>
      <w:r w:rsidRPr="005911E2">
        <w:rPr>
          <w:rStyle w:val="FootnoteReference"/>
        </w:rPr>
        <w:footnoteReference w:id="55"/>
      </w:r>
    </w:p>
    <w:p w:rsidR="001013EC" w:rsidRPr="005911E2" w:rsidRDefault="001013EC" w:rsidP="001013EC">
      <w:pPr>
        <w:pStyle w:val="BodyText"/>
      </w:pPr>
      <w:r w:rsidRPr="005911E2">
        <w:t xml:space="preserve">When a person is about to enter into income management they have an ‘allocation interview’ with Centrelink. </w:t>
      </w:r>
      <w:r w:rsidR="00204B0A">
        <w:t>A Centrelink Customer Service Adviser</w:t>
      </w:r>
      <w:r w:rsidRPr="005911E2">
        <w:t xml:space="preserve"> works through the person’s budget with them and a decision is taken on how the portion of income which </w:t>
      </w:r>
      <w:r w:rsidR="00204B0A">
        <w:t>is</w:t>
      </w:r>
      <w:r w:rsidRPr="005911E2">
        <w:t xml:space="preserve"> being income managed should be divided between different areas of spending.</w:t>
      </w:r>
    </w:p>
    <w:p w:rsidR="001013EC" w:rsidRPr="005911E2" w:rsidRDefault="001013EC" w:rsidP="001013EC">
      <w:pPr>
        <w:rPr>
          <w:rFonts w:ascii="Times New Roman" w:hAnsi="Times New Roman"/>
          <w:sz w:val="24"/>
          <w:szCs w:val="24"/>
          <w:lang w:eastAsia="en-AU" w:bidi="ar-SA"/>
        </w:rPr>
      </w:pPr>
      <w:r w:rsidRPr="005911E2">
        <w:lastRenderedPageBreak/>
        <w:t>Since the introduction of NIM in July 2010</w:t>
      </w:r>
      <w:r w:rsidR="00204B0A">
        <w:t>,</w:t>
      </w:r>
      <w:r w:rsidRPr="005911E2">
        <w:t xml:space="preserve"> a total of $428 million of income support and related payments have been income managed.</w:t>
      </w:r>
    </w:p>
    <w:p w:rsidR="001013EC" w:rsidRPr="005911E2" w:rsidRDefault="001013EC" w:rsidP="001013EC">
      <w:pPr>
        <w:pStyle w:val="BodyText"/>
      </w:pPr>
      <w:r w:rsidRPr="005911E2">
        <w:t xml:space="preserve">In analysing the way in which these funds have been spent the evaluation has primarily used two datasets developed by Centrelink and provided through FaHCSIA for the evaluation. </w:t>
      </w:r>
      <w:r w:rsidR="00601E30">
        <w:t xml:space="preserve">These datasets were </w:t>
      </w:r>
      <w:r w:rsidRPr="005911E2">
        <w:t>de-identified</w:t>
      </w:r>
      <w:r w:rsidR="00601E30">
        <w:t>,</w:t>
      </w:r>
      <w:r w:rsidRPr="005911E2">
        <w:t xml:space="preserve"> both with respect to </w:t>
      </w:r>
      <w:r w:rsidR="00204B0A">
        <w:t xml:space="preserve">the </w:t>
      </w:r>
      <w:r w:rsidRPr="005911E2">
        <w:t xml:space="preserve">individuals being income managed and </w:t>
      </w:r>
      <w:r w:rsidR="00204B0A">
        <w:t xml:space="preserve">the </w:t>
      </w:r>
      <w:r w:rsidRPr="005911E2">
        <w:t>merchants</w:t>
      </w:r>
      <w:r w:rsidR="00204B0A">
        <w:t xml:space="preserve"> involved</w:t>
      </w:r>
      <w:r w:rsidRPr="005911E2">
        <w:t xml:space="preserve">. </w:t>
      </w:r>
    </w:p>
    <w:p w:rsidR="001013EC" w:rsidRPr="005911E2" w:rsidRDefault="001013EC" w:rsidP="001013EC">
      <w:pPr>
        <w:pStyle w:val="BodyText"/>
      </w:pPr>
      <w:r w:rsidRPr="005911E2">
        <w:t>While this data is available for a range of time periods, the focus in this analysis is on allocations in the fortnight ending 28 October 2011 (i</w:t>
      </w:r>
      <w:r w:rsidR="00204B0A">
        <w:t>.</w:t>
      </w:r>
      <w:r w:rsidRPr="005911E2">
        <w:t>e</w:t>
      </w:r>
      <w:r w:rsidR="00204B0A">
        <w:t>.</w:t>
      </w:r>
      <w:r w:rsidRPr="005911E2">
        <w:t xml:space="preserve"> the last fortnight for which data were available for this report). This time period is considered to be broadly representative of the NIM program.</w:t>
      </w:r>
    </w:p>
    <w:p w:rsidR="001013EC" w:rsidRPr="005911E2" w:rsidRDefault="001013EC" w:rsidP="00616B0F">
      <w:pPr>
        <w:pStyle w:val="Heading2"/>
      </w:pPr>
      <w:bookmarkStart w:id="402" w:name="_Toc321225118"/>
      <w:bookmarkStart w:id="403" w:name="_Toc321761603"/>
      <w:bookmarkStart w:id="404" w:name="_Toc321254461"/>
      <w:bookmarkStart w:id="405" w:name="_Toc328601485"/>
      <w:bookmarkStart w:id="406" w:name="_Toc329870367"/>
      <w:bookmarkStart w:id="407" w:name="_Toc335915753"/>
      <w:r w:rsidRPr="005911E2">
        <w:t>The broad allocation of income managed funds</w:t>
      </w:r>
      <w:bookmarkEnd w:id="402"/>
      <w:bookmarkEnd w:id="403"/>
      <w:bookmarkEnd w:id="404"/>
      <w:bookmarkEnd w:id="405"/>
      <w:bookmarkEnd w:id="406"/>
      <w:bookmarkEnd w:id="407"/>
    </w:p>
    <w:p w:rsidR="001013EC" w:rsidRPr="005911E2" w:rsidRDefault="001013EC" w:rsidP="001013EC">
      <w:pPr>
        <w:rPr>
          <w:rStyle w:val="BodyTextChar"/>
        </w:rPr>
      </w:pPr>
      <w:r w:rsidRPr="005911E2">
        <w:t xml:space="preserve">In the </w:t>
      </w:r>
      <w:r w:rsidRPr="005911E2">
        <w:rPr>
          <w:rStyle w:val="BodyTextChar"/>
        </w:rPr>
        <w:t>fortnight ending 28 October 2011, a total of $6</w:t>
      </w:r>
      <w:r w:rsidR="00CF78DB">
        <w:rPr>
          <w:rStyle w:val="BodyTextChar"/>
        </w:rPr>
        <w:t> </w:t>
      </w:r>
      <w:r w:rsidRPr="005911E2">
        <w:rPr>
          <w:rStyle w:val="BodyTextChar"/>
        </w:rPr>
        <w:t>442</w:t>
      </w:r>
      <w:r w:rsidR="00CF78DB">
        <w:rPr>
          <w:rStyle w:val="BodyTextChar"/>
        </w:rPr>
        <w:t> </w:t>
      </w:r>
      <w:r w:rsidRPr="005911E2">
        <w:rPr>
          <w:rStyle w:val="BodyTextChar"/>
        </w:rPr>
        <w:t>235 of income managed funds were allocated</w:t>
      </w:r>
      <w:r w:rsidRPr="005911E2">
        <w:rPr>
          <w:rStyle w:val="FootnoteReference"/>
        </w:rPr>
        <w:footnoteReference w:id="56"/>
      </w:r>
      <w:r w:rsidRPr="005911E2">
        <w:rPr>
          <w:rStyle w:val="BodyTextChar"/>
        </w:rPr>
        <w:t xml:space="preserve"> on behalf of 16</w:t>
      </w:r>
      <w:r w:rsidR="00CF78DB">
        <w:rPr>
          <w:rStyle w:val="BodyTextChar"/>
        </w:rPr>
        <w:t> </w:t>
      </w:r>
      <w:r w:rsidRPr="005911E2">
        <w:rPr>
          <w:rStyle w:val="BodyTextChar"/>
        </w:rPr>
        <w:t>393 individuals</w:t>
      </w:r>
      <w:r w:rsidR="00204B0A">
        <w:rPr>
          <w:rStyle w:val="BodyTextChar"/>
        </w:rPr>
        <w:t>.</w:t>
      </w:r>
      <w:r w:rsidRPr="005911E2">
        <w:rPr>
          <w:rStyle w:val="FootnoteReference"/>
        </w:rPr>
        <w:footnoteReference w:id="57"/>
      </w:r>
      <w:r w:rsidRPr="005911E2">
        <w:rPr>
          <w:rStyle w:val="BodyTextChar"/>
        </w:rPr>
        <w:t xml:space="preserve"> </w:t>
      </w:r>
      <w:r w:rsidR="00CF78DB" w:rsidRPr="005911E2">
        <w:rPr>
          <w:rStyle w:val="BodyTextChar"/>
        </w:rPr>
        <w:t>Th</w:t>
      </w:r>
      <w:r w:rsidR="00CF78DB">
        <w:rPr>
          <w:rStyle w:val="BodyTextChar"/>
        </w:rPr>
        <w:t>is represents an</w:t>
      </w:r>
      <w:r w:rsidR="00CF78DB" w:rsidRPr="005911E2">
        <w:rPr>
          <w:rStyle w:val="BodyTextChar"/>
        </w:rPr>
        <w:t xml:space="preserve"> </w:t>
      </w:r>
      <w:r w:rsidRPr="005911E2">
        <w:rPr>
          <w:rStyle w:val="BodyTextChar"/>
        </w:rPr>
        <w:t xml:space="preserve">average </w:t>
      </w:r>
      <w:r w:rsidR="00CF78DB">
        <w:rPr>
          <w:rStyle w:val="BodyTextChar"/>
        </w:rPr>
        <w:t xml:space="preserve">fortnightly </w:t>
      </w:r>
      <w:r w:rsidRPr="005911E2">
        <w:rPr>
          <w:rStyle w:val="BodyTextChar"/>
        </w:rPr>
        <w:t xml:space="preserve">allocation </w:t>
      </w:r>
      <w:r w:rsidR="00CF78DB">
        <w:rPr>
          <w:rStyle w:val="BodyTextChar"/>
        </w:rPr>
        <w:t>of</w:t>
      </w:r>
      <w:r w:rsidR="00CF78DB" w:rsidRPr="005911E2">
        <w:rPr>
          <w:rStyle w:val="BodyTextChar"/>
        </w:rPr>
        <w:t xml:space="preserve"> </w:t>
      </w:r>
      <w:r w:rsidRPr="005911E2">
        <w:rPr>
          <w:rStyle w:val="BodyTextChar"/>
        </w:rPr>
        <w:t xml:space="preserve">$296 and </w:t>
      </w:r>
      <w:r w:rsidR="00CF78DB">
        <w:rPr>
          <w:rStyle w:val="BodyTextChar"/>
        </w:rPr>
        <w:t>a</w:t>
      </w:r>
      <w:r w:rsidR="00CF78DB" w:rsidRPr="005911E2">
        <w:rPr>
          <w:rStyle w:val="BodyTextChar"/>
        </w:rPr>
        <w:t xml:space="preserve"> </w:t>
      </w:r>
      <w:r w:rsidRPr="005911E2">
        <w:rPr>
          <w:rStyle w:val="BodyTextChar"/>
        </w:rPr>
        <w:t xml:space="preserve">median </w:t>
      </w:r>
      <w:r w:rsidR="00CF78DB">
        <w:rPr>
          <w:rStyle w:val="BodyTextChar"/>
        </w:rPr>
        <w:t xml:space="preserve">fortnightly </w:t>
      </w:r>
      <w:r w:rsidRPr="005911E2">
        <w:rPr>
          <w:rStyle w:val="BodyTextChar"/>
        </w:rPr>
        <w:t xml:space="preserve">allocation </w:t>
      </w:r>
      <w:r w:rsidR="00397CDC">
        <w:rPr>
          <w:rStyle w:val="BodyTextChar"/>
        </w:rPr>
        <w:t>of</w:t>
      </w:r>
      <w:r w:rsidR="00397CDC" w:rsidRPr="005911E2">
        <w:rPr>
          <w:rStyle w:val="BodyTextChar"/>
        </w:rPr>
        <w:t xml:space="preserve"> </w:t>
      </w:r>
      <w:r w:rsidRPr="005911E2">
        <w:rPr>
          <w:rStyle w:val="BodyTextChar"/>
        </w:rPr>
        <w:t>$318.</w:t>
      </w:r>
    </w:p>
    <w:p w:rsidR="001013EC" w:rsidRPr="005911E2" w:rsidRDefault="00C057B9" w:rsidP="001013EC">
      <w:pPr>
        <w:pStyle w:val="BodyText"/>
      </w:pPr>
      <w:r w:rsidRPr="005911E2">
        <w:t>As</w:t>
      </w:r>
      <w:r w:rsidR="001013EC" w:rsidRPr="005911E2">
        <w:t xml:space="preserve"> illustrated in Figure </w:t>
      </w:r>
      <w:r w:rsidR="001013EC" w:rsidRPr="005911E2">
        <w:rPr>
          <w:noProof/>
        </w:rPr>
        <w:t>5</w:t>
      </w:r>
      <w:r w:rsidR="001013EC" w:rsidRPr="005911E2">
        <w:noBreakHyphen/>
      </w:r>
      <w:r w:rsidR="001013EC" w:rsidRPr="005911E2">
        <w:rPr>
          <w:noProof/>
        </w:rPr>
        <w:t>1</w:t>
      </w:r>
      <w:r w:rsidR="001013EC" w:rsidRPr="005911E2">
        <w:t xml:space="preserve">, </w:t>
      </w:r>
      <w:r w:rsidRPr="005911E2">
        <w:t>most</w:t>
      </w:r>
      <w:r>
        <w:t xml:space="preserve"> funds</w:t>
      </w:r>
      <w:r w:rsidRPr="005911E2">
        <w:t xml:space="preserve"> </w:t>
      </w:r>
      <w:r w:rsidR="001013EC" w:rsidRPr="005911E2">
        <w:t>were allocated to people’s BasicsCards. Indeed 76 per cent of funds were allocated for this purpose, 10 per cent w</w:t>
      </w:r>
      <w:r w:rsidR="00204B0A">
        <w:t>ere</w:t>
      </w:r>
      <w:r w:rsidR="001013EC" w:rsidRPr="005911E2">
        <w:t xml:space="preserve"> allocated for housing, 0.6 per cent for utilities, 3 per cent for the School Nutrition Program</w:t>
      </w:r>
      <w:r w:rsidR="00204B0A">
        <w:t>,</w:t>
      </w:r>
      <w:r w:rsidR="001013EC" w:rsidRPr="005911E2">
        <w:t xml:space="preserve"> and 12 per cent for a range of other purposes.</w:t>
      </w:r>
    </w:p>
    <w:p w:rsidR="001013EC" w:rsidRPr="005911E2" w:rsidRDefault="001013EC" w:rsidP="001246B9">
      <w:pPr>
        <w:pStyle w:val="tabfighead"/>
        <w:spacing w:after="0"/>
      </w:pPr>
      <w:bookmarkStart w:id="408" w:name="_Ref319601822"/>
      <w:bookmarkStart w:id="409" w:name="_Toc321761752"/>
      <w:bookmarkStart w:id="410" w:name="_Toc328601655"/>
      <w:bookmarkStart w:id="411" w:name="_Toc335915921"/>
      <w:r w:rsidRPr="005911E2">
        <w:t xml:space="preserve">Figure </w:t>
      </w:r>
      <w:r w:rsidR="00C7347D">
        <w:fldChar w:fldCharType="begin"/>
      </w:r>
      <w:r w:rsidR="00E74851">
        <w:instrText xml:space="preserve"> STYLEREF 1 \s </w:instrText>
      </w:r>
      <w:r w:rsidR="00C7347D">
        <w:fldChar w:fldCharType="separate"/>
      </w:r>
      <w:r w:rsidR="007D7E45">
        <w:rPr>
          <w:noProof/>
        </w:rPr>
        <w:t>5</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1</w:t>
      </w:r>
      <w:r w:rsidR="00C7347D">
        <w:fldChar w:fldCharType="end"/>
      </w:r>
      <w:bookmarkEnd w:id="408"/>
      <w:r w:rsidRPr="005911E2">
        <w:tab/>
      </w:r>
      <w:r w:rsidR="006435C8">
        <w:t>Northern Territory,</w:t>
      </w:r>
      <w:r w:rsidRPr="005911E2">
        <w:t xml:space="preserve"> Composition of </w:t>
      </w:r>
      <w:r w:rsidR="00593501">
        <w:t xml:space="preserve">total </w:t>
      </w:r>
      <w:r w:rsidRPr="005911E2">
        <w:t>allocations of income managed funds: fortnight ending 28 October 2011</w:t>
      </w:r>
      <w:bookmarkEnd w:id="409"/>
      <w:bookmarkEnd w:id="410"/>
      <w:bookmarkEnd w:id="411"/>
    </w:p>
    <w:tbl>
      <w:tblPr>
        <w:tblStyle w:val="TableGrid"/>
        <w:tblW w:w="0" w:type="auto"/>
        <w:jc w:val="right"/>
        <w:tblLayout w:type="fixed"/>
        <w:tblLook w:val="04A0" w:firstRow="1" w:lastRow="0" w:firstColumn="1" w:lastColumn="0" w:noHBand="0" w:noVBand="1"/>
        <w:tblCaption w:val="Figure 5-1 Northern Territory, Composition of total allocations of income managed funds: fortnight ending 28 October 2011"/>
        <w:tblDescription w:val="Figure 5-1 Northern Territory, Composition of total allocations of income managed funds: fortnight ending 28 October 2011"/>
      </w:tblPr>
      <w:tblGrid>
        <w:gridCol w:w="6935"/>
      </w:tblGrid>
      <w:tr w:rsidR="001013EC" w:rsidRPr="005911E2" w:rsidTr="009D15E2">
        <w:trPr>
          <w:tblHeader/>
          <w:jc w:val="right"/>
        </w:trPr>
        <w:tc>
          <w:tcPr>
            <w:tcW w:w="6935" w:type="dxa"/>
            <w:tcBorders>
              <w:top w:val="nil"/>
              <w:left w:val="nil"/>
              <w:bottom w:val="nil"/>
              <w:right w:val="nil"/>
            </w:tcBorders>
            <w:shd w:val="clear" w:color="auto" w:fill="auto"/>
          </w:tcPr>
          <w:p w:rsidR="001013EC" w:rsidRPr="005911E2" w:rsidRDefault="0093347F" w:rsidP="001013EC">
            <w:pPr>
              <w:pStyle w:val="TableText"/>
            </w:pPr>
            <w:r>
              <w:rPr>
                <w:noProof/>
                <w:lang w:eastAsia="en-AU" w:bidi="ar-SA"/>
              </w:rPr>
              <w:drawing>
                <wp:inline distT="0" distB="0" distL="0" distR="0" wp14:anchorId="705A7DCA" wp14:editId="5A98ABBD">
                  <wp:extent cx="4259580" cy="2453640"/>
                  <wp:effectExtent l="0" t="0" r="7620" b="3810"/>
                  <wp:docPr id="34" name="Picture 3" descr="Figure 5-1 Northern Territory, Composition of total allocations of income managed funds: fortnight ending 28 October 2011" title="Figure 5-1 Northern Territory, Composition of total allocations of income managed funds: fortnight ending 28 Octo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srcRect/>
                          <a:stretch>
                            <a:fillRect/>
                          </a:stretch>
                        </pic:blipFill>
                        <pic:spPr bwMode="auto">
                          <a:xfrm>
                            <a:off x="0" y="0"/>
                            <a:ext cx="4259580" cy="2453640"/>
                          </a:xfrm>
                          <a:prstGeom prst="rect">
                            <a:avLst/>
                          </a:prstGeom>
                          <a:noFill/>
                          <a:ln w="9525">
                            <a:noFill/>
                            <a:miter lim="800000"/>
                            <a:headEnd/>
                            <a:tailEnd/>
                          </a:ln>
                        </pic:spPr>
                      </pic:pic>
                    </a:graphicData>
                  </a:graphic>
                </wp:inline>
              </w:drawing>
            </w:r>
          </w:p>
        </w:tc>
      </w:tr>
    </w:tbl>
    <w:p w:rsidR="001013EC" w:rsidRPr="005911E2" w:rsidRDefault="001013EC" w:rsidP="003B4A1A">
      <w:pPr>
        <w:pStyle w:val="tablefootnoteslastline"/>
        <w:rPr>
          <w:lang w:eastAsia="en-AU"/>
        </w:rPr>
      </w:pPr>
      <w:r w:rsidRPr="005911E2">
        <w:rPr>
          <w:lang w:eastAsia="en-AU"/>
        </w:rPr>
        <w:t xml:space="preserve">Source: </w:t>
      </w:r>
      <w:r w:rsidR="00CF78DB">
        <w:rPr>
          <w:lang w:eastAsia="en-AU"/>
        </w:rPr>
        <w:tab/>
      </w:r>
      <w:r w:rsidRPr="005911E2">
        <w:rPr>
          <w:lang w:eastAsia="en-AU"/>
        </w:rPr>
        <w:t>Derived from Centrelink fortnightly expenses report file for fortnight ending 28 October 2011</w:t>
      </w:r>
      <w:r w:rsidR="00943DCB">
        <w:rPr>
          <w:lang w:eastAsia="en-AU"/>
        </w:rPr>
        <w:t>.</w:t>
      </w:r>
    </w:p>
    <w:p w:rsidR="001013EC" w:rsidRPr="005911E2" w:rsidRDefault="001013EC" w:rsidP="001013EC">
      <w:pPr>
        <w:pStyle w:val="BodyText"/>
      </w:pPr>
      <w:r w:rsidRPr="005911E2">
        <w:lastRenderedPageBreak/>
        <w:t xml:space="preserve">In turn, the major </w:t>
      </w:r>
      <w:r w:rsidR="00A97BF6" w:rsidRPr="005911E2">
        <w:t>share of funds allocated to the BasicsCard is</w:t>
      </w:r>
      <w:r w:rsidRPr="005911E2">
        <w:t xml:space="preserve"> spent at supermarkets (61 per cent), convenience stores (13 per cent</w:t>
      </w:r>
      <w:r w:rsidR="00204B0A">
        <w:t>)</w:t>
      </w:r>
      <w:r w:rsidRPr="005911E2">
        <w:t xml:space="preserve"> and department stores (9 per cent), as illustrated in</w:t>
      </w:r>
      <w:r w:rsidR="00CF78DB">
        <w:t xml:space="preserve"> </w:t>
      </w:r>
      <w:r w:rsidR="00C7347D">
        <w:fldChar w:fldCharType="begin"/>
      </w:r>
      <w:r w:rsidR="00CF78DB">
        <w:instrText xml:space="preserve"> REF _Ref320792772 \h </w:instrText>
      </w:r>
      <w:r w:rsidR="00C7347D">
        <w:fldChar w:fldCharType="separate"/>
      </w:r>
      <w:r w:rsidR="007D7E45" w:rsidRPr="005911E2">
        <w:t xml:space="preserve">Figure </w:t>
      </w:r>
      <w:r w:rsidR="007D7E45">
        <w:rPr>
          <w:noProof/>
        </w:rPr>
        <w:t>5</w:t>
      </w:r>
      <w:r w:rsidR="007D7E45">
        <w:noBreakHyphen/>
      </w:r>
      <w:r w:rsidR="007D7E45">
        <w:rPr>
          <w:noProof/>
        </w:rPr>
        <w:t>2</w:t>
      </w:r>
      <w:r w:rsidR="00C7347D">
        <w:fldChar w:fldCharType="end"/>
      </w:r>
      <w:r w:rsidRPr="005911E2">
        <w:t>.</w:t>
      </w:r>
    </w:p>
    <w:p w:rsidR="001013EC" w:rsidRPr="005911E2" w:rsidRDefault="001013EC" w:rsidP="001246B9">
      <w:pPr>
        <w:pStyle w:val="tabfighead"/>
        <w:spacing w:after="0"/>
      </w:pPr>
      <w:bookmarkStart w:id="412" w:name="_Ref320792772"/>
      <w:bookmarkStart w:id="413" w:name="_Ref319603503"/>
      <w:bookmarkStart w:id="414" w:name="_Toc321761753"/>
      <w:bookmarkStart w:id="415" w:name="_Toc321254602"/>
      <w:bookmarkStart w:id="416" w:name="_Toc328601656"/>
      <w:bookmarkStart w:id="417" w:name="_Toc335915922"/>
      <w:r w:rsidRPr="005911E2">
        <w:t xml:space="preserve">Figure </w:t>
      </w:r>
      <w:r w:rsidR="00C7347D">
        <w:fldChar w:fldCharType="begin"/>
      </w:r>
      <w:r w:rsidR="00E74851">
        <w:instrText xml:space="preserve"> STYLEREF 1 \s </w:instrText>
      </w:r>
      <w:r w:rsidR="00C7347D">
        <w:fldChar w:fldCharType="separate"/>
      </w:r>
      <w:r w:rsidR="007D7E45">
        <w:rPr>
          <w:noProof/>
        </w:rPr>
        <w:t>5</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2</w:t>
      </w:r>
      <w:r w:rsidR="00C7347D">
        <w:fldChar w:fldCharType="end"/>
      </w:r>
      <w:bookmarkEnd w:id="412"/>
      <w:r w:rsidRPr="005911E2">
        <w:t xml:space="preserve"> </w:t>
      </w:r>
      <w:r w:rsidRPr="005911E2">
        <w:tab/>
      </w:r>
      <w:r w:rsidR="006435C8">
        <w:t>Northern Territory,</w:t>
      </w:r>
      <w:r w:rsidRPr="005911E2">
        <w:t xml:space="preserve"> Composition of </w:t>
      </w:r>
      <w:r w:rsidR="00593501">
        <w:t xml:space="preserve">total </w:t>
      </w:r>
      <w:r w:rsidRPr="005911E2">
        <w:t>spending on BasicsCard by type of outlet, fortnight ending 28 October 2011</w:t>
      </w:r>
      <w:bookmarkEnd w:id="413"/>
      <w:bookmarkEnd w:id="414"/>
      <w:bookmarkEnd w:id="415"/>
      <w:bookmarkEnd w:id="416"/>
      <w:bookmarkEnd w:id="417"/>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2 Northern Territory, Composition of total spending on BasicsCard by type of outlet, fortnight ending 28 October 2011"/>
        <w:tblDescription w:val="Figure 5-2 Northern Territory, Composition of total spending on BasicsCard by type of outlet, fortnight ending 28 October 2011"/>
      </w:tblPr>
      <w:tblGrid>
        <w:gridCol w:w="8991"/>
      </w:tblGrid>
      <w:tr w:rsidR="001013EC" w:rsidRPr="005911E2" w:rsidTr="009D15E2">
        <w:trPr>
          <w:tblHeader/>
          <w:jc w:val="right"/>
        </w:trPr>
        <w:tc>
          <w:tcPr>
            <w:tcW w:w="7394" w:type="dxa"/>
            <w:shd w:val="clear" w:color="auto" w:fill="auto"/>
          </w:tcPr>
          <w:p w:rsidR="001013EC" w:rsidRPr="005911E2" w:rsidRDefault="003B4A1A" w:rsidP="001013EC">
            <w:pPr>
              <w:pStyle w:val="BodyText"/>
              <w:jc w:val="right"/>
            </w:pPr>
            <w:r>
              <w:rPr>
                <w:noProof/>
                <w:lang w:bidi="ar-SA"/>
              </w:rPr>
              <w:drawing>
                <wp:inline distT="0" distB="0" distL="0" distR="0" wp14:anchorId="422256B7" wp14:editId="3A658958">
                  <wp:extent cx="4427220" cy="2743200"/>
                  <wp:effectExtent l="0" t="0" r="0" b="0"/>
                  <wp:docPr id="51" name="Picture 33" descr="Figure 5-2 Northern Territory, Composition of total spending on BasicsCard by type of outlet, fortnight ending 28 October 2011" title="Figure 5-2 Northern Territory, Composition of total spending on BasicsCard by type of outlet, fortnight ending 28 Octo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27220" cy="2743200"/>
                          </a:xfrm>
                          <a:prstGeom prst="rect">
                            <a:avLst/>
                          </a:prstGeom>
                          <a:noFill/>
                          <a:ln>
                            <a:noFill/>
                          </a:ln>
                        </pic:spPr>
                      </pic:pic>
                    </a:graphicData>
                  </a:graphic>
                </wp:inline>
              </w:drawing>
            </w:r>
          </w:p>
        </w:tc>
      </w:tr>
    </w:tbl>
    <w:p w:rsidR="001013EC" w:rsidRDefault="001013EC" w:rsidP="001246B9">
      <w:pPr>
        <w:pStyle w:val="tablefootnoteslastline"/>
      </w:pPr>
      <w:r w:rsidRPr="005911E2">
        <w:t xml:space="preserve">Source: </w:t>
      </w:r>
      <w:r w:rsidR="00CF78DB">
        <w:tab/>
      </w:r>
      <w:r w:rsidRPr="005911E2">
        <w:t>Derived from Centrelink BasicsC</w:t>
      </w:r>
      <w:r w:rsidRPr="007B4471">
        <w:t>a</w:t>
      </w:r>
      <w:r w:rsidRPr="005911E2">
        <w:t>rd purchase report file for fortnight ending 28</w:t>
      </w:r>
      <w:r w:rsidR="00CF78DB">
        <w:t> </w:t>
      </w:r>
      <w:r w:rsidRPr="005911E2">
        <w:t>October 2011</w:t>
      </w:r>
      <w:r w:rsidR="00943DCB">
        <w:t>.</w:t>
      </w:r>
    </w:p>
    <w:p w:rsidR="001013EC" w:rsidRPr="005911E2" w:rsidRDefault="001013EC" w:rsidP="00616B0F">
      <w:pPr>
        <w:pStyle w:val="Heading2"/>
      </w:pPr>
      <w:bookmarkStart w:id="418" w:name="_Toc321225119"/>
      <w:bookmarkStart w:id="419" w:name="_Toc321761604"/>
      <w:bookmarkStart w:id="420" w:name="_Toc321254462"/>
      <w:bookmarkStart w:id="421" w:name="_Toc328601486"/>
      <w:bookmarkStart w:id="422" w:name="_Toc329870368"/>
      <w:bookmarkStart w:id="423" w:name="_Toc335915754"/>
      <w:r w:rsidRPr="005911E2">
        <w:t>More detailed composition of spending</w:t>
      </w:r>
      <w:bookmarkEnd w:id="418"/>
      <w:bookmarkEnd w:id="419"/>
      <w:bookmarkEnd w:id="420"/>
      <w:bookmarkEnd w:id="421"/>
      <w:bookmarkEnd w:id="422"/>
      <w:bookmarkEnd w:id="423"/>
    </w:p>
    <w:p w:rsidR="001013EC" w:rsidRPr="005911E2" w:rsidRDefault="001013EC" w:rsidP="001013EC">
      <w:pPr>
        <w:pStyle w:val="BodyText"/>
      </w:pPr>
      <w:r w:rsidRPr="005911E2">
        <w:t xml:space="preserve">Building a more detailed understanding of the actual composition of spending of income managed funds is more difficult. There are two reasons for this. The first is that many items of direct expenditure of funds are recorded in terms of the way in which payments are made, rather than on the purpose of funding. For example, where Centrelink uses a credit card to pay for an interstate bus ticket, this is only recorded as being a credit card payment </w:t>
      </w:r>
      <w:r w:rsidR="002F126B">
        <w:t>and</w:t>
      </w:r>
      <w:r w:rsidR="002F126B" w:rsidRPr="005911E2">
        <w:t xml:space="preserve"> </w:t>
      </w:r>
      <w:r w:rsidRPr="005911E2">
        <w:t>the fact that it was used to pay for a bus ticket is not recorded. The second is that where money is spent using a BasicsCard, only information on the type of merchant is collected, rather than the actual details of items that are purchased.</w:t>
      </w:r>
    </w:p>
    <w:p w:rsidR="001013EC" w:rsidRPr="005911E2" w:rsidRDefault="001013EC" w:rsidP="001013EC">
      <w:pPr>
        <w:pStyle w:val="BodyText"/>
      </w:pPr>
      <w:r w:rsidRPr="005911E2">
        <w:t xml:space="preserve">As a consequence it is not possible to comprehensively track the actual end-purpose of income managed spending. Some insight however, is provided in Table </w:t>
      </w:r>
      <w:r w:rsidRPr="005911E2">
        <w:rPr>
          <w:noProof/>
        </w:rPr>
        <w:t>5</w:t>
      </w:r>
      <w:r w:rsidRPr="005911E2">
        <w:noBreakHyphen/>
      </w:r>
      <w:r w:rsidRPr="005911E2">
        <w:rPr>
          <w:noProof/>
        </w:rPr>
        <w:t>1</w:t>
      </w:r>
      <w:r w:rsidRPr="005911E2">
        <w:t xml:space="preserve"> and Table </w:t>
      </w:r>
      <w:r w:rsidRPr="005911E2">
        <w:rPr>
          <w:noProof/>
        </w:rPr>
        <w:t>5</w:t>
      </w:r>
      <w:r w:rsidRPr="005911E2">
        <w:noBreakHyphen/>
      </w:r>
      <w:r w:rsidRPr="005911E2">
        <w:rPr>
          <w:noProof/>
        </w:rPr>
        <w:t>2</w:t>
      </w:r>
      <w:r w:rsidRPr="005911E2">
        <w:t xml:space="preserve"> which show expenditure at the most detailed level available in the administrative system. In addition to showing the more detailed composition of allocations, the first of these tables reports on the proportion of people subject to </w:t>
      </w:r>
      <w:r w:rsidR="00F878E4">
        <w:t>income management</w:t>
      </w:r>
      <w:r w:rsidRPr="005911E2">
        <w:t xml:space="preserve"> who have an allocation for each of the items, and the average value of this allocation for those who have one. </w:t>
      </w:r>
    </w:p>
    <w:p w:rsidR="001013EC" w:rsidRPr="005911E2" w:rsidRDefault="001013EC" w:rsidP="001013EC">
      <w:pPr>
        <w:pStyle w:val="tabfighead"/>
      </w:pPr>
      <w:bookmarkStart w:id="424" w:name="_Ref321036252"/>
      <w:bookmarkStart w:id="425" w:name="_Toc321430419"/>
      <w:bookmarkStart w:id="426" w:name="_Toc321761689"/>
      <w:bookmarkStart w:id="427" w:name="_Toc321254538"/>
      <w:bookmarkStart w:id="428" w:name="_Toc328601586"/>
      <w:bookmarkStart w:id="429" w:name="_Toc329051364"/>
      <w:bookmarkStart w:id="430" w:name="_Toc335915852"/>
      <w:r w:rsidRPr="005911E2">
        <w:lastRenderedPageBreak/>
        <w:t xml:space="preserve">Table </w:t>
      </w:r>
      <w:r w:rsidR="00C7347D" w:rsidRPr="005911E2">
        <w:fldChar w:fldCharType="begin"/>
      </w:r>
      <w:r w:rsidR="00435FEB" w:rsidRPr="005911E2">
        <w:instrText xml:space="preserve"> STYLEREF 1 \s </w:instrText>
      </w:r>
      <w:r w:rsidR="00C7347D" w:rsidRPr="005911E2">
        <w:fldChar w:fldCharType="separate"/>
      </w:r>
      <w:r w:rsidR="007D7E45">
        <w:rPr>
          <w:noProof/>
        </w:rPr>
        <w:t>5</w:t>
      </w:r>
      <w:r w:rsidR="00C7347D" w:rsidRPr="005911E2">
        <w:rPr>
          <w:noProof/>
        </w:rPr>
        <w:fldChar w:fldCharType="end"/>
      </w:r>
      <w:r w:rsidRPr="005911E2">
        <w:noBreakHyphen/>
      </w:r>
      <w:r w:rsidR="00C7347D" w:rsidRPr="005911E2">
        <w:fldChar w:fldCharType="begin"/>
      </w:r>
      <w:r w:rsidR="00435FEB" w:rsidRPr="005911E2">
        <w:instrText xml:space="preserve"> SEQ Table \* ARABIC \s 1 </w:instrText>
      </w:r>
      <w:r w:rsidR="00C7347D" w:rsidRPr="005911E2">
        <w:fldChar w:fldCharType="separate"/>
      </w:r>
      <w:r w:rsidR="007D7E45">
        <w:rPr>
          <w:noProof/>
        </w:rPr>
        <w:t>1</w:t>
      </w:r>
      <w:r w:rsidR="00C7347D" w:rsidRPr="005911E2">
        <w:rPr>
          <w:noProof/>
        </w:rPr>
        <w:fldChar w:fldCharType="end"/>
      </w:r>
      <w:bookmarkEnd w:id="424"/>
      <w:r w:rsidRPr="005911E2">
        <w:t xml:space="preserve"> </w:t>
      </w:r>
      <w:r w:rsidRPr="005911E2">
        <w:tab/>
      </w:r>
      <w:r w:rsidR="006435C8">
        <w:t>Northern Territory,</w:t>
      </w:r>
      <w:r w:rsidRPr="005911E2">
        <w:t xml:space="preserve"> Detailed composition of allocations of income managed funds, fortnight ending 28 October 2011</w:t>
      </w:r>
      <w:bookmarkEnd w:id="425"/>
      <w:bookmarkEnd w:id="426"/>
      <w:bookmarkEnd w:id="427"/>
      <w:bookmarkEnd w:id="428"/>
      <w:bookmarkEnd w:id="429"/>
      <w:bookmarkEnd w:id="430"/>
    </w:p>
    <w:tbl>
      <w:tblPr>
        <w:tblW w:w="0" w:type="auto"/>
        <w:jc w:val="right"/>
        <w:tblLook w:val="04A0" w:firstRow="1" w:lastRow="0" w:firstColumn="1" w:lastColumn="0" w:noHBand="0" w:noVBand="1"/>
      </w:tblPr>
      <w:tblGrid>
        <w:gridCol w:w="3086"/>
        <w:gridCol w:w="316"/>
        <w:gridCol w:w="709"/>
        <w:gridCol w:w="1276"/>
        <w:gridCol w:w="1404"/>
        <w:gridCol w:w="1544"/>
      </w:tblGrid>
      <w:tr w:rsidR="001013EC" w:rsidRPr="005911E2" w:rsidTr="00351FF6">
        <w:trPr>
          <w:cantSplit/>
          <w:jc w:val="right"/>
        </w:trPr>
        <w:tc>
          <w:tcPr>
            <w:tcW w:w="3086" w:type="dxa"/>
            <w:tcBorders>
              <w:top w:val="single" w:sz="4" w:space="0" w:color="auto"/>
              <w:left w:val="nil"/>
              <w:bottom w:val="single" w:sz="4" w:space="0" w:color="auto"/>
              <w:right w:val="nil"/>
            </w:tcBorders>
            <w:shd w:val="clear" w:color="auto" w:fill="auto"/>
            <w:vAlign w:val="bottom"/>
            <w:hideMark/>
          </w:tcPr>
          <w:p w:rsidR="001013EC" w:rsidRPr="005911E2" w:rsidRDefault="001013EC" w:rsidP="001013EC">
            <w:pPr>
              <w:pStyle w:val="TableText"/>
              <w:rPr>
                <w:szCs w:val="18"/>
                <w:lang w:eastAsia="en-AU" w:bidi="ar-SA"/>
              </w:rPr>
            </w:pPr>
          </w:p>
        </w:tc>
        <w:tc>
          <w:tcPr>
            <w:tcW w:w="1025" w:type="dxa"/>
            <w:gridSpan w:val="2"/>
            <w:tcBorders>
              <w:top w:val="single" w:sz="4" w:space="0" w:color="auto"/>
              <w:left w:val="nil"/>
              <w:bottom w:val="single" w:sz="4" w:space="0" w:color="auto"/>
              <w:right w:val="nil"/>
            </w:tcBorders>
            <w:shd w:val="clear" w:color="auto" w:fill="auto"/>
            <w:hideMark/>
          </w:tcPr>
          <w:p w:rsidR="001013EC" w:rsidRPr="005911E2" w:rsidRDefault="001013EC" w:rsidP="001013EC">
            <w:pPr>
              <w:pStyle w:val="TableText"/>
              <w:jc w:val="right"/>
              <w:rPr>
                <w:szCs w:val="18"/>
                <w:lang w:eastAsia="en-AU" w:bidi="ar-SA"/>
              </w:rPr>
            </w:pPr>
            <w:r w:rsidRPr="005911E2">
              <w:rPr>
                <w:szCs w:val="18"/>
                <w:lang w:eastAsia="en-AU" w:bidi="ar-SA"/>
              </w:rPr>
              <w:t>Total ($)</w:t>
            </w:r>
          </w:p>
        </w:tc>
        <w:tc>
          <w:tcPr>
            <w:tcW w:w="1276" w:type="dxa"/>
            <w:tcBorders>
              <w:top w:val="single" w:sz="4" w:space="0" w:color="auto"/>
              <w:left w:val="nil"/>
              <w:bottom w:val="single" w:sz="4" w:space="0" w:color="auto"/>
              <w:right w:val="nil"/>
            </w:tcBorders>
            <w:shd w:val="clear" w:color="auto" w:fill="auto"/>
            <w:hideMark/>
          </w:tcPr>
          <w:p w:rsidR="001013EC" w:rsidRPr="005911E2" w:rsidRDefault="001013EC" w:rsidP="001013EC">
            <w:pPr>
              <w:pStyle w:val="TableText"/>
              <w:jc w:val="right"/>
              <w:rPr>
                <w:szCs w:val="18"/>
                <w:lang w:eastAsia="en-AU" w:bidi="ar-SA"/>
              </w:rPr>
            </w:pPr>
            <w:r w:rsidRPr="005911E2">
              <w:rPr>
                <w:szCs w:val="18"/>
                <w:lang w:eastAsia="en-AU" w:bidi="ar-SA"/>
              </w:rPr>
              <w:t>Share of total allocations (%)</w:t>
            </w:r>
          </w:p>
        </w:tc>
        <w:tc>
          <w:tcPr>
            <w:tcW w:w="1404" w:type="dxa"/>
            <w:tcBorders>
              <w:top w:val="single" w:sz="4" w:space="0" w:color="auto"/>
              <w:left w:val="nil"/>
              <w:bottom w:val="single" w:sz="4" w:space="0" w:color="auto"/>
              <w:right w:val="nil"/>
            </w:tcBorders>
            <w:shd w:val="clear" w:color="auto" w:fill="auto"/>
            <w:hideMark/>
          </w:tcPr>
          <w:p w:rsidR="001013EC" w:rsidRPr="005911E2" w:rsidRDefault="002934A1" w:rsidP="001013EC">
            <w:pPr>
              <w:pStyle w:val="TableText"/>
              <w:jc w:val="right"/>
              <w:rPr>
                <w:szCs w:val="18"/>
                <w:lang w:eastAsia="en-AU" w:bidi="ar-SA"/>
              </w:rPr>
            </w:pPr>
            <w:r>
              <w:rPr>
                <w:szCs w:val="18"/>
                <w:lang w:eastAsia="en-AU" w:bidi="ar-SA"/>
              </w:rPr>
              <w:t>Proportion</w:t>
            </w:r>
            <w:r w:rsidRPr="005911E2">
              <w:rPr>
                <w:szCs w:val="18"/>
                <w:lang w:eastAsia="en-AU" w:bidi="ar-SA"/>
              </w:rPr>
              <w:t xml:space="preserve"> </w:t>
            </w:r>
            <w:r w:rsidR="001013EC" w:rsidRPr="005911E2">
              <w:rPr>
                <w:szCs w:val="18"/>
                <w:lang w:eastAsia="en-AU" w:bidi="ar-SA"/>
              </w:rPr>
              <w:t>with an allocation to this (%)</w:t>
            </w:r>
          </w:p>
        </w:tc>
        <w:tc>
          <w:tcPr>
            <w:tcW w:w="1544" w:type="dxa"/>
            <w:tcBorders>
              <w:top w:val="single" w:sz="4" w:space="0" w:color="auto"/>
              <w:left w:val="nil"/>
              <w:bottom w:val="single" w:sz="4" w:space="0" w:color="auto"/>
              <w:right w:val="nil"/>
            </w:tcBorders>
            <w:shd w:val="clear" w:color="auto" w:fill="auto"/>
            <w:hideMark/>
          </w:tcPr>
          <w:p w:rsidR="001013EC" w:rsidRPr="005911E2" w:rsidRDefault="001013EC" w:rsidP="001013EC">
            <w:pPr>
              <w:pStyle w:val="TableText"/>
              <w:jc w:val="right"/>
              <w:rPr>
                <w:szCs w:val="18"/>
                <w:lang w:eastAsia="en-AU" w:bidi="ar-SA"/>
              </w:rPr>
            </w:pPr>
            <w:r w:rsidRPr="005911E2">
              <w:rPr>
                <w:szCs w:val="18"/>
                <w:lang w:eastAsia="en-AU" w:bidi="ar-SA"/>
              </w:rPr>
              <w:t>Average fortnight value for those with an allocation ($)</w:t>
            </w:r>
          </w:p>
        </w:tc>
      </w:tr>
      <w:tr w:rsidR="001013EC" w:rsidRPr="005911E2" w:rsidTr="00351FF6">
        <w:trPr>
          <w:cantSplit/>
          <w:jc w:val="right"/>
        </w:trPr>
        <w:tc>
          <w:tcPr>
            <w:tcW w:w="3086" w:type="dxa"/>
            <w:tcBorders>
              <w:top w:val="single" w:sz="4" w:space="0" w:color="auto"/>
              <w:left w:val="nil"/>
              <w:right w:val="nil"/>
            </w:tcBorders>
            <w:shd w:val="clear" w:color="auto" w:fill="auto"/>
            <w:noWrap/>
            <w:vAlign w:val="bottom"/>
            <w:hideMark/>
          </w:tcPr>
          <w:p w:rsidR="001013EC" w:rsidRPr="005911E2" w:rsidRDefault="001013EC" w:rsidP="001013EC">
            <w:pPr>
              <w:pStyle w:val="TableText"/>
              <w:rPr>
                <w:bCs/>
                <w:i/>
                <w:iCs/>
                <w:szCs w:val="18"/>
                <w:lang w:eastAsia="en-AU" w:bidi="ar-SA"/>
              </w:rPr>
            </w:pPr>
            <w:r w:rsidRPr="005911E2">
              <w:rPr>
                <w:bCs/>
                <w:i/>
                <w:iCs/>
                <w:szCs w:val="18"/>
                <w:lang w:eastAsia="en-AU" w:bidi="ar-SA"/>
              </w:rPr>
              <w:t>Allocations to BasicsCard</w:t>
            </w:r>
          </w:p>
        </w:tc>
        <w:tc>
          <w:tcPr>
            <w:tcW w:w="1025" w:type="dxa"/>
            <w:gridSpan w:val="2"/>
            <w:tcBorders>
              <w:top w:val="single" w:sz="4" w:space="0" w:color="auto"/>
              <w:left w:val="nil"/>
              <w:right w:val="nil"/>
            </w:tcBorders>
            <w:shd w:val="clear" w:color="auto" w:fill="auto"/>
            <w:noWrap/>
            <w:vAlign w:val="bottom"/>
            <w:hideMark/>
          </w:tcPr>
          <w:p w:rsidR="001013EC" w:rsidRPr="005911E2" w:rsidRDefault="001013EC" w:rsidP="001013EC">
            <w:pPr>
              <w:pStyle w:val="TableText"/>
              <w:jc w:val="right"/>
              <w:rPr>
                <w:bCs/>
                <w:i/>
                <w:iCs/>
                <w:szCs w:val="18"/>
                <w:lang w:eastAsia="en-AU" w:bidi="ar-SA"/>
              </w:rPr>
            </w:pPr>
            <w:r w:rsidRPr="005911E2">
              <w:rPr>
                <w:bCs/>
                <w:i/>
                <w:iCs/>
                <w:szCs w:val="18"/>
                <w:lang w:eastAsia="en-AU" w:bidi="ar-SA"/>
              </w:rPr>
              <w:t>4</w:t>
            </w:r>
            <w:r w:rsidR="00C21E3A">
              <w:rPr>
                <w:bCs/>
                <w:i/>
                <w:iCs/>
                <w:szCs w:val="18"/>
                <w:lang w:eastAsia="en-AU" w:bidi="ar-SA"/>
              </w:rPr>
              <w:t xml:space="preserve"> </w:t>
            </w:r>
            <w:r w:rsidRPr="005911E2">
              <w:rPr>
                <w:bCs/>
                <w:i/>
                <w:iCs/>
                <w:szCs w:val="18"/>
                <w:lang w:eastAsia="en-AU" w:bidi="ar-SA"/>
              </w:rPr>
              <w:t>855</w:t>
            </w:r>
            <w:r w:rsidR="00C21E3A">
              <w:rPr>
                <w:bCs/>
                <w:i/>
                <w:iCs/>
                <w:szCs w:val="18"/>
                <w:lang w:eastAsia="en-AU" w:bidi="ar-SA"/>
              </w:rPr>
              <w:t xml:space="preserve"> </w:t>
            </w:r>
            <w:r w:rsidRPr="005911E2">
              <w:rPr>
                <w:bCs/>
                <w:i/>
                <w:iCs/>
                <w:szCs w:val="18"/>
                <w:lang w:eastAsia="en-AU" w:bidi="ar-SA"/>
              </w:rPr>
              <w:t>397</w:t>
            </w:r>
          </w:p>
        </w:tc>
        <w:tc>
          <w:tcPr>
            <w:tcW w:w="1276" w:type="dxa"/>
            <w:tcBorders>
              <w:top w:val="single" w:sz="4" w:space="0" w:color="auto"/>
              <w:left w:val="nil"/>
              <w:right w:val="nil"/>
            </w:tcBorders>
            <w:shd w:val="clear" w:color="auto" w:fill="auto"/>
            <w:noWrap/>
            <w:vAlign w:val="bottom"/>
            <w:hideMark/>
          </w:tcPr>
          <w:p w:rsidR="001013EC" w:rsidRPr="005911E2" w:rsidRDefault="001013EC" w:rsidP="001013EC">
            <w:pPr>
              <w:pStyle w:val="TableText"/>
              <w:jc w:val="right"/>
              <w:rPr>
                <w:bCs/>
                <w:i/>
                <w:iCs/>
                <w:szCs w:val="18"/>
                <w:lang w:eastAsia="en-AU" w:bidi="ar-SA"/>
              </w:rPr>
            </w:pPr>
            <w:r w:rsidRPr="005911E2">
              <w:rPr>
                <w:bCs/>
                <w:i/>
                <w:iCs/>
                <w:szCs w:val="18"/>
                <w:lang w:eastAsia="en-AU" w:bidi="ar-SA"/>
              </w:rPr>
              <w:t>75.6</w:t>
            </w:r>
          </w:p>
        </w:tc>
        <w:tc>
          <w:tcPr>
            <w:tcW w:w="1404" w:type="dxa"/>
            <w:tcBorders>
              <w:top w:val="single" w:sz="4" w:space="0" w:color="auto"/>
              <w:left w:val="nil"/>
              <w:right w:val="nil"/>
            </w:tcBorders>
            <w:shd w:val="clear" w:color="auto" w:fill="auto"/>
            <w:noWrap/>
            <w:hideMark/>
          </w:tcPr>
          <w:p w:rsidR="001013EC" w:rsidRPr="005911E2" w:rsidRDefault="001013EC" w:rsidP="001013EC">
            <w:pPr>
              <w:pStyle w:val="TableText"/>
              <w:jc w:val="right"/>
              <w:rPr>
                <w:bCs/>
                <w:i/>
                <w:iCs/>
                <w:szCs w:val="18"/>
                <w:lang w:eastAsia="en-AU" w:bidi="ar-SA"/>
              </w:rPr>
            </w:pPr>
            <w:r w:rsidRPr="005911E2">
              <w:rPr>
                <w:bCs/>
                <w:i/>
                <w:iCs/>
                <w:szCs w:val="18"/>
                <w:lang w:eastAsia="en-AU" w:bidi="ar-SA"/>
              </w:rPr>
              <w:t>92.1</w:t>
            </w:r>
          </w:p>
        </w:tc>
        <w:tc>
          <w:tcPr>
            <w:tcW w:w="1544" w:type="dxa"/>
            <w:tcBorders>
              <w:top w:val="single" w:sz="4" w:space="0" w:color="auto"/>
              <w:left w:val="nil"/>
              <w:right w:val="nil"/>
            </w:tcBorders>
            <w:shd w:val="clear" w:color="auto" w:fill="auto"/>
            <w:noWrap/>
            <w:hideMark/>
          </w:tcPr>
          <w:p w:rsidR="001013EC" w:rsidRPr="005911E2" w:rsidRDefault="001013EC" w:rsidP="001013EC">
            <w:pPr>
              <w:pStyle w:val="TableText"/>
              <w:jc w:val="right"/>
              <w:rPr>
                <w:bCs/>
                <w:i/>
                <w:iCs/>
                <w:szCs w:val="18"/>
                <w:lang w:eastAsia="en-AU" w:bidi="ar-SA"/>
              </w:rPr>
            </w:pPr>
            <w:r w:rsidRPr="005911E2">
              <w:rPr>
                <w:bCs/>
                <w:i/>
                <w:iCs/>
                <w:szCs w:val="18"/>
                <w:lang w:eastAsia="en-AU" w:bidi="ar-SA"/>
              </w:rPr>
              <w:t>322</w:t>
            </w:r>
          </w:p>
        </w:tc>
      </w:tr>
      <w:tr w:rsidR="001013EC" w:rsidRPr="005911E2" w:rsidTr="00351FF6">
        <w:trPr>
          <w:cantSplit/>
          <w:jc w:val="right"/>
        </w:trPr>
        <w:tc>
          <w:tcPr>
            <w:tcW w:w="8335" w:type="dxa"/>
            <w:gridSpan w:val="6"/>
            <w:tcBorders>
              <w:top w:val="single" w:sz="4" w:space="0" w:color="auto"/>
              <w:left w:val="nil"/>
              <w:bottom w:val="single" w:sz="4" w:space="0" w:color="auto"/>
              <w:right w:val="nil"/>
            </w:tcBorders>
            <w:shd w:val="clear" w:color="auto" w:fill="auto"/>
            <w:noWrap/>
            <w:vAlign w:val="bottom"/>
            <w:hideMark/>
          </w:tcPr>
          <w:p w:rsidR="001013EC" w:rsidRPr="005911E2" w:rsidRDefault="001013EC" w:rsidP="001013EC">
            <w:pPr>
              <w:pStyle w:val="TableText"/>
              <w:jc w:val="center"/>
              <w:rPr>
                <w:szCs w:val="18"/>
                <w:lang w:eastAsia="en-AU" w:bidi="ar-SA"/>
              </w:rPr>
            </w:pPr>
            <w:r w:rsidRPr="005911E2">
              <w:rPr>
                <w:szCs w:val="18"/>
                <w:lang w:eastAsia="en-AU" w:bidi="ar-SA"/>
              </w:rPr>
              <w:t>Other allocations</w:t>
            </w:r>
          </w:p>
        </w:tc>
      </w:tr>
      <w:tr w:rsidR="001013EC" w:rsidRPr="005911E2" w:rsidTr="00351FF6">
        <w:trPr>
          <w:cantSplit/>
          <w:jc w:val="right"/>
        </w:trPr>
        <w:tc>
          <w:tcPr>
            <w:tcW w:w="3086" w:type="dxa"/>
            <w:tcBorders>
              <w:top w:val="single" w:sz="4" w:space="0" w:color="auto"/>
              <w:left w:val="nil"/>
              <w:bottom w:val="nil"/>
              <w:right w:val="nil"/>
            </w:tcBorders>
            <w:shd w:val="clear" w:color="auto" w:fill="auto"/>
            <w:noWrap/>
            <w:vAlign w:val="bottom"/>
            <w:hideMark/>
          </w:tcPr>
          <w:p w:rsidR="001013EC" w:rsidRPr="005911E2" w:rsidRDefault="001013EC" w:rsidP="001013EC">
            <w:pPr>
              <w:pStyle w:val="TableText"/>
              <w:rPr>
                <w:szCs w:val="18"/>
                <w:lang w:eastAsia="en-AU" w:bidi="ar-SA"/>
              </w:rPr>
            </w:pPr>
            <w:r w:rsidRPr="005911E2">
              <w:rPr>
                <w:szCs w:val="18"/>
                <w:lang w:eastAsia="en-AU" w:bidi="ar-SA"/>
              </w:rPr>
              <w:t>Indigenous Community Housing</w:t>
            </w:r>
          </w:p>
        </w:tc>
        <w:tc>
          <w:tcPr>
            <w:tcW w:w="1025" w:type="dxa"/>
            <w:gridSpan w:val="2"/>
            <w:tcBorders>
              <w:top w:val="single" w:sz="4" w:space="0" w:color="auto"/>
              <w:left w:val="nil"/>
              <w:bottom w:val="nil"/>
              <w:right w:val="nil"/>
            </w:tcBorders>
            <w:shd w:val="clear" w:color="auto" w:fill="auto"/>
            <w:noWrap/>
            <w:vAlign w:val="bottom"/>
            <w:hideMark/>
          </w:tcPr>
          <w:p w:rsidR="001013EC" w:rsidRPr="005911E2" w:rsidRDefault="001013EC" w:rsidP="00C21E3A">
            <w:pPr>
              <w:pStyle w:val="TableText"/>
              <w:jc w:val="right"/>
              <w:rPr>
                <w:szCs w:val="18"/>
                <w:lang w:eastAsia="en-AU" w:bidi="ar-SA"/>
              </w:rPr>
            </w:pPr>
            <w:r w:rsidRPr="005911E2">
              <w:rPr>
                <w:szCs w:val="18"/>
                <w:lang w:eastAsia="en-AU" w:bidi="ar-SA"/>
              </w:rPr>
              <w:t>304</w:t>
            </w:r>
            <w:r w:rsidR="00CF78DB">
              <w:rPr>
                <w:szCs w:val="18"/>
                <w:lang w:eastAsia="en-AU" w:bidi="ar-SA"/>
              </w:rPr>
              <w:t> </w:t>
            </w:r>
            <w:r w:rsidRPr="005911E2">
              <w:rPr>
                <w:szCs w:val="18"/>
                <w:lang w:eastAsia="en-AU" w:bidi="ar-SA"/>
              </w:rPr>
              <w:t>186</w:t>
            </w:r>
          </w:p>
        </w:tc>
        <w:tc>
          <w:tcPr>
            <w:tcW w:w="1276" w:type="dxa"/>
            <w:tcBorders>
              <w:top w:val="single" w:sz="4" w:space="0" w:color="auto"/>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r w:rsidRPr="005911E2">
              <w:rPr>
                <w:szCs w:val="18"/>
                <w:lang w:eastAsia="en-AU" w:bidi="ar-SA"/>
              </w:rPr>
              <w:t>4.7</w:t>
            </w:r>
          </w:p>
        </w:tc>
        <w:tc>
          <w:tcPr>
            <w:tcW w:w="1404" w:type="dxa"/>
            <w:tcBorders>
              <w:top w:val="single" w:sz="4" w:space="0" w:color="auto"/>
              <w:left w:val="nil"/>
              <w:bottom w:val="nil"/>
              <w:right w:val="nil"/>
            </w:tcBorders>
            <w:shd w:val="clear" w:color="auto" w:fill="auto"/>
            <w:noWrap/>
            <w:hideMark/>
          </w:tcPr>
          <w:p w:rsidR="001013EC" w:rsidRPr="005911E2" w:rsidRDefault="001013EC" w:rsidP="001013EC">
            <w:pPr>
              <w:pStyle w:val="TableText"/>
              <w:jc w:val="right"/>
              <w:rPr>
                <w:szCs w:val="18"/>
                <w:lang w:eastAsia="en-AU" w:bidi="ar-SA"/>
              </w:rPr>
            </w:pPr>
            <w:r w:rsidRPr="005911E2">
              <w:rPr>
                <w:szCs w:val="18"/>
                <w:lang w:eastAsia="en-AU" w:bidi="ar-SA"/>
              </w:rPr>
              <w:t>37.8</w:t>
            </w:r>
          </w:p>
        </w:tc>
        <w:tc>
          <w:tcPr>
            <w:tcW w:w="1544" w:type="dxa"/>
            <w:tcBorders>
              <w:top w:val="single" w:sz="4" w:space="0" w:color="auto"/>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49</w:t>
            </w:r>
          </w:p>
        </w:tc>
      </w:tr>
      <w:tr w:rsidR="001013EC" w:rsidRPr="005911E2" w:rsidTr="00351FF6">
        <w:trPr>
          <w:cantSplit/>
          <w:jc w:val="right"/>
        </w:trPr>
        <w:tc>
          <w:tcPr>
            <w:tcW w:w="3086" w:type="dxa"/>
            <w:tcBorders>
              <w:top w:val="nil"/>
              <w:left w:val="nil"/>
              <w:bottom w:val="nil"/>
              <w:right w:val="nil"/>
            </w:tcBorders>
            <w:shd w:val="clear" w:color="auto" w:fill="auto"/>
            <w:noWrap/>
            <w:vAlign w:val="bottom"/>
            <w:hideMark/>
          </w:tcPr>
          <w:p w:rsidR="001013EC" w:rsidRPr="005911E2" w:rsidRDefault="001013EC" w:rsidP="001013EC">
            <w:pPr>
              <w:pStyle w:val="TableText"/>
              <w:rPr>
                <w:szCs w:val="18"/>
                <w:lang w:eastAsia="en-AU" w:bidi="ar-SA"/>
              </w:rPr>
            </w:pPr>
            <w:r w:rsidRPr="005911E2">
              <w:rPr>
                <w:szCs w:val="18"/>
                <w:lang w:eastAsia="en-AU" w:bidi="ar-SA"/>
              </w:rPr>
              <w:t>IM Government Housing Rent</w:t>
            </w:r>
          </w:p>
        </w:tc>
        <w:tc>
          <w:tcPr>
            <w:tcW w:w="1025" w:type="dxa"/>
            <w:gridSpan w:val="2"/>
            <w:tcBorders>
              <w:top w:val="nil"/>
              <w:left w:val="nil"/>
              <w:bottom w:val="nil"/>
              <w:right w:val="nil"/>
            </w:tcBorders>
            <w:shd w:val="clear" w:color="auto" w:fill="auto"/>
            <w:noWrap/>
            <w:vAlign w:val="bottom"/>
            <w:hideMark/>
          </w:tcPr>
          <w:p w:rsidR="001013EC" w:rsidRPr="005911E2" w:rsidRDefault="001013EC" w:rsidP="00C21E3A">
            <w:pPr>
              <w:pStyle w:val="TableText"/>
              <w:jc w:val="right"/>
              <w:rPr>
                <w:szCs w:val="18"/>
                <w:lang w:eastAsia="en-AU" w:bidi="ar-SA"/>
              </w:rPr>
            </w:pPr>
            <w:r w:rsidRPr="005911E2">
              <w:rPr>
                <w:szCs w:val="18"/>
                <w:lang w:eastAsia="en-AU" w:bidi="ar-SA"/>
              </w:rPr>
              <w:t>205</w:t>
            </w:r>
            <w:r w:rsidR="00CF78DB">
              <w:rPr>
                <w:szCs w:val="18"/>
                <w:lang w:eastAsia="en-AU" w:bidi="ar-SA"/>
              </w:rPr>
              <w:t> </w:t>
            </w:r>
            <w:r w:rsidRPr="005911E2">
              <w:rPr>
                <w:szCs w:val="18"/>
                <w:lang w:eastAsia="en-AU" w:bidi="ar-SA"/>
              </w:rPr>
              <w:t>082</w:t>
            </w:r>
          </w:p>
        </w:tc>
        <w:tc>
          <w:tcPr>
            <w:tcW w:w="1276"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r w:rsidRPr="005911E2">
              <w:rPr>
                <w:szCs w:val="18"/>
                <w:lang w:eastAsia="en-AU" w:bidi="ar-SA"/>
              </w:rPr>
              <w:t>3.2</w:t>
            </w:r>
          </w:p>
        </w:tc>
        <w:tc>
          <w:tcPr>
            <w:tcW w:w="1404" w:type="dxa"/>
            <w:tcBorders>
              <w:top w:val="nil"/>
              <w:left w:val="nil"/>
              <w:bottom w:val="nil"/>
              <w:right w:val="nil"/>
            </w:tcBorders>
            <w:shd w:val="clear" w:color="auto" w:fill="auto"/>
            <w:noWrap/>
            <w:hideMark/>
          </w:tcPr>
          <w:p w:rsidR="001013EC" w:rsidRPr="005911E2" w:rsidRDefault="001013EC" w:rsidP="001013EC">
            <w:pPr>
              <w:pStyle w:val="TableText"/>
              <w:jc w:val="right"/>
              <w:rPr>
                <w:szCs w:val="18"/>
                <w:lang w:eastAsia="en-AU" w:bidi="ar-SA"/>
              </w:rPr>
            </w:pPr>
            <w:r w:rsidRPr="005911E2">
              <w:rPr>
                <w:szCs w:val="18"/>
                <w:lang w:eastAsia="en-AU" w:bidi="ar-SA"/>
              </w:rPr>
              <w:t>9.1</w:t>
            </w:r>
          </w:p>
        </w:tc>
        <w:tc>
          <w:tcPr>
            <w:tcW w:w="154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138</w:t>
            </w:r>
          </w:p>
        </w:tc>
      </w:tr>
      <w:tr w:rsidR="001013EC" w:rsidRPr="005911E2" w:rsidTr="00351FF6">
        <w:trPr>
          <w:cantSplit/>
          <w:jc w:val="right"/>
        </w:trPr>
        <w:tc>
          <w:tcPr>
            <w:tcW w:w="3086" w:type="dxa"/>
            <w:tcBorders>
              <w:top w:val="nil"/>
              <w:left w:val="nil"/>
              <w:bottom w:val="nil"/>
              <w:right w:val="nil"/>
            </w:tcBorders>
            <w:shd w:val="clear" w:color="auto" w:fill="auto"/>
            <w:noWrap/>
            <w:vAlign w:val="bottom"/>
            <w:hideMark/>
          </w:tcPr>
          <w:p w:rsidR="001013EC" w:rsidRPr="005911E2" w:rsidRDefault="001013EC" w:rsidP="001013EC">
            <w:pPr>
              <w:pStyle w:val="TableText"/>
              <w:rPr>
                <w:szCs w:val="18"/>
                <w:lang w:eastAsia="en-AU" w:bidi="ar-SA"/>
              </w:rPr>
            </w:pPr>
            <w:r w:rsidRPr="005911E2">
              <w:rPr>
                <w:szCs w:val="18"/>
                <w:lang w:eastAsia="en-AU" w:bidi="ar-SA"/>
              </w:rPr>
              <w:t>Indigenous Short-Term Housing</w:t>
            </w:r>
          </w:p>
        </w:tc>
        <w:tc>
          <w:tcPr>
            <w:tcW w:w="1025" w:type="dxa"/>
            <w:gridSpan w:val="2"/>
            <w:tcBorders>
              <w:top w:val="nil"/>
              <w:left w:val="nil"/>
              <w:bottom w:val="nil"/>
              <w:right w:val="nil"/>
            </w:tcBorders>
            <w:shd w:val="clear" w:color="auto" w:fill="auto"/>
            <w:noWrap/>
            <w:vAlign w:val="bottom"/>
            <w:hideMark/>
          </w:tcPr>
          <w:p w:rsidR="001013EC" w:rsidRPr="005911E2" w:rsidRDefault="001013EC" w:rsidP="00C21E3A">
            <w:pPr>
              <w:pStyle w:val="TableText"/>
              <w:jc w:val="right"/>
              <w:rPr>
                <w:szCs w:val="18"/>
                <w:lang w:eastAsia="en-AU" w:bidi="ar-SA"/>
              </w:rPr>
            </w:pPr>
            <w:r w:rsidRPr="005911E2">
              <w:rPr>
                <w:szCs w:val="18"/>
                <w:lang w:eastAsia="en-AU" w:bidi="ar-SA"/>
              </w:rPr>
              <w:t>38</w:t>
            </w:r>
            <w:r w:rsidR="00CF78DB">
              <w:rPr>
                <w:szCs w:val="18"/>
                <w:lang w:eastAsia="en-AU" w:bidi="ar-SA"/>
              </w:rPr>
              <w:t> </w:t>
            </w:r>
            <w:r w:rsidRPr="005911E2">
              <w:rPr>
                <w:szCs w:val="18"/>
                <w:lang w:eastAsia="en-AU" w:bidi="ar-SA"/>
              </w:rPr>
              <w:t>705</w:t>
            </w:r>
          </w:p>
        </w:tc>
        <w:tc>
          <w:tcPr>
            <w:tcW w:w="1276"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r w:rsidRPr="005911E2">
              <w:rPr>
                <w:szCs w:val="18"/>
                <w:lang w:eastAsia="en-AU" w:bidi="ar-SA"/>
              </w:rPr>
              <w:t>0.6</w:t>
            </w:r>
          </w:p>
        </w:tc>
        <w:tc>
          <w:tcPr>
            <w:tcW w:w="1404" w:type="dxa"/>
            <w:tcBorders>
              <w:top w:val="nil"/>
              <w:left w:val="nil"/>
              <w:bottom w:val="nil"/>
              <w:right w:val="nil"/>
            </w:tcBorders>
            <w:shd w:val="clear" w:color="auto" w:fill="auto"/>
            <w:noWrap/>
            <w:hideMark/>
          </w:tcPr>
          <w:p w:rsidR="001013EC" w:rsidRPr="005911E2" w:rsidRDefault="001013EC" w:rsidP="001013EC">
            <w:pPr>
              <w:pStyle w:val="TableText"/>
              <w:jc w:val="right"/>
              <w:rPr>
                <w:szCs w:val="18"/>
                <w:lang w:eastAsia="en-AU" w:bidi="ar-SA"/>
              </w:rPr>
            </w:pPr>
            <w:r w:rsidRPr="005911E2">
              <w:rPr>
                <w:szCs w:val="18"/>
                <w:lang w:eastAsia="en-AU" w:bidi="ar-SA"/>
              </w:rPr>
              <w:t>0.8</w:t>
            </w:r>
          </w:p>
        </w:tc>
        <w:tc>
          <w:tcPr>
            <w:tcW w:w="154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283</w:t>
            </w:r>
          </w:p>
        </w:tc>
      </w:tr>
      <w:tr w:rsidR="001013EC" w:rsidRPr="005911E2" w:rsidTr="00351FF6">
        <w:trPr>
          <w:cantSplit/>
          <w:jc w:val="right"/>
        </w:trPr>
        <w:tc>
          <w:tcPr>
            <w:tcW w:w="3086" w:type="dxa"/>
            <w:tcBorders>
              <w:top w:val="nil"/>
              <w:left w:val="nil"/>
              <w:bottom w:val="nil"/>
              <w:right w:val="nil"/>
            </w:tcBorders>
            <w:shd w:val="clear" w:color="auto" w:fill="auto"/>
            <w:noWrap/>
            <w:vAlign w:val="bottom"/>
            <w:hideMark/>
          </w:tcPr>
          <w:p w:rsidR="001013EC" w:rsidRPr="005911E2" w:rsidRDefault="001013EC" w:rsidP="001013EC">
            <w:pPr>
              <w:pStyle w:val="TableText"/>
              <w:rPr>
                <w:szCs w:val="18"/>
                <w:lang w:eastAsia="en-AU" w:bidi="ar-SA"/>
              </w:rPr>
            </w:pPr>
            <w:r w:rsidRPr="005911E2">
              <w:rPr>
                <w:szCs w:val="18"/>
                <w:lang w:eastAsia="en-AU" w:bidi="ar-SA"/>
              </w:rPr>
              <w:t>General Community Housing</w:t>
            </w:r>
          </w:p>
        </w:tc>
        <w:tc>
          <w:tcPr>
            <w:tcW w:w="1025" w:type="dxa"/>
            <w:gridSpan w:val="2"/>
            <w:tcBorders>
              <w:top w:val="nil"/>
              <w:left w:val="nil"/>
              <w:bottom w:val="nil"/>
              <w:right w:val="nil"/>
            </w:tcBorders>
            <w:shd w:val="clear" w:color="auto" w:fill="auto"/>
            <w:noWrap/>
            <w:vAlign w:val="bottom"/>
            <w:hideMark/>
          </w:tcPr>
          <w:p w:rsidR="001013EC" w:rsidRPr="005911E2" w:rsidRDefault="001013EC" w:rsidP="00C21E3A">
            <w:pPr>
              <w:pStyle w:val="TableText"/>
              <w:jc w:val="right"/>
              <w:rPr>
                <w:szCs w:val="18"/>
                <w:lang w:eastAsia="en-AU" w:bidi="ar-SA"/>
              </w:rPr>
            </w:pPr>
            <w:r w:rsidRPr="005911E2">
              <w:rPr>
                <w:szCs w:val="18"/>
                <w:lang w:eastAsia="en-AU" w:bidi="ar-SA"/>
              </w:rPr>
              <w:t>13</w:t>
            </w:r>
            <w:r w:rsidR="00CF78DB">
              <w:rPr>
                <w:szCs w:val="18"/>
                <w:lang w:eastAsia="en-AU" w:bidi="ar-SA"/>
              </w:rPr>
              <w:t> </w:t>
            </w:r>
            <w:r w:rsidRPr="005911E2">
              <w:rPr>
                <w:szCs w:val="18"/>
                <w:lang w:eastAsia="en-AU" w:bidi="ar-SA"/>
              </w:rPr>
              <w:t>494</w:t>
            </w:r>
          </w:p>
        </w:tc>
        <w:tc>
          <w:tcPr>
            <w:tcW w:w="1276"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r w:rsidRPr="005911E2">
              <w:rPr>
                <w:szCs w:val="18"/>
                <w:lang w:eastAsia="en-AU" w:bidi="ar-SA"/>
              </w:rPr>
              <w:t>0.2</w:t>
            </w:r>
          </w:p>
        </w:tc>
        <w:tc>
          <w:tcPr>
            <w:tcW w:w="1404" w:type="dxa"/>
            <w:tcBorders>
              <w:top w:val="nil"/>
              <w:left w:val="nil"/>
              <w:bottom w:val="nil"/>
              <w:right w:val="nil"/>
            </w:tcBorders>
            <w:shd w:val="clear" w:color="auto" w:fill="auto"/>
            <w:noWrap/>
            <w:hideMark/>
          </w:tcPr>
          <w:p w:rsidR="001013EC" w:rsidRPr="005911E2" w:rsidRDefault="001013EC" w:rsidP="001013EC">
            <w:pPr>
              <w:pStyle w:val="TableText"/>
              <w:jc w:val="right"/>
              <w:rPr>
                <w:szCs w:val="18"/>
                <w:lang w:eastAsia="en-AU" w:bidi="ar-SA"/>
              </w:rPr>
            </w:pPr>
            <w:r w:rsidRPr="005911E2">
              <w:rPr>
                <w:szCs w:val="18"/>
                <w:lang w:eastAsia="en-AU" w:bidi="ar-SA"/>
              </w:rPr>
              <w:t>0.4</w:t>
            </w:r>
          </w:p>
        </w:tc>
        <w:tc>
          <w:tcPr>
            <w:tcW w:w="154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214</w:t>
            </w:r>
          </w:p>
        </w:tc>
      </w:tr>
      <w:tr w:rsidR="001013EC" w:rsidRPr="005911E2" w:rsidTr="00351FF6">
        <w:trPr>
          <w:cantSplit/>
          <w:jc w:val="right"/>
        </w:trPr>
        <w:tc>
          <w:tcPr>
            <w:tcW w:w="3086" w:type="dxa"/>
            <w:tcBorders>
              <w:top w:val="nil"/>
              <w:left w:val="nil"/>
              <w:bottom w:val="nil"/>
              <w:right w:val="nil"/>
            </w:tcBorders>
            <w:shd w:val="clear" w:color="auto" w:fill="auto"/>
            <w:noWrap/>
            <w:vAlign w:val="bottom"/>
            <w:hideMark/>
          </w:tcPr>
          <w:p w:rsidR="001013EC" w:rsidRPr="005911E2" w:rsidRDefault="001013EC" w:rsidP="001013EC">
            <w:pPr>
              <w:pStyle w:val="TableText"/>
              <w:rPr>
                <w:szCs w:val="18"/>
                <w:lang w:eastAsia="en-AU" w:bidi="ar-SA"/>
              </w:rPr>
            </w:pPr>
            <w:r w:rsidRPr="005911E2">
              <w:rPr>
                <w:szCs w:val="18"/>
                <w:lang w:eastAsia="en-AU" w:bidi="ar-SA"/>
              </w:rPr>
              <w:t>Housing Bond</w:t>
            </w:r>
          </w:p>
        </w:tc>
        <w:tc>
          <w:tcPr>
            <w:tcW w:w="1025" w:type="dxa"/>
            <w:gridSpan w:val="2"/>
            <w:tcBorders>
              <w:top w:val="nil"/>
              <w:left w:val="nil"/>
              <w:bottom w:val="nil"/>
              <w:right w:val="nil"/>
            </w:tcBorders>
            <w:shd w:val="clear" w:color="auto" w:fill="auto"/>
            <w:noWrap/>
            <w:vAlign w:val="bottom"/>
            <w:hideMark/>
          </w:tcPr>
          <w:p w:rsidR="001013EC" w:rsidRPr="005911E2" w:rsidRDefault="001013EC" w:rsidP="00C21E3A">
            <w:pPr>
              <w:pStyle w:val="TableText"/>
              <w:jc w:val="right"/>
              <w:rPr>
                <w:szCs w:val="18"/>
                <w:lang w:eastAsia="en-AU" w:bidi="ar-SA"/>
              </w:rPr>
            </w:pPr>
            <w:r w:rsidRPr="005911E2">
              <w:rPr>
                <w:szCs w:val="18"/>
                <w:lang w:eastAsia="en-AU" w:bidi="ar-SA"/>
              </w:rPr>
              <w:t>2</w:t>
            </w:r>
            <w:r w:rsidR="00CF78DB">
              <w:rPr>
                <w:szCs w:val="18"/>
                <w:lang w:eastAsia="en-AU" w:bidi="ar-SA"/>
              </w:rPr>
              <w:t> </w:t>
            </w:r>
            <w:r w:rsidRPr="005911E2">
              <w:rPr>
                <w:szCs w:val="18"/>
                <w:lang w:eastAsia="en-AU" w:bidi="ar-SA"/>
              </w:rPr>
              <w:t>568</w:t>
            </w:r>
          </w:p>
        </w:tc>
        <w:tc>
          <w:tcPr>
            <w:tcW w:w="1276"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r w:rsidRPr="005911E2">
              <w:rPr>
                <w:szCs w:val="18"/>
                <w:lang w:eastAsia="en-AU" w:bidi="ar-SA"/>
              </w:rPr>
              <w:t>0.0</w:t>
            </w:r>
          </w:p>
        </w:tc>
        <w:tc>
          <w:tcPr>
            <w:tcW w:w="1404" w:type="dxa"/>
            <w:tcBorders>
              <w:top w:val="nil"/>
              <w:left w:val="nil"/>
              <w:bottom w:val="nil"/>
              <w:right w:val="nil"/>
            </w:tcBorders>
            <w:shd w:val="clear" w:color="auto" w:fill="auto"/>
            <w:noWrap/>
            <w:hideMark/>
          </w:tcPr>
          <w:p w:rsidR="001013EC" w:rsidRPr="005911E2" w:rsidRDefault="001013EC" w:rsidP="001013EC">
            <w:pPr>
              <w:pStyle w:val="TableText"/>
              <w:jc w:val="right"/>
              <w:rPr>
                <w:szCs w:val="18"/>
                <w:lang w:eastAsia="en-AU" w:bidi="ar-SA"/>
              </w:rPr>
            </w:pPr>
            <w:r w:rsidRPr="005911E2">
              <w:rPr>
                <w:szCs w:val="18"/>
                <w:lang w:eastAsia="en-AU" w:bidi="ar-SA"/>
              </w:rPr>
              <w:t>1.3</w:t>
            </w:r>
          </w:p>
        </w:tc>
        <w:tc>
          <w:tcPr>
            <w:tcW w:w="154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12</w:t>
            </w:r>
          </w:p>
        </w:tc>
      </w:tr>
      <w:tr w:rsidR="001013EC" w:rsidRPr="005911E2" w:rsidTr="00351FF6">
        <w:trPr>
          <w:cantSplit/>
          <w:jc w:val="right"/>
        </w:trPr>
        <w:tc>
          <w:tcPr>
            <w:tcW w:w="3086" w:type="dxa"/>
            <w:tcBorders>
              <w:top w:val="nil"/>
              <w:left w:val="nil"/>
              <w:bottom w:val="nil"/>
              <w:right w:val="nil"/>
            </w:tcBorders>
            <w:shd w:val="clear" w:color="auto" w:fill="auto"/>
            <w:noWrap/>
            <w:vAlign w:val="bottom"/>
            <w:hideMark/>
          </w:tcPr>
          <w:p w:rsidR="001013EC" w:rsidRPr="005911E2" w:rsidRDefault="001013EC" w:rsidP="001013EC">
            <w:pPr>
              <w:pStyle w:val="TableText"/>
              <w:rPr>
                <w:szCs w:val="18"/>
                <w:lang w:eastAsia="en-AU" w:bidi="ar-SA"/>
              </w:rPr>
            </w:pPr>
            <w:r w:rsidRPr="005911E2">
              <w:rPr>
                <w:szCs w:val="18"/>
                <w:lang w:eastAsia="en-AU" w:bidi="ar-SA"/>
              </w:rPr>
              <w:t>Government Housing Rent</w:t>
            </w:r>
          </w:p>
        </w:tc>
        <w:tc>
          <w:tcPr>
            <w:tcW w:w="1025" w:type="dxa"/>
            <w:gridSpan w:val="2"/>
            <w:tcBorders>
              <w:top w:val="nil"/>
              <w:left w:val="nil"/>
              <w:bottom w:val="nil"/>
              <w:right w:val="nil"/>
            </w:tcBorders>
            <w:shd w:val="clear" w:color="auto" w:fill="auto"/>
            <w:noWrap/>
            <w:vAlign w:val="bottom"/>
            <w:hideMark/>
          </w:tcPr>
          <w:p w:rsidR="001013EC" w:rsidRPr="005911E2" w:rsidRDefault="001013EC" w:rsidP="00C21E3A">
            <w:pPr>
              <w:pStyle w:val="TableText"/>
              <w:jc w:val="right"/>
              <w:rPr>
                <w:szCs w:val="18"/>
                <w:lang w:eastAsia="en-AU" w:bidi="ar-SA"/>
              </w:rPr>
            </w:pPr>
            <w:r w:rsidRPr="005911E2">
              <w:rPr>
                <w:szCs w:val="18"/>
                <w:lang w:eastAsia="en-AU" w:bidi="ar-SA"/>
              </w:rPr>
              <w:t>2</w:t>
            </w:r>
            <w:r w:rsidR="00CF78DB">
              <w:rPr>
                <w:szCs w:val="18"/>
                <w:lang w:eastAsia="en-AU" w:bidi="ar-SA"/>
              </w:rPr>
              <w:t> </w:t>
            </w:r>
            <w:r w:rsidRPr="005911E2">
              <w:rPr>
                <w:szCs w:val="18"/>
                <w:lang w:eastAsia="en-AU" w:bidi="ar-SA"/>
              </w:rPr>
              <w:t>380</w:t>
            </w:r>
          </w:p>
        </w:tc>
        <w:tc>
          <w:tcPr>
            <w:tcW w:w="1276"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r w:rsidRPr="005911E2">
              <w:rPr>
                <w:szCs w:val="18"/>
                <w:lang w:eastAsia="en-AU" w:bidi="ar-SA"/>
              </w:rPr>
              <w:t>0.0</w:t>
            </w:r>
          </w:p>
        </w:tc>
        <w:tc>
          <w:tcPr>
            <w:tcW w:w="1404" w:type="dxa"/>
            <w:tcBorders>
              <w:top w:val="nil"/>
              <w:left w:val="nil"/>
              <w:bottom w:val="nil"/>
              <w:right w:val="nil"/>
            </w:tcBorders>
            <w:shd w:val="clear" w:color="auto" w:fill="auto"/>
            <w:noWrap/>
            <w:hideMark/>
          </w:tcPr>
          <w:p w:rsidR="001013EC" w:rsidRPr="005911E2" w:rsidRDefault="001013EC" w:rsidP="001013EC">
            <w:pPr>
              <w:pStyle w:val="TableText"/>
              <w:jc w:val="right"/>
              <w:rPr>
                <w:szCs w:val="18"/>
                <w:lang w:eastAsia="en-AU" w:bidi="ar-SA"/>
              </w:rPr>
            </w:pPr>
            <w:r w:rsidRPr="005911E2">
              <w:rPr>
                <w:szCs w:val="18"/>
                <w:lang w:eastAsia="en-AU" w:bidi="ar-SA"/>
              </w:rPr>
              <w:t>0.1</w:t>
            </w:r>
          </w:p>
        </w:tc>
        <w:tc>
          <w:tcPr>
            <w:tcW w:w="154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183</w:t>
            </w:r>
          </w:p>
        </w:tc>
      </w:tr>
      <w:tr w:rsidR="001013EC" w:rsidRPr="005911E2" w:rsidTr="00351FF6">
        <w:trPr>
          <w:cantSplit/>
          <w:jc w:val="right"/>
        </w:trPr>
        <w:tc>
          <w:tcPr>
            <w:tcW w:w="3402" w:type="dxa"/>
            <w:gridSpan w:val="2"/>
            <w:tcBorders>
              <w:top w:val="nil"/>
              <w:left w:val="nil"/>
              <w:bottom w:val="nil"/>
              <w:right w:val="nil"/>
            </w:tcBorders>
            <w:shd w:val="clear" w:color="auto" w:fill="auto"/>
            <w:noWrap/>
            <w:vAlign w:val="bottom"/>
            <w:hideMark/>
          </w:tcPr>
          <w:p w:rsidR="001013EC" w:rsidRPr="005911E2" w:rsidRDefault="001013EC" w:rsidP="001013EC">
            <w:pPr>
              <w:pStyle w:val="TableText"/>
              <w:rPr>
                <w:szCs w:val="18"/>
                <w:lang w:eastAsia="en-AU" w:bidi="ar-SA"/>
              </w:rPr>
            </w:pPr>
            <w:r w:rsidRPr="005911E2">
              <w:rPr>
                <w:szCs w:val="18"/>
                <w:lang w:eastAsia="en-AU" w:bidi="ar-SA"/>
              </w:rPr>
              <w:t>Government Housing Other Payment</w:t>
            </w:r>
          </w:p>
        </w:tc>
        <w:tc>
          <w:tcPr>
            <w:tcW w:w="709" w:type="dxa"/>
            <w:tcBorders>
              <w:top w:val="nil"/>
              <w:left w:val="nil"/>
              <w:bottom w:val="nil"/>
              <w:right w:val="nil"/>
            </w:tcBorders>
            <w:shd w:val="clear" w:color="auto" w:fill="auto"/>
            <w:noWrap/>
            <w:vAlign w:val="bottom"/>
            <w:hideMark/>
          </w:tcPr>
          <w:p w:rsidR="001013EC" w:rsidRPr="005911E2" w:rsidRDefault="001013EC" w:rsidP="00C21E3A">
            <w:pPr>
              <w:pStyle w:val="TableText"/>
              <w:jc w:val="right"/>
              <w:rPr>
                <w:szCs w:val="18"/>
                <w:lang w:eastAsia="en-AU" w:bidi="ar-SA"/>
              </w:rPr>
            </w:pPr>
            <w:r w:rsidRPr="005911E2">
              <w:rPr>
                <w:szCs w:val="18"/>
                <w:lang w:eastAsia="en-AU" w:bidi="ar-SA"/>
              </w:rPr>
              <w:t>2</w:t>
            </w:r>
            <w:r w:rsidR="00CF78DB">
              <w:rPr>
                <w:szCs w:val="18"/>
                <w:lang w:eastAsia="en-AU" w:bidi="ar-SA"/>
              </w:rPr>
              <w:t> </w:t>
            </w:r>
            <w:r w:rsidRPr="005911E2">
              <w:rPr>
                <w:szCs w:val="18"/>
                <w:lang w:eastAsia="en-AU" w:bidi="ar-SA"/>
              </w:rPr>
              <w:t>220</w:t>
            </w:r>
          </w:p>
        </w:tc>
        <w:tc>
          <w:tcPr>
            <w:tcW w:w="1276"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r w:rsidRPr="005911E2">
              <w:rPr>
                <w:szCs w:val="18"/>
                <w:lang w:eastAsia="en-AU" w:bidi="ar-SA"/>
              </w:rPr>
              <w:t>0.0</w:t>
            </w:r>
          </w:p>
        </w:tc>
        <w:tc>
          <w:tcPr>
            <w:tcW w:w="1404" w:type="dxa"/>
            <w:tcBorders>
              <w:top w:val="nil"/>
              <w:left w:val="nil"/>
              <w:bottom w:val="nil"/>
              <w:right w:val="nil"/>
            </w:tcBorders>
            <w:shd w:val="clear" w:color="auto" w:fill="auto"/>
            <w:noWrap/>
            <w:hideMark/>
          </w:tcPr>
          <w:p w:rsidR="001013EC" w:rsidRPr="005911E2" w:rsidRDefault="001013EC" w:rsidP="001013EC">
            <w:pPr>
              <w:pStyle w:val="TableText"/>
              <w:jc w:val="right"/>
              <w:rPr>
                <w:szCs w:val="18"/>
                <w:lang w:eastAsia="en-AU" w:bidi="ar-SA"/>
              </w:rPr>
            </w:pPr>
            <w:r w:rsidRPr="005911E2">
              <w:rPr>
                <w:szCs w:val="18"/>
                <w:lang w:eastAsia="en-AU" w:bidi="ar-SA"/>
              </w:rPr>
              <w:t>0.3</w:t>
            </w:r>
          </w:p>
        </w:tc>
        <w:tc>
          <w:tcPr>
            <w:tcW w:w="154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41</w:t>
            </w:r>
          </w:p>
        </w:tc>
      </w:tr>
      <w:tr w:rsidR="001013EC" w:rsidRPr="005911E2" w:rsidTr="00351FF6">
        <w:trPr>
          <w:cantSplit/>
          <w:jc w:val="right"/>
        </w:trPr>
        <w:tc>
          <w:tcPr>
            <w:tcW w:w="3086" w:type="dxa"/>
            <w:tcBorders>
              <w:top w:val="nil"/>
              <w:left w:val="nil"/>
              <w:bottom w:val="nil"/>
              <w:right w:val="nil"/>
            </w:tcBorders>
            <w:shd w:val="clear" w:color="auto" w:fill="auto"/>
            <w:noWrap/>
            <w:vAlign w:val="bottom"/>
            <w:hideMark/>
          </w:tcPr>
          <w:p w:rsidR="001013EC" w:rsidRPr="005911E2" w:rsidRDefault="001013EC" w:rsidP="001013EC">
            <w:pPr>
              <w:pStyle w:val="TableText"/>
              <w:rPr>
                <w:szCs w:val="18"/>
                <w:lang w:eastAsia="en-AU" w:bidi="ar-SA"/>
              </w:rPr>
            </w:pPr>
            <w:r w:rsidRPr="005911E2">
              <w:rPr>
                <w:szCs w:val="18"/>
                <w:lang w:eastAsia="en-AU" w:bidi="ar-SA"/>
              </w:rPr>
              <w:t>Special Interest Loans Mortgage</w:t>
            </w:r>
          </w:p>
        </w:tc>
        <w:tc>
          <w:tcPr>
            <w:tcW w:w="1025" w:type="dxa"/>
            <w:gridSpan w:val="2"/>
            <w:tcBorders>
              <w:top w:val="nil"/>
              <w:left w:val="nil"/>
              <w:bottom w:val="nil"/>
              <w:right w:val="nil"/>
            </w:tcBorders>
            <w:shd w:val="clear" w:color="auto" w:fill="auto"/>
            <w:noWrap/>
            <w:vAlign w:val="bottom"/>
            <w:hideMark/>
          </w:tcPr>
          <w:p w:rsidR="001013EC" w:rsidRPr="005911E2" w:rsidRDefault="001013EC" w:rsidP="00C21E3A">
            <w:pPr>
              <w:pStyle w:val="TableText"/>
              <w:jc w:val="right"/>
              <w:rPr>
                <w:szCs w:val="18"/>
                <w:lang w:eastAsia="en-AU" w:bidi="ar-SA"/>
              </w:rPr>
            </w:pPr>
            <w:r w:rsidRPr="005911E2">
              <w:rPr>
                <w:szCs w:val="18"/>
                <w:lang w:eastAsia="en-AU" w:bidi="ar-SA"/>
              </w:rPr>
              <w:t>2</w:t>
            </w:r>
            <w:r w:rsidR="00CF78DB">
              <w:rPr>
                <w:szCs w:val="18"/>
                <w:lang w:eastAsia="en-AU" w:bidi="ar-SA"/>
              </w:rPr>
              <w:t> </w:t>
            </w:r>
            <w:r w:rsidRPr="005911E2">
              <w:rPr>
                <w:szCs w:val="18"/>
                <w:lang w:eastAsia="en-AU" w:bidi="ar-SA"/>
              </w:rPr>
              <w:t>150</w:t>
            </w:r>
          </w:p>
        </w:tc>
        <w:tc>
          <w:tcPr>
            <w:tcW w:w="1276"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r w:rsidRPr="005911E2">
              <w:rPr>
                <w:szCs w:val="18"/>
                <w:lang w:eastAsia="en-AU" w:bidi="ar-SA"/>
              </w:rPr>
              <w:t>0.0</w:t>
            </w:r>
          </w:p>
        </w:tc>
        <w:tc>
          <w:tcPr>
            <w:tcW w:w="1404" w:type="dxa"/>
            <w:tcBorders>
              <w:top w:val="nil"/>
              <w:left w:val="nil"/>
              <w:bottom w:val="nil"/>
              <w:right w:val="nil"/>
            </w:tcBorders>
            <w:shd w:val="clear" w:color="auto" w:fill="auto"/>
            <w:noWrap/>
            <w:hideMark/>
          </w:tcPr>
          <w:p w:rsidR="001013EC" w:rsidRPr="005911E2" w:rsidRDefault="001013EC" w:rsidP="001013EC">
            <w:pPr>
              <w:pStyle w:val="TableText"/>
              <w:jc w:val="right"/>
              <w:rPr>
                <w:szCs w:val="18"/>
                <w:lang w:eastAsia="en-AU" w:bidi="ar-SA"/>
              </w:rPr>
            </w:pPr>
            <w:r w:rsidRPr="005911E2">
              <w:rPr>
                <w:szCs w:val="18"/>
                <w:lang w:eastAsia="en-AU" w:bidi="ar-SA"/>
              </w:rPr>
              <w:t>0.0</w:t>
            </w:r>
          </w:p>
        </w:tc>
        <w:tc>
          <w:tcPr>
            <w:tcW w:w="154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538</w:t>
            </w:r>
          </w:p>
        </w:tc>
      </w:tr>
      <w:tr w:rsidR="001013EC" w:rsidRPr="005911E2" w:rsidTr="00351FF6">
        <w:trPr>
          <w:cantSplit/>
          <w:jc w:val="right"/>
        </w:trPr>
        <w:tc>
          <w:tcPr>
            <w:tcW w:w="3086" w:type="dxa"/>
            <w:tcBorders>
              <w:top w:val="nil"/>
              <w:left w:val="nil"/>
              <w:bottom w:val="nil"/>
              <w:right w:val="nil"/>
            </w:tcBorders>
            <w:shd w:val="clear" w:color="auto" w:fill="auto"/>
            <w:noWrap/>
            <w:vAlign w:val="bottom"/>
            <w:hideMark/>
          </w:tcPr>
          <w:p w:rsidR="001013EC" w:rsidRPr="005911E2" w:rsidRDefault="001013EC" w:rsidP="001013EC">
            <w:pPr>
              <w:pStyle w:val="TableText"/>
              <w:rPr>
                <w:szCs w:val="18"/>
                <w:lang w:eastAsia="en-AU" w:bidi="ar-SA"/>
              </w:rPr>
            </w:pPr>
            <w:r w:rsidRPr="005911E2">
              <w:rPr>
                <w:szCs w:val="18"/>
                <w:lang w:eastAsia="en-AU" w:bidi="ar-SA"/>
              </w:rPr>
              <w:t>Private Landlords</w:t>
            </w:r>
          </w:p>
        </w:tc>
        <w:tc>
          <w:tcPr>
            <w:tcW w:w="1025" w:type="dxa"/>
            <w:gridSpan w:val="2"/>
            <w:tcBorders>
              <w:top w:val="nil"/>
              <w:left w:val="nil"/>
              <w:bottom w:val="nil"/>
              <w:right w:val="nil"/>
            </w:tcBorders>
            <w:shd w:val="clear" w:color="auto" w:fill="auto"/>
            <w:noWrap/>
            <w:vAlign w:val="bottom"/>
            <w:hideMark/>
          </w:tcPr>
          <w:p w:rsidR="001013EC" w:rsidRPr="005911E2" w:rsidRDefault="001013EC" w:rsidP="00C21E3A">
            <w:pPr>
              <w:pStyle w:val="TableText"/>
              <w:jc w:val="right"/>
              <w:rPr>
                <w:szCs w:val="18"/>
                <w:lang w:eastAsia="en-AU" w:bidi="ar-SA"/>
              </w:rPr>
            </w:pPr>
            <w:r w:rsidRPr="005911E2">
              <w:rPr>
                <w:szCs w:val="18"/>
                <w:lang w:eastAsia="en-AU" w:bidi="ar-SA"/>
              </w:rPr>
              <w:t>1</w:t>
            </w:r>
            <w:r w:rsidR="00CF78DB">
              <w:rPr>
                <w:szCs w:val="18"/>
                <w:lang w:eastAsia="en-AU" w:bidi="ar-SA"/>
              </w:rPr>
              <w:t> </w:t>
            </w:r>
            <w:r w:rsidRPr="005911E2">
              <w:rPr>
                <w:szCs w:val="18"/>
                <w:lang w:eastAsia="en-AU" w:bidi="ar-SA"/>
              </w:rPr>
              <w:t>718</w:t>
            </w:r>
          </w:p>
        </w:tc>
        <w:tc>
          <w:tcPr>
            <w:tcW w:w="1276"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r w:rsidRPr="005911E2">
              <w:rPr>
                <w:szCs w:val="18"/>
                <w:lang w:eastAsia="en-AU" w:bidi="ar-SA"/>
              </w:rPr>
              <w:t>0.0</w:t>
            </w:r>
          </w:p>
        </w:tc>
        <w:tc>
          <w:tcPr>
            <w:tcW w:w="1404" w:type="dxa"/>
            <w:tcBorders>
              <w:top w:val="nil"/>
              <w:left w:val="nil"/>
              <w:bottom w:val="nil"/>
              <w:right w:val="nil"/>
            </w:tcBorders>
            <w:shd w:val="clear" w:color="auto" w:fill="auto"/>
            <w:noWrap/>
            <w:hideMark/>
          </w:tcPr>
          <w:p w:rsidR="001013EC" w:rsidRPr="005911E2" w:rsidRDefault="001013EC" w:rsidP="001013EC">
            <w:pPr>
              <w:pStyle w:val="TableText"/>
              <w:jc w:val="right"/>
              <w:rPr>
                <w:szCs w:val="18"/>
                <w:lang w:eastAsia="en-AU" w:bidi="ar-SA"/>
              </w:rPr>
            </w:pPr>
            <w:r w:rsidRPr="005911E2">
              <w:rPr>
                <w:szCs w:val="18"/>
                <w:lang w:eastAsia="en-AU" w:bidi="ar-SA"/>
              </w:rPr>
              <w:t>0.0</w:t>
            </w:r>
          </w:p>
        </w:tc>
        <w:tc>
          <w:tcPr>
            <w:tcW w:w="154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286</w:t>
            </w:r>
          </w:p>
        </w:tc>
      </w:tr>
      <w:tr w:rsidR="001013EC" w:rsidRPr="005911E2" w:rsidTr="00351FF6">
        <w:trPr>
          <w:cantSplit/>
          <w:jc w:val="right"/>
        </w:trPr>
        <w:tc>
          <w:tcPr>
            <w:tcW w:w="3086" w:type="dxa"/>
            <w:tcBorders>
              <w:top w:val="nil"/>
              <w:left w:val="nil"/>
              <w:bottom w:val="nil"/>
              <w:right w:val="nil"/>
            </w:tcBorders>
            <w:shd w:val="clear" w:color="auto" w:fill="auto"/>
            <w:noWrap/>
            <w:vAlign w:val="bottom"/>
            <w:hideMark/>
          </w:tcPr>
          <w:p w:rsidR="001013EC" w:rsidRPr="005911E2" w:rsidRDefault="001013EC" w:rsidP="001013EC">
            <w:pPr>
              <w:pStyle w:val="TableText"/>
              <w:rPr>
                <w:szCs w:val="18"/>
                <w:lang w:eastAsia="en-AU" w:bidi="ar-SA"/>
              </w:rPr>
            </w:pPr>
            <w:r w:rsidRPr="005911E2">
              <w:rPr>
                <w:szCs w:val="18"/>
                <w:lang w:eastAsia="en-AU" w:bidi="ar-SA"/>
              </w:rPr>
              <w:t>Real Estate Agents</w:t>
            </w:r>
          </w:p>
        </w:tc>
        <w:tc>
          <w:tcPr>
            <w:tcW w:w="1025" w:type="dxa"/>
            <w:gridSpan w:val="2"/>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r w:rsidRPr="005911E2">
              <w:rPr>
                <w:szCs w:val="18"/>
                <w:lang w:eastAsia="en-AU" w:bidi="ar-SA"/>
              </w:rPr>
              <w:t>340</w:t>
            </w:r>
          </w:p>
        </w:tc>
        <w:tc>
          <w:tcPr>
            <w:tcW w:w="1276"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r w:rsidRPr="005911E2">
              <w:rPr>
                <w:szCs w:val="18"/>
                <w:lang w:eastAsia="en-AU" w:bidi="ar-SA"/>
              </w:rPr>
              <w:t>0.0</w:t>
            </w:r>
          </w:p>
        </w:tc>
        <w:tc>
          <w:tcPr>
            <w:tcW w:w="1404" w:type="dxa"/>
            <w:tcBorders>
              <w:top w:val="nil"/>
              <w:left w:val="nil"/>
              <w:bottom w:val="nil"/>
              <w:right w:val="nil"/>
            </w:tcBorders>
            <w:shd w:val="clear" w:color="auto" w:fill="auto"/>
            <w:noWrap/>
            <w:hideMark/>
          </w:tcPr>
          <w:p w:rsidR="001013EC" w:rsidRPr="005911E2" w:rsidRDefault="001013EC" w:rsidP="001013EC">
            <w:pPr>
              <w:pStyle w:val="TableText"/>
              <w:jc w:val="right"/>
              <w:rPr>
                <w:szCs w:val="18"/>
                <w:lang w:eastAsia="en-AU" w:bidi="ar-SA"/>
              </w:rPr>
            </w:pPr>
            <w:r w:rsidRPr="005911E2">
              <w:rPr>
                <w:szCs w:val="18"/>
                <w:lang w:eastAsia="en-AU" w:bidi="ar-SA"/>
              </w:rPr>
              <w:t>0.0</w:t>
            </w:r>
          </w:p>
        </w:tc>
        <w:tc>
          <w:tcPr>
            <w:tcW w:w="154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340</w:t>
            </w:r>
          </w:p>
        </w:tc>
      </w:tr>
      <w:tr w:rsidR="001013EC" w:rsidRPr="005911E2" w:rsidTr="00351FF6">
        <w:trPr>
          <w:cantSplit/>
          <w:jc w:val="right"/>
        </w:trPr>
        <w:tc>
          <w:tcPr>
            <w:tcW w:w="3086" w:type="dxa"/>
            <w:tcBorders>
              <w:top w:val="nil"/>
              <w:left w:val="nil"/>
              <w:bottom w:val="nil"/>
              <w:right w:val="nil"/>
            </w:tcBorders>
            <w:shd w:val="clear" w:color="auto" w:fill="auto"/>
            <w:noWrap/>
            <w:vAlign w:val="bottom"/>
            <w:hideMark/>
          </w:tcPr>
          <w:p w:rsidR="001013EC" w:rsidRPr="005911E2" w:rsidRDefault="001013EC" w:rsidP="001013EC">
            <w:pPr>
              <w:pStyle w:val="TableText"/>
              <w:rPr>
                <w:bCs/>
                <w:i/>
                <w:iCs/>
                <w:szCs w:val="18"/>
                <w:lang w:eastAsia="en-AU" w:bidi="ar-SA"/>
              </w:rPr>
            </w:pPr>
            <w:r w:rsidRPr="005911E2">
              <w:rPr>
                <w:bCs/>
                <w:i/>
                <w:iCs/>
                <w:szCs w:val="18"/>
                <w:lang w:eastAsia="en-AU" w:bidi="ar-SA"/>
              </w:rPr>
              <w:t xml:space="preserve">Sub-total Housing </w:t>
            </w:r>
          </w:p>
        </w:tc>
        <w:tc>
          <w:tcPr>
            <w:tcW w:w="1025" w:type="dxa"/>
            <w:gridSpan w:val="2"/>
            <w:tcBorders>
              <w:top w:val="nil"/>
              <w:left w:val="nil"/>
              <w:bottom w:val="nil"/>
              <w:right w:val="nil"/>
            </w:tcBorders>
            <w:shd w:val="clear" w:color="auto" w:fill="auto"/>
            <w:noWrap/>
            <w:vAlign w:val="bottom"/>
            <w:hideMark/>
          </w:tcPr>
          <w:p w:rsidR="001013EC" w:rsidRPr="005911E2" w:rsidRDefault="001013EC" w:rsidP="00C21E3A">
            <w:pPr>
              <w:pStyle w:val="TableText"/>
              <w:jc w:val="right"/>
              <w:rPr>
                <w:bCs/>
                <w:i/>
                <w:iCs/>
                <w:szCs w:val="18"/>
                <w:lang w:eastAsia="en-AU" w:bidi="ar-SA"/>
              </w:rPr>
            </w:pPr>
            <w:r w:rsidRPr="005911E2">
              <w:rPr>
                <w:bCs/>
                <w:i/>
                <w:iCs/>
                <w:szCs w:val="18"/>
                <w:lang w:eastAsia="en-AU" w:bidi="ar-SA"/>
              </w:rPr>
              <w:t>572</w:t>
            </w:r>
            <w:r w:rsidR="00CF78DB">
              <w:rPr>
                <w:bCs/>
                <w:i/>
                <w:iCs/>
                <w:szCs w:val="18"/>
                <w:lang w:eastAsia="en-AU" w:bidi="ar-SA"/>
              </w:rPr>
              <w:t> </w:t>
            </w:r>
            <w:r w:rsidRPr="005911E2">
              <w:rPr>
                <w:bCs/>
                <w:i/>
                <w:iCs/>
                <w:szCs w:val="18"/>
                <w:lang w:eastAsia="en-AU" w:bidi="ar-SA"/>
              </w:rPr>
              <w:t>843</w:t>
            </w:r>
          </w:p>
        </w:tc>
        <w:tc>
          <w:tcPr>
            <w:tcW w:w="1276"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bCs/>
                <w:i/>
                <w:iCs/>
                <w:szCs w:val="18"/>
                <w:lang w:eastAsia="en-AU" w:bidi="ar-SA"/>
              </w:rPr>
            </w:pPr>
            <w:r w:rsidRPr="005911E2">
              <w:rPr>
                <w:bCs/>
                <w:i/>
                <w:iCs/>
                <w:szCs w:val="18"/>
                <w:lang w:eastAsia="en-AU" w:bidi="ar-SA"/>
              </w:rPr>
              <w:t>8.9</w:t>
            </w:r>
          </w:p>
        </w:tc>
        <w:tc>
          <w:tcPr>
            <w:tcW w:w="1404" w:type="dxa"/>
            <w:tcBorders>
              <w:top w:val="nil"/>
              <w:left w:val="nil"/>
              <w:bottom w:val="nil"/>
              <w:right w:val="nil"/>
            </w:tcBorders>
            <w:shd w:val="clear" w:color="auto" w:fill="auto"/>
            <w:noWrap/>
            <w:hideMark/>
          </w:tcPr>
          <w:p w:rsidR="001013EC" w:rsidRPr="005911E2" w:rsidRDefault="001013EC" w:rsidP="001013EC">
            <w:pPr>
              <w:pStyle w:val="TableText"/>
              <w:jc w:val="right"/>
              <w:rPr>
                <w:bCs/>
                <w:i/>
                <w:iCs/>
                <w:szCs w:val="18"/>
                <w:lang w:eastAsia="en-AU" w:bidi="ar-SA"/>
              </w:rPr>
            </w:pPr>
            <w:r w:rsidRPr="005911E2">
              <w:rPr>
                <w:bCs/>
                <w:i/>
                <w:iCs/>
                <w:szCs w:val="18"/>
                <w:lang w:eastAsia="en-AU" w:bidi="ar-SA"/>
              </w:rPr>
              <w:t>48.3</w:t>
            </w:r>
          </w:p>
        </w:tc>
        <w:tc>
          <w:tcPr>
            <w:tcW w:w="1544" w:type="dxa"/>
            <w:tcBorders>
              <w:top w:val="nil"/>
              <w:left w:val="nil"/>
              <w:bottom w:val="nil"/>
              <w:right w:val="nil"/>
            </w:tcBorders>
            <w:shd w:val="clear" w:color="auto" w:fill="auto"/>
            <w:noWrap/>
          </w:tcPr>
          <w:p w:rsidR="001013EC" w:rsidRPr="005911E2" w:rsidRDefault="001013EC" w:rsidP="001013EC">
            <w:pPr>
              <w:pStyle w:val="TableText"/>
              <w:jc w:val="right"/>
              <w:rPr>
                <w:bCs/>
                <w:i/>
                <w:iCs/>
                <w:szCs w:val="18"/>
                <w:lang w:eastAsia="en-AU" w:bidi="ar-SA"/>
              </w:rPr>
            </w:pPr>
            <w:r w:rsidRPr="005911E2">
              <w:rPr>
                <w:bCs/>
                <w:i/>
                <w:iCs/>
                <w:szCs w:val="18"/>
                <w:lang w:eastAsia="en-AU" w:bidi="ar-SA"/>
              </w:rPr>
              <w:t>72</w:t>
            </w:r>
          </w:p>
        </w:tc>
      </w:tr>
      <w:tr w:rsidR="001013EC" w:rsidRPr="005911E2" w:rsidTr="00351FF6">
        <w:trPr>
          <w:cantSplit/>
          <w:trHeight w:hRule="exact" w:val="120"/>
          <w:jc w:val="right"/>
        </w:trPr>
        <w:tc>
          <w:tcPr>
            <w:tcW w:w="3086" w:type="dxa"/>
            <w:tcBorders>
              <w:top w:val="nil"/>
              <w:left w:val="nil"/>
              <w:bottom w:val="nil"/>
              <w:right w:val="nil"/>
            </w:tcBorders>
            <w:shd w:val="clear" w:color="auto" w:fill="auto"/>
            <w:noWrap/>
            <w:vAlign w:val="bottom"/>
            <w:hideMark/>
          </w:tcPr>
          <w:p w:rsidR="001013EC" w:rsidRPr="005911E2" w:rsidRDefault="001013EC" w:rsidP="001013EC">
            <w:pPr>
              <w:pStyle w:val="TableText"/>
              <w:rPr>
                <w:szCs w:val="18"/>
                <w:lang w:eastAsia="en-AU" w:bidi="ar-SA"/>
              </w:rPr>
            </w:pPr>
          </w:p>
        </w:tc>
        <w:tc>
          <w:tcPr>
            <w:tcW w:w="1025" w:type="dxa"/>
            <w:gridSpan w:val="2"/>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p>
        </w:tc>
        <w:tc>
          <w:tcPr>
            <w:tcW w:w="1276" w:type="dxa"/>
            <w:tcBorders>
              <w:top w:val="nil"/>
              <w:left w:val="nil"/>
              <w:bottom w:val="nil"/>
              <w:right w:val="nil"/>
            </w:tcBorders>
            <w:shd w:val="clear" w:color="auto" w:fill="auto"/>
            <w:noWrap/>
            <w:vAlign w:val="bottom"/>
            <w:hideMark/>
          </w:tcPr>
          <w:p w:rsidR="001013EC" w:rsidRPr="005911E2" w:rsidRDefault="00CF78DB" w:rsidP="001013EC">
            <w:pPr>
              <w:pStyle w:val="TableText"/>
              <w:jc w:val="right"/>
              <w:rPr>
                <w:szCs w:val="18"/>
                <w:lang w:eastAsia="en-AU" w:bidi="ar-SA"/>
              </w:rPr>
            </w:pPr>
            <w:r>
              <w:rPr>
                <w:szCs w:val="18"/>
                <w:lang w:eastAsia="en-AU" w:bidi="ar-SA"/>
              </w:rPr>
              <w:t> </w:t>
            </w:r>
          </w:p>
        </w:tc>
        <w:tc>
          <w:tcPr>
            <w:tcW w:w="1404"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p>
        </w:tc>
        <w:tc>
          <w:tcPr>
            <w:tcW w:w="1544" w:type="dxa"/>
            <w:tcBorders>
              <w:top w:val="nil"/>
              <w:left w:val="nil"/>
              <w:bottom w:val="nil"/>
              <w:right w:val="nil"/>
            </w:tcBorders>
            <w:shd w:val="clear" w:color="auto" w:fill="auto"/>
            <w:noWrap/>
            <w:vAlign w:val="bottom"/>
          </w:tcPr>
          <w:p w:rsidR="001013EC" w:rsidRPr="005911E2" w:rsidRDefault="001013EC" w:rsidP="001013EC">
            <w:pPr>
              <w:pStyle w:val="TableText"/>
              <w:jc w:val="right"/>
              <w:rPr>
                <w:szCs w:val="18"/>
                <w:lang w:eastAsia="en-AU" w:bidi="ar-SA"/>
              </w:rPr>
            </w:pPr>
          </w:p>
        </w:tc>
      </w:tr>
      <w:tr w:rsidR="001013EC" w:rsidRPr="005911E2" w:rsidTr="00351FF6">
        <w:trPr>
          <w:cantSplit/>
          <w:jc w:val="right"/>
        </w:trPr>
        <w:tc>
          <w:tcPr>
            <w:tcW w:w="3086" w:type="dxa"/>
            <w:tcBorders>
              <w:top w:val="nil"/>
              <w:left w:val="nil"/>
              <w:bottom w:val="nil"/>
              <w:right w:val="nil"/>
            </w:tcBorders>
            <w:shd w:val="clear" w:color="auto" w:fill="auto"/>
            <w:noWrap/>
            <w:vAlign w:val="bottom"/>
            <w:hideMark/>
          </w:tcPr>
          <w:p w:rsidR="001013EC" w:rsidRPr="005911E2" w:rsidRDefault="001013EC" w:rsidP="001013EC">
            <w:pPr>
              <w:pStyle w:val="TableText"/>
              <w:rPr>
                <w:szCs w:val="18"/>
                <w:lang w:eastAsia="en-AU" w:bidi="ar-SA"/>
              </w:rPr>
            </w:pPr>
            <w:r w:rsidRPr="005911E2">
              <w:rPr>
                <w:szCs w:val="18"/>
                <w:lang w:eastAsia="en-AU" w:bidi="ar-SA"/>
              </w:rPr>
              <w:t>Electricity</w:t>
            </w:r>
          </w:p>
        </w:tc>
        <w:tc>
          <w:tcPr>
            <w:tcW w:w="1025" w:type="dxa"/>
            <w:gridSpan w:val="2"/>
            <w:tcBorders>
              <w:top w:val="nil"/>
              <w:left w:val="nil"/>
              <w:bottom w:val="nil"/>
              <w:right w:val="nil"/>
            </w:tcBorders>
            <w:shd w:val="clear" w:color="auto" w:fill="auto"/>
            <w:noWrap/>
            <w:vAlign w:val="bottom"/>
            <w:hideMark/>
          </w:tcPr>
          <w:p w:rsidR="001013EC" w:rsidRPr="005911E2" w:rsidRDefault="001013EC" w:rsidP="00C21E3A">
            <w:pPr>
              <w:pStyle w:val="TableText"/>
              <w:jc w:val="right"/>
              <w:rPr>
                <w:szCs w:val="18"/>
                <w:lang w:eastAsia="en-AU" w:bidi="ar-SA"/>
              </w:rPr>
            </w:pPr>
            <w:r w:rsidRPr="005911E2">
              <w:rPr>
                <w:szCs w:val="18"/>
                <w:lang w:eastAsia="en-AU" w:bidi="ar-SA"/>
              </w:rPr>
              <w:t>29</w:t>
            </w:r>
            <w:r w:rsidR="00CF78DB">
              <w:rPr>
                <w:szCs w:val="18"/>
                <w:lang w:eastAsia="en-AU" w:bidi="ar-SA"/>
              </w:rPr>
              <w:t> </w:t>
            </w:r>
            <w:r w:rsidRPr="005911E2">
              <w:rPr>
                <w:szCs w:val="18"/>
                <w:lang w:eastAsia="en-AU" w:bidi="ar-SA"/>
              </w:rPr>
              <w:t>197</w:t>
            </w:r>
          </w:p>
        </w:tc>
        <w:tc>
          <w:tcPr>
            <w:tcW w:w="1276"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r w:rsidRPr="005911E2">
              <w:rPr>
                <w:szCs w:val="18"/>
                <w:lang w:eastAsia="en-AU" w:bidi="ar-SA"/>
              </w:rPr>
              <w:t>0.5</w:t>
            </w:r>
          </w:p>
        </w:tc>
        <w:tc>
          <w:tcPr>
            <w:tcW w:w="1404" w:type="dxa"/>
            <w:tcBorders>
              <w:top w:val="nil"/>
              <w:left w:val="nil"/>
              <w:bottom w:val="nil"/>
              <w:right w:val="nil"/>
            </w:tcBorders>
            <w:shd w:val="clear" w:color="auto" w:fill="auto"/>
            <w:noWrap/>
            <w:hideMark/>
          </w:tcPr>
          <w:p w:rsidR="001013EC" w:rsidRPr="005911E2" w:rsidRDefault="001013EC" w:rsidP="001013EC">
            <w:pPr>
              <w:pStyle w:val="TableText"/>
              <w:jc w:val="right"/>
              <w:rPr>
                <w:szCs w:val="18"/>
                <w:lang w:eastAsia="en-AU" w:bidi="ar-SA"/>
              </w:rPr>
            </w:pPr>
            <w:r w:rsidRPr="005911E2">
              <w:rPr>
                <w:szCs w:val="18"/>
                <w:lang w:eastAsia="en-AU" w:bidi="ar-SA"/>
              </w:rPr>
              <w:t>3.2</w:t>
            </w:r>
          </w:p>
        </w:tc>
        <w:tc>
          <w:tcPr>
            <w:tcW w:w="154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56</w:t>
            </w:r>
          </w:p>
        </w:tc>
      </w:tr>
      <w:tr w:rsidR="001013EC" w:rsidRPr="005911E2" w:rsidTr="00351FF6">
        <w:trPr>
          <w:cantSplit/>
          <w:jc w:val="right"/>
        </w:trPr>
        <w:tc>
          <w:tcPr>
            <w:tcW w:w="3086" w:type="dxa"/>
            <w:tcBorders>
              <w:top w:val="nil"/>
              <w:left w:val="nil"/>
              <w:bottom w:val="nil"/>
              <w:right w:val="nil"/>
            </w:tcBorders>
            <w:shd w:val="clear" w:color="auto" w:fill="auto"/>
            <w:noWrap/>
            <w:vAlign w:val="bottom"/>
            <w:hideMark/>
          </w:tcPr>
          <w:p w:rsidR="001013EC" w:rsidRPr="005911E2" w:rsidRDefault="001013EC" w:rsidP="001013EC">
            <w:pPr>
              <w:pStyle w:val="TableText"/>
              <w:rPr>
                <w:szCs w:val="18"/>
                <w:lang w:eastAsia="en-AU" w:bidi="ar-SA"/>
              </w:rPr>
            </w:pPr>
            <w:r w:rsidRPr="005911E2">
              <w:rPr>
                <w:szCs w:val="18"/>
                <w:lang w:eastAsia="en-AU" w:bidi="ar-SA"/>
              </w:rPr>
              <w:t>Telephone</w:t>
            </w:r>
          </w:p>
        </w:tc>
        <w:tc>
          <w:tcPr>
            <w:tcW w:w="1025" w:type="dxa"/>
            <w:gridSpan w:val="2"/>
            <w:tcBorders>
              <w:top w:val="nil"/>
              <w:left w:val="nil"/>
              <w:bottom w:val="nil"/>
              <w:right w:val="nil"/>
            </w:tcBorders>
            <w:shd w:val="clear" w:color="auto" w:fill="auto"/>
            <w:noWrap/>
            <w:vAlign w:val="bottom"/>
            <w:hideMark/>
          </w:tcPr>
          <w:p w:rsidR="001013EC" w:rsidRPr="005911E2" w:rsidRDefault="001013EC" w:rsidP="00C21E3A">
            <w:pPr>
              <w:pStyle w:val="TableText"/>
              <w:jc w:val="right"/>
              <w:rPr>
                <w:szCs w:val="18"/>
                <w:lang w:eastAsia="en-AU" w:bidi="ar-SA"/>
              </w:rPr>
            </w:pPr>
            <w:r w:rsidRPr="005911E2">
              <w:rPr>
                <w:szCs w:val="18"/>
                <w:lang w:eastAsia="en-AU" w:bidi="ar-SA"/>
              </w:rPr>
              <w:t>9</w:t>
            </w:r>
            <w:r w:rsidR="00CF78DB">
              <w:rPr>
                <w:szCs w:val="18"/>
                <w:lang w:eastAsia="en-AU" w:bidi="ar-SA"/>
              </w:rPr>
              <w:t> </w:t>
            </w:r>
            <w:r w:rsidRPr="005911E2">
              <w:rPr>
                <w:szCs w:val="18"/>
                <w:lang w:eastAsia="en-AU" w:bidi="ar-SA"/>
              </w:rPr>
              <w:t>943</w:t>
            </w:r>
          </w:p>
        </w:tc>
        <w:tc>
          <w:tcPr>
            <w:tcW w:w="1276"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r w:rsidRPr="005911E2">
              <w:rPr>
                <w:szCs w:val="18"/>
                <w:lang w:eastAsia="en-AU" w:bidi="ar-SA"/>
              </w:rPr>
              <w:t>0.2</w:t>
            </w:r>
          </w:p>
        </w:tc>
        <w:tc>
          <w:tcPr>
            <w:tcW w:w="1404" w:type="dxa"/>
            <w:tcBorders>
              <w:top w:val="nil"/>
              <w:left w:val="nil"/>
              <w:bottom w:val="nil"/>
              <w:right w:val="nil"/>
            </w:tcBorders>
            <w:shd w:val="clear" w:color="auto" w:fill="auto"/>
            <w:noWrap/>
            <w:hideMark/>
          </w:tcPr>
          <w:p w:rsidR="001013EC" w:rsidRPr="005911E2" w:rsidRDefault="001013EC" w:rsidP="001013EC">
            <w:pPr>
              <w:pStyle w:val="TableText"/>
              <w:jc w:val="right"/>
              <w:rPr>
                <w:szCs w:val="18"/>
                <w:lang w:eastAsia="en-AU" w:bidi="ar-SA"/>
              </w:rPr>
            </w:pPr>
            <w:r w:rsidRPr="005911E2">
              <w:rPr>
                <w:szCs w:val="18"/>
                <w:lang w:eastAsia="en-AU" w:bidi="ar-SA"/>
              </w:rPr>
              <w:t>0.8</w:t>
            </w:r>
          </w:p>
        </w:tc>
        <w:tc>
          <w:tcPr>
            <w:tcW w:w="154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73</w:t>
            </w:r>
          </w:p>
        </w:tc>
      </w:tr>
      <w:tr w:rsidR="001013EC" w:rsidRPr="005911E2" w:rsidTr="00351FF6">
        <w:trPr>
          <w:cantSplit/>
          <w:jc w:val="right"/>
        </w:trPr>
        <w:tc>
          <w:tcPr>
            <w:tcW w:w="3086" w:type="dxa"/>
            <w:tcBorders>
              <w:top w:val="nil"/>
              <w:left w:val="nil"/>
              <w:bottom w:val="nil"/>
              <w:right w:val="nil"/>
            </w:tcBorders>
            <w:shd w:val="clear" w:color="auto" w:fill="auto"/>
            <w:noWrap/>
            <w:vAlign w:val="bottom"/>
            <w:hideMark/>
          </w:tcPr>
          <w:p w:rsidR="001013EC" w:rsidRPr="005911E2" w:rsidRDefault="001013EC" w:rsidP="001013EC">
            <w:pPr>
              <w:pStyle w:val="TableText"/>
              <w:rPr>
                <w:szCs w:val="18"/>
                <w:lang w:eastAsia="en-AU" w:bidi="ar-SA"/>
              </w:rPr>
            </w:pPr>
            <w:r w:rsidRPr="005911E2">
              <w:rPr>
                <w:szCs w:val="18"/>
                <w:lang w:eastAsia="en-AU" w:bidi="ar-SA"/>
              </w:rPr>
              <w:t>Water</w:t>
            </w:r>
          </w:p>
        </w:tc>
        <w:tc>
          <w:tcPr>
            <w:tcW w:w="1025" w:type="dxa"/>
            <w:gridSpan w:val="2"/>
            <w:tcBorders>
              <w:top w:val="nil"/>
              <w:left w:val="nil"/>
              <w:bottom w:val="nil"/>
              <w:right w:val="nil"/>
            </w:tcBorders>
            <w:shd w:val="clear" w:color="auto" w:fill="auto"/>
            <w:noWrap/>
            <w:vAlign w:val="bottom"/>
            <w:hideMark/>
          </w:tcPr>
          <w:p w:rsidR="001013EC" w:rsidRPr="005911E2" w:rsidRDefault="001013EC" w:rsidP="00C21E3A">
            <w:pPr>
              <w:pStyle w:val="TableText"/>
              <w:jc w:val="right"/>
              <w:rPr>
                <w:szCs w:val="18"/>
                <w:lang w:eastAsia="en-AU" w:bidi="ar-SA"/>
              </w:rPr>
            </w:pPr>
            <w:r w:rsidRPr="005911E2">
              <w:rPr>
                <w:szCs w:val="18"/>
                <w:lang w:eastAsia="en-AU" w:bidi="ar-SA"/>
              </w:rPr>
              <w:t>1</w:t>
            </w:r>
            <w:r w:rsidR="00CF78DB">
              <w:rPr>
                <w:szCs w:val="18"/>
                <w:lang w:eastAsia="en-AU" w:bidi="ar-SA"/>
              </w:rPr>
              <w:t> </w:t>
            </w:r>
            <w:r w:rsidRPr="005911E2">
              <w:rPr>
                <w:szCs w:val="18"/>
                <w:lang w:eastAsia="en-AU" w:bidi="ar-SA"/>
              </w:rPr>
              <w:t>835</w:t>
            </w:r>
          </w:p>
        </w:tc>
        <w:tc>
          <w:tcPr>
            <w:tcW w:w="1276"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r w:rsidRPr="005911E2">
              <w:rPr>
                <w:szCs w:val="18"/>
                <w:lang w:eastAsia="en-AU" w:bidi="ar-SA"/>
              </w:rPr>
              <w:t>0.0</w:t>
            </w:r>
          </w:p>
        </w:tc>
        <w:tc>
          <w:tcPr>
            <w:tcW w:w="1404" w:type="dxa"/>
            <w:tcBorders>
              <w:top w:val="nil"/>
              <w:left w:val="nil"/>
              <w:bottom w:val="nil"/>
              <w:right w:val="nil"/>
            </w:tcBorders>
            <w:shd w:val="clear" w:color="auto" w:fill="auto"/>
            <w:noWrap/>
            <w:hideMark/>
          </w:tcPr>
          <w:p w:rsidR="001013EC" w:rsidRPr="005911E2" w:rsidRDefault="001013EC" w:rsidP="001013EC">
            <w:pPr>
              <w:pStyle w:val="TableText"/>
              <w:jc w:val="right"/>
              <w:rPr>
                <w:szCs w:val="18"/>
                <w:lang w:eastAsia="en-AU" w:bidi="ar-SA"/>
              </w:rPr>
            </w:pPr>
            <w:r w:rsidRPr="005911E2">
              <w:rPr>
                <w:szCs w:val="18"/>
                <w:lang w:eastAsia="en-AU" w:bidi="ar-SA"/>
              </w:rPr>
              <w:t>0.3</w:t>
            </w:r>
          </w:p>
        </w:tc>
        <w:tc>
          <w:tcPr>
            <w:tcW w:w="154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37</w:t>
            </w:r>
          </w:p>
        </w:tc>
      </w:tr>
      <w:tr w:rsidR="001013EC" w:rsidRPr="005911E2" w:rsidTr="00351FF6">
        <w:trPr>
          <w:cantSplit/>
          <w:jc w:val="right"/>
        </w:trPr>
        <w:tc>
          <w:tcPr>
            <w:tcW w:w="3086" w:type="dxa"/>
            <w:tcBorders>
              <w:top w:val="nil"/>
              <w:left w:val="nil"/>
              <w:bottom w:val="nil"/>
              <w:right w:val="nil"/>
            </w:tcBorders>
            <w:shd w:val="clear" w:color="auto" w:fill="auto"/>
            <w:noWrap/>
            <w:vAlign w:val="bottom"/>
            <w:hideMark/>
          </w:tcPr>
          <w:p w:rsidR="001013EC" w:rsidRPr="005911E2" w:rsidRDefault="001013EC" w:rsidP="001013EC">
            <w:pPr>
              <w:pStyle w:val="TableText"/>
              <w:rPr>
                <w:szCs w:val="18"/>
                <w:lang w:eastAsia="en-AU" w:bidi="ar-SA"/>
              </w:rPr>
            </w:pPr>
            <w:r w:rsidRPr="005911E2">
              <w:rPr>
                <w:szCs w:val="18"/>
                <w:lang w:eastAsia="en-AU" w:bidi="ar-SA"/>
              </w:rPr>
              <w:t>Gas</w:t>
            </w:r>
          </w:p>
        </w:tc>
        <w:tc>
          <w:tcPr>
            <w:tcW w:w="1025" w:type="dxa"/>
            <w:gridSpan w:val="2"/>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r w:rsidRPr="005911E2">
              <w:rPr>
                <w:szCs w:val="18"/>
                <w:lang w:eastAsia="en-AU" w:bidi="ar-SA"/>
              </w:rPr>
              <w:t>185</w:t>
            </w:r>
          </w:p>
        </w:tc>
        <w:tc>
          <w:tcPr>
            <w:tcW w:w="1276"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r w:rsidRPr="005911E2">
              <w:rPr>
                <w:szCs w:val="18"/>
                <w:lang w:eastAsia="en-AU" w:bidi="ar-SA"/>
              </w:rPr>
              <w:t>0.0</w:t>
            </w:r>
          </w:p>
        </w:tc>
        <w:tc>
          <w:tcPr>
            <w:tcW w:w="1404" w:type="dxa"/>
            <w:tcBorders>
              <w:top w:val="nil"/>
              <w:left w:val="nil"/>
              <w:bottom w:val="nil"/>
              <w:right w:val="nil"/>
            </w:tcBorders>
            <w:shd w:val="clear" w:color="auto" w:fill="auto"/>
            <w:noWrap/>
            <w:hideMark/>
          </w:tcPr>
          <w:p w:rsidR="001013EC" w:rsidRPr="005911E2" w:rsidRDefault="001013EC" w:rsidP="001013EC">
            <w:pPr>
              <w:pStyle w:val="TableText"/>
              <w:jc w:val="right"/>
              <w:rPr>
                <w:szCs w:val="18"/>
                <w:lang w:eastAsia="en-AU" w:bidi="ar-SA"/>
              </w:rPr>
            </w:pPr>
            <w:r w:rsidRPr="005911E2">
              <w:rPr>
                <w:szCs w:val="18"/>
                <w:lang w:eastAsia="en-AU" w:bidi="ar-SA"/>
              </w:rPr>
              <w:t>0.0</w:t>
            </w:r>
          </w:p>
        </w:tc>
        <w:tc>
          <w:tcPr>
            <w:tcW w:w="1544" w:type="dxa"/>
            <w:tcBorders>
              <w:top w:val="nil"/>
              <w:left w:val="nil"/>
              <w:bottom w:val="nil"/>
              <w:right w:val="nil"/>
            </w:tcBorders>
            <w:shd w:val="clear" w:color="auto" w:fill="auto"/>
            <w:noWrap/>
            <w:hideMark/>
          </w:tcPr>
          <w:p w:rsidR="001013EC" w:rsidRPr="005911E2" w:rsidRDefault="001013EC" w:rsidP="001013EC">
            <w:pPr>
              <w:pStyle w:val="TableText"/>
              <w:jc w:val="right"/>
              <w:rPr>
                <w:szCs w:val="18"/>
                <w:lang w:eastAsia="en-AU" w:bidi="ar-SA"/>
              </w:rPr>
            </w:pPr>
            <w:r w:rsidRPr="005911E2">
              <w:rPr>
                <w:szCs w:val="18"/>
                <w:lang w:eastAsia="en-AU" w:bidi="ar-SA"/>
              </w:rPr>
              <w:t>62</w:t>
            </w:r>
          </w:p>
        </w:tc>
      </w:tr>
      <w:tr w:rsidR="001013EC" w:rsidRPr="005911E2" w:rsidTr="00351FF6">
        <w:trPr>
          <w:cantSplit/>
          <w:jc w:val="right"/>
        </w:trPr>
        <w:tc>
          <w:tcPr>
            <w:tcW w:w="3086" w:type="dxa"/>
            <w:tcBorders>
              <w:top w:val="nil"/>
              <w:left w:val="nil"/>
              <w:bottom w:val="nil"/>
              <w:right w:val="nil"/>
            </w:tcBorders>
            <w:shd w:val="clear" w:color="auto" w:fill="auto"/>
            <w:noWrap/>
            <w:vAlign w:val="bottom"/>
          </w:tcPr>
          <w:p w:rsidR="001013EC" w:rsidRPr="005911E2" w:rsidRDefault="001013EC" w:rsidP="001013EC">
            <w:pPr>
              <w:pStyle w:val="TableText"/>
              <w:rPr>
                <w:bCs/>
                <w:i/>
                <w:iCs/>
                <w:szCs w:val="18"/>
                <w:lang w:eastAsia="en-AU" w:bidi="ar-SA"/>
              </w:rPr>
            </w:pPr>
            <w:r w:rsidRPr="005911E2">
              <w:rPr>
                <w:szCs w:val="18"/>
                <w:lang w:eastAsia="en-AU" w:bidi="ar-SA"/>
              </w:rPr>
              <w:t>IM Electricity</w:t>
            </w:r>
          </w:p>
        </w:tc>
        <w:tc>
          <w:tcPr>
            <w:tcW w:w="1025" w:type="dxa"/>
            <w:gridSpan w:val="2"/>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2</w:t>
            </w:r>
          </w:p>
        </w:tc>
        <w:tc>
          <w:tcPr>
            <w:tcW w:w="1276"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0.0</w:t>
            </w:r>
          </w:p>
        </w:tc>
        <w:tc>
          <w:tcPr>
            <w:tcW w:w="140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0.0</w:t>
            </w:r>
          </w:p>
        </w:tc>
        <w:tc>
          <w:tcPr>
            <w:tcW w:w="154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25</w:t>
            </w:r>
          </w:p>
        </w:tc>
      </w:tr>
      <w:tr w:rsidR="001013EC" w:rsidRPr="005911E2" w:rsidTr="00351FF6">
        <w:trPr>
          <w:cantSplit/>
          <w:jc w:val="right"/>
        </w:trPr>
        <w:tc>
          <w:tcPr>
            <w:tcW w:w="3086" w:type="dxa"/>
            <w:tcBorders>
              <w:top w:val="nil"/>
              <w:left w:val="nil"/>
              <w:bottom w:val="nil"/>
              <w:right w:val="nil"/>
            </w:tcBorders>
            <w:shd w:val="clear" w:color="auto" w:fill="auto"/>
            <w:noWrap/>
            <w:vAlign w:val="bottom"/>
            <w:hideMark/>
          </w:tcPr>
          <w:p w:rsidR="001013EC" w:rsidRPr="005911E2" w:rsidRDefault="001013EC" w:rsidP="001013EC">
            <w:pPr>
              <w:pStyle w:val="TableText"/>
              <w:rPr>
                <w:bCs/>
                <w:i/>
                <w:iCs/>
                <w:szCs w:val="18"/>
                <w:lang w:eastAsia="en-AU" w:bidi="ar-SA"/>
              </w:rPr>
            </w:pPr>
            <w:r w:rsidRPr="005911E2">
              <w:rPr>
                <w:bCs/>
                <w:i/>
                <w:iCs/>
                <w:szCs w:val="18"/>
                <w:lang w:eastAsia="en-AU" w:bidi="ar-SA"/>
              </w:rPr>
              <w:t>Subtotal utilities</w:t>
            </w:r>
          </w:p>
        </w:tc>
        <w:tc>
          <w:tcPr>
            <w:tcW w:w="1025" w:type="dxa"/>
            <w:gridSpan w:val="2"/>
            <w:tcBorders>
              <w:top w:val="nil"/>
              <w:left w:val="nil"/>
              <w:bottom w:val="nil"/>
              <w:right w:val="nil"/>
            </w:tcBorders>
            <w:shd w:val="clear" w:color="auto" w:fill="auto"/>
            <w:noWrap/>
            <w:vAlign w:val="bottom"/>
            <w:hideMark/>
          </w:tcPr>
          <w:p w:rsidR="001013EC" w:rsidRPr="005911E2" w:rsidRDefault="001013EC" w:rsidP="00C21E3A">
            <w:pPr>
              <w:pStyle w:val="TableText"/>
              <w:jc w:val="right"/>
              <w:rPr>
                <w:bCs/>
                <w:i/>
                <w:iCs/>
                <w:szCs w:val="18"/>
                <w:lang w:eastAsia="en-AU" w:bidi="ar-SA"/>
              </w:rPr>
            </w:pPr>
            <w:r w:rsidRPr="005911E2">
              <w:rPr>
                <w:bCs/>
                <w:i/>
                <w:iCs/>
                <w:szCs w:val="18"/>
                <w:lang w:eastAsia="en-AU" w:bidi="ar-SA"/>
              </w:rPr>
              <w:t>41</w:t>
            </w:r>
            <w:r w:rsidR="00CF78DB">
              <w:rPr>
                <w:bCs/>
                <w:i/>
                <w:iCs/>
                <w:szCs w:val="18"/>
                <w:lang w:eastAsia="en-AU" w:bidi="ar-SA"/>
              </w:rPr>
              <w:t> </w:t>
            </w:r>
            <w:r w:rsidRPr="005911E2">
              <w:rPr>
                <w:bCs/>
                <w:i/>
                <w:iCs/>
                <w:szCs w:val="18"/>
                <w:lang w:eastAsia="en-AU" w:bidi="ar-SA"/>
              </w:rPr>
              <w:t>209</w:t>
            </w:r>
          </w:p>
        </w:tc>
        <w:tc>
          <w:tcPr>
            <w:tcW w:w="1276"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bCs/>
                <w:i/>
                <w:iCs/>
                <w:szCs w:val="18"/>
                <w:lang w:eastAsia="en-AU" w:bidi="ar-SA"/>
              </w:rPr>
            </w:pPr>
            <w:r w:rsidRPr="005911E2">
              <w:rPr>
                <w:bCs/>
                <w:i/>
                <w:iCs/>
                <w:szCs w:val="18"/>
                <w:lang w:eastAsia="en-AU" w:bidi="ar-SA"/>
              </w:rPr>
              <w:t>0.6</w:t>
            </w:r>
          </w:p>
        </w:tc>
        <w:tc>
          <w:tcPr>
            <w:tcW w:w="1404" w:type="dxa"/>
            <w:tcBorders>
              <w:top w:val="nil"/>
              <w:left w:val="nil"/>
              <w:bottom w:val="nil"/>
              <w:right w:val="nil"/>
            </w:tcBorders>
            <w:shd w:val="clear" w:color="auto" w:fill="auto"/>
            <w:noWrap/>
            <w:hideMark/>
          </w:tcPr>
          <w:p w:rsidR="001013EC" w:rsidRPr="005911E2" w:rsidRDefault="001013EC" w:rsidP="001013EC">
            <w:pPr>
              <w:pStyle w:val="TableText"/>
              <w:jc w:val="right"/>
              <w:rPr>
                <w:bCs/>
                <w:i/>
                <w:iCs/>
                <w:szCs w:val="18"/>
                <w:lang w:eastAsia="en-AU" w:bidi="ar-SA"/>
              </w:rPr>
            </w:pPr>
            <w:r w:rsidRPr="005911E2">
              <w:rPr>
                <w:bCs/>
                <w:i/>
                <w:iCs/>
                <w:szCs w:val="18"/>
                <w:lang w:eastAsia="en-AU" w:bidi="ar-SA"/>
              </w:rPr>
              <w:t>4.0</w:t>
            </w:r>
          </w:p>
        </w:tc>
        <w:tc>
          <w:tcPr>
            <w:tcW w:w="1544" w:type="dxa"/>
            <w:tcBorders>
              <w:top w:val="nil"/>
              <w:left w:val="nil"/>
              <w:bottom w:val="nil"/>
              <w:right w:val="nil"/>
            </w:tcBorders>
            <w:shd w:val="clear" w:color="auto" w:fill="auto"/>
            <w:noWrap/>
            <w:hideMark/>
          </w:tcPr>
          <w:p w:rsidR="001013EC" w:rsidRPr="005911E2" w:rsidRDefault="001013EC" w:rsidP="001013EC">
            <w:pPr>
              <w:pStyle w:val="TableText"/>
              <w:jc w:val="right"/>
              <w:rPr>
                <w:bCs/>
                <w:i/>
                <w:iCs/>
                <w:szCs w:val="18"/>
                <w:lang w:eastAsia="en-AU" w:bidi="ar-SA"/>
              </w:rPr>
            </w:pPr>
            <w:r w:rsidRPr="005911E2">
              <w:rPr>
                <w:bCs/>
                <w:i/>
                <w:iCs/>
                <w:szCs w:val="18"/>
                <w:lang w:eastAsia="en-AU" w:bidi="ar-SA"/>
              </w:rPr>
              <w:t>63</w:t>
            </w:r>
          </w:p>
        </w:tc>
      </w:tr>
      <w:tr w:rsidR="001013EC" w:rsidRPr="005911E2" w:rsidTr="00351FF6">
        <w:trPr>
          <w:cantSplit/>
          <w:trHeight w:hRule="exact" w:val="120"/>
          <w:jc w:val="right"/>
        </w:trPr>
        <w:tc>
          <w:tcPr>
            <w:tcW w:w="3086" w:type="dxa"/>
            <w:tcBorders>
              <w:top w:val="nil"/>
              <w:left w:val="nil"/>
              <w:bottom w:val="nil"/>
              <w:right w:val="nil"/>
            </w:tcBorders>
            <w:shd w:val="clear" w:color="auto" w:fill="auto"/>
            <w:noWrap/>
            <w:vAlign w:val="bottom"/>
            <w:hideMark/>
          </w:tcPr>
          <w:p w:rsidR="001013EC" w:rsidRPr="005911E2" w:rsidRDefault="001013EC" w:rsidP="001013EC">
            <w:pPr>
              <w:pStyle w:val="TableText"/>
              <w:rPr>
                <w:szCs w:val="18"/>
                <w:lang w:eastAsia="en-AU" w:bidi="ar-SA"/>
              </w:rPr>
            </w:pPr>
          </w:p>
        </w:tc>
        <w:tc>
          <w:tcPr>
            <w:tcW w:w="1025" w:type="dxa"/>
            <w:gridSpan w:val="2"/>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p>
        </w:tc>
        <w:tc>
          <w:tcPr>
            <w:tcW w:w="1276"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p>
        </w:tc>
        <w:tc>
          <w:tcPr>
            <w:tcW w:w="1404"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p>
        </w:tc>
        <w:tc>
          <w:tcPr>
            <w:tcW w:w="1544"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p>
        </w:tc>
      </w:tr>
      <w:tr w:rsidR="001013EC" w:rsidRPr="005911E2" w:rsidTr="00351FF6">
        <w:trPr>
          <w:cantSplit/>
          <w:jc w:val="right"/>
        </w:trPr>
        <w:tc>
          <w:tcPr>
            <w:tcW w:w="3086" w:type="dxa"/>
            <w:tcBorders>
              <w:top w:val="nil"/>
              <w:left w:val="nil"/>
              <w:bottom w:val="nil"/>
              <w:right w:val="nil"/>
            </w:tcBorders>
            <w:shd w:val="clear" w:color="auto" w:fill="auto"/>
            <w:noWrap/>
            <w:vAlign w:val="bottom"/>
            <w:hideMark/>
          </w:tcPr>
          <w:p w:rsidR="001013EC" w:rsidRPr="005911E2" w:rsidRDefault="001013EC" w:rsidP="001013EC">
            <w:pPr>
              <w:pStyle w:val="TableText"/>
              <w:rPr>
                <w:bCs/>
                <w:i/>
                <w:iCs/>
                <w:szCs w:val="18"/>
                <w:lang w:eastAsia="en-AU" w:bidi="ar-SA"/>
              </w:rPr>
            </w:pPr>
            <w:r w:rsidRPr="005911E2">
              <w:rPr>
                <w:bCs/>
                <w:i/>
                <w:iCs/>
                <w:szCs w:val="18"/>
                <w:lang w:eastAsia="en-AU" w:bidi="ar-SA"/>
              </w:rPr>
              <w:t>School Nutrition Program</w:t>
            </w:r>
          </w:p>
        </w:tc>
        <w:tc>
          <w:tcPr>
            <w:tcW w:w="1025" w:type="dxa"/>
            <w:gridSpan w:val="2"/>
            <w:tcBorders>
              <w:top w:val="nil"/>
              <w:left w:val="nil"/>
              <w:bottom w:val="nil"/>
              <w:right w:val="nil"/>
            </w:tcBorders>
            <w:shd w:val="clear" w:color="auto" w:fill="auto"/>
            <w:noWrap/>
            <w:vAlign w:val="bottom"/>
            <w:hideMark/>
          </w:tcPr>
          <w:p w:rsidR="001013EC" w:rsidRPr="005911E2" w:rsidRDefault="001013EC" w:rsidP="00C21E3A">
            <w:pPr>
              <w:pStyle w:val="TableText"/>
              <w:jc w:val="right"/>
              <w:rPr>
                <w:bCs/>
                <w:i/>
                <w:iCs/>
                <w:szCs w:val="18"/>
                <w:lang w:eastAsia="en-AU" w:bidi="ar-SA"/>
              </w:rPr>
            </w:pPr>
            <w:r w:rsidRPr="005911E2">
              <w:rPr>
                <w:bCs/>
                <w:i/>
                <w:iCs/>
                <w:szCs w:val="18"/>
                <w:lang w:eastAsia="en-AU" w:bidi="ar-SA"/>
              </w:rPr>
              <w:t>188</w:t>
            </w:r>
            <w:r w:rsidR="00CF78DB">
              <w:rPr>
                <w:bCs/>
                <w:i/>
                <w:iCs/>
                <w:szCs w:val="18"/>
                <w:lang w:eastAsia="en-AU" w:bidi="ar-SA"/>
              </w:rPr>
              <w:t> </w:t>
            </w:r>
            <w:r w:rsidRPr="005911E2">
              <w:rPr>
                <w:bCs/>
                <w:i/>
                <w:iCs/>
                <w:szCs w:val="18"/>
                <w:lang w:eastAsia="en-AU" w:bidi="ar-SA"/>
              </w:rPr>
              <w:t>741</w:t>
            </w:r>
          </w:p>
        </w:tc>
        <w:tc>
          <w:tcPr>
            <w:tcW w:w="1276"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bCs/>
                <w:i/>
                <w:iCs/>
                <w:szCs w:val="18"/>
                <w:lang w:eastAsia="en-AU" w:bidi="ar-SA"/>
              </w:rPr>
            </w:pPr>
            <w:r w:rsidRPr="005911E2">
              <w:rPr>
                <w:bCs/>
                <w:i/>
                <w:iCs/>
                <w:szCs w:val="18"/>
                <w:lang w:eastAsia="en-AU" w:bidi="ar-SA"/>
              </w:rPr>
              <w:t>2.9</w:t>
            </w:r>
          </w:p>
        </w:tc>
        <w:tc>
          <w:tcPr>
            <w:tcW w:w="1404" w:type="dxa"/>
            <w:tcBorders>
              <w:top w:val="nil"/>
              <w:left w:val="nil"/>
              <w:bottom w:val="nil"/>
              <w:right w:val="nil"/>
            </w:tcBorders>
            <w:shd w:val="clear" w:color="auto" w:fill="auto"/>
            <w:noWrap/>
            <w:hideMark/>
          </w:tcPr>
          <w:p w:rsidR="001013EC" w:rsidRPr="005911E2" w:rsidRDefault="001013EC" w:rsidP="001013EC">
            <w:pPr>
              <w:pStyle w:val="TableText"/>
              <w:jc w:val="right"/>
              <w:rPr>
                <w:bCs/>
                <w:i/>
                <w:iCs/>
                <w:szCs w:val="18"/>
                <w:lang w:eastAsia="en-AU" w:bidi="ar-SA"/>
              </w:rPr>
            </w:pPr>
            <w:r w:rsidRPr="005911E2">
              <w:rPr>
                <w:bCs/>
                <w:i/>
                <w:iCs/>
                <w:szCs w:val="18"/>
                <w:lang w:eastAsia="en-AU" w:bidi="ar-SA"/>
              </w:rPr>
              <w:t>14.1</w:t>
            </w:r>
          </w:p>
        </w:tc>
        <w:tc>
          <w:tcPr>
            <w:tcW w:w="1544" w:type="dxa"/>
            <w:tcBorders>
              <w:top w:val="nil"/>
              <w:left w:val="nil"/>
              <w:bottom w:val="nil"/>
              <w:right w:val="nil"/>
            </w:tcBorders>
            <w:shd w:val="clear" w:color="auto" w:fill="auto"/>
            <w:noWrap/>
            <w:hideMark/>
          </w:tcPr>
          <w:p w:rsidR="001013EC" w:rsidRPr="005911E2" w:rsidRDefault="001013EC" w:rsidP="001013EC">
            <w:pPr>
              <w:pStyle w:val="TableText"/>
              <w:jc w:val="right"/>
              <w:rPr>
                <w:bCs/>
                <w:i/>
                <w:iCs/>
                <w:szCs w:val="18"/>
                <w:lang w:eastAsia="en-AU" w:bidi="ar-SA"/>
              </w:rPr>
            </w:pPr>
            <w:r w:rsidRPr="005911E2">
              <w:rPr>
                <w:bCs/>
                <w:i/>
                <w:iCs/>
                <w:szCs w:val="18"/>
                <w:lang w:eastAsia="en-AU" w:bidi="ar-SA"/>
              </w:rPr>
              <w:t>81</w:t>
            </w:r>
          </w:p>
        </w:tc>
      </w:tr>
      <w:tr w:rsidR="001013EC" w:rsidRPr="005911E2" w:rsidTr="00351FF6">
        <w:trPr>
          <w:cantSplit/>
          <w:trHeight w:hRule="exact" w:val="120"/>
          <w:jc w:val="right"/>
        </w:trPr>
        <w:tc>
          <w:tcPr>
            <w:tcW w:w="3086" w:type="dxa"/>
            <w:tcBorders>
              <w:top w:val="nil"/>
              <w:left w:val="nil"/>
              <w:bottom w:val="nil"/>
              <w:right w:val="nil"/>
            </w:tcBorders>
            <w:shd w:val="clear" w:color="auto" w:fill="auto"/>
            <w:noWrap/>
            <w:vAlign w:val="bottom"/>
            <w:hideMark/>
          </w:tcPr>
          <w:p w:rsidR="001013EC" w:rsidRPr="005911E2" w:rsidRDefault="001013EC" w:rsidP="001013EC">
            <w:pPr>
              <w:pStyle w:val="TableText"/>
              <w:rPr>
                <w:szCs w:val="18"/>
                <w:lang w:eastAsia="en-AU" w:bidi="ar-SA"/>
              </w:rPr>
            </w:pPr>
          </w:p>
        </w:tc>
        <w:tc>
          <w:tcPr>
            <w:tcW w:w="1025" w:type="dxa"/>
            <w:gridSpan w:val="2"/>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p>
        </w:tc>
        <w:tc>
          <w:tcPr>
            <w:tcW w:w="1276" w:type="dxa"/>
            <w:tcBorders>
              <w:top w:val="nil"/>
              <w:left w:val="nil"/>
              <w:bottom w:val="nil"/>
              <w:right w:val="nil"/>
            </w:tcBorders>
            <w:shd w:val="clear" w:color="auto" w:fill="auto"/>
            <w:noWrap/>
            <w:vAlign w:val="bottom"/>
            <w:hideMark/>
          </w:tcPr>
          <w:p w:rsidR="001013EC" w:rsidRPr="005911E2" w:rsidRDefault="00CF78DB" w:rsidP="001013EC">
            <w:pPr>
              <w:pStyle w:val="TableText"/>
              <w:jc w:val="right"/>
              <w:rPr>
                <w:szCs w:val="18"/>
                <w:lang w:eastAsia="en-AU" w:bidi="ar-SA"/>
              </w:rPr>
            </w:pPr>
            <w:r>
              <w:rPr>
                <w:szCs w:val="18"/>
                <w:lang w:eastAsia="en-AU" w:bidi="ar-SA"/>
              </w:rPr>
              <w:t> </w:t>
            </w:r>
          </w:p>
        </w:tc>
        <w:tc>
          <w:tcPr>
            <w:tcW w:w="1404"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p>
        </w:tc>
        <w:tc>
          <w:tcPr>
            <w:tcW w:w="1544"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p>
        </w:tc>
      </w:tr>
      <w:tr w:rsidR="001013EC" w:rsidRPr="005911E2" w:rsidTr="00351FF6">
        <w:trPr>
          <w:cantSplit/>
          <w:jc w:val="right"/>
        </w:trPr>
        <w:tc>
          <w:tcPr>
            <w:tcW w:w="3086" w:type="dxa"/>
            <w:tcBorders>
              <w:top w:val="nil"/>
              <w:left w:val="nil"/>
              <w:bottom w:val="nil"/>
              <w:right w:val="nil"/>
            </w:tcBorders>
            <w:shd w:val="clear" w:color="auto" w:fill="auto"/>
            <w:noWrap/>
            <w:vAlign w:val="bottom"/>
            <w:hideMark/>
          </w:tcPr>
          <w:p w:rsidR="001013EC" w:rsidRPr="005911E2" w:rsidRDefault="001013EC" w:rsidP="001013EC">
            <w:pPr>
              <w:pStyle w:val="TableText"/>
              <w:rPr>
                <w:szCs w:val="18"/>
                <w:lang w:eastAsia="en-AU" w:bidi="ar-SA"/>
              </w:rPr>
            </w:pPr>
            <w:r w:rsidRPr="005911E2">
              <w:rPr>
                <w:szCs w:val="18"/>
                <w:lang w:eastAsia="en-AU" w:bidi="ar-SA"/>
              </w:rPr>
              <w:t>Credit Card (a)</w:t>
            </w:r>
          </w:p>
        </w:tc>
        <w:tc>
          <w:tcPr>
            <w:tcW w:w="1025" w:type="dxa"/>
            <w:gridSpan w:val="2"/>
            <w:tcBorders>
              <w:top w:val="nil"/>
              <w:left w:val="nil"/>
              <w:bottom w:val="nil"/>
              <w:right w:val="nil"/>
            </w:tcBorders>
            <w:shd w:val="clear" w:color="auto" w:fill="auto"/>
            <w:noWrap/>
            <w:vAlign w:val="bottom"/>
            <w:hideMark/>
          </w:tcPr>
          <w:p w:rsidR="001013EC" w:rsidRPr="005911E2" w:rsidRDefault="001013EC" w:rsidP="00C21E3A">
            <w:pPr>
              <w:pStyle w:val="TableText"/>
              <w:jc w:val="right"/>
              <w:rPr>
                <w:szCs w:val="18"/>
                <w:lang w:eastAsia="en-AU" w:bidi="ar-SA"/>
              </w:rPr>
            </w:pPr>
            <w:r w:rsidRPr="005911E2">
              <w:rPr>
                <w:szCs w:val="18"/>
                <w:lang w:eastAsia="en-AU" w:bidi="ar-SA"/>
              </w:rPr>
              <w:t>290</w:t>
            </w:r>
            <w:r w:rsidR="00CF78DB">
              <w:rPr>
                <w:szCs w:val="18"/>
                <w:lang w:eastAsia="en-AU" w:bidi="ar-SA"/>
              </w:rPr>
              <w:t> </w:t>
            </w:r>
            <w:r w:rsidRPr="005911E2">
              <w:rPr>
                <w:szCs w:val="18"/>
                <w:lang w:eastAsia="en-AU" w:bidi="ar-SA"/>
              </w:rPr>
              <w:t>987</w:t>
            </w:r>
          </w:p>
        </w:tc>
        <w:tc>
          <w:tcPr>
            <w:tcW w:w="1276"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r w:rsidRPr="005911E2">
              <w:rPr>
                <w:szCs w:val="18"/>
                <w:lang w:eastAsia="en-AU" w:bidi="ar-SA"/>
              </w:rPr>
              <w:t>4.5</w:t>
            </w:r>
          </w:p>
        </w:tc>
        <w:tc>
          <w:tcPr>
            <w:tcW w:w="140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7.3</w:t>
            </w:r>
          </w:p>
        </w:tc>
        <w:tc>
          <w:tcPr>
            <w:tcW w:w="154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242</w:t>
            </w:r>
          </w:p>
        </w:tc>
      </w:tr>
      <w:tr w:rsidR="001013EC" w:rsidRPr="005911E2" w:rsidTr="00351FF6">
        <w:trPr>
          <w:cantSplit/>
          <w:jc w:val="right"/>
        </w:trPr>
        <w:tc>
          <w:tcPr>
            <w:tcW w:w="3086" w:type="dxa"/>
            <w:tcBorders>
              <w:top w:val="nil"/>
              <w:left w:val="nil"/>
              <w:bottom w:val="nil"/>
              <w:right w:val="nil"/>
            </w:tcBorders>
            <w:shd w:val="clear" w:color="auto" w:fill="auto"/>
            <w:noWrap/>
            <w:vAlign w:val="bottom"/>
            <w:hideMark/>
          </w:tcPr>
          <w:p w:rsidR="001013EC" w:rsidRPr="005911E2" w:rsidRDefault="001013EC" w:rsidP="001013EC">
            <w:pPr>
              <w:pStyle w:val="TableText"/>
              <w:rPr>
                <w:szCs w:val="18"/>
                <w:lang w:eastAsia="en-AU" w:bidi="ar-SA"/>
              </w:rPr>
            </w:pPr>
            <w:r w:rsidRPr="005911E2">
              <w:rPr>
                <w:szCs w:val="18"/>
                <w:lang w:eastAsia="en-AU" w:bidi="ar-SA"/>
              </w:rPr>
              <w:t>Food</w:t>
            </w:r>
          </w:p>
        </w:tc>
        <w:tc>
          <w:tcPr>
            <w:tcW w:w="1025" w:type="dxa"/>
            <w:gridSpan w:val="2"/>
            <w:tcBorders>
              <w:top w:val="nil"/>
              <w:left w:val="nil"/>
              <w:bottom w:val="nil"/>
              <w:right w:val="nil"/>
            </w:tcBorders>
            <w:shd w:val="clear" w:color="auto" w:fill="auto"/>
            <w:noWrap/>
            <w:vAlign w:val="bottom"/>
            <w:hideMark/>
          </w:tcPr>
          <w:p w:rsidR="001013EC" w:rsidRPr="005911E2" w:rsidRDefault="001013EC" w:rsidP="00C21E3A">
            <w:pPr>
              <w:pStyle w:val="TableText"/>
              <w:jc w:val="right"/>
              <w:rPr>
                <w:szCs w:val="18"/>
                <w:lang w:eastAsia="en-AU" w:bidi="ar-SA"/>
              </w:rPr>
            </w:pPr>
            <w:r w:rsidRPr="005911E2">
              <w:rPr>
                <w:szCs w:val="18"/>
                <w:lang w:eastAsia="en-AU" w:bidi="ar-SA"/>
              </w:rPr>
              <w:t>280</w:t>
            </w:r>
            <w:r w:rsidR="00CF78DB">
              <w:rPr>
                <w:szCs w:val="18"/>
                <w:lang w:eastAsia="en-AU" w:bidi="ar-SA"/>
              </w:rPr>
              <w:t> </w:t>
            </w:r>
            <w:r w:rsidRPr="005911E2">
              <w:rPr>
                <w:szCs w:val="18"/>
                <w:lang w:eastAsia="en-AU" w:bidi="ar-SA"/>
              </w:rPr>
              <w:t>868</w:t>
            </w:r>
          </w:p>
        </w:tc>
        <w:tc>
          <w:tcPr>
            <w:tcW w:w="1276"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r w:rsidRPr="005911E2">
              <w:rPr>
                <w:szCs w:val="18"/>
                <w:lang w:eastAsia="en-AU" w:bidi="ar-SA"/>
              </w:rPr>
              <w:t>4.4</w:t>
            </w:r>
          </w:p>
        </w:tc>
        <w:tc>
          <w:tcPr>
            <w:tcW w:w="140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11.2</w:t>
            </w:r>
          </w:p>
        </w:tc>
        <w:tc>
          <w:tcPr>
            <w:tcW w:w="154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154</w:t>
            </w:r>
          </w:p>
        </w:tc>
      </w:tr>
      <w:tr w:rsidR="001013EC" w:rsidRPr="005911E2" w:rsidTr="00351FF6">
        <w:trPr>
          <w:cantSplit/>
          <w:jc w:val="right"/>
        </w:trPr>
        <w:tc>
          <w:tcPr>
            <w:tcW w:w="3086" w:type="dxa"/>
            <w:tcBorders>
              <w:top w:val="nil"/>
              <w:left w:val="nil"/>
              <w:bottom w:val="nil"/>
              <w:right w:val="nil"/>
            </w:tcBorders>
            <w:shd w:val="clear" w:color="auto" w:fill="auto"/>
            <w:noWrap/>
            <w:vAlign w:val="bottom"/>
            <w:hideMark/>
          </w:tcPr>
          <w:p w:rsidR="001013EC" w:rsidRPr="005911E2" w:rsidRDefault="001013EC" w:rsidP="001013EC">
            <w:pPr>
              <w:pStyle w:val="TableText"/>
              <w:rPr>
                <w:szCs w:val="18"/>
                <w:lang w:eastAsia="en-AU" w:bidi="ar-SA"/>
              </w:rPr>
            </w:pPr>
            <w:r w:rsidRPr="005911E2">
              <w:rPr>
                <w:szCs w:val="18"/>
                <w:lang w:eastAsia="en-AU" w:bidi="ar-SA"/>
              </w:rPr>
              <w:t>Travel and Transport</w:t>
            </w:r>
          </w:p>
        </w:tc>
        <w:tc>
          <w:tcPr>
            <w:tcW w:w="1025" w:type="dxa"/>
            <w:gridSpan w:val="2"/>
            <w:tcBorders>
              <w:top w:val="nil"/>
              <w:left w:val="nil"/>
              <w:bottom w:val="nil"/>
              <w:right w:val="nil"/>
            </w:tcBorders>
            <w:shd w:val="clear" w:color="auto" w:fill="auto"/>
            <w:noWrap/>
            <w:vAlign w:val="bottom"/>
            <w:hideMark/>
          </w:tcPr>
          <w:p w:rsidR="001013EC" w:rsidRPr="005911E2" w:rsidRDefault="001013EC" w:rsidP="00C21E3A">
            <w:pPr>
              <w:pStyle w:val="TableText"/>
              <w:jc w:val="right"/>
              <w:rPr>
                <w:szCs w:val="18"/>
                <w:lang w:eastAsia="en-AU" w:bidi="ar-SA"/>
              </w:rPr>
            </w:pPr>
            <w:r w:rsidRPr="005911E2">
              <w:rPr>
                <w:szCs w:val="18"/>
                <w:lang w:eastAsia="en-AU" w:bidi="ar-SA"/>
              </w:rPr>
              <w:t>52</w:t>
            </w:r>
            <w:r w:rsidR="00CF78DB">
              <w:rPr>
                <w:szCs w:val="18"/>
                <w:lang w:eastAsia="en-AU" w:bidi="ar-SA"/>
              </w:rPr>
              <w:t> </w:t>
            </w:r>
            <w:r w:rsidRPr="005911E2">
              <w:rPr>
                <w:szCs w:val="18"/>
                <w:lang w:eastAsia="en-AU" w:bidi="ar-SA"/>
              </w:rPr>
              <w:t>497</w:t>
            </w:r>
          </w:p>
        </w:tc>
        <w:tc>
          <w:tcPr>
            <w:tcW w:w="1276"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r w:rsidRPr="005911E2">
              <w:rPr>
                <w:szCs w:val="18"/>
                <w:lang w:eastAsia="en-AU" w:bidi="ar-SA"/>
              </w:rPr>
              <w:t>0.8</w:t>
            </w:r>
          </w:p>
        </w:tc>
        <w:tc>
          <w:tcPr>
            <w:tcW w:w="140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4.6</w:t>
            </w:r>
          </w:p>
        </w:tc>
        <w:tc>
          <w:tcPr>
            <w:tcW w:w="154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70</w:t>
            </w:r>
          </w:p>
        </w:tc>
      </w:tr>
      <w:tr w:rsidR="001013EC" w:rsidRPr="005911E2" w:rsidTr="00351FF6">
        <w:trPr>
          <w:cantSplit/>
          <w:jc w:val="right"/>
        </w:trPr>
        <w:tc>
          <w:tcPr>
            <w:tcW w:w="3086" w:type="dxa"/>
            <w:tcBorders>
              <w:top w:val="nil"/>
              <w:left w:val="nil"/>
              <w:bottom w:val="nil"/>
              <w:right w:val="nil"/>
            </w:tcBorders>
            <w:shd w:val="clear" w:color="auto" w:fill="auto"/>
            <w:noWrap/>
            <w:vAlign w:val="bottom"/>
            <w:hideMark/>
          </w:tcPr>
          <w:p w:rsidR="001013EC" w:rsidRPr="005911E2" w:rsidRDefault="001013EC" w:rsidP="001013EC">
            <w:pPr>
              <w:pStyle w:val="TableText"/>
              <w:rPr>
                <w:szCs w:val="18"/>
                <w:lang w:eastAsia="en-AU" w:bidi="ar-SA"/>
              </w:rPr>
            </w:pPr>
            <w:r w:rsidRPr="005911E2">
              <w:rPr>
                <w:szCs w:val="18"/>
                <w:lang w:eastAsia="en-AU" w:bidi="ar-SA"/>
              </w:rPr>
              <w:t>Home Care Services</w:t>
            </w:r>
          </w:p>
        </w:tc>
        <w:tc>
          <w:tcPr>
            <w:tcW w:w="1025" w:type="dxa"/>
            <w:gridSpan w:val="2"/>
            <w:tcBorders>
              <w:top w:val="nil"/>
              <w:left w:val="nil"/>
              <w:bottom w:val="nil"/>
              <w:right w:val="nil"/>
            </w:tcBorders>
            <w:shd w:val="clear" w:color="auto" w:fill="auto"/>
            <w:noWrap/>
            <w:vAlign w:val="bottom"/>
            <w:hideMark/>
          </w:tcPr>
          <w:p w:rsidR="001013EC" w:rsidRPr="005911E2" w:rsidRDefault="001013EC" w:rsidP="00C21E3A">
            <w:pPr>
              <w:pStyle w:val="TableText"/>
              <w:jc w:val="right"/>
              <w:rPr>
                <w:szCs w:val="18"/>
                <w:lang w:eastAsia="en-AU" w:bidi="ar-SA"/>
              </w:rPr>
            </w:pPr>
            <w:r w:rsidRPr="005911E2">
              <w:rPr>
                <w:szCs w:val="18"/>
                <w:lang w:eastAsia="en-AU" w:bidi="ar-SA"/>
              </w:rPr>
              <w:t>47</w:t>
            </w:r>
            <w:r w:rsidR="00CF78DB">
              <w:rPr>
                <w:szCs w:val="18"/>
                <w:lang w:eastAsia="en-AU" w:bidi="ar-SA"/>
              </w:rPr>
              <w:t> </w:t>
            </w:r>
            <w:r w:rsidRPr="005911E2">
              <w:rPr>
                <w:szCs w:val="18"/>
                <w:lang w:eastAsia="en-AU" w:bidi="ar-SA"/>
              </w:rPr>
              <w:t>578</w:t>
            </w:r>
          </w:p>
        </w:tc>
        <w:tc>
          <w:tcPr>
            <w:tcW w:w="1276"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r w:rsidRPr="005911E2">
              <w:rPr>
                <w:szCs w:val="18"/>
                <w:lang w:eastAsia="en-AU" w:bidi="ar-SA"/>
              </w:rPr>
              <w:t>0.7</w:t>
            </w:r>
          </w:p>
        </w:tc>
        <w:tc>
          <w:tcPr>
            <w:tcW w:w="140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3.7</w:t>
            </w:r>
          </w:p>
        </w:tc>
        <w:tc>
          <w:tcPr>
            <w:tcW w:w="154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78</w:t>
            </w:r>
          </w:p>
        </w:tc>
      </w:tr>
      <w:tr w:rsidR="001013EC" w:rsidRPr="005911E2" w:rsidTr="00351FF6">
        <w:trPr>
          <w:cantSplit/>
          <w:jc w:val="right"/>
        </w:trPr>
        <w:tc>
          <w:tcPr>
            <w:tcW w:w="3086" w:type="dxa"/>
            <w:tcBorders>
              <w:top w:val="nil"/>
              <w:left w:val="nil"/>
              <w:bottom w:val="nil"/>
              <w:right w:val="nil"/>
            </w:tcBorders>
            <w:shd w:val="clear" w:color="auto" w:fill="auto"/>
            <w:noWrap/>
            <w:vAlign w:val="bottom"/>
            <w:hideMark/>
          </w:tcPr>
          <w:p w:rsidR="001013EC" w:rsidRPr="005911E2" w:rsidRDefault="001013EC" w:rsidP="001013EC">
            <w:pPr>
              <w:pStyle w:val="TableText"/>
              <w:rPr>
                <w:szCs w:val="18"/>
                <w:lang w:eastAsia="en-AU" w:bidi="ar-SA"/>
              </w:rPr>
            </w:pPr>
            <w:r w:rsidRPr="005911E2">
              <w:rPr>
                <w:szCs w:val="18"/>
                <w:lang w:eastAsia="en-AU" w:bidi="ar-SA"/>
              </w:rPr>
              <w:t>Council Services</w:t>
            </w:r>
          </w:p>
        </w:tc>
        <w:tc>
          <w:tcPr>
            <w:tcW w:w="1025" w:type="dxa"/>
            <w:gridSpan w:val="2"/>
            <w:tcBorders>
              <w:top w:val="nil"/>
              <w:left w:val="nil"/>
              <w:bottom w:val="nil"/>
              <w:right w:val="nil"/>
            </w:tcBorders>
            <w:shd w:val="clear" w:color="auto" w:fill="auto"/>
            <w:noWrap/>
            <w:vAlign w:val="bottom"/>
            <w:hideMark/>
          </w:tcPr>
          <w:p w:rsidR="001013EC" w:rsidRPr="005911E2" w:rsidRDefault="001013EC" w:rsidP="00C21E3A">
            <w:pPr>
              <w:pStyle w:val="TableText"/>
              <w:jc w:val="right"/>
              <w:rPr>
                <w:szCs w:val="18"/>
                <w:lang w:eastAsia="en-AU" w:bidi="ar-SA"/>
              </w:rPr>
            </w:pPr>
            <w:r w:rsidRPr="005911E2">
              <w:rPr>
                <w:szCs w:val="18"/>
                <w:lang w:eastAsia="en-AU" w:bidi="ar-SA"/>
              </w:rPr>
              <w:t>30</w:t>
            </w:r>
            <w:r w:rsidR="00CF78DB">
              <w:rPr>
                <w:szCs w:val="18"/>
                <w:lang w:eastAsia="en-AU" w:bidi="ar-SA"/>
              </w:rPr>
              <w:t> </w:t>
            </w:r>
            <w:r w:rsidRPr="005911E2">
              <w:rPr>
                <w:szCs w:val="18"/>
                <w:lang w:eastAsia="en-AU" w:bidi="ar-SA"/>
              </w:rPr>
              <w:t>013</w:t>
            </w:r>
          </w:p>
        </w:tc>
        <w:tc>
          <w:tcPr>
            <w:tcW w:w="1276"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r w:rsidRPr="005911E2">
              <w:rPr>
                <w:szCs w:val="18"/>
                <w:lang w:eastAsia="en-AU" w:bidi="ar-SA"/>
              </w:rPr>
              <w:t>0.5</w:t>
            </w:r>
          </w:p>
        </w:tc>
        <w:tc>
          <w:tcPr>
            <w:tcW w:w="140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8.5</w:t>
            </w:r>
          </w:p>
        </w:tc>
        <w:tc>
          <w:tcPr>
            <w:tcW w:w="154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22</w:t>
            </w:r>
          </w:p>
        </w:tc>
      </w:tr>
      <w:tr w:rsidR="001013EC" w:rsidRPr="005911E2" w:rsidTr="00351FF6">
        <w:trPr>
          <w:cantSplit/>
          <w:jc w:val="right"/>
        </w:trPr>
        <w:tc>
          <w:tcPr>
            <w:tcW w:w="3086" w:type="dxa"/>
            <w:tcBorders>
              <w:top w:val="nil"/>
              <w:left w:val="nil"/>
              <w:bottom w:val="nil"/>
              <w:right w:val="nil"/>
            </w:tcBorders>
            <w:shd w:val="clear" w:color="auto" w:fill="auto"/>
            <w:noWrap/>
            <w:vAlign w:val="bottom"/>
            <w:hideMark/>
          </w:tcPr>
          <w:p w:rsidR="001013EC" w:rsidRPr="005911E2" w:rsidRDefault="001013EC" w:rsidP="001013EC">
            <w:pPr>
              <w:pStyle w:val="TableText"/>
              <w:rPr>
                <w:szCs w:val="18"/>
                <w:lang w:eastAsia="en-AU" w:bidi="ar-SA"/>
              </w:rPr>
            </w:pPr>
            <w:r w:rsidRPr="005911E2">
              <w:rPr>
                <w:szCs w:val="18"/>
                <w:lang w:eastAsia="en-AU" w:bidi="ar-SA"/>
              </w:rPr>
              <w:t>Manual Cheque (a)</w:t>
            </w:r>
          </w:p>
        </w:tc>
        <w:tc>
          <w:tcPr>
            <w:tcW w:w="1025" w:type="dxa"/>
            <w:gridSpan w:val="2"/>
            <w:tcBorders>
              <w:top w:val="nil"/>
              <w:left w:val="nil"/>
              <w:bottom w:val="nil"/>
              <w:right w:val="nil"/>
            </w:tcBorders>
            <w:shd w:val="clear" w:color="auto" w:fill="auto"/>
            <w:noWrap/>
            <w:vAlign w:val="bottom"/>
            <w:hideMark/>
          </w:tcPr>
          <w:p w:rsidR="001013EC" w:rsidRPr="005911E2" w:rsidRDefault="001013EC" w:rsidP="00C21E3A">
            <w:pPr>
              <w:pStyle w:val="TableText"/>
              <w:jc w:val="right"/>
              <w:rPr>
                <w:szCs w:val="18"/>
                <w:lang w:eastAsia="en-AU" w:bidi="ar-SA"/>
              </w:rPr>
            </w:pPr>
            <w:r w:rsidRPr="005911E2">
              <w:rPr>
                <w:szCs w:val="18"/>
                <w:lang w:eastAsia="en-AU" w:bidi="ar-SA"/>
              </w:rPr>
              <w:t>27</w:t>
            </w:r>
            <w:r w:rsidR="00CF78DB">
              <w:rPr>
                <w:szCs w:val="18"/>
                <w:lang w:eastAsia="en-AU" w:bidi="ar-SA"/>
              </w:rPr>
              <w:t> </w:t>
            </w:r>
            <w:r w:rsidRPr="005911E2">
              <w:rPr>
                <w:szCs w:val="18"/>
                <w:lang w:eastAsia="en-AU" w:bidi="ar-SA"/>
              </w:rPr>
              <w:t>513</w:t>
            </w:r>
          </w:p>
        </w:tc>
        <w:tc>
          <w:tcPr>
            <w:tcW w:w="1276"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r w:rsidRPr="005911E2">
              <w:rPr>
                <w:szCs w:val="18"/>
                <w:lang w:eastAsia="en-AU" w:bidi="ar-SA"/>
              </w:rPr>
              <w:t>0.4</w:t>
            </w:r>
          </w:p>
        </w:tc>
        <w:tc>
          <w:tcPr>
            <w:tcW w:w="140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0.2</w:t>
            </w:r>
          </w:p>
        </w:tc>
        <w:tc>
          <w:tcPr>
            <w:tcW w:w="154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809</w:t>
            </w:r>
          </w:p>
        </w:tc>
      </w:tr>
      <w:tr w:rsidR="001013EC" w:rsidRPr="005911E2" w:rsidTr="00351FF6">
        <w:trPr>
          <w:cantSplit/>
          <w:jc w:val="right"/>
        </w:trPr>
        <w:tc>
          <w:tcPr>
            <w:tcW w:w="3086" w:type="dxa"/>
            <w:tcBorders>
              <w:top w:val="nil"/>
              <w:left w:val="nil"/>
              <w:bottom w:val="nil"/>
              <w:right w:val="nil"/>
            </w:tcBorders>
            <w:shd w:val="clear" w:color="auto" w:fill="auto"/>
            <w:noWrap/>
            <w:vAlign w:val="bottom"/>
            <w:hideMark/>
          </w:tcPr>
          <w:p w:rsidR="001013EC" w:rsidRPr="005911E2" w:rsidRDefault="001013EC" w:rsidP="00A8117B">
            <w:pPr>
              <w:pStyle w:val="TableText"/>
              <w:rPr>
                <w:szCs w:val="18"/>
                <w:lang w:eastAsia="en-AU" w:bidi="ar-SA"/>
              </w:rPr>
            </w:pPr>
            <w:r w:rsidRPr="005911E2">
              <w:rPr>
                <w:szCs w:val="18"/>
                <w:lang w:eastAsia="en-AU" w:bidi="ar-SA"/>
              </w:rPr>
              <w:t>Household Goods</w:t>
            </w:r>
            <w:r w:rsidR="00BB14C5">
              <w:rPr>
                <w:szCs w:val="18"/>
                <w:lang w:eastAsia="en-AU" w:bidi="ar-SA"/>
              </w:rPr>
              <w:t xml:space="preserve"> </w:t>
            </w:r>
          </w:p>
        </w:tc>
        <w:tc>
          <w:tcPr>
            <w:tcW w:w="1025" w:type="dxa"/>
            <w:gridSpan w:val="2"/>
            <w:tcBorders>
              <w:top w:val="nil"/>
              <w:left w:val="nil"/>
              <w:bottom w:val="nil"/>
              <w:right w:val="nil"/>
            </w:tcBorders>
            <w:shd w:val="clear" w:color="auto" w:fill="auto"/>
            <w:noWrap/>
            <w:vAlign w:val="bottom"/>
            <w:hideMark/>
          </w:tcPr>
          <w:p w:rsidR="001013EC" w:rsidRPr="005911E2" w:rsidRDefault="001013EC" w:rsidP="00C21E3A">
            <w:pPr>
              <w:pStyle w:val="TableText"/>
              <w:jc w:val="right"/>
              <w:rPr>
                <w:szCs w:val="18"/>
                <w:lang w:eastAsia="en-AU" w:bidi="ar-SA"/>
              </w:rPr>
            </w:pPr>
            <w:r w:rsidRPr="005911E2">
              <w:rPr>
                <w:szCs w:val="18"/>
                <w:lang w:eastAsia="en-AU" w:bidi="ar-SA"/>
              </w:rPr>
              <w:t>19</w:t>
            </w:r>
            <w:r w:rsidR="00CF78DB">
              <w:rPr>
                <w:szCs w:val="18"/>
                <w:lang w:eastAsia="en-AU" w:bidi="ar-SA"/>
              </w:rPr>
              <w:t> </w:t>
            </w:r>
            <w:r w:rsidRPr="005911E2">
              <w:rPr>
                <w:szCs w:val="18"/>
                <w:lang w:eastAsia="en-AU" w:bidi="ar-SA"/>
              </w:rPr>
              <w:t>011</w:t>
            </w:r>
          </w:p>
        </w:tc>
        <w:tc>
          <w:tcPr>
            <w:tcW w:w="1276"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r w:rsidRPr="005911E2">
              <w:rPr>
                <w:szCs w:val="18"/>
                <w:lang w:eastAsia="en-AU" w:bidi="ar-SA"/>
              </w:rPr>
              <w:t>0.3</w:t>
            </w:r>
          </w:p>
        </w:tc>
        <w:tc>
          <w:tcPr>
            <w:tcW w:w="140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1.4</w:t>
            </w:r>
          </w:p>
        </w:tc>
        <w:tc>
          <w:tcPr>
            <w:tcW w:w="154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85</w:t>
            </w:r>
          </w:p>
        </w:tc>
      </w:tr>
      <w:tr w:rsidR="001013EC" w:rsidRPr="005911E2" w:rsidTr="00351FF6">
        <w:trPr>
          <w:cantSplit/>
          <w:jc w:val="right"/>
        </w:trPr>
        <w:tc>
          <w:tcPr>
            <w:tcW w:w="3086" w:type="dxa"/>
            <w:tcBorders>
              <w:top w:val="nil"/>
              <w:left w:val="nil"/>
              <w:bottom w:val="nil"/>
              <w:right w:val="nil"/>
            </w:tcBorders>
            <w:shd w:val="clear" w:color="auto" w:fill="auto"/>
            <w:noWrap/>
            <w:vAlign w:val="bottom"/>
            <w:hideMark/>
          </w:tcPr>
          <w:p w:rsidR="001013EC" w:rsidRPr="005911E2" w:rsidRDefault="001013EC" w:rsidP="001013EC">
            <w:pPr>
              <w:pStyle w:val="TableText"/>
              <w:rPr>
                <w:szCs w:val="18"/>
                <w:lang w:eastAsia="en-AU" w:bidi="ar-SA"/>
              </w:rPr>
            </w:pPr>
            <w:r w:rsidRPr="005911E2">
              <w:rPr>
                <w:szCs w:val="18"/>
                <w:lang w:eastAsia="en-AU" w:bidi="ar-SA"/>
              </w:rPr>
              <w:t>Clothing and Footwear</w:t>
            </w:r>
          </w:p>
        </w:tc>
        <w:tc>
          <w:tcPr>
            <w:tcW w:w="1025" w:type="dxa"/>
            <w:gridSpan w:val="2"/>
            <w:tcBorders>
              <w:top w:val="nil"/>
              <w:left w:val="nil"/>
              <w:bottom w:val="nil"/>
              <w:right w:val="nil"/>
            </w:tcBorders>
            <w:shd w:val="clear" w:color="auto" w:fill="auto"/>
            <w:noWrap/>
            <w:vAlign w:val="bottom"/>
            <w:hideMark/>
          </w:tcPr>
          <w:p w:rsidR="001013EC" w:rsidRPr="005911E2" w:rsidRDefault="001013EC" w:rsidP="00C21E3A">
            <w:pPr>
              <w:pStyle w:val="TableText"/>
              <w:jc w:val="right"/>
              <w:rPr>
                <w:szCs w:val="18"/>
                <w:lang w:eastAsia="en-AU" w:bidi="ar-SA"/>
              </w:rPr>
            </w:pPr>
            <w:r w:rsidRPr="005911E2">
              <w:rPr>
                <w:szCs w:val="18"/>
                <w:lang w:eastAsia="en-AU" w:bidi="ar-SA"/>
              </w:rPr>
              <w:t>6</w:t>
            </w:r>
            <w:r w:rsidR="00CF78DB">
              <w:rPr>
                <w:szCs w:val="18"/>
                <w:lang w:eastAsia="en-AU" w:bidi="ar-SA"/>
              </w:rPr>
              <w:t> </w:t>
            </w:r>
            <w:r w:rsidRPr="005911E2">
              <w:rPr>
                <w:szCs w:val="18"/>
                <w:lang w:eastAsia="en-AU" w:bidi="ar-SA"/>
              </w:rPr>
              <w:t>800</w:t>
            </w:r>
          </w:p>
        </w:tc>
        <w:tc>
          <w:tcPr>
            <w:tcW w:w="1276"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r w:rsidRPr="005911E2">
              <w:rPr>
                <w:szCs w:val="18"/>
                <w:lang w:eastAsia="en-AU" w:bidi="ar-SA"/>
              </w:rPr>
              <w:t>0.1</w:t>
            </w:r>
          </w:p>
        </w:tc>
        <w:tc>
          <w:tcPr>
            <w:tcW w:w="140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0.6</w:t>
            </w:r>
          </w:p>
        </w:tc>
        <w:tc>
          <w:tcPr>
            <w:tcW w:w="154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70</w:t>
            </w:r>
          </w:p>
        </w:tc>
      </w:tr>
      <w:tr w:rsidR="001013EC" w:rsidRPr="005911E2" w:rsidTr="00351FF6">
        <w:trPr>
          <w:cantSplit/>
          <w:jc w:val="right"/>
        </w:trPr>
        <w:tc>
          <w:tcPr>
            <w:tcW w:w="3086" w:type="dxa"/>
            <w:tcBorders>
              <w:top w:val="nil"/>
              <w:left w:val="nil"/>
              <w:bottom w:val="nil"/>
              <w:right w:val="nil"/>
            </w:tcBorders>
            <w:shd w:val="clear" w:color="auto" w:fill="auto"/>
            <w:noWrap/>
            <w:vAlign w:val="bottom"/>
            <w:hideMark/>
          </w:tcPr>
          <w:p w:rsidR="001013EC" w:rsidRPr="005911E2" w:rsidRDefault="001013EC" w:rsidP="001013EC">
            <w:pPr>
              <w:pStyle w:val="TableText"/>
              <w:rPr>
                <w:szCs w:val="18"/>
                <w:lang w:eastAsia="en-AU" w:bidi="ar-SA"/>
              </w:rPr>
            </w:pPr>
            <w:r w:rsidRPr="005911E2">
              <w:rPr>
                <w:szCs w:val="18"/>
                <w:lang w:eastAsia="en-AU" w:bidi="ar-SA"/>
              </w:rPr>
              <w:t>Education Expenses</w:t>
            </w:r>
          </w:p>
        </w:tc>
        <w:tc>
          <w:tcPr>
            <w:tcW w:w="1025" w:type="dxa"/>
            <w:gridSpan w:val="2"/>
            <w:tcBorders>
              <w:top w:val="nil"/>
              <w:left w:val="nil"/>
              <w:bottom w:val="nil"/>
              <w:right w:val="nil"/>
            </w:tcBorders>
            <w:shd w:val="clear" w:color="auto" w:fill="auto"/>
            <w:noWrap/>
            <w:vAlign w:val="bottom"/>
            <w:hideMark/>
          </w:tcPr>
          <w:p w:rsidR="001013EC" w:rsidRPr="005911E2" w:rsidRDefault="001013EC" w:rsidP="00C21E3A">
            <w:pPr>
              <w:pStyle w:val="TableText"/>
              <w:jc w:val="right"/>
              <w:rPr>
                <w:szCs w:val="18"/>
                <w:lang w:eastAsia="en-AU" w:bidi="ar-SA"/>
              </w:rPr>
            </w:pPr>
            <w:r w:rsidRPr="005911E2">
              <w:rPr>
                <w:szCs w:val="18"/>
                <w:lang w:eastAsia="en-AU" w:bidi="ar-SA"/>
              </w:rPr>
              <w:t>1</w:t>
            </w:r>
            <w:r w:rsidR="00CF78DB">
              <w:rPr>
                <w:szCs w:val="18"/>
                <w:lang w:eastAsia="en-AU" w:bidi="ar-SA"/>
              </w:rPr>
              <w:t> </w:t>
            </w:r>
            <w:r w:rsidRPr="005911E2">
              <w:rPr>
                <w:szCs w:val="18"/>
                <w:lang w:eastAsia="en-AU" w:bidi="ar-SA"/>
              </w:rPr>
              <w:t>875</w:t>
            </w:r>
          </w:p>
        </w:tc>
        <w:tc>
          <w:tcPr>
            <w:tcW w:w="1276"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r w:rsidRPr="005911E2">
              <w:rPr>
                <w:szCs w:val="18"/>
                <w:lang w:eastAsia="en-AU" w:bidi="ar-SA"/>
              </w:rPr>
              <w:t>0.0</w:t>
            </w:r>
          </w:p>
        </w:tc>
        <w:tc>
          <w:tcPr>
            <w:tcW w:w="140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0.3</w:t>
            </w:r>
          </w:p>
        </w:tc>
        <w:tc>
          <w:tcPr>
            <w:tcW w:w="154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29</w:t>
            </w:r>
          </w:p>
        </w:tc>
      </w:tr>
      <w:tr w:rsidR="001013EC" w:rsidRPr="005911E2" w:rsidTr="00351FF6">
        <w:trPr>
          <w:cantSplit/>
          <w:jc w:val="right"/>
        </w:trPr>
        <w:tc>
          <w:tcPr>
            <w:tcW w:w="3086" w:type="dxa"/>
            <w:tcBorders>
              <w:top w:val="nil"/>
              <w:left w:val="nil"/>
              <w:bottom w:val="nil"/>
              <w:right w:val="nil"/>
            </w:tcBorders>
            <w:shd w:val="clear" w:color="auto" w:fill="auto"/>
            <w:noWrap/>
            <w:vAlign w:val="bottom"/>
            <w:hideMark/>
          </w:tcPr>
          <w:p w:rsidR="001013EC" w:rsidRPr="005911E2" w:rsidRDefault="001013EC" w:rsidP="001013EC">
            <w:pPr>
              <w:pStyle w:val="TableText"/>
              <w:rPr>
                <w:szCs w:val="18"/>
                <w:lang w:eastAsia="en-AU" w:bidi="ar-SA"/>
              </w:rPr>
            </w:pPr>
            <w:r w:rsidRPr="005911E2">
              <w:rPr>
                <w:szCs w:val="18"/>
                <w:lang w:eastAsia="en-AU" w:bidi="ar-SA"/>
              </w:rPr>
              <w:t>Community Group Loan Repayment</w:t>
            </w:r>
          </w:p>
        </w:tc>
        <w:tc>
          <w:tcPr>
            <w:tcW w:w="1025" w:type="dxa"/>
            <w:gridSpan w:val="2"/>
            <w:tcBorders>
              <w:top w:val="nil"/>
              <w:left w:val="nil"/>
              <w:bottom w:val="nil"/>
              <w:right w:val="nil"/>
            </w:tcBorders>
            <w:shd w:val="clear" w:color="auto" w:fill="auto"/>
            <w:noWrap/>
            <w:vAlign w:val="bottom"/>
            <w:hideMark/>
          </w:tcPr>
          <w:p w:rsidR="001013EC" w:rsidRPr="005911E2" w:rsidRDefault="001013EC" w:rsidP="00C21E3A">
            <w:pPr>
              <w:pStyle w:val="TableText"/>
              <w:jc w:val="right"/>
              <w:rPr>
                <w:szCs w:val="18"/>
                <w:lang w:eastAsia="en-AU" w:bidi="ar-SA"/>
              </w:rPr>
            </w:pPr>
            <w:r w:rsidRPr="005911E2">
              <w:rPr>
                <w:szCs w:val="18"/>
                <w:lang w:eastAsia="en-AU" w:bidi="ar-SA"/>
              </w:rPr>
              <w:t>1</w:t>
            </w:r>
            <w:r w:rsidR="00CF78DB">
              <w:rPr>
                <w:szCs w:val="18"/>
                <w:lang w:eastAsia="en-AU" w:bidi="ar-SA"/>
              </w:rPr>
              <w:t> </w:t>
            </w:r>
            <w:r w:rsidRPr="005911E2">
              <w:rPr>
                <w:szCs w:val="18"/>
                <w:lang w:eastAsia="en-AU" w:bidi="ar-SA"/>
              </w:rPr>
              <w:t>675</w:t>
            </w:r>
          </w:p>
        </w:tc>
        <w:tc>
          <w:tcPr>
            <w:tcW w:w="1276"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r w:rsidRPr="005911E2">
              <w:rPr>
                <w:szCs w:val="18"/>
                <w:lang w:eastAsia="en-AU" w:bidi="ar-SA"/>
              </w:rPr>
              <w:t>0.0</w:t>
            </w:r>
          </w:p>
        </w:tc>
        <w:tc>
          <w:tcPr>
            <w:tcW w:w="140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0.1</w:t>
            </w:r>
          </w:p>
        </w:tc>
        <w:tc>
          <w:tcPr>
            <w:tcW w:w="154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91</w:t>
            </w:r>
          </w:p>
        </w:tc>
      </w:tr>
      <w:tr w:rsidR="001013EC" w:rsidRPr="005911E2" w:rsidTr="00351FF6">
        <w:trPr>
          <w:cantSplit/>
          <w:jc w:val="right"/>
        </w:trPr>
        <w:tc>
          <w:tcPr>
            <w:tcW w:w="3086" w:type="dxa"/>
            <w:tcBorders>
              <w:top w:val="nil"/>
              <w:left w:val="nil"/>
              <w:bottom w:val="nil"/>
              <w:right w:val="nil"/>
            </w:tcBorders>
            <w:shd w:val="clear" w:color="auto" w:fill="auto"/>
            <w:noWrap/>
            <w:vAlign w:val="bottom"/>
            <w:hideMark/>
          </w:tcPr>
          <w:p w:rsidR="001013EC" w:rsidRPr="005911E2" w:rsidRDefault="001013EC" w:rsidP="001013EC">
            <w:pPr>
              <w:pStyle w:val="TableText"/>
              <w:rPr>
                <w:szCs w:val="18"/>
                <w:lang w:eastAsia="en-AU" w:bidi="ar-SA"/>
              </w:rPr>
            </w:pPr>
            <w:r w:rsidRPr="005911E2">
              <w:rPr>
                <w:szCs w:val="18"/>
                <w:lang w:eastAsia="en-AU" w:bidi="ar-SA"/>
              </w:rPr>
              <w:t>Child Care Services</w:t>
            </w:r>
          </w:p>
        </w:tc>
        <w:tc>
          <w:tcPr>
            <w:tcW w:w="1025" w:type="dxa"/>
            <w:gridSpan w:val="2"/>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r w:rsidRPr="005911E2">
              <w:rPr>
                <w:szCs w:val="18"/>
                <w:lang w:eastAsia="en-AU" w:bidi="ar-SA"/>
              </w:rPr>
              <w:t>997</w:t>
            </w:r>
          </w:p>
        </w:tc>
        <w:tc>
          <w:tcPr>
            <w:tcW w:w="1276"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r w:rsidRPr="005911E2">
              <w:rPr>
                <w:szCs w:val="18"/>
                <w:lang w:eastAsia="en-AU" w:bidi="ar-SA"/>
              </w:rPr>
              <w:t>0.0</w:t>
            </w:r>
          </w:p>
        </w:tc>
        <w:tc>
          <w:tcPr>
            <w:tcW w:w="140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0.1</w:t>
            </w:r>
          </w:p>
        </w:tc>
        <w:tc>
          <w:tcPr>
            <w:tcW w:w="154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45</w:t>
            </w:r>
          </w:p>
        </w:tc>
      </w:tr>
      <w:tr w:rsidR="001013EC" w:rsidRPr="005911E2" w:rsidTr="00351FF6">
        <w:trPr>
          <w:cantSplit/>
          <w:jc w:val="right"/>
        </w:trPr>
        <w:tc>
          <w:tcPr>
            <w:tcW w:w="3086" w:type="dxa"/>
            <w:tcBorders>
              <w:top w:val="nil"/>
              <w:left w:val="nil"/>
              <w:bottom w:val="nil"/>
              <w:right w:val="nil"/>
            </w:tcBorders>
            <w:shd w:val="clear" w:color="auto" w:fill="auto"/>
            <w:noWrap/>
            <w:vAlign w:val="bottom"/>
            <w:hideMark/>
          </w:tcPr>
          <w:p w:rsidR="001013EC" w:rsidRPr="005911E2" w:rsidRDefault="001013EC" w:rsidP="001013EC">
            <w:pPr>
              <w:pStyle w:val="TableText"/>
              <w:rPr>
                <w:szCs w:val="18"/>
                <w:lang w:eastAsia="en-AU" w:bidi="ar-SA"/>
              </w:rPr>
            </w:pPr>
            <w:r w:rsidRPr="005911E2">
              <w:rPr>
                <w:szCs w:val="18"/>
                <w:lang w:eastAsia="en-AU" w:bidi="ar-SA"/>
              </w:rPr>
              <w:t>Funeral Expenses</w:t>
            </w:r>
          </w:p>
        </w:tc>
        <w:tc>
          <w:tcPr>
            <w:tcW w:w="1025" w:type="dxa"/>
            <w:gridSpan w:val="2"/>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r w:rsidRPr="005911E2">
              <w:rPr>
                <w:szCs w:val="18"/>
                <w:lang w:eastAsia="en-AU" w:bidi="ar-SA"/>
              </w:rPr>
              <w:t>815</w:t>
            </w:r>
          </w:p>
        </w:tc>
        <w:tc>
          <w:tcPr>
            <w:tcW w:w="1276"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r w:rsidRPr="005911E2">
              <w:rPr>
                <w:szCs w:val="18"/>
                <w:lang w:eastAsia="en-AU" w:bidi="ar-SA"/>
              </w:rPr>
              <w:t>0.0</w:t>
            </w:r>
          </w:p>
        </w:tc>
        <w:tc>
          <w:tcPr>
            <w:tcW w:w="140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0.0</w:t>
            </w:r>
          </w:p>
        </w:tc>
        <w:tc>
          <w:tcPr>
            <w:tcW w:w="154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37</w:t>
            </w:r>
          </w:p>
        </w:tc>
      </w:tr>
      <w:tr w:rsidR="001013EC" w:rsidRPr="005911E2" w:rsidTr="00351FF6">
        <w:trPr>
          <w:cantSplit/>
          <w:jc w:val="right"/>
        </w:trPr>
        <w:tc>
          <w:tcPr>
            <w:tcW w:w="3086" w:type="dxa"/>
            <w:tcBorders>
              <w:top w:val="nil"/>
              <w:left w:val="nil"/>
              <w:bottom w:val="nil"/>
              <w:right w:val="nil"/>
            </w:tcBorders>
            <w:shd w:val="clear" w:color="auto" w:fill="auto"/>
            <w:noWrap/>
            <w:vAlign w:val="bottom"/>
            <w:hideMark/>
          </w:tcPr>
          <w:p w:rsidR="001013EC" w:rsidRPr="005911E2" w:rsidRDefault="001013EC" w:rsidP="001013EC">
            <w:pPr>
              <w:pStyle w:val="TableText"/>
              <w:rPr>
                <w:szCs w:val="18"/>
                <w:lang w:eastAsia="en-AU" w:bidi="ar-SA"/>
              </w:rPr>
            </w:pPr>
            <w:r w:rsidRPr="005911E2">
              <w:rPr>
                <w:szCs w:val="18"/>
                <w:lang w:eastAsia="en-AU" w:bidi="ar-SA"/>
              </w:rPr>
              <w:t>Court Fines</w:t>
            </w:r>
          </w:p>
        </w:tc>
        <w:tc>
          <w:tcPr>
            <w:tcW w:w="1025" w:type="dxa"/>
            <w:gridSpan w:val="2"/>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r w:rsidRPr="005911E2">
              <w:rPr>
                <w:szCs w:val="18"/>
                <w:lang w:eastAsia="en-AU" w:bidi="ar-SA"/>
              </w:rPr>
              <w:t>295</w:t>
            </w:r>
          </w:p>
        </w:tc>
        <w:tc>
          <w:tcPr>
            <w:tcW w:w="1276"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r w:rsidRPr="005911E2">
              <w:rPr>
                <w:szCs w:val="18"/>
                <w:lang w:eastAsia="en-AU" w:bidi="ar-SA"/>
              </w:rPr>
              <w:t>0.0</w:t>
            </w:r>
          </w:p>
        </w:tc>
        <w:tc>
          <w:tcPr>
            <w:tcW w:w="140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0.0</w:t>
            </w:r>
          </w:p>
        </w:tc>
        <w:tc>
          <w:tcPr>
            <w:tcW w:w="154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71</w:t>
            </w:r>
          </w:p>
        </w:tc>
      </w:tr>
      <w:tr w:rsidR="001013EC" w:rsidRPr="005911E2" w:rsidTr="00351FF6">
        <w:trPr>
          <w:cantSplit/>
          <w:jc w:val="right"/>
        </w:trPr>
        <w:tc>
          <w:tcPr>
            <w:tcW w:w="3086" w:type="dxa"/>
            <w:tcBorders>
              <w:top w:val="nil"/>
              <w:left w:val="nil"/>
              <w:bottom w:val="nil"/>
              <w:right w:val="nil"/>
            </w:tcBorders>
            <w:shd w:val="clear" w:color="auto" w:fill="auto"/>
            <w:noWrap/>
            <w:vAlign w:val="bottom"/>
            <w:hideMark/>
          </w:tcPr>
          <w:p w:rsidR="001013EC" w:rsidRPr="005911E2" w:rsidRDefault="001013EC" w:rsidP="001013EC">
            <w:pPr>
              <w:pStyle w:val="TableText"/>
              <w:rPr>
                <w:szCs w:val="18"/>
                <w:lang w:eastAsia="en-AU" w:bidi="ar-SA"/>
              </w:rPr>
            </w:pPr>
            <w:r w:rsidRPr="005911E2">
              <w:rPr>
                <w:szCs w:val="18"/>
                <w:lang w:eastAsia="en-AU" w:bidi="ar-SA"/>
              </w:rPr>
              <w:t>Household Goods</w:t>
            </w:r>
          </w:p>
        </w:tc>
        <w:tc>
          <w:tcPr>
            <w:tcW w:w="1025" w:type="dxa"/>
            <w:gridSpan w:val="2"/>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r w:rsidRPr="005911E2">
              <w:rPr>
                <w:szCs w:val="18"/>
                <w:lang w:eastAsia="en-AU" w:bidi="ar-SA"/>
              </w:rPr>
              <w:t>284</w:t>
            </w:r>
          </w:p>
        </w:tc>
        <w:tc>
          <w:tcPr>
            <w:tcW w:w="1276"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r w:rsidRPr="005911E2">
              <w:rPr>
                <w:szCs w:val="18"/>
                <w:lang w:eastAsia="en-AU" w:bidi="ar-SA"/>
              </w:rPr>
              <w:t>0.0</w:t>
            </w:r>
          </w:p>
        </w:tc>
        <w:tc>
          <w:tcPr>
            <w:tcW w:w="140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0.0</w:t>
            </w:r>
          </w:p>
        </w:tc>
        <w:tc>
          <w:tcPr>
            <w:tcW w:w="154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60</w:t>
            </w:r>
          </w:p>
        </w:tc>
      </w:tr>
      <w:tr w:rsidR="001013EC" w:rsidRPr="005911E2" w:rsidTr="00351FF6">
        <w:trPr>
          <w:cantSplit/>
          <w:jc w:val="right"/>
        </w:trPr>
        <w:tc>
          <w:tcPr>
            <w:tcW w:w="3086" w:type="dxa"/>
            <w:tcBorders>
              <w:top w:val="nil"/>
              <w:left w:val="nil"/>
              <w:bottom w:val="nil"/>
              <w:right w:val="nil"/>
            </w:tcBorders>
            <w:shd w:val="clear" w:color="auto" w:fill="auto"/>
            <w:noWrap/>
            <w:vAlign w:val="bottom"/>
            <w:hideMark/>
          </w:tcPr>
          <w:p w:rsidR="001013EC" w:rsidRPr="005911E2" w:rsidRDefault="001013EC" w:rsidP="001013EC">
            <w:pPr>
              <w:pStyle w:val="TableText"/>
              <w:rPr>
                <w:szCs w:val="18"/>
                <w:lang w:eastAsia="en-AU" w:bidi="ar-SA"/>
              </w:rPr>
            </w:pPr>
            <w:r w:rsidRPr="005911E2">
              <w:rPr>
                <w:szCs w:val="18"/>
                <w:lang w:eastAsia="en-AU" w:bidi="ar-SA"/>
              </w:rPr>
              <w:t>Professional Services</w:t>
            </w:r>
          </w:p>
        </w:tc>
        <w:tc>
          <w:tcPr>
            <w:tcW w:w="1025" w:type="dxa"/>
            <w:gridSpan w:val="2"/>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r w:rsidRPr="005911E2">
              <w:rPr>
                <w:szCs w:val="18"/>
                <w:lang w:eastAsia="en-AU" w:bidi="ar-SA"/>
              </w:rPr>
              <w:t>180</w:t>
            </w:r>
          </w:p>
        </w:tc>
        <w:tc>
          <w:tcPr>
            <w:tcW w:w="1276"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r w:rsidRPr="005911E2">
              <w:rPr>
                <w:szCs w:val="18"/>
                <w:lang w:eastAsia="en-AU" w:bidi="ar-SA"/>
              </w:rPr>
              <w:t>0.0</w:t>
            </w:r>
          </w:p>
        </w:tc>
        <w:tc>
          <w:tcPr>
            <w:tcW w:w="140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7.3</w:t>
            </w:r>
          </w:p>
        </w:tc>
        <w:tc>
          <w:tcPr>
            <w:tcW w:w="154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242</w:t>
            </w:r>
          </w:p>
        </w:tc>
      </w:tr>
      <w:tr w:rsidR="001013EC" w:rsidRPr="005911E2" w:rsidTr="00351FF6">
        <w:trPr>
          <w:cantSplit/>
          <w:jc w:val="right"/>
        </w:trPr>
        <w:tc>
          <w:tcPr>
            <w:tcW w:w="3086" w:type="dxa"/>
            <w:tcBorders>
              <w:top w:val="nil"/>
              <w:left w:val="nil"/>
              <w:bottom w:val="nil"/>
              <w:right w:val="nil"/>
            </w:tcBorders>
            <w:shd w:val="clear" w:color="auto" w:fill="auto"/>
            <w:noWrap/>
            <w:vAlign w:val="bottom"/>
            <w:hideMark/>
          </w:tcPr>
          <w:p w:rsidR="001013EC" w:rsidRPr="005911E2" w:rsidRDefault="001013EC" w:rsidP="001013EC">
            <w:pPr>
              <w:pStyle w:val="TableText"/>
              <w:rPr>
                <w:szCs w:val="18"/>
                <w:lang w:eastAsia="en-AU" w:bidi="ar-SA"/>
              </w:rPr>
            </w:pPr>
            <w:r w:rsidRPr="005911E2">
              <w:rPr>
                <w:szCs w:val="18"/>
                <w:lang w:eastAsia="en-AU" w:bidi="ar-SA"/>
              </w:rPr>
              <w:t>Medical Expenses</w:t>
            </w:r>
          </w:p>
        </w:tc>
        <w:tc>
          <w:tcPr>
            <w:tcW w:w="1025" w:type="dxa"/>
            <w:gridSpan w:val="2"/>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r w:rsidRPr="005911E2">
              <w:rPr>
                <w:szCs w:val="18"/>
                <w:lang w:eastAsia="en-AU" w:bidi="ar-SA"/>
              </w:rPr>
              <w:t>48</w:t>
            </w:r>
          </w:p>
        </w:tc>
        <w:tc>
          <w:tcPr>
            <w:tcW w:w="1276"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lang w:eastAsia="en-AU" w:bidi="ar-SA"/>
              </w:rPr>
            </w:pPr>
            <w:r w:rsidRPr="005911E2">
              <w:rPr>
                <w:szCs w:val="18"/>
                <w:lang w:eastAsia="en-AU" w:bidi="ar-SA"/>
              </w:rPr>
              <w:t>0.0</w:t>
            </w:r>
          </w:p>
        </w:tc>
        <w:tc>
          <w:tcPr>
            <w:tcW w:w="140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4.6</w:t>
            </w:r>
          </w:p>
        </w:tc>
        <w:tc>
          <w:tcPr>
            <w:tcW w:w="1544" w:type="dxa"/>
            <w:tcBorders>
              <w:top w:val="nil"/>
              <w:left w:val="nil"/>
              <w:bottom w:val="nil"/>
              <w:right w:val="nil"/>
            </w:tcBorders>
            <w:shd w:val="clear" w:color="auto" w:fill="auto"/>
            <w:noWrap/>
          </w:tcPr>
          <w:p w:rsidR="001013EC" w:rsidRPr="005911E2" w:rsidRDefault="001013EC" w:rsidP="001013EC">
            <w:pPr>
              <w:pStyle w:val="TableText"/>
              <w:jc w:val="right"/>
              <w:rPr>
                <w:szCs w:val="18"/>
                <w:lang w:eastAsia="en-AU" w:bidi="ar-SA"/>
              </w:rPr>
            </w:pPr>
            <w:r w:rsidRPr="005911E2">
              <w:rPr>
                <w:szCs w:val="18"/>
                <w:lang w:eastAsia="en-AU" w:bidi="ar-SA"/>
              </w:rPr>
              <w:t>70</w:t>
            </w:r>
          </w:p>
        </w:tc>
      </w:tr>
      <w:tr w:rsidR="001013EC" w:rsidRPr="005911E2" w:rsidTr="00351FF6">
        <w:trPr>
          <w:cantSplit/>
          <w:jc w:val="right"/>
        </w:trPr>
        <w:tc>
          <w:tcPr>
            <w:tcW w:w="3086" w:type="dxa"/>
            <w:tcBorders>
              <w:top w:val="nil"/>
              <w:left w:val="nil"/>
              <w:right w:val="nil"/>
            </w:tcBorders>
            <w:shd w:val="clear" w:color="auto" w:fill="auto"/>
            <w:noWrap/>
            <w:vAlign w:val="bottom"/>
            <w:hideMark/>
          </w:tcPr>
          <w:p w:rsidR="001013EC" w:rsidRPr="005911E2" w:rsidRDefault="001013EC" w:rsidP="001013EC">
            <w:pPr>
              <w:pStyle w:val="TableText"/>
              <w:rPr>
                <w:bCs/>
                <w:i/>
                <w:iCs/>
                <w:szCs w:val="18"/>
                <w:lang w:eastAsia="en-AU" w:bidi="ar-SA"/>
              </w:rPr>
            </w:pPr>
            <w:r w:rsidRPr="005911E2">
              <w:rPr>
                <w:bCs/>
                <w:i/>
                <w:iCs/>
                <w:szCs w:val="18"/>
                <w:lang w:eastAsia="en-AU" w:bidi="ar-SA"/>
              </w:rPr>
              <w:t>Sub total other</w:t>
            </w:r>
          </w:p>
        </w:tc>
        <w:tc>
          <w:tcPr>
            <w:tcW w:w="1025" w:type="dxa"/>
            <w:gridSpan w:val="2"/>
            <w:tcBorders>
              <w:top w:val="nil"/>
              <w:left w:val="nil"/>
              <w:right w:val="nil"/>
            </w:tcBorders>
            <w:shd w:val="clear" w:color="auto" w:fill="auto"/>
            <w:noWrap/>
            <w:vAlign w:val="bottom"/>
            <w:hideMark/>
          </w:tcPr>
          <w:p w:rsidR="001013EC" w:rsidRPr="005911E2" w:rsidRDefault="001013EC" w:rsidP="00C21E3A">
            <w:pPr>
              <w:pStyle w:val="TableText"/>
              <w:jc w:val="right"/>
              <w:rPr>
                <w:bCs/>
                <w:i/>
                <w:iCs/>
                <w:szCs w:val="18"/>
                <w:lang w:eastAsia="en-AU" w:bidi="ar-SA"/>
              </w:rPr>
            </w:pPr>
            <w:r w:rsidRPr="005911E2">
              <w:rPr>
                <w:bCs/>
                <w:i/>
                <w:iCs/>
                <w:szCs w:val="18"/>
                <w:lang w:eastAsia="en-AU" w:bidi="ar-SA"/>
              </w:rPr>
              <w:t>761</w:t>
            </w:r>
            <w:r w:rsidR="00CF78DB">
              <w:rPr>
                <w:bCs/>
                <w:i/>
                <w:iCs/>
                <w:szCs w:val="18"/>
                <w:lang w:eastAsia="en-AU" w:bidi="ar-SA"/>
              </w:rPr>
              <w:t> </w:t>
            </w:r>
            <w:r w:rsidRPr="005911E2">
              <w:rPr>
                <w:bCs/>
                <w:i/>
                <w:iCs/>
                <w:szCs w:val="18"/>
                <w:lang w:eastAsia="en-AU" w:bidi="ar-SA"/>
              </w:rPr>
              <w:t>436</w:t>
            </w:r>
          </w:p>
        </w:tc>
        <w:tc>
          <w:tcPr>
            <w:tcW w:w="1276" w:type="dxa"/>
            <w:tcBorders>
              <w:top w:val="nil"/>
              <w:left w:val="nil"/>
              <w:right w:val="nil"/>
            </w:tcBorders>
            <w:shd w:val="clear" w:color="auto" w:fill="auto"/>
            <w:noWrap/>
            <w:vAlign w:val="bottom"/>
            <w:hideMark/>
          </w:tcPr>
          <w:p w:rsidR="001013EC" w:rsidRPr="005911E2" w:rsidRDefault="001013EC" w:rsidP="001013EC">
            <w:pPr>
              <w:pStyle w:val="TableText"/>
              <w:jc w:val="right"/>
              <w:rPr>
                <w:bCs/>
                <w:i/>
                <w:iCs/>
                <w:szCs w:val="18"/>
                <w:lang w:eastAsia="en-AU" w:bidi="ar-SA"/>
              </w:rPr>
            </w:pPr>
            <w:r w:rsidRPr="005911E2">
              <w:rPr>
                <w:bCs/>
                <w:i/>
                <w:iCs/>
                <w:szCs w:val="18"/>
                <w:lang w:eastAsia="en-AU" w:bidi="ar-SA"/>
              </w:rPr>
              <w:t>11.9</w:t>
            </w:r>
          </w:p>
        </w:tc>
        <w:tc>
          <w:tcPr>
            <w:tcW w:w="1404" w:type="dxa"/>
            <w:tcBorders>
              <w:top w:val="nil"/>
              <w:left w:val="nil"/>
              <w:right w:val="nil"/>
            </w:tcBorders>
            <w:shd w:val="clear" w:color="auto" w:fill="auto"/>
            <w:noWrap/>
          </w:tcPr>
          <w:p w:rsidR="001013EC" w:rsidRPr="005911E2" w:rsidRDefault="001013EC" w:rsidP="001013EC">
            <w:pPr>
              <w:pStyle w:val="TableText"/>
              <w:jc w:val="right"/>
              <w:rPr>
                <w:bCs/>
                <w:i/>
                <w:iCs/>
                <w:szCs w:val="18"/>
                <w:lang w:eastAsia="en-AU" w:bidi="ar-SA"/>
              </w:rPr>
            </w:pPr>
            <w:r w:rsidRPr="005911E2">
              <w:rPr>
                <w:bCs/>
                <w:i/>
                <w:iCs/>
                <w:szCs w:val="18"/>
                <w:lang w:eastAsia="en-AU" w:bidi="ar-SA"/>
              </w:rPr>
              <w:t>32.2</w:t>
            </w:r>
          </w:p>
        </w:tc>
        <w:tc>
          <w:tcPr>
            <w:tcW w:w="1544" w:type="dxa"/>
            <w:tcBorders>
              <w:top w:val="nil"/>
              <w:left w:val="nil"/>
              <w:right w:val="nil"/>
            </w:tcBorders>
            <w:shd w:val="clear" w:color="auto" w:fill="auto"/>
            <w:noWrap/>
          </w:tcPr>
          <w:p w:rsidR="001013EC" w:rsidRPr="005911E2" w:rsidRDefault="001013EC" w:rsidP="001013EC">
            <w:pPr>
              <w:pStyle w:val="TableText"/>
              <w:jc w:val="right"/>
              <w:rPr>
                <w:bCs/>
                <w:i/>
                <w:iCs/>
                <w:szCs w:val="18"/>
                <w:lang w:eastAsia="en-AU" w:bidi="ar-SA"/>
              </w:rPr>
            </w:pPr>
            <w:r w:rsidRPr="005911E2">
              <w:rPr>
                <w:bCs/>
                <w:i/>
                <w:iCs/>
                <w:szCs w:val="18"/>
                <w:lang w:eastAsia="en-AU" w:bidi="ar-SA"/>
              </w:rPr>
              <w:t>144</w:t>
            </w:r>
          </w:p>
        </w:tc>
      </w:tr>
      <w:tr w:rsidR="001013EC" w:rsidRPr="005911E2" w:rsidTr="00351FF6">
        <w:trPr>
          <w:cantSplit/>
          <w:trHeight w:hRule="exact" w:val="120"/>
          <w:jc w:val="right"/>
        </w:trPr>
        <w:tc>
          <w:tcPr>
            <w:tcW w:w="3086" w:type="dxa"/>
            <w:tcBorders>
              <w:top w:val="nil"/>
              <w:left w:val="nil"/>
              <w:bottom w:val="single" w:sz="4" w:space="0" w:color="auto"/>
              <w:right w:val="nil"/>
            </w:tcBorders>
            <w:shd w:val="clear" w:color="auto" w:fill="auto"/>
            <w:noWrap/>
            <w:vAlign w:val="bottom"/>
            <w:hideMark/>
          </w:tcPr>
          <w:p w:rsidR="001013EC" w:rsidRPr="005911E2" w:rsidRDefault="001013EC" w:rsidP="001013EC">
            <w:pPr>
              <w:pStyle w:val="TableText"/>
              <w:rPr>
                <w:szCs w:val="18"/>
                <w:lang w:eastAsia="en-AU" w:bidi="ar-SA"/>
              </w:rPr>
            </w:pPr>
          </w:p>
        </w:tc>
        <w:tc>
          <w:tcPr>
            <w:tcW w:w="1025" w:type="dxa"/>
            <w:gridSpan w:val="2"/>
            <w:tcBorders>
              <w:top w:val="nil"/>
              <w:left w:val="nil"/>
              <w:bottom w:val="single" w:sz="4" w:space="0" w:color="auto"/>
              <w:right w:val="nil"/>
            </w:tcBorders>
            <w:shd w:val="clear" w:color="auto" w:fill="auto"/>
            <w:noWrap/>
            <w:vAlign w:val="bottom"/>
            <w:hideMark/>
          </w:tcPr>
          <w:p w:rsidR="001013EC" w:rsidRPr="005911E2" w:rsidRDefault="001013EC" w:rsidP="001013EC">
            <w:pPr>
              <w:pStyle w:val="TableText"/>
              <w:jc w:val="right"/>
              <w:rPr>
                <w:szCs w:val="18"/>
                <w:lang w:eastAsia="en-AU" w:bidi="ar-SA"/>
              </w:rPr>
            </w:pPr>
          </w:p>
        </w:tc>
        <w:tc>
          <w:tcPr>
            <w:tcW w:w="1276" w:type="dxa"/>
            <w:tcBorders>
              <w:top w:val="nil"/>
              <w:left w:val="nil"/>
              <w:bottom w:val="single" w:sz="4" w:space="0" w:color="auto"/>
              <w:right w:val="nil"/>
            </w:tcBorders>
            <w:shd w:val="clear" w:color="auto" w:fill="auto"/>
            <w:noWrap/>
            <w:vAlign w:val="bottom"/>
            <w:hideMark/>
          </w:tcPr>
          <w:p w:rsidR="001013EC" w:rsidRPr="005911E2" w:rsidRDefault="001013EC" w:rsidP="001013EC">
            <w:pPr>
              <w:pStyle w:val="TableText"/>
              <w:jc w:val="right"/>
              <w:rPr>
                <w:szCs w:val="18"/>
                <w:lang w:eastAsia="en-AU" w:bidi="ar-SA"/>
              </w:rPr>
            </w:pPr>
          </w:p>
        </w:tc>
        <w:tc>
          <w:tcPr>
            <w:tcW w:w="1404" w:type="dxa"/>
            <w:tcBorders>
              <w:top w:val="nil"/>
              <w:left w:val="nil"/>
              <w:bottom w:val="single" w:sz="4" w:space="0" w:color="auto"/>
              <w:right w:val="nil"/>
            </w:tcBorders>
            <w:shd w:val="clear" w:color="auto" w:fill="auto"/>
            <w:noWrap/>
            <w:vAlign w:val="bottom"/>
            <w:hideMark/>
          </w:tcPr>
          <w:p w:rsidR="001013EC" w:rsidRPr="005911E2" w:rsidRDefault="001013EC" w:rsidP="001013EC">
            <w:pPr>
              <w:pStyle w:val="TableText"/>
              <w:jc w:val="right"/>
              <w:rPr>
                <w:szCs w:val="18"/>
                <w:lang w:eastAsia="en-AU" w:bidi="ar-SA"/>
              </w:rPr>
            </w:pPr>
          </w:p>
        </w:tc>
        <w:tc>
          <w:tcPr>
            <w:tcW w:w="1544" w:type="dxa"/>
            <w:tcBorders>
              <w:top w:val="nil"/>
              <w:left w:val="nil"/>
              <w:bottom w:val="single" w:sz="4" w:space="0" w:color="auto"/>
              <w:right w:val="nil"/>
            </w:tcBorders>
            <w:shd w:val="clear" w:color="auto" w:fill="auto"/>
            <w:noWrap/>
            <w:vAlign w:val="bottom"/>
            <w:hideMark/>
          </w:tcPr>
          <w:p w:rsidR="001013EC" w:rsidRPr="005911E2" w:rsidRDefault="001013EC" w:rsidP="001013EC">
            <w:pPr>
              <w:pStyle w:val="TableText"/>
              <w:jc w:val="right"/>
              <w:rPr>
                <w:szCs w:val="18"/>
                <w:lang w:eastAsia="en-AU" w:bidi="ar-SA"/>
              </w:rPr>
            </w:pPr>
          </w:p>
        </w:tc>
      </w:tr>
      <w:tr w:rsidR="001013EC" w:rsidRPr="005911E2" w:rsidTr="00351FF6">
        <w:trPr>
          <w:cantSplit/>
          <w:jc w:val="right"/>
        </w:trPr>
        <w:tc>
          <w:tcPr>
            <w:tcW w:w="3086" w:type="dxa"/>
            <w:tcBorders>
              <w:top w:val="single" w:sz="4" w:space="0" w:color="auto"/>
              <w:left w:val="nil"/>
              <w:bottom w:val="single" w:sz="4" w:space="0" w:color="auto"/>
              <w:right w:val="nil"/>
            </w:tcBorders>
            <w:shd w:val="clear" w:color="auto" w:fill="auto"/>
            <w:noWrap/>
            <w:vAlign w:val="bottom"/>
            <w:hideMark/>
          </w:tcPr>
          <w:p w:rsidR="001013EC" w:rsidRPr="005911E2" w:rsidRDefault="001013EC" w:rsidP="001013EC">
            <w:pPr>
              <w:pStyle w:val="TableText"/>
              <w:rPr>
                <w:szCs w:val="18"/>
                <w:lang w:eastAsia="en-AU" w:bidi="ar-SA"/>
              </w:rPr>
            </w:pPr>
            <w:r w:rsidRPr="005911E2">
              <w:rPr>
                <w:szCs w:val="18"/>
                <w:lang w:eastAsia="en-AU" w:bidi="ar-SA"/>
              </w:rPr>
              <w:t>Total including BasicsCard (b)</w:t>
            </w:r>
          </w:p>
        </w:tc>
        <w:tc>
          <w:tcPr>
            <w:tcW w:w="1025" w:type="dxa"/>
            <w:gridSpan w:val="2"/>
            <w:tcBorders>
              <w:top w:val="single" w:sz="4" w:space="0" w:color="auto"/>
              <w:left w:val="nil"/>
              <w:bottom w:val="single" w:sz="4" w:space="0" w:color="auto"/>
              <w:right w:val="nil"/>
            </w:tcBorders>
            <w:shd w:val="clear" w:color="auto" w:fill="auto"/>
            <w:noWrap/>
            <w:vAlign w:val="bottom"/>
            <w:hideMark/>
          </w:tcPr>
          <w:p w:rsidR="001013EC" w:rsidRPr="005911E2" w:rsidRDefault="001013EC" w:rsidP="00C21E3A">
            <w:pPr>
              <w:pStyle w:val="TableText"/>
              <w:jc w:val="right"/>
              <w:rPr>
                <w:szCs w:val="18"/>
                <w:lang w:eastAsia="en-AU" w:bidi="ar-SA"/>
              </w:rPr>
            </w:pPr>
            <w:r w:rsidRPr="005911E2">
              <w:rPr>
                <w:szCs w:val="18"/>
                <w:lang w:eastAsia="en-AU" w:bidi="ar-SA"/>
              </w:rPr>
              <w:t>6</w:t>
            </w:r>
            <w:r w:rsidR="00CF78DB">
              <w:rPr>
                <w:szCs w:val="18"/>
                <w:lang w:eastAsia="en-AU" w:bidi="ar-SA"/>
              </w:rPr>
              <w:t> </w:t>
            </w:r>
            <w:r w:rsidRPr="005911E2">
              <w:rPr>
                <w:szCs w:val="18"/>
                <w:lang w:eastAsia="en-AU" w:bidi="ar-SA"/>
              </w:rPr>
              <w:t>425</w:t>
            </w:r>
            <w:r w:rsidR="00CF78DB">
              <w:rPr>
                <w:szCs w:val="18"/>
                <w:lang w:eastAsia="en-AU" w:bidi="ar-SA"/>
              </w:rPr>
              <w:t> </w:t>
            </w:r>
            <w:r w:rsidRPr="005911E2">
              <w:rPr>
                <w:szCs w:val="18"/>
                <w:lang w:eastAsia="en-AU" w:bidi="ar-SA"/>
              </w:rPr>
              <w:t>735</w:t>
            </w:r>
          </w:p>
        </w:tc>
        <w:tc>
          <w:tcPr>
            <w:tcW w:w="1276" w:type="dxa"/>
            <w:tcBorders>
              <w:top w:val="single" w:sz="4" w:space="0" w:color="auto"/>
              <w:left w:val="nil"/>
              <w:bottom w:val="single" w:sz="4" w:space="0" w:color="auto"/>
              <w:right w:val="nil"/>
            </w:tcBorders>
            <w:shd w:val="clear" w:color="auto" w:fill="auto"/>
            <w:noWrap/>
            <w:vAlign w:val="bottom"/>
            <w:hideMark/>
          </w:tcPr>
          <w:p w:rsidR="001013EC" w:rsidRPr="005911E2" w:rsidRDefault="001013EC" w:rsidP="001013EC">
            <w:pPr>
              <w:pStyle w:val="TableText"/>
              <w:jc w:val="right"/>
              <w:rPr>
                <w:szCs w:val="18"/>
                <w:lang w:eastAsia="en-AU" w:bidi="ar-SA"/>
              </w:rPr>
            </w:pPr>
            <w:r w:rsidRPr="005911E2">
              <w:rPr>
                <w:szCs w:val="18"/>
                <w:lang w:eastAsia="en-AU" w:bidi="ar-SA"/>
              </w:rPr>
              <w:t>100.0</w:t>
            </w:r>
          </w:p>
        </w:tc>
        <w:tc>
          <w:tcPr>
            <w:tcW w:w="1404" w:type="dxa"/>
            <w:tcBorders>
              <w:top w:val="single" w:sz="4" w:space="0" w:color="auto"/>
              <w:left w:val="nil"/>
              <w:bottom w:val="single" w:sz="4" w:space="0" w:color="auto"/>
              <w:right w:val="nil"/>
            </w:tcBorders>
            <w:shd w:val="clear" w:color="auto" w:fill="auto"/>
            <w:noWrap/>
            <w:hideMark/>
          </w:tcPr>
          <w:p w:rsidR="001013EC" w:rsidRPr="005911E2" w:rsidRDefault="001013EC" w:rsidP="001013EC">
            <w:pPr>
              <w:pStyle w:val="TableText"/>
              <w:jc w:val="right"/>
              <w:rPr>
                <w:szCs w:val="18"/>
                <w:lang w:eastAsia="en-AU" w:bidi="ar-SA"/>
              </w:rPr>
            </w:pPr>
            <w:r w:rsidRPr="005911E2">
              <w:rPr>
                <w:szCs w:val="18"/>
                <w:lang w:eastAsia="en-AU" w:bidi="ar-SA"/>
              </w:rPr>
              <w:t>96.1</w:t>
            </w:r>
          </w:p>
        </w:tc>
        <w:tc>
          <w:tcPr>
            <w:tcW w:w="1544" w:type="dxa"/>
            <w:tcBorders>
              <w:top w:val="single" w:sz="4" w:space="0" w:color="auto"/>
              <w:left w:val="nil"/>
              <w:bottom w:val="single" w:sz="4" w:space="0" w:color="auto"/>
              <w:right w:val="nil"/>
            </w:tcBorders>
            <w:shd w:val="clear" w:color="auto" w:fill="auto"/>
            <w:noWrap/>
            <w:hideMark/>
          </w:tcPr>
          <w:p w:rsidR="001013EC" w:rsidRPr="005911E2" w:rsidRDefault="001013EC" w:rsidP="001013EC">
            <w:pPr>
              <w:pStyle w:val="TableText"/>
              <w:jc w:val="right"/>
              <w:rPr>
                <w:szCs w:val="18"/>
                <w:lang w:eastAsia="en-AU" w:bidi="ar-SA"/>
              </w:rPr>
            </w:pPr>
            <w:r w:rsidRPr="005911E2">
              <w:rPr>
                <w:szCs w:val="18"/>
                <w:lang w:eastAsia="en-AU" w:bidi="ar-SA"/>
              </w:rPr>
              <w:t>408</w:t>
            </w:r>
          </w:p>
        </w:tc>
      </w:tr>
    </w:tbl>
    <w:p w:rsidR="00657163" w:rsidRDefault="00CF78DB" w:rsidP="00CF78DB">
      <w:pPr>
        <w:pStyle w:val="tablefootnotes"/>
      </w:pPr>
      <w:r>
        <w:t>Note</w:t>
      </w:r>
      <w:r w:rsidR="00657163">
        <w:t>s</w:t>
      </w:r>
      <w:r>
        <w:t>:</w:t>
      </w:r>
      <w:r w:rsidR="00657163" w:rsidDel="00657163">
        <w:t xml:space="preserve"> </w:t>
      </w:r>
    </w:p>
    <w:p w:rsidR="001013EC" w:rsidRPr="005911E2" w:rsidRDefault="001013EC" w:rsidP="00CF78DB">
      <w:pPr>
        <w:pStyle w:val="tablefootnotes"/>
      </w:pPr>
      <w:r w:rsidRPr="005911E2">
        <w:t xml:space="preserve">(a) </w:t>
      </w:r>
      <w:r w:rsidRPr="005911E2">
        <w:tab/>
        <w:t>These expenditures relate to the method of payment of particular items by Centrelink and not the purpose of the allocation.</w:t>
      </w:r>
    </w:p>
    <w:p w:rsidR="001013EC" w:rsidRPr="005911E2" w:rsidRDefault="001013EC" w:rsidP="00CF78DB">
      <w:pPr>
        <w:pStyle w:val="tablefootnotes"/>
      </w:pPr>
      <w:r w:rsidRPr="005911E2">
        <w:t xml:space="preserve">(b) </w:t>
      </w:r>
      <w:r w:rsidRPr="005911E2">
        <w:tab/>
        <w:t xml:space="preserve">Total </w:t>
      </w:r>
      <w:r w:rsidR="00BB552A">
        <w:t>proportion</w:t>
      </w:r>
      <w:r w:rsidR="00BB552A" w:rsidRPr="005911E2">
        <w:t xml:space="preserve"> </w:t>
      </w:r>
      <w:r w:rsidRPr="005911E2">
        <w:t>of people with allocations represents the number of people that have any allocations during the fortnight; those with no allocations may include people with no income in the fortnight or those that are transitioning on or off</w:t>
      </w:r>
      <w:r w:rsidR="00C21E3A">
        <w:t xml:space="preserve"> income management</w:t>
      </w:r>
      <w:r w:rsidRPr="005911E2">
        <w:t>.</w:t>
      </w:r>
    </w:p>
    <w:p w:rsidR="001013EC" w:rsidRDefault="001013EC" w:rsidP="00CF78DB">
      <w:pPr>
        <w:pStyle w:val="tablefootnotes"/>
      </w:pPr>
      <w:r w:rsidRPr="005911E2">
        <w:t xml:space="preserve">Source: </w:t>
      </w:r>
      <w:r w:rsidR="00CF78DB">
        <w:tab/>
      </w:r>
      <w:r w:rsidRPr="005911E2">
        <w:t xml:space="preserve">Derived from Centrelink fortnightly expenses report file and </w:t>
      </w:r>
      <w:r w:rsidR="00F878E4">
        <w:t>income management</w:t>
      </w:r>
      <w:r w:rsidRPr="005911E2">
        <w:t xml:space="preserve"> person file for fortnight ending 28 October 2011</w:t>
      </w:r>
      <w:r w:rsidR="00943DCB">
        <w:t>.</w:t>
      </w:r>
    </w:p>
    <w:p w:rsidR="00943DCB" w:rsidRPr="005911E2" w:rsidRDefault="00943DCB" w:rsidP="00CF78DB">
      <w:pPr>
        <w:pStyle w:val="tablefootnotes"/>
      </w:pPr>
    </w:p>
    <w:p w:rsidR="00943DCB" w:rsidRPr="005911E2" w:rsidRDefault="00943DCB" w:rsidP="00943DCB">
      <w:pPr>
        <w:pStyle w:val="BodyText"/>
      </w:pPr>
      <w:r w:rsidRPr="005911E2">
        <w:t>In th</w:t>
      </w:r>
      <w:r>
        <w:t>e</w:t>
      </w:r>
      <w:r w:rsidRPr="005911E2">
        <w:t xml:space="preserve"> allocations data it should be noted that while some of the items reflect actual expenditures on the specific items – typically where Centrelink makes direct payments for rent and similar expenses, this is not always the case. In some cases the item refers, as discussed above, to the mode of payment</w:t>
      </w:r>
      <w:r>
        <w:t xml:space="preserve"> used </w:t>
      </w:r>
      <w:r w:rsidRPr="005911E2">
        <w:t xml:space="preserve">by Centrelink to make a payment to a merchant who does not accept </w:t>
      </w:r>
      <w:r>
        <w:t xml:space="preserve">the </w:t>
      </w:r>
      <w:r w:rsidRPr="005911E2">
        <w:lastRenderedPageBreak/>
        <w:t xml:space="preserve">BasicsCard. In other cases (e.g. food) it may reflect a nominal allocation for this purpose as a consequence of the allocation interview but where the payment is then, for example, made through a payment to a store </w:t>
      </w:r>
      <w:r>
        <w:t>on behalf of the person</w:t>
      </w:r>
      <w:r w:rsidRPr="005911E2">
        <w:t>.</w:t>
      </w:r>
      <w:r w:rsidRPr="005911E2">
        <w:rPr>
          <w:rStyle w:val="FootnoteReference"/>
        </w:rPr>
        <w:footnoteReference w:id="58"/>
      </w:r>
      <w:r w:rsidRPr="005911E2">
        <w:t xml:space="preserve"> </w:t>
      </w:r>
    </w:p>
    <w:p w:rsidR="00CF78DB" w:rsidRPr="005911E2" w:rsidRDefault="00CF78DB" w:rsidP="00CF78DB">
      <w:pPr>
        <w:pStyle w:val="BodyText"/>
      </w:pPr>
      <w:r w:rsidRPr="005911E2">
        <w:t xml:space="preserve">After the BasicsCard, the largest allocation is for housing, representing some </w:t>
      </w:r>
      <w:r>
        <w:t>9</w:t>
      </w:r>
      <w:r w:rsidRPr="005911E2">
        <w:t xml:space="preserve"> per cent of all allocations. As shown in Table </w:t>
      </w:r>
      <w:r w:rsidRPr="005911E2">
        <w:rPr>
          <w:noProof/>
        </w:rPr>
        <w:t>5</w:t>
      </w:r>
      <w:r w:rsidRPr="005911E2">
        <w:noBreakHyphen/>
      </w:r>
      <w:r w:rsidRPr="005911E2">
        <w:rPr>
          <w:noProof/>
        </w:rPr>
        <w:t>1</w:t>
      </w:r>
      <w:r>
        <w:rPr>
          <w:noProof/>
        </w:rPr>
        <w:t>,</w:t>
      </w:r>
      <w:r w:rsidRPr="005911E2">
        <w:t xml:space="preserve"> the amount allocated to housing varies considerably by the type of housing people are in. The most common form of housing for which payments are made is Indigenous community housing</w:t>
      </w:r>
      <w:r>
        <w:t>,</w:t>
      </w:r>
      <w:r w:rsidR="000C6BCB">
        <w:t xml:space="preserve"> with 38 </w:t>
      </w:r>
      <w:r w:rsidRPr="005911E2">
        <w:t xml:space="preserve">per cent of people on </w:t>
      </w:r>
      <w:r>
        <w:t>income management</w:t>
      </w:r>
      <w:r w:rsidRPr="005911E2">
        <w:t xml:space="preserve"> having such an allocation – with an average value of $49 per fortnight</w:t>
      </w:r>
      <w:r>
        <w:t>.</w:t>
      </w:r>
      <w:r w:rsidRPr="005911E2">
        <w:rPr>
          <w:rStyle w:val="FootnoteReference"/>
        </w:rPr>
        <w:footnoteReference w:id="59"/>
      </w:r>
      <w:r w:rsidRPr="005911E2">
        <w:t xml:space="preserve"> This is followed by 9.1 per cent of the population on </w:t>
      </w:r>
      <w:r>
        <w:t>income management</w:t>
      </w:r>
      <w:r w:rsidRPr="005911E2">
        <w:t xml:space="preserve"> with payments for </w:t>
      </w:r>
      <w:r>
        <w:t>g</w:t>
      </w:r>
      <w:r w:rsidRPr="005911E2">
        <w:t xml:space="preserve">overnment </w:t>
      </w:r>
      <w:r>
        <w:t>h</w:t>
      </w:r>
      <w:r w:rsidRPr="005911E2">
        <w:t xml:space="preserve">ousing at an average cost of $138 per fortnight. While much smaller proportions pay rent to private landlords or through a real estate agent, the average costs in these cases are much higher, $286 and $340 per fortnight. </w:t>
      </w:r>
    </w:p>
    <w:p w:rsidR="001013EC" w:rsidRPr="005911E2" w:rsidRDefault="001013EC" w:rsidP="001013EC">
      <w:pPr>
        <w:pStyle w:val="BodyText"/>
      </w:pPr>
      <w:r w:rsidRPr="005911E2">
        <w:t xml:space="preserve">In considering these costs it </w:t>
      </w:r>
      <w:r w:rsidR="00601E30" w:rsidRPr="005911E2">
        <w:t xml:space="preserve">also </w:t>
      </w:r>
      <w:r w:rsidRPr="005911E2">
        <w:t xml:space="preserve">needs to be kept in mind that many people who are subject to </w:t>
      </w:r>
      <w:r w:rsidR="00F878E4">
        <w:t>income management</w:t>
      </w:r>
      <w:r w:rsidRPr="005911E2">
        <w:t xml:space="preserve"> are living in households with others who are not subject to </w:t>
      </w:r>
      <w:r w:rsidR="00F878E4">
        <w:t>income management</w:t>
      </w:r>
      <w:r w:rsidRPr="005911E2">
        <w:t xml:space="preserve"> and who may be paying all or part of the housing costs. This factor may also have impacted on the relativ</w:t>
      </w:r>
      <w:r w:rsidR="00C56AA3">
        <w:t>ely small expenditure, just 0.6 </w:t>
      </w:r>
      <w:r w:rsidRPr="005911E2">
        <w:t>per cent of total allocations, on utilities.</w:t>
      </w:r>
    </w:p>
    <w:p w:rsidR="001013EC" w:rsidRPr="005911E2" w:rsidRDefault="001013EC" w:rsidP="001013EC">
      <w:pPr>
        <w:pStyle w:val="BodyText"/>
      </w:pPr>
      <w:r w:rsidRPr="005911E2">
        <w:t>The next largest single allocation is for the School Nutrition Program. This program</w:t>
      </w:r>
      <w:r w:rsidR="00C21E3A">
        <w:t>,</w:t>
      </w:r>
      <w:r w:rsidRPr="005911E2">
        <w:t xml:space="preserve"> introduced as part of the NTER</w:t>
      </w:r>
      <w:r w:rsidR="00C21E3A">
        <w:t>,</w:t>
      </w:r>
      <w:r w:rsidRPr="005911E2">
        <w:t xml:space="preserve"> is a breakfast and/or lunch service for school-aged children in remote communities of the Northern Territory. It has the objective </w:t>
      </w:r>
      <w:r w:rsidR="00C21E3A">
        <w:t xml:space="preserve">of </w:t>
      </w:r>
      <w:r w:rsidRPr="005911E2">
        <w:t xml:space="preserve">supporting better school attendance and helping with learning and engagement in education. The maximum cost for parents and carers is $35 per week for </w:t>
      </w:r>
      <w:r w:rsidR="00C21E3A">
        <w:t xml:space="preserve">a </w:t>
      </w:r>
      <w:r w:rsidRPr="005911E2">
        <w:t>child participating in the program.</w:t>
      </w:r>
    </w:p>
    <w:p w:rsidR="001013EC" w:rsidRPr="005911E2" w:rsidRDefault="001013EC" w:rsidP="001013EC">
      <w:pPr>
        <w:pStyle w:val="BodyText"/>
      </w:pPr>
      <w:r w:rsidRPr="005911E2">
        <w:t xml:space="preserve">Table </w:t>
      </w:r>
      <w:r w:rsidRPr="005911E2">
        <w:rPr>
          <w:noProof/>
        </w:rPr>
        <w:t>5</w:t>
      </w:r>
      <w:r w:rsidRPr="005911E2">
        <w:noBreakHyphen/>
      </w:r>
      <w:r w:rsidRPr="005911E2">
        <w:rPr>
          <w:noProof/>
        </w:rPr>
        <w:t>2</w:t>
      </w:r>
      <w:r w:rsidRPr="005911E2">
        <w:t xml:space="preserve"> presents detailed information on BasicsCard expenditure by type of merchant. This merchant level represents the most detailed level of expenditure information available on the BasicsCard in the administrative system. In particular</w:t>
      </w:r>
      <w:r w:rsidR="00C21E3A">
        <w:t>,</w:t>
      </w:r>
      <w:r w:rsidRPr="005911E2">
        <w:t xml:space="preserve"> data </w:t>
      </w:r>
      <w:r w:rsidR="00BB552A">
        <w:t xml:space="preserve">is </w:t>
      </w:r>
      <w:r w:rsidRPr="005911E2">
        <w:t>not available on the items that individuals actually spend their money on.</w:t>
      </w:r>
    </w:p>
    <w:p w:rsidR="000B4AF3" w:rsidRPr="005911E2" w:rsidRDefault="001013EC" w:rsidP="000B4AF3">
      <w:pPr>
        <w:pStyle w:val="BodyText"/>
      </w:pPr>
      <w:r w:rsidRPr="005911E2">
        <w:t xml:space="preserve">As discussed above, and seen in Figure </w:t>
      </w:r>
      <w:r w:rsidRPr="005911E2">
        <w:rPr>
          <w:noProof/>
        </w:rPr>
        <w:t>5</w:t>
      </w:r>
      <w:r w:rsidRPr="005911E2">
        <w:noBreakHyphen/>
      </w:r>
      <w:r w:rsidRPr="005911E2">
        <w:rPr>
          <w:noProof/>
        </w:rPr>
        <w:t>1</w:t>
      </w:r>
      <w:r w:rsidR="00C21E3A">
        <w:rPr>
          <w:noProof/>
        </w:rPr>
        <w:t xml:space="preserve"> above</w:t>
      </w:r>
      <w:r w:rsidRPr="005911E2">
        <w:rPr>
          <w:noProof/>
        </w:rPr>
        <w:t>,</w:t>
      </w:r>
      <w:r w:rsidRPr="005911E2">
        <w:t xml:space="preserve"> most expenditure </w:t>
      </w:r>
      <w:r w:rsidR="00C21E3A">
        <w:t>using a</w:t>
      </w:r>
      <w:r w:rsidRPr="005911E2">
        <w:t xml:space="preserve"> BasicsCard takes place at supermarkets, convenience stores, department stores and petrol stations. On </w:t>
      </w:r>
      <w:r w:rsidR="000B4AF3" w:rsidRPr="005911E2">
        <w:t>average each person makes four transactions each fortnight, with an average value of $38.74.</w:t>
      </w:r>
    </w:p>
    <w:p w:rsidR="001013EC" w:rsidRPr="005911E2" w:rsidRDefault="000B4AF3" w:rsidP="000B4AF3">
      <w:pPr>
        <w:pStyle w:val="BodyText"/>
      </w:pPr>
      <w:r w:rsidRPr="005911E2">
        <w:t>Most transactions people make are small</w:t>
      </w:r>
      <w:r w:rsidR="00B94526" w:rsidRPr="005911E2">
        <w:t>.</w:t>
      </w:r>
      <w:r w:rsidRPr="005911E2">
        <w:t xml:space="preserve"> </w:t>
      </w:r>
      <w:r w:rsidR="00B94526" w:rsidRPr="005911E2">
        <w:t>T</w:t>
      </w:r>
      <w:r w:rsidRPr="005911E2">
        <w:t>he median value of all transactions is $12. Around a quarter of transactions are under $10 each</w:t>
      </w:r>
      <w:r w:rsidR="00C21E3A">
        <w:t>,</w:t>
      </w:r>
      <w:r w:rsidRPr="005911E2">
        <w:t xml:space="preserve"> and three quarters are under $50.</w:t>
      </w:r>
    </w:p>
    <w:p w:rsidR="001013EC" w:rsidRPr="005911E2" w:rsidRDefault="001013EC" w:rsidP="001013EC">
      <w:pPr>
        <w:pStyle w:val="tabfighead"/>
      </w:pPr>
      <w:bookmarkStart w:id="431" w:name="_Ref321036258"/>
      <w:bookmarkStart w:id="432" w:name="_Toc321430420"/>
      <w:bookmarkStart w:id="433" w:name="_Toc321254539"/>
      <w:bookmarkStart w:id="434" w:name="_Toc321761690"/>
      <w:bookmarkStart w:id="435" w:name="_Toc328601587"/>
      <w:bookmarkStart w:id="436" w:name="_Toc329051365"/>
      <w:bookmarkStart w:id="437" w:name="_Toc335915853"/>
      <w:r w:rsidRPr="005911E2">
        <w:lastRenderedPageBreak/>
        <w:t xml:space="preserve">Table </w:t>
      </w:r>
      <w:r w:rsidR="00C7347D" w:rsidRPr="005911E2">
        <w:fldChar w:fldCharType="begin"/>
      </w:r>
      <w:r w:rsidR="00435FEB" w:rsidRPr="005911E2">
        <w:instrText xml:space="preserve"> STYLEREF 1 \s </w:instrText>
      </w:r>
      <w:r w:rsidR="00C7347D" w:rsidRPr="005911E2">
        <w:fldChar w:fldCharType="separate"/>
      </w:r>
      <w:r w:rsidR="007D7E45">
        <w:rPr>
          <w:noProof/>
        </w:rPr>
        <w:t>5</w:t>
      </w:r>
      <w:r w:rsidR="00C7347D" w:rsidRPr="005911E2">
        <w:rPr>
          <w:noProof/>
        </w:rPr>
        <w:fldChar w:fldCharType="end"/>
      </w:r>
      <w:r w:rsidRPr="005911E2">
        <w:noBreakHyphen/>
      </w:r>
      <w:r w:rsidR="00C7347D" w:rsidRPr="005911E2">
        <w:fldChar w:fldCharType="begin"/>
      </w:r>
      <w:r w:rsidR="00435FEB" w:rsidRPr="005911E2">
        <w:instrText xml:space="preserve"> SEQ Table \* ARABIC \s 1 </w:instrText>
      </w:r>
      <w:r w:rsidR="00C7347D" w:rsidRPr="005911E2">
        <w:fldChar w:fldCharType="separate"/>
      </w:r>
      <w:r w:rsidR="007D7E45">
        <w:rPr>
          <w:noProof/>
        </w:rPr>
        <w:t>2</w:t>
      </w:r>
      <w:r w:rsidR="00C7347D" w:rsidRPr="005911E2">
        <w:rPr>
          <w:noProof/>
        </w:rPr>
        <w:fldChar w:fldCharType="end"/>
      </w:r>
      <w:bookmarkEnd w:id="431"/>
      <w:r w:rsidRPr="005911E2">
        <w:tab/>
      </w:r>
      <w:r w:rsidR="006435C8">
        <w:t>Northern Territory,</w:t>
      </w:r>
      <w:r w:rsidRPr="005911E2">
        <w:t xml:space="preserve"> BasicsCard, detailed composition of spending by merchant type</w:t>
      </w:r>
      <w:bookmarkEnd w:id="432"/>
      <w:bookmarkEnd w:id="433"/>
      <w:r w:rsidRPr="005911E2">
        <w:t>, fortnight ending 28 October 2011</w:t>
      </w:r>
      <w:bookmarkEnd w:id="434"/>
      <w:bookmarkEnd w:id="435"/>
      <w:bookmarkEnd w:id="436"/>
      <w:bookmarkEnd w:id="437"/>
    </w:p>
    <w:tbl>
      <w:tblPr>
        <w:tblW w:w="8605" w:type="dxa"/>
        <w:jc w:val="right"/>
        <w:tblLayout w:type="fixed"/>
        <w:tblLook w:val="04A0" w:firstRow="1" w:lastRow="0" w:firstColumn="1" w:lastColumn="0" w:noHBand="0" w:noVBand="1"/>
      </w:tblPr>
      <w:tblGrid>
        <w:gridCol w:w="1986"/>
        <w:gridCol w:w="1100"/>
        <w:gridCol w:w="1070"/>
        <w:gridCol w:w="1210"/>
        <w:gridCol w:w="1071"/>
        <w:gridCol w:w="992"/>
        <w:gridCol w:w="1176"/>
      </w:tblGrid>
      <w:tr w:rsidR="001013EC" w:rsidRPr="005911E2" w:rsidTr="00351FF6">
        <w:trPr>
          <w:jc w:val="right"/>
        </w:trPr>
        <w:tc>
          <w:tcPr>
            <w:tcW w:w="1986" w:type="dxa"/>
            <w:tcBorders>
              <w:top w:val="single" w:sz="4" w:space="0" w:color="auto"/>
              <w:left w:val="nil"/>
              <w:bottom w:val="single" w:sz="4" w:space="0" w:color="auto"/>
              <w:right w:val="nil"/>
            </w:tcBorders>
            <w:shd w:val="clear" w:color="auto" w:fill="auto"/>
            <w:vAlign w:val="bottom"/>
            <w:hideMark/>
          </w:tcPr>
          <w:p w:rsidR="001013EC" w:rsidRPr="005911E2" w:rsidRDefault="001013EC" w:rsidP="001013EC">
            <w:pPr>
              <w:pStyle w:val="TableText"/>
              <w:rPr>
                <w:rFonts w:cs="Arial"/>
                <w:szCs w:val="18"/>
              </w:rPr>
            </w:pPr>
          </w:p>
        </w:tc>
        <w:tc>
          <w:tcPr>
            <w:tcW w:w="1100" w:type="dxa"/>
            <w:tcBorders>
              <w:top w:val="single" w:sz="4" w:space="0" w:color="auto"/>
              <w:left w:val="nil"/>
              <w:bottom w:val="single" w:sz="4" w:space="0" w:color="auto"/>
              <w:right w:val="nil"/>
            </w:tcBorders>
            <w:shd w:val="clear" w:color="auto" w:fill="auto"/>
            <w:hideMark/>
          </w:tcPr>
          <w:p w:rsidR="001013EC" w:rsidRPr="005911E2" w:rsidRDefault="001013EC" w:rsidP="001013EC">
            <w:pPr>
              <w:pStyle w:val="TableText"/>
              <w:jc w:val="right"/>
              <w:rPr>
                <w:szCs w:val="18"/>
              </w:rPr>
            </w:pPr>
            <w:r w:rsidRPr="005911E2">
              <w:rPr>
                <w:szCs w:val="18"/>
              </w:rPr>
              <w:t>Total expenditure</w:t>
            </w:r>
          </w:p>
        </w:tc>
        <w:tc>
          <w:tcPr>
            <w:tcW w:w="1070" w:type="dxa"/>
            <w:tcBorders>
              <w:top w:val="single" w:sz="4" w:space="0" w:color="auto"/>
              <w:left w:val="nil"/>
              <w:bottom w:val="single" w:sz="4" w:space="0" w:color="auto"/>
              <w:right w:val="nil"/>
            </w:tcBorders>
            <w:shd w:val="clear" w:color="auto" w:fill="auto"/>
            <w:hideMark/>
          </w:tcPr>
          <w:p w:rsidR="001013EC" w:rsidRPr="005911E2" w:rsidRDefault="001013EC" w:rsidP="001013EC">
            <w:pPr>
              <w:pStyle w:val="TableText"/>
              <w:jc w:val="right"/>
              <w:rPr>
                <w:szCs w:val="18"/>
              </w:rPr>
            </w:pPr>
            <w:r w:rsidRPr="005911E2">
              <w:rPr>
                <w:szCs w:val="18"/>
              </w:rPr>
              <w:t>Share of total Expenditure (%)</w:t>
            </w:r>
          </w:p>
        </w:tc>
        <w:tc>
          <w:tcPr>
            <w:tcW w:w="1210" w:type="dxa"/>
            <w:tcBorders>
              <w:top w:val="single" w:sz="4" w:space="0" w:color="auto"/>
              <w:left w:val="nil"/>
              <w:bottom w:val="single" w:sz="4" w:space="0" w:color="auto"/>
              <w:right w:val="nil"/>
            </w:tcBorders>
            <w:shd w:val="clear" w:color="auto" w:fill="auto"/>
            <w:hideMark/>
          </w:tcPr>
          <w:p w:rsidR="001013EC" w:rsidRPr="005911E2" w:rsidRDefault="001013EC" w:rsidP="001013EC">
            <w:pPr>
              <w:pStyle w:val="TableText"/>
              <w:jc w:val="right"/>
              <w:rPr>
                <w:szCs w:val="18"/>
              </w:rPr>
            </w:pPr>
            <w:r w:rsidRPr="005911E2">
              <w:rPr>
                <w:szCs w:val="18"/>
              </w:rPr>
              <w:t>Per cent of people on IM with this type of expenditure (%)</w:t>
            </w:r>
          </w:p>
        </w:tc>
        <w:tc>
          <w:tcPr>
            <w:tcW w:w="1071" w:type="dxa"/>
            <w:tcBorders>
              <w:top w:val="single" w:sz="4" w:space="0" w:color="auto"/>
              <w:left w:val="nil"/>
              <w:bottom w:val="single" w:sz="4" w:space="0" w:color="auto"/>
              <w:right w:val="nil"/>
            </w:tcBorders>
            <w:shd w:val="clear" w:color="auto" w:fill="auto"/>
            <w:hideMark/>
          </w:tcPr>
          <w:p w:rsidR="001013EC" w:rsidRPr="005911E2" w:rsidRDefault="001013EC" w:rsidP="001013EC">
            <w:pPr>
              <w:pStyle w:val="TableText"/>
              <w:jc w:val="right"/>
              <w:rPr>
                <w:szCs w:val="18"/>
              </w:rPr>
            </w:pPr>
            <w:r w:rsidRPr="005911E2">
              <w:rPr>
                <w:szCs w:val="18"/>
              </w:rPr>
              <w:t>Average value of transaction ($)</w:t>
            </w:r>
          </w:p>
        </w:tc>
        <w:tc>
          <w:tcPr>
            <w:tcW w:w="992" w:type="dxa"/>
            <w:tcBorders>
              <w:top w:val="single" w:sz="4" w:space="0" w:color="auto"/>
              <w:left w:val="nil"/>
              <w:bottom w:val="single" w:sz="4" w:space="0" w:color="auto"/>
              <w:right w:val="nil"/>
            </w:tcBorders>
          </w:tcPr>
          <w:p w:rsidR="001013EC" w:rsidRPr="005911E2" w:rsidRDefault="001013EC" w:rsidP="001013EC">
            <w:pPr>
              <w:pStyle w:val="TableText"/>
              <w:jc w:val="right"/>
              <w:rPr>
                <w:szCs w:val="18"/>
              </w:rPr>
            </w:pPr>
            <w:r w:rsidRPr="005911E2">
              <w:rPr>
                <w:szCs w:val="18"/>
              </w:rPr>
              <w:t>Median value of transaction ($)</w:t>
            </w:r>
          </w:p>
        </w:tc>
        <w:tc>
          <w:tcPr>
            <w:tcW w:w="1176" w:type="dxa"/>
            <w:tcBorders>
              <w:top w:val="single" w:sz="4" w:space="0" w:color="auto"/>
              <w:left w:val="nil"/>
              <w:bottom w:val="single" w:sz="4" w:space="0" w:color="auto"/>
              <w:right w:val="nil"/>
            </w:tcBorders>
            <w:shd w:val="clear" w:color="auto" w:fill="auto"/>
            <w:hideMark/>
          </w:tcPr>
          <w:p w:rsidR="001013EC" w:rsidRPr="005911E2" w:rsidRDefault="001013EC" w:rsidP="001013EC">
            <w:pPr>
              <w:pStyle w:val="TableText"/>
              <w:jc w:val="right"/>
              <w:rPr>
                <w:szCs w:val="18"/>
              </w:rPr>
            </w:pPr>
            <w:r w:rsidRPr="005911E2">
              <w:rPr>
                <w:szCs w:val="18"/>
              </w:rPr>
              <w:t>Average transactions by people on IM in fortnight</w:t>
            </w:r>
          </w:p>
        </w:tc>
      </w:tr>
      <w:tr w:rsidR="001013EC" w:rsidRPr="005911E2" w:rsidTr="00351FF6">
        <w:trPr>
          <w:jc w:val="right"/>
        </w:trPr>
        <w:tc>
          <w:tcPr>
            <w:tcW w:w="1986" w:type="dxa"/>
            <w:tcBorders>
              <w:top w:val="single" w:sz="4" w:space="0" w:color="auto"/>
              <w:left w:val="nil"/>
              <w:bottom w:val="nil"/>
              <w:right w:val="nil"/>
            </w:tcBorders>
            <w:shd w:val="clear" w:color="auto" w:fill="auto"/>
            <w:noWrap/>
            <w:vAlign w:val="bottom"/>
            <w:hideMark/>
          </w:tcPr>
          <w:p w:rsidR="001013EC" w:rsidRPr="005911E2" w:rsidRDefault="001013EC" w:rsidP="001013EC">
            <w:pPr>
              <w:pStyle w:val="TableText"/>
              <w:ind w:left="143" w:hanging="143"/>
              <w:rPr>
                <w:rFonts w:cs="Arial"/>
                <w:szCs w:val="18"/>
              </w:rPr>
            </w:pPr>
            <w:r w:rsidRPr="005911E2">
              <w:rPr>
                <w:rFonts w:cs="Arial"/>
                <w:szCs w:val="18"/>
              </w:rPr>
              <w:t>Supermarket</w:t>
            </w:r>
          </w:p>
        </w:tc>
        <w:tc>
          <w:tcPr>
            <w:tcW w:w="1100" w:type="dxa"/>
            <w:tcBorders>
              <w:top w:val="single" w:sz="4" w:space="0" w:color="auto"/>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2</w:t>
            </w:r>
            <w:r w:rsidR="00CF78DB">
              <w:rPr>
                <w:szCs w:val="18"/>
              </w:rPr>
              <w:t> </w:t>
            </w:r>
            <w:r w:rsidRPr="005911E2">
              <w:rPr>
                <w:szCs w:val="18"/>
              </w:rPr>
              <w:t>933</w:t>
            </w:r>
            <w:r w:rsidR="00CF78DB">
              <w:rPr>
                <w:szCs w:val="18"/>
              </w:rPr>
              <w:t> </w:t>
            </w:r>
            <w:r w:rsidRPr="005911E2">
              <w:rPr>
                <w:szCs w:val="18"/>
              </w:rPr>
              <w:t>892</w:t>
            </w:r>
          </w:p>
        </w:tc>
        <w:tc>
          <w:tcPr>
            <w:tcW w:w="1070" w:type="dxa"/>
            <w:tcBorders>
              <w:top w:val="single" w:sz="4" w:space="0" w:color="auto"/>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60.8</w:t>
            </w:r>
          </w:p>
        </w:tc>
        <w:tc>
          <w:tcPr>
            <w:tcW w:w="1210" w:type="dxa"/>
            <w:tcBorders>
              <w:top w:val="single" w:sz="4" w:space="0" w:color="auto"/>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81.6</w:t>
            </w:r>
          </w:p>
        </w:tc>
        <w:tc>
          <w:tcPr>
            <w:tcW w:w="1071" w:type="dxa"/>
            <w:tcBorders>
              <w:top w:val="single" w:sz="4" w:space="0" w:color="auto"/>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41.14</w:t>
            </w:r>
          </w:p>
        </w:tc>
        <w:tc>
          <w:tcPr>
            <w:tcW w:w="992" w:type="dxa"/>
            <w:tcBorders>
              <w:top w:val="single" w:sz="4" w:space="0" w:color="auto"/>
              <w:left w:val="nil"/>
              <w:bottom w:val="nil"/>
              <w:right w:val="nil"/>
            </w:tcBorders>
            <w:vAlign w:val="bottom"/>
          </w:tcPr>
          <w:p w:rsidR="001013EC" w:rsidRPr="005911E2" w:rsidRDefault="001013EC" w:rsidP="001013EC">
            <w:pPr>
              <w:pStyle w:val="TableText"/>
              <w:jc w:val="right"/>
              <w:rPr>
                <w:szCs w:val="18"/>
              </w:rPr>
            </w:pPr>
            <w:r w:rsidRPr="005911E2">
              <w:rPr>
                <w:szCs w:val="18"/>
              </w:rPr>
              <w:t>23</w:t>
            </w:r>
          </w:p>
        </w:tc>
        <w:tc>
          <w:tcPr>
            <w:tcW w:w="1176" w:type="dxa"/>
            <w:tcBorders>
              <w:top w:val="single" w:sz="4" w:space="0" w:color="auto"/>
              <w:left w:val="nil"/>
              <w:bottom w:val="nil"/>
              <w:right w:val="nil"/>
            </w:tcBorders>
            <w:shd w:val="clear" w:color="auto" w:fill="auto"/>
            <w:noWrap/>
            <w:vAlign w:val="bottom"/>
          </w:tcPr>
          <w:p w:rsidR="001013EC" w:rsidRPr="005911E2" w:rsidRDefault="001013EC" w:rsidP="001013EC">
            <w:pPr>
              <w:pStyle w:val="TableText"/>
              <w:jc w:val="right"/>
              <w:rPr>
                <w:szCs w:val="18"/>
              </w:rPr>
            </w:pPr>
            <w:r w:rsidRPr="005911E2">
              <w:rPr>
                <w:szCs w:val="18"/>
              </w:rPr>
              <w:t>5.3</w:t>
            </w:r>
          </w:p>
        </w:tc>
      </w:tr>
      <w:tr w:rsidR="001013EC" w:rsidRPr="005911E2" w:rsidTr="00351FF6">
        <w:trPr>
          <w:jc w:val="right"/>
        </w:trPr>
        <w:tc>
          <w:tcPr>
            <w:tcW w:w="1986" w:type="dxa"/>
            <w:tcBorders>
              <w:top w:val="nil"/>
              <w:left w:val="nil"/>
              <w:bottom w:val="nil"/>
              <w:right w:val="nil"/>
            </w:tcBorders>
            <w:shd w:val="clear" w:color="auto" w:fill="auto"/>
            <w:noWrap/>
            <w:vAlign w:val="bottom"/>
            <w:hideMark/>
          </w:tcPr>
          <w:p w:rsidR="001013EC" w:rsidRPr="005911E2" w:rsidRDefault="001013EC" w:rsidP="001013EC">
            <w:pPr>
              <w:pStyle w:val="TableText"/>
              <w:ind w:left="143" w:hanging="143"/>
              <w:rPr>
                <w:rFonts w:cs="Arial"/>
                <w:szCs w:val="18"/>
              </w:rPr>
            </w:pPr>
            <w:r w:rsidRPr="005911E2">
              <w:rPr>
                <w:rFonts w:cs="Arial"/>
                <w:szCs w:val="18"/>
              </w:rPr>
              <w:t>Convenience store</w:t>
            </w:r>
          </w:p>
        </w:tc>
        <w:tc>
          <w:tcPr>
            <w:tcW w:w="110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620</w:t>
            </w:r>
            <w:r w:rsidR="00CF78DB">
              <w:rPr>
                <w:szCs w:val="18"/>
              </w:rPr>
              <w:t> </w:t>
            </w:r>
            <w:r w:rsidRPr="005911E2">
              <w:rPr>
                <w:szCs w:val="18"/>
              </w:rPr>
              <w:t>198</w:t>
            </w:r>
          </w:p>
        </w:tc>
        <w:tc>
          <w:tcPr>
            <w:tcW w:w="107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12.9</w:t>
            </w:r>
          </w:p>
        </w:tc>
        <w:tc>
          <w:tcPr>
            <w:tcW w:w="121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33.2</w:t>
            </w:r>
          </w:p>
        </w:tc>
        <w:tc>
          <w:tcPr>
            <w:tcW w:w="1071"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30.95</w:t>
            </w:r>
          </w:p>
        </w:tc>
        <w:tc>
          <w:tcPr>
            <w:tcW w:w="992" w:type="dxa"/>
            <w:tcBorders>
              <w:top w:val="nil"/>
              <w:left w:val="nil"/>
              <w:bottom w:val="nil"/>
              <w:right w:val="nil"/>
            </w:tcBorders>
            <w:vAlign w:val="bottom"/>
          </w:tcPr>
          <w:p w:rsidR="001013EC" w:rsidRPr="005911E2" w:rsidRDefault="001013EC" w:rsidP="001013EC">
            <w:pPr>
              <w:pStyle w:val="TableText"/>
              <w:jc w:val="right"/>
              <w:rPr>
                <w:szCs w:val="18"/>
              </w:rPr>
            </w:pPr>
            <w:r w:rsidRPr="005911E2">
              <w:rPr>
                <w:szCs w:val="18"/>
              </w:rPr>
              <w:t>20</w:t>
            </w:r>
          </w:p>
        </w:tc>
        <w:tc>
          <w:tcPr>
            <w:tcW w:w="1176" w:type="dxa"/>
            <w:tcBorders>
              <w:top w:val="nil"/>
              <w:left w:val="nil"/>
              <w:bottom w:val="nil"/>
              <w:right w:val="nil"/>
            </w:tcBorders>
            <w:shd w:val="clear" w:color="auto" w:fill="auto"/>
            <w:noWrap/>
            <w:vAlign w:val="bottom"/>
          </w:tcPr>
          <w:p w:rsidR="001013EC" w:rsidRPr="005911E2" w:rsidRDefault="001013EC" w:rsidP="001013EC">
            <w:pPr>
              <w:pStyle w:val="TableText"/>
              <w:jc w:val="right"/>
              <w:rPr>
                <w:szCs w:val="18"/>
              </w:rPr>
            </w:pPr>
            <w:r w:rsidRPr="005911E2">
              <w:rPr>
                <w:szCs w:val="18"/>
              </w:rPr>
              <w:t>3.7</w:t>
            </w:r>
          </w:p>
        </w:tc>
      </w:tr>
      <w:tr w:rsidR="001013EC" w:rsidRPr="005911E2" w:rsidTr="00351FF6">
        <w:trPr>
          <w:jc w:val="right"/>
        </w:trPr>
        <w:tc>
          <w:tcPr>
            <w:tcW w:w="1986" w:type="dxa"/>
            <w:tcBorders>
              <w:top w:val="nil"/>
              <w:left w:val="nil"/>
              <w:bottom w:val="nil"/>
              <w:right w:val="nil"/>
            </w:tcBorders>
            <w:shd w:val="clear" w:color="auto" w:fill="auto"/>
            <w:noWrap/>
            <w:vAlign w:val="bottom"/>
            <w:hideMark/>
          </w:tcPr>
          <w:p w:rsidR="001013EC" w:rsidRPr="005911E2" w:rsidRDefault="001013EC" w:rsidP="001013EC">
            <w:pPr>
              <w:pStyle w:val="TableText"/>
              <w:ind w:left="143" w:hanging="143"/>
              <w:rPr>
                <w:rFonts w:cs="Arial"/>
                <w:szCs w:val="18"/>
              </w:rPr>
            </w:pPr>
            <w:r w:rsidRPr="005911E2">
              <w:rPr>
                <w:rFonts w:cs="Arial"/>
                <w:szCs w:val="18"/>
              </w:rPr>
              <w:t>Department store</w:t>
            </w:r>
          </w:p>
        </w:tc>
        <w:tc>
          <w:tcPr>
            <w:tcW w:w="110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421</w:t>
            </w:r>
            <w:r w:rsidR="00CF78DB">
              <w:rPr>
                <w:szCs w:val="18"/>
              </w:rPr>
              <w:t> </w:t>
            </w:r>
            <w:r w:rsidRPr="005911E2">
              <w:rPr>
                <w:szCs w:val="18"/>
              </w:rPr>
              <w:t>494</w:t>
            </w:r>
          </w:p>
        </w:tc>
        <w:tc>
          <w:tcPr>
            <w:tcW w:w="107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8.7</w:t>
            </w:r>
          </w:p>
        </w:tc>
        <w:tc>
          <w:tcPr>
            <w:tcW w:w="121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19.6</w:t>
            </w:r>
          </w:p>
        </w:tc>
        <w:tc>
          <w:tcPr>
            <w:tcW w:w="1071"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57.15</w:t>
            </w:r>
          </w:p>
        </w:tc>
        <w:tc>
          <w:tcPr>
            <w:tcW w:w="992" w:type="dxa"/>
            <w:tcBorders>
              <w:top w:val="nil"/>
              <w:left w:val="nil"/>
              <w:bottom w:val="nil"/>
              <w:right w:val="nil"/>
            </w:tcBorders>
            <w:vAlign w:val="bottom"/>
          </w:tcPr>
          <w:p w:rsidR="001013EC" w:rsidRPr="005911E2" w:rsidRDefault="001013EC" w:rsidP="001013EC">
            <w:pPr>
              <w:pStyle w:val="TableText"/>
              <w:jc w:val="right"/>
              <w:rPr>
                <w:szCs w:val="18"/>
              </w:rPr>
            </w:pPr>
            <w:r w:rsidRPr="005911E2">
              <w:rPr>
                <w:szCs w:val="18"/>
              </w:rPr>
              <w:t>35</w:t>
            </w:r>
          </w:p>
        </w:tc>
        <w:tc>
          <w:tcPr>
            <w:tcW w:w="1176" w:type="dxa"/>
            <w:tcBorders>
              <w:top w:val="nil"/>
              <w:left w:val="nil"/>
              <w:bottom w:val="nil"/>
              <w:right w:val="nil"/>
            </w:tcBorders>
            <w:shd w:val="clear" w:color="auto" w:fill="auto"/>
            <w:noWrap/>
            <w:vAlign w:val="bottom"/>
          </w:tcPr>
          <w:p w:rsidR="001013EC" w:rsidRPr="005911E2" w:rsidRDefault="001013EC" w:rsidP="001013EC">
            <w:pPr>
              <w:pStyle w:val="TableText"/>
              <w:jc w:val="right"/>
              <w:rPr>
                <w:szCs w:val="18"/>
              </w:rPr>
            </w:pPr>
            <w:r w:rsidRPr="005911E2">
              <w:rPr>
                <w:szCs w:val="18"/>
              </w:rPr>
              <w:t>2.3</w:t>
            </w:r>
          </w:p>
        </w:tc>
      </w:tr>
      <w:tr w:rsidR="001013EC" w:rsidRPr="005911E2" w:rsidTr="00351FF6">
        <w:trPr>
          <w:jc w:val="right"/>
        </w:trPr>
        <w:tc>
          <w:tcPr>
            <w:tcW w:w="1986" w:type="dxa"/>
            <w:tcBorders>
              <w:top w:val="nil"/>
              <w:left w:val="nil"/>
              <w:bottom w:val="nil"/>
              <w:right w:val="nil"/>
            </w:tcBorders>
            <w:shd w:val="clear" w:color="auto" w:fill="auto"/>
            <w:noWrap/>
            <w:vAlign w:val="bottom"/>
            <w:hideMark/>
          </w:tcPr>
          <w:p w:rsidR="001013EC" w:rsidRPr="005911E2" w:rsidRDefault="001013EC" w:rsidP="001013EC">
            <w:pPr>
              <w:pStyle w:val="TableText"/>
              <w:ind w:left="143" w:hanging="143"/>
              <w:rPr>
                <w:rFonts w:cs="Arial"/>
                <w:szCs w:val="18"/>
              </w:rPr>
            </w:pPr>
            <w:r w:rsidRPr="005911E2">
              <w:rPr>
                <w:rFonts w:cs="Arial"/>
                <w:szCs w:val="18"/>
              </w:rPr>
              <w:t>Petrol station</w:t>
            </w:r>
          </w:p>
        </w:tc>
        <w:tc>
          <w:tcPr>
            <w:tcW w:w="1100" w:type="dxa"/>
            <w:tcBorders>
              <w:top w:val="nil"/>
              <w:left w:val="nil"/>
              <w:bottom w:val="nil"/>
              <w:right w:val="nil"/>
            </w:tcBorders>
            <w:shd w:val="clear" w:color="auto" w:fill="auto"/>
            <w:noWrap/>
            <w:vAlign w:val="bottom"/>
            <w:hideMark/>
          </w:tcPr>
          <w:p w:rsidR="001013EC" w:rsidRPr="005911E2" w:rsidRDefault="001013EC" w:rsidP="000238F6">
            <w:pPr>
              <w:pStyle w:val="TableText"/>
              <w:jc w:val="right"/>
              <w:rPr>
                <w:szCs w:val="18"/>
              </w:rPr>
            </w:pPr>
            <w:r w:rsidRPr="005911E2">
              <w:rPr>
                <w:szCs w:val="18"/>
              </w:rPr>
              <w:t>357</w:t>
            </w:r>
            <w:r w:rsidR="00CF78DB">
              <w:rPr>
                <w:szCs w:val="18"/>
              </w:rPr>
              <w:t> </w:t>
            </w:r>
            <w:r w:rsidRPr="005911E2">
              <w:rPr>
                <w:szCs w:val="18"/>
              </w:rPr>
              <w:t>668</w:t>
            </w:r>
          </w:p>
        </w:tc>
        <w:tc>
          <w:tcPr>
            <w:tcW w:w="107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7.4</w:t>
            </w:r>
          </w:p>
        </w:tc>
        <w:tc>
          <w:tcPr>
            <w:tcW w:w="121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28.3</w:t>
            </w:r>
          </w:p>
        </w:tc>
        <w:tc>
          <w:tcPr>
            <w:tcW w:w="1071"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28.30</w:t>
            </w:r>
          </w:p>
        </w:tc>
        <w:tc>
          <w:tcPr>
            <w:tcW w:w="992" w:type="dxa"/>
            <w:tcBorders>
              <w:top w:val="nil"/>
              <w:left w:val="nil"/>
              <w:bottom w:val="nil"/>
              <w:right w:val="nil"/>
            </w:tcBorders>
            <w:vAlign w:val="bottom"/>
          </w:tcPr>
          <w:p w:rsidR="001013EC" w:rsidRPr="005911E2" w:rsidRDefault="001013EC" w:rsidP="001013EC">
            <w:pPr>
              <w:pStyle w:val="TableText"/>
              <w:jc w:val="right"/>
              <w:rPr>
                <w:szCs w:val="18"/>
              </w:rPr>
            </w:pPr>
            <w:r w:rsidRPr="005911E2">
              <w:rPr>
                <w:szCs w:val="18"/>
              </w:rPr>
              <w:t>20</w:t>
            </w:r>
          </w:p>
        </w:tc>
        <w:tc>
          <w:tcPr>
            <w:tcW w:w="1176" w:type="dxa"/>
            <w:tcBorders>
              <w:top w:val="nil"/>
              <w:left w:val="nil"/>
              <w:bottom w:val="nil"/>
              <w:right w:val="nil"/>
            </w:tcBorders>
            <w:shd w:val="clear" w:color="auto" w:fill="auto"/>
            <w:noWrap/>
            <w:vAlign w:val="bottom"/>
          </w:tcPr>
          <w:p w:rsidR="001013EC" w:rsidRPr="005911E2" w:rsidRDefault="001013EC" w:rsidP="001013EC">
            <w:pPr>
              <w:pStyle w:val="TableText"/>
              <w:jc w:val="right"/>
              <w:rPr>
                <w:szCs w:val="18"/>
              </w:rPr>
            </w:pPr>
            <w:r w:rsidRPr="005911E2">
              <w:rPr>
                <w:szCs w:val="18"/>
              </w:rPr>
              <w:t>2.7</w:t>
            </w:r>
          </w:p>
        </w:tc>
      </w:tr>
      <w:tr w:rsidR="001013EC" w:rsidRPr="005911E2" w:rsidTr="00351FF6">
        <w:trPr>
          <w:jc w:val="right"/>
        </w:trPr>
        <w:tc>
          <w:tcPr>
            <w:tcW w:w="1986" w:type="dxa"/>
            <w:tcBorders>
              <w:top w:val="nil"/>
              <w:left w:val="nil"/>
              <w:bottom w:val="nil"/>
              <w:right w:val="nil"/>
            </w:tcBorders>
            <w:shd w:val="clear" w:color="auto" w:fill="auto"/>
            <w:noWrap/>
            <w:vAlign w:val="bottom"/>
            <w:hideMark/>
          </w:tcPr>
          <w:p w:rsidR="001013EC" w:rsidRPr="005911E2" w:rsidRDefault="001013EC" w:rsidP="001013EC">
            <w:pPr>
              <w:pStyle w:val="TableText"/>
              <w:ind w:left="143" w:hanging="143"/>
              <w:rPr>
                <w:rFonts w:cs="Arial"/>
                <w:szCs w:val="18"/>
              </w:rPr>
            </w:pPr>
            <w:r w:rsidRPr="005911E2">
              <w:rPr>
                <w:rFonts w:cs="Arial"/>
                <w:szCs w:val="18"/>
              </w:rPr>
              <w:t>Clothes store</w:t>
            </w:r>
          </w:p>
        </w:tc>
        <w:tc>
          <w:tcPr>
            <w:tcW w:w="110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133</w:t>
            </w:r>
            <w:r w:rsidR="00CF78DB">
              <w:rPr>
                <w:szCs w:val="18"/>
              </w:rPr>
              <w:t> </w:t>
            </w:r>
            <w:r w:rsidRPr="005911E2">
              <w:rPr>
                <w:szCs w:val="18"/>
              </w:rPr>
              <w:t>295</w:t>
            </w:r>
          </w:p>
        </w:tc>
        <w:tc>
          <w:tcPr>
            <w:tcW w:w="107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2.8</w:t>
            </w:r>
          </w:p>
        </w:tc>
        <w:tc>
          <w:tcPr>
            <w:tcW w:w="121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8.4</w:t>
            </w:r>
          </w:p>
        </w:tc>
        <w:tc>
          <w:tcPr>
            <w:tcW w:w="1071"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62.67</w:t>
            </w:r>
          </w:p>
        </w:tc>
        <w:tc>
          <w:tcPr>
            <w:tcW w:w="992" w:type="dxa"/>
            <w:tcBorders>
              <w:top w:val="nil"/>
              <w:left w:val="nil"/>
              <w:bottom w:val="nil"/>
              <w:right w:val="nil"/>
            </w:tcBorders>
            <w:vAlign w:val="bottom"/>
          </w:tcPr>
          <w:p w:rsidR="001013EC" w:rsidRPr="005911E2" w:rsidRDefault="001013EC" w:rsidP="001013EC">
            <w:pPr>
              <w:pStyle w:val="TableText"/>
              <w:jc w:val="right"/>
              <w:rPr>
                <w:szCs w:val="18"/>
              </w:rPr>
            </w:pPr>
            <w:r w:rsidRPr="005911E2">
              <w:rPr>
                <w:szCs w:val="18"/>
              </w:rPr>
              <w:t>41</w:t>
            </w:r>
          </w:p>
        </w:tc>
        <w:tc>
          <w:tcPr>
            <w:tcW w:w="1176" w:type="dxa"/>
            <w:tcBorders>
              <w:top w:val="nil"/>
              <w:left w:val="nil"/>
              <w:bottom w:val="nil"/>
              <w:right w:val="nil"/>
            </w:tcBorders>
            <w:shd w:val="clear" w:color="auto" w:fill="auto"/>
            <w:noWrap/>
            <w:vAlign w:val="bottom"/>
          </w:tcPr>
          <w:p w:rsidR="001013EC" w:rsidRPr="005911E2" w:rsidRDefault="001013EC" w:rsidP="001013EC">
            <w:pPr>
              <w:pStyle w:val="TableText"/>
              <w:jc w:val="right"/>
              <w:rPr>
                <w:szCs w:val="18"/>
              </w:rPr>
            </w:pPr>
            <w:r w:rsidRPr="005911E2">
              <w:rPr>
                <w:szCs w:val="18"/>
              </w:rPr>
              <w:t>1.5</w:t>
            </w:r>
          </w:p>
        </w:tc>
      </w:tr>
      <w:tr w:rsidR="001013EC" w:rsidRPr="005911E2" w:rsidTr="00351FF6">
        <w:trPr>
          <w:jc w:val="right"/>
        </w:trPr>
        <w:tc>
          <w:tcPr>
            <w:tcW w:w="1986" w:type="dxa"/>
            <w:tcBorders>
              <w:top w:val="nil"/>
              <w:left w:val="nil"/>
              <w:bottom w:val="nil"/>
              <w:right w:val="nil"/>
            </w:tcBorders>
            <w:shd w:val="clear" w:color="auto" w:fill="auto"/>
            <w:noWrap/>
            <w:vAlign w:val="bottom"/>
            <w:hideMark/>
          </w:tcPr>
          <w:p w:rsidR="001013EC" w:rsidRPr="005911E2" w:rsidRDefault="001013EC" w:rsidP="001013EC">
            <w:pPr>
              <w:pStyle w:val="TableText"/>
              <w:ind w:left="143" w:hanging="143"/>
              <w:rPr>
                <w:rFonts w:cs="Arial"/>
                <w:szCs w:val="18"/>
              </w:rPr>
            </w:pPr>
            <w:r w:rsidRPr="005911E2">
              <w:rPr>
                <w:rFonts w:cs="Arial"/>
                <w:szCs w:val="18"/>
              </w:rPr>
              <w:t>Transport</w:t>
            </w:r>
          </w:p>
        </w:tc>
        <w:tc>
          <w:tcPr>
            <w:tcW w:w="110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122</w:t>
            </w:r>
            <w:r w:rsidR="00CF78DB">
              <w:rPr>
                <w:szCs w:val="18"/>
              </w:rPr>
              <w:t> </w:t>
            </w:r>
            <w:r w:rsidRPr="005911E2">
              <w:rPr>
                <w:szCs w:val="18"/>
              </w:rPr>
              <w:t>727</w:t>
            </w:r>
          </w:p>
        </w:tc>
        <w:tc>
          <w:tcPr>
            <w:tcW w:w="107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2.5</w:t>
            </w:r>
          </w:p>
        </w:tc>
        <w:tc>
          <w:tcPr>
            <w:tcW w:w="121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9.6</w:t>
            </w:r>
          </w:p>
        </w:tc>
        <w:tc>
          <w:tcPr>
            <w:tcW w:w="1071"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27.45</w:t>
            </w:r>
          </w:p>
        </w:tc>
        <w:tc>
          <w:tcPr>
            <w:tcW w:w="992" w:type="dxa"/>
            <w:tcBorders>
              <w:top w:val="nil"/>
              <w:left w:val="nil"/>
              <w:bottom w:val="nil"/>
              <w:right w:val="nil"/>
            </w:tcBorders>
            <w:vAlign w:val="bottom"/>
          </w:tcPr>
          <w:p w:rsidR="001013EC" w:rsidRPr="005911E2" w:rsidRDefault="001013EC" w:rsidP="001013EC">
            <w:pPr>
              <w:pStyle w:val="TableText"/>
              <w:jc w:val="right"/>
              <w:rPr>
                <w:szCs w:val="18"/>
              </w:rPr>
            </w:pPr>
            <w:r w:rsidRPr="005911E2">
              <w:rPr>
                <w:szCs w:val="18"/>
              </w:rPr>
              <w:t>15</w:t>
            </w:r>
          </w:p>
        </w:tc>
        <w:tc>
          <w:tcPr>
            <w:tcW w:w="1176" w:type="dxa"/>
            <w:tcBorders>
              <w:top w:val="nil"/>
              <w:left w:val="nil"/>
              <w:bottom w:val="nil"/>
              <w:right w:val="nil"/>
            </w:tcBorders>
            <w:shd w:val="clear" w:color="auto" w:fill="auto"/>
            <w:noWrap/>
            <w:vAlign w:val="bottom"/>
          </w:tcPr>
          <w:p w:rsidR="001013EC" w:rsidRPr="005911E2" w:rsidRDefault="001013EC" w:rsidP="001013EC">
            <w:pPr>
              <w:pStyle w:val="TableText"/>
              <w:jc w:val="right"/>
              <w:rPr>
                <w:szCs w:val="18"/>
              </w:rPr>
            </w:pPr>
            <w:r w:rsidRPr="005911E2">
              <w:rPr>
                <w:szCs w:val="18"/>
              </w:rPr>
              <w:t>2.8</w:t>
            </w:r>
          </w:p>
        </w:tc>
      </w:tr>
      <w:tr w:rsidR="001013EC" w:rsidRPr="005911E2" w:rsidTr="00351FF6">
        <w:trPr>
          <w:jc w:val="right"/>
        </w:trPr>
        <w:tc>
          <w:tcPr>
            <w:tcW w:w="1986" w:type="dxa"/>
            <w:tcBorders>
              <w:top w:val="nil"/>
              <w:left w:val="nil"/>
              <w:bottom w:val="nil"/>
              <w:right w:val="nil"/>
            </w:tcBorders>
            <w:shd w:val="clear" w:color="auto" w:fill="auto"/>
            <w:noWrap/>
            <w:vAlign w:val="bottom"/>
            <w:hideMark/>
          </w:tcPr>
          <w:p w:rsidR="001013EC" w:rsidRPr="005911E2" w:rsidRDefault="001013EC" w:rsidP="001013EC">
            <w:pPr>
              <w:pStyle w:val="TableText"/>
              <w:ind w:left="143" w:hanging="143"/>
              <w:rPr>
                <w:rFonts w:cs="Arial"/>
                <w:szCs w:val="18"/>
              </w:rPr>
            </w:pPr>
            <w:r w:rsidRPr="005911E2">
              <w:rPr>
                <w:rFonts w:cs="Arial"/>
                <w:szCs w:val="18"/>
              </w:rPr>
              <w:t>Butcher</w:t>
            </w:r>
          </w:p>
        </w:tc>
        <w:tc>
          <w:tcPr>
            <w:tcW w:w="110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40</w:t>
            </w:r>
            <w:r w:rsidR="00CF78DB">
              <w:rPr>
                <w:szCs w:val="18"/>
              </w:rPr>
              <w:t> </w:t>
            </w:r>
            <w:r w:rsidRPr="005911E2">
              <w:rPr>
                <w:szCs w:val="18"/>
              </w:rPr>
              <w:t>309</w:t>
            </w:r>
          </w:p>
        </w:tc>
        <w:tc>
          <w:tcPr>
            <w:tcW w:w="107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0.8</w:t>
            </w:r>
          </w:p>
        </w:tc>
        <w:tc>
          <w:tcPr>
            <w:tcW w:w="121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4.3</w:t>
            </w:r>
          </w:p>
        </w:tc>
        <w:tc>
          <w:tcPr>
            <w:tcW w:w="1071"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37.96</w:t>
            </w:r>
          </w:p>
        </w:tc>
        <w:tc>
          <w:tcPr>
            <w:tcW w:w="992" w:type="dxa"/>
            <w:tcBorders>
              <w:top w:val="nil"/>
              <w:left w:val="nil"/>
              <w:bottom w:val="nil"/>
              <w:right w:val="nil"/>
            </w:tcBorders>
            <w:vAlign w:val="bottom"/>
          </w:tcPr>
          <w:p w:rsidR="001013EC" w:rsidRPr="005911E2" w:rsidRDefault="001013EC" w:rsidP="001013EC">
            <w:pPr>
              <w:pStyle w:val="TableText"/>
              <w:jc w:val="right"/>
              <w:rPr>
                <w:szCs w:val="18"/>
              </w:rPr>
            </w:pPr>
            <w:r w:rsidRPr="005911E2">
              <w:rPr>
                <w:szCs w:val="18"/>
              </w:rPr>
              <w:t>23</w:t>
            </w:r>
          </w:p>
        </w:tc>
        <w:tc>
          <w:tcPr>
            <w:tcW w:w="1176" w:type="dxa"/>
            <w:tcBorders>
              <w:top w:val="nil"/>
              <w:left w:val="nil"/>
              <w:bottom w:val="nil"/>
              <w:right w:val="nil"/>
            </w:tcBorders>
            <w:shd w:val="clear" w:color="auto" w:fill="auto"/>
            <w:noWrap/>
            <w:vAlign w:val="bottom"/>
          </w:tcPr>
          <w:p w:rsidR="001013EC" w:rsidRPr="005911E2" w:rsidRDefault="001013EC" w:rsidP="001013EC">
            <w:pPr>
              <w:pStyle w:val="TableText"/>
              <w:jc w:val="right"/>
              <w:rPr>
                <w:szCs w:val="18"/>
              </w:rPr>
            </w:pPr>
            <w:r w:rsidRPr="005911E2">
              <w:rPr>
                <w:szCs w:val="18"/>
              </w:rPr>
              <w:t>1.5</w:t>
            </w:r>
          </w:p>
        </w:tc>
      </w:tr>
      <w:tr w:rsidR="001013EC" w:rsidRPr="005911E2" w:rsidTr="00351FF6">
        <w:trPr>
          <w:jc w:val="right"/>
        </w:trPr>
        <w:tc>
          <w:tcPr>
            <w:tcW w:w="1986" w:type="dxa"/>
            <w:tcBorders>
              <w:top w:val="nil"/>
              <w:left w:val="nil"/>
              <w:bottom w:val="nil"/>
              <w:right w:val="nil"/>
            </w:tcBorders>
            <w:shd w:val="clear" w:color="auto" w:fill="auto"/>
            <w:noWrap/>
            <w:vAlign w:val="bottom"/>
            <w:hideMark/>
          </w:tcPr>
          <w:p w:rsidR="001013EC" w:rsidRPr="005911E2" w:rsidRDefault="001013EC" w:rsidP="001013EC">
            <w:pPr>
              <w:pStyle w:val="TableText"/>
              <w:ind w:left="143" w:hanging="143"/>
              <w:rPr>
                <w:rFonts w:cs="Arial"/>
                <w:szCs w:val="18"/>
              </w:rPr>
            </w:pPr>
            <w:r w:rsidRPr="005911E2">
              <w:rPr>
                <w:rFonts w:cs="Arial"/>
                <w:szCs w:val="18"/>
              </w:rPr>
              <w:t>Secondhand goods</w:t>
            </w:r>
          </w:p>
        </w:tc>
        <w:tc>
          <w:tcPr>
            <w:tcW w:w="110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30</w:t>
            </w:r>
            <w:r w:rsidR="00CF78DB">
              <w:rPr>
                <w:szCs w:val="18"/>
              </w:rPr>
              <w:t> </w:t>
            </w:r>
            <w:r w:rsidRPr="005911E2">
              <w:rPr>
                <w:szCs w:val="18"/>
              </w:rPr>
              <w:t>946</w:t>
            </w:r>
          </w:p>
        </w:tc>
        <w:tc>
          <w:tcPr>
            <w:tcW w:w="107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0.6</w:t>
            </w:r>
          </w:p>
        </w:tc>
        <w:tc>
          <w:tcPr>
            <w:tcW w:w="121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3.7</w:t>
            </w:r>
          </w:p>
        </w:tc>
        <w:tc>
          <w:tcPr>
            <w:tcW w:w="1071"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33.38</w:t>
            </w:r>
          </w:p>
        </w:tc>
        <w:tc>
          <w:tcPr>
            <w:tcW w:w="992" w:type="dxa"/>
            <w:tcBorders>
              <w:top w:val="nil"/>
              <w:left w:val="nil"/>
              <w:bottom w:val="nil"/>
              <w:right w:val="nil"/>
            </w:tcBorders>
            <w:vAlign w:val="bottom"/>
          </w:tcPr>
          <w:p w:rsidR="001013EC" w:rsidRPr="005911E2" w:rsidRDefault="001013EC" w:rsidP="001013EC">
            <w:pPr>
              <w:pStyle w:val="TableText"/>
              <w:jc w:val="right"/>
              <w:rPr>
                <w:szCs w:val="18"/>
              </w:rPr>
            </w:pPr>
            <w:r w:rsidRPr="005911E2">
              <w:rPr>
                <w:szCs w:val="18"/>
              </w:rPr>
              <w:t>16</w:t>
            </w:r>
          </w:p>
        </w:tc>
        <w:tc>
          <w:tcPr>
            <w:tcW w:w="1176" w:type="dxa"/>
            <w:tcBorders>
              <w:top w:val="nil"/>
              <w:left w:val="nil"/>
              <w:bottom w:val="nil"/>
              <w:right w:val="nil"/>
            </w:tcBorders>
            <w:shd w:val="clear" w:color="auto" w:fill="auto"/>
            <w:noWrap/>
            <w:vAlign w:val="bottom"/>
          </w:tcPr>
          <w:p w:rsidR="001013EC" w:rsidRPr="005911E2" w:rsidRDefault="001013EC" w:rsidP="001013EC">
            <w:pPr>
              <w:pStyle w:val="TableText"/>
              <w:jc w:val="right"/>
              <w:rPr>
                <w:szCs w:val="18"/>
              </w:rPr>
            </w:pPr>
            <w:r w:rsidRPr="005911E2">
              <w:rPr>
                <w:szCs w:val="18"/>
              </w:rPr>
              <w:t>1.5</w:t>
            </w:r>
          </w:p>
        </w:tc>
      </w:tr>
      <w:tr w:rsidR="001013EC" w:rsidRPr="005911E2" w:rsidTr="00351FF6">
        <w:trPr>
          <w:jc w:val="right"/>
        </w:trPr>
        <w:tc>
          <w:tcPr>
            <w:tcW w:w="1986" w:type="dxa"/>
            <w:tcBorders>
              <w:top w:val="nil"/>
              <w:left w:val="nil"/>
              <w:bottom w:val="nil"/>
              <w:right w:val="nil"/>
            </w:tcBorders>
            <w:shd w:val="clear" w:color="auto" w:fill="auto"/>
            <w:noWrap/>
            <w:vAlign w:val="bottom"/>
            <w:hideMark/>
          </w:tcPr>
          <w:p w:rsidR="001013EC" w:rsidRPr="005911E2" w:rsidRDefault="001013EC" w:rsidP="001013EC">
            <w:pPr>
              <w:pStyle w:val="TableText"/>
              <w:ind w:left="143" w:hanging="143"/>
              <w:rPr>
                <w:rFonts w:cs="Arial"/>
                <w:szCs w:val="18"/>
              </w:rPr>
            </w:pPr>
            <w:r w:rsidRPr="005911E2">
              <w:rPr>
                <w:rFonts w:cs="Arial"/>
                <w:szCs w:val="18"/>
              </w:rPr>
              <w:t>Hardware store</w:t>
            </w:r>
          </w:p>
        </w:tc>
        <w:tc>
          <w:tcPr>
            <w:tcW w:w="110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29</w:t>
            </w:r>
            <w:r w:rsidR="00CF78DB">
              <w:rPr>
                <w:szCs w:val="18"/>
              </w:rPr>
              <w:t> </w:t>
            </w:r>
            <w:r w:rsidRPr="005911E2">
              <w:rPr>
                <w:szCs w:val="18"/>
              </w:rPr>
              <w:t>712</w:t>
            </w:r>
          </w:p>
        </w:tc>
        <w:tc>
          <w:tcPr>
            <w:tcW w:w="107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0.6</w:t>
            </w:r>
          </w:p>
        </w:tc>
        <w:tc>
          <w:tcPr>
            <w:tcW w:w="121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1.7</w:t>
            </w:r>
          </w:p>
        </w:tc>
        <w:tc>
          <w:tcPr>
            <w:tcW w:w="1071"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34.79</w:t>
            </w:r>
          </w:p>
        </w:tc>
        <w:tc>
          <w:tcPr>
            <w:tcW w:w="992" w:type="dxa"/>
            <w:tcBorders>
              <w:top w:val="nil"/>
              <w:left w:val="nil"/>
              <w:bottom w:val="nil"/>
              <w:right w:val="nil"/>
            </w:tcBorders>
            <w:vAlign w:val="bottom"/>
          </w:tcPr>
          <w:p w:rsidR="001013EC" w:rsidRPr="005911E2" w:rsidRDefault="001013EC" w:rsidP="001013EC">
            <w:pPr>
              <w:pStyle w:val="TableText"/>
              <w:jc w:val="right"/>
              <w:rPr>
                <w:szCs w:val="18"/>
              </w:rPr>
            </w:pPr>
            <w:r w:rsidRPr="005911E2">
              <w:rPr>
                <w:szCs w:val="18"/>
              </w:rPr>
              <w:t>21</w:t>
            </w:r>
          </w:p>
        </w:tc>
        <w:tc>
          <w:tcPr>
            <w:tcW w:w="1176" w:type="dxa"/>
            <w:tcBorders>
              <w:top w:val="nil"/>
              <w:left w:val="nil"/>
              <w:bottom w:val="nil"/>
              <w:right w:val="nil"/>
            </w:tcBorders>
            <w:shd w:val="clear" w:color="auto" w:fill="auto"/>
            <w:noWrap/>
            <w:vAlign w:val="bottom"/>
          </w:tcPr>
          <w:p w:rsidR="001013EC" w:rsidRPr="005911E2" w:rsidRDefault="001013EC" w:rsidP="001013EC">
            <w:pPr>
              <w:pStyle w:val="TableText"/>
              <w:jc w:val="right"/>
              <w:rPr>
                <w:szCs w:val="18"/>
              </w:rPr>
            </w:pPr>
            <w:r w:rsidRPr="005911E2">
              <w:rPr>
                <w:szCs w:val="18"/>
              </w:rPr>
              <w:t>3.1</w:t>
            </w:r>
          </w:p>
        </w:tc>
      </w:tr>
      <w:tr w:rsidR="001013EC" w:rsidRPr="005911E2" w:rsidTr="00351FF6">
        <w:trPr>
          <w:jc w:val="right"/>
        </w:trPr>
        <w:tc>
          <w:tcPr>
            <w:tcW w:w="1986" w:type="dxa"/>
            <w:tcBorders>
              <w:top w:val="nil"/>
              <w:left w:val="nil"/>
              <w:bottom w:val="nil"/>
              <w:right w:val="nil"/>
            </w:tcBorders>
            <w:shd w:val="clear" w:color="auto" w:fill="auto"/>
            <w:noWrap/>
            <w:vAlign w:val="bottom"/>
            <w:hideMark/>
          </w:tcPr>
          <w:p w:rsidR="001013EC" w:rsidRPr="005911E2" w:rsidRDefault="001013EC" w:rsidP="001013EC">
            <w:pPr>
              <w:pStyle w:val="TableText"/>
              <w:ind w:left="143" w:hanging="143"/>
              <w:rPr>
                <w:rFonts w:cs="Arial"/>
                <w:szCs w:val="18"/>
              </w:rPr>
            </w:pPr>
            <w:r w:rsidRPr="005911E2">
              <w:rPr>
                <w:rFonts w:cs="Arial"/>
                <w:szCs w:val="18"/>
              </w:rPr>
              <w:t>Automotive Repairs</w:t>
            </w:r>
          </w:p>
        </w:tc>
        <w:tc>
          <w:tcPr>
            <w:tcW w:w="110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21</w:t>
            </w:r>
            <w:r w:rsidR="00CF78DB">
              <w:rPr>
                <w:szCs w:val="18"/>
              </w:rPr>
              <w:t> </w:t>
            </w:r>
            <w:r w:rsidRPr="005911E2">
              <w:rPr>
                <w:szCs w:val="18"/>
              </w:rPr>
              <w:t>256</w:t>
            </w:r>
          </w:p>
        </w:tc>
        <w:tc>
          <w:tcPr>
            <w:tcW w:w="107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0.4</w:t>
            </w:r>
          </w:p>
        </w:tc>
        <w:tc>
          <w:tcPr>
            <w:tcW w:w="121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1.0</w:t>
            </w:r>
          </w:p>
        </w:tc>
        <w:tc>
          <w:tcPr>
            <w:tcW w:w="1071"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109.57</w:t>
            </w:r>
          </w:p>
        </w:tc>
        <w:tc>
          <w:tcPr>
            <w:tcW w:w="992" w:type="dxa"/>
            <w:tcBorders>
              <w:top w:val="nil"/>
              <w:left w:val="nil"/>
              <w:bottom w:val="nil"/>
              <w:right w:val="nil"/>
            </w:tcBorders>
            <w:vAlign w:val="bottom"/>
          </w:tcPr>
          <w:p w:rsidR="001013EC" w:rsidRPr="005911E2" w:rsidRDefault="001013EC" w:rsidP="001013EC">
            <w:pPr>
              <w:pStyle w:val="TableText"/>
              <w:jc w:val="right"/>
              <w:rPr>
                <w:szCs w:val="18"/>
              </w:rPr>
            </w:pPr>
            <w:r w:rsidRPr="005911E2">
              <w:rPr>
                <w:szCs w:val="18"/>
              </w:rPr>
              <w:t>69</w:t>
            </w:r>
          </w:p>
        </w:tc>
        <w:tc>
          <w:tcPr>
            <w:tcW w:w="1176" w:type="dxa"/>
            <w:tcBorders>
              <w:top w:val="nil"/>
              <w:left w:val="nil"/>
              <w:bottom w:val="nil"/>
              <w:right w:val="nil"/>
            </w:tcBorders>
            <w:shd w:val="clear" w:color="auto" w:fill="auto"/>
            <w:noWrap/>
            <w:vAlign w:val="bottom"/>
          </w:tcPr>
          <w:p w:rsidR="001013EC" w:rsidRPr="005911E2" w:rsidRDefault="001013EC" w:rsidP="001013EC">
            <w:pPr>
              <w:pStyle w:val="TableText"/>
              <w:jc w:val="right"/>
              <w:rPr>
                <w:szCs w:val="18"/>
              </w:rPr>
            </w:pPr>
            <w:r w:rsidRPr="005911E2">
              <w:rPr>
                <w:szCs w:val="18"/>
              </w:rPr>
              <w:t>1.2</w:t>
            </w:r>
          </w:p>
        </w:tc>
      </w:tr>
      <w:tr w:rsidR="001013EC" w:rsidRPr="005911E2" w:rsidTr="00351FF6">
        <w:trPr>
          <w:jc w:val="right"/>
        </w:trPr>
        <w:tc>
          <w:tcPr>
            <w:tcW w:w="1986" w:type="dxa"/>
            <w:tcBorders>
              <w:top w:val="nil"/>
              <w:left w:val="nil"/>
              <w:bottom w:val="nil"/>
              <w:right w:val="nil"/>
            </w:tcBorders>
            <w:shd w:val="clear" w:color="auto" w:fill="auto"/>
            <w:noWrap/>
            <w:vAlign w:val="bottom"/>
            <w:hideMark/>
          </w:tcPr>
          <w:p w:rsidR="001013EC" w:rsidRPr="005911E2" w:rsidRDefault="001013EC" w:rsidP="001013EC">
            <w:pPr>
              <w:pStyle w:val="TableText"/>
              <w:ind w:left="143" w:hanging="143"/>
              <w:rPr>
                <w:rFonts w:cs="Arial"/>
                <w:szCs w:val="18"/>
              </w:rPr>
            </w:pPr>
            <w:r w:rsidRPr="005911E2">
              <w:rPr>
                <w:rFonts w:cs="Arial"/>
                <w:szCs w:val="18"/>
              </w:rPr>
              <w:t>Chemist/pharmacy</w:t>
            </w:r>
          </w:p>
        </w:tc>
        <w:tc>
          <w:tcPr>
            <w:tcW w:w="110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20</w:t>
            </w:r>
            <w:r w:rsidR="00CF78DB">
              <w:rPr>
                <w:szCs w:val="18"/>
              </w:rPr>
              <w:t> </w:t>
            </w:r>
            <w:r w:rsidRPr="005911E2">
              <w:rPr>
                <w:szCs w:val="18"/>
              </w:rPr>
              <w:t>091</w:t>
            </w:r>
          </w:p>
        </w:tc>
        <w:tc>
          <w:tcPr>
            <w:tcW w:w="107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0.4</w:t>
            </w:r>
          </w:p>
        </w:tc>
        <w:tc>
          <w:tcPr>
            <w:tcW w:w="121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3.9</w:t>
            </w:r>
          </w:p>
        </w:tc>
        <w:tc>
          <w:tcPr>
            <w:tcW w:w="1071"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23.78</w:t>
            </w:r>
          </w:p>
        </w:tc>
        <w:tc>
          <w:tcPr>
            <w:tcW w:w="992" w:type="dxa"/>
            <w:tcBorders>
              <w:top w:val="nil"/>
              <w:left w:val="nil"/>
              <w:bottom w:val="nil"/>
              <w:right w:val="nil"/>
            </w:tcBorders>
            <w:vAlign w:val="bottom"/>
          </w:tcPr>
          <w:p w:rsidR="001013EC" w:rsidRPr="005911E2" w:rsidRDefault="001013EC" w:rsidP="001013EC">
            <w:pPr>
              <w:pStyle w:val="TableText"/>
              <w:jc w:val="right"/>
              <w:rPr>
                <w:szCs w:val="18"/>
              </w:rPr>
            </w:pPr>
            <w:r w:rsidRPr="005911E2">
              <w:rPr>
                <w:szCs w:val="18"/>
              </w:rPr>
              <w:t>16</w:t>
            </w:r>
          </w:p>
        </w:tc>
        <w:tc>
          <w:tcPr>
            <w:tcW w:w="1176" w:type="dxa"/>
            <w:tcBorders>
              <w:top w:val="nil"/>
              <w:left w:val="nil"/>
              <w:bottom w:val="nil"/>
              <w:right w:val="nil"/>
            </w:tcBorders>
            <w:shd w:val="clear" w:color="auto" w:fill="auto"/>
            <w:noWrap/>
            <w:vAlign w:val="bottom"/>
          </w:tcPr>
          <w:p w:rsidR="001013EC" w:rsidRPr="005911E2" w:rsidRDefault="001013EC" w:rsidP="001013EC">
            <w:pPr>
              <w:pStyle w:val="TableText"/>
              <w:jc w:val="right"/>
              <w:rPr>
                <w:szCs w:val="18"/>
              </w:rPr>
            </w:pPr>
            <w:r w:rsidRPr="005911E2">
              <w:rPr>
                <w:szCs w:val="18"/>
              </w:rPr>
              <w:t>1.3</w:t>
            </w:r>
          </w:p>
        </w:tc>
      </w:tr>
      <w:tr w:rsidR="001013EC" w:rsidRPr="005911E2" w:rsidTr="00351FF6">
        <w:trPr>
          <w:jc w:val="right"/>
        </w:trPr>
        <w:tc>
          <w:tcPr>
            <w:tcW w:w="1986" w:type="dxa"/>
            <w:tcBorders>
              <w:top w:val="nil"/>
              <w:left w:val="nil"/>
              <w:bottom w:val="nil"/>
              <w:right w:val="nil"/>
            </w:tcBorders>
            <w:shd w:val="clear" w:color="auto" w:fill="auto"/>
            <w:noWrap/>
            <w:vAlign w:val="bottom"/>
            <w:hideMark/>
          </w:tcPr>
          <w:p w:rsidR="001013EC" w:rsidRPr="005911E2" w:rsidRDefault="001013EC" w:rsidP="001013EC">
            <w:pPr>
              <w:pStyle w:val="TableText"/>
              <w:ind w:left="143" w:hanging="143"/>
              <w:rPr>
                <w:rFonts w:cs="Arial"/>
                <w:szCs w:val="18"/>
              </w:rPr>
            </w:pPr>
            <w:r w:rsidRPr="005911E2">
              <w:rPr>
                <w:rFonts w:cs="Arial"/>
                <w:szCs w:val="18"/>
              </w:rPr>
              <w:t>Discount store</w:t>
            </w:r>
          </w:p>
        </w:tc>
        <w:tc>
          <w:tcPr>
            <w:tcW w:w="110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19</w:t>
            </w:r>
            <w:r w:rsidR="00CF78DB">
              <w:rPr>
                <w:szCs w:val="18"/>
              </w:rPr>
              <w:t> </w:t>
            </w:r>
            <w:r w:rsidRPr="005911E2">
              <w:rPr>
                <w:szCs w:val="18"/>
              </w:rPr>
              <w:t>601</w:t>
            </w:r>
          </w:p>
        </w:tc>
        <w:tc>
          <w:tcPr>
            <w:tcW w:w="107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0.4</w:t>
            </w:r>
          </w:p>
        </w:tc>
        <w:tc>
          <w:tcPr>
            <w:tcW w:w="121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3.4</w:t>
            </w:r>
          </w:p>
        </w:tc>
        <w:tc>
          <w:tcPr>
            <w:tcW w:w="1071"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27.00</w:t>
            </w:r>
          </w:p>
        </w:tc>
        <w:tc>
          <w:tcPr>
            <w:tcW w:w="992" w:type="dxa"/>
            <w:tcBorders>
              <w:top w:val="nil"/>
              <w:left w:val="nil"/>
              <w:bottom w:val="nil"/>
              <w:right w:val="nil"/>
            </w:tcBorders>
            <w:vAlign w:val="bottom"/>
          </w:tcPr>
          <w:p w:rsidR="001013EC" w:rsidRPr="005911E2" w:rsidRDefault="001013EC" w:rsidP="001013EC">
            <w:pPr>
              <w:pStyle w:val="TableText"/>
              <w:jc w:val="right"/>
              <w:rPr>
                <w:szCs w:val="18"/>
              </w:rPr>
            </w:pPr>
            <w:r w:rsidRPr="005911E2">
              <w:rPr>
                <w:szCs w:val="18"/>
              </w:rPr>
              <w:t>17</w:t>
            </w:r>
          </w:p>
        </w:tc>
        <w:tc>
          <w:tcPr>
            <w:tcW w:w="1176" w:type="dxa"/>
            <w:tcBorders>
              <w:top w:val="nil"/>
              <w:left w:val="nil"/>
              <w:bottom w:val="nil"/>
              <w:right w:val="nil"/>
            </w:tcBorders>
            <w:shd w:val="clear" w:color="auto" w:fill="auto"/>
            <w:noWrap/>
            <w:vAlign w:val="bottom"/>
          </w:tcPr>
          <w:p w:rsidR="001013EC" w:rsidRPr="005911E2" w:rsidRDefault="001013EC" w:rsidP="001013EC">
            <w:pPr>
              <w:pStyle w:val="TableText"/>
              <w:jc w:val="right"/>
              <w:rPr>
                <w:szCs w:val="18"/>
              </w:rPr>
            </w:pPr>
            <w:r w:rsidRPr="005911E2">
              <w:rPr>
                <w:szCs w:val="18"/>
              </w:rPr>
              <w:t>1.3</w:t>
            </w:r>
          </w:p>
        </w:tc>
      </w:tr>
      <w:tr w:rsidR="001013EC" w:rsidRPr="005911E2" w:rsidTr="00351FF6">
        <w:trPr>
          <w:jc w:val="right"/>
        </w:trPr>
        <w:tc>
          <w:tcPr>
            <w:tcW w:w="1986" w:type="dxa"/>
            <w:tcBorders>
              <w:top w:val="nil"/>
              <w:left w:val="nil"/>
              <w:bottom w:val="nil"/>
              <w:right w:val="nil"/>
            </w:tcBorders>
            <w:shd w:val="clear" w:color="auto" w:fill="auto"/>
            <w:noWrap/>
            <w:vAlign w:val="bottom"/>
            <w:hideMark/>
          </w:tcPr>
          <w:p w:rsidR="001013EC" w:rsidRPr="005911E2" w:rsidRDefault="001013EC" w:rsidP="001013EC">
            <w:pPr>
              <w:pStyle w:val="TableText"/>
              <w:ind w:left="143" w:hanging="143"/>
              <w:rPr>
                <w:rFonts w:cs="Arial"/>
                <w:szCs w:val="18"/>
              </w:rPr>
            </w:pPr>
            <w:r w:rsidRPr="005911E2">
              <w:rPr>
                <w:rFonts w:cs="Arial"/>
                <w:szCs w:val="18"/>
              </w:rPr>
              <w:t>Short term Accommodation</w:t>
            </w:r>
          </w:p>
        </w:tc>
        <w:tc>
          <w:tcPr>
            <w:tcW w:w="110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12</w:t>
            </w:r>
            <w:r w:rsidR="00CF78DB">
              <w:rPr>
                <w:szCs w:val="18"/>
              </w:rPr>
              <w:t> </w:t>
            </w:r>
            <w:r w:rsidRPr="005911E2">
              <w:rPr>
                <w:szCs w:val="18"/>
              </w:rPr>
              <w:t>226</w:t>
            </w:r>
          </w:p>
        </w:tc>
        <w:tc>
          <w:tcPr>
            <w:tcW w:w="107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0.3</w:t>
            </w:r>
          </w:p>
        </w:tc>
        <w:tc>
          <w:tcPr>
            <w:tcW w:w="121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0.6</w:t>
            </w:r>
          </w:p>
        </w:tc>
        <w:tc>
          <w:tcPr>
            <w:tcW w:w="1071"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97.03</w:t>
            </w:r>
          </w:p>
        </w:tc>
        <w:tc>
          <w:tcPr>
            <w:tcW w:w="992" w:type="dxa"/>
            <w:tcBorders>
              <w:top w:val="nil"/>
              <w:left w:val="nil"/>
              <w:bottom w:val="nil"/>
              <w:right w:val="nil"/>
            </w:tcBorders>
            <w:vAlign w:val="bottom"/>
          </w:tcPr>
          <w:p w:rsidR="001013EC" w:rsidRPr="005911E2" w:rsidRDefault="001013EC" w:rsidP="001013EC">
            <w:pPr>
              <w:pStyle w:val="TableText"/>
              <w:jc w:val="right"/>
              <w:rPr>
                <w:szCs w:val="18"/>
              </w:rPr>
            </w:pPr>
            <w:r w:rsidRPr="005911E2">
              <w:rPr>
                <w:szCs w:val="18"/>
              </w:rPr>
              <w:t>56</w:t>
            </w:r>
          </w:p>
        </w:tc>
        <w:tc>
          <w:tcPr>
            <w:tcW w:w="1176" w:type="dxa"/>
            <w:tcBorders>
              <w:top w:val="nil"/>
              <w:left w:val="nil"/>
              <w:bottom w:val="nil"/>
              <w:right w:val="nil"/>
            </w:tcBorders>
            <w:shd w:val="clear" w:color="auto" w:fill="auto"/>
            <w:noWrap/>
            <w:vAlign w:val="bottom"/>
          </w:tcPr>
          <w:p w:rsidR="001013EC" w:rsidRPr="005911E2" w:rsidRDefault="001013EC" w:rsidP="001013EC">
            <w:pPr>
              <w:pStyle w:val="TableText"/>
              <w:jc w:val="right"/>
              <w:rPr>
                <w:szCs w:val="18"/>
              </w:rPr>
            </w:pPr>
            <w:r w:rsidRPr="005911E2">
              <w:rPr>
                <w:szCs w:val="18"/>
              </w:rPr>
              <w:t>1.4</w:t>
            </w:r>
          </w:p>
        </w:tc>
      </w:tr>
      <w:tr w:rsidR="001013EC" w:rsidRPr="005911E2" w:rsidTr="00351FF6">
        <w:trPr>
          <w:jc w:val="right"/>
        </w:trPr>
        <w:tc>
          <w:tcPr>
            <w:tcW w:w="1986" w:type="dxa"/>
            <w:tcBorders>
              <w:top w:val="nil"/>
              <w:left w:val="nil"/>
              <w:bottom w:val="nil"/>
              <w:right w:val="nil"/>
            </w:tcBorders>
            <w:shd w:val="clear" w:color="auto" w:fill="auto"/>
            <w:noWrap/>
            <w:vAlign w:val="bottom"/>
            <w:hideMark/>
          </w:tcPr>
          <w:p w:rsidR="001013EC" w:rsidRPr="005911E2" w:rsidRDefault="001013EC" w:rsidP="001013EC">
            <w:pPr>
              <w:pStyle w:val="TableText"/>
              <w:ind w:left="143" w:hanging="143"/>
              <w:rPr>
                <w:rFonts w:cs="Arial"/>
                <w:szCs w:val="18"/>
              </w:rPr>
            </w:pPr>
            <w:r w:rsidRPr="005911E2">
              <w:rPr>
                <w:rFonts w:cs="Arial"/>
                <w:szCs w:val="18"/>
              </w:rPr>
              <w:t>Newsagent</w:t>
            </w:r>
          </w:p>
        </w:tc>
        <w:tc>
          <w:tcPr>
            <w:tcW w:w="110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11</w:t>
            </w:r>
            <w:r w:rsidR="00CF78DB">
              <w:rPr>
                <w:szCs w:val="18"/>
              </w:rPr>
              <w:t> </w:t>
            </w:r>
            <w:r w:rsidRPr="005911E2">
              <w:rPr>
                <w:szCs w:val="18"/>
              </w:rPr>
              <w:t>744</w:t>
            </w:r>
          </w:p>
        </w:tc>
        <w:tc>
          <w:tcPr>
            <w:tcW w:w="107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0.2</w:t>
            </w:r>
          </w:p>
        </w:tc>
        <w:tc>
          <w:tcPr>
            <w:tcW w:w="121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1.3</w:t>
            </w:r>
          </w:p>
        </w:tc>
        <w:tc>
          <w:tcPr>
            <w:tcW w:w="1071"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40.64</w:t>
            </w:r>
          </w:p>
        </w:tc>
        <w:tc>
          <w:tcPr>
            <w:tcW w:w="992" w:type="dxa"/>
            <w:tcBorders>
              <w:top w:val="nil"/>
              <w:left w:val="nil"/>
              <w:bottom w:val="nil"/>
              <w:right w:val="nil"/>
            </w:tcBorders>
            <w:vAlign w:val="bottom"/>
          </w:tcPr>
          <w:p w:rsidR="001013EC" w:rsidRPr="005911E2" w:rsidRDefault="001013EC" w:rsidP="001013EC">
            <w:pPr>
              <w:pStyle w:val="TableText"/>
              <w:jc w:val="right"/>
              <w:rPr>
                <w:szCs w:val="18"/>
              </w:rPr>
            </w:pPr>
            <w:r w:rsidRPr="005911E2">
              <w:rPr>
                <w:szCs w:val="18"/>
              </w:rPr>
              <w:t>30</w:t>
            </w:r>
          </w:p>
        </w:tc>
        <w:tc>
          <w:tcPr>
            <w:tcW w:w="1176" w:type="dxa"/>
            <w:tcBorders>
              <w:top w:val="nil"/>
              <w:left w:val="nil"/>
              <w:bottom w:val="nil"/>
              <w:right w:val="nil"/>
            </w:tcBorders>
            <w:shd w:val="clear" w:color="auto" w:fill="auto"/>
            <w:noWrap/>
            <w:vAlign w:val="bottom"/>
          </w:tcPr>
          <w:p w:rsidR="001013EC" w:rsidRPr="005911E2" w:rsidRDefault="001013EC" w:rsidP="001013EC">
            <w:pPr>
              <w:pStyle w:val="TableText"/>
              <w:jc w:val="right"/>
              <w:rPr>
                <w:szCs w:val="18"/>
              </w:rPr>
            </w:pPr>
            <w:r w:rsidRPr="005911E2">
              <w:rPr>
                <w:szCs w:val="18"/>
              </w:rPr>
              <w:t>1.4</w:t>
            </w:r>
          </w:p>
        </w:tc>
      </w:tr>
      <w:tr w:rsidR="001013EC" w:rsidRPr="005911E2" w:rsidTr="00351FF6">
        <w:trPr>
          <w:jc w:val="right"/>
        </w:trPr>
        <w:tc>
          <w:tcPr>
            <w:tcW w:w="1986" w:type="dxa"/>
            <w:tcBorders>
              <w:top w:val="nil"/>
              <w:left w:val="nil"/>
              <w:bottom w:val="nil"/>
              <w:right w:val="nil"/>
            </w:tcBorders>
            <w:shd w:val="clear" w:color="auto" w:fill="auto"/>
            <w:noWrap/>
            <w:vAlign w:val="bottom"/>
            <w:hideMark/>
          </w:tcPr>
          <w:p w:rsidR="001013EC" w:rsidRPr="005911E2" w:rsidRDefault="001013EC" w:rsidP="001013EC">
            <w:pPr>
              <w:pStyle w:val="TableText"/>
              <w:ind w:left="143" w:hanging="143"/>
              <w:rPr>
                <w:rFonts w:cs="Arial"/>
                <w:szCs w:val="18"/>
              </w:rPr>
            </w:pPr>
            <w:r w:rsidRPr="005911E2">
              <w:rPr>
                <w:rFonts w:cs="Arial"/>
                <w:szCs w:val="18"/>
              </w:rPr>
              <w:t>Bakery</w:t>
            </w:r>
          </w:p>
        </w:tc>
        <w:tc>
          <w:tcPr>
            <w:tcW w:w="110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10</w:t>
            </w:r>
            <w:r w:rsidR="00CF78DB">
              <w:rPr>
                <w:szCs w:val="18"/>
              </w:rPr>
              <w:t> </w:t>
            </w:r>
            <w:r w:rsidRPr="005911E2">
              <w:rPr>
                <w:szCs w:val="18"/>
              </w:rPr>
              <w:t>716</w:t>
            </w:r>
          </w:p>
        </w:tc>
        <w:tc>
          <w:tcPr>
            <w:tcW w:w="107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0.2</w:t>
            </w:r>
          </w:p>
        </w:tc>
        <w:tc>
          <w:tcPr>
            <w:tcW w:w="121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1.2</w:t>
            </w:r>
          </w:p>
        </w:tc>
        <w:tc>
          <w:tcPr>
            <w:tcW w:w="1071"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24.64</w:t>
            </w:r>
          </w:p>
        </w:tc>
        <w:tc>
          <w:tcPr>
            <w:tcW w:w="992" w:type="dxa"/>
            <w:tcBorders>
              <w:top w:val="nil"/>
              <w:left w:val="nil"/>
              <w:bottom w:val="nil"/>
              <w:right w:val="nil"/>
            </w:tcBorders>
            <w:vAlign w:val="bottom"/>
          </w:tcPr>
          <w:p w:rsidR="001013EC" w:rsidRPr="005911E2" w:rsidRDefault="001013EC" w:rsidP="001013EC">
            <w:pPr>
              <w:pStyle w:val="TableText"/>
              <w:jc w:val="right"/>
              <w:rPr>
                <w:szCs w:val="18"/>
              </w:rPr>
            </w:pPr>
            <w:r w:rsidRPr="005911E2">
              <w:rPr>
                <w:szCs w:val="18"/>
              </w:rPr>
              <w:t>18</w:t>
            </w:r>
          </w:p>
        </w:tc>
        <w:tc>
          <w:tcPr>
            <w:tcW w:w="1176" w:type="dxa"/>
            <w:tcBorders>
              <w:top w:val="nil"/>
              <w:left w:val="nil"/>
              <w:bottom w:val="nil"/>
              <w:right w:val="nil"/>
            </w:tcBorders>
            <w:shd w:val="clear" w:color="auto" w:fill="auto"/>
            <w:noWrap/>
            <w:vAlign w:val="bottom"/>
          </w:tcPr>
          <w:p w:rsidR="001013EC" w:rsidRPr="005911E2" w:rsidRDefault="001013EC" w:rsidP="001013EC">
            <w:pPr>
              <w:pStyle w:val="TableText"/>
              <w:jc w:val="right"/>
              <w:rPr>
                <w:szCs w:val="18"/>
              </w:rPr>
            </w:pPr>
            <w:r w:rsidRPr="005911E2">
              <w:rPr>
                <w:szCs w:val="18"/>
              </w:rPr>
              <w:t>2.3</w:t>
            </w:r>
          </w:p>
        </w:tc>
      </w:tr>
      <w:tr w:rsidR="001013EC" w:rsidRPr="005911E2" w:rsidTr="00351FF6">
        <w:trPr>
          <w:jc w:val="right"/>
        </w:trPr>
        <w:tc>
          <w:tcPr>
            <w:tcW w:w="1986" w:type="dxa"/>
            <w:tcBorders>
              <w:top w:val="nil"/>
              <w:left w:val="nil"/>
              <w:bottom w:val="nil"/>
              <w:right w:val="nil"/>
            </w:tcBorders>
            <w:shd w:val="clear" w:color="auto" w:fill="auto"/>
            <w:noWrap/>
            <w:vAlign w:val="bottom"/>
            <w:hideMark/>
          </w:tcPr>
          <w:p w:rsidR="001013EC" w:rsidRPr="005911E2" w:rsidRDefault="001013EC" w:rsidP="001013EC">
            <w:pPr>
              <w:pStyle w:val="TableText"/>
              <w:ind w:left="143" w:hanging="143"/>
              <w:rPr>
                <w:rFonts w:cs="Arial"/>
                <w:szCs w:val="18"/>
              </w:rPr>
            </w:pPr>
            <w:r w:rsidRPr="005911E2">
              <w:rPr>
                <w:rFonts w:cs="Arial"/>
                <w:szCs w:val="18"/>
              </w:rPr>
              <w:t>Medical service</w:t>
            </w:r>
          </w:p>
        </w:tc>
        <w:tc>
          <w:tcPr>
            <w:tcW w:w="110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8</w:t>
            </w:r>
            <w:r w:rsidR="00CF78DB">
              <w:rPr>
                <w:szCs w:val="18"/>
              </w:rPr>
              <w:t> </w:t>
            </w:r>
            <w:r w:rsidRPr="005911E2">
              <w:rPr>
                <w:szCs w:val="18"/>
              </w:rPr>
              <w:t>760</w:t>
            </w:r>
          </w:p>
        </w:tc>
        <w:tc>
          <w:tcPr>
            <w:tcW w:w="107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0.2</w:t>
            </w:r>
          </w:p>
        </w:tc>
        <w:tc>
          <w:tcPr>
            <w:tcW w:w="121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0.8</w:t>
            </w:r>
          </w:p>
        </w:tc>
        <w:tc>
          <w:tcPr>
            <w:tcW w:w="1071"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41.52</w:t>
            </w:r>
          </w:p>
        </w:tc>
        <w:tc>
          <w:tcPr>
            <w:tcW w:w="992" w:type="dxa"/>
            <w:tcBorders>
              <w:top w:val="nil"/>
              <w:left w:val="nil"/>
              <w:bottom w:val="nil"/>
              <w:right w:val="nil"/>
            </w:tcBorders>
            <w:vAlign w:val="bottom"/>
          </w:tcPr>
          <w:p w:rsidR="001013EC" w:rsidRPr="005911E2" w:rsidRDefault="001013EC" w:rsidP="001013EC">
            <w:pPr>
              <w:pStyle w:val="TableText"/>
              <w:jc w:val="right"/>
              <w:rPr>
                <w:szCs w:val="18"/>
              </w:rPr>
            </w:pPr>
            <w:r w:rsidRPr="005911E2">
              <w:rPr>
                <w:szCs w:val="18"/>
              </w:rPr>
              <w:t>30</w:t>
            </w:r>
          </w:p>
        </w:tc>
        <w:tc>
          <w:tcPr>
            <w:tcW w:w="1176" w:type="dxa"/>
            <w:tcBorders>
              <w:top w:val="nil"/>
              <w:left w:val="nil"/>
              <w:bottom w:val="nil"/>
              <w:right w:val="nil"/>
            </w:tcBorders>
            <w:shd w:val="clear" w:color="auto" w:fill="auto"/>
            <w:noWrap/>
            <w:vAlign w:val="bottom"/>
          </w:tcPr>
          <w:p w:rsidR="001013EC" w:rsidRPr="005911E2" w:rsidRDefault="001013EC" w:rsidP="001013EC">
            <w:pPr>
              <w:pStyle w:val="TableText"/>
              <w:jc w:val="right"/>
              <w:rPr>
                <w:szCs w:val="18"/>
              </w:rPr>
            </w:pPr>
            <w:r w:rsidRPr="005911E2">
              <w:rPr>
                <w:szCs w:val="18"/>
              </w:rPr>
              <w:t>1.7</w:t>
            </w:r>
          </w:p>
        </w:tc>
      </w:tr>
      <w:tr w:rsidR="001013EC" w:rsidRPr="005911E2" w:rsidTr="00351FF6">
        <w:trPr>
          <w:jc w:val="right"/>
        </w:trPr>
        <w:tc>
          <w:tcPr>
            <w:tcW w:w="1986" w:type="dxa"/>
            <w:tcBorders>
              <w:top w:val="nil"/>
              <w:left w:val="nil"/>
              <w:bottom w:val="nil"/>
              <w:right w:val="nil"/>
            </w:tcBorders>
            <w:shd w:val="clear" w:color="auto" w:fill="auto"/>
            <w:noWrap/>
            <w:vAlign w:val="bottom"/>
            <w:hideMark/>
          </w:tcPr>
          <w:p w:rsidR="001013EC" w:rsidRPr="005911E2" w:rsidRDefault="001013EC" w:rsidP="001013EC">
            <w:pPr>
              <w:pStyle w:val="TableText"/>
              <w:ind w:left="143" w:hanging="143"/>
              <w:rPr>
                <w:rFonts w:cs="Arial"/>
                <w:szCs w:val="18"/>
              </w:rPr>
            </w:pPr>
            <w:r w:rsidRPr="005911E2">
              <w:rPr>
                <w:rFonts w:cs="Arial"/>
                <w:szCs w:val="18"/>
              </w:rPr>
              <w:t>Furniture store</w:t>
            </w:r>
          </w:p>
        </w:tc>
        <w:tc>
          <w:tcPr>
            <w:tcW w:w="110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8</w:t>
            </w:r>
            <w:r w:rsidR="00CF78DB">
              <w:rPr>
                <w:szCs w:val="18"/>
              </w:rPr>
              <w:t> </w:t>
            </w:r>
            <w:r w:rsidRPr="005911E2">
              <w:rPr>
                <w:szCs w:val="18"/>
              </w:rPr>
              <w:t>388</w:t>
            </w:r>
          </w:p>
        </w:tc>
        <w:tc>
          <w:tcPr>
            <w:tcW w:w="107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0.2</w:t>
            </w:r>
          </w:p>
        </w:tc>
        <w:tc>
          <w:tcPr>
            <w:tcW w:w="121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0.4</w:t>
            </w:r>
          </w:p>
        </w:tc>
        <w:tc>
          <w:tcPr>
            <w:tcW w:w="1071"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107.55</w:t>
            </w:r>
          </w:p>
        </w:tc>
        <w:tc>
          <w:tcPr>
            <w:tcW w:w="992" w:type="dxa"/>
            <w:tcBorders>
              <w:top w:val="nil"/>
              <w:left w:val="nil"/>
              <w:bottom w:val="nil"/>
              <w:right w:val="nil"/>
            </w:tcBorders>
            <w:vAlign w:val="bottom"/>
          </w:tcPr>
          <w:p w:rsidR="001013EC" w:rsidRPr="005911E2" w:rsidRDefault="001013EC" w:rsidP="001013EC">
            <w:pPr>
              <w:pStyle w:val="TableText"/>
              <w:jc w:val="right"/>
              <w:rPr>
                <w:szCs w:val="18"/>
              </w:rPr>
            </w:pPr>
            <w:r w:rsidRPr="005911E2">
              <w:rPr>
                <w:szCs w:val="18"/>
              </w:rPr>
              <w:t>50</w:t>
            </w:r>
          </w:p>
        </w:tc>
        <w:tc>
          <w:tcPr>
            <w:tcW w:w="1176" w:type="dxa"/>
            <w:tcBorders>
              <w:top w:val="nil"/>
              <w:left w:val="nil"/>
              <w:bottom w:val="nil"/>
              <w:right w:val="nil"/>
            </w:tcBorders>
            <w:shd w:val="clear" w:color="auto" w:fill="auto"/>
            <w:noWrap/>
            <w:vAlign w:val="bottom"/>
          </w:tcPr>
          <w:p w:rsidR="001013EC" w:rsidRPr="005911E2" w:rsidRDefault="001013EC" w:rsidP="001013EC">
            <w:pPr>
              <w:pStyle w:val="TableText"/>
              <w:jc w:val="right"/>
              <w:rPr>
                <w:szCs w:val="18"/>
              </w:rPr>
            </w:pPr>
            <w:r w:rsidRPr="005911E2">
              <w:rPr>
                <w:szCs w:val="18"/>
              </w:rPr>
              <w:t>1.3</w:t>
            </w:r>
          </w:p>
        </w:tc>
      </w:tr>
      <w:tr w:rsidR="001013EC" w:rsidRPr="005911E2" w:rsidTr="00351FF6">
        <w:trPr>
          <w:jc w:val="right"/>
        </w:trPr>
        <w:tc>
          <w:tcPr>
            <w:tcW w:w="1986" w:type="dxa"/>
            <w:tcBorders>
              <w:top w:val="nil"/>
              <w:left w:val="nil"/>
              <w:bottom w:val="nil"/>
              <w:right w:val="nil"/>
            </w:tcBorders>
            <w:shd w:val="clear" w:color="auto" w:fill="auto"/>
            <w:noWrap/>
            <w:vAlign w:val="bottom"/>
            <w:hideMark/>
          </w:tcPr>
          <w:p w:rsidR="001013EC" w:rsidRPr="005911E2" w:rsidRDefault="001013EC" w:rsidP="001013EC">
            <w:pPr>
              <w:pStyle w:val="TableText"/>
              <w:ind w:left="143" w:hanging="143"/>
              <w:rPr>
                <w:rFonts w:cs="Arial"/>
                <w:szCs w:val="18"/>
              </w:rPr>
            </w:pPr>
            <w:r w:rsidRPr="005911E2">
              <w:rPr>
                <w:rFonts w:cs="Arial"/>
                <w:szCs w:val="18"/>
              </w:rPr>
              <w:t>Shoe store</w:t>
            </w:r>
          </w:p>
        </w:tc>
        <w:tc>
          <w:tcPr>
            <w:tcW w:w="110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7</w:t>
            </w:r>
            <w:r w:rsidR="00CF78DB">
              <w:rPr>
                <w:szCs w:val="18"/>
              </w:rPr>
              <w:t> </w:t>
            </w:r>
            <w:r w:rsidRPr="005911E2">
              <w:rPr>
                <w:szCs w:val="18"/>
              </w:rPr>
              <w:t>098</w:t>
            </w:r>
          </w:p>
        </w:tc>
        <w:tc>
          <w:tcPr>
            <w:tcW w:w="107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0.1</w:t>
            </w:r>
          </w:p>
        </w:tc>
        <w:tc>
          <w:tcPr>
            <w:tcW w:w="121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1.4</w:t>
            </w:r>
          </w:p>
        </w:tc>
        <w:tc>
          <w:tcPr>
            <w:tcW w:w="1071"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28.51</w:t>
            </w:r>
          </w:p>
        </w:tc>
        <w:tc>
          <w:tcPr>
            <w:tcW w:w="992" w:type="dxa"/>
            <w:tcBorders>
              <w:top w:val="nil"/>
              <w:left w:val="nil"/>
              <w:bottom w:val="nil"/>
              <w:right w:val="nil"/>
            </w:tcBorders>
            <w:vAlign w:val="bottom"/>
          </w:tcPr>
          <w:p w:rsidR="001013EC" w:rsidRPr="005911E2" w:rsidRDefault="001013EC" w:rsidP="001013EC">
            <w:pPr>
              <w:pStyle w:val="TableText"/>
              <w:jc w:val="right"/>
              <w:rPr>
                <w:szCs w:val="18"/>
              </w:rPr>
            </w:pPr>
            <w:r w:rsidRPr="005911E2">
              <w:rPr>
                <w:szCs w:val="18"/>
              </w:rPr>
              <w:t>20</w:t>
            </w:r>
          </w:p>
        </w:tc>
        <w:tc>
          <w:tcPr>
            <w:tcW w:w="1176" w:type="dxa"/>
            <w:tcBorders>
              <w:top w:val="nil"/>
              <w:left w:val="nil"/>
              <w:bottom w:val="nil"/>
              <w:right w:val="nil"/>
            </w:tcBorders>
            <w:shd w:val="clear" w:color="auto" w:fill="auto"/>
            <w:noWrap/>
            <w:vAlign w:val="bottom"/>
          </w:tcPr>
          <w:p w:rsidR="001013EC" w:rsidRPr="005911E2" w:rsidRDefault="001013EC" w:rsidP="001013EC">
            <w:pPr>
              <w:pStyle w:val="TableText"/>
              <w:jc w:val="right"/>
              <w:rPr>
                <w:szCs w:val="18"/>
              </w:rPr>
            </w:pPr>
            <w:r w:rsidRPr="005911E2">
              <w:rPr>
                <w:szCs w:val="18"/>
              </w:rPr>
              <w:t>1.1</w:t>
            </w:r>
          </w:p>
        </w:tc>
      </w:tr>
      <w:tr w:rsidR="001013EC" w:rsidRPr="005911E2" w:rsidTr="00351FF6">
        <w:trPr>
          <w:jc w:val="right"/>
        </w:trPr>
        <w:tc>
          <w:tcPr>
            <w:tcW w:w="1986" w:type="dxa"/>
            <w:tcBorders>
              <w:top w:val="nil"/>
              <w:left w:val="nil"/>
              <w:bottom w:val="nil"/>
              <w:right w:val="nil"/>
            </w:tcBorders>
            <w:shd w:val="clear" w:color="auto" w:fill="auto"/>
            <w:noWrap/>
            <w:vAlign w:val="bottom"/>
            <w:hideMark/>
          </w:tcPr>
          <w:p w:rsidR="001013EC" w:rsidRPr="005911E2" w:rsidRDefault="001013EC" w:rsidP="001013EC">
            <w:pPr>
              <w:pStyle w:val="TableText"/>
              <w:ind w:left="143" w:hanging="143"/>
              <w:rPr>
                <w:rFonts w:cs="Arial"/>
                <w:szCs w:val="18"/>
              </w:rPr>
            </w:pPr>
            <w:r w:rsidRPr="005911E2">
              <w:rPr>
                <w:rFonts w:cs="Arial"/>
                <w:szCs w:val="18"/>
              </w:rPr>
              <w:t>Toys</w:t>
            </w:r>
          </w:p>
        </w:tc>
        <w:tc>
          <w:tcPr>
            <w:tcW w:w="110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4</w:t>
            </w:r>
            <w:r w:rsidR="00CF78DB">
              <w:rPr>
                <w:szCs w:val="18"/>
              </w:rPr>
              <w:t> </w:t>
            </w:r>
            <w:r w:rsidRPr="005911E2">
              <w:rPr>
                <w:szCs w:val="18"/>
              </w:rPr>
              <w:t>090</w:t>
            </w:r>
          </w:p>
        </w:tc>
        <w:tc>
          <w:tcPr>
            <w:tcW w:w="107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0.1</w:t>
            </w:r>
          </w:p>
        </w:tc>
        <w:tc>
          <w:tcPr>
            <w:tcW w:w="121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0.3</w:t>
            </w:r>
          </w:p>
        </w:tc>
        <w:tc>
          <w:tcPr>
            <w:tcW w:w="1071"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81.81</w:t>
            </w:r>
          </w:p>
        </w:tc>
        <w:tc>
          <w:tcPr>
            <w:tcW w:w="992" w:type="dxa"/>
            <w:tcBorders>
              <w:top w:val="nil"/>
              <w:left w:val="nil"/>
              <w:bottom w:val="nil"/>
              <w:right w:val="nil"/>
            </w:tcBorders>
            <w:vAlign w:val="bottom"/>
          </w:tcPr>
          <w:p w:rsidR="001013EC" w:rsidRPr="005911E2" w:rsidRDefault="001013EC" w:rsidP="001013EC">
            <w:pPr>
              <w:pStyle w:val="TableText"/>
              <w:jc w:val="right"/>
              <w:rPr>
                <w:szCs w:val="18"/>
              </w:rPr>
            </w:pPr>
            <w:r w:rsidRPr="005911E2">
              <w:rPr>
                <w:szCs w:val="18"/>
              </w:rPr>
              <w:t>46</w:t>
            </w:r>
          </w:p>
        </w:tc>
        <w:tc>
          <w:tcPr>
            <w:tcW w:w="1176" w:type="dxa"/>
            <w:tcBorders>
              <w:top w:val="nil"/>
              <w:left w:val="nil"/>
              <w:bottom w:val="nil"/>
              <w:right w:val="nil"/>
            </w:tcBorders>
            <w:shd w:val="clear" w:color="auto" w:fill="auto"/>
            <w:noWrap/>
            <w:vAlign w:val="bottom"/>
          </w:tcPr>
          <w:p w:rsidR="001013EC" w:rsidRPr="005911E2" w:rsidRDefault="001013EC" w:rsidP="001013EC">
            <w:pPr>
              <w:pStyle w:val="TableText"/>
              <w:jc w:val="right"/>
              <w:rPr>
                <w:szCs w:val="18"/>
              </w:rPr>
            </w:pPr>
            <w:r w:rsidRPr="005911E2">
              <w:rPr>
                <w:szCs w:val="18"/>
              </w:rPr>
              <w:t>1.1</w:t>
            </w:r>
          </w:p>
        </w:tc>
      </w:tr>
      <w:tr w:rsidR="001013EC" w:rsidRPr="005911E2" w:rsidTr="00351FF6">
        <w:trPr>
          <w:jc w:val="right"/>
        </w:trPr>
        <w:tc>
          <w:tcPr>
            <w:tcW w:w="1986" w:type="dxa"/>
            <w:tcBorders>
              <w:top w:val="nil"/>
              <w:left w:val="nil"/>
              <w:bottom w:val="nil"/>
              <w:right w:val="nil"/>
            </w:tcBorders>
            <w:shd w:val="clear" w:color="auto" w:fill="auto"/>
            <w:noWrap/>
            <w:vAlign w:val="bottom"/>
            <w:hideMark/>
          </w:tcPr>
          <w:p w:rsidR="001013EC" w:rsidRPr="005911E2" w:rsidRDefault="001013EC" w:rsidP="001013EC">
            <w:pPr>
              <w:pStyle w:val="TableText"/>
              <w:ind w:left="143" w:hanging="143"/>
              <w:rPr>
                <w:rFonts w:cs="Arial"/>
                <w:szCs w:val="18"/>
              </w:rPr>
            </w:pPr>
            <w:r w:rsidRPr="005911E2">
              <w:rPr>
                <w:rFonts w:cs="Arial"/>
                <w:szCs w:val="18"/>
              </w:rPr>
              <w:t>Other</w:t>
            </w:r>
          </w:p>
        </w:tc>
        <w:tc>
          <w:tcPr>
            <w:tcW w:w="110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3</w:t>
            </w:r>
            <w:r w:rsidR="00CF78DB">
              <w:rPr>
                <w:szCs w:val="18"/>
              </w:rPr>
              <w:t> </w:t>
            </w:r>
            <w:r w:rsidRPr="005911E2">
              <w:rPr>
                <w:szCs w:val="18"/>
              </w:rPr>
              <w:t>964</w:t>
            </w:r>
          </w:p>
        </w:tc>
        <w:tc>
          <w:tcPr>
            <w:tcW w:w="107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0.1</w:t>
            </w:r>
          </w:p>
        </w:tc>
        <w:tc>
          <w:tcPr>
            <w:tcW w:w="121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0.8</w:t>
            </w:r>
          </w:p>
        </w:tc>
        <w:tc>
          <w:tcPr>
            <w:tcW w:w="1071"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12.91</w:t>
            </w:r>
          </w:p>
        </w:tc>
        <w:tc>
          <w:tcPr>
            <w:tcW w:w="992" w:type="dxa"/>
            <w:tcBorders>
              <w:top w:val="nil"/>
              <w:left w:val="nil"/>
              <w:bottom w:val="nil"/>
              <w:right w:val="nil"/>
            </w:tcBorders>
            <w:vAlign w:val="bottom"/>
          </w:tcPr>
          <w:p w:rsidR="001013EC" w:rsidRPr="005911E2" w:rsidRDefault="001013EC" w:rsidP="001013EC">
            <w:pPr>
              <w:pStyle w:val="TableText"/>
              <w:jc w:val="right"/>
              <w:rPr>
                <w:szCs w:val="18"/>
              </w:rPr>
            </w:pPr>
            <w:r w:rsidRPr="005911E2">
              <w:rPr>
                <w:szCs w:val="18"/>
              </w:rPr>
              <w:t>10</w:t>
            </w:r>
          </w:p>
        </w:tc>
        <w:tc>
          <w:tcPr>
            <w:tcW w:w="1176" w:type="dxa"/>
            <w:tcBorders>
              <w:top w:val="nil"/>
              <w:left w:val="nil"/>
              <w:bottom w:val="nil"/>
              <w:right w:val="nil"/>
            </w:tcBorders>
            <w:shd w:val="clear" w:color="auto" w:fill="auto"/>
            <w:noWrap/>
            <w:vAlign w:val="bottom"/>
          </w:tcPr>
          <w:p w:rsidR="001013EC" w:rsidRPr="005911E2" w:rsidRDefault="001013EC" w:rsidP="001013EC">
            <w:pPr>
              <w:pStyle w:val="TableText"/>
              <w:jc w:val="right"/>
              <w:rPr>
                <w:szCs w:val="18"/>
              </w:rPr>
            </w:pPr>
            <w:r w:rsidRPr="005911E2">
              <w:rPr>
                <w:szCs w:val="18"/>
              </w:rPr>
              <w:t>2.2</w:t>
            </w:r>
          </w:p>
        </w:tc>
      </w:tr>
      <w:tr w:rsidR="001013EC" w:rsidRPr="005911E2" w:rsidTr="00351FF6">
        <w:trPr>
          <w:jc w:val="right"/>
        </w:trPr>
        <w:tc>
          <w:tcPr>
            <w:tcW w:w="1986" w:type="dxa"/>
            <w:tcBorders>
              <w:top w:val="nil"/>
              <w:left w:val="nil"/>
              <w:bottom w:val="nil"/>
              <w:right w:val="nil"/>
            </w:tcBorders>
            <w:shd w:val="clear" w:color="auto" w:fill="auto"/>
            <w:noWrap/>
            <w:vAlign w:val="bottom"/>
            <w:hideMark/>
          </w:tcPr>
          <w:p w:rsidR="001013EC" w:rsidRPr="005911E2" w:rsidRDefault="001013EC" w:rsidP="001013EC">
            <w:pPr>
              <w:pStyle w:val="TableText"/>
              <w:ind w:left="143" w:hanging="143"/>
              <w:rPr>
                <w:rFonts w:cs="Arial"/>
                <w:szCs w:val="18"/>
              </w:rPr>
            </w:pPr>
            <w:r w:rsidRPr="005911E2">
              <w:rPr>
                <w:rFonts w:cs="Arial"/>
                <w:szCs w:val="18"/>
              </w:rPr>
              <w:t>Education outlet</w:t>
            </w:r>
          </w:p>
        </w:tc>
        <w:tc>
          <w:tcPr>
            <w:tcW w:w="110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3</w:t>
            </w:r>
            <w:r w:rsidR="00CF78DB">
              <w:rPr>
                <w:szCs w:val="18"/>
              </w:rPr>
              <w:t> </w:t>
            </w:r>
            <w:r w:rsidRPr="005911E2">
              <w:rPr>
                <w:szCs w:val="18"/>
              </w:rPr>
              <w:t>888</w:t>
            </w:r>
          </w:p>
        </w:tc>
        <w:tc>
          <w:tcPr>
            <w:tcW w:w="107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0.1</w:t>
            </w:r>
          </w:p>
        </w:tc>
        <w:tc>
          <w:tcPr>
            <w:tcW w:w="121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0.4</w:t>
            </w:r>
          </w:p>
        </w:tc>
        <w:tc>
          <w:tcPr>
            <w:tcW w:w="1071"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37.76</w:t>
            </w:r>
          </w:p>
        </w:tc>
        <w:tc>
          <w:tcPr>
            <w:tcW w:w="992" w:type="dxa"/>
            <w:tcBorders>
              <w:top w:val="nil"/>
              <w:left w:val="nil"/>
              <w:bottom w:val="nil"/>
              <w:right w:val="nil"/>
            </w:tcBorders>
            <w:vAlign w:val="bottom"/>
          </w:tcPr>
          <w:p w:rsidR="001013EC" w:rsidRPr="005911E2" w:rsidRDefault="001013EC" w:rsidP="001013EC">
            <w:pPr>
              <w:pStyle w:val="TableText"/>
              <w:jc w:val="right"/>
              <w:rPr>
                <w:szCs w:val="18"/>
              </w:rPr>
            </w:pPr>
            <w:r w:rsidRPr="005911E2">
              <w:rPr>
                <w:szCs w:val="18"/>
              </w:rPr>
              <w:t>28</w:t>
            </w:r>
          </w:p>
        </w:tc>
        <w:tc>
          <w:tcPr>
            <w:tcW w:w="1176" w:type="dxa"/>
            <w:tcBorders>
              <w:top w:val="nil"/>
              <w:left w:val="nil"/>
              <w:bottom w:val="nil"/>
              <w:right w:val="nil"/>
            </w:tcBorders>
            <w:shd w:val="clear" w:color="auto" w:fill="auto"/>
            <w:noWrap/>
            <w:vAlign w:val="bottom"/>
          </w:tcPr>
          <w:p w:rsidR="001013EC" w:rsidRPr="005911E2" w:rsidRDefault="001013EC" w:rsidP="001013EC">
            <w:pPr>
              <w:pStyle w:val="TableText"/>
              <w:jc w:val="right"/>
              <w:rPr>
                <w:szCs w:val="18"/>
              </w:rPr>
            </w:pPr>
            <w:r w:rsidRPr="005911E2">
              <w:rPr>
                <w:szCs w:val="18"/>
              </w:rPr>
              <w:t>1.5</w:t>
            </w:r>
          </w:p>
        </w:tc>
      </w:tr>
      <w:tr w:rsidR="001013EC" w:rsidRPr="005911E2" w:rsidTr="00351FF6">
        <w:trPr>
          <w:jc w:val="right"/>
        </w:trPr>
        <w:tc>
          <w:tcPr>
            <w:tcW w:w="1986" w:type="dxa"/>
            <w:tcBorders>
              <w:top w:val="nil"/>
              <w:left w:val="nil"/>
              <w:bottom w:val="nil"/>
              <w:right w:val="nil"/>
            </w:tcBorders>
            <w:shd w:val="clear" w:color="auto" w:fill="auto"/>
            <w:noWrap/>
            <w:vAlign w:val="bottom"/>
            <w:hideMark/>
          </w:tcPr>
          <w:p w:rsidR="001013EC" w:rsidRPr="005911E2" w:rsidRDefault="001013EC" w:rsidP="001013EC">
            <w:pPr>
              <w:pStyle w:val="TableText"/>
              <w:ind w:left="143" w:hanging="143"/>
              <w:rPr>
                <w:rFonts w:cs="Arial"/>
                <w:szCs w:val="18"/>
              </w:rPr>
            </w:pPr>
            <w:r w:rsidRPr="005911E2">
              <w:rPr>
                <w:rFonts w:cs="Arial"/>
                <w:szCs w:val="18"/>
              </w:rPr>
              <w:t>Deli</w:t>
            </w:r>
          </w:p>
        </w:tc>
        <w:tc>
          <w:tcPr>
            <w:tcW w:w="110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1</w:t>
            </w:r>
            <w:r w:rsidR="00CF78DB">
              <w:rPr>
                <w:szCs w:val="18"/>
              </w:rPr>
              <w:t> </w:t>
            </w:r>
            <w:r w:rsidRPr="005911E2">
              <w:rPr>
                <w:szCs w:val="18"/>
              </w:rPr>
              <w:t>652</w:t>
            </w:r>
          </w:p>
        </w:tc>
        <w:tc>
          <w:tcPr>
            <w:tcW w:w="107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0.0</w:t>
            </w:r>
          </w:p>
        </w:tc>
        <w:tc>
          <w:tcPr>
            <w:tcW w:w="121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0.2</w:t>
            </w:r>
          </w:p>
        </w:tc>
        <w:tc>
          <w:tcPr>
            <w:tcW w:w="1071"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20.15</w:t>
            </w:r>
          </w:p>
        </w:tc>
        <w:tc>
          <w:tcPr>
            <w:tcW w:w="992" w:type="dxa"/>
            <w:tcBorders>
              <w:top w:val="nil"/>
              <w:left w:val="nil"/>
              <w:bottom w:val="nil"/>
              <w:right w:val="nil"/>
            </w:tcBorders>
            <w:vAlign w:val="bottom"/>
          </w:tcPr>
          <w:p w:rsidR="001013EC" w:rsidRPr="005911E2" w:rsidRDefault="001013EC" w:rsidP="001013EC">
            <w:pPr>
              <w:pStyle w:val="TableText"/>
              <w:jc w:val="right"/>
              <w:rPr>
                <w:szCs w:val="18"/>
              </w:rPr>
            </w:pPr>
            <w:r w:rsidRPr="005911E2">
              <w:rPr>
                <w:szCs w:val="18"/>
              </w:rPr>
              <w:t>11</w:t>
            </w:r>
          </w:p>
        </w:tc>
        <w:tc>
          <w:tcPr>
            <w:tcW w:w="1176" w:type="dxa"/>
            <w:tcBorders>
              <w:top w:val="nil"/>
              <w:left w:val="nil"/>
              <w:bottom w:val="nil"/>
              <w:right w:val="nil"/>
            </w:tcBorders>
            <w:shd w:val="clear" w:color="auto" w:fill="auto"/>
            <w:noWrap/>
            <w:vAlign w:val="bottom"/>
          </w:tcPr>
          <w:p w:rsidR="001013EC" w:rsidRPr="005911E2" w:rsidRDefault="001013EC" w:rsidP="001013EC">
            <w:pPr>
              <w:pStyle w:val="TableText"/>
              <w:jc w:val="right"/>
              <w:rPr>
                <w:szCs w:val="18"/>
              </w:rPr>
            </w:pPr>
            <w:r w:rsidRPr="005911E2">
              <w:rPr>
                <w:szCs w:val="18"/>
              </w:rPr>
              <w:t>2.1</w:t>
            </w:r>
          </w:p>
        </w:tc>
      </w:tr>
      <w:tr w:rsidR="001013EC" w:rsidRPr="005911E2" w:rsidTr="00351FF6">
        <w:trPr>
          <w:jc w:val="right"/>
        </w:trPr>
        <w:tc>
          <w:tcPr>
            <w:tcW w:w="1986" w:type="dxa"/>
            <w:tcBorders>
              <w:top w:val="nil"/>
              <w:left w:val="nil"/>
              <w:bottom w:val="nil"/>
              <w:right w:val="nil"/>
            </w:tcBorders>
            <w:shd w:val="clear" w:color="auto" w:fill="auto"/>
            <w:noWrap/>
            <w:vAlign w:val="bottom"/>
            <w:hideMark/>
          </w:tcPr>
          <w:p w:rsidR="001013EC" w:rsidRPr="005911E2" w:rsidRDefault="001013EC" w:rsidP="001013EC">
            <w:pPr>
              <w:pStyle w:val="TableText"/>
              <w:ind w:left="143" w:hanging="143"/>
              <w:rPr>
                <w:rFonts w:cs="Arial"/>
                <w:szCs w:val="18"/>
              </w:rPr>
            </w:pPr>
            <w:r w:rsidRPr="005911E2">
              <w:rPr>
                <w:rFonts w:cs="Arial"/>
                <w:szCs w:val="18"/>
              </w:rPr>
              <w:t>Fruit and vegetables</w:t>
            </w:r>
          </w:p>
        </w:tc>
        <w:tc>
          <w:tcPr>
            <w:tcW w:w="110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762</w:t>
            </w:r>
          </w:p>
        </w:tc>
        <w:tc>
          <w:tcPr>
            <w:tcW w:w="107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0.0</w:t>
            </w:r>
          </w:p>
        </w:tc>
        <w:tc>
          <w:tcPr>
            <w:tcW w:w="121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0.1</w:t>
            </w:r>
          </w:p>
        </w:tc>
        <w:tc>
          <w:tcPr>
            <w:tcW w:w="1071"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22.43</w:t>
            </w:r>
          </w:p>
        </w:tc>
        <w:tc>
          <w:tcPr>
            <w:tcW w:w="992" w:type="dxa"/>
            <w:tcBorders>
              <w:top w:val="nil"/>
              <w:left w:val="nil"/>
              <w:bottom w:val="nil"/>
              <w:right w:val="nil"/>
            </w:tcBorders>
            <w:vAlign w:val="bottom"/>
          </w:tcPr>
          <w:p w:rsidR="001013EC" w:rsidRPr="005911E2" w:rsidRDefault="001013EC" w:rsidP="001013EC">
            <w:pPr>
              <w:pStyle w:val="TableText"/>
              <w:jc w:val="right"/>
              <w:rPr>
                <w:szCs w:val="18"/>
              </w:rPr>
            </w:pPr>
            <w:r w:rsidRPr="005911E2">
              <w:rPr>
                <w:szCs w:val="18"/>
              </w:rPr>
              <w:t>13</w:t>
            </w:r>
          </w:p>
        </w:tc>
        <w:tc>
          <w:tcPr>
            <w:tcW w:w="1176" w:type="dxa"/>
            <w:tcBorders>
              <w:top w:val="nil"/>
              <w:left w:val="nil"/>
              <w:bottom w:val="nil"/>
              <w:right w:val="nil"/>
            </w:tcBorders>
            <w:shd w:val="clear" w:color="auto" w:fill="auto"/>
            <w:noWrap/>
            <w:vAlign w:val="bottom"/>
          </w:tcPr>
          <w:p w:rsidR="001013EC" w:rsidRPr="005911E2" w:rsidRDefault="001013EC" w:rsidP="001013EC">
            <w:pPr>
              <w:pStyle w:val="TableText"/>
              <w:jc w:val="right"/>
              <w:rPr>
                <w:szCs w:val="18"/>
              </w:rPr>
            </w:pPr>
            <w:r w:rsidRPr="005911E2">
              <w:rPr>
                <w:szCs w:val="18"/>
              </w:rPr>
              <w:t>2.1</w:t>
            </w:r>
          </w:p>
        </w:tc>
      </w:tr>
      <w:tr w:rsidR="001013EC" w:rsidRPr="005911E2" w:rsidTr="00351FF6">
        <w:trPr>
          <w:jc w:val="right"/>
        </w:trPr>
        <w:tc>
          <w:tcPr>
            <w:tcW w:w="1986" w:type="dxa"/>
            <w:tcBorders>
              <w:top w:val="nil"/>
              <w:left w:val="nil"/>
              <w:bottom w:val="nil"/>
              <w:right w:val="nil"/>
            </w:tcBorders>
            <w:shd w:val="clear" w:color="auto" w:fill="auto"/>
            <w:noWrap/>
            <w:vAlign w:val="bottom"/>
            <w:hideMark/>
          </w:tcPr>
          <w:p w:rsidR="001013EC" w:rsidRPr="005911E2" w:rsidRDefault="001013EC" w:rsidP="001013EC">
            <w:pPr>
              <w:pStyle w:val="TableText"/>
              <w:ind w:left="143" w:hanging="143"/>
              <w:rPr>
                <w:rFonts w:cs="Arial"/>
                <w:szCs w:val="18"/>
              </w:rPr>
            </w:pPr>
            <w:r w:rsidRPr="005911E2">
              <w:rPr>
                <w:rFonts w:cs="Arial"/>
                <w:szCs w:val="18"/>
              </w:rPr>
              <w:t>Bookstore</w:t>
            </w:r>
          </w:p>
        </w:tc>
        <w:tc>
          <w:tcPr>
            <w:tcW w:w="110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430</w:t>
            </w:r>
          </w:p>
        </w:tc>
        <w:tc>
          <w:tcPr>
            <w:tcW w:w="107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0.0</w:t>
            </w:r>
          </w:p>
        </w:tc>
        <w:tc>
          <w:tcPr>
            <w:tcW w:w="1210"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0.0</w:t>
            </w:r>
          </w:p>
        </w:tc>
        <w:tc>
          <w:tcPr>
            <w:tcW w:w="1071" w:type="dxa"/>
            <w:tcBorders>
              <w:top w:val="nil"/>
              <w:left w:val="nil"/>
              <w:bottom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43.10</w:t>
            </w:r>
          </w:p>
        </w:tc>
        <w:tc>
          <w:tcPr>
            <w:tcW w:w="992" w:type="dxa"/>
            <w:tcBorders>
              <w:top w:val="nil"/>
              <w:left w:val="nil"/>
              <w:bottom w:val="nil"/>
              <w:right w:val="nil"/>
            </w:tcBorders>
            <w:vAlign w:val="bottom"/>
          </w:tcPr>
          <w:p w:rsidR="001013EC" w:rsidRPr="005911E2" w:rsidRDefault="001013EC" w:rsidP="001013EC">
            <w:pPr>
              <w:pStyle w:val="TableText"/>
              <w:jc w:val="right"/>
              <w:rPr>
                <w:szCs w:val="18"/>
              </w:rPr>
            </w:pPr>
            <w:r w:rsidRPr="005911E2">
              <w:rPr>
                <w:szCs w:val="18"/>
              </w:rPr>
              <w:t>33</w:t>
            </w:r>
          </w:p>
        </w:tc>
        <w:tc>
          <w:tcPr>
            <w:tcW w:w="1176" w:type="dxa"/>
            <w:tcBorders>
              <w:top w:val="nil"/>
              <w:left w:val="nil"/>
              <w:bottom w:val="nil"/>
              <w:right w:val="nil"/>
            </w:tcBorders>
            <w:shd w:val="clear" w:color="auto" w:fill="auto"/>
            <w:noWrap/>
            <w:vAlign w:val="bottom"/>
          </w:tcPr>
          <w:p w:rsidR="001013EC" w:rsidRPr="005911E2" w:rsidRDefault="001013EC" w:rsidP="001013EC">
            <w:pPr>
              <w:pStyle w:val="TableText"/>
              <w:jc w:val="right"/>
              <w:rPr>
                <w:szCs w:val="18"/>
              </w:rPr>
            </w:pPr>
            <w:r w:rsidRPr="005911E2">
              <w:rPr>
                <w:szCs w:val="18"/>
              </w:rPr>
              <w:t>1.3</w:t>
            </w:r>
          </w:p>
        </w:tc>
      </w:tr>
      <w:tr w:rsidR="001013EC" w:rsidRPr="005911E2" w:rsidTr="00351FF6">
        <w:trPr>
          <w:jc w:val="right"/>
        </w:trPr>
        <w:tc>
          <w:tcPr>
            <w:tcW w:w="1986" w:type="dxa"/>
            <w:tcBorders>
              <w:top w:val="nil"/>
              <w:left w:val="nil"/>
              <w:right w:val="nil"/>
            </w:tcBorders>
            <w:shd w:val="clear" w:color="auto" w:fill="auto"/>
            <w:noWrap/>
            <w:vAlign w:val="bottom"/>
            <w:hideMark/>
          </w:tcPr>
          <w:p w:rsidR="001013EC" w:rsidRPr="005911E2" w:rsidRDefault="001013EC" w:rsidP="001013EC">
            <w:pPr>
              <w:pStyle w:val="TableText"/>
              <w:ind w:left="143" w:hanging="143"/>
              <w:rPr>
                <w:rFonts w:cs="Arial"/>
                <w:szCs w:val="18"/>
              </w:rPr>
            </w:pPr>
            <w:r w:rsidRPr="005911E2">
              <w:rPr>
                <w:rFonts w:cs="Arial"/>
                <w:szCs w:val="18"/>
              </w:rPr>
              <w:t>Whitegoods</w:t>
            </w:r>
          </w:p>
        </w:tc>
        <w:tc>
          <w:tcPr>
            <w:tcW w:w="1100" w:type="dxa"/>
            <w:tcBorders>
              <w:top w:val="nil"/>
              <w:left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50</w:t>
            </w:r>
          </w:p>
        </w:tc>
        <w:tc>
          <w:tcPr>
            <w:tcW w:w="1070" w:type="dxa"/>
            <w:tcBorders>
              <w:top w:val="nil"/>
              <w:left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0.0</w:t>
            </w:r>
          </w:p>
        </w:tc>
        <w:tc>
          <w:tcPr>
            <w:tcW w:w="1210" w:type="dxa"/>
            <w:tcBorders>
              <w:top w:val="nil"/>
              <w:left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0.0</w:t>
            </w:r>
          </w:p>
        </w:tc>
        <w:tc>
          <w:tcPr>
            <w:tcW w:w="1071" w:type="dxa"/>
            <w:tcBorders>
              <w:top w:val="nil"/>
              <w:left w:val="nil"/>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50.00</w:t>
            </w:r>
          </w:p>
        </w:tc>
        <w:tc>
          <w:tcPr>
            <w:tcW w:w="992" w:type="dxa"/>
            <w:tcBorders>
              <w:top w:val="nil"/>
              <w:left w:val="nil"/>
              <w:right w:val="nil"/>
            </w:tcBorders>
            <w:vAlign w:val="bottom"/>
          </w:tcPr>
          <w:p w:rsidR="001013EC" w:rsidRPr="005911E2" w:rsidRDefault="001013EC" w:rsidP="001013EC">
            <w:pPr>
              <w:pStyle w:val="TableText"/>
              <w:jc w:val="right"/>
              <w:rPr>
                <w:szCs w:val="18"/>
              </w:rPr>
            </w:pPr>
            <w:r w:rsidRPr="005911E2">
              <w:rPr>
                <w:szCs w:val="18"/>
              </w:rPr>
              <w:t>50</w:t>
            </w:r>
          </w:p>
        </w:tc>
        <w:tc>
          <w:tcPr>
            <w:tcW w:w="1176" w:type="dxa"/>
            <w:tcBorders>
              <w:top w:val="nil"/>
              <w:left w:val="nil"/>
              <w:right w:val="nil"/>
            </w:tcBorders>
            <w:shd w:val="clear" w:color="auto" w:fill="auto"/>
            <w:noWrap/>
            <w:vAlign w:val="bottom"/>
          </w:tcPr>
          <w:p w:rsidR="001013EC" w:rsidRPr="005911E2" w:rsidRDefault="001013EC" w:rsidP="001013EC">
            <w:pPr>
              <w:pStyle w:val="TableText"/>
              <w:jc w:val="right"/>
              <w:rPr>
                <w:szCs w:val="18"/>
              </w:rPr>
            </w:pPr>
            <w:r w:rsidRPr="005911E2">
              <w:rPr>
                <w:szCs w:val="18"/>
              </w:rPr>
              <w:t>1.0</w:t>
            </w:r>
          </w:p>
        </w:tc>
      </w:tr>
      <w:tr w:rsidR="001013EC" w:rsidRPr="005911E2" w:rsidTr="00351FF6">
        <w:trPr>
          <w:jc w:val="right"/>
        </w:trPr>
        <w:tc>
          <w:tcPr>
            <w:tcW w:w="1986" w:type="dxa"/>
            <w:tcBorders>
              <w:top w:val="nil"/>
              <w:left w:val="nil"/>
              <w:bottom w:val="single" w:sz="4" w:space="0" w:color="auto"/>
              <w:right w:val="nil"/>
            </w:tcBorders>
            <w:shd w:val="clear" w:color="auto" w:fill="auto"/>
            <w:noWrap/>
            <w:vAlign w:val="bottom"/>
            <w:hideMark/>
          </w:tcPr>
          <w:p w:rsidR="001013EC" w:rsidRPr="005911E2" w:rsidRDefault="001013EC" w:rsidP="003B4A1A">
            <w:pPr>
              <w:pStyle w:val="TableText"/>
              <w:ind w:left="143" w:hanging="143"/>
              <w:rPr>
                <w:rFonts w:cs="Arial"/>
                <w:szCs w:val="18"/>
              </w:rPr>
            </w:pPr>
            <w:r w:rsidRPr="005911E2">
              <w:rPr>
                <w:rFonts w:cs="Arial"/>
                <w:szCs w:val="18"/>
              </w:rPr>
              <w:t xml:space="preserve">Total </w:t>
            </w:r>
          </w:p>
        </w:tc>
        <w:tc>
          <w:tcPr>
            <w:tcW w:w="1100" w:type="dxa"/>
            <w:tcBorders>
              <w:top w:val="nil"/>
              <w:left w:val="nil"/>
              <w:bottom w:val="single" w:sz="4" w:space="0" w:color="auto"/>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4</w:t>
            </w:r>
            <w:r w:rsidR="00CF78DB">
              <w:rPr>
                <w:szCs w:val="18"/>
              </w:rPr>
              <w:t> </w:t>
            </w:r>
            <w:r w:rsidRPr="005911E2">
              <w:rPr>
                <w:szCs w:val="18"/>
              </w:rPr>
              <w:t>824</w:t>
            </w:r>
            <w:r w:rsidR="00CF78DB">
              <w:rPr>
                <w:szCs w:val="18"/>
              </w:rPr>
              <w:t> </w:t>
            </w:r>
            <w:r w:rsidRPr="005911E2">
              <w:rPr>
                <w:szCs w:val="18"/>
              </w:rPr>
              <w:t>992</w:t>
            </w:r>
          </w:p>
        </w:tc>
        <w:tc>
          <w:tcPr>
            <w:tcW w:w="1070" w:type="dxa"/>
            <w:tcBorders>
              <w:top w:val="nil"/>
              <w:left w:val="nil"/>
              <w:bottom w:val="single" w:sz="4" w:space="0" w:color="auto"/>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100.0</w:t>
            </w:r>
          </w:p>
        </w:tc>
        <w:tc>
          <w:tcPr>
            <w:tcW w:w="1210" w:type="dxa"/>
            <w:tcBorders>
              <w:top w:val="nil"/>
              <w:left w:val="nil"/>
              <w:bottom w:val="single" w:sz="4" w:space="0" w:color="auto"/>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91.4</w:t>
            </w:r>
          </w:p>
        </w:tc>
        <w:tc>
          <w:tcPr>
            <w:tcW w:w="1071" w:type="dxa"/>
            <w:tcBorders>
              <w:top w:val="nil"/>
              <w:left w:val="nil"/>
              <w:bottom w:val="single" w:sz="4" w:space="0" w:color="auto"/>
              <w:right w:val="nil"/>
            </w:tcBorders>
            <w:shd w:val="clear" w:color="auto" w:fill="auto"/>
            <w:noWrap/>
            <w:vAlign w:val="bottom"/>
            <w:hideMark/>
          </w:tcPr>
          <w:p w:rsidR="001013EC" w:rsidRPr="005911E2" w:rsidRDefault="001013EC" w:rsidP="001013EC">
            <w:pPr>
              <w:pStyle w:val="TableText"/>
              <w:jc w:val="right"/>
              <w:rPr>
                <w:szCs w:val="18"/>
              </w:rPr>
            </w:pPr>
            <w:r w:rsidRPr="005911E2">
              <w:rPr>
                <w:szCs w:val="18"/>
              </w:rPr>
              <w:t>38.74</w:t>
            </w:r>
          </w:p>
        </w:tc>
        <w:tc>
          <w:tcPr>
            <w:tcW w:w="992" w:type="dxa"/>
            <w:tcBorders>
              <w:top w:val="nil"/>
              <w:left w:val="nil"/>
              <w:bottom w:val="single" w:sz="4" w:space="0" w:color="auto"/>
              <w:right w:val="nil"/>
            </w:tcBorders>
            <w:vAlign w:val="bottom"/>
          </w:tcPr>
          <w:p w:rsidR="001013EC" w:rsidRPr="005911E2" w:rsidRDefault="001013EC" w:rsidP="001013EC">
            <w:pPr>
              <w:pStyle w:val="TableText"/>
              <w:jc w:val="right"/>
              <w:rPr>
                <w:szCs w:val="18"/>
              </w:rPr>
            </w:pPr>
            <w:r w:rsidRPr="005911E2">
              <w:rPr>
                <w:szCs w:val="18"/>
              </w:rPr>
              <w:t>12</w:t>
            </w:r>
          </w:p>
        </w:tc>
        <w:tc>
          <w:tcPr>
            <w:tcW w:w="1176" w:type="dxa"/>
            <w:tcBorders>
              <w:top w:val="nil"/>
              <w:left w:val="nil"/>
              <w:bottom w:val="single" w:sz="4" w:space="0" w:color="auto"/>
              <w:right w:val="nil"/>
            </w:tcBorders>
            <w:shd w:val="clear" w:color="auto" w:fill="auto"/>
            <w:noWrap/>
            <w:vAlign w:val="bottom"/>
          </w:tcPr>
          <w:p w:rsidR="001013EC" w:rsidRPr="005911E2" w:rsidRDefault="001013EC" w:rsidP="001013EC">
            <w:pPr>
              <w:pStyle w:val="TableText"/>
              <w:jc w:val="right"/>
              <w:rPr>
                <w:szCs w:val="18"/>
              </w:rPr>
            </w:pPr>
            <w:r w:rsidRPr="005911E2">
              <w:rPr>
                <w:szCs w:val="18"/>
              </w:rPr>
              <w:t>4</w:t>
            </w:r>
          </w:p>
        </w:tc>
      </w:tr>
    </w:tbl>
    <w:p w:rsidR="00C21E3A" w:rsidRDefault="00CF78DB" w:rsidP="00CF78DB">
      <w:pPr>
        <w:pStyle w:val="tablefootnotes"/>
      </w:pPr>
      <w:r>
        <w:t>Note:</w:t>
      </w:r>
    </w:p>
    <w:p w:rsidR="001013EC" w:rsidRPr="005911E2" w:rsidRDefault="001013EC" w:rsidP="00CF78DB">
      <w:pPr>
        <w:pStyle w:val="tablefootnotes"/>
      </w:pPr>
      <w:r w:rsidRPr="005911E2">
        <w:t xml:space="preserve">(a) </w:t>
      </w:r>
      <w:r w:rsidR="00CF78DB">
        <w:tab/>
      </w:r>
      <w:r w:rsidRPr="005911E2">
        <w:t xml:space="preserve">The total differs from the total given in Table </w:t>
      </w:r>
      <w:r w:rsidRPr="005911E2">
        <w:rPr>
          <w:noProof/>
        </w:rPr>
        <w:t>5</w:t>
      </w:r>
      <w:r w:rsidRPr="005911E2">
        <w:noBreakHyphen/>
      </w:r>
      <w:r w:rsidRPr="005911E2">
        <w:rPr>
          <w:noProof/>
        </w:rPr>
        <w:t>1</w:t>
      </w:r>
      <w:r w:rsidR="00397CDC">
        <w:t xml:space="preserve">. </w:t>
      </w:r>
      <w:r w:rsidR="00F34C94">
        <w:t>T</w:t>
      </w:r>
      <w:r w:rsidR="00F34C94" w:rsidRPr="005911E2">
        <w:t>his</w:t>
      </w:r>
      <w:r w:rsidRPr="005911E2">
        <w:t xml:space="preserve"> reflects a range of factors including lags between allocation and expenditure; residual balances on the BasicsCard from previous fortnights</w:t>
      </w:r>
      <w:r w:rsidR="00C21E3A">
        <w:t>;</w:t>
      </w:r>
      <w:r w:rsidRPr="005911E2">
        <w:t xml:space="preserve"> and the extent to which some allocated funds were not spent for the current fortnight.</w:t>
      </w:r>
    </w:p>
    <w:p w:rsidR="000B4AF3" w:rsidRPr="005911E2" w:rsidRDefault="000B4AF3" w:rsidP="00CF78DB">
      <w:pPr>
        <w:pStyle w:val="tablefootnotes"/>
      </w:pPr>
      <w:r w:rsidRPr="005911E2">
        <w:t xml:space="preserve">Source: </w:t>
      </w:r>
      <w:r w:rsidR="00CF78DB">
        <w:tab/>
      </w:r>
      <w:r w:rsidRPr="005911E2">
        <w:t xml:space="preserve">Derived from Centrelink BasicsCard purchases file and </w:t>
      </w:r>
      <w:r w:rsidR="00F878E4">
        <w:t>income management</w:t>
      </w:r>
      <w:r w:rsidRPr="005911E2">
        <w:t xml:space="preserve"> person file for fortnight ending 28 October 2011</w:t>
      </w:r>
      <w:r w:rsidR="00943DCB">
        <w:t>.</w:t>
      </w:r>
    </w:p>
    <w:p w:rsidR="001013EC" w:rsidRPr="005911E2" w:rsidRDefault="001013EC" w:rsidP="00CF78DB">
      <w:pPr>
        <w:pStyle w:val="tablefootnotes"/>
      </w:pPr>
    </w:p>
    <w:p w:rsidR="001013EC" w:rsidRPr="005911E2" w:rsidRDefault="001013EC" w:rsidP="00616B0F">
      <w:pPr>
        <w:pStyle w:val="Heading2"/>
      </w:pPr>
      <w:bookmarkStart w:id="438" w:name="_Toc321225120"/>
      <w:bookmarkStart w:id="439" w:name="_Toc321761605"/>
      <w:bookmarkStart w:id="440" w:name="_Toc321254463"/>
      <w:bookmarkStart w:id="441" w:name="_Toc328601487"/>
      <w:bookmarkStart w:id="442" w:name="_Toc329870369"/>
      <w:bookmarkStart w:id="443" w:name="_Toc335915755"/>
      <w:r w:rsidRPr="005911E2">
        <w:t>Distribution of composition of allocations</w:t>
      </w:r>
      <w:bookmarkEnd w:id="438"/>
      <w:bookmarkEnd w:id="439"/>
      <w:bookmarkEnd w:id="440"/>
      <w:bookmarkEnd w:id="441"/>
      <w:bookmarkEnd w:id="442"/>
      <w:bookmarkEnd w:id="443"/>
    </w:p>
    <w:p w:rsidR="001013EC" w:rsidRPr="005911E2" w:rsidRDefault="001013EC" w:rsidP="001013EC">
      <w:pPr>
        <w:pStyle w:val="BodyText"/>
        <w:rPr>
          <w:lang w:eastAsia="en-US"/>
        </w:rPr>
      </w:pPr>
      <w:r w:rsidRPr="005911E2">
        <w:rPr>
          <w:lang w:eastAsia="en-US"/>
        </w:rPr>
        <w:t xml:space="preserve">There was considerable variation in the pattern of distribution of allocations between individuals on income management. </w:t>
      </w:r>
    </w:p>
    <w:p w:rsidR="001013EC" w:rsidRDefault="001013EC" w:rsidP="001013EC">
      <w:pPr>
        <w:pStyle w:val="BodyText"/>
        <w:rPr>
          <w:lang w:eastAsia="en-US"/>
        </w:rPr>
      </w:pPr>
      <w:r w:rsidRPr="005911E2">
        <w:rPr>
          <w:lang w:eastAsia="en-US"/>
        </w:rPr>
        <w:t xml:space="preserve">Of particular interest is the relative role of the BasicsCard. </w:t>
      </w:r>
      <w:r w:rsidRPr="005911E2">
        <w:t xml:space="preserve">Figure </w:t>
      </w:r>
      <w:r w:rsidRPr="005911E2">
        <w:rPr>
          <w:noProof/>
        </w:rPr>
        <w:t>5</w:t>
      </w:r>
      <w:r w:rsidRPr="005911E2">
        <w:noBreakHyphen/>
      </w:r>
      <w:r w:rsidRPr="005911E2">
        <w:rPr>
          <w:noProof/>
        </w:rPr>
        <w:t>3</w:t>
      </w:r>
      <w:r w:rsidRPr="005911E2">
        <w:rPr>
          <w:lang w:eastAsia="en-US"/>
        </w:rPr>
        <w:t xml:space="preserve"> illustrates the distribution of the proportion of income managed funds allocated to the BasicsCard across the total </w:t>
      </w:r>
      <w:r w:rsidR="00F878E4">
        <w:rPr>
          <w:lang w:eastAsia="en-US"/>
        </w:rPr>
        <w:t>income management</w:t>
      </w:r>
      <w:r w:rsidRPr="005911E2">
        <w:rPr>
          <w:lang w:eastAsia="en-US"/>
        </w:rPr>
        <w:t xml:space="preserve"> population in the</w:t>
      </w:r>
      <w:r w:rsidR="006435C8">
        <w:rPr>
          <w:lang w:eastAsia="en-US"/>
        </w:rPr>
        <w:t xml:space="preserve"> Northern Territory </w:t>
      </w:r>
      <w:r w:rsidRPr="005911E2">
        <w:rPr>
          <w:lang w:eastAsia="en-US"/>
        </w:rPr>
        <w:t>at the end of October 2011.</w:t>
      </w:r>
    </w:p>
    <w:p w:rsidR="00943DCB" w:rsidRPr="005911E2" w:rsidRDefault="00943DCB" w:rsidP="001013EC">
      <w:pPr>
        <w:pStyle w:val="BodyText"/>
        <w:rPr>
          <w:lang w:eastAsia="en-US"/>
        </w:rPr>
      </w:pPr>
      <w:r>
        <w:t>J</w:t>
      </w:r>
      <w:r w:rsidRPr="005911E2">
        <w:t xml:space="preserve">ust over a third of all people (34 per cent) </w:t>
      </w:r>
      <w:r>
        <w:t xml:space="preserve">on income management </w:t>
      </w:r>
      <w:r w:rsidRPr="005911E2">
        <w:t>had 100 per cent of their income managed funds allocated to the BasicsCard. At the other end of the distribution</w:t>
      </w:r>
      <w:r>
        <w:t>,</w:t>
      </w:r>
      <w:r w:rsidRPr="005911E2">
        <w:t xml:space="preserve"> 4 per cent had no funds allocated to a BasicsCard. Looking at various points of the distribution</w:t>
      </w:r>
      <w:r>
        <w:t>,</w:t>
      </w:r>
      <w:r w:rsidRPr="005911E2">
        <w:t xml:space="preserve"> over half the population had 84 per cent or more of their funds allocated to the BasicsCard, and just 16 per cent had less than half.</w:t>
      </w:r>
    </w:p>
    <w:p w:rsidR="001013EC" w:rsidRPr="005911E2" w:rsidRDefault="001013EC" w:rsidP="001013EC">
      <w:pPr>
        <w:pStyle w:val="tabfighead"/>
      </w:pPr>
      <w:bookmarkStart w:id="444" w:name="_Ref320794186"/>
      <w:bookmarkStart w:id="445" w:name="_Toc321761754"/>
      <w:bookmarkStart w:id="446" w:name="_Toc321254603"/>
      <w:bookmarkStart w:id="447" w:name="_Toc328601657"/>
      <w:bookmarkStart w:id="448" w:name="_Toc335915923"/>
      <w:r w:rsidRPr="005911E2">
        <w:lastRenderedPageBreak/>
        <w:t xml:space="preserve">Figure </w:t>
      </w:r>
      <w:r w:rsidR="00C7347D">
        <w:fldChar w:fldCharType="begin"/>
      </w:r>
      <w:r w:rsidR="00E74851">
        <w:instrText xml:space="preserve"> STYLEREF 1 \s </w:instrText>
      </w:r>
      <w:r w:rsidR="00C7347D">
        <w:fldChar w:fldCharType="separate"/>
      </w:r>
      <w:r w:rsidR="007D7E45">
        <w:rPr>
          <w:noProof/>
        </w:rPr>
        <w:t>5</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3</w:t>
      </w:r>
      <w:r w:rsidR="00C7347D">
        <w:fldChar w:fldCharType="end"/>
      </w:r>
      <w:bookmarkEnd w:id="444"/>
      <w:r w:rsidRPr="005911E2">
        <w:t xml:space="preserve"> </w:t>
      </w:r>
      <w:r w:rsidRPr="005911E2">
        <w:tab/>
      </w:r>
      <w:r w:rsidR="006435C8">
        <w:t>Northern Territory,</w:t>
      </w:r>
      <w:r w:rsidR="00593501">
        <w:t xml:space="preserve"> Persons subject to income management, d</w:t>
      </w:r>
      <w:r w:rsidRPr="005911E2">
        <w:t>istribution of proportion of income managed funds allocated to BasicsCard, October 2011</w:t>
      </w:r>
      <w:bookmarkEnd w:id="445"/>
      <w:bookmarkEnd w:id="446"/>
      <w:bookmarkEnd w:id="447"/>
      <w:bookmarkEnd w:id="448"/>
    </w:p>
    <w:tbl>
      <w:tblPr>
        <w:tblStyle w:val="TableGrid"/>
        <w:tblW w:w="0" w:type="auto"/>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3 Northern Territory, Persons subject to income management, distribution of proportion of income managed funds allocated to BasicsCard, October 2011"/>
        <w:tblDescription w:val="Figure 5-3 Northern Territory, Persons subject to income management, distribution of proportion of income managed funds allocated to BasicsCard, October 2011"/>
      </w:tblPr>
      <w:tblGrid>
        <w:gridCol w:w="7394"/>
      </w:tblGrid>
      <w:tr w:rsidR="001013EC" w:rsidRPr="005911E2" w:rsidTr="009D15E2">
        <w:trPr>
          <w:tblHeader/>
        </w:trPr>
        <w:tc>
          <w:tcPr>
            <w:tcW w:w="7394" w:type="dxa"/>
          </w:tcPr>
          <w:p w:rsidR="001013EC" w:rsidRPr="005911E2" w:rsidRDefault="00E75F1A" w:rsidP="001013EC">
            <w:pPr>
              <w:pStyle w:val="Leftpara"/>
              <w:ind w:left="0"/>
            </w:pPr>
            <w:r>
              <w:rPr>
                <w:lang w:bidi="ar-SA"/>
              </w:rPr>
              <w:drawing>
                <wp:inline distT="0" distB="0" distL="0" distR="0" wp14:anchorId="4C88DB38" wp14:editId="394EDF9E">
                  <wp:extent cx="4572000" cy="2743200"/>
                  <wp:effectExtent l="0" t="0" r="0" b="0"/>
                  <wp:docPr id="54" name="Picture 5" descr="Figure 5-3 Northern Territory, Persons subject to income management, distribution of proportion of income managed funds allocated to BasicsCard, October 2011" title="Figure 5-3 Northern Territory, Persons subject to income management, distribution of proportion of income managed funds allocated to BasicsCard, Octo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tc>
      </w:tr>
    </w:tbl>
    <w:p w:rsidR="001013EC" w:rsidRDefault="001013EC" w:rsidP="00CF78DB">
      <w:pPr>
        <w:pStyle w:val="tablefootnotes"/>
      </w:pPr>
      <w:r w:rsidRPr="005911E2">
        <w:t xml:space="preserve">Source: </w:t>
      </w:r>
      <w:r w:rsidR="00CF78DB">
        <w:tab/>
      </w:r>
      <w:r w:rsidRPr="005911E2">
        <w:t>Derived from Centrelink fortnightly expenses report for fortnight ending 28 October 2011</w:t>
      </w:r>
      <w:r w:rsidR="00943DCB">
        <w:t>.</w:t>
      </w:r>
    </w:p>
    <w:p w:rsidR="00CF78DB" w:rsidRPr="005911E2" w:rsidRDefault="00CF78DB" w:rsidP="00CF78DB">
      <w:pPr>
        <w:pStyle w:val="tablefootnotes"/>
      </w:pPr>
    </w:p>
    <w:p w:rsidR="001013EC" w:rsidRPr="005911E2" w:rsidRDefault="001013EC" w:rsidP="001013EC">
      <w:pPr>
        <w:pStyle w:val="BodyText"/>
      </w:pPr>
      <w:r w:rsidRPr="005911E2">
        <w:t xml:space="preserve">This clearly shows that the BasicsCard, as well as representing the main way in which income managed funds were allocated in aggregate, represented the main form of allocation for most individuals on </w:t>
      </w:r>
      <w:r w:rsidR="00F878E4">
        <w:t>income management</w:t>
      </w:r>
      <w:r w:rsidRPr="005911E2">
        <w:t xml:space="preserve">. </w:t>
      </w:r>
    </w:p>
    <w:p w:rsidR="001013EC" w:rsidRPr="005911E2" w:rsidRDefault="001013EC" w:rsidP="00616B0F">
      <w:pPr>
        <w:pStyle w:val="Heading2"/>
      </w:pPr>
      <w:bookmarkStart w:id="449" w:name="_Toc321225121"/>
      <w:bookmarkStart w:id="450" w:name="_Toc321761606"/>
      <w:bookmarkStart w:id="451" w:name="_Toc321254464"/>
      <w:bookmarkStart w:id="452" w:name="_Toc328601488"/>
      <w:bookmarkStart w:id="453" w:name="_Toc329870370"/>
      <w:bookmarkStart w:id="454" w:name="_Toc335915756"/>
      <w:r w:rsidRPr="005911E2">
        <w:t xml:space="preserve">Allocations by characteristics of persons subject to </w:t>
      </w:r>
      <w:bookmarkEnd w:id="449"/>
      <w:bookmarkEnd w:id="450"/>
      <w:bookmarkEnd w:id="451"/>
      <w:r w:rsidR="00F878E4">
        <w:t>income management</w:t>
      </w:r>
      <w:bookmarkEnd w:id="452"/>
      <w:bookmarkEnd w:id="453"/>
      <w:bookmarkEnd w:id="454"/>
    </w:p>
    <w:p w:rsidR="001013EC" w:rsidRPr="005911E2" w:rsidRDefault="001013EC" w:rsidP="001013EC">
      <w:pPr>
        <w:pStyle w:val="BodyText"/>
        <w:rPr>
          <w:lang w:eastAsia="en-US"/>
        </w:rPr>
      </w:pPr>
      <w:r w:rsidRPr="005911E2">
        <w:rPr>
          <w:lang w:eastAsia="en-US"/>
        </w:rPr>
        <w:t>This following section considers the relative patterns of allocation of income managed funds for different population subgroups. In addition it presents for each of these groups the mean and median</w:t>
      </w:r>
      <w:r w:rsidR="00CF78DB">
        <w:rPr>
          <w:rStyle w:val="FootnoteReference"/>
          <w:lang w:eastAsia="en-US"/>
        </w:rPr>
        <w:footnoteReference w:id="60"/>
      </w:r>
      <w:r w:rsidRPr="005911E2">
        <w:rPr>
          <w:lang w:eastAsia="en-US"/>
        </w:rPr>
        <w:t xml:space="preserve"> level of funds subject to income management. The latter var</w:t>
      </w:r>
      <w:r w:rsidR="001F06FE">
        <w:rPr>
          <w:lang w:eastAsia="en-US"/>
        </w:rPr>
        <w:t>ies</w:t>
      </w:r>
      <w:r w:rsidRPr="005911E2">
        <w:rPr>
          <w:lang w:eastAsia="en-US"/>
        </w:rPr>
        <w:t xml:space="preserve"> primarily </w:t>
      </w:r>
      <w:r w:rsidR="001F06FE">
        <w:rPr>
          <w:lang w:eastAsia="en-US"/>
        </w:rPr>
        <w:t xml:space="preserve">due to </w:t>
      </w:r>
      <w:r w:rsidRPr="005911E2">
        <w:rPr>
          <w:lang w:eastAsia="en-US"/>
        </w:rPr>
        <w:t xml:space="preserve">the particular form of income support the person receives (that is their pension or </w:t>
      </w:r>
      <w:r w:rsidR="00CD2C3D">
        <w:rPr>
          <w:lang w:eastAsia="en-US"/>
        </w:rPr>
        <w:t>allowance</w:t>
      </w:r>
      <w:r w:rsidR="00CD2C3D" w:rsidRPr="005911E2">
        <w:rPr>
          <w:lang w:eastAsia="en-US"/>
        </w:rPr>
        <w:t xml:space="preserve"> </w:t>
      </w:r>
      <w:r w:rsidRPr="005911E2">
        <w:rPr>
          <w:lang w:eastAsia="en-US"/>
        </w:rPr>
        <w:t>and any related transfers such as for children). As a consequence</w:t>
      </w:r>
      <w:r w:rsidR="001F06FE">
        <w:rPr>
          <w:lang w:eastAsia="en-US"/>
        </w:rPr>
        <w:t>,</w:t>
      </w:r>
      <w:r w:rsidRPr="005911E2">
        <w:rPr>
          <w:lang w:eastAsia="en-US"/>
        </w:rPr>
        <w:t xml:space="preserve"> the level often reflects family size rather than relative wellbeing. As has been discussed previously virtually all people on </w:t>
      </w:r>
      <w:r w:rsidR="00F878E4">
        <w:rPr>
          <w:lang w:eastAsia="en-US"/>
        </w:rPr>
        <w:t>income management</w:t>
      </w:r>
      <w:r w:rsidRPr="005911E2">
        <w:rPr>
          <w:lang w:eastAsia="en-US"/>
        </w:rPr>
        <w:t xml:space="preserve"> were subject to an income management level of 50 per cent, and the numbers on </w:t>
      </w:r>
      <w:r w:rsidR="00E146B5">
        <w:rPr>
          <w:lang w:eastAsia="en-US"/>
        </w:rPr>
        <w:t>Child Protection Income Management</w:t>
      </w:r>
      <w:r w:rsidRPr="005911E2">
        <w:rPr>
          <w:lang w:eastAsia="en-US"/>
        </w:rPr>
        <w:t xml:space="preserve"> </w:t>
      </w:r>
      <w:r w:rsidR="001F06FE">
        <w:rPr>
          <w:lang w:eastAsia="en-US"/>
        </w:rPr>
        <w:t xml:space="preserve">(subject to 70 per cent) </w:t>
      </w:r>
      <w:r w:rsidRPr="005911E2">
        <w:rPr>
          <w:lang w:eastAsia="en-US"/>
        </w:rPr>
        <w:t>are too small to affect overall aggregates.</w:t>
      </w:r>
    </w:p>
    <w:p w:rsidR="001013EC" w:rsidRPr="005911E2" w:rsidRDefault="001013EC" w:rsidP="00BD6DFD">
      <w:pPr>
        <w:pStyle w:val="Heading3"/>
      </w:pPr>
      <w:r w:rsidRPr="005911E2">
        <w:t xml:space="preserve">Allocation by </w:t>
      </w:r>
      <w:r w:rsidR="00F878E4">
        <w:t>income management</w:t>
      </w:r>
      <w:r w:rsidRPr="005911E2">
        <w:t xml:space="preserve"> category</w:t>
      </w:r>
    </w:p>
    <w:p w:rsidR="001013EC" w:rsidRPr="005911E2" w:rsidRDefault="001013EC" w:rsidP="001013EC">
      <w:pPr>
        <w:pStyle w:val="BodyText"/>
        <w:rPr>
          <w:lang w:eastAsia="en-US"/>
        </w:rPr>
      </w:pPr>
      <w:r w:rsidRPr="005911E2">
        <w:rPr>
          <w:lang w:eastAsia="en-US"/>
        </w:rPr>
        <w:t>Table 5</w:t>
      </w:r>
      <w:r w:rsidRPr="005911E2">
        <w:rPr>
          <w:lang w:eastAsia="en-US"/>
        </w:rPr>
        <w:noBreakHyphen/>
        <w:t xml:space="preserve">3 shows the patterns of allocation for people classified by Indigeneity and whether the person was on a form of </w:t>
      </w:r>
      <w:r w:rsidR="00614538" w:rsidRPr="005911E2">
        <w:rPr>
          <w:lang w:eastAsia="en-US"/>
        </w:rPr>
        <w:t>compulsory</w:t>
      </w:r>
      <w:r w:rsidR="00614538">
        <w:rPr>
          <w:lang w:eastAsia="en-US"/>
        </w:rPr>
        <w:t xml:space="preserve"> </w:t>
      </w:r>
      <w:r w:rsidR="001F06FE">
        <w:rPr>
          <w:lang w:eastAsia="en-US"/>
        </w:rPr>
        <w:t xml:space="preserve">or voluntary </w:t>
      </w:r>
      <w:r w:rsidR="00F878E4">
        <w:rPr>
          <w:lang w:eastAsia="en-US"/>
        </w:rPr>
        <w:t>income management</w:t>
      </w:r>
      <w:r w:rsidRPr="005911E2">
        <w:rPr>
          <w:lang w:eastAsia="en-US"/>
        </w:rPr>
        <w:t>.</w:t>
      </w:r>
    </w:p>
    <w:p w:rsidR="001013EC" w:rsidRPr="005911E2" w:rsidRDefault="001013EC" w:rsidP="001013EC">
      <w:pPr>
        <w:pStyle w:val="tabfighead"/>
      </w:pPr>
      <w:bookmarkStart w:id="455" w:name="_Ref321060391"/>
      <w:bookmarkStart w:id="456" w:name="_Toc321430421"/>
      <w:bookmarkStart w:id="457" w:name="_Toc321761691"/>
      <w:bookmarkStart w:id="458" w:name="_Toc321254540"/>
      <w:bookmarkStart w:id="459" w:name="_Toc328601588"/>
      <w:bookmarkStart w:id="460" w:name="_Toc329051366"/>
      <w:bookmarkStart w:id="461" w:name="_Toc335915854"/>
      <w:r w:rsidRPr="005911E2">
        <w:lastRenderedPageBreak/>
        <w:t xml:space="preserve">Table </w:t>
      </w:r>
      <w:r w:rsidR="00C7347D" w:rsidRPr="005911E2">
        <w:fldChar w:fldCharType="begin"/>
      </w:r>
      <w:r w:rsidR="00435FEB" w:rsidRPr="005911E2">
        <w:instrText xml:space="preserve"> STYLEREF 1 \s </w:instrText>
      </w:r>
      <w:r w:rsidR="00C7347D" w:rsidRPr="005911E2">
        <w:fldChar w:fldCharType="separate"/>
      </w:r>
      <w:r w:rsidR="007D7E45">
        <w:rPr>
          <w:noProof/>
        </w:rPr>
        <w:t>5</w:t>
      </w:r>
      <w:r w:rsidR="00C7347D" w:rsidRPr="005911E2">
        <w:rPr>
          <w:noProof/>
        </w:rPr>
        <w:fldChar w:fldCharType="end"/>
      </w:r>
      <w:r w:rsidRPr="005911E2">
        <w:noBreakHyphen/>
      </w:r>
      <w:r w:rsidR="00C7347D" w:rsidRPr="005911E2">
        <w:fldChar w:fldCharType="begin"/>
      </w:r>
      <w:r w:rsidR="00435FEB" w:rsidRPr="005911E2">
        <w:instrText xml:space="preserve"> SEQ Table \* ARABIC \s 1 </w:instrText>
      </w:r>
      <w:r w:rsidR="00C7347D" w:rsidRPr="005911E2">
        <w:fldChar w:fldCharType="separate"/>
      </w:r>
      <w:r w:rsidR="007D7E45">
        <w:rPr>
          <w:noProof/>
        </w:rPr>
        <w:t>3</w:t>
      </w:r>
      <w:r w:rsidR="00C7347D" w:rsidRPr="005911E2">
        <w:rPr>
          <w:noProof/>
        </w:rPr>
        <w:fldChar w:fldCharType="end"/>
      </w:r>
      <w:bookmarkEnd w:id="455"/>
      <w:r w:rsidRPr="005911E2">
        <w:t xml:space="preserve"> </w:t>
      </w:r>
      <w:r w:rsidRPr="005911E2">
        <w:tab/>
        <w:t xml:space="preserve">Composition of allocation by </w:t>
      </w:r>
      <w:r w:rsidR="00F878E4">
        <w:t>income management</w:t>
      </w:r>
      <w:r w:rsidRPr="005911E2">
        <w:t xml:space="preserve"> stream and Indigenous and non-Indigenous, fortnight ending 28 October 2011</w:t>
      </w:r>
      <w:bookmarkEnd w:id="456"/>
      <w:bookmarkEnd w:id="457"/>
      <w:bookmarkEnd w:id="458"/>
      <w:bookmarkEnd w:id="459"/>
      <w:bookmarkEnd w:id="460"/>
      <w:bookmarkEnd w:id="461"/>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5-3 Composition of allocation by income management stream and Indigenous and non-Indigenous, fortnight ending 28 October 2011"/>
        <w:tblDescription w:val="Table 5-3 Composition of allocation by income management stream and Indigenous and non-Indigenous, fortnight ending 28 October 2011"/>
      </w:tblPr>
      <w:tblGrid>
        <w:gridCol w:w="1701"/>
        <w:gridCol w:w="1097"/>
        <w:gridCol w:w="1097"/>
        <w:gridCol w:w="667"/>
        <w:gridCol w:w="222"/>
        <w:gridCol w:w="1097"/>
        <w:gridCol w:w="1097"/>
        <w:gridCol w:w="667"/>
      </w:tblGrid>
      <w:tr w:rsidR="001013EC" w:rsidRPr="005911E2" w:rsidTr="009D15E2">
        <w:trPr>
          <w:tblHeader/>
          <w:jc w:val="right"/>
        </w:trPr>
        <w:tc>
          <w:tcPr>
            <w:tcW w:w="1701" w:type="dxa"/>
            <w:vMerge w:val="restart"/>
            <w:tcBorders>
              <w:top w:val="single" w:sz="4" w:space="0" w:color="auto"/>
            </w:tcBorders>
          </w:tcPr>
          <w:p w:rsidR="001013EC" w:rsidRPr="005911E2" w:rsidRDefault="001013EC" w:rsidP="001013EC">
            <w:pPr>
              <w:pStyle w:val="TableText"/>
              <w:rPr>
                <w:rFonts w:cs="Arial"/>
                <w:szCs w:val="18"/>
              </w:rPr>
            </w:pPr>
            <w:r w:rsidRPr="005911E2">
              <w:rPr>
                <w:rFonts w:cs="Arial"/>
                <w:szCs w:val="18"/>
              </w:rPr>
              <w:t>Allocation of IM funds</w:t>
            </w:r>
          </w:p>
        </w:tc>
        <w:tc>
          <w:tcPr>
            <w:tcW w:w="5944" w:type="dxa"/>
            <w:gridSpan w:val="7"/>
            <w:tcBorders>
              <w:top w:val="single" w:sz="4" w:space="0" w:color="auto"/>
              <w:bottom w:val="single" w:sz="4" w:space="0" w:color="000000"/>
            </w:tcBorders>
            <w:vAlign w:val="center"/>
          </w:tcPr>
          <w:p w:rsidR="001013EC" w:rsidRPr="005911E2" w:rsidRDefault="001013EC" w:rsidP="001013EC">
            <w:pPr>
              <w:pStyle w:val="TableText"/>
              <w:rPr>
                <w:rFonts w:cs="Arial"/>
                <w:szCs w:val="18"/>
              </w:rPr>
            </w:pPr>
            <w:r w:rsidRPr="005911E2">
              <w:rPr>
                <w:rFonts w:cs="Arial"/>
                <w:szCs w:val="18"/>
              </w:rPr>
              <w:t>IM stream</w:t>
            </w:r>
            <w:r w:rsidR="00783DF8">
              <w:rPr>
                <w:rFonts w:cs="Arial"/>
                <w:szCs w:val="18"/>
              </w:rPr>
              <w:t>:</w:t>
            </w:r>
          </w:p>
        </w:tc>
      </w:tr>
      <w:tr w:rsidR="001013EC" w:rsidRPr="005911E2" w:rsidTr="009D15E2">
        <w:trPr>
          <w:tblHeader/>
          <w:jc w:val="right"/>
        </w:trPr>
        <w:tc>
          <w:tcPr>
            <w:tcW w:w="1701" w:type="dxa"/>
            <w:vMerge/>
          </w:tcPr>
          <w:p w:rsidR="001013EC" w:rsidRPr="005911E2" w:rsidRDefault="001013EC" w:rsidP="001013EC">
            <w:pPr>
              <w:pStyle w:val="TableText"/>
              <w:rPr>
                <w:rFonts w:cs="Arial"/>
                <w:szCs w:val="18"/>
              </w:rPr>
            </w:pPr>
          </w:p>
        </w:tc>
        <w:tc>
          <w:tcPr>
            <w:tcW w:w="2861" w:type="dxa"/>
            <w:gridSpan w:val="3"/>
            <w:tcBorders>
              <w:top w:val="single" w:sz="4" w:space="0" w:color="000000"/>
              <w:bottom w:val="single" w:sz="4" w:space="0" w:color="000000"/>
            </w:tcBorders>
            <w:vAlign w:val="center"/>
          </w:tcPr>
          <w:p w:rsidR="001013EC" w:rsidRPr="005911E2" w:rsidRDefault="001013EC" w:rsidP="00CF78DB">
            <w:pPr>
              <w:pStyle w:val="TableText"/>
              <w:rPr>
                <w:rFonts w:cs="Arial"/>
                <w:szCs w:val="18"/>
              </w:rPr>
            </w:pPr>
            <w:r w:rsidRPr="005911E2">
              <w:rPr>
                <w:rFonts w:cs="Arial"/>
                <w:szCs w:val="18"/>
              </w:rPr>
              <w:t>CIM</w:t>
            </w:r>
            <w:r w:rsidR="00CF78DB">
              <w:rPr>
                <w:rFonts w:cs="Arial"/>
                <w:szCs w:val="18"/>
              </w:rPr>
              <w:t>,</w:t>
            </w:r>
            <w:r w:rsidRPr="005911E2">
              <w:rPr>
                <w:rFonts w:cs="Arial"/>
                <w:szCs w:val="18"/>
              </w:rPr>
              <w:t xml:space="preserve"> CPIM &amp; VULIM)</w:t>
            </w:r>
          </w:p>
        </w:tc>
        <w:tc>
          <w:tcPr>
            <w:tcW w:w="222" w:type="dxa"/>
            <w:tcBorders>
              <w:top w:val="single" w:sz="4" w:space="0" w:color="000000"/>
            </w:tcBorders>
            <w:vAlign w:val="center"/>
          </w:tcPr>
          <w:p w:rsidR="001013EC" w:rsidRPr="005911E2" w:rsidRDefault="001013EC" w:rsidP="001013EC">
            <w:pPr>
              <w:pStyle w:val="TableText"/>
              <w:rPr>
                <w:rFonts w:cs="Arial"/>
                <w:szCs w:val="18"/>
              </w:rPr>
            </w:pPr>
          </w:p>
        </w:tc>
        <w:tc>
          <w:tcPr>
            <w:tcW w:w="2861" w:type="dxa"/>
            <w:gridSpan w:val="3"/>
            <w:tcBorders>
              <w:top w:val="single" w:sz="4" w:space="0" w:color="000000"/>
              <w:bottom w:val="single" w:sz="4" w:space="0" w:color="000000"/>
            </w:tcBorders>
            <w:vAlign w:val="center"/>
          </w:tcPr>
          <w:p w:rsidR="001013EC" w:rsidRPr="005911E2" w:rsidRDefault="001013EC" w:rsidP="001013EC">
            <w:pPr>
              <w:pStyle w:val="TableText"/>
              <w:rPr>
                <w:rFonts w:cs="Arial"/>
                <w:szCs w:val="18"/>
              </w:rPr>
            </w:pPr>
            <w:r w:rsidRPr="005911E2">
              <w:rPr>
                <w:rFonts w:cs="Arial"/>
                <w:szCs w:val="18"/>
              </w:rPr>
              <w:t>VIM</w:t>
            </w:r>
          </w:p>
        </w:tc>
      </w:tr>
      <w:tr w:rsidR="001013EC" w:rsidRPr="005911E2" w:rsidTr="009D15E2">
        <w:trPr>
          <w:tblHeader/>
          <w:jc w:val="right"/>
        </w:trPr>
        <w:tc>
          <w:tcPr>
            <w:tcW w:w="1701" w:type="dxa"/>
            <w:vMerge/>
            <w:tcBorders>
              <w:bottom w:val="single" w:sz="4" w:space="0" w:color="auto"/>
            </w:tcBorders>
          </w:tcPr>
          <w:p w:rsidR="001013EC" w:rsidRPr="005911E2" w:rsidRDefault="001013EC" w:rsidP="001013EC">
            <w:pPr>
              <w:pStyle w:val="TableText"/>
              <w:rPr>
                <w:rFonts w:cs="Arial"/>
                <w:szCs w:val="18"/>
              </w:rPr>
            </w:pPr>
          </w:p>
        </w:tc>
        <w:tc>
          <w:tcPr>
            <w:tcW w:w="1097" w:type="dxa"/>
            <w:tcBorders>
              <w:top w:val="single" w:sz="4" w:space="0" w:color="000000"/>
              <w:bottom w:val="single" w:sz="4" w:space="0" w:color="auto"/>
            </w:tcBorders>
          </w:tcPr>
          <w:p w:rsidR="001013EC" w:rsidRPr="005911E2" w:rsidRDefault="001013EC" w:rsidP="001013EC">
            <w:pPr>
              <w:pStyle w:val="TableText"/>
              <w:jc w:val="right"/>
              <w:rPr>
                <w:rFonts w:cs="Arial"/>
                <w:szCs w:val="18"/>
              </w:rPr>
            </w:pPr>
            <w:r w:rsidRPr="005911E2">
              <w:rPr>
                <w:rFonts w:cs="Arial"/>
                <w:szCs w:val="18"/>
              </w:rPr>
              <w:t>Indigenous</w:t>
            </w:r>
          </w:p>
        </w:tc>
        <w:tc>
          <w:tcPr>
            <w:tcW w:w="1097" w:type="dxa"/>
            <w:tcBorders>
              <w:top w:val="single" w:sz="4" w:space="0" w:color="000000"/>
              <w:bottom w:val="single" w:sz="4" w:space="0" w:color="auto"/>
            </w:tcBorders>
          </w:tcPr>
          <w:p w:rsidR="001013EC" w:rsidRPr="005911E2" w:rsidRDefault="001013EC" w:rsidP="001013EC">
            <w:pPr>
              <w:pStyle w:val="TableText"/>
              <w:jc w:val="right"/>
              <w:rPr>
                <w:rFonts w:cs="Arial"/>
                <w:szCs w:val="18"/>
              </w:rPr>
            </w:pPr>
            <w:r w:rsidRPr="005911E2">
              <w:rPr>
                <w:rFonts w:cs="Arial"/>
                <w:szCs w:val="18"/>
              </w:rPr>
              <w:t>Non-Indigenous</w:t>
            </w:r>
          </w:p>
        </w:tc>
        <w:tc>
          <w:tcPr>
            <w:tcW w:w="667" w:type="dxa"/>
            <w:tcBorders>
              <w:top w:val="single" w:sz="4" w:space="0" w:color="000000"/>
              <w:bottom w:val="single" w:sz="4" w:space="0" w:color="auto"/>
            </w:tcBorders>
          </w:tcPr>
          <w:p w:rsidR="001013EC" w:rsidRPr="005911E2" w:rsidRDefault="001013EC" w:rsidP="001013EC">
            <w:pPr>
              <w:pStyle w:val="TableText"/>
              <w:jc w:val="right"/>
              <w:rPr>
                <w:rFonts w:cs="Arial"/>
                <w:szCs w:val="18"/>
              </w:rPr>
            </w:pPr>
            <w:r w:rsidRPr="005911E2">
              <w:rPr>
                <w:rFonts w:cs="Arial"/>
                <w:szCs w:val="18"/>
              </w:rPr>
              <w:t>Total</w:t>
            </w:r>
          </w:p>
        </w:tc>
        <w:tc>
          <w:tcPr>
            <w:tcW w:w="222" w:type="dxa"/>
            <w:tcBorders>
              <w:bottom w:val="single" w:sz="4" w:space="0" w:color="auto"/>
            </w:tcBorders>
          </w:tcPr>
          <w:p w:rsidR="001013EC" w:rsidRPr="005911E2" w:rsidRDefault="001013EC" w:rsidP="001013EC">
            <w:pPr>
              <w:pStyle w:val="TableText"/>
              <w:jc w:val="right"/>
              <w:rPr>
                <w:rFonts w:cs="Arial"/>
                <w:szCs w:val="18"/>
              </w:rPr>
            </w:pPr>
          </w:p>
        </w:tc>
        <w:tc>
          <w:tcPr>
            <w:tcW w:w="1097" w:type="dxa"/>
            <w:tcBorders>
              <w:top w:val="single" w:sz="4" w:space="0" w:color="000000"/>
              <w:bottom w:val="single" w:sz="4" w:space="0" w:color="auto"/>
            </w:tcBorders>
          </w:tcPr>
          <w:p w:rsidR="001013EC" w:rsidRPr="005911E2" w:rsidRDefault="001013EC" w:rsidP="001013EC">
            <w:pPr>
              <w:pStyle w:val="TableText"/>
              <w:jc w:val="right"/>
              <w:rPr>
                <w:rFonts w:cs="Arial"/>
                <w:szCs w:val="18"/>
              </w:rPr>
            </w:pPr>
            <w:r w:rsidRPr="005911E2">
              <w:rPr>
                <w:rFonts w:cs="Arial"/>
                <w:szCs w:val="18"/>
              </w:rPr>
              <w:t>Indigenous</w:t>
            </w:r>
          </w:p>
        </w:tc>
        <w:tc>
          <w:tcPr>
            <w:tcW w:w="1097" w:type="dxa"/>
            <w:tcBorders>
              <w:top w:val="single" w:sz="4" w:space="0" w:color="000000"/>
              <w:bottom w:val="single" w:sz="4" w:space="0" w:color="auto"/>
            </w:tcBorders>
          </w:tcPr>
          <w:p w:rsidR="001013EC" w:rsidRPr="005911E2" w:rsidRDefault="001013EC" w:rsidP="001013EC">
            <w:pPr>
              <w:pStyle w:val="TableText"/>
              <w:jc w:val="right"/>
              <w:rPr>
                <w:rFonts w:cs="Arial"/>
                <w:szCs w:val="18"/>
              </w:rPr>
            </w:pPr>
            <w:r w:rsidRPr="005911E2">
              <w:rPr>
                <w:rFonts w:cs="Arial"/>
                <w:szCs w:val="18"/>
              </w:rPr>
              <w:t>Non- Indigenous</w:t>
            </w:r>
          </w:p>
        </w:tc>
        <w:tc>
          <w:tcPr>
            <w:tcW w:w="667" w:type="dxa"/>
            <w:tcBorders>
              <w:top w:val="single" w:sz="4" w:space="0" w:color="000000"/>
              <w:bottom w:val="single" w:sz="4" w:space="0" w:color="auto"/>
            </w:tcBorders>
          </w:tcPr>
          <w:p w:rsidR="001013EC" w:rsidRPr="005911E2" w:rsidRDefault="001013EC" w:rsidP="001013EC">
            <w:pPr>
              <w:pStyle w:val="TableText"/>
              <w:jc w:val="right"/>
              <w:rPr>
                <w:rFonts w:cs="Arial"/>
                <w:szCs w:val="18"/>
              </w:rPr>
            </w:pPr>
            <w:r w:rsidRPr="005911E2">
              <w:rPr>
                <w:rFonts w:cs="Arial"/>
                <w:szCs w:val="18"/>
              </w:rPr>
              <w:t>Total</w:t>
            </w:r>
          </w:p>
        </w:tc>
      </w:tr>
      <w:tr w:rsidR="001013EC" w:rsidRPr="005911E2" w:rsidTr="00351FF6">
        <w:trPr>
          <w:jc w:val="right"/>
        </w:trPr>
        <w:tc>
          <w:tcPr>
            <w:tcW w:w="1701" w:type="dxa"/>
          </w:tcPr>
          <w:p w:rsidR="001013EC" w:rsidRPr="005911E2" w:rsidRDefault="001013EC" w:rsidP="001013EC">
            <w:pPr>
              <w:pStyle w:val="TableText"/>
              <w:rPr>
                <w:rFonts w:cs="Arial"/>
                <w:bCs/>
                <w:color w:val="000000"/>
                <w:szCs w:val="18"/>
                <w:lang w:bidi="ar-SA"/>
              </w:rPr>
            </w:pPr>
          </w:p>
        </w:tc>
        <w:tc>
          <w:tcPr>
            <w:tcW w:w="2861" w:type="dxa"/>
            <w:gridSpan w:val="3"/>
            <w:tcBorders>
              <w:top w:val="single" w:sz="4" w:space="0" w:color="auto"/>
            </w:tcBorders>
            <w:vAlign w:val="bottom"/>
          </w:tcPr>
          <w:p w:rsidR="001013EC" w:rsidRPr="005911E2" w:rsidRDefault="001013EC" w:rsidP="001013EC">
            <w:pPr>
              <w:pStyle w:val="TableText"/>
              <w:jc w:val="center"/>
              <w:rPr>
                <w:rFonts w:cs="Arial"/>
                <w:bCs/>
                <w:color w:val="000000"/>
                <w:szCs w:val="18"/>
                <w:lang w:bidi="ar-SA"/>
              </w:rPr>
            </w:pPr>
            <w:r w:rsidRPr="005911E2">
              <w:rPr>
                <w:rFonts w:cs="Arial"/>
                <w:bCs/>
                <w:color w:val="000000"/>
                <w:szCs w:val="18"/>
                <w:lang w:bidi="ar-SA"/>
              </w:rPr>
              <w:t>- % -</w:t>
            </w:r>
          </w:p>
        </w:tc>
        <w:tc>
          <w:tcPr>
            <w:tcW w:w="222" w:type="dxa"/>
            <w:vAlign w:val="bottom"/>
          </w:tcPr>
          <w:p w:rsidR="001013EC" w:rsidRPr="005911E2" w:rsidRDefault="001013EC" w:rsidP="001013EC">
            <w:pPr>
              <w:pStyle w:val="TableText"/>
              <w:jc w:val="right"/>
              <w:rPr>
                <w:rFonts w:cs="Arial"/>
                <w:bCs/>
                <w:color w:val="000000"/>
                <w:szCs w:val="18"/>
                <w:lang w:bidi="ar-SA"/>
              </w:rPr>
            </w:pPr>
          </w:p>
        </w:tc>
        <w:tc>
          <w:tcPr>
            <w:tcW w:w="2861" w:type="dxa"/>
            <w:gridSpan w:val="3"/>
            <w:tcBorders>
              <w:top w:val="single" w:sz="4" w:space="0" w:color="auto"/>
            </w:tcBorders>
            <w:vAlign w:val="bottom"/>
          </w:tcPr>
          <w:p w:rsidR="001013EC" w:rsidRPr="005911E2" w:rsidRDefault="001013EC" w:rsidP="001013EC">
            <w:pPr>
              <w:pStyle w:val="TableText"/>
              <w:jc w:val="center"/>
              <w:rPr>
                <w:rFonts w:cs="Arial"/>
                <w:bCs/>
                <w:color w:val="000000"/>
                <w:szCs w:val="18"/>
                <w:lang w:bidi="ar-SA"/>
              </w:rPr>
            </w:pPr>
            <w:r w:rsidRPr="005911E2">
              <w:rPr>
                <w:rFonts w:cs="Arial"/>
                <w:bCs/>
                <w:color w:val="000000"/>
                <w:szCs w:val="18"/>
                <w:lang w:bidi="ar-SA"/>
              </w:rPr>
              <w:t>- % -</w:t>
            </w:r>
          </w:p>
        </w:tc>
      </w:tr>
      <w:tr w:rsidR="001013EC" w:rsidRPr="005911E2" w:rsidTr="00351FF6">
        <w:trPr>
          <w:jc w:val="right"/>
        </w:trPr>
        <w:tc>
          <w:tcPr>
            <w:tcW w:w="1701" w:type="dxa"/>
          </w:tcPr>
          <w:p w:rsidR="001013EC" w:rsidRPr="005911E2" w:rsidRDefault="001013EC" w:rsidP="001013EC">
            <w:pPr>
              <w:pStyle w:val="TableText"/>
              <w:rPr>
                <w:rFonts w:cs="Arial"/>
                <w:szCs w:val="18"/>
              </w:rPr>
            </w:pPr>
            <w:r w:rsidRPr="005911E2">
              <w:rPr>
                <w:rFonts w:cs="Arial"/>
                <w:bCs/>
                <w:color w:val="000000"/>
                <w:szCs w:val="18"/>
                <w:lang w:bidi="ar-SA"/>
              </w:rPr>
              <w:t>Housing</w:t>
            </w:r>
          </w:p>
        </w:tc>
        <w:tc>
          <w:tcPr>
            <w:tcW w:w="1097" w:type="dxa"/>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9.9</w:t>
            </w:r>
          </w:p>
        </w:tc>
        <w:tc>
          <w:tcPr>
            <w:tcW w:w="1097" w:type="dxa"/>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7.1</w:t>
            </w:r>
          </w:p>
        </w:tc>
        <w:tc>
          <w:tcPr>
            <w:tcW w:w="667" w:type="dxa"/>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9.6</w:t>
            </w:r>
          </w:p>
        </w:tc>
        <w:tc>
          <w:tcPr>
            <w:tcW w:w="222" w:type="dxa"/>
            <w:vAlign w:val="bottom"/>
          </w:tcPr>
          <w:p w:rsidR="001013EC" w:rsidRPr="005911E2" w:rsidRDefault="001013EC" w:rsidP="001013EC">
            <w:pPr>
              <w:pStyle w:val="TableText"/>
              <w:jc w:val="right"/>
              <w:rPr>
                <w:rFonts w:cs="Arial"/>
                <w:bCs/>
                <w:color w:val="000000"/>
                <w:szCs w:val="18"/>
                <w:lang w:bidi="ar-SA"/>
              </w:rPr>
            </w:pPr>
          </w:p>
        </w:tc>
        <w:tc>
          <w:tcPr>
            <w:tcW w:w="1097" w:type="dxa"/>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11.3</w:t>
            </w:r>
          </w:p>
        </w:tc>
        <w:tc>
          <w:tcPr>
            <w:tcW w:w="1097" w:type="dxa"/>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12.5</w:t>
            </w:r>
          </w:p>
        </w:tc>
        <w:tc>
          <w:tcPr>
            <w:tcW w:w="667" w:type="dxa"/>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11.3</w:t>
            </w:r>
          </w:p>
        </w:tc>
      </w:tr>
      <w:tr w:rsidR="001013EC" w:rsidRPr="005911E2" w:rsidTr="00351FF6">
        <w:trPr>
          <w:jc w:val="right"/>
        </w:trPr>
        <w:tc>
          <w:tcPr>
            <w:tcW w:w="1701" w:type="dxa"/>
          </w:tcPr>
          <w:p w:rsidR="001013EC" w:rsidRPr="005911E2" w:rsidRDefault="001013EC" w:rsidP="001013EC">
            <w:pPr>
              <w:pStyle w:val="TableText"/>
              <w:rPr>
                <w:rFonts w:cs="Arial"/>
                <w:szCs w:val="18"/>
              </w:rPr>
            </w:pPr>
            <w:r w:rsidRPr="005911E2">
              <w:rPr>
                <w:rFonts w:cs="Arial"/>
                <w:bCs/>
                <w:color w:val="000000"/>
                <w:szCs w:val="18"/>
                <w:lang w:bidi="ar-SA"/>
              </w:rPr>
              <w:t>Utilities</w:t>
            </w:r>
          </w:p>
        </w:tc>
        <w:tc>
          <w:tcPr>
            <w:tcW w:w="1097" w:type="dxa"/>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0.4</w:t>
            </w:r>
          </w:p>
        </w:tc>
        <w:tc>
          <w:tcPr>
            <w:tcW w:w="1097" w:type="dxa"/>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2.6</w:t>
            </w:r>
          </w:p>
        </w:tc>
        <w:tc>
          <w:tcPr>
            <w:tcW w:w="667" w:type="dxa"/>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0.7</w:t>
            </w:r>
          </w:p>
        </w:tc>
        <w:tc>
          <w:tcPr>
            <w:tcW w:w="222" w:type="dxa"/>
            <w:vAlign w:val="bottom"/>
          </w:tcPr>
          <w:p w:rsidR="001013EC" w:rsidRPr="005911E2" w:rsidRDefault="001013EC" w:rsidP="001013EC">
            <w:pPr>
              <w:pStyle w:val="TableText"/>
              <w:jc w:val="right"/>
              <w:rPr>
                <w:rFonts w:cs="Arial"/>
                <w:bCs/>
                <w:color w:val="000000"/>
                <w:szCs w:val="18"/>
                <w:lang w:bidi="ar-SA"/>
              </w:rPr>
            </w:pPr>
          </w:p>
        </w:tc>
        <w:tc>
          <w:tcPr>
            <w:tcW w:w="1097" w:type="dxa"/>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0.4</w:t>
            </w:r>
          </w:p>
        </w:tc>
        <w:tc>
          <w:tcPr>
            <w:tcW w:w="1097" w:type="dxa"/>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3.1</w:t>
            </w:r>
          </w:p>
        </w:tc>
        <w:tc>
          <w:tcPr>
            <w:tcW w:w="667" w:type="dxa"/>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0.4</w:t>
            </w:r>
          </w:p>
        </w:tc>
      </w:tr>
      <w:tr w:rsidR="001013EC" w:rsidRPr="005911E2" w:rsidTr="00351FF6">
        <w:trPr>
          <w:jc w:val="right"/>
        </w:trPr>
        <w:tc>
          <w:tcPr>
            <w:tcW w:w="1701" w:type="dxa"/>
          </w:tcPr>
          <w:p w:rsidR="001013EC" w:rsidRPr="005911E2" w:rsidRDefault="001013EC" w:rsidP="001013EC">
            <w:pPr>
              <w:pStyle w:val="TableText"/>
              <w:rPr>
                <w:rFonts w:cs="Arial"/>
                <w:szCs w:val="18"/>
              </w:rPr>
            </w:pPr>
            <w:r w:rsidRPr="005911E2">
              <w:rPr>
                <w:rFonts w:cs="Arial"/>
                <w:bCs/>
                <w:color w:val="000000"/>
                <w:szCs w:val="18"/>
                <w:lang w:bidi="ar-SA"/>
              </w:rPr>
              <w:t>School nutrition</w:t>
            </w:r>
          </w:p>
        </w:tc>
        <w:tc>
          <w:tcPr>
            <w:tcW w:w="1097" w:type="dxa"/>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3.1</w:t>
            </w:r>
          </w:p>
        </w:tc>
        <w:tc>
          <w:tcPr>
            <w:tcW w:w="1097" w:type="dxa"/>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0.1</w:t>
            </w:r>
          </w:p>
        </w:tc>
        <w:tc>
          <w:tcPr>
            <w:tcW w:w="667" w:type="dxa"/>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2.8</w:t>
            </w:r>
          </w:p>
        </w:tc>
        <w:tc>
          <w:tcPr>
            <w:tcW w:w="222" w:type="dxa"/>
            <w:vAlign w:val="bottom"/>
          </w:tcPr>
          <w:p w:rsidR="001013EC" w:rsidRPr="005911E2" w:rsidRDefault="001013EC" w:rsidP="001013EC">
            <w:pPr>
              <w:pStyle w:val="TableText"/>
              <w:jc w:val="right"/>
              <w:rPr>
                <w:rFonts w:cs="Arial"/>
                <w:bCs/>
                <w:color w:val="000000"/>
                <w:szCs w:val="18"/>
                <w:lang w:bidi="ar-SA"/>
              </w:rPr>
            </w:pPr>
          </w:p>
        </w:tc>
        <w:tc>
          <w:tcPr>
            <w:tcW w:w="1097" w:type="dxa"/>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1.5</w:t>
            </w:r>
          </w:p>
        </w:tc>
        <w:tc>
          <w:tcPr>
            <w:tcW w:w="1097" w:type="dxa"/>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0.0</w:t>
            </w:r>
          </w:p>
        </w:tc>
        <w:tc>
          <w:tcPr>
            <w:tcW w:w="667" w:type="dxa"/>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1.4</w:t>
            </w:r>
          </w:p>
        </w:tc>
      </w:tr>
      <w:tr w:rsidR="001013EC" w:rsidRPr="005911E2" w:rsidTr="00351FF6">
        <w:trPr>
          <w:jc w:val="right"/>
        </w:trPr>
        <w:tc>
          <w:tcPr>
            <w:tcW w:w="1701" w:type="dxa"/>
          </w:tcPr>
          <w:p w:rsidR="001013EC" w:rsidRPr="005911E2" w:rsidRDefault="001013EC" w:rsidP="001013EC">
            <w:pPr>
              <w:pStyle w:val="TableText"/>
              <w:rPr>
                <w:rFonts w:cs="Arial"/>
                <w:szCs w:val="18"/>
              </w:rPr>
            </w:pPr>
            <w:r w:rsidRPr="005911E2">
              <w:rPr>
                <w:rFonts w:cs="Arial"/>
                <w:bCs/>
                <w:color w:val="000000"/>
                <w:szCs w:val="18"/>
                <w:lang w:bidi="ar-SA"/>
              </w:rPr>
              <w:t>BasicsCard</w:t>
            </w:r>
          </w:p>
        </w:tc>
        <w:tc>
          <w:tcPr>
            <w:tcW w:w="1097" w:type="dxa"/>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78.6</w:t>
            </w:r>
          </w:p>
        </w:tc>
        <w:tc>
          <w:tcPr>
            <w:tcW w:w="1097" w:type="dxa"/>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70.6</w:t>
            </w:r>
          </w:p>
        </w:tc>
        <w:tc>
          <w:tcPr>
            <w:tcW w:w="667" w:type="dxa"/>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77.8</w:t>
            </w:r>
          </w:p>
        </w:tc>
        <w:tc>
          <w:tcPr>
            <w:tcW w:w="222" w:type="dxa"/>
            <w:vAlign w:val="bottom"/>
          </w:tcPr>
          <w:p w:rsidR="001013EC" w:rsidRPr="005911E2" w:rsidRDefault="001013EC" w:rsidP="001013EC">
            <w:pPr>
              <w:pStyle w:val="TableText"/>
              <w:jc w:val="right"/>
              <w:rPr>
                <w:rFonts w:cs="Arial"/>
                <w:bCs/>
                <w:color w:val="000000"/>
                <w:szCs w:val="18"/>
                <w:lang w:bidi="ar-SA"/>
              </w:rPr>
            </w:pPr>
          </w:p>
        </w:tc>
        <w:tc>
          <w:tcPr>
            <w:tcW w:w="1097" w:type="dxa"/>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71.6</w:t>
            </w:r>
          </w:p>
        </w:tc>
        <w:tc>
          <w:tcPr>
            <w:tcW w:w="1097" w:type="dxa"/>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73.6</w:t>
            </w:r>
          </w:p>
        </w:tc>
        <w:tc>
          <w:tcPr>
            <w:tcW w:w="667" w:type="dxa"/>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71.6</w:t>
            </w:r>
          </w:p>
        </w:tc>
      </w:tr>
      <w:tr w:rsidR="001013EC" w:rsidRPr="005911E2" w:rsidTr="00351FF6">
        <w:trPr>
          <w:jc w:val="right"/>
        </w:trPr>
        <w:tc>
          <w:tcPr>
            <w:tcW w:w="1701" w:type="dxa"/>
          </w:tcPr>
          <w:p w:rsidR="001013EC" w:rsidRPr="005911E2" w:rsidRDefault="001013EC" w:rsidP="001013EC">
            <w:pPr>
              <w:pStyle w:val="TableText"/>
              <w:rPr>
                <w:rFonts w:cs="Arial"/>
                <w:szCs w:val="18"/>
              </w:rPr>
            </w:pPr>
            <w:r w:rsidRPr="005911E2">
              <w:rPr>
                <w:rFonts w:cs="Arial"/>
                <w:bCs/>
                <w:color w:val="000000"/>
                <w:szCs w:val="18"/>
                <w:lang w:bidi="ar-SA"/>
              </w:rPr>
              <w:t>Other</w:t>
            </w:r>
          </w:p>
        </w:tc>
        <w:tc>
          <w:tcPr>
            <w:tcW w:w="1097" w:type="dxa"/>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7.9</w:t>
            </w:r>
          </w:p>
        </w:tc>
        <w:tc>
          <w:tcPr>
            <w:tcW w:w="1097" w:type="dxa"/>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19.6</w:t>
            </w:r>
          </w:p>
        </w:tc>
        <w:tc>
          <w:tcPr>
            <w:tcW w:w="667" w:type="dxa"/>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9.2</w:t>
            </w:r>
          </w:p>
        </w:tc>
        <w:tc>
          <w:tcPr>
            <w:tcW w:w="222" w:type="dxa"/>
            <w:vAlign w:val="bottom"/>
          </w:tcPr>
          <w:p w:rsidR="001013EC" w:rsidRPr="005911E2" w:rsidRDefault="001013EC" w:rsidP="001013EC">
            <w:pPr>
              <w:pStyle w:val="TableText"/>
              <w:jc w:val="right"/>
              <w:rPr>
                <w:rFonts w:cs="Arial"/>
                <w:bCs/>
                <w:color w:val="000000"/>
                <w:szCs w:val="18"/>
                <w:lang w:bidi="ar-SA"/>
              </w:rPr>
            </w:pPr>
          </w:p>
        </w:tc>
        <w:tc>
          <w:tcPr>
            <w:tcW w:w="1097" w:type="dxa"/>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15.2</w:t>
            </w:r>
          </w:p>
        </w:tc>
        <w:tc>
          <w:tcPr>
            <w:tcW w:w="1097" w:type="dxa"/>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10.8</w:t>
            </w:r>
          </w:p>
        </w:tc>
        <w:tc>
          <w:tcPr>
            <w:tcW w:w="667" w:type="dxa"/>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15.2</w:t>
            </w:r>
          </w:p>
        </w:tc>
      </w:tr>
      <w:tr w:rsidR="001013EC" w:rsidRPr="005911E2" w:rsidTr="00351FF6">
        <w:trPr>
          <w:jc w:val="right"/>
        </w:trPr>
        <w:tc>
          <w:tcPr>
            <w:tcW w:w="1701" w:type="dxa"/>
            <w:tcBorders>
              <w:bottom w:val="single" w:sz="4" w:space="0" w:color="auto"/>
            </w:tcBorders>
          </w:tcPr>
          <w:p w:rsidR="001013EC" w:rsidRPr="005911E2" w:rsidRDefault="001013EC" w:rsidP="001013EC">
            <w:pPr>
              <w:pStyle w:val="TableText"/>
              <w:rPr>
                <w:rFonts w:cs="Arial"/>
                <w:szCs w:val="18"/>
              </w:rPr>
            </w:pPr>
            <w:r w:rsidRPr="005911E2">
              <w:rPr>
                <w:rFonts w:cs="Arial"/>
                <w:bCs/>
                <w:color w:val="000000"/>
                <w:szCs w:val="18"/>
                <w:lang w:bidi="ar-SA"/>
              </w:rPr>
              <w:t>Total</w:t>
            </w:r>
          </w:p>
        </w:tc>
        <w:tc>
          <w:tcPr>
            <w:tcW w:w="1097" w:type="dxa"/>
            <w:tcBorders>
              <w:bottom w:val="single" w:sz="4" w:space="0" w:color="auto"/>
            </w:tcBorders>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100.0</w:t>
            </w:r>
          </w:p>
        </w:tc>
        <w:tc>
          <w:tcPr>
            <w:tcW w:w="1097" w:type="dxa"/>
            <w:tcBorders>
              <w:bottom w:val="single" w:sz="4" w:space="0" w:color="auto"/>
            </w:tcBorders>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100.0</w:t>
            </w:r>
          </w:p>
        </w:tc>
        <w:tc>
          <w:tcPr>
            <w:tcW w:w="667" w:type="dxa"/>
            <w:tcBorders>
              <w:bottom w:val="single" w:sz="4" w:space="0" w:color="auto"/>
            </w:tcBorders>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100.0</w:t>
            </w:r>
          </w:p>
        </w:tc>
        <w:tc>
          <w:tcPr>
            <w:tcW w:w="222" w:type="dxa"/>
            <w:tcBorders>
              <w:bottom w:val="single" w:sz="4" w:space="0" w:color="auto"/>
            </w:tcBorders>
            <w:vAlign w:val="bottom"/>
          </w:tcPr>
          <w:p w:rsidR="001013EC" w:rsidRPr="005911E2" w:rsidRDefault="001013EC" w:rsidP="001013EC">
            <w:pPr>
              <w:pStyle w:val="TableText"/>
              <w:jc w:val="right"/>
              <w:rPr>
                <w:rFonts w:cs="Arial"/>
                <w:szCs w:val="18"/>
              </w:rPr>
            </w:pPr>
          </w:p>
        </w:tc>
        <w:tc>
          <w:tcPr>
            <w:tcW w:w="1097" w:type="dxa"/>
            <w:tcBorders>
              <w:bottom w:val="single" w:sz="4" w:space="0" w:color="auto"/>
            </w:tcBorders>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100.0</w:t>
            </w:r>
          </w:p>
        </w:tc>
        <w:tc>
          <w:tcPr>
            <w:tcW w:w="1097" w:type="dxa"/>
            <w:tcBorders>
              <w:bottom w:val="single" w:sz="4" w:space="0" w:color="auto"/>
            </w:tcBorders>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100.0</w:t>
            </w:r>
          </w:p>
        </w:tc>
        <w:tc>
          <w:tcPr>
            <w:tcW w:w="667" w:type="dxa"/>
            <w:tcBorders>
              <w:bottom w:val="single" w:sz="4" w:space="0" w:color="auto"/>
            </w:tcBorders>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100.0</w:t>
            </w:r>
          </w:p>
        </w:tc>
      </w:tr>
      <w:tr w:rsidR="001013EC" w:rsidRPr="005911E2" w:rsidTr="00351FF6">
        <w:trPr>
          <w:jc w:val="right"/>
        </w:trPr>
        <w:tc>
          <w:tcPr>
            <w:tcW w:w="1701" w:type="dxa"/>
            <w:tcBorders>
              <w:top w:val="single" w:sz="4" w:space="0" w:color="auto"/>
            </w:tcBorders>
          </w:tcPr>
          <w:p w:rsidR="001013EC" w:rsidRPr="005911E2" w:rsidRDefault="001013EC" w:rsidP="001013EC">
            <w:pPr>
              <w:pStyle w:val="TableText"/>
              <w:rPr>
                <w:rFonts w:cs="Arial"/>
                <w:bCs/>
                <w:color w:val="000000"/>
                <w:szCs w:val="18"/>
                <w:lang w:bidi="ar-SA"/>
              </w:rPr>
            </w:pPr>
          </w:p>
        </w:tc>
        <w:tc>
          <w:tcPr>
            <w:tcW w:w="5944" w:type="dxa"/>
            <w:gridSpan w:val="7"/>
            <w:tcBorders>
              <w:top w:val="single" w:sz="4" w:space="0" w:color="auto"/>
            </w:tcBorders>
            <w:vAlign w:val="bottom"/>
          </w:tcPr>
          <w:p w:rsidR="001013EC" w:rsidRPr="005911E2" w:rsidRDefault="001013EC" w:rsidP="001013EC">
            <w:pPr>
              <w:pStyle w:val="TableText"/>
              <w:jc w:val="center"/>
              <w:rPr>
                <w:rFonts w:cs="Arial"/>
                <w:bCs/>
                <w:color w:val="000000"/>
                <w:szCs w:val="18"/>
                <w:lang w:bidi="ar-SA"/>
              </w:rPr>
            </w:pPr>
            <w:r w:rsidRPr="005911E2">
              <w:rPr>
                <w:rFonts w:cs="Arial"/>
                <w:bCs/>
                <w:color w:val="000000"/>
                <w:szCs w:val="18"/>
                <w:lang w:bidi="ar-SA"/>
              </w:rPr>
              <w:t>IM allocation ($ per fortnight)</w:t>
            </w:r>
          </w:p>
        </w:tc>
      </w:tr>
      <w:tr w:rsidR="001013EC" w:rsidRPr="005911E2" w:rsidTr="00351FF6">
        <w:trPr>
          <w:jc w:val="right"/>
        </w:trPr>
        <w:tc>
          <w:tcPr>
            <w:tcW w:w="1701" w:type="dxa"/>
          </w:tcPr>
          <w:p w:rsidR="001013EC" w:rsidRPr="005911E2" w:rsidRDefault="001013EC" w:rsidP="001013EC">
            <w:pPr>
              <w:pStyle w:val="TableText"/>
              <w:rPr>
                <w:rFonts w:cs="Arial"/>
                <w:bCs/>
                <w:color w:val="000000"/>
                <w:szCs w:val="18"/>
                <w:lang w:bidi="ar-SA"/>
              </w:rPr>
            </w:pPr>
            <w:r w:rsidRPr="005911E2">
              <w:rPr>
                <w:rFonts w:cs="Arial"/>
                <w:bCs/>
                <w:color w:val="000000"/>
                <w:szCs w:val="18"/>
                <w:lang w:bidi="ar-SA"/>
              </w:rPr>
              <w:t>Mean ($)</w:t>
            </w:r>
          </w:p>
        </w:tc>
        <w:tc>
          <w:tcPr>
            <w:tcW w:w="1097" w:type="dxa"/>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386</w:t>
            </w:r>
          </w:p>
        </w:tc>
        <w:tc>
          <w:tcPr>
            <w:tcW w:w="1097" w:type="dxa"/>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354</w:t>
            </w:r>
          </w:p>
        </w:tc>
        <w:tc>
          <w:tcPr>
            <w:tcW w:w="667" w:type="dxa"/>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382</w:t>
            </w:r>
          </w:p>
        </w:tc>
        <w:tc>
          <w:tcPr>
            <w:tcW w:w="222" w:type="dxa"/>
            <w:vAlign w:val="bottom"/>
          </w:tcPr>
          <w:p w:rsidR="001013EC" w:rsidRPr="005911E2" w:rsidRDefault="001013EC" w:rsidP="001013EC">
            <w:pPr>
              <w:pStyle w:val="TableText"/>
              <w:jc w:val="right"/>
              <w:rPr>
                <w:rFonts w:cs="Arial"/>
                <w:bCs/>
                <w:color w:val="000000"/>
                <w:szCs w:val="18"/>
                <w:lang w:bidi="ar-SA"/>
              </w:rPr>
            </w:pPr>
          </w:p>
        </w:tc>
        <w:tc>
          <w:tcPr>
            <w:tcW w:w="1097" w:type="dxa"/>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419</w:t>
            </w:r>
          </w:p>
        </w:tc>
        <w:tc>
          <w:tcPr>
            <w:tcW w:w="1097" w:type="dxa"/>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420</w:t>
            </w:r>
          </w:p>
        </w:tc>
        <w:tc>
          <w:tcPr>
            <w:tcW w:w="667" w:type="dxa"/>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419</w:t>
            </w:r>
          </w:p>
        </w:tc>
      </w:tr>
      <w:tr w:rsidR="001013EC" w:rsidRPr="005911E2" w:rsidTr="00351FF6">
        <w:trPr>
          <w:jc w:val="right"/>
        </w:trPr>
        <w:tc>
          <w:tcPr>
            <w:tcW w:w="1701" w:type="dxa"/>
            <w:tcBorders>
              <w:bottom w:val="single" w:sz="4" w:space="0" w:color="auto"/>
            </w:tcBorders>
          </w:tcPr>
          <w:p w:rsidR="001013EC" w:rsidRPr="005911E2" w:rsidRDefault="001013EC" w:rsidP="001013EC">
            <w:pPr>
              <w:pStyle w:val="TableText"/>
              <w:rPr>
                <w:rFonts w:cs="Arial"/>
                <w:bCs/>
                <w:color w:val="000000"/>
                <w:szCs w:val="18"/>
                <w:lang w:bidi="ar-SA"/>
              </w:rPr>
            </w:pPr>
            <w:r w:rsidRPr="005911E2">
              <w:rPr>
                <w:rFonts w:cs="Arial"/>
                <w:bCs/>
                <w:color w:val="000000"/>
                <w:szCs w:val="18"/>
                <w:lang w:bidi="ar-SA"/>
              </w:rPr>
              <w:t>Median ($)</w:t>
            </w:r>
          </w:p>
        </w:tc>
        <w:tc>
          <w:tcPr>
            <w:tcW w:w="1097" w:type="dxa"/>
            <w:tcBorders>
              <w:bottom w:val="single" w:sz="4" w:space="0" w:color="auto"/>
            </w:tcBorders>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287</w:t>
            </w:r>
          </w:p>
        </w:tc>
        <w:tc>
          <w:tcPr>
            <w:tcW w:w="1097" w:type="dxa"/>
            <w:tcBorders>
              <w:bottom w:val="single" w:sz="4" w:space="0" w:color="auto"/>
            </w:tcBorders>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253</w:t>
            </w:r>
          </w:p>
        </w:tc>
        <w:tc>
          <w:tcPr>
            <w:tcW w:w="667" w:type="dxa"/>
            <w:tcBorders>
              <w:bottom w:val="single" w:sz="4" w:space="0" w:color="auto"/>
            </w:tcBorders>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280</w:t>
            </w:r>
          </w:p>
        </w:tc>
        <w:tc>
          <w:tcPr>
            <w:tcW w:w="222" w:type="dxa"/>
            <w:tcBorders>
              <w:bottom w:val="single" w:sz="4" w:space="0" w:color="auto"/>
            </w:tcBorders>
            <w:vAlign w:val="bottom"/>
          </w:tcPr>
          <w:p w:rsidR="001013EC" w:rsidRPr="005911E2" w:rsidRDefault="001013EC" w:rsidP="001013EC">
            <w:pPr>
              <w:pStyle w:val="TableText"/>
              <w:jc w:val="right"/>
              <w:rPr>
                <w:rFonts w:cs="Arial"/>
                <w:bCs/>
                <w:color w:val="000000"/>
                <w:szCs w:val="18"/>
                <w:lang w:bidi="ar-SA"/>
              </w:rPr>
            </w:pPr>
          </w:p>
        </w:tc>
        <w:tc>
          <w:tcPr>
            <w:tcW w:w="1097" w:type="dxa"/>
            <w:tcBorders>
              <w:bottom w:val="single" w:sz="4" w:space="0" w:color="auto"/>
            </w:tcBorders>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350</w:t>
            </w:r>
          </w:p>
        </w:tc>
        <w:tc>
          <w:tcPr>
            <w:tcW w:w="1097" w:type="dxa"/>
            <w:tcBorders>
              <w:bottom w:val="single" w:sz="4" w:space="0" w:color="auto"/>
            </w:tcBorders>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292</w:t>
            </w:r>
          </w:p>
        </w:tc>
        <w:tc>
          <w:tcPr>
            <w:tcW w:w="667" w:type="dxa"/>
            <w:tcBorders>
              <w:bottom w:val="single" w:sz="4" w:space="0" w:color="auto"/>
            </w:tcBorders>
            <w:vAlign w:val="bottom"/>
          </w:tcPr>
          <w:p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350</w:t>
            </w:r>
          </w:p>
        </w:tc>
      </w:tr>
    </w:tbl>
    <w:p w:rsidR="001013EC" w:rsidRPr="005911E2" w:rsidRDefault="001013EC" w:rsidP="00CF78DB">
      <w:pPr>
        <w:pStyle w:val="tablefootnotes"/>
      </w:pPr>
      <w:r w:rsidRPr="005911E2">
        <w:t xml:space="preserve">Source: </w:t>
      </w:r>
      <w:r w:rsidR="00CF78DB">
        <w:tab/>
      </w:r>
      <w:r w:rsidRPr="005911E2">
        <w:t xml:space="preserve">Centrelink expenses report and </w:t>
      </w:r>
      <w:r w:rsidR="001F06FE">
        <w:t>income management</w:t>
      </w:r>
      <w:r w:rsidRPr="005911E2">
        <w:t xml:space="preserve"> person files for fortnight ending 28 October 2011</w:t>
      </w:r>
      <w:r w:rsidR="00943DCB">
        <w:t>.</w:t>
      </w:r>
    </w:p>
    <w:p w:rsidR="001013EC" w:rsidRPr="005911E2" w:rsidRDefault="001013EC" w:rsidP="00CF78DB">
      <w:pPr>
        <w:pStyle w:val="tablefootnotes"/>
      </w:pPr>
    </w:p>
    <w:p w:rsidR="001013EC" w:rsidRPr="005911E2" w:rsidRDefault="001013EC" w:rsidP="001013EC">
      <w:pPr>
        <w:pStyle w:val="BodyText"/>
      </w:pPr>
      <w:r w:rsidRPr="005911E2">
        <w:t>While perhaps more marked by consistency rather than difference, this and the following tables highlight some variations in the way in which these groups allocated their funds.</w:t>
      </w:r>
    </w:p>
    <w:p w:rsidR="001013EC" w:rsidRPr="005911E2" w:rsidRDefault="001013EC" w:rsidP="001013EC">
      <w:pPr>
        <w:pStyle w:val="BodyText"/>
      </w:pPr>
      <w:r w:rsidRPr="005911E2">
        <w:t xml:space="preserve">Amongst those on the various </w:t>
      </w:r>
      <w:r w:rsidR="001F06FE">
        <w:t xml:space="preserve">compulsory </w:t>
      </w:r>
      <w:r w:rsidRPr="005911E2">
        <w:t xml:space="preserve">streams of </w:t>
      </w:r>
      <w:r w:rsidR="00F878E4">
        <w:t>income management</w:t>
      </w:r>
      <w:r w:rsidRPr="005911E2">
        <w:t xml:space="preserve">, Indigenous people tend to allocate a greater share of </w:t>
      </w:r>
      <w:r w:rsidR="006F315A" w:rsidRPr="005911E2">
        <w:t>their funds</w:t>
      </w:r>
      <w:r w:rsidRPr="005911E2">
        <w:t xml:space="preserve"> to their BasicsCard than non-Indigenous persons. They also allocated somewhat more to housing and less to utilities. They are also, as would be anticipated given their geographic locations, the main user of </w:t>
      </w:r>
      <w:r w:rsidR="00F878E4">
        <w:t>income management</w:t>
      </w:r>
      <w:r w:rsidRPr="005911E2">
        <w:t xml:space="preserve"> to pay for the School Nutrition Program which is directed at remote areas. Non-Indigenous people tended to allocate a lot more of their fun</w:t>
      </w:r>
      <w:r w:rsidR="003B4A1A">
        <w:t>ds (20 per cent compared with 8 </w:t>
      </w:r>
      <w:r w:rsidRPr="005911E2">
        <w:t>per cent) to the large number of items that made up the ‘other’ component.</w:t>
      </w:r>
    </w:p>
    <w:p w:rsidR="001013EC" w:rsidRPr="005911E2" w:rsidRDefault="001013EC" w:rsidP="001013EC">
      <w:pPr>
        <w:pStyle w:val="BodyText"/>
      </w:pPr>
      <w:r w:rsidRPr="005911E2">
        <w:t xml:space="preserve">Relative to those on the compulsory measures, people on </w:t>
      </w:r>
      <w:r w:rsidR="002B5A5C">
        <w:t>Voluntary Income Management</w:t>
      </w:r>
      <w:r w:rsidRPr="005911E2">
        <w:t xml:space="preserve"> allocated more to housing, a little less to </w:t>
      </w:r>
      <w:r w:rsidR="001F06FE">
        <w:t xml:space="preserve">the </w:t>
      </w:r>
      <w:r w:rsidRPr="005911E2">
        <w:t>BasicsCard and more to ‘other’ expenditures.</w:t>
      </w:r>
    </w:p>
    <w:p w:rsidR="001013EC" w:rsidRPr="005911E2" w:rsidRDefault="001013EC" w:rsidP="00BD6DFD">
      <w:pPr>
        <w:pStyle w:val="Heading3"/>
      </w:pPr>
      <w:r w:rsidRPr="005911E2">
        <w:t xml:space="preserve">Allocation by </w:t>
      </w:r>
      <w:r w:rsidR="001F06FE">
        <w:t>i</w:t>
      </w:r>
      <w:r w:rsidRPr="005911E2">
        <w:t>ncome support type</w:t>
      </w:r>
    </w:p>
    <w:p w:rsidR="00CF78DB" w:rsidRDefault="001013EC" w:rsidP="001013EC">
      <w:pPr>
        <w:pStyle w:val="BodyText"/>
        <w:rPr>
          <w:lang w:eastAsia="en-US"/>
        </w:rPr>
      </w:pPr>
      <w:r w:rsidRPr="005911E2">
        <w:rPr>
          <w:lang w:eastAsia="en-US"/>
        </w:rPr>
        <w:t>There is more variation in the pattern of allocation of funds when the population is classified by the type of income support payment that people are on. This is illustrate</w:t>
      </w:r>
      <w:r w:rsidR="009A3DC6" w:rsidRPr="005911E2">
        <w:rPr>
          <w:lang w:eastAsia="en-US"/>
        </w:rPr>
        <w:t>d</w:t>
      </w:r>
      <w:r w:rsidRPr="005911E2">
        <w:rPr>
          <w:lang w:eastAsia="en-US"/>
        </w:rPr>
        <w:t xml:space="preserve"> in </w:t>
      </w:r>
      <w:r w:rsidR="006F14AA" w:rsidRPr="005911E2">
        <w:t xml:space="preserve">Table </w:t>
      </w:r>
      <w:r w:rsidR="006F14AA" w:rsidRPr="005911E2">
        <w:rPr>
          <w:noProof/>
        </w:rPr>
        <w:t>5</w:t>
      </w:r>
      <w:r w:rsidR="006F14AA" w:rsidRPr="005911E2">
        <w:noBreakHyphen/>
      </w:r>
      <w:r w:rsidR="006F14AA" w:rsidRPr="005911E2">
        <w:rPr>
          <w:noProof/>
        </w:rPr>
        <w:t>4</w:t>
      </w:r>
      <w:r w:rsidRPr="005911E2">
        <w:rPr>
          <w:lang w:eastAsia="en-US"/>
        </w:rPr>
        <w:t xml:space="preserve"> which shows the population on </w:t>
      </w:r>
      <w:r w:rsidR="001F06FE">
        <w:rPr>
          <w:lang w:eastAsia="en-US"/>
        </w:rPr>
        <w:t>the compulsory streams of income management</w:t>
      </w:r>
      <w:r w:rsidRPr="005911E2">
        <w:rPr>
          <w:lang w:eastAsia="en-US"/>
        </w:rPr>
        <w:t xml:space="preserve"> by the three main forms of income support (Newstart</w:t>
      </w:r>
      <w:r w:rsidR="009D040F">
        <w:rPr>
          <w:lang w:eastAsia="en-US"/>
        </w:rPr>
        <w:t xml:space="preserve"> Allowance</w:t>
      </w:r>
      <w:r w:rsidRPr="005911E2">
        <w:rPr>
          <w:lang w:eastAsia="en-US"/>
        </w:rPr>
        <w:t xml:space="preserve">, Parenting Payment Partnered and Parenting Payment Single) and the </w:t>
      </w:r>
      <w:r w:rsidR="002B5A5C">
        <w:rPr>
          <w:lang w:eastAsia="en-US"/>
        </w:rPr>
        <w:t>Voluntary Income Management</w:t>
      </w:r>
      <w:r w:rsidRPr="005911E2">
        <w:rPr>
          <w:lang w:eastAsia="en-US"/>
        </w:rPr>
        <w:t xml:space="preserve"> population by those on </w:t>
      </w:r>
      <w:r w:rsidR="001F06FE">
        <w:rPr>
          <w:lang w:eastAsia="en-US"/>
        </w:rPr>
        <w:t>the Disability Support Pension</w:t>
      </w:r>
      <w:r w:rsidRPr="005911E2">
        <w:rPr>
          <w:lang w:eastAsia="en-US"/>
        </w:rPr>
        <w:t xml:space="preserve">. </w:t>
      </w:r>
    </w:p>
    <w:p w:rsidR="001013EC" w:rsidRPr="005911E2" w:rsidRDefault="001013EC" w:rsidP="001013EC">
      <w:pPr>
        <w:pStyle w:val="tabfighead"/>
      </w:pPr>
      <w:bookmarkStart w:id="462" w:name="_Ref321731237"/>
      <w:bookmarkStart w:id="463" w:name="_Toc321430422"/>
      <w:bookmarkStart w:id="464" w:name="_Toc321761692"/>
      <w:bookmarkStart w:id="465" w:name="_Toc321254541"/>
      <w:bookmarkStart w:id="466" w:name="_Toc328601589"/>
      <w:bookmarkStart w:id="467" w:name="_Toc329051367"/>
      <w:bookmarkStart w:id="468" w:name="_Toc335915855"/>
      <w:r w:rsidRPr="005911E2">
        <w:lastRenderedPageBreak/>
        <w:t xml:space="preserve">Table </w:t>
      </w:r>
      <w:r w:rsidR="00C7347D" w:rsidRPr="005911E2">
        <w:fldChar w:fldCharType="begin"/>
      </w:r>
      <w:r w:rsidR="00435FEB" w:rsidRPr="005911E2">
        <w:instrText xml:space="preserve"> STYLEREF 1 \s </w:instrText>
      </w:r>
      <w:r w:rsidR="00C7347D" w:rsidRPr="005911E2">
        <w:fldChar w:fldCharType="separate"/>
      </w:r>
      <w:r w:rsidR="007D7E45">
        <w:rPr>
          <w:noProof/>
        </w:rPr>
        <w:t>5</w:t>
      </w:r>
      <w:r w:rsidR="00C7347D" w:rsidRPr="005911E2">
        <w:rPr>
          <w:noProof/>
        </w:rPr>
        <w:fldChar w:fldCharType="end"/>
      </w:r>
      <w:r w:rsidRPr="005911E2">
        <w:noBreakHyphen/>
      </w:r>
      <w:r w:rsidR="00C7347D" w:rsidRPr="005911E2">
        <w:fldChar w:fldCharType="begin"/>
      </w:r>
      <w:r w:rsidR="00435FEB" w:rsidRPr="005911E2">
        <w:instrText xml:space="preserve"> SEQ Table \* ARABIC \s 1 </w:instrText>
      </w:r>
      <w:r w:rsidR="00C7347D" w:rsidRPr="005911E2">
        <w:fldChar w:fldCharType="separate"/>
      </w:r>
      <w:r w:rsidR="007D7E45">
        <w:rPr>
          <w:noProof/>
        </w:rPr>
        <w:t>4</w:t>
      </w:r>
      <w:r w:rsidR="00C7347D" w:rsidRPr="005911E2">
        <w:rPr>
          <w:noProof/>
        </w:rPr>
        <w:fldChar w:fldCharType="end"/>
      </w:r>
      <w:bookmarkEnd w:id="462"/>
      <w:r w:rsidRPr="005911E2">
        <w:t xml:space="preserve"> </w:t>
      </w:r>
      <w:r w:rsidRPr="005911E2">
        <w:tab/>
        <w:t xml:space="preserve">Composition of allocation by </w:t>
      </w:r>
      <w:r w:rsidR="00F878E4">
        <w:t>income management</w:t>
      </w:r>
      <w:r w:rsidRPr="005911E2">
        <w:t xml:space="preserve"> stream and type of Income support, fortnight ending 28 October 2011</w:t>
      </w:r>
      <w:bookmarkEnd w:id="463"/>
      <w:bookmarkEnd w:id="464"/>
      <w:bookmarkEnd w:id="465"/>
      <w:bookmarkEnd w:id="466"/>
      <w:bookmarkEnd w:id="467"/>
      <w:bookmarkEnd w:id="468"/>
    </w:p>
    <w:tbl>
      <w:tblPr>
        <w:tblStyle w:val="TableGrid"/>
        <w:tblW w:w="3694" w:type="pct"/>
        <w:tblInd w:w="18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5-4 Composition of allocation by income management stream and type of Income support, fortnight ending 28 October 2011"/>
        <w:tblDescription w:val="Table 5-4 Composition of allocation by income management stream and type of Income support, fortnight ending 28 October 2011"/>
      </w:tblPr>
      <w:tblGrid>
        <w:gridCol w:w="1703"/>
        <w:gridCol w:w="994"/>
        <w:gridCol w:w="990"/>
        <w:gridCol w:w="1136"/>
        <w:gridCol w:w="992"/>
        <w:gridCol w:w="904"/>
      </w:tblGrid>
      <w:tr w:rsidR="001013EC" w:rsidRPr="00911315" w:rsidTr="009D15E2">
        <w:trPr>
          <w:tblHeader/>
        </w:trPr>
        <w:tc>
          <w:tcPr>
            <w:tcW w:w="1267" w:type="pct"/>
            <w:tcBorders>
              <w:top w:val="single" w:sz="4" w:space="0" w:color="auto"/>
              <w:bottom w:val="single" w:sz="4" w:space="0" w:color="000000"/>
            </w:tcBorders>
          </w:tcPr>
          <w:p w:rsidR="001013EC" w:rsidRPr="00911315" w:rsidRDefault="001013EC" w:rsidP="000F4DDD">
            <w:pPr>
              <w:pStyle w:val="braytabletext"/>
              <w:rPr>
                <w:szCs w:val="16"/>
              </w:rPr>
            </w:pPr>
            <w:r w:rsidRPr="00911315">
              <w:rPr>
                <w:szCs w:val="16"/>
              </w:rPr>
              <w:t>Allocation of</w:t>
            </w:r>
            <w:r w:rsidR="000F4DDD">
              <w:rPr>
                <w:szCs w:val="16"/>
              </w:rPr>
              <w:t xml:space="preserve"> IM </w:t>
            </w:r>
            <w:r w:rsidRPr="00911315">
              <w:rPr>
                <w:szCs w:val="16"/>
              </w:rPr>
              <w:t>funds</w:t>
            </w:r>
          </w:p>
        </w:tc>
        <w:tc>
          <w:tcPr>
            <w:tcW w:w="740" w:type="pct"/>
            <w:tcBorders>
              <w:top w:val="single" w:sz="4" w:space="0" w:color="auto"/>
              <w:bottom w:val="single" w:sz="4" w:space="0" w:color="auto"/>
            </w:tcBorders>
          </w:tcPr>
          <w:p w:rsidR="001013EC" w:rsidRPr="00911315" w:rsidRDefault="001013EC" w:rsidP="00943DCB">
            <w:pPr>
              <w:pStyle w:val="braytabletext"/>
              <w:jc w:val="right"/>
              <w:rPr>
                <w:szCs w:val="16"/>
              </w:rPr>
            </w:pPr>
            <w:r w:rsidRPr="00911315">
              <w:rPr>
                <w:szCs w:val="16"/>
              </w:rPr>
              <w:t>Newstart Allowance</w:t>
            </w:r>
          </w:p>
        </w:tc>
        <w:tc>
          <w:tcPr>
            <w:tcW w:w="737" w:type="pct"/>
            <w:tcBorders>
              <w:top w:val="single" w:sz="4" w:space="0" w:color="auto"/>
              <w:bottom w:val="single" w:sz="4" w:space="0" w:color="auto"/>
            </w:tcBorders>
          </w:tcPr>
          <w:p w:rsidR="001013EC" w:rsidRPr="00911315" w:rsidRDefault="001013EC" w:rsidP="00943DCB">
            <w:pPr>
              <w:pStyle w:val="braytabletext"/>
              <w:jc w:val="right"/>
              <w:rPr>
                <w:szCs w:val="16"/>
              </w:rPr>
            </w:pPr>
            <w:r w:rsidRPr="00911315">
              <w:rPr>
                <w:szCs w:val="16"/>
              </w:rPr>
              <w:t>Disability Support Pension</w:t>
            </w:r>
          </w:p>
        </w:tc>
        <w:tc>
          <w:tcPr>
            <w:tcW w:w="845" w:type="pct"/>
            <w:tcBorders>
              <w:top w:val="single" w:sz="4" w:space="0" w:color="auto"/>
              <w:bottom w:val="single" w:sz="4" w:space="0" w:color="auto"/>
            </w:tcBorders>
          </w:tcPr>
          <w:p w:rsidR="001013EC" w:rsidRPr="00911315" w:rsidRDefault="001013EC" w:rsidP="00943DCB">
            <w:pPr>
              <w:pStyle w:val="braytabletext"/>
              <w:jc w:val="right"/>
              <w:rPr>
                <w:szCs w:val="16"/>
              </w:rPr>
            </w:pPr>
            <w:r w:rsidRPr="00911315">
              <w:rPr>
                <w:szCs w:val="16"/>
              </w:rPr>
              <w:t>Parenting Payment Partnered</w:t>
            </w:r>
          </w:p>
        </w:tc>
        <w:tc>
          <w:tcPr>
            <w:tcW w:w="737" w:type="pct"/>
            <w:tcBorders>
              <w:top w:val="single" w:sz="4" w:space="0" w:color="auto"/>
              <w:bottom w:val="single" w:sz="4" w:space="0" w:color="auto"/>
            </w:tcBorders>
          </w:tcPr>
          <w:p w:rsidR="001013EC" w:rsidRPr="00911315" w:rsidRDefault="001013EC" w:rsidP="00943DCB">
            <w:pPr>
              <w:pStyle w:val="braytabletext"/>
              <w:jc w:val="right"/>
              <w:rPr>
                <w:szCs w:val="16"/>
              </w:rPr>
            </w:pPr>
            <w:r w:rsidRPr="00911315">
              <w:rPr>
                <w:szCs w:val="16"/>
              </w:rPr>
              <w:t>Parenting Payment Single</w:t>
            </w:r>
          </w:p>
        </w:tc>
        <w:tc>
          <w:tcPr>
            <w:tcW w:w="675" w:type="pct"/>
            <w:tcBorders>
              <w:top w:val="single" w:sz="4" w:space="0" w:color="auto"/>
              <w:bottom w:val="single" w:sz="4" w:space="0" w:color="auto"/>
            </w:tcBorders>
          </w:tcPr>
          <w:p w:rsidR="001013EC" w:rsidRPr="00911315" w:rsidRDefault="001013EC" w:rsidP="00943DCB">
            <w:pPr>
              <w:pStyle w:val="braytabletext"/>
              <w:jc w:val="right"/>
              <w:rPr>
                <w:szCs w:val="16"/>
              </w:rPr>
            </w:pPr>
            <w:r w:rsidRPr="00911315">
              <w:rPr>
                <w:szCs w:val="16"/>
              </w:rPr>
              <w:t>All(a)</w:t>
            </w:r>
          </w:p>
        </w:tc>
      </w:tr>
      <w:tr w:rsidR="001013EC" w:rsidRPr="00911315" w:rsidTr="000F4DDD">
        <w:tc>
          <w:tcPr>
            <w:tcW w:w="1267" w:type="pct"/>
            <w:tcBorders>
              <w:bottom w:val="single" w:sz="4" w:space="0" w:color="000000"/>
            </w:tcBorders>
          </w:tcPr>
          <w:p w:rsidR="001013EC" w:rsidRPr="00911315" w:rsidRDefault="001013EC" w:rsidP="00E24340">
            <w:pPr>
              <w:pStyle w:val="braytabletext"/>
              <w:rPr>
                <w:szCs w:val="16"/>
              </w:rPr>
            </w:pPr>
          </w:p>
        </w:tc>
        <w:tc>
          <w:tcPr>
            <w:tcW w:w="3733" w:type="pct"/>
            <w:gridSpan w:val="5"/>
            <w:tcBorders>
              <w:bottom w:val="single" w:sz="4" w:space="0" w:color="000000"/>
            </w:tcBorders>
            <w:vAlign w:val="bottom"/>
          </w:tcPr>
          <w:p w:rsidR="001013EC" w:rsidRPr="00911315" w:rsidRDefault="001013EC" w:rsidP="00E24340">
            <w:pPr>
              <w:pStyle w:val="braytabletext"/>
              <w:jc w:val="center"/>
              <w:rPr>
                <w:szCs w:val="16"/>
              </w:rPr>
            </w:pPr>
            <w:r w:rsidRPr="00911315">
              <w:rPr>
                <w:szCs w:val="16"/>
              </w:rPr>
              <w:t>CIM</w:t>
            </w:r>
            <w:r w:rsidR="001F06FE" w:rsidRPr="00911315">
              <w:rPr>
                <w:szCs w:val="16"/>
              </w:rPr>
              <w:t xml:space="preserve">, </w:t>
            </w:r>
            <w:r w:rsidRPr="00911315">
              <w:rPr>
                <w:szCs w:val="16"/>
              </w:rPr>
              <w:t>CPIM &amp; VULIM</w:t>
            </w:r>
          </w:p>
        </w:tc>
      </w:tr>
      <w:tr w:rsidR="001013EC" w:rsidRPr="00911315" w:rsidTr="000F4DDD">
        <w:tc>
          <w:tcPr>
            <w:tcW w:w="1267" w:type="pct"/>
            <w:tcBorders>
              <w:top w:val="single" w:sz="4" w:space="0" w:color="000000"/>
            </w:tcBorders>
          </w:tcPr>
          <w:p w:rsidR="001013EC" w:rsidRPr="00911315" w:rsidRDefault="001013EC" w:rsidP="00E24340">
            <w:pPr>
              <w:pStyle w:val="braytabletext"/>
              <w:rPr>
                <w:szCs w:val="16"/>
              </w:rPr>
            </w:pPr>
          </w:p>
        </w:tc>
        <w:tc>
          <w:tcPr>
            <w:tcW w:w="3733" w:type="pct"/>
            <w:gridSpan w:val="5"/>
            <w:tcBorders>
              <w:top w:val="single" w:sz="4" w:space="0" w:color="000000"/>
            </w:tcBorders>
            <w:vAlign w:val="bottom"/>
          </w:tcPr>
          <w:p w:rsidR="001013EC" w:rsidRPr="00911315" w:rsidRDefault="001013EC" w:rsidP="00E24340">
            <w:pPr>
              <w:pStyle w:val="braytabletext"/>
              <w:jc w:val="center"/>
              <w:rPr>
                <w:szCs w:val="16"/>
              </w:rPr>
            </w:pPr>
            <w:r w:rsidRPr="00911315">
              <w:rPr>
                <w:szCs w:val="16"/>
              </w:rPr>
              <w:t>- % -</w:t>
            </w:r>
          </w:p>
        </w:tc>
      </w:tr>
      <w:tr w:rsidR="001013EC" w:rsidRPr="00911315" w:rsidTr="000F4DDD">
        <w:tc>
          <w:tcPr>
            <w:tcW w:w="1267" w:type="pct"/>
          </w:tcPr>
          <w:p w:rsidR="001013EC" w:rsidRPr="00911315" w:rsidRDefault="001013EC" w:rsidP="00E24340">
            <w:pPr>
              <w:pStyle w:val="braytabletext"/>
              <w:rPr>
                <w:szCs w:val="16"/>
              </w:rPr>
            </w:pPr>
            <w:r w:rsidRPr="00911315">
              <w:rPr>
                <w:szCs w:val="16"/>
              </w:rPr>
              <w:t>Housing</w:t>
            </w:r>
          </w:p>
        </w:tc>
        <w:tc>
          <w:tcPr>
            <w:tcW w:w="740" w:type="pct"/>
            <w:vAlign w:val="bottom"/>
          </w:tcPr>
          <w:p w:rsidR="001013EC" w:rsidRPr="00911315" w:rsidRDefault="001013EC" w:rsidP="00E24340">
            <w:pPr>
              <w:pStyle w:val="braytabletext"/>
              <w:jc w:val="right"/>
              <w:rPr>
                <w:szCs w:val="16"/>
              </w:rPr>
            </w:pPr>
            <w:r w:rsidRPr="00911315">
              <w:rPr>
                <w:szCs w:val="16"/>
              </w:rPr>
              <w:t>10.2</w:t>
            </w:r>
          </w:p>
        </w:tc>
        <w:tc>
          <w:tcPr>
            <w:tcW w:w="737" w:type="pct"/>
            <w:vAlign w:val="bottom"/>
          </w:tcPr>
          <w:p w:rsidR="001013EC" w:rsidRPr="00911315" w:rsidRDefault="001013EC" w:rsidP="00E24340">
            <w:pPr>
              <w:pStyle w:val="braytabletext"/>
              <w:jc w:val="right"/>
              <w:rPr>
                <w:szCs w:val="16"/>
              </w:rPr>
            </w:pPr>
            <w:r w:rsidRPr="00911315">
              <w:rPr>
                <w:szCs w:val="16"/>
              </w:rPr>
              <w:t>-</w:t>
            </w:r>
          </w:p>
        </w:tc>
        <w:tc>
          <w:tcPr>
            <w:tcW w:w="845" w:type="pct"/>
            <w:vAlign w:val="bottom"/>
          </w:tcPr>
          <w:p w:rsidR="001013EC" w:rsidRPr="00911315" w:rsidRDefault="001013EC" w:rsidP="00E24340">
            <w:pPr>
              <w:pStyle w:val="braytabletext"/>
              <w:jc w:val="right"/>
              <w:rPr>
                <w:szCs w:val="16"/>
              </w:rPr>
            </w:pPr>
            <w:r w:rsidRPr="00911315">
              <w:rPr>
                <w:szCs w:val="16"/>
              </w:rPr>
              <w:t>9.3</w:t>
            </w:r>
          </w:p>
        </w:tc>
        <w:tc>
          <w:tcPr>
            <w:tcW w:w="737" w:type="pct"/>
            <w:vAlign w:val="bottom"/>
          </w:tcPr>
          <w:p w:rsidR="001013EC" w:rsidRPr="00911315" w:rsidRDefault="001013EC" w:rsidP="00E24340">
            <w:pPr>
              <w:pStyle w:val="braytabletext"/>
              <w:jc w:val="right"/>
              <w:rPr>
                <w:szCs w:val="16"/>
              </w:rPr>
            </w:pPr>
            <w:r w:rsidRPr="00911315">
              <w:rPr>
                <w:szCs w:val="16"/>
              </w:rPr>
              <w:t>11.4</w:t>
            </w:r>
          </w:p>
        </w:tc>
        <w:tc>
          <w:tcPr>
            <w:tcW w:w="675" w:type="pct"/>
            <w:vAlign w:val="bottom"/>
          </w:tcPr>
          <w:p w:rsidR="001013EC" w:rsidRPr="00911315" w:rsidRDefault="001013EC" w:rsidP="00E24340">
            <w:pPr>
              <w:pStyle w:val="braytabletext"/>
              <w:jc w:val="right"/>
              <w:rPr>
                <w:szCs w:val="16"/>
              </w:rPr>
            </w:pPr>
            <w:r w:rsidRPr="00911315">
              <w:rPr>
                <w:szCs w:val="16"/>
              </w:rPr>
              <w:t>10.2</w:t>
            </w:r>
          </w:p>
        </w:tc>
      </w:tr>
      <w:tr w:rsidR="001013EC" w:rsidRPr="00911315" w:rsidTr="000F4DDD">
        <w:tc>
          <w:tcPr>
            <w:tcW w:w="1267" w:type="pct"/>
          </w:tcPr>
          <w:p w:rsidR="001013EC" w:rsidRPr="00911315" w:rsidRDefault="001013EC" w:rsidP="00E24340">
            <w:pPr>
              <w:pStyle w:val="braytabletext"/>
              <w:rPr>
                <w:szCs w:val="16"/>
              </w:rPr>
            </w:pPr>
            <w:r w:rsidRPr="00911315">
              <w:rPr>
                <w:szCs w:val="16"/>
              </w:rPr>
              <w:t>Utilities</w:t>
            </w:r>
          </w:p>
        </w:tc>
        <w:tc>
          <w:tcPr>
            <w:tcW w:w="740" w:type="pct"/>
            <w:vAlign w:val="bottom"/>
          </w:tcPr>
          <w:p w:rsidR="001013EC" w:rsidRPr="00911315" w:rsidRDefault="001013EC" w:rsidP="00E24340">
            <w:pPr>
              <w:pStyle w:val="braytabletext"/>
              <w:jc w:val="right"/>
              <w:rPr>
                <w:szCs w:val="16"/>
              </w:rPr>
            </w:pPr>
            <w:r w:rsidRPr="00911315">
              <w:rPr>
                <w:szCs w:val="16"/>
              </w:rPr>
              <w:t>0.6</w:t>
            </w:r>
          </w:p>
        </w:tc>
        <w:tc>
          <w:tcPr>
            <w:tcW w:w="737" w:type="pct"/>
            <w:vAlign w:val="bottom"/>
          </w:tcPr>
          <w:p w:rsidR="001013EC" w:rsidRPr="00911315" w:rsidRDefault="001013EC" w:rsidP="00E24340">
            <w:pPr>
              <w:pStyle w:val="braytabletext"/>
              <w:jc w:val="right"/>
              <w:rPr>
                <w:szCs w:val="16"/>
              </w:rPr>
            </w:pPr>
            <w:r w:rsidRPr="00911315">
              <w:rPr>
                <w:szCs w:val="16"/>
              </w:rPr>
              <w:t>-</w:t>
            </w:r>
          </w:p>
        </w:tc>
        <w:tc>
          <w:tcPr>
            <w:tcW w:w="845" w:type="pct"/>
            <w:vAlign w:val="bottom"/>
          </w:tcPr>
          <w:p w:rsidR="001013EC" w:rsidRPr="00911315" w:rsidRDefault="001013EC" w:rsidP="00E24340">
            <w:pPr>
              <w:pStyle w:val="braytabletext"/>
              <w:jc w:val="right"/>
              <w:rPr>
                <w:szCs w:val="16"/>
              </w:rPr>
            </w:pPr>
            <w:r w:rsidRPr="00911315">
              <w:rPr>
                <w:szCs w:val="16"/>
              </w:rPr>
              <w:t>0.3</w:t>
            </w:r>
          </w:p>
        </w:tc>
        <w:tc>
          <w:tcPr>
            <w:tcW w:w="737" w:type="pct"/>
            <w:vAlign w:val="bottom"/>
          </w:tcPr>
          <w:p w:rsidR="001013EC" w:rsidRPr="00911315" w:rsidRDefault="001013EC" w:rsidP="00E24340">
            <w:pPr>
              <w:pStyle w:val="braytabletext"/>
              <w:jc w:val="right"/>
              <w:rPr>
                <w:szCs w:val="16"/>
              </w:rPr>
            </w:pPr>
            <w:r w:rsidRPr="00911315">
              <w:rPr>
                <w:szCs w:val="16"/>
              </w:rPr>
              <w:t>1.6</w:t>
            </w:r>
          </w:p>
        </w:tc>
        <w:tc>
          <w:tcPr>
            <w:tcW w:w="675" w:type="pct"/>
            <w:vAlign w:val="bottom"/>
          </w:tcPr>
          <w:p w:rsidR="001013EC" w:rsidRPr="00911315" w:rsidRDefault="001013EC" w:rsidP="00E24340">
            <w:pPr>
              <w:pStyle w:val="braytabletext"/>
              <w:jc w:val="right"/>
              <w:rPr>
                <w:szCs w:val="16"/>
              </w:rPr>
            </w:pPr>
            <w:r w:rsidRPr="00911315">
              <w:rPr>
                <w:szCs w:val="16"/>
              </w:rPr>
              <w:t>0.7</w:t>
            </w:r>
          </w:p>
        </w:tc>
      </w:tr>
      <w:tr w:rsidR="001013EC" w:rsidRPr="00911315" w:rsidTr="000F4DDD">
        <w:tc>
          <w:tcPr>
            <w:tcW w:w="1267" w:type="pct"/>
          </w:tcPr>
          <w:p w:rsidR="001013EC" w:rsidRPr="00911315" w:rsidRDefault="001013EC" w:rsidP="00E24340">
            <w:pPr>
              <w:pStyle w:val="braytabletext"/>
              <w:rPr>
                <w:szCs w:val="16"/>
              </w:rPr>
            </w:pPr>
            <w:r w:rsidRPr="00911315">
              <w:rPr>
                <w:szCs w:val="16"/>
              </w:rPr>
              <w:t>School nutrition</w:t>
            </w:r>
          </w:p>
        </w:tc>
        <w:tc>
          <w:tcPr>
            <w:tcW w:w="740" w:type="pct"/>
            <w:vAlign w:val="bottom"/>
          </w:tcPr>
          <w:p w:rsidR="001013EC" w:rsidRPr="00911315" w:rsidRDefault="001013EC" w:rsidP="00E24340">
            <w:pPr>
              <w:pStyle w:val="braytabletext"/>
              <w:jc w:val="right"/>
              <w:rPr>
                <w:szCs w:val="16"/>
              </w:rPr>
            </w:pPr>
            <w:r w:rsidRPr="00911315">
              <w:rPr>
                <w:szCs w:val="16"/>
              </w:rPr>
              <w:t>1.4</w:t>
            </w:r>
          </w:p>
        </w:tc>
        <w:tc>
          <w:tcPr>
            <w:tcW w:w="737" w:type="pct"/>
            <w:vAlign w:val="bottom"/>
          </w:tcPr>
          <w:p w:rsidR="001013EC" w:rsidRPr="00911315" w:rsidRDefault="001013EC" w:rsidP="00E24340">
            <w:pPr>
              <w:pStyle w:val="braytabletext"/>
              <w:jc w:val="right"/>
              <w:rPr>
                <w:szCs w:val="16"/>
              </w:rPr>
            </w:pPr>
            <w:r w:rsidRPr="00911315">
              <w:rPr>
                <w:szCs w:val="16"/>
              </w:rPr>
              <w:t>-</w:t>
            </w:r>
          </w:p>
        </w:tc>
        <w:tc>
          <w:tcPr>
            <w:tcW w:w="845" w:type="pct"/>
            <w:vAlign w:val="bottom"/>
          </w:tcPr>
          <w:p w:rsidR="001013EC" w:rsidRPr="00911315" w:rsidRDefault="001013EC" w:rsidP="00E24340">
            <w:pPr>
              <w:pStyle w:val="braytabletext"/>
              <w:jc w:val="right"/>
              <w:rPr>
                <w:szCs w:val="16"/>
              </w:rPr>
            </w:pPr>
            <w:r w:rsidRPr="00911315">
              <w:rPr>
                <w:szCs w:val="16"/>
              </w:rPr>
              <w:t>7.1</w:t>
            </w:r>
          </w:p>
        </w:tc>
        <w:tc>
          <w:tcPr>
            <w:tcW w:w="737" w:type="pct"/>
            <w:vAlign w:val="bottom"/>
          </w:tcPr>
          <w:p w:rsidR="001013EC" w:rsidRPr="00911315" w:rsidRDefault="001013EC" w:rsidP="00E24340">
            <w:pPr>
              <w:pStyle w:val="braytabletext"/>
              <w:jc w:val="right"/>
              <w:rPr>
                <w:szCs w:val="16"/>
              </w:rPr>
            </w:pPr>
            <w:r w:rsidRPr="00911315">
              <w:rPr>
                <w:szCs w:val="16"/>
              </w:rPr>
              <w:t>3.8</w:t>
            </w:r>
          </w:p>
        </w:tc>
        <w:tc>
          <w:tcPr>
            <w:tcW w:w="675" w:type="pct"/>
            <w:vAlign w:val="bottom"/>
          </w:tcPr>
          <w:p w:rsidR="001013EC" w:rsidRPr="00911315" w:rsidRDefault="001013EC" w:rsidP="00E24340">
            <w:pPr>
              <w:pStyle w:val="braytabletext"/>
              <w:jc w:val="right"/>
              <w:rPr>
                <w:szCs w:val="16"/>
              </w:rPr>
            </w:pPr>
            <w:r w:rsidRPr="00911315">
              <w:rPr>
                <w:szCs w:val="16"/>
              </w:rPr>
              <w:t>3.1</w:t>
            </w:r>
          </w:p>
        </w:tc>
      </w:tr>
      <w:tr w:rsidR="001013EC" w:rsidRPr="00911315" w:rsidTr="000F4DDD">
        <w:tc>
          <w:tcPr>
            <w:tcW w:w="1267" w:type="pct"/>
          </w:tcPr>
          <w:p w:rsidR="001013EC" w:rsidRPr="00911315" w:rsidRDefault="001013EC" w:rsidP="00E24340">
            <w:pPr>
              <w:pStyle w:val="braytabletext"/>
              <w:rPr>
                <w:szCs w:val="16"/>
              </w:rPr>
            </w:pPr>
            <w:r w:rsidRPr="00911315">
              <w:rPr>
                <w:szCs w:val="16"/>
              </w:rPr>
              <w:t>BasicsCard</w:t>
            </w:r>
          </w:p>
        </w:tc>
        <w:tc>
          <w:tcPr>
            <w:tcW w:w="740" w:type="pct"/>
            <w:vAlign w:val="bottom"/>
          </w:tcPr>
          <w:p w:rsidR="001013EC" w:rsidRPr="00911315" w:rsidRDefault="001013EC" w:rsidP="00E24340">
            <w:pPr>
              <w:pStyle w:val="braytabletext"/>
              <w:jc w:val="right"/>
              <w:rPr>
                <w:szCs w:val="16"/>
              </w:rPr>
            </w:pPr>
            <w:r w:rsidRPr="00911315">
              <w:rPr>
                <w:szCs w:val="16"/>
              </w:rPr>
              <w:t>78.1</w:t>
            </w:r>
          </w:p>
        </w:tc>
        <w:tc>
          <w:tcPr>
            <w:tcW w:w="737" w:type="pct"/>
            <w:vAlign w:val="bottom"/>
          </w:tcPr>
          <w:p w:rsidR="001013EC" w:rsidRPr="00911315" w:rsidRDefault="001013EC" w:rsidP="00E24340">
            <w:pPr>
              <w:pStyle w:val="braytabletext"/>
              <w:jc w:val="right"/>
              <w:rPr>
                <w:szCs w:val="16"/>
              </w:rPr>
            </w:pPr>
            <w:r w:rsidRPr="00911315">
              <w:rPr>
                <w:szCs w:val="16"/>
              </w:rPr>
              <w:t>-</w:t>
            </w:r>
          </w:p>
        </w:tc>
        <w:tc>
          <w:tcPr>
            <w:tcW w:w="845" w:type="pct"/>
            <w:vAlign w:val="bottom"/>
          </w:tcPr>
          <w:p w:rsidR="001013EC" w:rsidRPr="00911315" w:rsidRDefault="001013EC" w:rsidP="00E24340">
            <w:pPr>
              <w:pStyle w:val="braytabletext"/>
              <w:jc w:val="right"/>
              <w:rPr>
                <w:szCs w:val="16"/>
              </w:rPr>
            </w:pPr>
            <w:r w:rsidRPr="00911315">
              <w:rPr>
                <w:szCs w:val="16"/>
              </w:rPr>
              <w:t>75.7</w:t>
            </w:r>
          </w:p>
        </w:tc>
        <w:tc>
          <w:tcPr>
            <w:tcW w:w="737" w:type="pct"/>
            <w:vAlign w:val="bottom"/>
          </w:tcPr>
          <w:p w:rsidR="001013EC" w:rsidRPr="00911315" w:rsidRDefault="001013EC" w:rsidP="00E24340">
            <w:pPr>
              <w:pStyle w:val="braytabletext"/>
              <w:jc w:val="right"/>
              <w:rPr>
                <w:szCs w:val="16"/>
              </w:rPr>
            </w:pPr>
            <w:r w:rsidRPr="00911315">
              <w:rPr>
                <w:szCs w:val="16"/>
              </w:rPr>
              <w:t>74.1</w:t>
            </w:r>
          </w:p>
        </w:tc>
        <w:tc>
          <w:tcPr>
            <w:tcW w:w="675" w:type="pct"/>
            <w:vAlign w:val="bottom"/>
          </w:tcPr>
          <w:p w:rsidR="001013EC" w:rsidRPr="00911315" w:rsidRDefault="001013EC" w:rsidP="00E24340">
            <w:pPr>
              <w:pStyle w:val="braytabletext"/>
              <w:jc w:val="right"/>
              <w:rPr>
                <w:szCs w:val="16"/>
              </w:rPr>
            </w:pPr>
            <w:r w:rsidRPr="00911315">
              <w:rPr>
                <w:szCs w:val="16"/>
              </w:rPr>
              <w:t>76.8</w:t>
            </w:r>
          </w:p>
        </w:tc>
      </w:tr>
      <w:tr w:rsidR="001013EC" w:rsidRPr="00911315" w:rsidTr="000F4DDD">
        <w:tc>
          <w:tcPr>
            <w:tcW w:w="1267" w:type="pct"/>
          </w:tcPr>
          <w:p w:rsidR="001013EC" w:rsidRPr="00911315" w:rsidRDefault="001013EC" w:rsidP="00E24340">
            <w:pPr>
              <w:pStyle w:val="braytabletext"/>
              <w:rPr>
                <w:szCs w:val="16"/>
              </w:rPr>
            </w:pPr>
            <w:r w:rsidRPr="00911315">
              <w:rPr>
                <w:szCs w:val="16"/>
              </w:rPr>
              <w:t>Other</w:t>
            </w:r>
          </w:p>
        </w:tc>
        <w:tc>
          <w:tcPr>
            <w:tcW w:w="740" w:type="pct"/>
            <w:vAlign w:val="bottom"/>
          </w:tcPr>
          <w:p w:rsidR="001013EC" w:rsidRPr="00911315" w:rsidRDefault="001013EC" w:rsidP="00E24340">
            <w:pPr>
              <w:pStyle w:val="braytabletext"/>
              <w:jc w:val="right"/>
              <w:rPr>
                <w:szCs w:val="16"/>
              </w:rPr>
            </w:pPr>
            <w:r w:rsidRPr="00911315">
              <w:rPr>
                <w:szCs w:val="16"/>
              </w:rPr>
              <w:t>9.6</w:t>
            </w:r>
          </w:p>
        </w:tc>
        <w:tc>
          <w:tcPr>
            <w:tcW w:w="737" w:type="pct"/>
            <w:vAlign w:val="bottom"/>
          </w:tcPr>
          <w:p w:rsidR="001013EC" w:rsidRPr="00911315" w:rsidRDefault="001013EC" w:rsidP="00E24340">
            <w:pPr>
              <w:pStyle w:val="braytabletext"/>
              <w:jc w:val="right"/>
              <w:rPr>
                <w:szCs w:val="16"/>
              </w:rPr>
            </w:pPr>
            <w:r w:rsidRPr="00911315">
              <w:rPr>
                <w:szCs w:val="16"/>
              </w:rPr>
              <w:t>-</w:t>
            </w:r>
          </w:p>
        </w:tc>
        <w:tc>
          <w:tcPr>
            <w:tcW w:w="845" w:type="pct"/>
            <w:vAlign w:val="bottom"/>
          </w:tcPr>
          <w:p w:rsidR="001013EC" w:rsidRPr="00911315" w:rsidRDefault="001013EC" w:rsidP="00E24340">
            <w:pPr>
              <w:pStyle w:val="braytabletext"/>
              <w:jc w:val="right"/>
              <w:rPr>
                <w:szCs w:val="16"/>
              </w:rPr>
            </w:pPr>
            <w:r w:rsidRPr="00911315">
              <w:rPr>
                <w:szCs w:val="16"/>
              </w:rPr>
              <w:t>7.7</w:t>
            </w:r>
          </w:p>
        </w:tc>
        <w:tc>
          <w:tcPr>
            <w:tcW w:w="737" w:type="pct"/>
            <w:vAlign w:val="bottom"/>
          </w:tcPr>
          <w:p w:rsidR="001013EC" w:rsidRPr="00911315" w:rsidRDefault="001013EC" w:rsidP="00E24340">
            <w:pPr>
              <w:pStyle w:val="braytabletext"/>
              <w:jc w:val="right"/>
              <w:rPr>
                <w:szCs w:val="16"/>
              </w:rPr>
            </w:pPr>
            <w:r w:rsidRPr="00911315">
              <w:rPr>
                <w:szCs w:val="16"/>
              </w:rPr>
              <w:t>9.1</w:t>
            </w:r>
          </w:p>
        </w:tc>
        <w:tc>
          <w:tcPr>
            <w:tcW w:w="675" w:type="pct"/>
            <w:vAlign w:val="bottom"/>
          </w:tcPr>
          <w:p w:rsidR="001013EC" w:rsidRPr="00911315" w:rsidRDefault="001013EC" w:rsidP="00E24340">
            <w:pPr>
              <w:pStyle w:val="braytabletext"/>
              <w:jc w:val="right"/>
              <w:rPr>
                <w:szCs w:val="16"/>
              </w:rPr>
            </w:pPr>
            <w:r w:rsidRPr="00911315">
              <w:rPr>
                <w:szCs w:val="16"/>
              </w:rPr>
              <w:t>9.2</w:t>
            </w:r>
          </w:p>
        </w:tc>
      </w:tr>
      <w:tr w:rsidR="001013EC" w:rsidRPr="00911315" w:rsidTr="000F4DDD">
        <w:tc>
          <w:tcPr>
            <w:tcW w:w="1267" w:type="pct"/>
            <w:tcBorders>
              <w:bottom w:val="single" w:sz="4" w:space="0" w:color="auto"/>
            </w:tcBorders>
          </w:tcPr>
          <w:p w:rsidR="001013EC" w:rsidRPr="00911315" w:rsidRDefault="001013EC" w:rsidP="00E24340">
            <w:pPr>
              <w:pStyle w:val="braytabletext"/>
              <w:rPr>
                <w:szCs w:val="16"/>
              </w:rPr>
            </w:pPr>
            <w:r w:rsidRPr="00911315">
              <w:rPr>
                <w:szCs w:val="16"/>
              </w:rPr>
              <w:t>Total</w:t>
            </w:r>
          </w:p>
        </w:tc>
        <w:tc>
          <w:tcPr>
            <w:tcW w:w="740" w:type="pct"/>
            <w:tcBorders>
              <w:bottom w:val="single" w:sz="4" w:space="0" w:color="auto"/>
            </w:tcBorders>
            <w:vAlign w:val="bottom"/>
          </w:tcPr>
          <w:p w:rsidR="001013EC" w:rsidRPr="00911315" w:rsidRDefault="001013EC" w:rsidP="00E24340">
            <w:pPr>
              <w:pStyle w:val="braytabletext"/>
              <w:jc w:val="right"/>
              <w:rPr>
                <w:szCs w:val="16"/>
              </w:rPr>
            </w:pPr>
            <w:r w:rsidRPr="00911315">
              <w:rPr>
                <w:szCs w:val="16"/>
              </w:rPr>
              <w:t>100.0</w:t>
            </w:r>
          </w:p>
        </w:tc>
        <w:tc>
          <w:tcPr>
            <w:tcW w:w="737" w:type="pct"/>
            <w:tcBorders>
              <w:bottom w:val="single" w:sz="4" w:space="0" w:color="auto"/>
            </w:tcBorders>
            <w:vAlign w:val="bottom"/>
          </w:tcPr>
          <w:p w:rsidR="001013EC" w:rsidRPr="00911315" w:rsidRDefault="001013EC" w:rsidP="00E24340">
            <w:pPr>
              <w:pStyle w:val="braytabletext"/>
              <w:jc w:val="right"/>
              <w:rPr>
                <w:szCs w:val="16"/>
              </w:rPr>
            </w:pPr>
            <w:r w:rsidRPr="00911315">
              <w:rPr>
                <w:szCs w:val="16"/>
              </w:rPr>
              <w:t>-</w:t>
            </w:r>
          </w:p>
        </w:tc>
        <w:tc>
          <w:tcPr>
            <w:tcW w:w="845" w:type="pct"/>
            <w:tcBorders>
              <w:bottom w:val="single" w:sz="4" w:space="0" w:color="auto"/>
            </w:tcBorders>
            <w:vAlign w:val="bottom"/>
          </w:tcPr>
          <w:p w:rsidR="001013EC" w:rsidRPr="00911315" w:rsidRDefault="001013EC" w:rsidP="00E24340">
            <w:pPr>
              <w:pStyle w:val="braytabletext"/>
              <w:jc w:val="right"/>
              <w:rPr>
                <w:szCs w:val="16"/>
              </w:rPr>
            </w:pPr>
            <w:r w:rsidRPr="00911315">
              <w:rPr>
                <w:szCs w:val="16"/>
              </w:rPr>
              <w:t>100.0</w:t>
            </w:r>
          </w:p>
        </w:tc>
        <w:tc>
          <w:tcPr>
            <w:tcW w:w="737" w:type="pct"/>
            <w:tcBorders>
              <w:bottom w:val="single" w:sz="4" w:space="0" w:color="auto"/>
            </w:tcBorders>
            <w:vAlign w:val="bottom"/>
          </w:tcPr>
          <w:p w:rsidR="001013EC" w:rsidRPr="00911315" w:rsidRDefault="001013EC" w:rsidP="00E24340">
            <w:pPr>
              <w:pStyle w:val="braytabletext"/>
              <w:jc w:val="right"/>
              <w:rPr>
                <w:szCs w:val="16"/>
              </w:rPr>
            </w:pPr>
            <w:r w:rsidRPr="00911315">
              <w:rPr>
                <w:szCs w:val="16"/>
              </w:rPr>
              <w:t>100.0</w:t>
            </w:r>
          </w:p>
        </w:tc>
        <w:tc>
          <w:tcPr>
            <w:tcW w:w="675" w:type="pct"/>
            <w:tcBorders>
              <w:bottom w:val="single" w:sz="4" w:space="0" w:color="auto"/>
            </w:tcBorders>
            <w:vAlign w:val="bottom"/>
          </w:tcPr>
          <w:p w:rsidR="001013EC" w:rsidRPr="00911315" w:rsidRDefault="001013EC" w:rsidP="00E24340">
            <w:pPr>
              <w:pStyle w:val="braytabletext"/>
              <w:jc w:val="right"/>
              <w:rPr>
                <w:szCs w:val="16"/>
              </w:rPr>
            </w:pPr>
            <w:r w:rsidRPr="00911315">
              <w:rPr>
                <w:szCs w:val="16"/>
              </w:rPr>
              <w:t>100.0</w:t>
            </w:r>
          </w:p>
        </w:tc>
      </w:tr>
      <w:tr w:rsidR="001013EC" w:rsidRPr="00911315" w:rsidTr="000F4DDD">
        <w:tc>
          <w:tcPr>
            <w:tcW w:w="1267" w:type="pct"/>
            <w:tcBorders>
              <w:top w:val="single" w:sz="4" w:space="0" w:color="auto"/>
            </w:tcBorders>
            <w:vAlign w:val="center"/>
          </w:tcPr>
          <w:p w:rsidR="001013EC" w:rsidRPr="00911315" w:rsidRDefault="001013EC" w:rsidP="00E24340">
            <w:pPr>
              <w:pStyle w:val="braytabletext"/>
              <w:rPr>
                <w:szCs w:val="16"/>
              </w:rPr>
            </w:pPr>
            <w:r w:rsidRPr="00911315">
              <w:rPr>
                <w:szCs w:val="16"/>
              </w:rPr>
              <w:t>Mean ($)</w:t>
            </w:r>
          </w:p>
        </w:tc>
        <w:tc>
          <w:tcPr>
            <w:tcW w:w="740" w:type="pct"/>
            <w:tcBorders>
              <w:top w:val="single" w:sz="4" w:space="0" w:color="auto"/>
            </w:tcBorders>
            <w:vAlign w:val="bottom"/>
          </w:tcPr>
          <w:p w:rsidR="001013EC" w:rsidRPr="00911315" w:rsidRDefault="001013EC" w:rsidP="00E24340">
            <w:pPr>
              <w:pStyle w:val="braytabletext"/>
              <w:jc w:val="right"/>
              <w:rPr>
                <w:szCs w:val="16"/>
              </w:rPr>
            </w:pPr>
            <w:r w:rsidRPr="00911315">
              <w:rPr>
                <w:szCs w:val="16"/>
              </w:rPr>
              <w:t>282</w:t>
            </w:r>
          </w:p>
        </w:tc>
        <w:tc>
          <w:tcPr>
            <w:tcW w:w="737" w:type="pct"/>
            <w:tcBorders>
              <w:top w:val="single" w:sz="4" w:space="0" w:color="auto"/>
            </w:tcBorders>
            <w:vAlign w:val="bottom"/>
          </w:tcPr>
          <w:p w:rsidR="001013EC" w:rsidRPr="00911315" w:rsidRDefault="001013EC" w:rsidP="00E24340">
            <w:pPr>
              <w:pStyle w:val="braytabletext"/>
              <w:jc w:val="right"/>
              <w:rPr>
                <w:szCs w:val="16"/>
              </w:rPr>
            </w:pPr>
            <w:r w:rsidRPr="00911315">
              <w:rPr>
                <w:szCs w:val="16"/>
              </w:rPr>
              <w:t>-</w:t>
            </w:r>
          </w:p>
        </w:tc>
        <w:tc>
          <w:tcPr>
            <w:tcW w:w="845" w:type="pct"/>
            <w:tcBorders>
              <w:top w:val="single" w:sz="4" w:space="0" w:color="auto"/>
            </w:tcBorders>
            <w:vAlign w:val="bottom"/>
          </w:tcPr>
          <w:p w:rsidR="001013EC" w:rsidRPr="00911315" w:rsidRDefault="001013EC" w:rsidP="00E24340">
            <w:pPr>
              <w:pStyle w:val="braytabletext"/>
              <w:jc w:val="right"/>
              <w:rPr>
                <w:szCs w:val="16"/>
              </w:rPr>
            </w:pPr>
            <w:r w:rsidRPr="00911315">
              <w:rPr>
                <w:szCs w:val="16"/>
              </w:rPr>
              <w:t>562</w:t>
            </w:r>
          </w:p>
        </w:tc>
        <w:tc>
          <w:tcPr>
            <w:tcW w:w="737" w:type="pct"/>
            <w:tcBorders>
              <w:top w:val="single" w:sz="4" w:space="0" w:color="auto"/>
            </w:tcBorders>
            <w:vAlign w:val="bottom"/>
          </w:tcPr>
          <w:p w:rsidR="001013EC" w:rsidRPr="00911315" w:rsidRDefault="001013EC" w:rsidP="00E24340">
            <w:pPr>
              <w:pStyle w:val="braytabletext"/>
              <w:jc w:val="right"/>
              <w:rPr>
                <w:szCs w:val="16"/>
              </w:rPr>
            </w:pPr>
            <w:r w:rsidRPr="00911315">
              <w:rPr>
                <w:szCs w:val="16"/>
              </w:rPr>
              <w:t>587</w:t>
            </w:r>
          </w:p>
        </w:tc>
        <w:tc>
          <w:tcPr>
            <w:tcW w:w="675" w:type="pct"/>
            <w:tcBorders>
              <w:top w:val="single" w:sz="4" w:space="0" w:color="auto"/>
            </w:tcBorders>
            <w:vAlign w:val="bottom"/>
          </w:tcPr>
          <w:p w:rsidR="001013EC" w:rsidRPr="00911315" w:rsidRDefault="001013EC" w:rsidP="00E24340">
            <w:pPr>
              <w:pStyle w:val="braytabletext"/>
              <w:jc w:val="right"/>
              <w:rPr>
                <w:szCs w:val="16"/>
              </w:rPr>
            </w:pPr>
            <w:r w:rsidRPr="00911315">
              <w:rPr>
                <w:szCs w:val="16"/>
              </w:rPr>
              <w:t>402</w:t>
            </w:r>
          </w:p>
        </w:tc>
      </w:tr>
      <w:tr w:rsidR="001013EC" w:rsidRPr="00911315" w:rsidTr="000F4DDD">
        <w:tc>
          <w:tcPr>
            <w:tcW w:w="1267" w:type="pct"/>
            <w:tcBorders>
              <w:bottom w:val="single" w:sz="4" w:space="0" w:color="000000"/>
            </w:tcBorders>
            <w:vAlign w:val="center"/>
          </w:tcPr>
          <w:p w:rsidR="001013EC" w:rsidRPr="00911315" w:rsidRDefault="001013EC" w:rsidP="00E24340">
            <w:pPr>
              <w:pStyle w:val="braytabletext"/>
              <w:rPr>
                <w:szCs w:val="16"/>
              </w:rPr>
            </w:pPr>
            <w:r w:rsidRPr="00911315">
              <w:rPr>
                <w:szCs w:val="16"/>
              </w:rPr>
              <w:t>Median ($)</w:t>
            </w:r>
          </w:p>
        </w:tc>
        <w:tc>
          <w:tcPr>
            <w:tcW w:w="740" w:type="pct"/>
            <w:tcBorders>
              <w:bottom w:val="single" w:sz="4" w:space="0" w:color="000000"/>
            </w:tcBorders>
            <w:vAlign w:val="bottom"/>
          </w:tcPr>
          <w:p w:rsidR="001013EC" w:rsidRPr="00911315" w:rsidRDefault="001013EC" w:rsidP="00E24340">
            <w:pPr>
              <w:pStyle w:val="braytabletext"/>
              <w:jc w:val="right"/>
              <w:rPr>
                <w:szCs w:val="16"/>
              </w:rPr>
            </w:pPr>
            <w:r w:rsidRPr="00911315">
              <w:rPr>
                <w:szCs w:val="16"/>
              </w:rPr>
              <w:t>233</w:t>
            </w:r>
          </w:p>
        </w:tc>
        <w:tc>
          <w:tcPr>
            <w:tcW w:w="737" w:type="pct"/>
            <w:tcBorders>
              <w:bottom w:val="single" w:sz="4" w:space="0" w:color="000000"/>
            </w:tcBorders>
            <w:vAlign w:val="bottom"/>
          </w:tcPr>
          <w:p w:rsidR="001013EC" w:rsidRPr="00911315" w:rsidRDefault="001013EC" w:rsidP="00E24340">
            <w:pPr>
              <w:pStyle w:val="braytabletext"/>
              <w:jc w:val="right"/>
              <w:rPr>
                <w:szCs w:val="16"/>
              </w:rPr>
            </w:pPr>
            <w:r w:rsidRPr="00911315">
              <w:rPr>
                <w:szCs w:val="16"/>
              </w:rPr>
              <w:t>-</w:t>
            </w:r>
          </w:p>
        </w:tc>
        <w:tc>
          <w:tcPr>
            <w:tcW w:w="845" w:type="pct"/>
            <w:tcBorders>
              <w:bottom w:val="single" w:sz="4" w:space="0" w:color="000000"/>
            </w:tcBorders>
            <w:vAlign w:val="bottom"/>
          </w:tcPr>
          <w:p w:rsidR="001013EC" w:rsidRPr="00911315" w:rsidRDefault="001013EC" w:rsidP="00E24340">
            <w:pPr>
              <w:pStyle w:val="braytabletext"/>
              <w:jc w:val="right"/>
              <w:rPr>
                <w:szCs w:val="16"/>
              </w:rPr>
            </w:pPr>
            <w:r w:rsidRPr="00911315">
              <w:rPr>
                <w:szCs w:val="16"/>
              </w:rPr>
              <w:t>429</w:t>
            </w:r>
          </w:p>
        </w:tc>
        <w:tc>
          <w:tcPr>
            <w:tcW w:w="737" w:type="pct"/>
            <w:tcBorders>
              <w:bottom w:val="single" w:sz="4" w:space="0" w:color="000000"/>
            </w:tcBorders>
            <w:vAlign w:val="bottom"/>
          </w:tcPr>
          <w:p w:rsidR="001013EC" w:rsidRPr="00911315" w:rsidRDefault="001013EC" w:rsidP="00E24340">
            <w:pPr>
              <w:pStyle w:val="braytabletext"/>
              <w:jc w:val="right"/>
              <w:rPr>
                <w:szCs w:val="16"/>
              </w:rPr>
            </w:pPr>
            <w:r w:rsidRPr="00911315">
              <w:rPr>
                <w:szCs w:val="16"/>
              </w:rPr>
              <w:t>513</w:t>
            </w:r>
          </w:p>
        </w:tc>
        <w:tc>
          <w:tcPr>
            <w:tcW w:w="675" w:type="pct"/>
            <w:tcBorders>
              <w:bottom w:val="single" w:sz="4" w:space="0" w:color="000000"/>
            </w:tcBorders>
            <w:vAlign w:val="bottom"/>
          </w:tcPr>
          <w:p w:rsidR="001013EC" w:rsidRPr="00911315" w:rsidRDefault="001013EC" w:rsidP="00E24340">
            <w:pPr>
              <w:pStyle w:val="braytabletext"/>
              <w:jc w:val="right"/>
              <w:rPr>
                <w:szCs w:val="16"/>
              </w:rPr>
            </w:pPr>
            <w:r w:rsidRPr="00911315">
              <w:rPr>
                <w:szCs w:val="16"/>
              </w:rPr>
              <w:t>307</w:t>
            </w:r>
          </w:p>
        </w:tc>
      </w:tr>
      <w:tr w:rsidR="001013EC" w:rsidRPr="00911315" w:rsidTr="000F4DDD">
        <w:tc>
          <w:tcPr>
            <w:tcW w:w="1267" w:type="pct"/>
          </w:tcPr>
          <w:p w:rsidR="001013EC" w:rsidRPr="00911315" w:rsidRDefault="001013EC" w:rsidP="00E24340">
            <w:pPr>
              <w:pStyle w:val="braytabletext"/>
              <w:rPr>
                <w:szCs w:val="16"/>
              </w:rPr>
            </w:pPr>
          </w:p>
        </w:tc>
        <w:tc>
          <w:tcPr>
            <w:tcW w:w="3733" w:type="pct"/>
            <w:gridSpan w:val="5"/>
            <w:tcBorders>
              <w:bottom w:val="single" w:sz="4" w:space="0" w:color="000000"/>
            </w:tcBorders>
            <w:vAlign w:val="bottom"/>
          </w:tcPr>
          <w:p w:rsidR="001013EC" w:rsidRPr="00911315" w:rsidRDefault="001013EC" w:rsidP="00E24340">
            <w:pPr>
              <w:pStyle w:val="braytabletext"/>
              <w:jc w:val="center"/>
              <w:rPr>
                <w:szCs w:val="16"/>
              </w:rPr>
            </w:pPr>
            <w:r w:rsidRPr="00911315">
              <w:rPr>
                <w:szCs w:val="16"/>
              </w:rPr>
              <w:t>VIM (b)</w:t>
            </w:r>
          </w:p>
        </w:tc>
      </w:tr>
      <w:tr w:rsidR="001013EC" w:rsidRPr="00911315" w:rsidTr="000F4DDD">
        <w:tc>
          <w:tcPr>
            <w:tcW w:w="1267" w:type="pct"/>
            <w:tcBorders>
              <w:top w:val="single" w:sz="4" w:space="0" w:color="000000"/>
            </w:tcBorders>
          </w:tcPr>
          <w:p w:rsidR="001013EC" w:rsidRPr="00911315" w:rsidRDefault="001013EC" w:rsidP="00E24340">
            <w:pPr>
              <w:pStyle w:val="braytabletext"/>
              <w:rPr>
                <w:szCs w:val="16"/>
              </w:rPr>
            </w:pPr>
          </w:p>
        </w:tc>
        <w:tc>
          <w:tcPr>
            <w:tcW w:w="3733" w:type="pct"/>
            <w:gridSpan w:val="5"/>
            <w:tcBorders>
              <w:top w:val="single" w:sz="4" w:space="0" w:color="000000"/>
            </w:tcBorders>
            <w:vAlign w:val="bottom"/>
          </w:tcPr>
          <w:p w:rsidR="001013EC" w:rsidRPr="00911315" w:rsidRDefault="001013EC" w:rsidP="00E24340">
            <w:pPr>
              <w:pStyle w:val="braytabletext"/>
              <w:jc w:val="center"/>
              <w:rPr>
                <w:szCs w:val="16"/>
              </w:rPr>
            </w:pPr>
            <w:r w:rsidRPr="00911315">
              <w:rPr>
                <w:szCs w:val="16"/>
              </w:rPr>
              <w:t>- % -</w:t>
            </w:r>
          </w:p>
        </w:tc>
      </w:tr>
      <w:tr w:rsidR="001013EC" w:rsidRPr="00911315" w:rsidTr="000F4DDD">
        <w:tc>
          <w:tcPr>
            <w:tcW w:w="1267" w:type="pct"/>
          </w:tcPr>
          <w:p w:rsidR="001013EC" w:rsidRPr="00911315" w:rsidRDefault="001013EC" w:rsidP="00E24340">
            <w:pPr>
              <w:pStyle w:val="braytabletext"/>
              <w:rPr>
                <w:szCs w:val="16"/>
              </w:rPr>
            </w:pPr>
            <w:r w:rsidRPr="00911315">
              <w:rPr>
                <w:szCs w:val="16"/>
              </w:rPr>
              <w:t>Housing</w:t>
            </w:r>
          </w:p>
        </w:tc>
        <w:tc>
          <w:tcPr>
            <w:tcW w:w="740" w:type="pct"/>
            <w:vAlign w:val="bottom"/>
          </w:tcPr>
          <w:p w:rsidR="001013EC" w:rsidRPr="00911315" w:rsidRDefault="001013EC" w:rsidP="00E24340">
            <w:pPr>
              <w:pStyle w:val="braytabletext"/>
              <w:jc w:val="right"/>
              <w:rPr>
                <w:szCs w:val="16"/>
              </w:rPr>
            </w:pPr>
            <w:r w:rsidRPr="00911315">
              <w:rPr>
                <w:szCs w:val="16"/>
              </w:rPr>
              <w:t xml:space="preserve"> </w:t>
            </w:r>
          </w:p>
        </w:tc>
        <w:tc>
          <w:tcPr>
            <w:tcW w:w="737" w:type="pct"/>
            <w:vAlign w:val="bottom"/>
          </w:tcPr>
          <w:p w:rsidR="001013EC" w:rsidRPr="00911315" w:rsidRDefault="001013EC" w:rsidP="00E24340">
            <w:pPr>
              <w:pStyle w:val="braytabletext"/>
              <w:jc w:val="right"/>
              <w:rPr>
                <w:szCs w:val="16"/>
              </w:rPr>
            </w:pPr>
            <w:r w:rsidRPr="00911315">
              <w:rPr>
                <w:szCs w:val="16"/>
              </w:rPr>
              <w:t>11.5</w:t>
            </w:r>
          </w:p>
        </w:tc>
        <w:tc>
          <w:tcPr>
            <w:tcW w:w="843" w:type="pct"/>
            <w:vAlign w:val="bottom"/>
          </w:tcPr>
          <w:p w:rsidR="001013EC" w:rsidRPr="00911315" w:rsidRDefault="001013EC" w:rsidP="00E24340">
            <w:pPr>
              <w:pStyle w:val="braytabletext"/>
              <w:jc w:val="right"/>
              <w:rPr>
                <w:szCs w:val="16"/>
              </w:rPr>
            </w:pPr>
            <w:r w:rsidRPr="00911315">
              <w:rPr>
                <w:szCs w:val="16"/>
              </w:rPr>
              <w:t xml:space="preserve"> </w:t>
            </w:r>
          </w:p>
        </w:tc>
        <w:tc>
          <w:tcPr>
            <w:tcW w:w="738" w:type="pct"/>
            <w:vAlign w:val="bottom"/>
          </w:tcPr>
          <w:p w:rsidR="001013EC" w:rsidRPr="00911315" w:rsidRDefault="001013EC" w:rsidP="00E24340">
            <w:pPr>
              <w:pStyle w:val="braytabletext"/>
              <w:jc w:val="right"/>
              <w:rPr>
                <w:szCs w:val="16"/>
              </w:rPr>
            </w:pPr>
            <w:r w:rsidRPr="00911315">
              <w:rPr>
                <w:szCs w:val="16"/>
              </w:rPr>
              <w:t xml:space="preserve"> </w:t>
            </w:r>
          </w:p>
        </w:tc>
        <w:tc>
          <w:tcPr>
            <w:tcW w:w="675" w:type="pct"/>
            <w:vAlign w:val="bottom"/>
          </w:tcPr>
          <w:p w:rsidR="001013EC" w:rsidRPr="00911315" w:rsidRDefault="001013EC" w:rsidP="00E24340">
            <w:pPr>
              <w:pStyle w:val="braytabletext"/>
              <w:jc w:val="right"/>
              <w:rPr>
                <w:szCs w:val="16"/>
              </w:rPr>
            </w:pPr>
            <w:r w:rsidRPr="00911315">
              <w:rPr>
                <w:szCs w:val="16"/>
              </w:rPr>
              <w:t>11.2</w:t>
            </w:r>
          </w:p>
        </w:tc>
      </w:tr>
      <w:tr w:rsidR="001013EC" w:rsidRPr="00911315" w:rsidTr="000F4DDD">
        <w:tc>
          <w:tcPr>
            <w:tcW w:w="1267" w:type="pct"/>
          </w:tcPr>
          <w:p w:rsidR="001013EC" w:rsidRPr="00911315" w:rsidRDefault="001013EC" w:rsidP="00E24340">
            <w:pPr>
              <w:pStyle w:val="braytabletext"/>
              <w:rPr>
                <w:szCs w:val="16"/>
              </w:rPr>
            </w:pPr>
            <w:r w:rsidRPr="00911315">
              <w:rPr>
                <w:szCs w:val="16"/>
              </w:rPr>
              <w:t>Utilities</w:t>
            </w:r>
          </w:p>
        </w:tc>
        <w:tc>
          <w:tcPr>
            <w:tcW w:w="740" w:type="pct"/>
            <w:vAlign w:val="bottom"/>
          </w:tcPr>
          <w:p w:rsidR="001013EC" w:rsidRPr="00911315" w:rsidRDefault="001013EC" w:rsidP="00E24340">
            <w:pPr>
              <w:pStyle w:val="braytabletext"/>
              <w:jc w:val="right"/>
              <w:rPr>
                <w:szCs w:val="16"/>
              </w:rPr>
            </w:pPr>
            <w:r w:rsidRPr="00911315">
              <w:rPr>
                <w:szCs w:val="16"/>
              </w:rPr>
              <w:t xml:space="preserve"> </w:t>
            </w:r>
          </w:p>
        </w:tc>
        <w:tc>
          <w:tcPr>
            <w:tcW w:w="737" w:type="pct"/>
            <w:vAlign w:val="bottom"/>
          </w:tcPr>
          <w:p w:rsidR="001013EC" w:rsidRPr="00911315" w:rsidRDefault="001013EC" w:rsidP="00E24340">
            <w:pPr>
              <w:pStyle w:val="braytabletext"/>
              <w:jc w:val="right"/>
              <w:rPr>
                <w:szCs w:val="16"/>
              </w:rPr>
            </w:pPr>
            <w:r w:rsidRPr="00911315">
              <w:rPr>
                <w:szCs w:val="16"/>
              </w:rPr>
              <w:t>0.4</w:t>
            </w:r>
          </w:p>
        </w:tc>
        <w:tc>
          <w:tcPr>
            <w:tcW w:w="843" w:type="pct"/>
            <w:vAlign w:val="bottom"/>
          </w:tcPr>
          <w:p w:rsidR="001013EC" w:rsidRPr="00911315" w:rsidRDefault="001013EC" w:rsidP="00E24340">
            <w:pPr>
              <w:pStyle w:val="braytabletext"/>
              <w:jc w:val="right"/>
              <w:rPr>
                <w:szCs w:val="16"/>
              </w:rPr>
            </w:pPr>
            <w:r w:rsidRPr="00911315">
              <w:rPr>
                <w:szCs w:val="16"/>
              </w:rPr>
              <w:t xml:space="preserve"> </w:t>
            </w:r>
          </w:p>
        </w:tc>
        <w:tc>
          <w:tcPr>
            <w:tcW w:w="738" w:type="pct"/>
            <w:vAlign w:val="bottom"/>
          </w:tcPr>
          <w:p w:rsidR="001013EC" w:rsidRPr="00911315" w:rsidRDefault="001013EC" w:rsidP="00E24340">
            <w:pPr>
              <w:pStyle w:val="braytabletext"/>
              <w:jc w:val="right"/>
              <w:rPr>
                <w:szCs w:val="16"/>
              </w:rPr>
            </w:pPr>
            <w:r w:rsidRPr="00911315">
              <w:rPr>
                <w:szCs w:val="16"/>
              </w:rPr>
              <w:t xml:space="preserve"> </w:t>
            </w:r>
          </w:p>
        </w:tc>
        <w:tc>
          <w:tcPr>
            <w:tcW w:w="675" w:type="pct"/>
            <w:vAlign w:val="bottom"/>
          </w:tcPr>
          <w:p w:rsidR="001013EC" w:rsidRPr="00911315" w:rsidRDefault="001013EC" w:rsidP="00E24340">
            <w:pPr>
              <w:pStyle w:val="braytabletext"/>
              <w:jc w:val="right"/>
              <w:rPr>
                <w:szCs w:val="16"/>
              </w:rPr>
            </w:pPr>
            <w:r w:rsidRPr="00911315">
              <w:rPr>
                <w:szCs w:val="16"/>
              </w:rPr>
              <w:t>0.4</w:t>
            </w:r>
          </w:p>
        </w:tc>
      </w:tr>
      <w:tr w:rsidR="001013EC" w:rsidRPr="00911315" w:rsidTr="000F4DDD">
        <w:tc>
          <w:tcPr>
            <w:tcW w:w="1267" w:type="pct"/>
          </w:tcPr>
          <w:p w:rsidR="001013EC" w:rsidRPr="00911315" w:rsidRDefault="001013EC" w:rsidP="00E24340">
            <w:pPr>
              <w:pStyle w:val="braytabletext"/>
              <w:rPr>
                <w:szCs w:val="16"/>
              </w:rPr>
            </w:pPr>
            <w:r w:rsidRPr="00911315">
              <w:rPr>
                <w:szCs w:val="16"/>
              </w:rPr>
              <w:t>School nutrition</w:t>
            </w:r>
          </w:p>
        </w:tc>
        <w:tc>
          <w:tcPr>
            <w:tcW w:w="740" w:type="pct"/>
            <w:vAlign w:val="bottom"/>
          </w:tcPr>
          <w:p w:rsidR="001013EC" w:rsidRPr="00911315" w:rsidRDefault="001013EC" w:rsidP="00E24340">
            <w:pPr>
              <w:pStyle w:val="braytabletext"/>
              <w:jc w:val="right"/>
              <w:rPr>
                <w:szCs w:val="16"/>
              </w:rPr>
            </w:pPr>
            <w:r w:rsidRPr="00911315">
              <w:rPr>
                <w:szCs w:val="16"/>
              </w:rPr>
              <w:t xml:space="preserve"> </w:t>
            </w:r>
          </w:p>
        </w:tc>
        <w:tc>
          <w:tcPr>
            <w:tcW w:w="737" w:type="pct"/>
            <w:vAlign w:val="bottom"/>
          </w:tcPr>
          <w:p w:rsidR="001013EC" w:rsidRPr="00911315" w:rsidRDefault="001013EC" w:rsidP="00E24340">
            <w:pPr>
              <w:pStyle w:val="braytabletext"/>
              <w:jc w:val="right"/>
              <w:rPr>
                <w:szCs w:val="16"/>
              </w:rPr>
            </w:pPr>
            <w:r w:rsidRPr="00911315">
              <w:rPr>
                <w:szCs w:val="16"/>
              </w:rPr>
              <w:t>1.2</w:t>
            </w:r>
          </w:p>
        </w:tc>
        <w:tc>
          <w:tcPr>
            <w:tcW w:w="843" w:type="pct"/>
            <w:vAlign w:val="bottom"/>
          </w:tcPr>
          <w:p w:rsidR="001013EC" w:rsidRPr="00911315" w:rsidRDefault="001013EC" w:rsidP="00E24340">
            <w:pPr>
              <w:pStyle w:val="braytabletext"/>
              <w:jc w:val="right"/>
              <w:rPr>
                <w:szCs w:val="16"/>
              </w:rPr>
            </w:pPr>
            <w:r w:rsidRPr="00911315">
              <w:rPr>
                <w:szCs w:val="16"/>
              </w:rPr>
              <w:t xml:space="preserve"> </w:t>
            </w:r>
          </w:p>
        </w:tc>
        <w:tc>
          <w:tcPr>
            <w:tcW w:w="738" w:type="pct"/>
            <w:vAlign w:val="bottom"/>
          </w:tcPr>
          <w:p w:rsidR="001013EC" w:rsidRPr="00911315" w:rsidRDefault="001013EC" w:rsidP="00E24340">
            <w:pPr>
              <w:pStyle w:val="braytabletext"/>
              <w:jc w:val="right"/>
              <w:rPr>
                <w:szCs w:val="16"/>
              </w:rPr>
            </w:pPr>
            <w:r w:rsidRPr="00911315">
              <w:rPr>
                <w:szCs w:val="16"/>
              </w:rPr>
              <w:t xml:space="preserve"> </w:t>
            </w:r>
          </w:p>
        </w:tc>
        <w:tc>
          <w:tcPr>
            <w:tcW w:w="675" w:type="pct"/>
            <w:vAlign w:val="bottom"/>
          </w:tcPr>
          <w:p w:rsidR="001013EC" w:rsidRPr="00911315" w:rsidRDefault="001013EC" w:rsidP="00E24340">
            <w:pPr>
              <w:pStyle w:val="braytabletext"/>
              <w:jc w:val="right"/>
              <w:rPr>
                <w:szCs w:val="16"/>
              </w:rPr>
            </w:pPr>
            <w:r w:rsidRPr="00911315">
              <w:rPr>
                <w:szCs w:val="16"/>
              </w:rPr>
              <w:t>1.4</w:t>
            </w:r>
          </w:p>
        </w:tc>
      </w:tr>
      <w:tr w:rsidR="001013EC" w:rsidRPr="00911315" w:rsidTr="000F4DDD">
        <w:tc>
          <w:tcPr>
            <w:tcW w:w="1267" w:type="pct"/>
          </w:tcPr>
          <w:p w:rsidR="001013EC" w:rsidRPr="00911315" w:rsidRDefault="001013EC" w:rsidP="00E24340">
            <w:pPr>
              <w:pStyle w:val="braytabletext"/>
              <w:rPr>
                <w:szCs w:val="16"/>
              </w:rPr>
            </w:pPr>
            <w:r w:rsidRPr="00911315">
              <w:rPr>
                <w:szCs w:val="16"/>
              </w:rPr>
              <w:t>BasicsCard</w:t>
            </w:r>
          </w:p>
        </w:tc>
        <w:tc>
          <w:tcPr>
            <w:tcW w:w="740" w:type="pct"/>
            <w:vAlign w:val="bottom"/>
          </w:tcPr>
          <w:p w:rsidR="001013EC" w:rsidRPr="00911315" w:rsidRDefault="001013EC" w:rsidP="00E24340">
            <w:pPr>
              <w:pStyle w:val="braytabletext"/>
              <w:jc w:val="right"/>
              <w:rPr>
                <w:szCs w:val="16"/>
              </w:rPr>
            </w:pPr>
            <w:r w:rsidRPr="00911315">
              <w:rPr>
                <w:szCs w:val="16"/>
              </w:rPr>
              <w:t xml:space="preserve"> </w:t>
            </w:r>
          </w:p>
        </w:tc>
        <w:tc>
          <w:tcPr>
            <w:tcW w:w="737" w:type="pct"/>
            <w:vAlign w:val="bottom"/>
          </w:tcPr>
          <w:p w:rsidR="001013EC" w:rsidRPr="00911315" w:rsidRDefault="001013EC" w:rsidP="00E24340">
            <w:pPr>
              <w:pStyle w:val="braytabletext"/>
              <w:jc w:val="right"/>
              <w:rPr>
                <w:szCs w:val="16"/>
              </w:rPr>
            </w:pPr>
            <w:r w:rsidRPr="00911315">
              <w:rPr>
                <w:szCs w:val="16"/>
              </w:rPr>
              <w:t>74.3</w:t>
            </w:r>
          </w:p>
        </w:tc>
        <w:tc>
          <w:tcPr>
            <w:tcW w:w="843" w:type="pct"/>
            <w:vAlign w:val="bottom"/>
          </w:tcPr>
          <w:p w:rsidR="001013EC" w:rsidRPr="00911315" w:rsidRDefault="001013EC" w:rsidP="00E24340">
            <w:pPr>
              <w:pStyle w:val="braytabletext"/>
              <w:jc w:val="right"/>
              <w:rPr>
                <w:szCs w:val="16"/>
              </w:rPr>
            </w:pPr>
            <w:r w:rsidRPr="00911315">
              <w:rPr>
                <w:szCs w:val="16"/>
              </w:rPr>
              <w:t xml:space="preserve"> </w:t>
            </w:r>
          </w:p>
        </w:tc>
        <w:tc>
          <w:tcPr>
            <w:tcW w:w="738" w:type="pct"/>
            <w:vAlign w:val="bottom"/>
          </w:tcPr>
          <w:p w:rsidR="001013EC" w:rsidRPr="00911315" w:rsidRDefault="001013EC" w:rsidP="00E24340">
            <w:pPr>
              <w:pStyle w:val="braytabletext"/>
              <w:jc w:val="right"/>
              <w:rPr>
                <w:szCs w:val="16"/>
              </w:rPr>
            </w:pPr>
            <w:r w:rsidRPr="00911315">
              <w:rPr>
                <w:szCs w:val="16"/>
              </w:rPr>
              <w:t xml:space="preserve"> </w:t>
            </w:r>
          </w:p>
        </w:tc>
        <w:tc>
          <w:tcPr>
            <w:tcW w:w="675" w:type="pct"/>
            <w:vAlign w:val="bottom"/>
          </w:tcPr>
          <w:p w:rsidR="001013EC" w:rsidRPr="00911315" w:rsidRDefault="001013EC" w:rsidP="00E24340">
            <w:pPr>
              <w:pStyle w:val="braytabletext"/>
              <w:jc w:val="right"/>
              <w:rPr>
                <w:szCs w:val="16"/>
              </w:rPr>
            </w:pPr>
            <w:r w:rsidRPr="00911315">
              <w:rPr>
                <w:szCs w:val="16"/>
              </w:rPr>
              <w:t>74.7</w:t>
            </w:r>
          </w:p>
        </w:tc>
      </w:tr>
      <w:tr w:rsidR="001013EC" w:rsidRPr="00911315" w:rsidTr="000F4DDD">
        <w:tc>
          <w:tcPr>
            <w:tcW w:w="1267" w:type="pct"/>
          </w:tcPr>
          <w:p w:rsidR="001013EC" w:rsidRPr="00911315" w:rsidRDefault="001013EC" w:rsidP="00E24340">
            <w:pPr>
              <w:pStyle w:val="braytabletext"/>
              <w:rPr>
                <w:szCs w:val="16"/>
              </w:rPr>
            </w:pPr>
            <w:r w:rsidRPr="00911315">
              <w:rPr>
                <w:szCs w:val="16"/>
              </w:rPr>
              <w:t>Other</w:t>
            </w:r>
          </w:p>
        </w:tc>
        <w:tc>
          <w:tcPr>
            <w:tcW w:w="740" w:type="pct"/>
            <w:vAlign w:val="bottom"/>
          </w:tcPr>
          <w:p w:rsidR="001013EC" w:rsidRPr="00911315" w:rsidRDefault="001013EC" w:rsidP="00E24340">
            <w:pPr>
              <w:pStyle w:val="braytabletext"/>
              <w:jc w:val="right"/>
              <w:rPr>
                <w:szCs w:val="16"/>
              </w:rPr>
            </w:pPr>
            <w:r w:rsidRPr="00911315">
              <w:rPr>
                <w:szCs w:val="16"/>
              </w:rPr>
              <w:t xml:space="preserve"> </w:t>
            </w:r>
          </w:p>
        </w:tc>
        <w:tc>
          <w:tcPr>
            <w:tcW w:w="737" w:type="pct"/>
            <w:vAlign w:val="bottom"/>
          </w:tcPr>
          <w:p w:rsidR="001013EC" w:rsidRPr="00911315" w:rsidRDefault="001013EC" w:rsidP="00E24340">
            <w:pPr>
              <w:pStyle w:val="braytabletext"/>
              <w:jc w:val="right"/>
              <w:rPr>
                <w:szCs w:val="16"/>
              </w:rPr>
            </w:pPr>
            <w:r w:rsidRPr="00911315">
              <w:rPr>
                <w:szCs w:val="16"/>
              </w:rPr>
              <w:t>12.6</w:t>
            </w:r>
          </w:p>
        </w:tc>
        <w:tc>
          <w:tcPr>
            <w:tcW w:w="843" w:type="pct"/>
            <w:vAlign w:val="bottom"/>
          </w:tcPr>
          <w:p w:rsidR="001013EC" w:rsidRPr="00911315" w:rsidRDefault="001013EC" w:rsidP="00E24340">
            <w:pPr>
              <w:pStyle w:val="braytabletext"/>
              <w:jc w:val="right"/>
              <w:rPr>
                <w:szCs w:val="16"/>
              </w:rPr>
            </w:pPr>
            <w:r w:rsidRPr="00911315">
              <w:rPr>
                <w:szCs w:val="16"/>
              </w:rPr>
              <w:t xml:space="preserve"> </w:t>
            </w:r>
          </w:p>
        </w:tc>
        <w:tc>
          <w:tcPr>
            <w:tcW w:w="738" w:type="pct"/>
            <w:vAlign w:val="bottom"/>
          </w:tcPr>
          <w:p w:rsidR="001013EC" w:rsidRPr="00911315" w:rsidRDefault="001013EC" w:rsidP="00E24340">
            <w:pPr>
              <w:pStyle w:val="braytabletext"/>
              <w:jc w:val="right"/>
              <w:rPr>
                <w:szCs w:val="16"/>
              </w:rPr>
            </w:pPr>
            <w:r w:rsidRPr="00911315">
              <w:rPr>
                <w:szCs w:val="16"/>
              </w:rPr>
              <w:t xml:space="preserve"> </w:t>
            </w:r>
          </w:p>
        </w:tc>
        <w:tc>
          <w:tcPr>
            <w:tcW w:w="675" w:type="pct"/>
            <w:vAlign w:val="bottom"/>
          </w:tcPr>
          <w:p w:rsidR="001013EC" w:rsidRPr="00911315" w:rsidRDefault="001013EC" w:rsidP="00E24340">
            <w:pPr>
              <w:pStyle w:val="braytabletext"/>
              <w:jc w:val="right"/>
              <w:rPr>
                <w:szCs w:val="16"/>
              </w:rPr>
            </w:pPr>
            <w:r w:rsidRPr="00911315">
              <w:rPr>
                <w:szCs w:val="16"/>
              </w:rPr>
              <w:t>12.3</w:t>
            </w:r>
          </w:p>
        </w:tc>
      </w:tr>
      <w:tr w:rsidR="001013EC" w:rsidRPr="00911315" w:rsidTr="000F4DDD">
        <w:tc>
          <w:tcPr>
            <w:tcW w:w="1267" w:type="pct"/>
            <w:tcBorders>
              <w:bottom w:val="single" w:sz="4" w:space="0" w:color="000000"/>
            </w:tcBorders>
          </w:tcPr>
          <w:p w:rsidR="001013EC" w:rsidRPr="00911315" w:rsidRDefault="001013EC" w:rsidP="00E24340">
            <w:pPr>
              <w:pStyle w:val="braytabletext"/>
              <w:rPr>
                <w:szCs w:val="16"/>
              </w:rPr>
            </w:pPr>
            <w:r w:rsidRPr="00911315">
              <w:rPr>
                <w:szCs w:val="16"/>
              </w:rPr>
              <w:t>Total</w:t>
            </w:r>
          </w:p>
        </w:tc>
        <w:tc>
          <w:tcPr>
            <w:tcW w:w="740" w:type="pct"/>
            <w:tcBorders>
              <w:bottom w:val="single" w:sz="4" w:space="0" w:color="000000"/>
            </w:tcBorders>
            <w:vAlign w:val="bottom"/>
          </w:tcPr>
          <w:p w:rsidR="001013EC" w:rsidRPr="00911315" w:rsidRDefault="001013EC" w:rsidP="00E24340">
            <w:pPr>
              <w:pStyle w:val="braytabletext"/>
              <w:jc w:val="right"/>
              <w:rPr>
                <w:szCs w:val="16"/>
              </w:rPr>
            </w:pPr>
            <w:r w:rsidRPr="00911315">
              <w:rPr>
                <w:szCs w:val="16"/>
              </w:rPr>
              <w:t xml:space="preserve"> </w:t>
            </w:r>
          </w:p>
        </w:tc>
        <w:tc>
          <w:tcPr>
            <w:tcW w:w="737" w:type="pct"/>
            <w:tcBorders>
              <w:bottom w:val="single" w:sz="4" w:space="0" w:color="000000"/>
            </w:tcBorders>
            <w:vAlign w:val="bottom"/>
          </w:tcPr>
          <w:p w:rsidR="001013EC" w:rsidRPr="00911315" w:rsidRDefault="001013EC" w:rsidP="00E24340">
            <w:pPr>
              <w:pStyle w:val="braytabletext"/>
              <w:jc w:val="right"/>
              <w:rPr>
                <w:szCs w:val="16"/>
              </w:rPr>
            </w:pPr>
            <w:r w:rsidRPr="00911315">
              <w:rPr>
                <w:szCs w:val="16"/>
              </w:rPr>
              <w:t>100.0</w:t>
            </w:r>
          </w:p>
        </w:tc>
        <w:tc>
          <w:tcPr>
            <w:tcW w:w="843" w:type="pct"/>
            <w:tcBorders>
              <w:bottom w:val="single" w:sz="4" w:space="0" w:color="000000"/>
            </w:tcBorders>
            <w:vAlign w:val="bottom"/>
          </w:tcPr>
          <w:p w:rsidR="001013EC" w:rsidRPr="00911315" w:rsidRDefault="001013EC" w:rsidP="00E24340">
            <w:pPr>
              <w:pStyle w:val="braytabletext"/>
              <w:jc w:val="right"/>
              <w:rPr>
                <w:szCs w:val="16"/>
              </w:rPr>
            </w:pPr>
            <w:r w:rsidRPr="00911315">
              <w:rPr>
                <w:szCs w:val="16"/>
              </w:rPr>
              <w:t xml:space="preserve"> </w:t>
            </w:r>
          </w:p>
        </w:tc>
        <w:tc>
          <w:tcPr>
            <w:tcW w:w="738" w:type="pct"/>
            <w:tcBorders>
              <w:bottom w:val="single" w:sz="4" w:space="0" w:color="000000"/>
            </w:tcBorders>
            <w:vAlign w:val="bottom"/>
          </w:tcPr>
          <w:p w:rsidR="001013EC" w:rsidRPr="00911315" w:rsidRDefault="001013EC" w:rsidP="00E24340">
            <w:pPr>
              <w:pStyle w:val="braytabletext"/>
              <w:jc w:val="right"/>
              <w:rPr>
                <w:szCs w:val="16"/>
              </w:rPr>
            </w:pPr>
            <w:r w:rsidRPr="00911315">
              <w:rPr>
                <w:szCs w:val="16"/>
              </w:rPr>
              <w:t xml:space="preserve"> </w:t>
            </w:r>
          </w:p>
        </w:tc>
        <w:tc>
          <w:tcPr>
            <w:tcW w:w="675" w:type="pct"/>
            <w:tcBorders>
              <w:bottom w:val="single" w:sz="4" w:space="0" w:color="000000"/>
            </w:tcBorders>
            <w:vAlign w:val="bottom"/>
          </w:tcPr>
          <w:p w:rsidR="001013EC" w:rsidRPr="00911315" w:rsidRDefault="001013EC" w:rsidP="00E24340">
            <w:pPr>
              <w:pStyle w:val="braytabletext"/>
              <w:jc w:val="right"/>
              <w:rPr>
                <w:szCs w:val="16"/>
              </w:rPr>
            </w:pPr>
            <w:r w:rsidRPr="00911315">
              <w:rPr>
                <w:szCs w:val="16"/>
              </w:rPr>
              <w:t>100.0</w:t>
            </w:r>
          </w:p>
        </w:tc>
      </w:tr>
      <w:tr w:rsidR="001013EC" w:rsidRPr="00911315" w:rsidTr="000F4DDD">
        <w:tc>
          <w:tcPr>
            <w:tcW w:w="1267" w:type="pct"/>
            <w:tcBorders>
              <w:top w:val="single" w:sz="4" w:space="0" w:color="000000"/>
            </w:tcBorders>
            <w:vAlign w:val="center"/>
          </w:tcPr>
          <w:p w:rsidR="001013EC" w:rsidRPr="00911315" w:rsidRDefault="001013EC" w:rsidP="00E24340">
            <w:pPr>
              <w:pStyle w:val="braytabletext"/>
              <w:rPr>
                <w:szCs w:val="16"/>
              </w:rPr>
            </w:pPr>
          </w:p>
        </w:tc>
        <w:tc>
          <w:tcPr>
            <w:tcW w:w="3733" w:type="pct"/>
            <w:gridSpan w:val="5"/>
            <w:tcBorders>
              <w:top w:val="single" w:sz="4" w:space="0" w:color="000000"/>
            </w:tcBorders>
            <w:vAlign w:val="bottom"/>
          </w:tcPr>
          <w:p w:rsidR="001013EC" w:rsidRPr="00911315" w:rsidRDefault="001013EC" w:rsidP="00E24340">
            <w:pPr>
              <w:pStyle w:val="braytabletext"/>
              <w:jc w:val="center"/>
              <w:rPr>
                <w:szCs w:val="16"/>
              </w:rPr>
            </w:pPr>
            <w:r w:rsidRPr="00911315">
              <w:rPr>
                <w:szCs w:val="16"/>
              </w:rPr>
              <w:t>IM allocation ($ per fortnight)</w:t>
            </w:r>
          </w:p>
        </w:tc>
      </w:tr>
      <w:tr w:rsidR="001013EC" w:rsidRPr="00911315" w:rsidTr="000F4DDD">
        <w:tc>
          <w:tcPr>
            <w:tcW w:w="1267" w:type="pct"/>
            <w:vAlign w:val="center"/>
          </w:tcPr>
          <w:p w:rsidR="001013EC" w:rsidRPr="00911315" w:rsidRDefault="001013EC" w:rsidP="00E24340">
            <w:pPr>
              <w:pStyle w:val="braytabletext"/>
              <w:rPr>
                <w:szCs w:val="16"/>
              </w:rPr>
            </w:pPr>
            <w:r w:rsidRPr="00911315">
              <w:rPr>
                <w:szCs w:val="16"/>
              </w:rPr>
              <w:t>Mean ($)</w:t>
            </w:r>
          </w:p>
        </w:tc>
        <w:tc>
          <w:tcPr>
            <w:tcW w:w="740" w:type="pct"/>
            <w:vAlign w:val="bottom"/>
          </w:tcPr>
          <w:p w:rsidR="001013EC" w:rsidRPr="00911315" w:rsidRDefault="001013EC" w:rsidP="00E24340">
            <w:pPr>
              <w:pStyle w:val="braytabletext"/>
              <w:jc w:val="right"/>
              <w:rPr>
                <w:szCs w:val="16"/>
              </w:rPr>
            </w:pPr>
            <w:r w:rsidRPr="00911315">
              <w:rPr>
                <w:szCs w:val="16"/>
              </w:rPr>
              <w:t xml:space="preserve"> </w:t>
            </w:r>
          </w:p>
        </w:tc>
        <w:tc>
          <w:tcPr>
            <w:tcW w:w="737" w:type="pct"/>
            <w:vAlign w:val="bottom"/>
          </w:tcPr>
          <w:p w:rsidR="001013EC" w:rsidRPr="00911315" w:rsidRDefault="001013EC" w:rsidP="00E24340">
            <w:pPr>
              <w:pStyle w:val="braytabletext"/>
              <w:jc w:val="right"/>
              <w:rPr>
                <w:szCs w:val="16"/>
              </w:rPr>
            </w:pPr>
            <w:r w:rsidRPr="00911315">
              <w:rPr>
                <w:szCs w:val="16"/>
              </w:rPr>
              <w:t>408</w:t>
            </w:r>
          </w:p>
        </w:tc>
        <w:tc>
          <w:tcPr>
            <w:tcW w:w="843" w:type="pct"/>
            <w:vAlign w:val="bottom"/>
          </w:tcPr>
          <w:p w:rsidR="001013EC" w:rsidRPr="00911315" w:rsidRDefault="001013EC" w:rsidP="00E24340">
            <w:pPr>
              <w:pStyle w:val="braytabletext"/>
              <w:jc w:val="right"/>
              <w:rPr>
                <w:szCs w:val="16"/>
              </w:rPr>
            </w:pPr>
            <w:r w:rsidRPr="00911315">
              <w:rPr>
                <w:szCs w:val="16"/>
              </w:rPr>
              <w:t xml:space="preserve"> </w:t>
            </w:r>
          </w:p>
        </w:tc>
        <w:tc>
          <w:tcPr>
            <w:tcW w:w="738" w:type="pct"/>
            <w:vAlign w:val="bottom"/>
          </w:tcPr>
          <w:p w:rsidR="001013EC" w:rsidRPr="00911315" w:rsidRDefault="001013EC" w:rsidP="00E24340">
            <w:pPr>
              <w:pStyle w:val="braytabletext"/>
              <w:jc w:val="right"/>
              <w:rPr>
                <w:szCs w:val="16"/>
              </w:rPr>
            </w:pPr>
            <w:r w:rsidRPr="00911315">
              <w:rPr>
                <w:szCs w:val="16"/>
              </w:rPr>
              <w:t xml:space="preserve"> </w:t>
            </w:r>
          </w:p>
        </w:tc>
        <w:tc>
          <w:tcPr>
            <w:tcW w:w="675" w:type="pct"/>
            <w:vAlign w:val="bottom"/>
          </w:tcPr>
          <w:p w:rsidR="001013EC" w:rsidRPr="00911315" w:rsidRDefault="001013EC" w:rsidP="00E24340">
            <w:pPr>
              <w:pStyle w:val="braytabletext"/>
              <w:jc w:val="right"/>
              <w:rPr>
                <w:szCs w:val="16"/>
              </w:rPr>
            </w:pPr>
            <w:r w:rsidRPr="00911315">
              <w:rPr>
                <w:szCs w:val="16"/>
              </w:rPr>
              <w:t>413</w:t>
            </w:r>
          </w:p>
        </w:tc>
      </w:tr>
      <w:tr w:rsidR="001013EC" w:rsidRPr="00911315" w:rsidTr="000F4DDD">
        <w:tc>
          <w:tcPr>
            <w:tcW w:w="1267" w:type="pct"/>
            <w:tcBorders>
              <w:bottom w:val="single" w:sz="4" w:space="0" w:color="000000"/>
            </w:tcBorders>
            <w:vAlign w:val="center"/>
          </w:tcPr>
          <w:p w:rsidR="001013EC" w:rsidRPr="00911315" w:rsidRDefault="001013EC" w:rsidP="00E24340">
            <w:pPr>
              <w:pStyle w:val="braytabletext"/>
              <w:rPr>
                <w:szCs w:val="16"/>
              </w:rPr>
            </w:pPr>
            <w:r w:rsidRPr="00911315">
              <w:rPr>
                <w:szCs w:val="16"/>
              </w:rPr>
              <w:t>Median ($)</w:t>
            </w:r>
          </w:p>
        </w:tc>
        <w:tc>
          <w:tcPr>
            <w:tcW w:w="740" w:type="pct"/>
            <w:tcBorders>
              <w:bottom w:val="single" w:sz="4" w:space="0" w:color="000000"/>
            </w:tcBorders>
            <w:vAlign w:val="bottom"/>
          </w:tcPr>
          <w:p w:rsidR="001013EC" w:rsidRPr="00911315" w:rsidRDefault="001013EC" w:rsidP="00E24340">
            <w:pPr>
              <w:pStyle w:val="braytabletext"/>
              <w:jc w:val="right"/>
              <w:rPr>
                <w:szCs w:val="16"/>
              </w:rPr>
            </w:pPr>
            <w:r w:rsidRPr="00911315">
              <w:rPr>
                <w:szCs w:val="16"/>
              </w:rPr>
              <w:t xml:space="preserve"> </w:t>
            </w:r>
          </w:p>
        </w:tc>
        <w:tc>
          <w:tcPr>
            <w:tcW w:w="737" w:type="pct"/>
            <w:tcBorders>
              <w:bottom w:val="single" w:sz="4" w:space="0" w:color="000000"/>
            </w:tcBorders>
            <w:vAlign w:val="bottom"/>
          </w:tcPr>
          <w:p w:rsidR="001013EC" w:rsidRPr="00911315" w:rsidRDefault="001013EC" w:rsidP="00E24340">
            <w:pPr>
              <w:pStyle w:val="braytabletext"/>
              <w:jc w:val="right"/>
              <w:rPr>
                <w:szCs w:val="16"/>
              </w:rPr>
            </w:pPr>
            <w:r w:rsidRPr="00911315">
              <w:rPr>
                <w:szCs w:val="16"/>
              </w:rPr>
              <w:t>345</w:t>
            </w:r>
          </w:p>
        </w:tc>
        <w:tc>
          <w:tcPr>
            <w:tcW w:w="843" w:type="pct"/>
            <w:tcBorders>
              <w:bottom w:val="single" w:sz="4" w:space="0" w:color="000000"/>
            </w:tcBorders>
            <w:vAlign w:val="bottom"/>
          </w:tcPr>
          <w:p w:rsidR="001013EC" w:rsidRPr="00911315" w:rsidRDefault="001013EC" w:rsidP="00E24340">
            <w:pPr>
              <w:pStyle w:val="braytabletext"/>
              <w:jc w:val="right"/>
              <w:rPr>
                <w:szCs w:val="16"/>
              </w:rPr>
            </w:pPr>
            <w:r w:rsidRPr="00911315">
              <w:rPr>
                <w:szCs w:val="16"/>
              </w:rPr>
              <w:t xml:space="preserve"> </w:t>
            </w:r>
          </w:p>
        </w:tc>
        <w:tc>
          <w:tcPr>
            <w:tcW w:w="738" w:type="pct"/>
            <w:tcBorders>
              <w:bottom w:val="single" w:sz="4" w:space="0" w:color="000000"/>
            </w:tcBorders>
            <w:vAlign w:val="bottom"/>
          </w:tcPr>
          <w:p w:rsidR="001013EC" w:rsidRPr="00911315" w:rsidRDefault="001013EC" w:rsidP="00E24340">
            <w:pPr>
              <w:pStyle w:val="braytabletext"/>
              <w:jc w:val="right"/>
              <w:rPr>
                <w:szCs w:val="16"/>
              </w:rPr>
            </w:pPr>
            <w:r w:rsidRPr="00911315">
              <w:rPr>
                <w:szCs w:val="16"/>
              </w:rPr>
              <w:t xml:space="preserve"> </w:t>
            </w:r>
          </w:p>
        </w:tc>
        <w:tc>
          <w:tcPr>
            <w:tcW w:w="675" w:type="pct"/>
            <w:tcBorders>
              <w:bottom w:val="single" w:sz="4" w:space="0" w:color="000000"/>
            </w:tcBorders>
            <w:vAlign w:val="bottom"/>
          </w:tcPr>
          <w:p w:rsidR="001013EC" w:rsidRPr="00911315" w:rsidRDefault="001013EC" w:rsidP="00E24340">
            <w:pPr>
              <w:pStyle w:val="braytabletext"/>
              <w:jc w:val="right"/>
              <w:rPr>
                <w:szCs w:val="16"/>
              </w:rPr>
            </w:pPr>
            <w:r w:rsidRPr="00911315">
              <w:rPr>
                <w:szCs w:val="16"/>
              </w:rPr>
              <w:t>345</w:t>
            </w:r>
          </w:p>
        </w:tc>
      </w:tr>
    </w:tbl>
    <w:p w:rsidR="00657163" w:rsidRDefault="00CF78DB" w:rsidP="00CF78DB">
      <w:pPr>
        <w:pStyle w:val="tablefootnotes"/>
      </w:pPr>
      <w:r>
        <w:t>Note:</w:t>
      </w:r>
      <w:r>
        <w:tab/>
      </w:r>
      <w:r w:rsidR="00657163" w:rsidDel="00657163">
        <w:t xml:space="preserve"> </w:t>
      </w:r>
    </w:p>
    <w:p w:rsidR="001013EC" w:rsidRPr="005911E2" w:rsidRDefault="001013EC" w:rsidP="00CF78DB">
      <w:pPr>
        <w:pStyle w:val="tablefootnotes"/>
      </w:pPr>
      <w:r w:rsidRPr="005911E2">
        <w:t xml:space="preserve">(a) </w:t>
      </w:r>
      <w:r w:rsidRPr="005911E2">
        <w:tab/>
        <w:t xml:space="preserve">The table shows the four most common </w:t>
      </w:r>
      <w:r w:rsidR="00CD2C3D">
        <w:t>income support</w:t>
      </w:r>
      <w:r w:rsidR="00CD2C3D" w:rsidRPr="005911E2">
        <w:t xml:space="preserve"> </w:t>
      </w:r>
      <w:r w:rsidRPr="005911E2">
        <w:t xml:space="preserve">types paid to people subject to </w:t>
      </w:r>
      <w:r w:rsidR="00F878E4">
        <w:t>income management</w:t>
      </w:r>
      <w:r w:rsidRPr="005911E2">
        <w:t xml:space="preserve">. Remaining types </w:t>
      </w:r>
      <w:r w:rsidR="00CD2C3D">
        <w:t xml:space="preserve">of income support </w:t>
      </w:r>
      <w:r w:rsidR="001F06FE">
        <w:t xml:space="preserve">are </w:t>
      </w:r>
      <w:r w:rsidRPr="005911E2">
        <w:t>not shown but are included in the total.</w:t>
      </w:r>
    </w:p>
    <w:p w:rsidR="001013EC" w:rsidRPr="005911E2" w:rsidRDefault="001013EC" w:rsidP="00CF78DB">
      <w:pPr>
        <w:pStyle w:val="tablefootnotes"/>
      </w:pPr>
      <w:r w:rsidRPr="005911E2">
        <w:t>(b)</w:t>
      </w:r>
      <w:r w:rsidRPr="005911E2">
        <w:tab/>
        <w:t xml:space="preserve">Given the small number of people on </w:t>
      </w:r>
      <w:r w:rsidR="002B5A5C">
        <w:t>Voluntary Income Management</w:t>
      </w:r>
      <w:r w:rsidRPr="005911E2">
        <w:t xml:space="preserve"> on the other payment types</w:t>
      </w:r>
      <w:r w:rsidR="001F06FE">
        <w:t>,</w:t>
      </w:r>
      <w:r w:rsidRPr="005911E2">
        <w:t xml:space="preserve"> only data for those on </w:t>
      </w:r>
      <w:r w:rsidR="001F06FE">
        <w:t>the Disability Support Pension</w:t>
      </w:r>
      <w:r w:rsidRPr="005911E2">
        <w:t xml:space="preserve"> is identified</w:t>
      </w:r>
      <w:r w:rsidR="001F06FE">
        <w:t>. S</w:t>
      </w:r>
      <w:r w:rsidRPr="005911E2">
        <w:t xml:space="preserve">imilarly data </w:t>
      </w:r>
      <w:r w:rsidR="00BB552A">
        <w:t>is</w:t>
      </w:r>
      <w:r w:rsidR="00BB552A" w:rsidRPr="005911E2">
        <w:t xml:space="preserve"> </w:t>
      </w:r>
      <w:r w:rsidRPr="005911E2">
        <w:t xml:space="preserve">not shown for the small number of people on </w:t>
      </w:r>
      <w:r w:rsidR="001F06FE">
        <w:t xml:space="preserve">the Disability Support Pension </w:t>
      </w:r>
      <w:r w:rsidRPr="005911E2">
        <w:t xml:space="preserve">subject to </w:t>
      </w:r>
      <w:r w:rsidR="002B5A5C">
        <w:t>Voluntary Income Management</w:t>
      </w:r>
      <w:r w:rsidRPr="005911E2">
        <w:t>.</w:t>
      </w:r>
    </w:p>
    <w:p w:rsidR="001013EC" w:rsidRDefault="001013EC" w:rsidP="00CF78DB">
      <w:pPr>
        <w:pStyle w:val="tablefootnotes"/>
      </w:pPr>
      <w:r w:rsidRPr="005911E2">
        <w:t xml:space="preserve">Source: </w:t>
      </w:r>
      <w:r w:rsidR="00CF78DB">
        <w:tab/>
      </w:r>
      <w:r w:rsidRPr="005911E2">
        <w:t>Derived from Centrelink fortnightly expenses report database</w:t>
      </w:r>
      <w:r w:rsidR="00943DCB">
        <w:t>.</w:t>
      </w:r>
    </w:p>
    <w:p w:rsidR="00CF78DB" w:rsidRDefault="00CF78DB" w:rsidP="00CF78DB">
      <w:pPr>
        <w:pStyle w:val="tablefootnotes"/>
      </w:pPr>
    </w:p>
    <w:p w:rsidR="00397CDC" w:rsidRDefault="00397CDC" w:rsidP="00397CDC">
      <w:pPr>
        <w:pStyle w:val="BodyText"/>
        <w:rPr>
          <w:lang w:eastAsia="en-US"/>
        </w:rPr>
      </w:pPr>
      <w:r>
        <w:rPr>
          <w:lang w:eastAsia="en-US"/>
        </w:rPr>
        <w:t>While the focus of the table is on the allocation of funds, a</w:t>
      </w:r>
      <w:r w:rsidRPr="005911E2">
        <w:rPr>
          <w:lang w:eastAsia="en-US"/>
        </w:rPr>
        <w:t>lso noticeable are the differences in the level of funds subject to income management</w:t>
      </w:r>
      <w:r>
        <w:rPr>
          <w:lang w:eastAsia="en-US"/>
        </w:rPr>
        <w:t>,</w:t>
      </w:r>
      <w:r w:rsidRPr="005911E2">
        <w:rPr>
          <w:lang w:eastAsia="en-US"/>
        </w:rPr>
        <w:t xml:space="preserve"> with the median ranging from $233 for a person on Newstart</w:t>
      </w:r>
      <w:r>
        <w:rPr>
          <w:lang w:eastAsia="en-US"/>
        </w:rPr>
        <w:t xml:space="preserve"> Allowance</w:t>
      </w:r>
      <w:r w:rsidRPr="005911E2">
        <w:rPr>
          <w:lang w:eastAsia="en-US"/>
        </w:rPr>
        <w:t xml:space="preserve"> to $513 for a person on Parenting Payment Single.</w:t>
      </w:r>
      <w:r>
        <w:rPr>
          <w:lang w:eastAsia="en-US"/>
        </w:rPr>
        <w:t xml:space="preserve"> These are a product of both the different rates of income support payments and the extent to which some people receive additional assistance for children and housing.</w:t>
      </w:r>
    </w:p>
    <w:p w:rsidR="00397CDC" w:rsidRPr="005911E2" w:rsidRDefault="00397CDC" w:rsidP="00397CDC">
      <w:pPr>
        <w:pStyle w:val="BodyText"/>
        <w:rPr>
          <w:lang w:eastAsia="en-US"/>
        </w:rPr>
      </w:pPr>
      <w:r w:rsidRPr="005911E2">
        <w:rPr>
          <w:lang w:eastAsia="en-US"/>
        </w:rPr>
        <w:t xml:space="preserve">Those on Parenting Payment Single had the highest allocation to housing costs of the populations on compulsory streams of </w:t>
      </w:r>
      <w:r>
        <w:rPr>
          <w:lang w:eastAsia="en-US"/>
        </w:rPr>
        <w:t>income management</w:t>
      </w:r>
      <w:r w:rsidRPr="005911E2">
        <w:rPr>
          <w:lang w:eastAsia="en-US"/>
        </w:rPr>
        <w:t xml:space="preserve">, as well as the lowest allocation to </w:t>
      </w:r>
      <w:r>
        <w:rPr>
          <w:lang w:eastAsia="en-US"/>
        </w:rPr>
        <w:t xml:space="preserve">the </w:t>
      </w:r>
      <w:r w:rsidRPr="005911E2">
        <w:rPr>
          <w:lang w:eastAsia="en-US"/>
        </w:rPr>
        <w:t xml:space="preserve">BasicsCard, although even in this group 74 per cent of funds were allocated to this. The pattern of spending on </w:t>
      </w:r>
      <w:r>
        <w:rPr>
          <w:lang w:eastAsia="en-US"/>
        </w:rPr>
        <w:t xml:space="preserve">the </w:t>
      </w:r>
      <w:r w:rsidRPr="005911E2">
        <w:rPr>
          <w:lang w:eastAsia="en-US"/>
        </w:rPr>
        <w:t>School Nutrition</w:t>
      </w:r>
      <w:r>
        <w:rPr>
          <w:lang w:eastAsia="en-US"/>
        </w:rPr>
        <w:t xml:space="preserve"> Program</w:t>
      </w:r>
      <w:r w:rsidRPr="005911E2">
        <w:rPr>
          <w:lang w:eastAsia="en-US"/>
        </w:rPr>
        <w:t xml:space="preserve"> reflects the extent this is limited to parents in remote communities. </w:t>
      </w:r>
    </w:p>
    <w:p w:rsidR="00397CDC" w:rsidRPr="005911E2" w:rsidRDefault="00397CDC" w:rsidP="00CF78DB">
      <w:pPr>
        <w:pStyle w:val="tablefootnotes"/>
      </w:pPr>
    </w:p>
    <w:p w:rsidR="001013EC" w:rsidRPr="005911E2" w:rsidRDefault="001013EC" w:rsidP="00BD6DFD">
      <w:pPr>
        <w:pStyle w:val="Heading3"/>
      </w:pPr>
      <w:r w:rsidRPr="005911E2">
        <w:t>Allocation by location</w:t>
      </w:r>
    </w:p>
    <w:p w:rsidR="001013EC" w:rsidRPr="005911E2" w:rsidRDefault="001013EC" w:rsidP="001013EC">
      <w:pPr>
        <w:pStyle w:val="BodyText"/>
        <w:rPr>
          <w:lang w:eastAsia="en-US"/>
        </w:rPr>
      </w:pPr>
      <w:bookmarkStart w:id="469" w:name="_Ref321063068"/>
      <w:r w:rsidRPr="005911E2">
        <w:rPr>
          <w:lang w:eastAsia="en-US"/>
        </w:rPr>
        <w:t>Th</w:t>
      </w:r>
      <w:r w:rsidR="00C31C13">
        <w:rPr>
          <w:lang w:eastAsia="en-US"/>
        </w:rPr>
        <w:t>e</w:t>
      </w:r>
      <w:r w:rsidRPr="005911E2">
        <w:rPr>
          <w:lang w:eastAsia="en-US"/>
        </w:rPr>
        <w:t xml:space="preserve"> impact of different geographic locations </w:t>
      </w:r>
      <w:r w:rsidR="00C31C13">
        <w:rPr>
          <w:lang w:eastAsia="en-US"/>
        </w:rPr>
        <w:t xml:space="preserve">on allocation of funds </w:t>
      </w:r>
      <w:r w:rsidRPr="005911E2">
        <w:rPr>
          <w:lang w:eastAsia="en-US"/>
        </w:rPr>
        <w:t>i</w:t>
      </w:r>
      <w:r w:rsidR="00C31C13">
        <w:rPr>
          <w:lang w:eastAsia="en-US"/>
        </w:rPr>
        <w:t>s</w:t>
      </w:r>
      <w:r w:rsidRPr="005911E2">
        <w:rPr>
          <w:lang w:eastAsia="en-US"/>
        </w:rPr>
        <w:t xml:space="preserve"> considered in </w:t>
      </w:r>
      <w:r w:rsidRPr="005911E2">
        <w:t xml:space="preserve">Table </w:t>
      </w:r>
      <w:r w:rsidRPr="005911E2">
        <w:rPr>
          <w:noProof/>
        </w:rPr>
        <w:t>5</w:t>
      </w:r>
      <w:r w:rsidRPr="005911E2">
        <w:noBreakHyphen/>
      </w:r>
      <w:r w:rsidRPr="005911E2">
        <w:rPr>
          <w:noProof/>
        </w:rPr>
        <w:t>5</w:t>
      </w:r>
      <w:r w:rsidRPr="005911E2">
        <w:rPr>
          <w:lang w:eastAsia="en-US"/>
        </w:rPr>
        <w:t xml:space="preserve">. There are relatively few differences in allocations between NTER communities and </w:t>
      </w:r>
      <w:r w:rsidR="00C31C13">
        <w:rPr>
          <w:lang w:eastAsia="en-US"/>
        </w:rPr>
        <w:t xml:space="preserve">other </w:t>
      </w:r>
      <w:r w:rsidR="00CF78DB">
        <w:rPr>
          <w:lang w:eastAsia="en-US"/>
        </w:rPr>
        <w:t>locations in the Northern Territory.</w:t>
      </w:r>
      <w:r w:rsidRPr="005911E2">
        <w:rPr>
          <w:lang w:eastAsia="en-US"/>
        </w:rPr>
        <w:t xml:space="preserve"> </w:t>
      </w:r>
      <w:r w:rsidR="00C31C13">
        <w:rPr>
          <w:lang w:eastAsia="en-US"/>
        </w:rPr>
        <w:t>F</w:t>
      </w:r>
      <w:r w:rsidRPr="005911E2">
        <w:rPr>
          <w:lang w:eastAsia="en-US"/>
        </w:rPr>
        <w:t xml:space="preserve">or both </w:t>
      </w:r>
      <w:r w:rsidR="004808B3">
        <w:rPr>
          <w:lang w:eastAsia="en-US"/>
        </w:rPr>
        <w:t>Compulsory Income Management</w:t>
      </w:r>
      <w:r w:rsidRPr="005911E2">
        <w:rPr>
          <w:lang w:eastAsia="en-US"/>
        </w:rPr>
        <w:t xml:space="preserve"> and </w:t>
      </w:r>
      <w:r w:rsidR="002B5A5C">
        <w:rPr>
          <w:lang w:eastAsia="en-US"/>
        </w:rPr>
        <w:t>Voluntary Income Management</w:t>
      </w:r>
      <w:r w:rsidRPr="005911E2">
        <w:rPr>
          <w:lang w:eastAsia="en-US"/>
        </w:rPr>
        <w:t xml:space="preserve">, </w:t>
      </w:r>
      <w:r w:rsidR="00C31C13">
        <w:rPr>
          <w:lang w:eastAsia="en-US"/>
        </w:rPr>
        <w:t xml:space="preserve">the main difference </w:t>
      </w:r>
      <w:r w:rsidRPr="005911E2">
        <w:rPr>
          <w:lang w:eastAsia="en-US"/>
        </w:rPr>
        <w:t xml:space="preserve">is that in NTER communities a lower proportion of </w:t>
      </w:r>
      <w:r w:rsidR="00F878E4">
        <w:rPr>
          <w:lang w:eastAsia="en-US"/>
        </w:rPr>
        <w:t>income manage</w:t>
      </w:r>
      <w:r w:rsidR="00C31C13">
        <w:rPr>
          <w:lang w:eastAsia="en-US"/>
        </w:rPr>
        <w:t>d</w:t>
      </w:r>
      <w:r w:rsidRPr="005911E2">
        <w:rPr>
          <w:lang w:eastAsia="en-US"/>
        </w:rPr>
        <w:t xml:space="preserve"> funds are </w:t>
      </w:r>
      <w:r w:rsidRPr="005911E2">
        <w:rPr>
          <w:lang w:eastAsia="en-US"/>
        </w:rPr>
        <w:lastRenderedPageBreak/>
        <w:t>allocated to housing compared to in communities which were not subject to the NTER.</w:t>
      </w:r>
    </w:p>
    <w:p w:rsidR="001013EC" w:rsidRPr="005911E2" w:rsidRDefault="001013EC" w:rsidP="001013EC">
      <w:pPr>
        <w:pStyle w:val="tabfighead"/>
      </w:pPr>
      <w:bookmarkStart w:id="470" w:name="_Ref321195707"/>
      <w:bookmarkStart w:id="471" w:name="_Toc321430423"/>
      <w:bookmarkStart w:id="472" w:name="_Toc321761693"/>
      <w:bookmarkStart w:id="473" w:name="_Toc321254542"/>
      <w:bookmarkStart w:id="474" w:name="_Toc328601590"/>
      <w:bookmarkStart w:id="475" w:name="_Toc329051368"/>
      <w:bookmarkStart w:id="476" w:name="_Toc335915856"/>
      <w:r w:rsidRPr="005911E2">
        <w:t xml:space="preserve">Table </w:t>
      </w:r>
      <w:r w:rsidR="00C7347D" w:rsidRPr="005911E2">
        <w:fldChar w:fldCharType="begin"/>
      </w:r>
      <w:r w:rsidR="00435FEB" w:rsidRPr="005911E2">
        <w:instrText xml:space="preserve"> STYLEREF 1 \s </w:instrText>
      </w:r>
      <w:r w:rsidR="00C7347D" w:rsidRPr="005911E2">
        <w:fldChar w:fldCharType="separate"/>
      </w:r>
      <w:r w:rsidR="007D7E45">
        <w:rPr>
          <w:noProof/>
        </w:rPr>
        <w:t>5</w:t>
      </w:r>
      <w:r w:rsidR="00C7347D" w:rsidRPr="005911E2">
        <w:rPr>
          <w:noProof/>
        </w:rPr>
        <w:fldChar w:fldCharType="end"/>
      </w:r>
      <w:r w:rsidRPr="005911E2">
        <w:noBreakHyphen/>
      </w:r>
      <w:r w:rsidR="00C7347D" w:rsidRPr="005911E2">
        <w:fldChar w:fldCharType="begin"/>
      </w:r>
      <w:r w:rsidR="00435FEB" w:rsidRPr="005911E2">
        <w:instrText xml:space="preserve"> SEQ Table \* ARABIC \s 1 </w:instrText>
      </w:r>
      <w:r w:rsidR="00C7347D" w:rsidRPr="005911E2">
        <w:fldChar w:fldCharType="separate"/>
      </w:r>
      <w:r w:rsidR="007D7E45">
        <w:rPr>
          <w:noProof/>
        </w:rPr>
        <w:t>5</w:t>
      </w:r>
      <w:r w:rsidR="00C7347D" w:rsidRPr="005911E2">
        <w:rPr>
          <w:noProof/>
        </w:rPr>
        <w:fldChar w:fldCharType="end"/>
      </w:r>
      <w:bookmarkEnd w:id="469"/>
      <w:bookmarkEnd w:id="470"/>
      <w:r w:rsidRPr="005911E2">
        <w:t xml:space="preserve"> </w:t>
      </w:r>
      <w:r w:rsidRPr="005911E2">
        <w:tab/>
        <w:t xml:space="preserve">Composition of allocation by </w:t>
      </w:r>
      <w:r w:rsidR="00F878E4">
        <w:t>income management</w:t>
      </w:r>
      <w:r w:rsidRPr="005911E2">
        <w:t xml:space="preserve"> stream and location, fortnight ending 28 October 2011</w:t>
      </w:r>
      <w:bookmarkEnd w:id="471"/>
      <w:bookmarkEnd w:id="472"/>
      <w:bookmarkEnd w:id="473"/>
      <w:bookmarkEnd w:id="474"/>
      <w:bookmarkEnd w:id="475"/>
      <w:bookmarkEnd w:id="476"/>
    </w:p>
    <w:tbl>
      <w:tblPr>
        <w:tblW w:w="6660" w:type="dxa"/>
        <w:tblInd w:w="1803" w:type="dxa"/>
        <w:tblLayout w:type="fixed"/>
        <w:tblLook w:val="04A0" w:firstRow="1" w:lastRow="0" w:firstColumn="1" w:lastColumn="0" w:noHBand="0" w:noVBand="1"/>
      </w:tblPr>
      <w:tblGrid>
        <w:gridCol w:w="1842"/>
        <w:gridCol w:w="1134"/>
        <w:gridCol w:w="1134"/>
        <w:gridCol w:w="284"/>
        <w:gridCol w:w="1132"/>
        <w:gridCol w:w="1134"/>
      </w:tblGrid>
      <w:tr w:rsidR="001013EC" w:rsidRPr="00911315" w:rsidTr="000F4DDD">
        <w:trPr>
          <w:trHeight w:val="288"/>
        </w:trPr>
        <w:tc>
          <w:tcPr>
            <w:tcW w:w="1842" w:type="dxa"/>
            <w:vMerge w:val="restart"/>
            <w:tcBorders>
              <w:top w:val="single" w:sz="4" w:space="0" w:color="auto"/>
              <w:left w:val="nil"/>
              <w:right w:val="nil"/>
            </w:tcBorders>
            <w:shd w:val="clear" w:color="auto" w:fill="auto"/>
            <w:hideMark/>
          </w:tcPr>
          <w:p w:rsidR="001013EC" w:rsidRPr="00911315" w:rsidRDefault="001013EC" w:rsidP="00943DCB">
            <w:pPr>
              <w:pStyle w:val="braytabletext"/>
              <w:spacing w:after="40"/>
              <w:rPr>
                <w:szCs w:val="16"/>
              </w:rPr>
            </w:pPr>
            <w:r w:rsidRPr="00911315">
              <w:rPr>
                <w:szCs w:val="16"/>
              </w:rPr>
              <w:t>Allocation of IM funds</w:t>
            </w:r>
          </w:p>
        </w:tc>
        <w:tc>
          <w:tcPr>
            <w:tcW w:w="4818" w:type="dxa"/>
            <w:gridSpan w:val="5"/>
            <w:tcBorders>
              <w:top w:val="single" w:sz="4" w:space="0" w:color="auto"/>
              <w:left w:val="nil"/>
              <w:bottom w:val="single" w:sz="4" w:space="0" w:color="auto"/>
              <w:right w:val="nil"/>
            </w:tcBorders>
            <w:shd w:val="clear" w:color="auto" w:fill="auto"/>
            <w:vAlign w:val="center"/>
            <w:hideMark/>
          </w:tcPr>
          <w:p w:rsidR="001013EC" w:rsidRPr="00911315" w:rsidRDefault="001013EC" w:rsidP="00FA2BC6">
            <w:pPr>
              <w:pStyle w:val="braytabletext"/>
              <w:spacing w:after="40"/>
              <w:rPr>
                <w:szCs w:val="16"/>
              </w:rPr>
            </w:pPr>
            <w:r w:rsidRPr="00911315">
              <w:rPr>
                <w:szCs w:val="16"/>
              </w:rPr>
              <w:t>IM stream</w:t>
            </w:r>
            <w:r w:rsidR="00783DF8">
              <w:rPr>
                <w:szCs w:val="16"/>
              </w:rPr>
              <w:t>:</w:t>
            </w:r>
            <w:r w:rsidRPr="00911315">
              <w:rPr>
                <w:szCs w:val="16"/>
              </w:rPr>
              <w:t xml:space="preserve"> </w:t>
            </w:r>
            <w:r w:rsidR="00FA2BC6">
              <w:rPr>
                <w:szCs w:val="16"/>
              </w:rPr>
              <w:t xml:space="preserve"> </w:t>
            </w:r>
          </w:p>
        </w:tc>
      </w:tr>
      <w:tr w:rsidR="001013EC" w:rsidRPr="00911315" w:rsidTr="000F4DDD">
        <w:trPr>
          <w:trHeight w:val="288"/>
        </w:trPr>
        <w:tc>
          <w:tcPr>
            <w:tcW w:w="1842" w:type="dxa"/>
            <w:vMerge/>
            <w:tcBorders>
              <w:left w:val="nil"/>
              <w:right w:val="nil"/>
            </w:tcBorders>
            <w:shd w:val="clear" w:color="auto" w:fill="auto"/>
            <w:vAlign w:val="center"/>
            <w:hideMark/>
          </w:tcPr>
          <w:p w:rsidR="001013EC" w:rsidRPr="00911315" w:rsidRDefault="001013EC" w:rsidP="00943DCB">
            <w:pPr>
              <w:pStyle w:val="braytabletext"/>
              <w:spacing w:after="40"/>
              <w:rPr>
                <w:szCs w:val="16"/>
              </w:rPr>
            </w:pPr>
          </w:p>
        </w:tc>
        <w:tc>
          <w:tcPr>
            <w:tcW w:w="2268" w:type="dxa"/>
            <w:gridSpan w:val="2"/>
            <w:tcBorders>
              <w:top w:val="single" w:sz="4" w:space="0" w:color="auto"/>
              <w:left w:val="nil"/>
              <w:bottom w:val="single" w:sz="4" w:space="0" w:color="auto"/>
              <w:right w:val="nil"/>
            </w:tcBorders>
            <w:shd w:val="clear" w:color="auto" w:fill="auto"/>
            <w:vAlign w:val="center"/>
            <w:hideMark/>
          </w:tcPr>
          <w:p w:rsidR="001013EC" w:rsidRPr="00911315" w:rsidRDefault="001013EC" w:rsidP="00943DCB">
            <w:pPr>
              <w:pStyle w:val="braytabletext"/>
              <w:spacing w:after="40"/>
              <w:rPr>
                <w:szCs w:val="16"/>
              </w:rPr>
            </w:pPr>
            <w:r w:rsidRPr="00911315">
              <w:rPr>
                <w:szCs w:val="16"/>
              </w:rPr>
              <w:t>CIM</w:t>
            </w:r>
            <w:r w:rsidR="00C31C13" w:rsidRPr="00911315">
              <w:rPr>
                <w:szCs w:val="16"/>
              </w:rPr>
              <w:t>, CPIM &amp; VULIM</w:t>
            </w:r>
          </w:p>
        </w:tc>
        <w:tc>
          <w:tcPr>
            <w:tcW w:w="284" w:type="dxa"/>
            <w:tcBorders>
              <w:top w:val="single" w:sz="4" w:space="0" w:color="auto"/>
              <w:left w:val="nil"/>
              <w:bottom w:val="nil"/>
              <w:right w:val="nil"/>
            </w:tcBorders>
            <w:shd w:val="clear" w:color="auto" w:fill="auto"/>
            <w:vAlign w:val="center"/>
            <w:hideMark/>
          </w:tcPr>
          <w:p w:rsidR="001013EC" w:rsidRPr="00911315" w:rsidRDefault="001013EC" w:rsidP="00943DCB">
            <w:pPr>
              <w:pStyle w:val="braytabletext"/>
              <w:spacing w:after="40"/>
              <w:rPr>
                <w:szCs w:val="16"/>
              </w:rPr>
            </w:pPr>
          </w:p>
        </w:tc>
        <w:tc>
          <w:tcPr>
            <w:tcW w:w="2266" w:type="dxa"/>
            <w:gridSpan w:val="2"/>
            <w:tcBorders>
              <w:top w:val="single" w:sz="4" w:space="0" w:color="auto"/>
              <w:left w:val="nil"/>
              <w:bottom w:val="single" w:sz="4" w:space="0" w:color="auto"/>
              <w:right w:val="nil"/>
            </w:tcBorders>
            <w:shd w:val="clear" w:color="auto" w:fill="auto"/>
            <w:vAlign w:val="center"/>
            <w:hideMark/>
          </w:tcPr>
          <w:p w:rsidR="001013EC" w:rsidRPr="00911315" w:rsidRDefault="001013EC" w:rsidP="00943DCB">
            <w:pPr>
              <w:pStyle w:val="braytabletext"/>
              <w:spacing w:after="40"/>
              <w:rPr>
                <w:szCs w:val="16"/>
              </w:rPr>
            </w:pPr>
            <w:r w:rsidRPr="00911315">
              <w:rPr>
                <w:szCs w:val="16"/>
              </w:rPr>
              <w:t>VIM</w:t>
            </w:r>
          </w:p>
        </w:tc>
      </w:tr>
      <w:tr w:rsidR="001013EC" w:rsidRPr="00911315" w:rsidTr="000F4DDD">
        <w:trPr>
          <w:trHeight w:val="288"/>
        </w:trPr>
        <w:tc>
          <w:tcPr>
            <w:tcW w:w="1842" w:type="dxa"/>
            <w:vMerge/>
            <w:tcBorders>
              <w:left w:val="nil"/>
              <w:bottom w:val="single" w:sz="4" w:space="0" w:color="auto"/>
              <w:right w:val="nil"/>
            </w:tcBorders>
            <w:shd w:val="clear" w:color="auto" w:fill="auto"/>
            <w:vAlign w:val="center"/>
            <w:hideMark/>
          </w:tcPr>
          <w:p w:rsidR="001013EC" w:rsidRPr="00911315" w:rsidRDefault="001013EC" w:rsidP="00943DCB">
            <w:pPr>
              <w:pStyle w:val="braytabletext"/>
              <w:spacing w:after="40"/>
              <w:rPr>
                <w:szCs w:val="16"/>
              </w:rPr>
            </w:pPr>
          </w:p>
        </w:tc>
        <w:tc>
          <w:tcPr>
            <w:tcW w:w="1134" w:type="dxa"/>
            <w:tcBorders>
              <w:top w:val="single" w:sz="4" w:space="0" w:color="auto"/>
              <w:left w:val="nil"/>
              <w:bottom w:val="single" w:sz="4" w:space="0" w:color="auto"/>
              <w:right w:val="nil"/>
            </w:tcBorders>
            <w:shd w:val="clear" w:color="auto" w:fill="auto"/>
            <w:vAlign w:val="center"/>
            <w:hideMark/>
          </w:tcPr>
          <w:p w:rsidR="001013EC" w:rsidRPr="00911315" w:rsidRDefault="001013EC" w:rsidP="00783DF8">
            <w:pPr>
              <w:pStyle w:val="braytabletext"/>
              <w:spacing w:after="40"/>
              <w:jc w:val="right"/>
              <w:rPr>
                <w:szCs w:val="16"/>
              </w:rPr>
            </w:pPr>
            <w:r w:rsidRPr="00911315">
              <w:rPr>
                <w:szCs w:val="16"/>
              </w:rPr>
              <w:t>Not NTER Community</w:t>
            </w:r>
          </w:p>
        </w:tc>
        <w:tc>
          <w:tcPr>
            <w:tcW w:w="1134" w:type="dxa"/>
            <w:tcBorders>
              <w:top w:val="single" w:sz="4" w:space="0" w:color="auto"/>
              <w:left w:val="nil"/>
              <w:bottom w:val="single" w:sz="4" w:space="0" w:color="auto"/>
              <w:right w:val="nil"/>
            </w:tcBorders>
            <w:shd w:val="clear" w:color="auto" w:fill="auto"/>
            <w:vAlign w:val="center"/>
            <w:hideMark/>
          </w:tcPr>
          <w:p w:rsidR="001013EC" w:rsidRPr="00911315" w:rsidRDefault="001013EC" w:rsidP="00783DF8">
            <w:pPr>
              <w:pStyle w:val="braytabletext"/>
              <w:spacing w:after="40"/>
              <w:jc w:val="right"/>
              <w:rPr>
                <w:szCs w:val="16"/>
              </w:rPr>
            </w:pPr>
            <w:r w:rsidRPr="00911315">
              <w:rPr>
                <w:szCs w:val="16"/>
              </w:rPr>
              <w:t>NTER Community</w:t>
            </w:r>
          </w:p>
        </w:tc>
        <w:tc>
          <w:tcPr>
            <w:tcW w:w="284" w:type="dxa"/>
            <w:tcBorders>
              <w:top w:val="nil"/>
              <w:left w:val="nil"/>
              <w:bottom w:val="single" w:sz="4" w:space="0" w:color="auto"/>
              <w:right w:val="nil"/>
            </w:tcBorders>
            <w:shd w:val="clear" w:color="auto" w:fill="auto"/>
            <w:vAlign w:val="center"/>
            <w:hideMark/>
          </w:tcPr>
          <w:p w:rsidR="001013EC" w:rsidRPr="00911315" w:rsidRDefault="001013EC" w:rsidP="00783DF8">
            <w:pPr>
              <w:pStyle w:val="braytabletext"/>
              <w:spacing w:after="40"/>
              <w:jc w:val="right"/>
              <w:rPr>
                <w:szCs w:val="16"/>
              </w:rPr>
            </w:pPr>
          </w:p>
        </w:tc>
        <w:tc>
          <w:tcPr>
            <w:tcW w:w="1132" w:type="dxa"/>
            <w:tcBorders>
              <w:top w:val="single" w:sz="4" w:space="0" w:color="auto"/>
              <w:left w:val="nil"/>
              <w:bottom w:val="single" w:sz="4" w:space="0" w:color="auto"/>
              <w:right w:val="nil"/>
            </w:tcBorders>
            <w:shd w:val="clear" w:color="auto" w:fill="auto"/>
            <w:vAlign w:val="center"/>
            <w:hideMark/>
          </w:tcPr>
          <w:p w:rsidR="001013EC" w:rsidRPr="00911315" w:rsidRDefault="001013EC" w:rsidP="00783DF8">
            <w:pPr>
              <w:pStyle w:val="braytabletext"/>
              <w:spacing w:after="40"/>
              <w:jc w:val="right"/>
              <w:rPr>
                <w:szCs w:val="16"/>
              </w:rPr>
            </w:pPr>
            <w:r w:rsidRPr="00911315">
              <w:rPr>
                <w:szCs w:val="16"/>
              </w:rPr>
              <w:t>Not NTER Community</w:t>
            </w:r>
          </w:p>
        </w:tc>
        <w:tc>
          <w:tcPr>
            <w:tcW w:w="1134" w:type="dxa"/>
            <w:tcBorders>
              <w:top w:val="single" w:sz="4" w:space="0" w:color="auto"/>
              <w:left w:val="nil"/>
              <w:bottom w:val="single" w:sz="4" w:space="0" w:color="auto"/>
              <w:right w:val="nil"/>
            </w:tcBorders>
            <w:shd w:val="clear" w:color="auto" w:fill="auto"/>
            <w:vAlign w:val="center"/>
            <w:hideMark/>
          </w:tcPr>
          <w:p w:rsidR="001013EC" w:rsidRPr="00911315" w:rsidRDefault="001013EC" w:rsidP="00783DF8">
            <w:pPr>
              <w:pStyle w:val="braytabletext"/>
              <w:spacing w:after="40"/>
              <w:jc w:val="right"/>
              <w:rPr>
                <w:szCs w:val="16"/>
              </w:rPr>
            </w:pPr>
            <w:r w:rsidRPr="00911315">
              <w:rPr>
                <w:szCs w:val="16"/>
              </w:rPr>
              <w:t>NTER Community</w:t>
            </w:r>
          </w:p>
        </w:tc>
      </w:tr>
      <w:tr w:rsidR="001013EC" w:rsidRPr="00911315" w:rsidTr="000F4DDD">
        <w:trPr>
          <w:trHeight w:val="288"/>
        </w:trPr>
        <w:tc>
          <w:tcPr>
            <w:tcW w:w="1842" w:type="dxa"/>
            <w:tcBorders>
              <w:top w:val="single" w:sz="4" w:space="0" w:color="auto"/>
              <w:left w:val="nil"/>
              <w:bottom w:val="nil"/>
              <w:right w:val="nil"/>
            </w:tcBorders>
            <w:shd w:val="clear" w:color="auto" w:fill="auto"/>
            <w:vAlign w:val="center"/>
            <w:hideMark/>
          </w:tcPr>
          <w:p w:rsidR="001013EC" w:rsidRPr="00911315" w:rsidRDefault="001013EC" w:rsidP="00943DCB">
            <w:pPr>
              <w:pStyle w:val="braytabletext"/>
              <w:spacing w:after="40"/>
              <w:rPr>
                <w:szCs w:val="16"/>
              </w:rPr>
            </w:pPr>
          </w:p>
        </w:tc>
        <w:tc>
          <w:tcPr>
            <w:tcW w:w="4818" w:type="dxa"/>
            <w:gridSpan w:val="5"/>
            <w:tcBorders>
              <w:top w:val="single" w:sz="4" w:space="0" w:color="auto"/>
              <w:left w:val="nil"/>
              <w:bottom w:val="nil"/>
              <w:right w:val="nil"/>
            </w:tcBorders>
            <w:shd w:val="clear" w:color="auto" w:fill="auto"/>
            <w:vAlign w:val="center"/>
            <w:hideMark/>
          </w:tcPr>
          <w:p w:rsidR="001013EC" w:rsidRPr="00911315" w:rsidRDefault="001013EC" w:rsidP="00943DCB">
            <w:pPr>
              <w:pStyle w:val="braytabletext"/>
              <w:spacing w:after="40"/>
              <w:jc w:val="center"/>
              <w:rPr>
                <w:szCs w:val="16"/>
              </w:rPr>
            </w:pPr>
            <w:r w:rsidRPr="00911315">
              <w:rPr>
                <w:szCs w:val="16"/>
              </w:rPr>
              <w:t>- % -</w:t>
            </w:r>
          </w:p>
        </w:tc>
      </w:tr>
      <w:tr w:rsidR="001013EC" w:rsidRPr="00911315" w:rsidTr="000F4DDD">
        <w:trPr>
          <w:trHeight w:val="253"/>
        </w:trPr>
        <w:tc>
          <w:tcPr>
            <w:tcW w:w="1842" w:type="dxa"/>
            <w:tcBorders>
              <w:top w:val="nil"/>
              <w:left w:val="nil"/>
              <w:bottom w:val="nil"/>
              <w:right w:val="nil"/>
            </w:tcBorders>
            <w:shd w:val="clear" w:color="auto" w:fill="auto"/>
            <w:vAlign w:val="bottom"/>
            <w:hideMark/>
          </w:tcPr>
          <w:p w:rsidR="001013EC" w:rsidRPr="00911315" w:rsidRDefault="001013EC" w:rsidP="00943DCB">
            <w:pPr>
              <w:pStyle w:val="braytabletext"/>
              <w:spacing w:after="40"/>
              <w:rPr>
                <w:szCs w:val="16"/>
              </w:rPr>
            </w:pPr>
            <w:r w:rsidRPr="00911315">
              <w:rPr>
                <w:szCs w:val="16"/>
              </w:rPr>
              <w:t>Housing</w:t>
            </w:r>
          </w:p>
        </w:tc>
        <w:tc>
          <w:tcPr>
            <w:tcW w:w="1134" w:type="dxa"/>
            <w:tcBorders>
              <w:top w:val="nil"/>
              <w:left w:val="nil"/>
              <w:bottom w:val="nil"/>
              <w:right w:val="nil"/>
            </w:tcBorders>
            <w:shd w:val="clear" w:color="auto" w:fill="auto"/>
            <w:vAlign w:val="bottom"/>
            <w:hideMark/>
          </w:tcPr>
          <w:p w:rsidR="001013EC" w:rsidRPr="00911315" w:rsidRDefault="001013EC" w:rsidP="00943DCB">
            <w:pPr>
              <w:pStyle w:val="braytabletext"/>
              <w:spacing w:after="40"/>
              <w:jc w:val="right"/>
              <w:rPr>
                <w:szCs w:val="16"/>
              </w:rPr>
            </w:pPr>
            <w:r w:rsidRPr="00911315">
              <w:rPr>
                <w:szCs w:val="16"/>
              </w:rPr>
              <w:t>13.1</w:t>
            </w:r>
          </w:p>
        </w:tc>
        <w:tc>
          <w:tcPr>
            <w:tcW w:w="1134" w:type="dxa"/>
            <w:tcBorders>
              <w:top w:val="nil"/>
              <w:left w:val="nil"/>
              <w:bottom w:val="nil"/>
              <w:right w:val="nil"/>
            </w:tcBorders>
            <w:shd w:val="clear" w:color="auto" w:fill="auto"/>
            <w:vAlign w:val="bottom"/>
            <w:hideMark/>
          </w:tcPr>
          <w:p w:rsidR="001013EC" w:rsidRPr="00911315" w:rsidRDefault="001013EC" w:rsidP="00943DCB">
            <w:pPr>
              <w:pStyle w:val="braytabletext"/>
              <w:spacing w:after="40"/>
              <w:jc w:val="right"/>
              <w:rPr>
                <w:szCs w:val="16"/>
              </w:rPr>
            </w:pPr>
            <w:r w:rsidRPr="00911315">
              <w:rPr>
                <w:szCs w:val="16"/>
              </w:rPr>
              <w:t>9.0</w:t>
            </w:r>
          </w:p>
        </w:tc>
        <w:tc>
          <w:tcPr>
            <w:tcW w:w="284" w:type="dxa"/>
            <w:tcBorders>
              <w:top w:val="nil"/>
              <w:left w:val="nil"/>
              <w:bottom w:val="nil"/>
              <w:right w:val="nil"/>
            </w:tcBorders>
            <w:shd w:val="clear" w:color="auto" w:fill="auto"/>
            <w:vAlign w:val="bottom"/>
            <w:hideMark/>
          </w:tcPr>
          <w:p w:rsidR="001013EC" w:rsidRPr="00911315" w:rsidRDefault="001013EC" w:rsidP="00943DCB">
            <w:pPr>
              <w:pStyle w:val="braytabletext"/>
              <w:spacing w:after="40"/>
              <w:jc w:val="right"/>
              <w:rPr>
                <w:szCs w:val="16"/>
              </w:rPr>
            </w:pPr>
          </w:p>
        </w:tc>
        <w:tc>
          <w:tcPr>
            <w:tcW w:w="1132" w:type="dxa"/>
            <w:tcBorders>
              <w:top w:val="nil"/>
              <w:left w:val="nil"/>
              <w:bottom w:val="nil"/>
              <w:right w:val="nil"/>
            </w:tcBorders>
            <w:shd w:val="clear" w:color="auto" w:fill="auto"/>
            <w:vAlign w:val="bottom"/>
            <w:hideMark/>
          </w:tcPr>
          <w:p w:rsidR="001013EC" w:rsidRPr="00911315" w:rsidRDefault="001013EC" w:rsidP="00943DCB">
            <w:pPr>
              <w:pStyle w:val="braytabletext"/>
              <w:spacing w:after="40"/>
              <w:jc w:val="right"/>
              <w:rPr>
                <w:szCs w:val="16"/>
              </w:rPr>
            </w:pPr>
            <w:r w:rsidRPr="00911315">
              <w:rPr>
                <w:szCs w:val="16"/>
              </w:rPr>
              <w:t>15.4</w:t>
            </w:r>
          </w:p>
        </w:tc>
        <w:tc>
          <w:tcPr>
            <w:tcW w:w="1134" w:type="dxa"/>
            <w:tcBorders>
              <w:top w:val="nil"/>
              <w:left w:val="nil"/>
              <w:bottom w:val="nil"/>
              <w:right w:val="nil"/>
            </w:tcBorders>
            <w:shd w:val="clear" w:color="auto" w:fill="auto"/>
            <w:vAlign w:val="bottom"/>
            <w:hideMark/>
          </w:tcPr>
          <w:p w:rsidR="001013EC" w:rsidRPr="00911315" w:rsidRDefault="001013EC" w:rsidP="00943DCB">
            <w:pPr>
              <w:pStyle w:val="braytabletext"/>
              <w:spacing w:after="40"/>
              <w:jc w:val="right"/>
              <w:rPr>
                <w:szCs w:val="16"/>
              </w:rPr>
            </w:pPr>
            <w:r w:rsidRPr="00911315">
              <w:rPr>
                <w:szCs w:val="16"/>
              </w:rPr>
              <w:t>10.6</w:t>
            </w:r>
          </w:p>
        </w:tc>
      </w:tr>
      <w:tr w:rsidR="001013EC" w:rsidRPr="00911315" w:rsidTr="000F4DDD">
        <w:trPr>
          <w:trHeight w:val="288"/>
        </w:trPr>
        <w:tc>
          <w:tcPr>
            <w:tcW w:w="1842" w:type="dxa"/>
            <w:tcBorders>
              <w:top w:val="nil"/>
              <w:left w:val="nil"/>
              <w:bottom w:val="nil"/>
              <w:right w:val="nil"/>
            </w:tcBorders>
            <w:shd w:val="clear" w:color="auto" w:fill="auto"/>
            <w:vAlign w:val="bottom"/>
            <w:hideMark/>
          </w:tcPr>
          <w:p w:rsidR="001013EC" w:rsidRPr="00911315" w:rsidRDefault="001013EC" w:rsidP="00943DCB">
            <w:pPr>
              <w:pStyle w:val="braytabletext"/>
              <w:spacing w:after="40"/>
              <w:rPr>
                <w:szCs w:val="16"/>
              </w:rPr>
            </w:pPr>
            <w:r w:rsidRPr="00911315">
              <w:rPr>
                <w:szCs w:val="16"/>
              </w:rPr>
              <w:t>Utilities</w:t>
            </w:r>
          </w:p>
        </w:tc>
        <w:tc>
          <w:tcPr>
            <w:tcW w:w="1134" w:type="dxa"/>
            <w:tcBorders>
              <w:top w:val="nil"/>
              <w:left w:val="nil"/>
              <w:bottom w:val="nil"/>
              <w:right w:val="nil"/>
            </w:tcBorders>
            <w:shd w:val="clear" w:color="auto" w:fill="auto"/>
            <w:vAlign w:val="bottom"/>
            <w:hideMark/>
          </w:tcPr>
          <w:p w:rsidR="001013EC" w:rsidRPr="00911315" w:rsidRDefault="001013EC" w:rsidP="00943DCB">
            <w:pPr>
              <w:pStyle w:val="braytabletext"/>
              <w:spacing w:after="40"/>
              <w:jc w:val="right"/>
              <w:rPr>
                <w:szCs w:val="16"/>
              </w:rPr>
            </w:pPr>
            <w:r w:rsidRPr="00911315">
              <w:rPr>
                <w:szCs w:val="16"/>
              </w:rPr>
              <w:t>1.5</w:t>
            </w:r>
          </w:p>
        </w:tc>
        <w:tc>
          <w:tcPr>
            <w:tcW w:w="1134" w:type="dxa"/>
            <w:tcBorders>
              <w:top w:val="nil"/>
              <w:left w:val="nil"/>
              <w:bottom w:val="nil"/>
              <w:right w:val="nil"/>
            </w:tcBorders>
            <w:shd w:val="clear" w:color="auto" w:fill="auto"/>
            <w:vAlign w:val="bottom"/>
            <w:hideMark/>
          </w:tcPr>
          <w:p w:rsidR="001013EC" w:rsidRPr="00911315" w:rsidRDefault="001013EC" w:rsidP="00943DCB">
            <w:pPr>
              <w:pStyle w:val="braytabletext"/>
              <w:spacing w:after="40"/>
              <w:jc w:val="right"/>
              <w:rPr>
                <w:szCs w:val="16"/>
              </w:rPr>
            </w:pPr>
            <w:r w:rsidRPr="00911315">
              <w:rPr>
                <w:szCs w:val="16"/>
              </w:rPr>
              <w:t>0.1</w:t>
            </w:r>
          </w:p>
        </w:tc>
        <w:tc>
          <w:tcPr>
            <w:tcW w:w="284" w:type="dxa"/>
            <w:tcBorders>
              <w:top w:val="nil"/>
              <w:left w:val="nil"/>
              <w:bottom w:val="nil"/>
              <w:right w:val="nil"/>
            </w:tcBorders>
            <w:shd w:val="clear" w:color="auto" w:fill="auto"/>
            <w:vAlign w:val="bottom"/>
            <w:hideMark/>
          </w:tcPr>
          <w:p w:rsidR="001013EC" w:rsidRPr="00911315" w:rsidRDefault="001013EC" w:rsidP="00943DCB">
            <w:pPr>
              <w:pStyle w:val="braytabletext"/>
              <w:spacing w:after="40"/>
              <w:jc w:val="right"/>
              <w:rPr>
                <w:szCs w:val="16"/>
              </w:rPr>
            </w:pPr>
          </w:p>
        </w:tc>
        <w:tc>
          <w:tcPr>
            <w:tcW w:w="1132" w:type="dxa"/>
            <w:tcBorders>
              <w:top w:val="nil"/>
              <w:left w:val="nil"/>
              <w:bottom w:val="nil"/>
              <w:right w:val="nil"/>
            </w:tcBorders>
            <w:shd w:val="clear" w:color="auto" w:fill="auto"/>
            <w:vAlign w:val="bottom"/>
            <w:hideMark/>
          </w:tcPr>
          <w:p w:rsidR="001013EC" w:rsidRPr="00911315" w:rsidRDefault="001013EC" w:rsidP="00943DCB">
            <w:pPr>
              <w:pStyle w:val="braytabletext"/>
              <w:spacing w:after="40"/>
              <w:jc w:val="right"/>
              <w:rPr>
                <w:szCs w:val="16"/>
              </w:rPr>
            </w:pPr>
            <w:r w:rsidRPr="00911315">
              <w:rPr>
                <w:szCs w:val="16"/>
              </w:rPr>
              <w:t>0.9</w:t>
            </w:r>
          </w:p>
        </w:tc>
        <w:tc>
          <w:tcPr>
            <w:tcW w:w="1134" w:type="dxa"/>
            <w:tcBorders>
              <w:top w:val="nil"/>
              <w:left w:val="nil"/>
              <w:bottom w:val="nil"/>
              <w:right w:val="nil"/>
            </w:tcBorders>
            <w:shd w:val="clear" w:color="auto" w:fill="auto"/>
            <w:vAlign w:val="bottom"/>
            <w:hideMark/>
          </w:tcPr>
          <w:p w:rsidR="001013EC" w:rsidRPr="00911315" w:rsidRDefault="001013EC" w:rsidP="00943DCB">
            <w:pPr>
              <w:pStyle w:val="braytabletext"/>
              <w:spacing w:after="40"/>
              <w:jc w:val="right"/>
              <w:rPr>
                <w:szCs w:val="16"/>
              </w:rPr>
            </w:pPr>
            <w:r w:rsidRPr="00911315">
              <w:rPr>
                <w:szCs w:val="16"/>
              </w:rPr>
              <w:t>0.3</w:t>
            </w:r>
          </w:p>
        </w:tc>
      </w:tr>
      <w:tr w:rsidR="001013EC" w:rsidRPr="00911315" w:rsidTr="000F4DDD">
        <w:trPr>
          <w:trHeight w:val="305"/>
        </w:trPr>
        <w:tc>
          <w:tcPr>
            <w:tcW w:w="1842" w:type="dxa"/>
            <w:tcBorders>
              <w:top w:val="nil"/>
              <w:left w:val="nil"/>
              <w:bottom w:val="nil"/>
              <w:right w:val="nil"/>
            </w:tcBorders>
            <w:shd w:val="clear" w:color="auto" w:fill="auto"/>
            <w:vAlign w:val="bottom"/>
            <w:hideMark/>
          </w:tcPr>
          <w:p w:rsidR="001013EC" w:rsidRPr="00911315" w:rsidRDefault="001013EC" w:rsidP="00943DCB">
            <w:pPr>
              <w:pStyle w:val="braytabletext"/>
              <w:spacing w:after="40"/>
              <w:rPr>
                <w:szCs w:val="16"/>
              </w:rPr>
            </w:pPr>
            <w:r w:rsidRPr="00911315">
              <w:rPr>
                <w:szCs w:val="16"/>
              </w:rPr>
              <w:t>School nutrition</w:t>
            </w:r>
          </w:p>
        </w:tc>
        <w:tc>
          <w:tcPr>
            <w:tcW w:w="1134" w:type="dxa"/>
            <w:tcBorders>
              <w:top w:val="nil"/>
              <w:left w:val="nil"/>
              <w:bottom w:val="nil"/>
              <w:right w:val="nil"/>
            </w:tcBorders>
            <w:shd w:val="clear" w:color="auto" w:fill="auto"/>
            <w:vAlign w:val="bottom"/>
            <w:hideMark/>
          </w:tcPr>
          <w:p w:rsidR="001013EC" w:rsidRPr="00911315" w:rsidRDefault="001013EC" w:rsidP="00943DCB">
            <w:pPr>
              <w:pStyle w:val="braytabletext"/>
              <w:spacing w:after="40"/>
              <w:jc w:val="right"/>
              <w:rPr>
                <w:szCs w:val="16"/>
              </w:rPr>
            </w:pPr>
            <w:r w:rsidRPr="00911315">
              <w:rPr>
                <w:szCs w:val="16"/>
              </w:rPr>
              <w:t>1.0</w:t>
            </w:r>
          </w:p>
        </w:tc>
        <w:tc>
          <w:tcPr>
            <w:tcW w:w="1134" w:type="dxa"/>
            <w:tcBorders>
              <w:top w:val="nil"/>
              <w:left w:val="nil"/>
              <w:bottom w:val="nil"/>
              <w:right w:val="nil"/>
            </w:tcBorders>
            <w:shd w:val="clear" w:color="auto" w:fill="auto"/>
            <w:vAlign w:val="bottom"/>
            <w:hideMark/>
          </w:tcPr>
          <w:p w:rsidR="001013EC" w:rsidRPr="00911315" w:rsidRDefault="001013EC" w:rsidP="00943DCB">
            <w:pPr>
              <w:pStyle w:val="braytabletext"/>
              <w:spacing w:after="40"/>
              <w:jc w:val="right"/>
              <w:rPr>
                <w:szCs w:val="16"/>
              </w:rPr>
            </w:pPr>
            <w:r w:rsidRPr="00911315">
              <w:rPr>
                <w:szCs w:val="16"/>
              </w:rPr>
              <w:t>3.7</w:t>
            </w:r>
          </w:p>
        </w:tc>
        <w:tc>
          <w:tcPr>
            <w:tcW w:w="284" w:type="dxa"/>
            <w:tcBorders>
              <w:top w:val="nil"/>
              <w:left w:val="nil"/>
              <w:bottom w:val="nil"/>
              <w:right w:val="nil"/>
            </w:tcBorders>
            <w:shd w:val="clear" w:color="auto" w:fill="auto"/>
            <w:vAlign w:val="bottom"/>
            <w:hideMark/>
          </w:tcPr>
          <w:p w:rsidR="001013EC" w:rsidRPr="00911315" w:rsidRDefault="001013EC" w:rsidP="00943DCB">
            <w:pPr>
              <w:pStyle w:val="braytabletext"/>
              <w:spacing w:after="40"/>
              <w:jc w:val="right"/>
              <w:rPr>
                <w:szCs w:val="16"/>
              </w:rPr>
            </w:pPr>
          </w:p>
        </w:tc>
        <w:tc>
          <w:tcPr>
            <w:tcW w:w="1132" w:type="dxa"/>
            <w:tcBorders>
              <w:top w:val="nil"/>
              <w:left w:val="nil"/>
              <w:bottom w:val="nil"/>
              <w:right w:val="nil"/>
            </w:tcBorders>
            <w:shd w:val="clear" w:color="auto" w:fill="auto"/>
            <w:vAlign w:val="bottom"/>
            <w:hideMark/>
          </w:tcPr>
          <w:p w:rsidR="001013EC" w:rsidRPr="00911315" w:rsidRDefault="001013EC" w:rsidP="00943DCB">
            <w:pPr>
              <w:pStyle w:val="braytabletext"/>
              <w:spacing w:after="40"/>
              <w:jc w:val="right"/>
              <w:rPr>
                <w:szCs w:val="16"/>
              </w:rPr>
            </w:pPr>
            <w:r w:rsidRPr="00911315">
              <w:rPr>
                <w:szCs w:val="16"/>
              </w:rPr>
              <w:t>0.4</w:t>
            </w:r>
          </w:p>
        </w:tc>
        <w:tc>
          <w:tcPr>
            <w:tcW w:w="1134" w:type="dxa"/>
            <w:tcBorders>
              <w:top w:val="nil"/>
              <w:left w:val="nil"/>
              <w:bottom w:val="nil"/>
              <w:right w:val="nil"/>
            </w:tcBorders>
            <w:shd w:val="clear" w:color="auto" w:fill="auto"/>
            <w:vAlign w:val="bottom"/>
            <w:hideMark/>
          </w:tcPr>
          <w:p w:rsidR="001013EC" w:rsidRPr="00911315" w:rsidRDefault="001013EC" w:rsidP="00943DCB">
            <w:pPr>
              <w:pStyle w:val="braytabletext"/>
              <w:spacing w:after="40"/>
              <w:jc w:val="right"/>
              <w:rPr>
                <w:szCs w:val="16"/>
              </w:rPr>
            </w:pPr>
            <w:r w:rsidRPr="00911315">
              <w:rPr>
                <w:szCs w:val="16"/>
              </w:rPr>
              <w:t>1.6</w:t>
            </w:r>
          </w:p>
        </w:tc>
      </w:tr>
      <w:tr w:rsidR="001013EC" w:rsidRPr="00911315" w:rsidTr="000F4DDD">
        <w:trPr>
          <w:trHeight w:val="288"/>
        </w:trPr>
        <w:tc>
          <w:tcPr>
            <w:tcW w:w="1842" w:type="dxa"/>
            <w:tcBorders>
              <w:top w:val="nil"/>
              <w:left w:val="nil"/>
              <w:bottom w:val="nil"/>
              <w:right w:val="nil"/>
            </w:tcBorders>
            <w:shd w:val="clear" w:color="auto" w:fill="auto"/>
            <w:vAlign w:val="bottom"/>
            <w:hideMark/>
          </w:tcPr>
          <w:p w:rsidR="001013EC" w:rsidRPr="00911315" w:rsidRDefault="001013EC" w:rsidP="00943DCB">
            <w:pPr>
              <w:pStyle w:val="braytabletext"/>
              <w:spacing w:after="40"/>
              <w:rPr>
                <w:szCs w:val="16"/>
              </w:rPr>
            </w:pPr>
            <w:r w:rsidRPr="00911315">
              <w:rPr>
                <w:szCs w:val="16"/>
              </w:rPr>
              <w:t>BasicsCard</w:t>
            </w:r>
          </w:p>
        </w:tc>
        <w:tc>
          <w:tcPr>
            <w:tcW w:w="1134" w:type="dxa"/>
            <w:tcBorders>
              <w:top w:val="nil"/>
              <w:left w:val="nil"/>
              <w:bottom w:val="nil"/>
              <w:right w:val="nil"/>
            </w:tcBorders>
            <w:shd w:val="clear" w:color="auto" w:fill="auto"/>
            <w:vAlign w:val="bottom"/>
            <w:hideMark/>
          </w:tcPr>
          <w:p w:rsidR="001013EC" w:rsidRPr="00911315" w:rsidRDefault="001013EC" w:rsidP="00943DCB">
            <w:pPr>
              <w:pStyle w:val="braytabletext"/>
              <w:spacing w:after="40"/>
              <w:jc w:val="right"/>
              <w:rPr>
                <w:szCs w:val="16"/>
              </w:rPr>
            </w:pPr>
            <w:r w:rsidRPr="00911315">
              <w:rPr>
                <w:szCs w:val="16"/>
              </w:rPr>
              <w:t>77.2</w:t>
            </w:r>
          </w:p>
        </w:tc>
        <w:tc>
          <w:tcPr>
            <w:tcW w:w="1134" w:type="dxa"/>
            <w:tcBorders>
              <w:top w:val="nil"/>
              <w:left w:val="nil"/>
              <w:bottom w:val="nil"/>
              <w:right w:val="nil"/>
            </w:tcBorders>
            <w:shd w:val="clear" w:color="auto" w:fill="auto"/>
            <w:vAlign w:val="bottom"/>
            <w:hideMark/>
          </w:tcPr>
          <w:p w:rsidR="001013EC" w:rsidRPr="00911315" w:rsidRDefault="001013EC" w:rsidP="00943DCB">
            <w:pPr>
              <w:pStyle w:val="braytabletext"/>
              <w:spacing w:after="40"/>
              <w:jc w:val="right"/>
              <w:rPr>
                <w:szCs w:val="16"/>
              </w:rPr>
            </w:pPr>
            <w:r w:rsidRPr="00911315">
              <w:rPr>
                <w:szCs w:val="16"/>
              </w:rPr>
              <w:t>79.0</w:t>
            </w:r>
          </w:p>
        </w:tc>
        <w:tc>
          <w:tcPr>
            <w:tcW w:w="284" w:type="dxa"/>
            <w:tcBorders>
              <w:top w:val="nil"/>
              <w:left w:val="nil"/>
              <w:bottom w:val="nil"/>
              <w:right w:val="nil"/>
            </w:tcBorders>
            <w:shd w:val="clear" w:color="auto" w:fill="auto"/>
            <w:vAlign w:val="bottom"/>
            <w:hideMark/>
          </w:tcPr>
          <w:p w:rsidR="001013EC" w:rsidRPr="00911315" w:rsidRDefault="001013EC" w:rsidP="00943DCB">
            <w:pPr>
              <w:pStyle w:val="braytabletext"/>
              <w:spacing w:after="40"/>
              <w:jc w:val="right"/>
              <w:rPr>
                <w:szCs w:val="16"/>
              </w:rPr>
            </w:pPr>
          </w:p>
        </w:tc>
        <w:tc>
          <w:tcPr>
            <w:tcW w:w="1132" w:type="dxa"/>
            <w:tcBorders>
              <w:top w:val="nil"/>
              <w:left w:val="nil"/>
              <w:bottom w:val="nil"/>
              <w:right w:val="nil"/>
            </w:tcBorders>
            <w:shd w:val="clear" w:color="auto" w:fill="auto"/>
            <w:vAlign w:val="bottom"/>
            <w:hideMark/>
          </w:tcPr>
          <w:p w:rsidR="001013EC" w:rsidRPr="00911315" w:rsidRDefault="001013EC" w:rsidP="00943DCB">
            <w:pPr>
              <w:pStyle w:val="braytabletext"/>
              <w:spacing w:after="40"/>
              <w:jc w:val="right"/>
              <w:rPr>
                <w:szCs w:val="16"/>
              </w:rPr>
            </w:pPr>
            <w:r w:rsidRPr="00911315">
              <w:rPr>
                <w:szCs w:val="16"/>
              </w:rPr>
              <w:t>74.2</w:t>
            </w:r>
          </w:p>
        </w:tc>
        <w:tc>
          <w:tcPr>
            <w:tcW w:w="1134" w:type="dxa"/>
            <w:tcBorders>
              <w:top w:val="nil"/>
              <w:left w:val="nil"/>
              <w:bottom w:val="nil"/>
              <w:right w:val="nil"/>
            </w:tcBorders>
            <w:shd w:val="clear" w:color="auto" w:fill="auto"/>
            <w:vAlign w:val="bottom"/>
            <w:hideMark/>
          </w:tcPr>
          <w:p w:rsidR="001013EC" w:rsidRPr="00911315" w:rsidRDefault="001013EC" w:rsidP="00943DCB">
            <w:pPr>
              <w:pStyle w:val="braytabletext"/>
              <w:spacing w:after="40"/>
              <w:jc w:val="right"/>
              <w:rPr>
                <w:szCs w:val="16"/>
              </w:rPr>
            </w:pPr>
            <w:r w:rsidRPr="00911315">
              <w:rPr>
                <w:szCs w:val="16"/>
              </w:rPr>
              <w:t>71.2</w:t>
            </w:r>
          </w:p>
        </w:tc>
      </w:tr>
      <w:tr w:rsidR="001013EC" w:rsidRPr="00911315" w:rsidTr="000F4DDD">
        <w:trPr>
          <w:trHeight w:val="288"/>
        </w:trPr>
        <w:tc>
          <w:tcPr>
            <w:tcW w:w="1842" w:type="dxa"/>
            <w:tcBorders>
              <w:top w:val="nil"/>
              <w:left w:val="nil"/>
              <w:right w:val="nil"/>
            </w:tcBorders>
            <w:shd w:val="clear" w:color="auto" w:fill="auto"/>
            <w:vAlign w:val="bottom"/>
            <w:hideMark/>
          </w:tcPr>
          <w:p w:rsidR="001013EC" w:rsidRPr="00911315" w:rsidRDefault="001013EC" w:rsidP="00943DCB">
            <w:pPr>
              <w:pStyle w:val="braytabletext"/>
              <w:spacing w:after="40"/>
              <w:rPr>
                <w:szCs w:val="16"/>
              </w:rPr>
            </w:pPr>
            <w:r w:rsidRPr="00911315">
              <w:rPr>
                <w:szCs w:val="16"/>
              </w:rPr>
              <w:t>Other</w:t>
            </w:r>
          </w:p>
        </w:tc>
        <w:tc>
          <w:tcPr>
            <w:tcW w:w="1134" w:type="dxa"/>
            <w:tcBorders>
              <w:top w:val="nil"/>
              <w:left w:val="nil"/>
              <w:right w:val="nil"/>
            </w:tcBorders>
            <w:shd w:val="clear" w:color="auto" w:fill="auto"/>
            <w:vAlign w:val="bottom"/>
            <w:hideMark/>
          </w:tcPr>
          <w:p w:rsidR="001013EC" w:rsidRPr="00911315" w:rsidRDefault="001013EC" w:rsidP="00943DCB">
            <w:pPr>
              <w:pStyle w:val="braytabletext"/>
              <w:spacing w:after="40"/>
              <w:jc w:val="right"/>
              <w:rPr>
                <w:szCs w:val="16"/>
              </w:rPr>
            </w:pPr>
            <w:r w:rsidRPr="00911315">
              <w:rPr>
                <w:szCs w:val="16"/>
              </w:rPr>
              <w:t>7.2</w:t>
            </w:r>
          </w:p>
        </w:tc>
        <w:tc>
          <w:tcPr>
            <w:tcW w:w="1134" w:type="dxa"/>
            <w:tcBorders>
              <w:top w:val="nil"/>
              <w:left w:val="nil"/>
              <w:right w:val="nil"/>
            </w:tcBorders>
            <w:shd w:val="clear" w:color="auto" w:fill="auto"/>
            <w:vAlign w:val="bottom"/>
            <w:hideMark/>
          </w:tcPr>
          <w:p w:rsidR="001013EC" w:rsidRPr="00911315" w:rsidRDefault="001013EC" w:rsidP="00943DCB">
            <w:pPr>
              <w:pStyle w:val="braytabletext"/>
              <w:spacing w:after="40"/>
              <w:jc w:val="right"/>
              <w:rPr>
                <w:szCs w:val="16"/>
              </w:rPr>
            </w:pPr>
            <w:r w:rsidRPr="00911315">
              <w:rPr>
                <w:szCs w:val="16"/>
              </w:rPr>
              <w:t>8.1</w:t>
            </w:r>
          </w:p>
        </w:tc>
        <w:tc>
          <w:tcPr>
            <w:tcW w:w="284" w:type="dxa"/>
            <w:tcBorders>
              <w:top w:val="nil"/>
              <w:left w:val="nil"/>
              <w:right w:val="nil"/>
            </w:tcBorders>
            <w:shd w:val="clear" w:color="auto" w:fill="auto"/>
            <w:vAlign w:val="bottom"/>
            <w:hideMark/>
          </w:tcPr>
          <w:p w:rsidR="001013EC" w:rsidRPr="00911315" w:rsidRDefault="001013EC" w:rsidP="00943DCB">
            <w:pPr>
              <w:pStyle w:val="braytabletext"/>
              <w:spacing w:after="40"/>
              <w:jc w:val="right"/>
              <w:rPr>
                <w:szCs w:val="16"/>
              </w:rPr>
            </w:pPr>
          </w:p>
        </w:tc>
        <w:tc>
          <w:tcPr>
            <w:tcW w:w="1132" w:type="dxa"/>
            <w:tcBorders>
              <w:top w:val="nil"/>
              <w:left w:val="nil"/>
              <w:right w:val="nil"/>
            </w:tcBorders>
            <w:shd w:val="clear" w:color="auto" w:fill="auto"/>
            <w:vAlign w:val="bottom"/>
            <w:hideMark/>
          </w:tcPr>
          <w:p w:rsidR="001013EC" w:rsidRPr="00911315" w:rsidRDefault="001013EC" w:rsidP="00943DCB">
            <w:pPr>
              <w:pStyle w:val="braytabletext"/>
              <w:spacing w:after="40"/>
              <w:jc w:val="right"/>
              <w:rPr>
                <w:szCs w:val="16"/>
              </w:rPr>
            </w:pPr>
            <w:r w:rsidRPr="00911315">
              <w:rPr>
                <w:szCs w:val="16"/>
              </w:rPr>
              <w:t>9.1</w:t>
            </w:r>
          </w:p>
        </w:tc>
        <w:tc>
          <w:tcPr>
            <w:tcW w:w="1134" w:type="dxa"/>
            <w:tcBorders>
              <w:top w:val="nil"/>
              <w:left w:val="nil"/>
              <w:right w:val="nil"/>
            </w:tcBorders>
            <w:shd w:val="clear" w:color="auto" w:fill="auto"/>
            <w:vAlign w:val="bottom"/>
            <w:hideMark/>
          </w:tcPr>
          <w:p w:rsidR="001013EC" w:rsidRPr="00911315" w:rsidRDefault="001013EC" w:rsidP="00943DCB">
            <w:pPr>
              <w:pStyle w:val="braytabletext"/>
              <w:spacing w:after="40"/>
              <w:jc w:val="right"/>
              <w:rPr>
                <w:szCs w:val="16"/>
              </w:rPr>
            </w:pPr>
            <w:r w:rsidRPr="00911315">
              <w:rPr>
                <w:szCs w:val="16"/>
              </w:rPr>
              <w:t>16.3</w:t>
            </w:r>
          </w:p>
        </w:tc>
      </w:tr>
      <w:tr w:rsidR="001013EC" w:rsidRPr="00911315" w:rsidTr="000F4DDD">
        <w:trPr>
          <w:trHeight w:val="288"/>
        </w:trPr>
        <w:tc>
          <w:tcPr>
            <w:tcW w:w="1842" w:type="dxa"/>
            <w:tcBorders>
              <w:top w:val="nil"/>
              <w:left w:val="nil"/>
              <w:bottom w:val="single" w:sz="4" w:space="0" w:color="000000"/>
              <w:right w:val="nil"/>
            </w:tcBorders>
            <w:shd w:val="clear" w:color="auto" w:fill="auto"/>
            <w:vAlign w:val="bottom"/>
            <w:hideMark/>
          </w:tcPr>
          <w:p w:rsidR="001013EC" w:rsidRPr="00911315" w:rsidRDefault="001013EC" w:rsidP="00943DCB">
            <w:pPr>
              <w:pStyle w:val="braytabletext"/>
              <w:spacing w:after="40"/>
              <w:rPr>
                <w:szCs w:val="16"/>
              </w:rPr>
            </w:pPr>
            <w:r w:rsidRPr="00911315">
              <w:rPr>
                <w:szCs w:val="16"/>
              </w:rPr>
              <w:t>Total</w:t>
            </w:r>
          </w:p>
        </w:tc>
        <w:tc>
          <w:tcPr>
            <w:tcW w:w="1134" w:type="dxa"/>
            <w:tcBorders>
              <w:top w:val="nil"/>
              <w:left w:val="nil"/>
              <w:bottom w:val="single" w:sz="4" w:space="0" w:color="000000"/>
              <w:right w:val="nil"/>
            </w:tcBorders>
            <w:shd w:val="clear" w:color="auto" w:fill="auto"/>
            <w:vAlign w:val="bottom"/>
            <w:hideMark/>
          </w:tcPr>
          <w:p w:rsidR="001013EC" w:rsidRPr="00911315" w:rsidRDefault="001013EC" w:rsidP="00943DCB">
            <w:pPr>
              <w:pStyle w:val="braytabletext"/>
              <w:spacing w:after="40"/>
              <w:jc w:val="right"/>
              <w:rPr>
                <w:szCs w:val="16"/>
              </w:rPr>
            </w:pPr>
            <w:r w:rsidRPr="00911315">
              <w:rPr>
                <w:szCs w:val="16"/>
              </w:rPr>
              <w:t>100.0</w:t>
            </w:r>
          </w:p>
        </w:tc>
        <w:tc>
          <w:tcPr>
            <w:tcW w:w="1134" w:type="dxa"/>
            <w:tcBorders>
              <w:top w:val="nil"/>
              <w:left w:val="nil"/>
              <w:bottom w:val="single" w:sz="4" w:space="0" w:color="000000"/>
              <w:right w:val="nil"/>
            </w:tcBorders>
            <w:shd w:val="clear" w:color="auto" w:fill="auto"/>
            <w:vAlign w:val="bottom"/>
            <w:hideMark/>
          </w:tcPr>
          <w:p w:rsidR="001013EC" w:rsidRPr="00911315" w:rsidRDefault="001013EC" w:rsidP="00943DCB">
            <w:pPr>
              <w:pStyle w:val="braytabletext"/>
              <w:spacing w:after="40"/>
              <w:jc w:val="right"/>
              <w:rPr>
                <w:szCs w:val="16"/>
              </w:rPr>
            </w:pPr>
            <w:r w:rsidRPr="00911315">
              <w:rPr>
                <w:szCs w:val="16"/>
              </w:rPr>
              <w:t>100.0</w:t>
            </w:r>
          </w:p>
        </w:tc>
        <w:tc>
          <w:tcPr>
            <w:tcW w:w="284" w:type="dxa"/>
            <w:tcBorders>
              <w:top w:val="nil"/>
              <w:left w:val="nil"/>
              <w:bottom w:val="single" w:sz="4" w:space="0" w:color="000000"/>
              <w:right w:val="nil"/>
            </w:tcBorders>
            <w:shd w:val="clear" w:color="auto" w:fill="auto"/>
            <w:vAlign w:val="bottom"/>
            <w:hideMark/>
          </w:tcPr>
          <w:p w:rsidR="001013EC" w:rsidRPr="00911315" w:rsidRDefault="001013EC" w:rsidP="00943DCB">
            <w:pPr>
              <w:pStyle w:val="braytabletext"/>
              <w:spacing w:after="40"/>
              <w:jc w:val="right"/>
              <w:rPr>
                <w:szCs w:val="16"/>
              </w:rPr>
            </w:pPr>
          </w:p>
        </w:tc>
        <w:tc>
          <w:tcPr>
            <w:tcW w:w="1132" w:type="dxa"/>
            <w:tcBorders>
              <w:top w:val="nil"/>
              <w:left w:val="nil"/>
              <w:bottom w:val="single" w:sz="4" w:space="0" w:color="000000"/>
              <w:right w:val="nil"/>
            </w:tcBorders>
            <w:shd w:val="clear" w:color="auto" w:fill="auto"/>
            <w:vAlign w:val="bottom"/>
            <w:hideMark/>
          </w:tcPr>
          <w:p w:rsidR="001013EC" w:rsidRPr="00911315" w:rsidRDefault="001013EC" w:rsidP="00943DCB">
            <w:pPr>
              <w:pStyle w:val="braytabletext"/>
              <w:spacing w:after="40"/>
              <w:jc w:val="right"/>
              <w:rPr>
                <w:szCs w:val="16"/>
              </w:rPr>
            </w:pPr>
            <w:r w:rsidRPr="00911315">
              <w:rPr>
                <w:szCs w:val="16"/>
              </w:rPr>
              <w:t>100.0</w:t>
            </w:r>
          </w:p>
        </w:tc>
        <w:tc>
          <w:tcPr>
            <w:tcW w:w="1134" w:type="dxa"/>
            <w:tcBorders>
              <w:top w:val="nil"/>
              <w:left w:val="nil"/>
              <w:bottom w:val="single" w:sz="4" w:space="0" w:color="000000"/>
              <w:right w:val="nil"/>
            </w:tcBorders>
            <w:shd w:val="clear" w:color="auto" w:fill="auto"/>
            <w:vAlign w:val="bottom"/>
            <w:hideMark/>
          </w:tcPr>
          <w:p w:rsidR="001013EC" w:rsidRPr="00911315" w:rsidRDefault="001013EC" w:rsidP="00943DCB">
            <w:pPr>
              <w:pStyle w:val="braytabletext"/>
              <w:spacing w:after="40"/>
              <w:jc w:val="right"/>
              <w:rPr>
                <w:szCs w:val="16"/>
              </w:rPr>
            </w:pPr>
            <w:r w:rsidRPr="00911315">
              <w:rPr>
                <w:szCs w:val="16"/>
              </w:rPr>
              <w:t>100.0</w:t>
            </w:r>
          </w:p>
        </w:tc>
      </w:tr>
      <w:tr w:rsidR="001013EC" w:rsidRPr="00911315" w:rsidTr="000F4DDD">
        <w:trPr>
          <w:trHeight w:val="288"/>
        </w:trPr>
        <w:tc>
          <w:tcPr>
            <w:tcW w:w="1842" w:type="dxa"/>
            <w:tcBorders>
              <w:top w:val="single" w:sz="4" w:space="0" w:color="000000"/>
              <w:left w:val="nil"/>
              <w:right w:val="nil"/>
            </w:tcBorders>
            <w:shd w:val="clear" w:color="auto" w:fill="auto"/>
            <w:vAlign w:val="bottom"/>
          </w:tcPr>
          <w:p w:rsidR="001013EC" w:rsidRPr="00911315" w:rsidRDefault="001013EC" w:rsidP="00943DCB">
            <w:pPr>
              <w:pStyle w:val="braytabletext"/>
              <w:spacing w:after="40"/>
              <w:rPr>
                <w:szCs w:val="16"/>
              </w:rPr>
            </w:pPr>
          </w:p>
        </w:tc>
        <w:tc>
          <w:tcPr>
            <w:tcW w:w="4818" w:type="dxa"/>
            <w:gridSpan w:val="5"/>
            <w:tcBorders>
              <w:top w:val="single" w:sz="4" w:space="0" w:color="000000"/>
              <w:left w:val="nil"/>
              <w:right w:val="nil"/>
            </w:tcBorders>
            <w:shd w:val="clear" w:color="auto" w:fill="auto"/>
          </w:tcPr>
          <w:p w:rsidR="001013EC" w:rsidRPr="00911315" w:rsidRDefault="001013EC" w:rsidP="00943DCB">
            <w:pPr>
              <w:pStyle w:val="braytabletext"/>
              <w:spacing w:after="40"/>
              <w:jc w:val="center"/>
              <w:rPr>
                <w:szCs w:val="16"/>
              </w:rPr>
            </w:pPr>
            <w:r w:rsidRPr="00911315">
              <w:rPr>
                <w:szCs w:val="16"/>
              </w:rPr>
              <w:t>IM allocation ($ per fortnight)</w:t>
            </w:r>
          </w:p>
        </w:tc>
      </w:tr>
      <w:tr w:rsidR="001013EC" w:rsidRPr="00911315" w:rsidTr="000F4DDD">
        <w:trPr>
          <w:trHeight w:val="288"/>
        </w:trPr>
        <w:tc>
          <w:tcPr>
            <w:tcW w:w="1842" w:type="dxa"/>
            <w:tcBorders>
              <w:left w:val="nil"/>
              <w:bottom w:val="nil"/>
              <w:right w:val="nil"/>
            </w:tcBorders>
            <w:shd w:val="clear" w:color="auto" w:fill="auto"/>
            <w:vAlign w:val="bottom"/>
            <w:hideMark/>
          </w:tcPr>
          <w:p w:rsidR="001013EC" w:rsidRPr="00911315" w:rsidRDefault="001013EC" w:rsidP="00943DCB">
            <w:pPr>
              <w:pStyle w:val="braytabletext"/>
              <w:spacing w:after="40"/>
              <w:rPr>
                <w:szCs w:val="16"/>
              </w:rPr>
            </w:pPr>
            <w:r w:rsidRPr="00911315">
              <w:rPr>
                <w:szCs w:val="16"/>
              </w:rPr>
              <w:t>Mean ($)</w:t>
            </w:r>
          </w:p>
        </w:tc>
        <w:tc>
          <w:tcPr>
            <w:tcW w:w="1134" w:type="dxa"/>
            <w:tcBorders>
              <w:left w:val="nil"/>
              <w:bottom w:val="nil"/>
              <w:right w:val="nil"/>
            </w:tcBorders>
            <w:shd w:val="clear" w:color="auto" w:fill="auto"/>
            <w:vAlign w:val="bottom"/>
            <w:hideMark/>
          </w:tcPr>
          <w:p w:rsidR="001013EC" w:rsidRPr="00911315" w:rsidRDefault="001013EC" w:rsidP="00943DCB">
            <w:pPr>
              <w:pStyle w:val="braytabletext"/>
              <w:spacing w:after="40"/>
              <w:jc w:val="right"/>
              <w:rPr>
                <w:szCs w:val="16"/>
              </w:rPr>
            </w:pPr>
            <w:r w:rsidRPr="00911315">
              <w:rPr>
                <w:szCs w:val="16"/>
              </w:rPr>
              <w:t>399</w:t>
            </w:r>
          </w:p>
        </w:tc>
        <w:tc>
          <w:tcPr>
            <w:tcW w:w="1134" w:type="dxa"/>
            <w:tcBorders>
              <w:left w:val="nil"/>
              <w:bottom w:val="nil"/>
              <w:right w:val="nil"/>
            </w:tcBorders>
            <w:shd w:val="clear" w:color="auto" w:fill="auto"/>
            <w:vAlign w:val="bottom"/>
            <w:hideMark/>
          </w:tcPr>
          <w:p w:rsidR="001013EC" w:rsidRPr="00911315" w:rsidRDefault="001013EC" w:rsidP="00943DCB">
            <w:pPr>
              <w:pStyle w:val="braytabletext"/>
              <w:spacing w:after="40"/>
              <w:jc w:val="right"/>
              <w:rPr>
                <w:szCs w:val="16"/>
              </w:rPr>
            </w:pPr>
            <w:r w:rsidRPr="00911315">
              <w:rPr>
                <w:szCs w:val="16"/>
              </w:rPr>
              <w:t>382</w:t>
            </w:r>
          </w:p>
        </w:tc>
        <w:tc>
          <w:tcPr>
            <w:tcW w:w="284" w:type="dxa"/>
            <w:tcBorders>
              <w:left w:val="nil"/>
              <w:bottom w:val="nil"/>
              <w:right w:val="nil"/>
            </w:tcBorders>
            <w:shd w:val="clear" w:color="auto" w:fill="auto"/>
            <w:vAlign w:val="bottom"/>
            <w:hideMark/>
          </w:tcPr>
          <w:p w:rsidR="001013EC" w:rsidRPr="00911315" w:rsidRDefault="001013EC" w:rsidP="00943DCB">
            <w:pPr>
              <w:pStyle w:val="braytabletext"/>
              <w:spacing w:after="40"/>
              <w:jc w:val="right"/>
              <w:rPr>
                <w:szCs w:val="16"/>
              </w:rPr>
            </w:pPr>
          </w:p>
        </w:tc>
        <w:tc>
          <w:tcPr>
            <w:tcW w:w="1132" w:type="dxa"/>
            <w:tcBorders>
              <w:left w:val="nil"/>
              <w:bottom w:val="nil"/>
              <w:right w:val="nil"/>
            </w:tcBorders>
            <w:shd w:val="clear" w:color="auto" w:fill="auto"/>
            <w:vAlign w:val="bottom"/>
            <w:hideMark/>
          </w:tcPr>
          <w:p w:rsidR="001013EC" w:rsidRPr="00911315" w:rsidRDefault="001013EC" w:rsidP="00943DCB">
            <w:pPr>
              <w:pStyle w:val="braytabletext"/>
              <w:spacing w:after="40"/>
              <w:jc w:val="right"/>
              <w:rPr>
                <w:szCs w:val="16"/>
              </w:rPr>
            </w:pPr>
            <w:r w:rsidRPr="00911315">
              <w:rPr>
                <w:szCs w:val="16"/>
              </w:rPr>
              <w:t>406</w:t>
            </w:r>
          </w:p>
        </w:tc>
        <w:tc>
          <w:tcPr>
            <w:tcW w:w="1134" w:type="dxa"/>
            <w:tcBorders>
              <w:left w:val="nil"/>
              <w:bottom w:val="nil"/>
              <w:right w:val="nil"/>
            </w:tcBorders>
            <w:shd w:val="clear" w:color="auto" w:fill="auto"/>
            <w:vAlign w:val="bottom"/>
            <w:hideMark/>
          </w:tcPr>
          <w:p w:rsidR="001013EC" w:rsidRPr="00911315" w:rsidRDefault="001013EC" w:rsidP="00943DCB">
            <w:pPr>
              <w:pStyle w:val="braytabletext"/>
              <w:spacing w:after="40"/>
              <w:jc w:val="right"/>
              <w:rPr>
                <w:szCs w:val="16"/>
              </w:rPr>
            </w:pPr>
            <w:r w:rsidRPr="00911315">
              <w:rPr>
                <w:szCs w:val="16"/>
              </w:rPr>
              <w:t>421</w:t>
            </w:r>
          </w:p>
        </w:tc>
      </w:tr>
      <w:tr w:rsidR="001013EC" w:rsidRPr="00911315" w:rsidTr="000F4DDD">
        <w:trPr>
          <w:trHeight w:val="288"/>
        </w:trPr>
        <w:tc>
          <w:tcPr>
            <w:tcW w:w="1842" w:type="dxa"/>
            <w:tcBorders>
              <w:top w:val="nil"/>
              <w:left w:val="nil"/>
              <w:bottom w:val="single" w:sz="4" w:space="0" w:color="auto"/>
              <w:right w:val="nil"/>
            </w:tcBorders>
            <w:shd w:val="clear" w:color="auto" w:fill="auto"/>
            <w:vAlign w:val="bottom"/>
            <w:hideMark/>
          </w:tcPr>
          <w:p w:rsidR="001013EC" w:rsidRPr="00911315" w:rsidRDefault="001013EC" w:rsidP="00943DCB">
            <w:pPr>
              <w:pStyle w:val="braytabletext"/>
              <w:spacing w:after="40"/>
              <w:rPr>
                <w:szCs w:val="16"/>
              </w:rPr>
            </w:pPr>
            <w:r w:rsidRPr="00911315">
              <w:rPr>
                <w:szCs w:val="16"/>
              </w:rPr>
              <w:t>Median ($)</w:t>
            </w:r>
          </w:p>
        </w:tc>
        <w:tc>
          <w:tcPr>
            <w:tcW w:w="1134" w:type="dxa"/>
            <w:tcBorders>
              <w:top w:val="nil"/>
              <w:left w:val="nil"/>
              <w:bottom w:val="single" w:sz="4" w:space="0" w:color="auto"/>
              <w:right w:val="nil"/>
            </w:tcBorders>
            <w:shd w:val="clear" w:color="auto" w:fill="auto"/>
            <w:vAlign w:val="bottom"/>
            <w:hideMark/>
          </w:tcPr>
          <w:p w:rsidR="001013EC" w:rsidRPr="00911315" w:rsidRDefault="001013EC" w:rsidP="00943DCB">
            <w:pPr>
              <w:pStyle w:val="braytabletext"/>
              <w:spacing w:after="40"/>
              <w:jc w:val="right"/>
              <w:rPr>
                <w:szCs w:val="16"/>
              </w:rPr>
            </w:pPr>
            <w:r w:rsidRPr="00911315">
              <w:rPr>
                <w:szCs w:val="16"/>
              </w:rPr>
              <w:t>293</w:t>
            </w:r>
          </w:p>
        </w:tc>
        <w:tc>
          <w:tcPr>
            <w:tcW w:w="1134" w:type="dxa"/>
            <w:tcBorders>
              <w:top w:val="nil"/>
              <w:left w:val="nil"/>
              <w:bottom w:val="single" w:sz="4" w:space="0" w:color="auto"/>
              <w:right w:val="nil"/>
            </w:tcBorders>
            <w:shd w:val="clear" w:color="auto" w:fill="auto"/>
            <w:vAlign w:val="bottom"/>
            <w:hideMark/>
          </w:tcPr>
          <w:p w:rsidR="001013EC" w:rsidRPr="00911315" w:rsidRDefault="001013EC" w:rsidP="00943DCB">
            <w:pPr>
              <w:pStyle w:val="braytabletext"/>
              <w:spacing w:after="40"/>
              <w:jc w:val="right"/>
              <w:rPr>
                <w:szCs w:val="16"/>
              </w:rPr>
            </w:pPr>
            <w:r w:rsidRPr="00911315">
              <w:rPr>
                <w:szCs w:val="16"/>
              </w:rPr>
              <w:t>285</w:t>
            </w:r>
          </w:p>
        </w:tc>
        <w:tc>
          <w:tcPr>
            <w:tcW w:w="284" w:type="dxa"/>
            <w:tcBorders>
              <w:top w:val="nil"/>
              <w:left w:val="nil"/>
              <w:bottom w:val="single" w:sz="4" w:space="0" w:color="auto"/>
              <w:right w:val="nil"/>
            </w:tcBorders>
            <w:shd w:val="clear" w:color="auto" w:fill="auto"/>
            <w:vAlign w:val="bottom"/>
            <w:hideMark/>
          </w:tcPr>
          <w:p w:rsidR="001013EC" w:rsidRPr="00911315" w:rsidRDefault="001013EC" w:rsidP="00943DCB">
            <w:pPr>
              <w:pStyle w:val="braytabletext"/>
              <w:spacing w:after="40"/>
              <w:jc w:val="right"/>
              <w:rPr>
                <w:szCs w:val="16"/>
              </w:rPr>
            </w:pPr>
            <w:r w:rsidRPr="00911315">
              <w:rPr>
                <w:szCs w:val="16"/>
              </w:rPr>
              <w:t> </w:t>
            </w:r>
          </w:p>
        </w:tc>
        <w:tc>
          <w:tcPr>
            <w:tcW w:w="1132" w:type="dxa"/>
            <w:tcBorders>
              <w:top w:val="nil"/>
              <w:left w:val="nil"/>
              <w:bottom w:val="single" w:sz="4" w:space="0" w:color="auto"/>
              <w:right w:val="nil"/>
            </w:tcBorders>
            <w:shd w:val="clear" w:color="auto" w:fill="auto"/>
            <w:vAlign w:val="bottom"/>
            <w:hideMark/>
          </w:tcPr>
          <w:p w:rsidR="001013EC" w:rsidRPr="00911315" w:rsidRDefault="001013EC" w:rsidP="00943DCB">
            <w:pPr>
              <w:pStyle w:val="braytabletext"/>
              <w:spacing w:after="40"/>
              <w:jc w:val="right"/>
              <w:rPr>
                <w:szCs w:val="16"/>
              </w:rPr>
            </w:pPr>
            <w:r w:rsidRPr="00911315">
              <w:rPr>
                <w:szCs w:val="16"/>
              </w:rPr>
              <w:t>348</w:t>
            </w:r>
          </w:p>
        </w:tc>
        <w:tc>
          <w:tcPr>
            <w:tcW w:w="1134" w:type="dxa"/>
            <w:tcBorders>
              <w:top w:val="nil"/>
              <w:left w:val="nil"/>
              <w:bottom w:val="single" w:sz="4" w:space="0" w:color="auto"/>
              <w:right w:val="nil"/>
            </w:tcBorders>
            <w:shd w:val="clear" w:color="auto" w:fill="auto"/>
            <w:vAlign w:val="bottom"/>
            <w:hideMark/>
          </w:tcPr>
          <w:p w:rsidR="001013EC" w:rsidRPr="00911315" w:rsidRDefault="001013EC" w:rsidP="00943DCB">
            <w:pPr>
              <w:pStyle w:val="braytabletext"/>
              <w:spacing w:after="40"/>
              <w:jc w:val="right"/>
              <w:rPr>
                <w:szCs w:val="16"/>
              </w:rPr>
            </w:pPr>
            <w:r w:rsidRPr="00911315">
              <w:rPr>
                <w:szCs w:val="16"/>
              </w:rPr>
              <w:t>350</w:t>
            </w:r>
          </w:p>
        </w:tc>
      </w:tr>
    </w:tbl>
    <w:p w:rsidR="001013EC" w:rsidRPr="005911E2" w:rsidRDefault="001013EC" w:rsidP="00CF78DB">
      <w:pPr>
        <w:pStyle w:val="tablefootnotes"/>
      </w:pPr>
      <w:r w:rsidRPr="005911E2">
        <w:t xml:space="preserve">Source: </w:t>
      </w:r>
      <w:r w:rsidRPr="005911E2">
        <w:tab/>
        <w:t xml:space="preserve">Derived from Centrelink fortnightly expenses report database and </w:t>
      </w:r>
      <w:r w:rsidR="00C31C13">
        <w:t>i</w:t>
      </w:r>
      <w:r w:rsidRPr="005911E2">
        <w:t xml:space="preserve">ncome </w:t>
      </w:r>
      <w:r w:rsidR="00C31C13">
        <w:t>s</w:t>
      </w:r>
      <w:r w:rsidRPr="005911E2">
        <w:t>upport payments file for fortnight ending 28 October 2011</w:t>
      </w:r>
      <w:r w:rsidR="003B4A1A">
        <w:t>.</w:t>
      </w:r>
    </w:p>
    <w:p w:rsidR="001013EC" w:rsidRPr="005911E2" w:rsidRDefault="001013EC" w:rsidP="00CF78DB">
      <w:pPr>
        <w:pStyle w:val="tablefootnotes"/>
      </w:pPr>
    </w:p>
    <w:p w:rsidR="001013EC" w:rsidRPr="005911E2" w:rsidRDefault="001013EC" w:rsidP="00BD6DFD">
      <w:pPr>
        <w:pStyle w:val="Heading3"/>
      </w:pPr>
      <w:r w:rsidRPr="005911E2">
        <w:t>Allocation by family type</w:t>
      </w:r>
    </w:p>
    <w:p w:rsidR="001013EC" w:rsidRPr="005911E2" w:rsidRDefault="001013EC" w:rsidP="001013EC">
      <w:pPr>
        <w:pStyle w:val="tabfighead"/>
      </w:pPr>
      <w:bookmarkStart w:id="477" w:name="_Ref321158046"/>
      <w:bookmarkStart w:id="478" w:name="_Toc321430424"/>
      <w:bookmarkStart w:id="479" w:name="_Toc321761694"/>
      <w:bookmarkStart w:id="480" w:name="_Toc321254543"/>
      <w:bookmarkStart w:id="481" w:name="_Toc328601591"/>
      <w:bookmarkStart w:id="482" w:name="_Toc329051369"/>
      <w:bookmarkStart w:id="483" w:name="_Toc335915857"/>
      <w:r w:rsidRPr="005911E2">
        <w:t xml:space="preserve">Table </w:t>
      </w:r>
      <w:r w:rsidR="00C7347D" w:rsidRPr="005911E2">
        <w:fldChar w:fldCharType="begin"/>
      </w:r>
      <w:r w:rsidR="00435FEB" w:rsidRPr="005911E2">
        <w:instrText xml:space="preserve"> STYLEREF 1 \s </w:instrText>
      </w:r>
      <w:r w:rsidR="00C7347D" w:rsidRPr="005911E2">
        <w:fldChar w:fldCharType="separate"/>
      </w:r>
      <w:r w:rsidR="007D7E45">
        <w:rPr>
          <w:noProof/>
        </w:rPr>
        <w:t>5</w:t>
      </w:r>
      <w:r w:rsidR="00C7347D" w:rsidRPr="005911E2">
        <w:rPr>
          <w:noProof/>
        </w:rPr>
        <w:fldChar w:fldCharType="end"/>
      </w:r>
      <w:r w:rsidRPr="005911E2">
        <w:noBreakHyphen/>
      </w:r>
      <w:r w:rsidR="00C7347D" w:rsidRPr="005911E2">
        <w:fldChar w:fldCharType="begin"/>
      </w:r>
      <w:r w:rsidR="00435FEB" w:rsidRPr="005911E2">
        <w:instrText xml:space="preserve"> SEQ Table \* ARABIC \s 1 </w:instrText>
      </w:r>
      <w:r w:rsidR="00C7347D" w:rsidRPr="005911E2">
        <w:fldChar w:fldCharType="separate"/>
      </w:r>
      <w:r w:rsidR="007D7E45">
        <w:rPr>
          <w:noProof/>
        </w:rPr>
        <w:t>6</w:t>
      </w:r>
      <w:r w:rsidR="00C7347D" w:rsidRPr="005911E2">
        <w:rPr>
          <w:noProof/>
        </w:rPr>
        <w:fldChar w:fldCharType="end"/>
      </w:r>
      <w:bookmarkEnd w:id="477"/>
      <w:r w:rsidRPr="005911E2">
        <w:tab/>
        <w:t xml:space="preserve">Composition of allocation by </w:t>
      </w:r>
      <w:r w:rsidR="00F878E4">
        <w:t>income management</w:t>
      </w:r>
      <w:r w:rsidRPr="005911E2">
        <w:t xml:space="preserve"> stream and family type, fortnight ending 28 October 2011</w:t>
      </w:r>
      <w:bookmarkEnd w:id="478"/>
      <w:bookmarkEnd w:id="479"/>
      <w:bookmarkEnd w:id="480"/>
      <w:bookmarkEnd w:id="481"/>
      <w:bookmarkEnd w:id="482"/>
      <w:bookmarkEnd w:id="483"/>
    </w:p>
    <w:tbl>
      <w:tblPr>
        <w:tblStyle w:val="TableGrid"/>
        <w:tblW w:w="4123"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5-6 Composition of allocation by income management stream and family type, fortnight ending 28 October 2011"/>
        <w:tblDescription w:val="Table 5-6 Composition of allocation by income management stream and family type, fortnight ending 28 October 2011"/>
      </w:tblPr>
      <w:tblGrid>
        <w:gridCol w:w="1810"/>
        <w:gridCol w:w="1141"/>
        <w:gridCol w:w="1129"/>
        <w:gridCol w:w="1217"/>
        <w:gridCol w:w="1154"/>
        <w:gridCol w:w="1049"/>
      </w:tblGrid>
      <w:tr w:rsidR="001013EC" w:rsidRPr="005911E2" w:rsidTr="009D15E2">
        <w:trPr>
          <w:tblHeader/>
          <w:jc w:val="right"/>
        </w:trPr>
        <w:tc>
          <w:tcPr>
            <w:tcW w:w="1207" w:type="pct"/>
            <w:tcBorders>
              <w:top w:val="single" w:sz="4" w:space="0" w:color="auto"/>
              <w:bottom w:val="single" w:sz="4" w:space="0" w:color="000000"/>
            </w:tcBorders>
          </w:tcPr>
          <w:p w:rsidR="001013EC" w:rsidRPr="005911E2" w:rsidRDefault="001013EC" w:rsidP="001013EC">
            <w:pPr>
              <w:pStyle w:val="TableText"/>
              <w:rPr>
                <w:szCs w:val="18"/>
                <w:lang w:bidi="ar-SA"/>
              </w:rPr>
            </w:pPr>
            <w:r w:rsidRPr="005911E2">
              <w:rPr>
                <w:szCs w:val="18"/>
                <w:lang w:bidi="ar-SA"/>
              </w:rPr>
              <w:t>Allocation of IM funds</w:t>
            </w:r>
          </w:p>
        </w:tc>
        <w:tc>
          <w:tcPr>
            <w:tcW w:w="761" w:type="pct"/>
            <w:tcBorders>
              <w:top w:val="single" w:sz="4" w:space="0" w:color="auto"/>
              <w:bottom w:val="single" w:sz="4" w:space="0" w:color="auto"/>
            </w:tcBorders>
          </w:tcPr>
          <w:p w:rsidR="001013EC" w:rsidRPr="005911E2" w:rsidRDefault="001013EC" w:rsidP="001013EC">
            <w:pPr>
              <w:pStyle w:val="TableText"/>
              <w:jc w:val="right"/>
              <w:rPr>
                <w:szCs w:val="18"/>
                <w:lang w:bidi="ar-SA"/>
              </w:rPr>
            </w:pPr>
            <w:r w:rsidRPr="005911E2">
              <w:rPr>
                <w:szCs w:val="18"/>
                <w:lang w:bidi="ar-SA"/>
              </w:rPr>
              <w:t>Single no children</w:t>
            </w:r>
          </w:p>
        </w:tc>
        <w:tc>
          <w:tcPr>
            <w:tcW w:w="753" w:type="pct"/>
            <w:tcBorders>
              <w:top w:val="single" w:sz="4" w:space="0" w:color="auto"/>
              <w:bottom w:val="single" w:sz="4" w:space="0" w:color="auto"/>
            </w:tcBorders>
          </w:tcPr>
          <w:p w:rsidR="001013EC" w:rsidRPr="005911E2" w:rsidRDefault="001013EC" w:rsidP="001013EC">
            <w:pPr>
              <w:pStyle w:val="TableText"/>
              <w:jc w:val="right"/>
              <w:rPr>
                <w:szCs w:val="18"/>
                <w:lang w:bidi="ar-SA"/>
              </w:rPr>
            </w:pPr>
            <w:r w:rsidRPr="005911E2">
              <w:rPr>
                <w:szCs w:val="18"/>
                <w:lang w:bidi="ar-SA"/>
              </w:rPr>
              <w:t>Single parent</w:t>
            </w:r>
          </w:p>
        </w:tc>
        <w:tc>
          <w:tcPr>
            <w:tcW w:w="811" w:type="pct"/>
            <w:tcBorders>
              <w:top w:val="single" w:sz="4" w:space="0" w:color="auto"/>
              <w:bottom w:val="single" w:sz="4" w:space="0" w:color="auto"/>
            </w:tcBorders>
          </w:tcPr>
          <w:p w:rsidR="001013EC" w:rsidRPr="005911E2" w:rsidRDefault="001013EC" w:rsidP="001013EC">
            <w:pPr>
              <w:pStyle w:val="TableText"/>
              <w:jc w:val="right"/>
              <w:rPr>
                <w:szCs w:val="18"/>
                <w:lang w:bidi="ar-SA"/>
              </w:rPr>
            </w:pPr>
            <w:r w:rsidRPr="005911E2">
              <w:rPr>
                <w:szCs w:val="18"/>
                <w:lang w:bidi="ar-SA"/>
              </w:rPr>
              <w:t>Couple with children</w:t>
            </w:r>
          </w:p>
        </w:tc>
        <w:tc>
          <w:tcPr>
            <w:tcW w:w="769" w:type="pct"/>
            <w:tcBorders>
              <w:top w:val="single" w:sz="4" w:space="0" w:color="auto"/>
              <w:bottom w:val="single" w:sz="4" w:space="0" w:color="auto"/>
            </w:tcBorders>
          </w:tcPr>
          <w:p w:rsidR="001013EC" w:rsidRPr="005911E2" w:rsidRDefault="001013EC" w:rsidP="001013EC">
            <w:pPr>
              <w:pStyle w:val="TableText"/>
              <w:jc w:val="right"/>
              <w:rPr>
                <w:szCs w:val="18"/>
                <w:lang w:bidi="ar-SA"/>
              </w:rPr>
            </w:pPr>
            <w:r w:rsidRPr="005911E2">
              <w:rPr>
                <w:szCs w:val="18"/>
                <w:lang w:bidi="ar-SA"/>
              </w:rPr>
              <w:t>Couple no children</w:t>
            </w:r>
          </w:p>
        </w:tc>
        <w:tc>
          <w:tcPr>
            <w:tcW w:w="699" w:type="pct"/>
            <w:tcBorders>
              <w:top w:val="single" w:sz="4" w:space="0" w:color="auto"/>
              <w:bottom w:val="single" w:sz="4" w:space="0" w:color="auto"/>
            </w:tcBorders>
          </w:tcPr>
          <w:p w:rsidR="001013EC" w:rsidRPr="005911E2" w:rsidRDefault="001013EC" w:rsidP="001013EC">
            <w:pPr>
              <w:pStyle w:val="TableText"/>
              <w:jc w:val="right"/>
              <w:rPr>
                <w:szCs w:val="18"/>
                <w:lang w:bidi="ar-SA"/>
              </w:rPr>
            </w:pPr>
            <w:r w:rsidRPr="005911E2">
              <w:rPr>
                <w:szCs w:val="18"/>
                <w:lang w:bidi="ar-SA"/>
              </w:rPr>
              <w:t>Total</w:t>
            </w:r>
          </w:p>
        </w:tc>
      </w:tr>
      <w:tr w:rsidR="001013EC" w:rsidRPr="005911E2" w:rsidTr="001013EC">
        <w:trPr>
          <w:jc w:val="right"/>
        </w:trPr>
        <w:tc>
          <w:tcPr>
            <w:tcW w:w="1207" w:type="pct"/>
            <w:tcBorders>
              <w:top w:val="single" w:sz="4" w:space="0" w:color="000000"/>
              <w:bottom w:val="single" w:sz="4" w:space="0" w:color="000000"/>
            </w:tcBorders>
          </w:tcPr>
          <w:p w:rsidR="001013EC" w:rsidRPr="005911E2" w:rsidRDefault="001013EC" w:rsidP="001013EC">
            <w:pPr>
              <w:pStyle w:val="TableText"/>
              <w:rPr>
                <w:szCs w:val="18"/>
                <w:lang w:bidi="ar-SA"/>
              </w:rPr>
            </w:pPr>
          </w:p>
        </w:tc>
        <w:tc>
          <w:tcPr>
            <w:tcW w:w="3793" w:type="pct"/>
            <w:gridSpan w:val="5"/>
            <w:tcBorders>
              <w:top w:val="single" w:sz="4" w:space="0" w:color="auto"/>
            </w:tcBorders>
            <w:vAlign w:val="bottom"/>
          </w:tcPr>
          <w:p w:rsidR="001013EC" w:rsidRPr="005911E2" w:rsidRDefault="001013EC" w:rsidP="00C31C13">
            <w:pPr>
              <w:pStyle w:val="TableText"/>
              <w:jc w:val="center"/>
              <w:rPr>
                <w:szCs w:val="18"/>
                <w:lang w:bidi="ar-SA"/>
              </w:rPr>
            </w:pPr>
            <w:r w:rsidRPr="005911E2">
              <w:rPr>
                <w:szCs w:val="18"/>
                <w:lang w:bidi="ar-SA"/>
              </w:rPr>
              <w:t>CIM</w:t>
            </w:r>
            <w:r w:rsidR="00C31C13">
              <w:rPr>
                <w:szCs w:val="18"/>
                <w:lang w:bidi="ar-SA"/>
              </w:rPr>
              <w:t>,</w:t>
            </w:r>
            <w:r w:rsidR="00C31C13" w:rsidRPr="005911E2" w:rsidDel="00C31C13">
              <w:rPr>
                <w:szCs w:val="18"/>
                <w:lang w:bidi="ar-SA"/>
              </w:rPr>
              <w:t xml:space="preserve"> </w:t>
            </w:r>
            <w:r w:rsidRPr="005911E2">
              <w:rPr>
                <w:szCs w:val="18"/>
                <w:lang w:bidi="ar-SA"/>
              </w:rPr>
              <w:t>CPIM &amp; VULIM</w:t>
            </w:r>
          </w:p>
        </w:tc>
      </w:tr>
      <w:tr w:rsidR="001013EC" w:rsidRPr="005911E2" w:rsidTr="001013EC">
        <w:trPr>
          <w:jc w:val="right"/>
        </w:trPr>
        <w:tc>
          <w:tcPr>
            <w:tcW w:w="1207" w:type="pct"/>
            <w:tcBorders>
              <w:top w:val="single" w:sz="4" w:space="0" w:color="000000"/>
            </w:tcBorders>
          </w:tcPr>
          <w:p w:rsidR="001013EC" w:rsidRPr="005911E2" w:rsidRDefault="001013EC" w:rsidP="001013EC">
            <w:pPr>
              <w:pStyle w:val="TableText"/>
              <w:rPr>
                <w:szCs w:val="18"/>
                <w:lang w:bidi="ar-SA"/>
              </w:rPr>
            </w:pPr>
          </w:p>
        </w:tc>
        <w:tc>
          <w:tcPr>
            <w:tcW w:w="3793" w:type="pct"/>
            <w:gridSpan w:val="5"/>
            <w:tcBorders>
              <w:top w:val="single" w:sz="4" w:space="0" w:color="auto"/>
            </w:tcBorders>
            <w:vAlign w:val="bottom"/>
          </w:tcPr>
          <w:p w:rsidR="001013EC" w:rsidRPr="005911E2" w:rsidRDefault="001013EC" w:rsidP="001013EC">
            <w:pPr>
              <w:pStyle w:val="TableText"/>
              <w:jc w:val="center"/>
              <w:rPr>
                <w:szCs w:val="18"/>
                <w:lang w:bidi="ar-SA"/>
              </w:rPr>
            </w:pPr>
            <w:r w:rsidRPr="005911E2">
              <w:rPr>
                <w:szCs w:val="18"/>
                <w:lang w:bidi="ar-SA"/>
              </w:rPr>
              <w:t>- % -</w:t>
            </w:r>
          </w:p>
        </w:tc>
      </w:tr>
      <w:tr w:rsidR="001013EC" w:rsidRPr="005911E2" w:rsidTr="001013EC">
        <w:trPr>
          <w:jc w:val="right"/>
        </w:trPr>
        <w:tc>
          <w:tcPr>
            <w:tcW w:w="1207" w:type="pct"/>
          </w:tcPr>
          <w:p w:rsidR="001013EC" w:rsidRPr="005911E2" w:rsidRDefault="001013EC" w:rsidP="001013EC">
            <w:pPr>
              <w:pStyle w:val="TableText"/>
              <w:rPr>
                <w:szCs w:val="18"/>
              </w:rPr>
            </w:pPr>
            <w:r w:rsidRPr="005911E2">
              <w:rPr>
                <w:szCs w:val="18"/>
                <w:lang w:bidi="ar-SA"/>
              </w:rPr>
              <w:t>Housing</w:t>
            </w:r>
          </w:p>
        </w:tc>
        <w:tc>
          <w:tcPr>
            <w:tcW w:w="761" w:type="pct"/>
          </w:tcPr>
          <w:p w:rsidR="001013EC" w:rsidRPr="005911E2" w:rsidRDefault="001013EC" w:rsidP="001013EC">
            <w:pPr>
              <w:pStyle w:val="TableText"/>
              <w:jc w:val="right"/>
              <w:rPr>
                <w:szCs w:val="18"/>
                <w:lang w:bidi="ar-SA"/>
              </w:rPr>
            </w:pPr>
            <w:r w:rsidRPr="005911E2">
              <w:rPr>
                <w:szCs w:val="18"/>
                <w:lang w:bidi="ar-SA"/>
              </w:rPr>
              <w:t>7.2</w:t>
            </w:r>
          </w:p>
        </w:tc>
        <w:tc>
          <w:tcPr>
            <w:tcW w:w="753" w:type="pct"/>
          </w:tcPr>
          <w:p w:rsidR="001013EC" w:rsidRPr="005911E2" w:rsidRDefault="001013EC" w:rsidP="001013EC">
            <w:pPr>
              <w:pStyle w:val="TableText"/>
              <w:jc w:val="right"/>
              <w:rPr>
                <w:szCs w:val="18"/>
                <w:lang w:bidi="ar-SA"/>
              </w:rPr>
            </w:pPr>
            <w:r w:rsidRPr="005911E2">
              <w:rPr>
                <w:szCs w:val="18"/>
                <w:lang w:bidi="ar-SA"/>
              </w:rPr>
              <w:t>11.0</w:t>
            </w:r>
          </w:p>
        </w:tc>
        <w:tc>
          <w:tcPr>
            <w:tcW w:w="811" w:type="pct"/>
          </w:tcPr>
          <w:p w:rsidR="001013EC" w:rsidRPr="005911E2" w:rsidRDefault="001013EC" w:rsidP="001013EC">
            <w:pPr>
              <w:pStyle w:val="TableText"/>
              <w:jc w:val="right"/>
              <w:rPr>
                <w:szCs w:val="18"/>
                <w:lang w:bidi="ar-SA"/>
              </w:rPr>
            </w:pPr>
            <w:r w:rsidRPr="005911E2">
              <w:rPr>
                <w:szCs w:val="18"/>
                <w:lang w:bidi="ar-SA"/>
              </w:rPr>
              <w:t>9.2</w:t>
            </w:r>
          </w:p>
        </w:tc>
        <w:tc>
          <w:tcPr>
            <w:tcW w:w="769" w:type="pct"/>
          </w:tcPr>
          <w:p w:rsidR="001013EC" w:rsidRPr="005911E2" w:rsidRDefault="001013EC" w:rsidP="001013EC">
            <w:pPr>
              <w:pStyle w:val="TableText"/>
              <w:jc w:val="right"/>
              <w:rPr>
                <w:szCs w:val="18"/>
                <w:lang w:bidi="ar-SA"/>
              </w:rPr>
            </w:pPr>
            <w:r w:rsidRPr="005911E2">
              <w:rPr>
                <w:szCs w:val="18"/>
                <w:lang w:bidi="ar-SA"/>
              </w:rPr>
              <w:t>12.0</w:t>
            </w:r>
          </w:p>
        </w:tc>
        <w:tc>
          <w:tcPr>
            <w:tcW w:w="699" w:type="pct"/>
          </w:tcPr>
          <w:p w:rsidR="001013EC" w:rsidRPr="005911E2" w:rsidRDefault="001013EC" w:rsidP="001013EC">
            <w:pPr>
              <w:pStyle w:val="TableText"/>
              <w:jc w:val="right"/>
              <w:rPr>
                <w:szCs w:val="18"/>
                <w:lang w:bidi="ar-SA"/>
              </w:rPr>
            </w:pPr>
            <w:r w:rsidRPr="005911E2">
              <w:rPr>
                <w:szCs w:val="18"/>
                <w:lang w:bidi="ar-SA"/>
              </w:rPr>
              <w:t>9.6</w:t>
            </w:r>
          </w:p>
        </w:tc>
      </w:tr>
      <w:tr w:rsidR="001013EC" w:rsidRPr="005911E2" w:rsidTr="001013EC">
        <w:trPr>
          <w:jc w:val="right"/>
        </w:trPr>
        <w:tc>
          <w:tcPr>
            <w:tcW w:w="1207" w:type="pct"/>
          </w:tcPr>
          <w:p w:rsidR="001013EC" w:rsidRPr="005911E2" w:rsidRDefault="001013EC" w:rsidP="001013EC">
            <w:pPr>
              <w:pStyle w:val="TableText"/>
              <w:rPr>
                <w:szCs w:val="18"/>
              </w:rPr>
            </w:pPr>
            <w:r w:rsidRPr="005911E2">
              <w:rPr>
                <w:szCs w:val="18"/>
                <w:lang w:bidi="ar-SA"/>
              </w:rPr>
              <w:t>Utilities</w:t>
            </w:r>
          </w:p>
        </w:tc>
        <w:tc>
          <w:tcPr>
            <w:tcW w:w="761" w:type="pct"/>
          </w:tcPr>
          <w:p w:rsidR="001013EC" w:rsidRPr="005911E2" w:rsidRDefault="001013EC" w:rsidP="001013EC">
            <w:pPr>
              <w:pStyle w:val="TableText"/>
              <w:jc w:val="right"/>
              <w:rPr>
                <w:szCs w:val="18"/>
                <w:lang w:bidi="ar-SA"/>
              </w:rPr>
            </w:pPr>
            <w:r w:rsidRPr="005911E2">
              <w:rPr>
                <w:szCs w:val="18"/>
                <w:lang w:bidi="ar-SA"/>
              </w:rPr>
              <w:t>0.6</w:t>
            </w:r>
          </w:p>
        </w:tc>
        <w:tc>
          <w:tcPr>
            <w:tcW w:w="753" w:type="pct"/>
          </w:tcPr>
          <w:p w:rsidR="001013EC" w:rsidRPr="005911E2" w:rsidRDefault="001013EC" w:rsidP="001013EC">
            <w:pPr>
              <w:pStyle w:val="TableText"/>
              <w:jc w:val="right"/>
              <w:rPr>
                <w:szCs w:val="18"/>
                <w:lang w:bidi="ar-SA"/>
              </w:rPr>
            </w:pPr>
            <w:r w:rsidRPr="005911E2">
              <w:rPr>
                <w:szCs w:val="18"/>
                <w:lang w:bidi="ar-SA"/>
              </w:rPr>
              <w:t>1.5</w:t>
            </w:r>
          </w:p>
        </w:tc>
        <w:tc>
          <w:tcPr>
            <w:tcW w:w="811" w:type="pct"/>
          </w:tcPr>
          <w:p w:rsidR="001013EC" w:rsidRPr="005911E2" w:rsidRDefault="001013EC" w:rsidP="001013EC">
            <w:pPr>
              <w:pStyle w:val="TableText"/>
              <w:jc w:val="right"/>
              <w:rPr>
                <w:szCs w:val="18"/>
                <w:lang w:bidi="ar-SA"/>
              </w:rPr>
            </w:pPr>
            <w:r w:rsidRPr="005911E2">
              <w:rPr>
                <w:szCs w:val="18"/>
                <w:lang w:bidi="ar-SA"/>
              </w:rPr>
              <w:t>0.3</w:t>
            </w:r>
          </w:p>
        </w:tc>
        <w:tc>
          <w:tcPr>
            <w:tcW w:w="769" w:type="pct"/>
          </w:tcPr>
          <w:p w:rsidR="001013EC" w:rsidRPr="005911E2" w:rsidRDefault="001013EC" w:rsidP="001013EC">
            <w:pPr>
              <w:pStyle w:val="TableText"/>
              <w:jc w:val="right"/>
              <w:rPr>
                <w:szCs w:val="18"/>
                <w:lang w:bidi="ar-SA"/>
              </w:rPr>
            </w:pPr>
            <w:r w:rsidRPr="005911E2">
              <w:rPr>
                <w:szCs w:val="18"/>
                <w:lang w:bidi="ar-SA"/>
              </w:rPr>
              <w:t>0.2</w:t>
            </w:r>
          </w:p>
        </w:tc>
        <w:tc>
          <w:tcPr>
            <w:tcW w:w="699" w:type="pct"/>
          </w:tcPr>
          <w:p w:rsidR="001013EC" w:rsidRPr="005911E2" w:rsidRDefault="001013EC" w:rsidP="001013EC">
            <w:pPr>
              <w:pStyle w:val="TableText"/>
              <w:jc w:val="right"/>
              <w:rPr>
                <w:szCs w:val="18"/>
                <w:lang w:bidi="ar-SA"/>
              </w:rPr>
            </w:pPr>
            <w:r w:rsidRPr="005911E2">
              <w:rPr>
                <w:szCs w:val="18"/>
                <w:lang w:bidi="ar-SA"/>
              </w:rPr>
              <w:t>0.7</w:t>
            </w:r>
          </w:p>
        </w:tc>
      </w:tr>
      <w:tr w:rsidR="001013EC" w:rsidRPr="005911E2" w:rsidTr="001013EC">
        <w:trPr>
          <w:jc w:val="right"/>
        </w:trPr>
        <w:tc>
          <w:tcPr>
            <w:tcW w:w="1207" w:type="pct"/>
          </w:tcPr>
          <w:p w:rsidR="001013EC" w:rsidRPr="005911E2" w:rsidRDefault="001013EC" w:rsidP="001013EC">
            <w:pPr>
              <w:pStyle w:val="TableText"/>
              <w:rPr>
                <w:szCs w:val="18"/>
              </w:rPr>
            </w:pPr>
            <w:r w:rsidRPr="005911E2">
              <w:rPr>
                <w:szCs w:val="18"/>
                <w:lang w:bidi="ar-SA"/>
              </w:rPr>
              <w:t>School nutrition</w:t>
            </w:r>
          </w:p>
        </w:tc>
        <w:tc>
          <w:tcPr>
            <w:tcW w:w="761" w:type="pct"/>
          </w:tcPr>
          <w:p w:rsidR="001013EC" w:rsidRPr="005911E2" w:rsidRDefault="001013EC" w:rsidP="001013EC">
            <w:pPr>
              <w:pStyle w:val="TableText"/>
              <w:jc w:val="right"/>
              <w:rPr>
                <w:szCs w:val="18"/>
                <w:lang w:bidi="ar-SA"/>
              </w:rPr>
            </w:pPr>
            <w:r w:rsidRPr="005911E2">
              <w:rPr>
                <w:szCs w:val="18"/>
                <w:lang w:bidi="ar-SA"/>
              </w:rPr>
              <w:t>0.0</w:t>
            </w:r>
          </w:p>
        </w:tc>
        <w:tc>
          <w:tcPr>
            <w:tcW w:w="753" w:type="pct"/>
          </w:tcPr>
          <w:p w:rsidR="001013EC" w:rsidRPr="005911E2" w:rsidRDefault="001013EC" w:rsidP="001013EC">
            <w:pPr>
              <w:pStyle w:val="TableText"/>
              <w:jc w:val="right"/>
              <w:rPr>
                <w:szCs w:val="18"/>
                <w:lang w:bidi="ar-SA"/>
              </w:rPr>
            </w:pPr>
            <w:r w:rsidRPr="005911E2">
              <w:rPr>
                <w:szCs w:val="18"/>
                <w:lang w:bidi="ar-SA"/>
              </w:rPr>
              <w:t>4.3</w:t>
            </w:r>
          </w:p>
        </w:tc>
        <w:tc>
          <w:tcPr>
            <w:tcW w:w="811" w:type="pct"/>
          </w:tcPr>
          <w:p w:rsidR="001013EC" w:rsidRPr="005911E2" w:rsidRDefault="001013EC" w:rsidP="001013EC">
            <w:pPr>
              <w:pStyle w:val="TableText"/>
              <w:jc w:val="right"/>
              <w:rPr>
                <w:szCs w:val="18"/>
                <w:lang w:bidi="ar-SA"/>
              </w:rPr>
            </w:pPr>
            <w:r w:rsidRPr="005911E2">
              <w:rPr>
                <w:szCs w:val="18"/>
                <w:lang w:bidi="ar-SA"/>
              </w:rPr>
              <w:t>7.9</w:t>
            </w:r>
          </w:p>
        </w:tc>
        <w:tc>
          <w:tcPr>
            <w:tcW w:w="769" w:type="pct"/>
          </w:tcPr>
          <w:p w:rsidR="001013EC" w:rsidRPr="005911E2" w:rsidRDefault="001013EC" w:rsidP="001013EC">
            <w:pPr>
              <w:pStyle w:val="TableText"/>
              <w:jc w:val="right"/>
              <w:rPr>
                <w:szCs w:val="18"/>
                <w:lang w:bidi="ar-SA"/>
              </w:rPr>
            </w:pPr>
            <w:r w:rsidRPr="005911E2">
              <w:rPr>
                <w:szCs w:val="18"/>
                <w:lang w:bidi="ar-SA"/>
              </w:rPr>
              <w:t>0.1</w:t>
            </w:r>
          </w:p>
        </w:tc>
        <w:tc>
          <w:tcPr>
            <w:tcW w:w="699" w:type="pct"/>
          </w:tcPr>
          <w:p w:rsidR="001013EC" w:rsidRPr="005911E2" w:rsidRDefault="001013EC" w:rsidP="001013EC">
            <w:pPr>
              <w:pStyle w:val="TableText"/>
              <w:jc w:val="right"/>
              <w:rPr>
                <w:szCs w:val="18"/>
                <w:lang w:bidi="ar-SA"/>
              </w:rPr>
            </w:pPr>
            <w:r w:rsidRPr="005911E2">
              <w:rPr>
                <w:szCs w:val="18"/>
                <w:lang w:bidi="ar-SA"/>
              </w:rPr>
              <w:t>2.8</w:t>
            </w:r>
          </w:p>
        </w:tc>
      </w:tr>
      <w:tr w:rsidR="001013EC" w:rsidRPr="005911E2" w:rsidTr="001013EC">
        <w:trPr>
          <w:jc w:val="right"/>
        </w:trPr>
        <w:tc>
          <w:tcPr>
            <w:tcW w:w="1207" w:type="pct"/>
          </w:tcPr>
          <w:p w:rsidR="001013EC" w:rsidRPr="005911E2" w:rsidRDefault="001013EC" w:rsidP="001013EC">
            <w:pPr>
              <w:pStyle w:val="TableText"/>
              <w:rPr>
                <w:szCs w:val="18"/>
              </w:rPr>
            </w:pPr>
            <w:r w:rsidRPr="005911E2">
              <w:rPr>
                <w:szCs w:val="18"/>
                <w:lang w:bidi="ar-SA"/>
              </w:rPr>
              <w:t>BasicsCard</w:t>
            </w:r>
          </w:p>
        </w:tc>
        <w:tc>
          <w:tcPr>
            <w:tcW w:w="761" w:type="pct"/>
          </w:tcPr>
          <w:p w:rsidR="001013EC" w:rsidRPr="005911E2" w:rsidRDefault="001013EC" w:rsidP="001013EC">
            <w:pPr>
              <w:pStyle w:val="TableText"/>
              <w:jc w:val="right"/>
              <w:rPr>
                <w:szCs w:val="18"/>
                <w:lang w:bidi="ar-SA"/>
              </w:rPr>
            </w:pPr>
            <w:r w:rsidRPr="005911E2">
              <w:rPr>
                <w:szCs w:val="18"/>
                <w:lang w:bidi="ar-SA"/>
              </w:rPr>
              <w:t>82.0</w:t>
            </w:r>
          </w:p>
        </w:tc>
        <w:tc>
          <w:tcPr>
            <w:tcW w:w="753" w:type="pct"/>
          </w:tcPr>
          <w:p w:rsidR="001013EC" w:rsidRPr="005911E2" w:rsidRDefault="001013EC" w:rsidP="001013EC">
            <w:pPr>
              <w:pStyle w:val="TableText"/>
              <w:jc w:val="right"/>
              <w:rPr>
                <w:szCs w:val="18"/>
                <w:lang w:bidi="ar-SA"/>
              </w:rPr>
            </w:pPr>
            <w:r w:rsidRPr="005911E2">
              <w:rPr>
                <w:szCs w:val="18"/>
                <w:lang w:bidi="ar-SA"/>
              </w:rPr>
              <w:t>74.0</w:t>
            </w:r>
          </w:p>
        </w:tc>
        <w:tc>
          <w:tcPr>
            <w:tcW w:w="811" w:type="pct"/>
          </w:tcPr>
          <w:p w:rsidR="001013EC" w:rsidRPr="005911E2" w:rsidRDefault="001013EC" w:rsidP="001013EC">
            <w:pPr>
              <w:pStyle w:val="TableText"/>
              <w:jc w:val="right"/>
              <w:rPr>
                <w:szCs w:val="18"/>
                <w:lang w:bidi="ar-SA"/>
              </w:rPr>
            </w:pPr>
            <w:r w:rsidRPr="005911E2">
              <w:rPr>
                <w:szCs w:val="18"/>
                <w:lang w:bidi="ar-SA"/>
              </w:rPr>
              <w:t>75.1</w:t>
            </w:r>
          </w:p>
        </w:tc>
        <w:tc>
          <w:tcPr>
            <w:tcW w:w="769" w:type="pct"/>
          </w:tcPr>
          <w:p w:rsidR="001013EC" w:rsidRPr="005911E2" w:rsidRDefault="001013EC" w:rsidP="001013EC">
            <w:pPr>
              <w:pStyle w:val="TableText"/>
              <w:jc w:val="right"/>
              <w:rPr>
                <w:szCs w:val="18"/>
                <w:lang w:bidi="ar-SA"/>
              </w:rPr>
            </w:pPr>
            <w:r w:rsidRPr="005911E2">
              <w:rPr>
                <w:szCs w:val="18"/>
                <w:lang w:bidi="ar-SA"/>
              </w:rPr>
              <w:t>78.2</w:t>
            </w:r>
          </w:p>
        </w:tc>
        <w:tc>
          <w:tcPr>
            <w:tcW w:w="699" w:type="pct"/>
          </w:tcPr>
          <w:p w:rsidR="001013EC" w:rsidRPr="005911E2" w:rsidRDefault="001013EC" w:rsidP="001013EC">
            <w:pPr>
              <w:pStyle w:val="TableText"/>
              <w:jc w:val="right"/>
              <w:rPr>
                <w:szCs w:val="18"/>
                <w:lang w:bidi="ar-SA"/>
              </w:rPr>
            </w:pPr>
            <w:r w:rsidRPr="005911E2">
              <w:rPr>
                <w:szCs w:val="18"/>
                <w:lang w:bidi="ar-SA"/>
              </w:rPr>
              <w:t>77.8</w:t>
            </w:r>
          </w:p>
        </w:tc>
      </w:tr>
      <w:tr w:rsidR="001013EC" w:rsidRPr="005911E2" w:rsidTr="001013EC">
        <w:trPr>
          <w:jc w:val="right"/>
        </w:trPr>
        <w:tc>
          <w:tcPr>
            <w:tcW w:w="1207" w:type="pct"/>
          </w:tcPr>
          <w:p w:rsidR="001013EC" w:rsidRPr="005911E2" w:rsidRDefault="001013EC" w:rsidP="001013EC">
            <w:pPr>
              <w:pStyle w:val="TableText"/>
              <w:rPr>
                <w:szCs w:val="18"/>
              </w:rPr>
            </w:pPr>
            <w:r w:rsidRPr="005911E2">
              <w:rPr>
                <w:szCs w:val="18"/>
                <w:lang w:bidi="ar-SA"/>
              </w:rPr>
              <w:t>Other</w:t>
            </w:r>
          </w:p>
        </w:tc>
        <w:tc>
          <w:tcPr>
            <w:tcW w:w="761" w:type="pct"/>
          </w:tcPr>
          <w:p w:rsidR="001013EC" w:rsidRPr="005911E2" w:rsidRDefault="001013EC" w:rsidP="001013EC">
            <w:pPr>
              <w:pStyle w:val="TableText"/>
              <w:jc w:val="right"/>
              <w:rPr>
                <w:szCs w:val="18"/>
                <w:lang w:bidi="ar-SA"/>
              </w:rPr>
            </w:pPr>
            <w:r w:rsidRPr="005911E2">
              <w:rPr>
                <w:szCs w:val="18"/>
                <w:lang w:bidi="ar-SA"/>
              </w:rPr>
              <w:t>10.1</w:t>
            </w:r>
          </w:p>
        </w:tc>
        <w:tc>
          <w:tcPr>
            <w:tcW w:w="753" w:type="pct"/>
          </w:tcPr>
          <w:p w:rsidR="001013EC" w:rsidRPr="005911E2" w:rsidRDefault="001013EC" w:rsidP="001013EC">
            <w:pPr>
              <w:pStyle w:val="TableText"/>
              <w:jc w:val="right"/>
              <w:rPr>
                <w:szCs w:val="18"/>
                <w:lang w:bidi="ar-SA"/>
              </w:rPr>
            </w:pPr>
            <w:r w:rsidRPr="005911E2">
              <w:rPr>
                <w:szCs w:val="18"/>
                <w:lang w:bidi="ar-SA"/>
              </w:rPr>
              <w:t>9.3</w:t>
            </w:r>
          </w:p>
        </w:tc>
        <w:tc>
          <w:tcPr>
            <w:tcW w:w="811" w:type="pct"/>
          </w:tcPr>
          <w:p w:rsidR="001013EC" w:rsidRPr="005911E2" w:rsidRDefault="001013EC" w:rsidP="001013EC">
            <w:pPr>
              <w:pStyle w:val="TableText"/>
              <w:jc w:val="right"/>
              <w:rPr>
                <w:szCs w:val="18"/>
                <w:lang w:bidi="ar-SA"/>
              </w:rPr>
            </w:pPr>
            <w:r w:rsidRPr="005911E2">
              <w:rPr>
                <w:szCs w:val="18"/>
                <w:lang w:bidi="ar-SA"/>
              </w:rPr>
              <w:t>7.5</w:t>
            </w:r>
          </w:p>
        </w:tc>
        <w:tc>
          <w:tcPr>
            <w:tcW w:w="769" w:type="pct"/>
          </w:tcPr>
          <w:p w:rsidR="001013EC" w:rsidRPr="005911E2" w:rsidRDefault="001013EC" w:rsidP="001013EC">
            <w:pPr>
              <w:pStyle w:val="TableText"/>
              <w:jc w:val="right"/>
              <w:rPr>
                <w:szCs w:val="18"/>
                <w:lang w:bidi="ar-SA"/>
              </w:rPr>
            </w:pPr>
            <w:r w:rsidRPr="005911E2">
              <w:rPr>
                <w:szCs w:val="18"/>
                <w:lang w:bidi="ar-SA"/>
              </w:rPr>
              <w:t>9.5</w:t>
            </w:r>
          </w:p>
        </w:tc>
        <w:tc>
          <w:tcPr>
            <w:tcW w:w="699" w:type="pct"/>
          </w:tcPr>
          <w:p w:rsidR="001013EC" w:rsidRPr="005911E2" w:rsidRDefault="001013EC" w:rsidP="001013EC">
            <w:pPr>
              <w:pStyle w:val="TableText"/>
              <w:jc w:val="right"/>
              <w:rPr>
                <w:szCs w:val="18"/>
                <w:lang w:bidi="ar-SA"/>
              </w:rPr>
            </w:pPr>
            <w:r w:rsidRPr="005911E2">
              <w:rPr>
                <w:szCs w:val="18"/>
                <w:lang w:bidi="ar-SA"/>
              </w:rPr>
              <w:t>9.2</w:t>
            </w:r>
          </w:p>
        </w:tc>
      </w:tr>
      <w:tr w:rsidR="001013EC" w:rsidRPr="005911E2" w:rsidTr="001013EC">
        <w:trPr>
          <w:jc w:val="right"/>
        </w:trPr>
        <w:tc>
          <w:tcPr>
            <w:tcW w:w="1207" w:type="pct"/>
            <w:tcBorders>
              <w:bottom w:val="single" w:sz="4" w:space="0" w:color="auto"/>
            </w:tcBorders>
          </w:tcPr>
          <w:p w:rsidR="001013EC" w:rsidRPr="005911E2" w:rsidRDefault="001013EC" w:rsidP="001013EC">
            <w:pPr>
              <w:pStyle w:val="TableText"/>
              <w:rPr>
                <w:szCs w:val="18"/>
              </w:rPr>
            </w:pPr>
            <w:r w:rsidRPr="005911E2">
              <w:rPr>
                <w:szCs w:val="18"/>
                <w:lang w:bidi="ar-SA"/>
              </w:rPr>
              <w:t>Total</w:t>
            </w:r>
          </w:p>
        </w:tc>
        <w:tc>
          <w:tcPr>
            <w:tcW w:w="761" w:type="pct"/>
            <w:tcBorders>
              <w:bottom w:val="single" w:sz="4" w:space="0" w:color="auto"/>
            </w:tcBorders>
            <w:vAlign w:val="bottom"/>
          </w:tcPr>
          <w:p w:rsidR="001013EC" w:rsidRPr="005911E2" w:rsidRDefault="001013EC" w:rsidP="001013EC">
            <w:pPr>
              <w:pStyle w:val="TableText"/>
              <w:jc w:val="right"/>
              <w:rPr>
                <w:szCs w:val="18"/>
                <w:lang w:bidi="ar-SA"/>
              </w:rPr>
            </w:pPr>
            <w:r w:rsidRPr="005911E2">
              <w:rPr>
                <w:szCs w:val="18"/>
                <w:lang w:bidi="ar-SA"/>
              </w:rPr>
              <w:t>100.0</w:t>
            </w:r>
          </w:p>
        </w:tc>
        <w:tc>
          <w:tcPr>
            <w:tcW w:w="753" w:type="pct"/>
            <w:tcBorders>
              <w:bottom w:val="single" w:sz="4" w:space="0" w:color="auto"/>
            </w:tcBorders>
            <w:vAlign w:val="bottom"/>
          </w:tcPr>
          <w:p w:rsidR="001013EC" w:rsidRPr="005911E2" w:rsidRDefault="001013EC" w:rsidP="001013EC">
            <w:pPr>
              <w:pStyle w:val="TableText"/>
              <w:jc w:val="right"/>
              <w:rPr>
                <w:szCs w:val="18"/>
                <w:lang w:bidi="ar-SA"/>
              </w:rPr>
            </w:pPr>
            <w:r w:rsidRPr="005911E2">
              <w:rPr>
                <w:szCs w:val="18"/>
                <w:lang w:bidi="ar-SA"/>
              </w:rPr>
              <w:t>100.0</w:t>
            </w:r>
          </w:p>
        </w:tc>
        <w:tc>
          <w:tcPr>
            <w:tcW w:w="811" w:type="pct"/>
            <w:tcBorders>
              <w:bottom w:val="single" w:sz="4" w:space="0" w:color="auto"/>
            </w:tcBorders>
            <w:vAlign w:val="bottom"/>
          </w:tcPr>
          <w:p w:rsidR="001013EC" w:rsidRPr="005911E2" w:rsidRDefault="001013EC" w:rsidP="001013EC">
            <w:pPr>
              <w:pStyle w:val="TableText"/>
              <w:jc w:val="right"/>
              <w:rPr>
                <w:szCs w:val="18"/>
                <w:lang w:bidi="ar-SA"/>
              </w:rPr>
            </w:pPr>
            <w:r w:rsidRPr="005911E2">
              <w:rPr>
                <w:szCs w:val="18"/>
                <w:lang w:bidi="ar-SA"/>
              </w:rPr>
              <w:t>100.0</w:t>
            </w:r>
          </w:p>
        </w:tc>
        <w:tc>
          <w:tcPr>
            <w:tcW w:w="769" w:type="pct"/>
            <w:tcBorders>
              <w:bottom w:val="single" w:sz="4" w:space="0" w:color="auto"/>
            </w:tcBorders>
            <w:vAlign w:val="bottom"/>
          </w:tcPr>
          <w:p w:rsidR="001013EC" w:rsidRPr="005911E2" w:rsidRDefault="001013EC" w:rsidP="001013EC">
            <w:pPr>
              <w:pStyle w:val="TableText"/>
              <w:jc w:val="right"/>
              <w:rPr>
                <w:szCs w:val="18"/>
                <w:lang w:bidi="ar-SA"/>
              </w:rPr>
            </w:pPr>
            <w:r w:rsidRPr="005911E2">
              <w:rPr>
                <w:szCs w:val="18"/>
                <w:lang w:bidi="ar-SA"/>
              </w:rPr>
              <w:t>100.0</w:t>
            </w:r>
          </w:p>
        </w:tc>
        <w:tc>
          <w:tcPr>
            <w:tcW w:w="699" w:type="pct"/>
            <w:tcBorders>
              <w:bottom w:val="single" w:sz="4" w:space="0" w:color="auto"/>
            </w:tcBorders>
            <w:vAlign w:val="bottom"/>
          </w:tcPr>
          <w:p w:rsidR="001013EC" w:rsidRPr="005911E2" w:rsidRDefault="001013EC" w:rsidP="001013EC">
            <w:pPr>
              <w:pStyle w:val="TableText"/>
              <w:jc w:val="right"/>
              <w:rPr>
                <w:szCs w:val="18"/>
                <w:lang w:bidi="ar-SA"/>
              </w:rPr>
            </w:pPr>
            <w:r w:rsidRPr="005911E2">
              <w:rPr>
                <w:szCs w:val="18"/>
                <w:lang w:bidi="ar-SA"/>
              </w:rPr>
              <w:t>100.0</w:t>
            </w:r>
          </w:p>
        </w:tc>
      </w:tr>
      <w:tr w:rsidR="001013EC" w:rsidRPr="005911E2" w:rsidTr="001013EC">
        <w:trPr>
          <w:jc w:val="right"/>
        </w:trPr>
        <w:tc>
          <w:tcPr>
            <w:tcW w:w="1207" w:type="pct"/>
            <w:tcBorders>
              <w:top w:val="single" w:sz="4" w:space="0" w:color="auto"/>
            </w:tcBorders>
            <w:vAlign w:val="center"/>
          </w:tcPr>
          <w:p w:rsidR="001013EC" w:rsidRPr="005911E2" w:rsidRDefault="001013EC" w:rsidP="001013EC">
            <w:pPr>
              <w:pStyle w:val="TableText"/>
              <w:rPr>
                <w:szCs w:val="18"/>
                <w:lang w:bidi="ar-SA"/>
              </w:rPr>
            </w:pPr>
          </w:p>
        </w:tc>
        <w:tc>
          <w:tcPr>
            <w:tcW w:w="3793" w:type="pct"/>
            <w:gridSpan w:val="5"/>
            <w:tcBorders>
              <w:top w:val="single" w:sz="4" w:space="0" w:color="auto"/>
            </w:tcBorders>
          </w:tcPr>
          <w:p w:rsidR="001013EC" w:rsidRPr="005911E2" w:rsidRDefault="001013EC" w:rsidP="001013EC">
            <w:pPr>
              <w:pStyle w:val="TableText"/>
              <w:jc w:val="center"/>
              <w:rPr>
                <w:szCs w:val="18"/>
                <w:lang w:bidi="ar-SA"/>
              </w:rPr>
            </w:pPr>
            <w:r w:rsidRPr="005911E2">
              <w:rPr>
                <w:szCs w:val="18"/>
                <w:lang w:bidi="ar-SA"/>
              </w:rPr>
              <w:t>IM allocation ($ per fortnight)</w:t>
            </w:r>
          </w:p>
        </w:tc>
      </w:tr>
      <w:tr w:rsidR="001013EC" w:rsidRPr="005911E2" w:rsidTr="001013EC">
        <w:trPr>
          <w:jc w:val="right"/>
        </w:trPr>
        <w:tc>
          <w:tcPr>
            <w:tcW w:w="1207" w:type="pct"/>
            <w:vAlign w:val="center"/>
          </w:tcPr>
          <w:p w:rsidR="001013EC" w:rsidRPr="005911E2" w:rsidRDefault="001013EC" w:rsidP="001013EC">
            <w:pPr>
              <w:pStyle w:val="TableText"/>
              <w:rPr>
                <w:szCs w:val="18"/>
                <w:lang w:bidi="ar-SA"/>
              </w:rPr>
            </w:pPr>
            <w:r w:rsidRPr="005911E2">
              <w:rPr>
                <w:szCs w:val="18"/>
                <w:lang w:bidi="ar-SA"/>
              </w:rPr>
              <w:t>Mean ($)</w:t>
            </w:r>
          </w:p>
        </w:tc>
        <w:tc>
          <w:tcPr>
            <w:tcW w:w="761" w:type="pct"/>
          </w:tcPr>
          <w:p w:rsidR="001013EC" w:rsidRPr="005911E2" w:rsidRDefault="001013EC" w:rsidP="001013EC">
            <w:pPr>
              <w:pStyle w:val="TableText"/>
              <w:jc w:val="right"/>
              <w:rPr>
                <w:szCs w:val="18"/>
                <w:lang w:bidi="ar-SA"/>
              </w:rPr>
            </w:pPr>
            <w:r w:rsidRPr="005911E2">
              <w:rPr>
                <w:szCs w:val="18"/>
                <w:lang w:bidi="ar-SA"/>
              </w:rPr>
              <w:t>244</w:t>
            </w:r>
          </w:p>
        </w:tc>
        <w:tc>
          <w:tcPr>
            <w:tcW w:w="753" w:type="pct"/>
          </w:tcPr>
          <w:p w:rsidR="001013EC" w:rsidRPr="005911E2" w:rsidRDefault="001013EC" w:rsidP="001013EC">
            <w:pPr>
              <w:pStyle w:val="TableText"/>
              <w:jc w:val="right"/>
              <w:rPr>
                <w:szCs w:val="18"/>
                <w:lang w:bidi="ar-SA"/>
              </w:rPr>
            </w:pPr>
            <w:r w:rsidRPr="005911E2">
              <w:rPr>
                <w:szCs w:val="18"/>
                <w:lang w:bidi="ar-SA"/>
              </w:rPr>
              <w:t>573</w:t>
            </w:r>
          </w:p>
        </w:tc>
        <w:tc>
          <w:tcPr>
            <w:tcW w:w="811" w:type="pct"/>
          </w:tcPr>
          <w:p w:rsidR="001013EC" w:rsidRPr="005911E2" w:rsidRDefault="001013EC" w:rsidP="001013EC">
            <w:pPr>
              <w:pStyle w:val="TableText"/>
              <w:jc w:val="right"/>
              <w:rPr>
                <w:szCs w:val="18"/>
                <w:lang w:bidi="ar-SA"/>
              </w:rPr>
            </w:pPr>
            <w:r w:rsidRPr="005911E2">
              <w:rPr>
                <w:szCs w:val="18"/>
                <w:lang w:bidi="ar-SA"/>
              </w:rPr>
              <w:t>553</w:t>
            </w:r>
          </w:p>
        </w:tc>
        <w:tc>
          <w:tcPr>
            <w:tcW w:w="769" w:type="pct"/>
          </w:tcPr>
          <w:p w:rsidR="001013EC" w:rsidRPr="005911E2" w:rsidRDefault="001013EC" w:rsidP="001013EC">
            <w:pPr>
              <w:pStyle w:val="TableText"/>
              <w:jc w:val="right"/>
              <w:rPr>
                <w:szCs w:val="18"/>
                <w:lang w:bidi="ar-SA"/>
              </w:rPr>
            </w:pPr>
            <w:r w:rsidRPr="005911E2">
              <w:rPr>
                <w:szCs w:val="18"/>
                <w:lang w:bidi="ar-SA"/>
              </w:rPr>
              <w:t>243</w:t>
            </w:r>
          </w:p>
        </w:tc>
        <w:tc>
          <w:tcPr>
            <w:tcW w:w="699" w:type="pct"/>
          </w:tcPr>
          <w:p w:rsidR="001013EC" w:rsidRPr="005911E2" w:rsidRDefault="001013EC" w:rsidP="001013EC">
            <w:pPr>
              <w:pStyle w:val="TableText"/>
              <w:jc w:val="right"/>
              <w:rPr>
                <w:szCs w:val="18"/>
                <w:lang w:bidi="ar-SA"/>
              </w:rPr>
            </w:pPr>
            <w:r w:rsidRPr="005911E2">
              <w:rPr>
                <w:szCs w:val="18"/>
                <w:lang w:bidi="ar-SA"/>
              </w:rPr>
              <w:t>382</w:t>
            </w:r>
          </w:p>
        </w:tc>
      </w:tr>
      <w:tr w:rsidR="001013EC" w:rsidRPr="005911E2" w:rsidTr="001013EC">
        <w:trPr>
          <w:jc w:val="right"/>
        </w:trPr>
        <w:tc>
          <w:tcPr>
            <w:tcW w:w="1207" w:type="pct"/>
            <w:tcBorders>
              <w:bottom w:val="single" w:sz="4" w:space="0" w:color="000000"/>
            </w:tcBorders>
            <w:vAlign w:val="center"/>
          </w:tcPr>
          <w:p w:rsidR="001013EC" w:rsidRPr="005911E2" w:rsidRDefault="001013EC" w:rsidP="001013EC">
            <w:pPr>
              <w:pStyle w:val="TableText"/>
              <w:rPr>
                <w:szCs w:val="18"/>
                <w:lang w:bidi="ar-SA"/>
              </w:rPr>
            </w:pPr>
            <w:r w:rsidRPr="005911E2">
              <w:rPr>
                <w:szCs w:val="18"/>
                <w:lang w:bidi="ar-SA"/>
              </w:rPr>
              <w:t>Median ($)</w:t>
            </w:r>
          </w:p>
        </w:tc>
        <w:tc>
          <w:tcPr>
            <w:tcW w:w="761" w:type="pct"/>
            <w:tcBorders>
              <w:bottom w:val="single" w:sz="4" w:space="0" w:color="000000"/>
            </w:tcBorders>
          </w:tcPr>
          <w:p w:rsidR="001013EC" w:rsidRPr="005911E2" w:rsidRDefault="001013EC" w:rsidP="001013EC">
            <w:pPr>
              <w:pStyle w:val="TableText"/>
              <w:jc w:val="right"/>
              <w:rPr>
                <w:szCs w:val="18"/>
                <w:lang w:bidi="ar-SA"/>
              </w:rPr>
            </w:pPr>
            <w:r w:rsidRPr="005911E2">
              <w:rPr>
                <w:szCs w:val="18"/>
                <w:lang w:bidi="ar-SA"/>
              </w:rPr>
              <w:t>233</w:t>
            </w:r>
          </w:p>
        </w:tc>
        <w:tc>
          <w:tcPr>
            <w:tcW w:w="753" w:type="pct"/>
            <w:tcBorders>
              <w:bottom w:val="single" w:sz="4" w:space="0" w:color="000000"/>
            </w:tcBorders>
          </w:tcPr>
          <w:p w:rsidR="001013EC" w:rsidRPr="005911E2" w:rsidRDefault="001013EC" w:rsidP="001013EC">
            <w:pPr>
              <w:pStyle w:val="TableText"/>
              <w:jc w:val="right"/>
              <w:rPr>
                <w:szCs w:val="18"/>
                <w:lang w:bidi="ar-SA"/>
              </w:rPr>
            </w:pPr>
            <w:r w:rsidRPr="005911E2">
              <w:rPr>
                <w:szCs w:val="18"/>
                <w:lang w:bidi="ar-SA"/>
              </w:rPr>
              <w:t>495</w:t>
            </w:r>
          </w:p>
        </w:tc>
        <w:tc>
          <w:tcPr>
            <w:tcW w:w="811" w:type="pct"/>
            <w:tcBorders>
              <w:bottom w:val="single" w:sz="4" w:space="0" w:color="000000"/>
            </w:tcBorders>
          </w:tcPr>
          <w:p w:rsidR="001013EC" w:rsidRPr="005911E2" w:rsidRDefault="001013EC" w:rsidP="001013EC">
            <w:pPr>
              <w:pStyle w:val="TableText"/>
              <w:jc w:val="right"/>
              <w:rPr>
                <w:szCs w:val="18"/>
                <w:lang w:bidi="ar-SA"/>
              </w:rPr>
            </w:pPr>
            <w:r w:rsidRPr="005911E2">
              <w:rPr>
                <w:szCs w:val="18"/>
                <w:lang w:bidi="ar-SA"/>
              </w:rPr>
              <w:t>419</w:t>
            </w:r>
          </w:p>
        </w:tc>
        <w:tc>
          <w:tcPr>
            <w:tcW w:w="769" w:type="pct"/>
            <w:tcBorders>
              <w:bottom w:val="single" w:sz="4" w:space="0" w:color="000000"/>
            </w:tcBorders>
          </w:tcPr>
          <w:p w:rsidR="001013EC" w:rsidRPr="005911E2" w:rsidRDefault="001013EC" w:rsidP="001013EC">
            <w:pPr>
              <w:pStyle w:val="TableText"/>
              <w:jc w:val="right"/>
              <w:rPr>
                <w:szCs w:val="18"/>
                <w:lang w:bidi="ar-SA"/>
              </w:rPr>
            </w:pPr>
            <w:r w:rsidRPr="005911E2">
              <w:rPr>
                <w:szCs w:val="18"/>
                <w:lang w:bidi="ar-SA"/>
              </w:rPr>
              <w:t>213</w:t>
            </w:r>
          </w:p>
        </w:tc>
        <w:tc>
          <w:tcPr>
            <w:tcW w:w="699" w:type="pct"/>
            <w:tcBorders>
              <w:bottom w:val="single" w:sz="4" w:space="0" w:color="000000"/>
            </w:tcBorders>
          </w:tcPr>
          <w:p w:rsidR="001013EC" w:rsidRPr="005911E2" w:rsidRDefault="001013EC" w:rsidP="001013EC">
            <w:pPr>
              <w:pStyle w:val="TableText"/>
              <w:jc w:val="right"/>
              <w:rPr>
                <w:szCs w:val="18"/>
                <w:lang w:bidi="ar-SA"/>
              </w:rPr>
            </w:pPr>
            <w:r w:rsidRPr="005911E2">
              <w:rPr>
                <w:szCs w:val="18"/>
                <w:lang w:bidi="ar-SA"/>
              </w:rPr>
              <w:t>280</w:t>
            </w:r>
          </w:p>
        </w:tc>
      </w:tr>
      <w:tr w:rsidR="001013EC" w:rsidRPr="005911E2" w:rsidTr="001013EC">
        <w:trPr>
          <w:jc w:val="right"/>
        </w:trPr>
        <w:tc>
          <w:tcPr>
            <w:tcW w:w="1207" w:type="pct"/>
            <w:tcBorders>
              <w:top w:val="single" w:sz="4" w:space="0" w:color="000000"/>
              <w:bottom w:val="single" w:sz="4" w:space="0" w:color="000000"/>
            </w:tcBorders>
          </w:tcPr>
          <w:p w:rsidR="001013EC" w:rsidRPr="005911E2" w:rsidRDefault="001013EC" w:rsidP="001013EC">
            <w:pPr>
              <w:pStyle w:val="TableText"/>
              <w:rPr>
                <w:szCs w:val="18"/>
                <w:lang w:bidi="ar-SA"/>
              </w:rPr>
            </w:pPr>
          </w:p>
        </w:tc>
        <w:tc>
          <w:tcPr>
            <w:tcW w:w="3793" w:type="pct"/>
            <w:gridSpan w:val="5"/>
            <w:tcBorders>
              <w:top w:val="single" w:sz="4" w:space="0" w:color="000000"/>
              <w:bottom w:val="single" w:sz="4" w:space="0" w:color="000000"/>
            </w:tcBorders>
            <w:vAlign w:val="bottom"/>
          </w:tcPr>
          <w:p w:rsidR="001013EC" w:rsidRPr="005911E2" w:rsidRDefault="001013EC" w:rsidP="001013EC">
            <w:pPr>
              <w:pStyle w:val="TableText"/>
              <w:jc w:val="center"/>
              <w:rPr>
                <w:szCs w:val="18"/>
                <w:lang w:bidi="ar-SA"/>
              </w:rPr>
            </w:pPr>
            <w:r w:rsidRPr="005911E2">
              <w:rPr>
                <w:szCs w:val="18"/>
                <w:lang w:bidi="ar-SA"/>
              </w:rPr>
              <w:t>VIM</w:t>
            </w:r>
          </w:p>
        </w:tc>
      </w:tr>
      <w:tr w:rsidR="001013EC" w:rsidRPr="005911E2" w:rsidTr="001013EC">
        <w:trPr>
          <w:jc w:val="right"/>
        </w:trPr>
        <w:tc>
          <w:tcPr>
            <w:tcW w:w="1207" w:type="pct"/>
            <w:tcBorders>
              <w:top w:val="single" w:sz="4" w:space="0" w:color="000000"/>
            </w:tcBorders>
          </w:tcPr>
          <w:p w:rsidR="001013EC" w:rsidRPr="005911E2" w:rsidRDefault="001013EC" w:rsidP="001013EC">
            <w:pPr>
              <w:pStyle w:val="TableText"/>
              <w:rPr>
                <w:szCs w:val="18"/>
                <w:lang w:bidi="ar-SA"/>
              </w:rPr>
            </w:pPr>
          </w:p>
        </w:tc>
        <w:tc>
          <w:tcPr>
            <w:tcW w:w="3793" w:type="pct"/>
            <w:gridSpan w:val="5"/>
            <w:tcBorders>
              <w:top w:val="single" w:sz="4" w:space="0" w:color="000000"/>
            </w:tcBorders>
            <w:vAlign w:val="bottom"/>
          </w:tcPr>
          <w:p w:rsidR="001013EC" w:rsidRPr="005911E2" w:rsidRDefault="001013EC" w:rsidP="001013EC">
            <w:pPr>
              <w:pStyle w:val="TableText"/>
              <w:jc w:val="center"/>
              <w:rPr>
                <w:szCs w:val="18"/>
                <w:lang w:bidi="ar-SA"/>
              </w:rPr>
            </w:pPr>
            <w:r w:rsidRPr="005911E2">
              <w:rPr>
                <w:szCs w:val="18"/>
                <w:lang w:bidi="ar-SA"/>
              </w:rPr>
              <w:t>- % -</w:t>
            </w:r>
          </w:p>
        </w:tc>
      </w:tr>
      <w:tr w:rsidR="001013EC" w:rsidRPr="005911E2" w:rsidTr="001013EC">
        <w:trPr>
          <w:jc w:val="right"/>
        </w:trPr>
        <w:tc>
          <w:tcPr>
            <w:tcW w:w="1207" w:type="pct"/>
          </w:tcPr>
          <w:p w:rsidR="001013EC" w:rsidRPr="005911E2" w:rsidRDefault="001013EC" w:rsidP="001013EC">
            <w:pPr>
              <w:pStyle w:val="TableText"/>
              <w:rPr>
                <w:szCs w:val="18"/>
              </w:rPr>
            </w:pPr>
            <w:r w:rsidRPr="005911E2">
              <w:rPr>
                <w:szCs w:val="18"/>
                <w:lang w:bidi="ar-SA"/>
              </w:rPr>
              <w:t>Housing</w:t>
            </w:r>
          </w:p>
        </w:tc>
        <w:tc>
          <w:tcPr>
            <w:tcW w:w="761" w:type="pct"/>
          </w:tcPr>
          <w:p w:rsidR="001013EC" w:rsidRPr="005911E2" w:rsidRDefault="001013EC" w:rsidP="001013EC">
            <w:pPr>
              <w:pStyle w:val="TableText"/>
              <w:jc w:val="right"/>
              <w:rPr>
                <w:szCs w:val="18"/>
                <w:lang w:bidi="ar-SA"/>
              </w:rPr>
            </w:pPr>
            <w:r w:rsidRPr="005911E2">
              <w:rPr>
                <w:szCs w:val="18"/>
                <w:lang w:bidi="ar-SA"/>
              </w:rPr>
              <w:t>10.7</w:t>
            </w:r>
          </w:p>
        </w:tc>
        <w:tc>
          <w:tcPr>
            <w:tcW w:w="753" w:type="pct"/>
          </w:tcPr>
          <w:p w:rsidR="001013EC" w:rsidRPr="005911E2" w:rsidRDefault="001013EC" w:rsidP="001013EC">
            <w:pPr>
              <w:pStyle w:val="TableText"/>
              <w:jc w:val="right"/>
              <w:rPr>
                <w:szCs w:val="18"/>
                <w:lang w:bidi="ar-SA"/>
              </w:rPr>
            </w:pPr>
            <w:r w:rsidRPr="005911E2">
              <w:rPr>
                <w:szCs w:val="18"/>
                <w:lang w:bidi="ar-SA"/>
              </w:rPr>
              <w:t>8.7</w:t>
            </w:r>
          </w:p>
        </w:tc>
        <w:tc>
          <w:tcPr>
            <w:tcW w:w="811" w:type="pct"/>
          </w:tcPr>
          <w:p w:rsidR="001013EC" w:rsidRPr="005911E2" w:rsidRDefault="001013EC" w:rsidP="001013EC">
            <w:pPr>
              <w:pStyle w:val="TableText"/>
              <w:jc w:val="right"/>
              <w:rPr>
                <w:szCs w:val="18"/>
                <w:lang w:bidi="ar-SA"/>
              </w:rPr>
            </w:pPr>
            <w:r w:rsidRPr="005911E2">
              <w:rPr>
                <w:szCs w:val="18"/>
                <w:lang w:bidi="ar-SA"/>
              </w:rPr>
              <w:t>9.7</w:t>
            </w:r>
          </w:p>
        </w:tc>
        <w:tc>
          <w:tcPr>
            <w:tcW w:w="769" w:type="pct"/>
          </w:tcPr>
          <w:p w:rsidR="001013EC" w:rsidRPr="005911E2" w:rsidRDefault="001013EC" w:rsidP="001013EC">
            <w:pPr>
              <w:pStyle w:val="TableText"/>
              <w:jc w:val="right"/>
              <w:rPr>
                <w:szCs w:val="18"/>
                <w:lang w:bidi="ar-SA"/>
              </w:rPr>
            </w:pPr>
            <w:r w:rsidRPr="005911E2">
              <w:rPr>
                <w:szCs w:val="18"/>
                <w:lang w:bidi="ar-SA"/>
              </w:rPr>
              <w:t>13.9</w:t>
            </w:r>
          </w:p>
        </w:tc>
        <w:tc>
          <w:tcPr>
            <w:tcW w:w="699" w:type="pct"/>
          </w:tcPr>
          <w:p w:rsidR="001013EC" w:rsidRPr="005911E2" w:rsidRDefault="001013EC" w:rsidP="001013EC">
            <w:pPr>
              <w:pStyle w:val="TableText"/>
              <w:jc w:val="right"/>
              <w:rPr>
                <w:szCs w:val="18"/>
                <w:lang w:bidi="ar-SA"/>
              </w:rPr>
            </w:pPr>
            <w:r w:rsidRPr="005911E2">
              <w:rPr>
                <w:szCs w:val="18"/>
                <w:lang w:bidi="ar-SA"/>
              </w:rPr>
              <w:t>11.3</w:t>
            </w:r>
          </w:p>
        </w:tc>
      </w:tr>
      <w:tr w:rsidR="001013EC" w:rsidRPr="005911E2" w:rsidTr="001013EC">
        <w:trPr>
          <w:jc w:val="right"/>
        </w:trPr>
        <w:tc>
          <w:tcPr>
            <w:tcW w:w="1207" w:type="pct"/>
          </w:tcPr>
          <w:p w:rsidR="001013EC" w:rsidRPr="005911E2" w:rsidRDefault="001013EC" w:rsidP="001013EC">
            <w:pPr>
              <w:pStyle w:val="TableText"/>
              <w:rPr>
                <w:szCs w:val="18"/>
              </w:rPr>
            </w:pPr>
            <w:r w:rsidRPr="005911E2">
              <w:rPr>
                <w:szCs w:val="18"/>
                <w:lang w:bidi="ar-SA"/>
              </w:rPr>
              <w:t>Utilities</w:t>
            </w:r>
          </w:p>
        </w:tc>
        <w:tc>
          <w:tcPr>
            <w:tcW w:w="761" w:type="pct"/>
          </w:tcPr>
          <w:p w:rsidR="001013EC" w:rsidRPr="005911E2" w:rsidRDefault="001013EC" w:rsidP="001013EC">
            <w:pPr>
              <w:pStyle w:val="TableText"/>
              <w:jc w:val="right"/>
              <w:rPr>
                <w:szCs w:val="18"/>
                <w:lang w:bidi="ar-SA"/>
              </w:rPr>
            </w:pPr>
            <w:r w:rsidRPr="005911E2">
              <w:rPr>
                <w:szCs w:val="18"/>
                <w:lang w:bidi="ar-SA"/>
              </w:rPr>
              <w:t>0.4</w:t>
            </w:r>
          </w:p>
        </w:tc>
        <w:tc>
          <w:tcPr>
            <w:tcW w:w="753" w:type="pct"/>
          </w:tcPr>
          <w:p w:rsidR="001013EC" w:rsidRPr="005911E2" w:rsidRDefault="001013EC" w:rsidP="001013EC">
            <w:pPr>
              <w:pStyle w:val="TableText"/>
              <w:jc w:val="right"/>
              <w:rPr>
                <w:szCs w:val="18"/>
                <w:lang w:bidi="ar-SA"/>
              </w:rPr>
            </w:pPr>
            <w:r w:rsidRPr="005911E2">
              <w:rPr>
                <w:szCs w:val="18"/>
                <w:lang w:bidi="ar-SA"/>
              </w:rPr>
              <w:t>0.6</w:t>
            </w:r>
          </w:p>
        </w:tc>
        <w:tc>
          <w:tcPr>
            <w:tcW w:w="811" w:type="pct"/>
          </w:tcPr>
          <w:p w:rsidR="001013EC" w:rsidRPr="005911E2" w:rsidRDefault="001013EC" w:rsidP="001013EC">
            <w:pPr>
              <w:pStyle w:val="TableText"/>
              <w:jc w:val="right"/>
              <w:rPr>
                <w:szCs w:val="18"/>
                <w:lang w:bidi="ar-SA"/>
              </w:rPr>
            </w:pPr>
            <w:r w:rsidRPr="005911E2">
              <w:rPr>
                <w:szCs w:val="18"/>
                <w:lang w:bidi="ar-SA"/>
              </w:rPr>
              <w:t>0.4</w:t>
            </w:r>
          </w:p>
        </w:tc>
        <w:tc>
          <w:tcPr>
            <w:tcW w:w="769" w:type="pct"/>
          </w:tcPr>
          <w:p w:rsidR="001013EC" w:rsidRPr="005911E2" w:rsidRDefault="001013EC" w:rsidP="001013EC">
            <w:pPr>
              <w:pStyle w:val="TableText"/>
              <w:jc w:val="right"/>
              <w:rPr>
                <w:szCs w:val="18"/>
                <w:lang w:bidi="ar-SA"/>
              </w:rPr>
            </w:pPr>
            <w:r w:rsidRPr="005911E2">
              <w:rPr>
                <w:szCs w:val="18"/>
                <w:lang w:bidi="ar-SA"/>
              </w:rPr>
              <w:t>0.5</w:t>
            </w:r>
          </w:p>
        </w:tc>
        <w:tc>
          <w:tcPr>
            <w:tcW w:w="699" w:type="pct"/>
          </w:tcPr>
          <w:p w:rsidR="001013EC" w:rsidRPr="005911E2" w:rsidRDefault="001013EC" w:rsidP="001013EC">
            <w:pPr>
              <w:pStyle w:val="TableText"/>
              <w:jc w:val="right"/>
              <w:rPr>
                <w:szCs w:val="18"/>
                <w:lang w:bidi="ar-SA"/>
              </w:rPr>
            </w:pPr>
            <w:r w:rsidRPr="005911E2">
              <w:rPr>
                <w:szCs w:val="18"/>
                <w:lang w:bidi="ar-SA"/>
              </w:rPr>
              <w:t>0.4</w:t>
            </w:r>
          </w:p>
        </w:tc>
      </w:tr>
      <w:tr w:rsidR="001013EC" w:rsidRPr="005911E2" w:rsidTr="001013EC">
        <w:trPr>
          <w:jc w:val="right"/>
        </w:trPr>
        <w:tc>
          <w:tcPr>
            <w:tcW w:w="1207" w:type="pct"/>
          </w:tcPr>
          <w:p w:rsidR="001013EC" w:rsidRPr="005911E2" w:rsidRDefault="001013EC" w:rsidP="001013EC">
            <w:pPr>
              <w:pStyle w:val="TableText"/>
              <w:rPr>
                <w:szCs w:val="18"/>
              </w:rPr>
            </w:pPr>
            <w:r w:rsidRPr="005911E2">
              <w:rPr>
                <w:szCs w:val="18"/>
                <w:lang w:bidi="ar-SA"/>
              </w:rPr>
              <w:t>School nutrition</w:t>
            </w:r>
          </w:p>
        </w:tc>
        <w:tc>
          <w:tcPr>
            <w:tcW w:w="761" w:type="pct"/>
          </w:tcPr>
          <w:p w:rsidR="001013EC" w:rsidRPr="005911E2" w:rsidRDefault="001013EC" w:rsidP="001013EC">
            <w:pPr>
              <w:pStyle w:val="TableText"/>
              <w:jc w:val="right"/>
              <w:rPr>
                <w:szCs w:val="18"/>
                <w:lang w:bidi="ar-SA"/>
              </w:rPr>
            </w:pPr>
            <w:r w:rsidRPr="005911E2">
              <w:rPr>
                <w:szCs w:val="18"/>
                <w:lang w:bidi="ar-SA"/>
              </w:rPr>
              <w:t>0.1</w:t>
            </w:r>
          </w:p>
        </w:tc>
        <w:tc>
          <w:tcPr>
            <w:tcW w:w="753" w:type="pct"/>
          </w:tcPr>
          <w:p w:rsidR="001013EC" w:rsidRPr="005911E2" w:rsidRDefault="001013EC" w:rsidP="001013EC">
            <w:pPr>
              <w:pStyle w:val="TableText"/>
              <w:jc w:val="right"/>
              <w:rPr>
                <w:szCs w:val="18"/>
                <w:lang w:bidi="ar-SA"/>
              </w:rPr>
            </w:pPr>
            <w:r w:rsidRPr="005911E2">
              <w:rPr>
                <w:szCs w:val="18"/>
                <w:lang w:bidi="ar-SA"/>
              </w:rPr>
              <w:t>7.2</w:t>
            </w:r>
          </w:p>
        </w:tc>
        <w:tc>
          <w:tcPr>
            <w:tcW w:w="811" w:type="pct"/>
          </w:tcPr>
          <w:p w:rsidR="001013EC" w:rsidRPr="005911E2" w:rsidRDefault="001013EC" w:rsidP="001013EC">
            <w:pPr>
              <w:pStyle w:val="TableText"/>
              <w:jc w:val="right"/>
              <w:rPr>
                <w:szCs w:val="18"/>
                <w:lang w:bidi="ar-SA"/>
              </w:rPr>
            </w:pPr>
            <w:r w:rsidRPr="005911E2">
              <w:rPr>
                <w:szCs w:val="18"/>
                <w:lang w:bidi="ar-SA"/>
              </w:rPr>
              <w:t>9.8</w:t>
            </w:r>
          </w:p>
        </w:tc>
        <w:tc>
          <w:tcPr>
            <w:tcW w:w="769" w:type="pct"/>
          </w:tcPr>
          <w:p w:rsidR="001013EC" w:rsidRPr="005911E2" w:rsidRDefault="001013EC" w:rsidP="001013EC">
            <w:pPr>
              <w:pStyle w:val="TableText"/>
              <w:jc w:val="right"/>
              <w:rPr>
                <w:szCs w:val="18"/>
                <w:lang w:bidi="ar-SA"/>
              </w:rPr>
            </w:pPr>
            <w:r w:rsidRPr="005911E2">
              <w:rPr>
                <w:szCs w:val="18"/>
                <w:lang w:bidi="ar-SA"/>
              </w:rPr>
              <w:t>0.1</w:t>
            </w:r>
          </w:p>
        </w:tc>
        <w:tc>
          <w:tcPr>
            <w:tcW w:w="699" w:type="pct"/>
          </w:tcPr>
          <w:p w:rsidR="001013EC" w:rsidRPr="005911E2" w:rsidRDefault="001013EC" w:rsidP="001013EC">
            <w:pPr>
              <w:pStyle w:val="TableText"/>
              <w:jc w:val="right"/>
              <w:rPr>
                <w:szCs w:val="18"/>
                <w:lang w:bidi="ar-SA"/>
              </w:rPr>
            </w:pPr>
            <w:r w:rsidRPr="005911E2">
              <w:rPr>
                <w:szCs w:val="18"/>
                <w:lang w:bidi="ar-SA"/>
              </w:rPr>
              <w:t>1.4</w:t>
            </w:r>
          </w:p>
        </w:tc>
      </w:tr>
      <w:tr w:rsidR="001013EC" w:rsidRPr="005911E2" w:rsidTr="001013EC">
        <w:trPr>
          <w:jc w:val="right"/>
        </w:trPr>
        <w:tc>
          <w:tcPr>
            <w:tcW w:w="1207" w:type="pct"/>
          </w:tcPr>
          <w:p w:rsidR="001013EC" w:rsidRPr="005911E2" w:rsidRDefault="001013EC" w:rsidP="001013EC">
            <w:pPr>
              <w:pStyle w:val="TableText"/>
              <w:rPr>
                <w:szCs w:val="18"/>
              </w:rPr>
            </w:pPr>
            <w:r w:rsidRPr="005911E2">
              <w:rPr>
                <w:szCs w:val="18"/>
                <w:lang w:bidi="ar-SA"/>
              </w:rPr>
              <w:t>BasicsCard</w:t>
            </w:r>
          </w:p>
        </w:tc>
        <w:tc>
          <w:tcPr>
            <w:tcW w:w="761" w:type="pct"/>
          </w:tcPr>
          <w:p w:rsidR="001013EC" w:rsidRPr="005911E2" w:rsidRDefault="001013EC" w:rsidP="001013EC">
            <w:pPr>
              <w:pStyle w:val="TableText"/>
              <w:jc w:val="right"/>
              <w:rPr>
                <w:szCs w:val="18"/>
                <w:lang w:bidi="ar-SA"/>
              </w:rPr>
            </w:pPr>
            <w:r w:rsidRPr="005911E2">
              <w:rPr>
                <w:szCs w:val="18"/>
                <w:lang w:bidi="ar-SA"/>
              </w:rPr>
              <w:t>72.3</w:t>
            </w:r>
          </w:p>
        </w:tc>
        <w:tc>
          <w:tcPr>
            <w:tcW w:w="753" w:type="pct"/>
          </w:tcPr>
          <w:p w:rsidR="001013EC" w:rsidRPr="005911E2" w:rsidRDefault="001013EC" w:rsidP="001013EC">
            <w:pPr>
              <w:pStyle w:val="TableText"/>
              <w:jc w:val="right"/>
              <w:rPr>
                <w:szCs w:val="18"/>
                <w:lang w:bidi="ar-SA"/>
              </w:rPr>
            </w:pPr>
            <w:r w:rsidRPr="005911E2">
              <w:rPr>
                <w:szCs w:val="18"/>
                <w:lang w:bidi="ar-SA"/>
              </w:rPr>
              <w:t>70.4</w:t>
            </w:r>
          </w:p>
        </w:tc>
        <w:tc>
          <w:tcPr>
            <w:tcW w:w="811" w:type="pct"/>
          </w:tcPr>
          <w:p w:rsidR="001013EC" w:rsidRPr="005911E2" w:rsidRDefault="001013EC" w:rsidP="001013EC">
            <w:pPr>
              <w:pStyle w:val="TableText"/>
              <w:jc w:val="right"/>
              <w:rPr>
                <w:szCs w:val="18"/>
                <w:lang w:bidi="ar-SA"/>
              </w:rPr>
            </w:pPr>
            <w:r w:rsidRPr="005911E2">
              <w:rPr>
                <w:szCs w:val="18"/>
                <w:lang w:bidi="ar-SA"/>
              </w:rPr>
              <w:t>69.5</w:t>
            </w:r>
          </w:p>
        </w:tc>
        <w:tc>
          <w:tcPr>
            <w:tcW w:w="769" w:type="pct"/>
          </w:tcPr>
          <w:p w:rsidR="001013EC" w:rsidRPr="005911E2" w:rsidRDefault="001013EC" w:rsidP="001013EC">
            <w:pPr>
              <w:pStyle w:val="TableText"/>
              <w:jc w:val="right"/>
              <w:rPr>
                <w:szCs w:val="18"/>
                <w:lang w:bidi="ar-SA"/>
              </w:rPr>
            </w:pPr>
            <w:r w:rsidRPr="005911E2">
              <w:rPr>
                <w:szCs w:val="18"/>
                <w:lang w:bidi="ar-SA"/>
              </w:rPr>
              <w:t>71.2</w:t>
            </w:r>
          </w:p>
        </w:tc>
        <w:tc>
          <w:tcPr>
            <w:tcW w:w="699" w:type="pct"/>
          </w:tcPr>
          <w:p w:rsidR="001013EC" w:rsidRPr="005911E2" w:rsidRDefault="001013EC" w:rsidP="001013EC">
            <w:pPr>
              <w:pStyle w:val="TableText"/>
              <w:jc w:val="right"/>
              <w:rPr>
                <w:szCs w:val="18"/>
                <w:lang w:bidi="ar-SA"/>
              </w:rPr>
            </w:pPr>
            <w:r w:rsidRPr="005911E2">
              <w:rPr>
                <w:szCs w:val="18"/>
                <w:lang w:bidi="ar-SA"/>
              </w:rPr>
              <w:t>71.6</w:t>
            </w:r>
          </w:p>
        </w:tc>
      </w:tr>
      <w:tr w:rsidR="001013EC" w:rsidRPr="005911E2" w:rsidTr="001013EC">
        <w:trPr>
          <w:jc w:val="right"/>
        </w:trPr>
        <w:tc>
          <w:tcPr>
            <w:tcW w:w="1207" w:type="pct"/>
          </w:tcPr>
          <w:p w:rsidR="001013EC" w:rsidRPr="005911E2" w:rsidRDefault="001013EC" w:rsidP="001013EC">
            <w:pPr>
              <w:pStyle w:val="TableText"/>
              <w:rPr>
                <w:szCs w:val="18"/>
              </w:rPr>
            </w:pPr>
            <w:r w:rsidRPr="005911E2">
              <w:rPr>
                <w:szCs w:val="18"/>
                <w:lang w:bidi="ar-SA"/>
              </w:rPr>
              <w:t>Other</w:t>
            </w:r>
          </w:p>
        </w:tc>
        <w:tc>
          <w:tcPr>
            <w:tcW w:w="761" w:type="pct"/>
          </w:tcPr>
          <w:p w:rsidR="001013EC" w:rsidRPr="005911E2" w:rsidRDefault="001013EC" w:rsidP="001013EC">
            <w:pPr>
              <w:pStyle w:val="TableText"/>
              <w:jc w:val="right"/>
              <w:rPr>
                <w:szCs w:val="18"/>
                <w:lang w:bidi="ar-SA"/>
              </w:rPr>
            </w:pPr>
            <w:r w:rsidRPr="005911E2">
              <w:rPr>
                <w:szCs w:val="18"/>
                <w:lang w:bidi="ar-SA"/>
              </w:rPr>
              <w:t>16.4</w:t>
            </w:r>
          </w:p>
        </w:tc>
        <w:tc>
          <w:tcPr>
            <w:tcW w:w="753" w:type="pct"/>
          </w:tcPr>
          <w:p w:rsidR="001013EC" w:rsidRPr="005911E2" w:rsidRDefault="001013EC" w:rsidP="001013EC">
            <w:pPr>
              <w:pStyle w:val="TableText"/>
              <w:jc w:val="right"/>
              <w:rPr>
                <w:szCs w:val="18"/>
                <w:lang w:bidi="ar-SA"/>
              </w:rPr>
            </w:pPr>
            <w:r w:rsidRPr="005911E2">
              <w:rPr>
                <w:szCs w:val="18"/>
                <w:lang w:bidi="ar-SA"/>
              </w:rPr>
              <w:t>13.1</w:t>
            </w:r>
          </w:p>
        </w:tc>
        <w:tc>
          <w:tcPr>
            <w:tcW w:w="811" w:type="pct"/>
          </w:tcPr>
          <w:p w:rsidR="001013EC" w:rsidRPr="005911E2" w:rsidRDefault="001013EC" w:rsidP="001013EC">
            <w:pPr>
              <w:pStyle w:val="TableText"/>
              <w:jc w:val="right"/>
              <w:rPr>
                <w:szCs w:val="18"/>
                <w:lang w:bidi="ar-SA"/>
              </w:rPr>
            </w:pPr>
            <w:r w:rsidRPr="005911E2">
              <w:rPr>
                <w:szCs w:val="18"/>
                <w:lang w:bidi="ar-SA"/>
              </w:rPr>
              <w:t>10.6</w:t>
            </w:r>
          </w:p>
        </w:tc>
        <w:tc>
          <w:tcPr>
            <w:tcW w:w="769" w:type="pct"/>
          </w:tcPr>
          <w:p w:rsidR="001013EC" w:rsidRPr="005911E2" w:rsidRDefault="001013EC" w:rsidP="001013EC">
            <w:pPr>
              <w:pStyle w:val="TableText"/>
              <w:jc w:val="right"/>
              <w:rPr>
                <w:szCs w:val="18"/>
                <w:lang w:bidi="ar-SA"/>
              </w:rPr>
            </w:pPr>
            <w:r w:rsidRPr="005911E2">
              <w:rPr>
                <w:szCs w:val="18"/>
                <w:lang w:bidi="ar-SA"/>
              </w:rPr>
              <w:t>14.4</w:t>
            </w:r>
          </w:p>
        </w:tc>
        <w:tc>
          <w:tcPr>
            <w:tcW w:w="699" w:type="pct"/>
          </w:tcPr>
          <w:p w:rsidR="001013EC" w:rsidRPr="005911E2" w:rsidRDefault="001013EC" w:rsidP="001013EC">
            <w:pPr>
              <w:pStyle w:val="TableText"/>
              <w:jc w:val="right"/>
              <w:rPr>
                <w:szCs w:val="18"/>
                <w:lang w:bidi="ar-SA"/>
              </w:rPr>
            </w:pPr>
            <w:r w:rsidRPr="005911E2">
              <w:rPr>
                <w:szCs w:val="18"/>
                <w:lang w:bidi="ar-SA"/>
              </w:rPr>
              <w:t>15.2</w:t>
            </w:r>
          </w:p>
        </w:tc>
      </w:tr>
      <w:tr w:rsidR="001013EC" w:rsidRPr="005911E2" w:rsidTr="001013EC">
        <w:trPr>
          <w:jc w:val="right"/>
        </w:trPr>
        <w:tc>
          <w:tcPr>
            <w:tcW w:w="1207" w:type="pct"/>
            <w:tcBorders>
              <w:bottom w:val="single" w:sz="4" w:space="0" w:color="000000"/>
            </w:tcBorders>
          </w:tcPr>
          <w:p w:rsidR="001013EC" w:rsidRPr="005911E2" w:rsidRDefault="001013EC" w:rsidP="001013EC">
            <w:pPr>
              <w:pStyle w:val="TableText"/>
              <w:rPr>
                <w:szCs w:val="18"/>
              </w:rPr>
            </w:pPr>
            <w:r w:rsidRPr="005911E2">
              <w:rPr>
                <w:szCs w:val="18"/>
                <w:lang w:bidi="ar-SA"/>
              </w:rPr>
              <w:t>Total</w:t>
            </w:r>
          </w:p>
        </w:tc>
        <w:tc>
          <w:tcPr>
            <w:tcW w:w="761" w:type="pct"/>
            <w:tcBorders>
              <w:bottom w:val="single" w:sz="4" w:space="0" w:color="000000"/>
            </w:tcBorders>
            <w:vAlign w:val="bottom"/>
          </w:tcPr>
          <w:p w:rsidR="001013EC" w:rsidRPr="005911E2" w:rsidRDefault="001013EC" w:rsidP="001013EC">
            <w:pPr>
              <w:pStyle w:val="TableText"/>
              <w:jc w:val="right"/>
              <w:rPr>
                <w:szCs w:val="18"/>
                <w:lang w:bidi="ar-SA"/>
              </w:rPr>
            </w:pPr>
            <w:r w:rsidRPr="005911E2">
              <w:rPr>
                <w:szCs w:val="18"/>
                <w:lang w:bidi="ar-SA"/>
              </w:rPr>
              <w:t>100.0</w:t>
            </w:r>
          </w:p>
        </w:tc>
        <w:tc>
          <w:tcPr>
            <w:tcW w:w="753" w:type="pct"/>
            <w:tcBorders>
              <w:bottom w:val="single" w:sz="4" w:space="0" w:color="000000"/>
            </w:tcBorders>
            <w:vAlign w:val="bottom"/>
          </w:tcPr>
          <w:p w:rsidR="001013EC" w:rsidRPr="005911E2" w:rsidRDefault="001013EC" w:rsidP="001013EC">
            <w:pPr>
              <w:pStyle w:val="TableText"/>
              <w:jc w:val="right"/>
              <w:rPr>
                <w:szCs w:val="18"/>
                <w:lang w:bidi="ar-SA"/>
              </w:rPr>
            </w:pPr>
            <w:r w:rsidRPr="005911E2">
              <w:rPr>
                <w:szCs w:val="18"/>
                <w:lang w:bidi="ar-SA"/>
              </w:rPr>
              <w:t>100.0</w:t>
            </w:r>
          </w:p>
        </w:tc>
        <w:tc>
          <w:tcPr>
            <w:tcW w:w="811" w:type="pct"/>
            <w:tcBorders>
              <w:bottom w:val="single" w:sz="4" w:space="0" w:color="000000"/>
            </w:tcBorders>
            <w:vAlign w:val="bottom"/>
          </w:tcPr>
          <w:p w:rsidR="001013EC" w:rsidRPr="005911E2" w:rsidRDefault="001013EC" w:rsidP="001013EC">
            <w:pPr>
              <w:pStyle w:val="TableText"/>
              <w:jc w:val="right"/>
              <w:rPr>
                <w:szCs w:val="18"/>
                <w:lang w:bidi="ar-SA"/>
              </w:rPr>
            </w:pPr>
            <w:r w:rsidRPr="005911E2">
              <w:rPr>
                <w:szCs w:val="18"/>
                <w:lang w:bidi="ar-SA"/>
              </w:rPr>
              <w:t>100.0</w:t>
            </w:r>
          </w:p>
        </w:tc>
        <w:tc>
          <w:tcPr>
            <w:tcW w:w="769" w:type="pct"/>
            <w:tcBorders>
              <w:bottom w:val="single" w:sz="4" w:space="0" w:color="000000"/>
            </w:tcBorders>
            <w:vAlign w:val="bottom"/>
          </w:tcPr>
          <w:p w:rsidR="001013EC" w:rsidRPr="005911E2" w:rsidRDefault="001013EC" w:rsidP="001013EC">
            <w:pPr>
              <w:pStyle w:val="TableText"/>
              <w:jc w:val="right"/>
              <w:rPr>
                <w:szCs w:val="18"/>
                <w:lang w:bidi="ar-SA"/>
              </w:rPr>
            </w:pPr>
            <w:r w:rsidRPr="005911E2">
              <w:rPr>
                <w:szCs w:val="18"/>
                <w:lang w:bidi="ar-SA"/>
              </w:rPr>
              <w:t>100.0</w:t>
            </w:r>
          </w:p>
        </w:tc>
        <w:tc>
          <w:tcPr>
            <w:tcW w:w="699" w:type="pct"/>
            <w:tcBorders>
              <w:bottom w:val="single" w:sz="4" w:space="0" w:color="000000"/>
            </w:tcBorders>
            <w:vAlign w:val="bottom"/>
          </w:tcPr>
          <w:p w:rsidR="001013EC" w:rsidRPr="005911E2" w:rsidRDefault="001013EC" w:rsidP="001013EC">
            <w:pPr>
              <w:pStyle w:val="TableText"/>
              <w:jc w:val="right"/>
              <w:rPr>
                <w:szCs w:val="18"/>
                <w:lang w:bidi="ar-SA"/>
              </w:rPr>
            </w:pPr>
            <w:r w:rsidRPr="005911E2">
              <w:rPr>
                <w:szCs w:val="18"/>
                <w:lang w:bidi="ar-SA"/>
              </w:rPr>
              <w:t>100.0</w:t>
            </w:r>
          </w:p>
        </w:tc>
      </w:tr>
      <w:tr w:rsidR="001013EC" w:rsidRPr="005911E2" w:rsidTr="001013EC">
        <w:trPr>
          <w:jc w:val="right"/>
        </w:trPr>
        <w:tc>
          <w:tcPr>
            <w:tcW w:w="1207" w:type="pct"/>
            <w:tcBorders>
              <w:top w:val="single" w:sz="4" w:space="0" w:color="000000"/>
            </w:tcBorders>
            <w:vAlign w:val="center"/>
          </w:tcPr>
          <w:p w:rsidR="001013EC" w:rsidRPr="005911E2" w:rsidRDefault="001013EC" w:rsidP="001013EC">
            <w:pPr>
              <w:pStyle w:val="TableText"/>
              <w:rPr>
                <w:szCs w:val="18"/>
                <w:lang w:bidi="ar-SA"/>
              </w:rPr>
            </w:pPr>
          </w:p>
        </w:tc>
        <w:tc>
          <w:tcPr>
            <w:tcW w:w="3793" w:type="pct"/>
            <w:gridSpan w:val="5"/>
            <w:tcBorders>
              <w:top w:val="single" w:sz="4" w:space="0" w:color="000000"/>
            </w:tcBorders>
          </w:tcPr>
          <w:p w:rsidR="001013EC" w:rsidRPr="005911E2" w:rsidRDefault="001013EC" w:rsidP="001013EC">
            <w:pPr>
              <w:pStyle w:val="TableText"/>
              <w:jc w:val="center"/>
              <w:rPr>
                <w:szCs w:val="18"/>
                <w:lang w:bidi="ar-SA"/>
              </w:rPr>
            </w:pPr>
            <w:r w:rsidRPr="005911E2">
              <w:rPr>
                <w:szCs w:val="18"/>
                <w:lang w:bidi="ar-SA"/>
              </w:rPr>
              <w:t>IM allocation ($ per fortnight)</w:t>
            </w:r>
          </w:p>
        </w:tc>
      </w:tr>
      <w:tr w:rsidR="001013EC" w:rsidRPr="005911E2" w:rsidTr="001013EC">
        <w:trPr>
          <w:jc w:val="right"/>
        </w:trPr>
        <w:tc>
          <w:tcPr>
            <w:tcW w:w="1207" w:type="pct"/>
            <w:vAlign w:val="center"/>
          </w:tcPr>
          <w:p w:rsidR="001013EC" w:rsidRPr="005911E2" w:rsidRDefault="001013EC" w:rsidP="001013EC">
            <w:pPr>
              <w:pStyle w:val="TableText"/>
              <w:rPr>
                <w:szCs w:val="18"/>
                <w:lang w:bidi="ar-SA"/>
              </w:rPr>
            </w:pPr>
            <w:r w:rsidRPr="005911E2">
              <w:rPr>
                <w:szCs w:val="18"/>
                <w:lang w:bidi="ar-SA"/>
              </w:rPr>
              <w:t>Mean ($)</w:t>
            </w:r>
          </w:p>
        </w:tc>
        <w:tc>
          <w:tcPr>
            <w:tcW w:w="761" w:type="pct"/>
          </w:tcPr>
          <w:p w:rsidR="001013EC" w:rsidRPr="005911E2" w:rsidRDefault="001013EC" w:rsidP="001013EC">
            <w:pPr>
              <w:pStyle w:val="TableText"/>
              <w:jc w:val="right"/>
              <w:rPr>
                <w:szCs w:val="18"/>
                <w:lang w:bidi="ar-SA"/>
              </w:rPr>
            </w:pPr>
            <w:r w:rsidRPr="005911E2">
              <w:rPr>
                <w:szCs w:val="18"/>
                <w:lang w:bidi="ar-SA"/>
              </w:rPr>
              <w:t>400</w:t>
            </w:r>
          </w:p>
        </w:tc>
        <w:tc>
          <w:tcPr>
            <w:tcW w:w="753" w:type="pct"/>
          </w:tcPr>
          <w:p w:rsidR="001013EC" w:rsidRPr="005911E2" w:rsidRDefault="001013EC" w:rsidP="001013EC">
            <w:pPr>
              <w:pStyle w:val="TableText"/>
              <w:jc w:val="right"/>
              <w:rPr>
                <w:szCs w:val="18"/>
                <w:lang w:bidi="ar-SA"/>
              </w:rPr>
            </w:pPr>
            <w:r w:rsidRPr="005911E2">
              <w:rPr>
                <w:szCs w:val="18"/>
                <w:lang w:bidi="ar-SA"/>
              </w:rPr>
              <w:t>640</w:t>
            </w:r>
          </w:p>
        </w:tc>
        <w:tc>
          <w:tcPr>
            <w:tcW w:w="811" w:type="pct"/>
          </w:tcPr>
          <w:p w:rsidR="001013EC" w:rsidRPr="005911E2" w:rsidRDefault="001013EC" w:rsidP="001013EC">
            <w:pPr>
              <w:pStyle w:val="TableText"/>
              <w:jc w:val="right"/>
              <w:rPr>
                <w:szCs w:val="18"/>
                <w:lang w:bidi="ar-SA"/>
              </w:rPr>
            </w:pPr>
            <w:r w:rsidRPr="005911E2">
              <w:rPr>
                <w:szCs w:val="18"/>
                <w:lang w:bidi="ar-SA"/>
              </w:rPr>
              <w:t>635</w:t>
            </w:r>
          </w:p>
        </w:tc>
        <w:tc>
          <w:tcPr>
            <w:tcW w:w="769" w:type="pct"/>
          </w:tcPr>
          <w:p w:rsidR="001013EC" w:rsidRPr="005911E2" w:rsidRDefault="001013EC" w:rsidP="001013EC">
            <w:pPr>
              <w:pStyle w:val="TableText"/>
              <w:jc w:val="right"/>
              <w:rPr>
                <w:szCs w:val="18"/>
                <w:lang w:bidi="ar-SA"/>
              </w:rPr>
            </w:pPr>
            <w:r w:rsidRPr="005911E2">
              <w:rPr>
                <w:szCs w:val="18"/>
                <w:lang w:bidi="ar-SA"/>
              </w:rPr>
              <w:t>328</w:t>
            </w:r>
          </w:p>
        </w:tc>
        <w:tc>
          <w:tcPr>
            <w:tcW w:w="699" w:type="pct"/>
          </w:tcPr>
          <w:p w:rsidR="001013EC" w:rsidRPr="005911E2" w:rsidRDefault="001013EC" w:rsidP="001013EC">
            <w:pPr>
              <w:pStyle w:val="TableText"/>
              <w:jc w:val="right"/>
              <w:rPr>
                <w:szCs w:val="18"/>
                <w:lang w:bidi="ar-SA"/>
              </w:rPr>
            </w:pPr>
            <w:r w:rsidRPr="005911E2">
              <w:rPr>
                <w:szCs w:val="18"/>
                <w:lang w:bidi="ar-SA"/>
              </w:rPr>
              <w:t>419</w:t>
            </w:r>
          </w:p>
        </w:tc>
      </w:tr>
      <w:tr w:rsidR="001013EC" w:rsidRPr="005911E2" w:rsidTr="001013EC">
        <w:trPr>
          <w:jc w:val="right"/>
        </w:trPr>
        <w:tc>
          <w:tcPr>
            <w:tcW w:w="1207" w:type="pct"/>
            <w:tcBorders>
              <w:bottom w:val="single" w:sz="4" w:space="0" w:color="000000"/>
            </w:tcBorders>
            <w:vAlign w:val="center"/>
          </w:tcPr>
          <w:p w:rsidR="001013EC" w:rsidRPr="005911E2" w:rsidRDefault="001013EC" w:rsidP="001013EC">
            <w:pPr>
              <w:pStyle w:val="TableText"/>
              <w:rPr>
                <w:szCs w:val="18"/>
                <w:lang w:bidi="ar-SA"/>
              </w:rPr>
            </w:pPr>
            <w:r w:rsidRPr="005911E2">
              <w:rPr>
                <w:szCs w:val="18"/>
                <w:lang w:bidi="ar-SA"/>
              </w:rPr>
              <w:t>Median ($)</w:t>
            </w:r>
          </w:p>
        </w:tc>
        <w:tc>
          <w:tcPr>
            <w:tcW w:w="761" w:type="pct"/>
            <w:tcBorders>
              <w:bottom w:val="single" w:sz="4" w:space="0" w:color="000000"/>
            </w:tcBorders>
          </w:tcPr>
          <w:p w:rsidR="001013EC" w:rsidRPr="005911E2" w:rsidRDefault="001013EC" w:rsidP="001013EC">
            <w:pPr>
              <w:pStyle w:val="TableText"/>
              <w:jc w:val="right"/>
              <w:rPr>
                <w:szCs w:val="18"/>
                <w:lang w:bidi="ar-SA"/>
              </w:rPr>
            </w:pPr>
            <w:r w:rsidRPr="005911E2">
              <w:rPr>
                <w:szCs w:val="18"/>
                <w:lang w:bidi="ar-SA"/>
              </w:rPr>
              <w:t>355</w:t>
            </w:r>
          </w:p>
        </w:tc>
        <w:tc>
          <w:tcPr>
            <w:tcW w:w="753" w:type="pct"/>
            <w:tcBorders>
              <w:bottom w:val="single" w:sz="4" w:space="0" w:color="000000"/>
            </w:tcBorders>
          </w:tcPr>
          <w:p w:rsidR="001013EC" w:rsidRPr="005911E2" w:rsidRDefault="001013EC" w:rsidP="001013EC">
            <w:pPr>
              <w:pStyle w:val="TableText"/>
              <w:jc w:val="right"/>
              <w:rPr>
                <w:szCs w:val="18"/>
                <w:lang w:bidi="ar-SA"/>
              </w:rPr>
            </w:pPr>
            <w:r w:rsidRPr="005911E2">
              <w:rPr>
                <w:szCs w:val="18"/>
                <w:lang w:bidi="ar-SA"/>
              </w:rPr>
              <w:t>550</w:t>
            </w:r>
          </w:p>
        </w:tc>
        <w:tc>
          <w:tcPr>
            <w:tcW w:w="811" w:type="pct"/>
            <w:tcBorders>
              <w:bottom w:val="single" w:sz="4" w:space="0" w:color="000000"/>
            </w:tcBorders>
          </w:tcPr>
          <w:p w:rsidR="001013EC" w:rsidRPr="005911E2" w:rsidRDefault="001013EC" w:rsidP="001013EC">
            <w:pPr>
              <w:pStyle w:val="TableText"/>
              <w:jc w:val="right"/>
              <w:rPr>
                <w:szCs w:val="18"/>
                <w:lang w:bidi="ar-SA"/>
              </w:rPr>
            </w:pPr>
            <w:r w:rsidRPr="005911E2">
              <w:rPr>
                <w:szCs w:val="18"/>
                <w:lang w:bidi="ar-SA"/>
              </w:rPr>
              <w:t>435</w:t>
            </w:r>
          </w:p>
        </w:tc>
        <w:tc>
          <w:tcPr>
            <w:tcW w:w="769" w:type="pct"/>
            <w:tcBorders>
              <w:bottom w:val="single" w:sz="4" w:space="0" w:color="000000"/>
            </w:tcBorders>
          </w:tcPr>
          <w:p w:rsidR="001013EC" w:rsidRPr="005911E2" w:rsidRDefault="001013EC" w:rsidP="001013EC">
            <w:pPr>
              <w:pStyle w:val="TableText"/>
              <w:jc w:val="right"/>
              <w:rPr>
                <w:szCs w:val="18"/>
                <w:lang w:bidi="ar-SA"/>
              </w:rPr>
            </w:pPr>
            <w:r w:rsidRPr="005911E2">
              <w:rPr>
                <w:szCs w:val="18"/>
                <w:lang w:bidi="ar-SA"/>
              </w:rPr>
              <w:t>268</w:t>
            </w:r>
          </w:p>
        </w:tc>
        <w:tc>
          <w:tcPr>
            <w:tcW w:w="699" w:type="pct"/>
            <w:tcBorders>
              <w:bottom w:val="single" w:sz="4" w:space="0" w:color="000000"/>
            </w:tcBorders>
          </w:tcPr>
          <w:p w:rsidR="001013EC" w:rsidRPr="005911E2" w:rsidRDefault="001013EC" w:rsidP="001013EC">
            <w:pPr>
              <w:pStyle w:val="TableText"/>
              <w:jc w:val="right"/>
              <w:rPr>
                <w:szCs w:val="18"/>
                <w:lang w:bidi="ar-SA"/>
              </w:rPr>
            </w:pPr>
            <w:r w:rsidRPr="005911E2">
              <w:rPr>
                <w:szCs w:val="18"/>
                <w:lang w:bidi="ar-SA"/>
              </w:rPr>
              <w:t>350</w:t>
            </w:r>
          </w:p>
        </w:tc>
      </w:tr>
    </w:tbl>
    <w:p w:rsidR="001013EC" w:rsidRDefault="001013EC" w:rsidP="00943DCB">
      <w:pPr>
        <w:pStyle w:val="tablefootnoteslastline"/>
      </w:pPr>
      <w:r w:rsidRPr="005911E2">
        <w:t xml:space="preserve">Source: </w:t>
      </w:r>
      <w:r w:rsidR="00FF7CC4">
        <w:tab/>
      </w:r>
      <w:r w:rsidRPr="005911E2">
        <w:t xml:space="preserve">Derived from Centrelink fortnightly expenses report, </w:t>
      </w:r>
      <w:r w:rsidR="00F878E4">
        <w:t>income management</w:t>
      </w:r>
      <w:r w:rsidRPr="005911E2">
        <w:t xml:space="preserve"> person and </w:t>
      </w:r>
      <w:r w:rsidR="00C31C13">
        <w:t>i</w:t>
      </w:r>
      <w:r w:rsidRPr="005911E2">
        <w:t xml:space="preserve">ncome </w:t>
      </w:r>
      <w:r w:rsidR="00C31C13">
        <w:t>s</w:t>
      </w:r>
      <w:r w:rsidRPr="005911E2">
        <w:t>upport payments files for fortnight ending 28 October 2011</w:t>
      </w:r>
      <w:r w:rsidR="00943DCB">
        <w:t>.</w:t>
      </w:r>
    </w:p>
    <w:p w:rsidR="00943DCB" w:rsidRPr="005911E2" w:rsidRDefault="00943DCB" w:rsidP="00943DCB">
      <w:pPr>
        <w:pStyle w:val="tablefootnoteslastline"/>
      </w:pPr>
    </w:p>
    <w:p w:rsidR="00943DCB" w:rsidRPr="005911E2" w:rsidRDefault="00943DCB" w:rsidP="00943DCB">
      <w:pPr>
        <w:pStyle w:val="BodyText"/>
        <w:rPr>
          <w:lang w:eastAsia="en-US"/>
        </w:rPr>
      </w:pPr>
      <w:r w:rsidRPr="005911E2">
        <w:t xml:space="preserve">Table </w:t>
      </w:r>
      <w:r w:rsidRPr="005911E2">
        <w:rPr>
          <w:noProof/>
        </w:rPr>
        <w:t>5</w:t>
      </w:r>
      <w:r w:rsidRPr="005911E2">
        <w:noBreakHyphen/>
      </w:r>
      <w:r w:rsidRPr="005911E2">
        <w:rPr>
          <w:noProof/>
        </w:rPr>
        <w:t>6</w:t>
      </w:r>
      <w:r w:rsidRPr="005911E2">
        <w:rPr>
          <w:lang w:eastAsia="en-US"/>
        </w:rPr>
        <w:t xml:space="preserve"> illustrates the pattern of allocation of funds by family type. Most marked in this table is the high allocation (82 per cent) of funds to the </w:t>
      </w:r>
      <w:r w:rsidRPr="005911E2">
        <w:rPr>
          <w:lang w:eastAsia="en-US"/>
        </w:rPr>
        <w:lastRenderedPageBreak/>
        <w:t xml:space="preserve">BasicsCard by single people on compulsory streams of </w:t>
      </w:r>
      <w:r>
        <w:rPr>
          <w:lang w:eastAsia="en-US"/>
        </w:rPr>
        <w:t>income management</w:t>
      </w:r>
      <w:r w:rsidRPr="005911E2">
        <w:rPr>
          <w:lang w:eastAsia="en-US"/>
        </w:rPr>
        <w:t>. This group also has a low share of expenditure on housing. As would be anticipated from the earlier tables, and the high proportion of the group who are Indigenous and live in remote locations, couples with children have the highest allocation to the School Nutrition Program</w:t>
      </w:r>
      <w:r>
        <w:rPr>
          <w:lang w:eastAsia="en-US"/>
        </w:rPr>
        <w:t>,</w:t>
      </w:r>
      <w:r w:rsidRPr="005911E2">
        <w:rPr>
          <w:lang w:eastAsia="en-US"/>
        </w:rPr>
        <w:t xml:space="preserve"> with this holding across </w:t>
      </w:r>
      <w:r>
        <w:rPr>
          <w:lang w:eastAsia="en-US"/>
        </w:rPr>
        <w:t xml:space="preserve">the different </w:t>
      </w:r>
      <w:r w:rsidRPr="005911E2">
        <w:rPr>
          <w:lang w:eastAsia="en-US"/>
        </w:rPr>
        <w:t>streams of NIM.</w:t>
      </w:r>
    </w:p>
    <w:p w:rsidR="001013EC" w:rsidRPr="005911E2" w:rsidRDefault="001013EC" w:rsidP="00616B0F">
      <w:pPr>
        <w:pStyle w:val="Heading2"/>
      </w:pPr>
      <w:bookmarkStart w:id="484" w:name="_Toc321225122"/>
      <w:bookmarkStart w:id="485" w:name="_Toc321761607"/>
      <w:bookmarkStart w:id="486" w:name="_Toc321254465"/>
      <w:bookmarkStart w:id="487" w:name="_Toc328601489"/>
      <w:bookmarkStart w:id="488" w:name="_Toc329870371"/>
      <w:bookmarkStart w:id="489" w:name="_Toc335915757"/>
      <w:r w:rsidRPr="005911E2">
        <w:t>Patterns of expenditure – summary</w:t>
      </w:r>
      <w:bookmarkEnd w:id="484"/>
      <w:bookmarkEnd w:id="485"/>
      <w:bookmarkEnd w:id="486"/>
      <w:bookmarkEnd w:id="487"/>
      <w:bookmarkEnd w:id="488"/>
      <w:bookmarkEnd w:id="489"/>
    </w:p>
    <w:p w:rsidR="001013EC" w:rsidRPr="005911E2" w:rsidRDefault="001013EC" w:rsidP="001013EC">
      <w:pPr>
        <w:pStyle w:val="BodyText"/>
        <w:rPr>
          <w:lang w:eastAsia="en-US"/>
        </w:rPr>
      </w:pPr>
      <w:r w:rsidRPr="005911E2">
        <w:rPr>
          <w:lang w:eastAsia="en-US"/>
        </w:rPr>
        <w:t xml:space="preserve">While some administrative data </w:t>
      </w:r>
      <w:r w:rsidR="00397CDC">
        <w:rPr>
          <w:lang w:eastAsia="en-US"/>
        </w:rPr>
        <w:t>is</w:t>
      </w:r>
      <w:r w:rsidR="00397CDC" w:rsidRPr="005911E2">
        <w:rPr>
          <w:lang w:eastAsia="en-US"/>
        </w:rPr>
        <w:t xml:space="preserve"> </w:t>
      </w:r>
      <w:r w:rsidRPr="005911E2">
        <w:rPr>
          <w:lang w:eastAsia="en-US"/>
        </w:rPr>
        <w:t>available on the pattern of allocation of income managed funds</w:t>
      </w:r>
      <w:r w:rsidR="00C31C13">
        <w:rPr>
          <w:lang w:eastAsia="en-US"/>
        </w:rPr>
        <w:t>,</w:t>
      </w:r>
      <w:r w:rsidRPr="005911E2">
        <w:rPr>
          <w:lang w:eastAsia="en-US"/>
        </w:rPr>
        <w:t xml:space="preserve"> this only gives a limited insight into the actual ways in which this money is spent. In particular</w:t>
      </w:r>
      <w:r w:rsidR="00C31C13">
        <w:rPr>
          <w:lang w:eastAsia="en-US"/>
        </w:rPr>
        <w:t>,</w:t>
      </w:r>
      <w:r w:rsidRPr="005911E2">
        <w:rPr>
          <w:lang w:eastAsia="en-US"/>
        </w:rPr>
        <w:t xml:space="preserve"> while the program seeks to ensure that the money is spent on essential items </w:t>
      </w:r>
      <w:r w:rsidR="00397CDC">
        <w:rPr>
          <w:lang w:eastAsia="en-US"/>
        </w:rPr>
        <w:t>the</w:t>
      </w:r>
      <w:r w:rsidR="00397CDC" w:rsidRPr="005911E2">
        <w:rPr>
          <w:lang w:eastAsia="en-US"/>
        </w:rPr>
        <w:t xml:space="preserve"> </w:t>
      </w:r>
      <w:r w:rsidRPr="005911E2">
        <w:rPr>
          <w:lang w:eastAsia="en-US"/>
        </w:rPr>
        <w:t xml:space="preserve">data </w:t>
      </w:r>
      <w:r w:rsidR="00397CDC">
        <w:rPr>
          <w:lang w:eastAsia="en-US"/>
        </w:rPr>
        <w:t xml:space="preserve">primarily reflects the characteristics of the merchant or service to which the funds are paid, rather than tracking actual </w:t>
      </w:r>
      <w:r w:rsidRPr="005911E2">
        <w:rPr>
          <w:lang w:eastAsia="en-US"/>
        </w:rPr>
        <w:t>spending at the commodity level.</w:t>
      </w:r>
    </w:p>
    <w:p w:rsidR="001013EC" w:rsidRPr="005911E2" w:rsidRDefault="001013EC" w:rsidP="001013EC">
      <w:pPr>
        <w:pStyle w:val="BodyText"/>
        <w:rPr>
          <w:lang w:eastAsia="en-US"/>
        </w:rPr>
      </w:pPr>
      <w:r w:rsidRPr="005911E2">
        <w:rPr>
          <w:lang w:eastAsia="en-US"/>
        </w:rPr>
        <w:t xml:space="preserve">Overall it is clear that the main way in which </w:t>
      </w:r>
      <w:r w:rsidR="00F878E4">
        <w:rPr>
          <w:lang w:eastAsia="en-US"/>
        </w:rPr>
        <w:t>income management</w:t>
      </w:r>
      <w:r w:rsidRPr="005911E2">
        <w:rPr>
          <w:lang w:eastAsia="en-US"/>
        </w:rPr>
        <w:t xml:space="preserve"> funds are spent is via the BasicsCard</w:t>
      </w:r>
      <w:r w:rsidR="00397CDC">
        <w:rPr>
          <w:lang w:eastAsia="en-US"/>
        </w:rPr>
        <w:t>,</w:t>
      </w:r>
      <w:r w:rsidRPr="005911E2">
        <w:rPr>
          <w:lang w:eastAsia="en-US"/>
        </w:rPr>
        <w:t xml:space="preserve"> with the bulk of this spending taking place in supermarkets and convenience stores. Indeed just over a third of people on </w:t>
      </w:r>
      <w:r w:rsidR="00F878E4">
        <w:rPr>
          <w:lang w:eastAsia="en-US"/>
        </w:rPr>
        <w:t>income management</w:t>
      </w:r>
      <w:r w:rsidRPr="005911E2">
        <w:rPr>
          <w:lang w:eastAsia="en-US"/>
        </w:rPr>
        <w:t xml:space="preserve"> have the complete value of their </w:t>
      </w:r>
      <w:r w:rsidR="00C31C13">
        <w:rPr>
          <w:lang w:eastAsia="en-US"/>
        </w:rPr>
        <w:t>i</w:t>
      </w:r>
      <w:r w:rsidRPr="005911E2">
        <w:rPr>
          <w:lang w:eastAsia="en-US"/>
        </w:rPr>
        <w:t xml:space="preserve">ncome </w:t>
      </w:r>
      <w:r w:rsidR="00C31C13">
        <w:rPr>
          <w:lang w:eastAsia="en-US"/>
        </w:rPr>
        <w:t>m</w:t>
      </w:r>
      <w:r w:rsidRPr="005911E2">
        <w:rPr>
          <w:lang w:eastAsia="en-US"/>
        </w:rPr>
        <w:t>anaged funds allocated to their BasicsCard.</w:t>
      </w:r>
    </w:p>
    <w:p w:rsidR="008861DE" w:rsidRPr="005911E2" w:rsidRDefault="001013EC" w:rsidP="002955BA">
      <w:pPr>
        <w:pStyle w:val="BodyText"/>
        <w:rPr>
          <w:lang w:eastAsia="en-US"/>
        </w:rPr>
      </w:pPr>
      <w:r w:rsidRPr="005911E2">
        <w:rPr>
          <w:lang w:eastAsia="en-US"/>
        </w:rPr>
        <w:t xml:space="preserve">While there are some differences in the pattern of allocations between different population subgroups, and between the streams of </w:t>
      </w:r>
      <w:r w:rsidR="00F878E4">
        <w:rPr>
          <w:lang w:eastAsia="en-US"/>
        </w:rPr>
        <w:t>income management</w:t>
      </w:r>
      <w:r w:rsidRPr="005911E2">
        <w:rPr>
          <w:lang w:eastAsia="en-US"/>
        </w:rPr>
        <w:t xml:space="preserve"> that people are on, these tend to be relatively small. One exception to this is spending on the School Nutrition Program</w:t>
      </w:r>
      <w:r w:rsidR="00C31C13">
        <w:rPr>
          <w:lang w:eastAsia="en-US"/>
        </w:rPr>
        <w:t xml:space="preserve"> which </w:t>
      </w:r>
      <w:r w:rsidRPr="005911E2">
        <w:rPr>
          <w:lang w:eastAsia="en-US"/>
        </w:rPr>
        <w:t>is driven by location and by family type.</w:t>
      </w:r>
    </w:p>
    <w:p w:rsidR="001013EC" w:rsidRDefault="001013EC" w:rsidP="00C0582B">
      <w:pPr>
        <w:pStyle w:val="chapterend"/>
      </w:pPr>
    </w:p>
    <w:p w:rsidR="00C0582B" w:rsidRPr="005911E2" w:rsidRDefault="00C0582B" w:rsidP="00C0582B">
      <w:pPr>
        <w:pStyle w:val="chapterend"/>
        <w:sectPr w:rsidR="00C0582B" w:rsidRPr="005911E2" w:rsidSect="00F357A2">
          <w:pgSz w:w="11906" w:h="16838" w:code="9"/>
          <w:pgMar w:top="1418" w:right="1797" w:bottom="1418" w:left="1230" w:header="567" w:footer="284" w:gutter="0"/>
          <w:cols w:space="708"/>
          <w:docGrid w:linePitch="360"/>
        </w:sectPr>
      </w:pPr>
    </w:p>
    <w:p w:rsidR="009879EC" w:rsidRPr="005911E2" w:rsidRDefault="003F007A" w:rsidP="00BD6DFD">
      <w:pPr>
        <w:pStyle w:val="Heading1"/>
      </w:pPr>
      <w:bookmarkStart w:id="490" w:name="_Toc328601490"/>
      <w:bookmarkStart w:id="491" w:name="_Toc329870372"/>
      <w:bookmarkStart w:id="492" w:name="_Toc335915758"/>
      <w:bookmarkStart w:id="493" w:name="_Toc321225131"/>
      <w:bookmarkStart w:id="494" w:name="_Toc321254474"/>
      <w:r w:rsidRPr="005911E2">
        <w:lastRenderedPageBreak/>
        <w:t xml:space="preserve">The operation of, and views about, the </w:t>
      </w:r>
      <w:r w:rsidR="00A97BF6" w:rsidRPr="005911E2">
        <w:t>BasicsCard</w:t>
      </w:r>
      <w:bookmarkEnd w:id="490"/>
      <w:bookmarkEnd w:id="491"/>
      <w:bookmarkEnd w:id="492"/>
    </w:p>
    <w:p w:rsidR="00BD6DFD" w:rsidRPr="005911E2" w:rsidRDefault="00BD6DFD" w:rsidP="00616B0F">
      <w:pPr>
        <w:pStyle w:val="Heading2"/>
      </w:pPr>
      <w:bookmarkStart w:id="495" w:name="_Toc321225124"/>
      <w:bookmarkStart w:id="496" w:name="_Toc321254467"/>
      <w:bookmarkStart w:id="497" w:name="_Toc328601491"/>
      <w:bookmarkStart w:id="498" w:name="_Toc329870373"/>
      <w:bookmarkStart w:id="499" w:name="_Toc335915759"/>
      <w:bookmarkStart w:id="500" w:name="_Ref320020343"/>
      <w:r w:rsidRPr="005911E2">
        <w:t>Introduction</w:t>
      </w:r>
      <w:bookmarkEnd w:id="495"/>
      <w:bookmarkEnd w:id="496"/>
      <w:bookmarkEnd w:id="497"/>
      <w:bookmarkEnd w:id="498"/>
      <w:bookmarkEnd w:id="499"/>
    </w:p>
    <w:p w:rsidR="00BD6DFD" w:rsidRPr="005911E2" w:rsidRDefault="00BD6DFD" w:rsidP="00BD6DFD">
      <w:pPr>
        <w:rPr>
          <w:lang w:eastAsia="en-AU"/>
        </w:rPr>
      </w:pPr>
      <w:r w:rsidRPr="005911E2">
        <w:rPr>
          <w:lang w:eastAsia="en-AU"/>
        </w:rPr>
        <w:t>A central aspect of the implementation of NIM has been the introduction of the BasicsCard.</w:t>
      </w:r>
      <w:r w:rsidR="00B62B2D">
        <w:rPr>
          <w:lang w:eastAsia="en-AU"/>
        </w:rPr>
        <w:t xml:space="preserve"> </w:t>
      </w:r>
      <w:r w:rsidRPr="005911E2">
        <w:rPr>
          <w:lang w:eastAsia="en-AU"/>
        </w:rPr>
        <w:t>As detailed in Chapter 5</w:t>
      </w:r>
      <w:r w:rsidR="007A0570">
        <w:rPr>
          <w:lang w:eastAsia="en-AU"/>
        </w:rPr>
        <w:t>,</w:t>
      </w:r>
      <w:r w:rsidRPr="005911E2">
        <w:rPr>
          <w:lang w:eastAsia="en-AU"/>
        </w:rPr>
        <w:t xml:space="preserve"> a high proportion (82 per cent) of income managed money is allocated to the BasicsCard. The proportion of income </w:t>
      </w:r>
      <w:r w:rsidR="00417E68">
        <w:rPr>
          <w:lang w:eastAsia="en-AU"/>
        </w:rPr>
        <w:t xml:space="preserve">subject to income management </w:t>
      </w:r>
      <w:r w:rsidRPr="005911E2">
        <w:rPr>
          <w:lang w:eastAsia="en-AU"/>
        </w:rPr>
        <w:t xml:space="preserve">allocated is higher </w:t>
      </w:r>
      <w:r w:rsidR="00FA2BC6">
        <w:rPr>
          <w:lang w:eastAsia="en-AU"/>
        </w:rPr>
        <w:t>for Indigenous people (83 </w:t>
      </w:r>
      <w:r w:rsidRPr="005911E2">
        <w:rPr>
          <w:lang w:eastAsia="en-AU"/>
        </w:rPr>
        <w:t>per cent) than non-Indigenous people (72 per cent). The card, which uses the EFTPOS system</w:t>
      </w:r>
      <w:r w:rsidR="007A0570">
        <w:rPr>
          <w:lang w:eastAsia="en-AU"/>
        </w:rPr>
        <w:t>,</w:t>
      </w:r>
      <w:r w:rsidRPr="005911E2">
        <w:rPr>
          <w:lang w:eastAsia="en-AU"/>
        </w:rPr>
        <w:t xml:space="preserve"> is the ‘technology’ which allows those subject to </w:t>
      </w:r>
      <w:r w:rsidR="00F878E4">
        <w:rPr>
          <w:lang w:eastAsia="en-AU"/>
        </w:rPr>
        <w:t>income management</w:t>
      </w:r>
      <w:r w:rsidRPr="005911E2">
        <w:rPr>
          <w:lang w:eastAsia="en-AU"/>
        </w:rPr>
        <w:t xml:space="preserve"> to spend their income managed money at shops that are </w:t>
      </w:r>
      <w:r w:rsidR="000954EA">
        <w:rPr>
          <w:lang w:eastAsia="en-AU"/>
        </w:rPr>
        <w:t>approved</w:t>
      </w:r>
      <w:r w:rsidR="000954EA" w:rsidRPr="005911E2">
        <w:rPr>
          <w:lang w:eastAsia="en-AU"/>
        </w:rPr>
        <w:t xml:space="preserve"> </w:t>
      </w:r>
      <w:r w:rsidRPr="005911E2">
        <w:rPr>
          <w:lang w:eastAsia="en-AU"/>
        </w:rPr>
        <w:t>to accept the BasicsCard</w:t>
      </w:r>
      <w:r w:rsidR="007A0570">
        <w:rPr>
          <w:lang w:eastAsia="en-AU"/>
        </w:rPr>
        <w:t>; this</w:t>
      </w:r>
      <w:r w:rsidRPr="005911E2">
        <w:rPr>
          <w:lang w:eastAsia="en-AU"/>
        </w:rPr>
        <w:t xml:space="preserve"> prevents them from spending this money on </w:t>
      </w:r>
      <w:r w:rsidR="007F10DA">
        <w:rPr>
          <w:lang w:eastAsia="en-AU"/>
        </w:rPr>
        <w:t>excluded</w:t>
      </w:r>
      <w:r w:rsidRPr="005911E2">
        <w:rPr>
          <w:lang w:eastAsia="en-AU"/>
        </w:rPr>
        <w:t xml:space="preserve"> items. It also allows those being income managed to keep track of their expenditure and how much of their managed money they have available.</w:t>
      </w:r>
    </w:p>
    <w:p w:rsidR="00BD6DFD" w:rsidRPr="005911E2" w:rsidRDefault="00BD6DFD" w:rsidP="00BD6DFD">
      <w:pPr>
        <w:rPr>
          <w:lang w:eastAsia="en-AU"/>
        </w:rPr>
      </w:pPr>
      <w:r w:rsidRPr="005911E2">
        <w:rPr>
          <w:lang w:eastAsia="en-AU"/>
        </w:rPr>
        <w:t>While there is nothing to stop anyone using another person’s BasicsCard if they have the PIN for the card, several aspects of the BasicsCard are designed to make it a less attractive target for financial harassment or abuse</w:t>
      </w:r>
      <w:r w:rsidRPr="005911E2" w:rsidDel="00EB391C">
        <w:rPr>
          <w:lang w:eastAsia="en-AU"/>
        </w:rPr>
        <w:t xml:space="preserve">. </w:t>
      </w:r>
      <w:r w:rsidRPr="005911E2">
        <w:rPr>
          <w:lang w:eastAsia="en-AU"/>
        </w:rPr>
        <w:t>All those being issued with a BasicsCard are provided with a copy of the BasicsCard Customer Terms and Conditions which asks customers to keep their PIN secret.</w:t>
      </w:r>
      <w:r w:rsidRPr="005911E2">
        <w:rPr>
          <w:vertAlign w:val="superscript"/>
          <w:lang w:eastAsia="en-AU"/>
        </w:rPr>
        <w:footnoteReference w:id="61"/>
      </w:r>
      <w:r w:rsidRPr="005911E2">
        <w:rPr>
          <w:lang w:eastAsia="en-AU"/>
        </w:rPr>
        <w:t xml:space="preserve"> There are messages in the various </w:t>
      </w:r>
      <w:r w:rsidR="00F878E4">
        <w:rPr>
          <w:lang w:eastAsia="en-AU"/>
        </w:rPr>
        <w:t>income management</w:t>
      </w:r>
      <w:r w:rsidRPr="005911E2">
        <w:rPr>
          <w:lang w:eastAsia="en-AU"/>
        </w:rPr>
        <w:t xml:space="preserve"> communication products that encourage customers to keep their card safe and not to give their card to anyone else. BasicsCards cannot be used to withdraw cash or to purchase alcohol, tobacco, pornography or </w:t>
      </w:r>
      <w:r w:rsidR="007A0570">
        <w:rPr>
          <w:lang w:eastAsia="en-AU"/>
        </w:rPr>
        <w:t xml:space="preserve">for </w:t>
      </w:r>
      <w:r w:rsidRPr="005911E2">
        <w:rPr>
          <w:lang w:eastAsia="en-AU"/>
        </w:rPr>
        <w:t>gambling. In addition, the cardholder or Centrelink can set a daily spending limit or a daily allocation to the card. The BasicsCard has the card holder’s name printed on it.</w:t>
      </w:r>
    </w:p>
    <w:p w:rsidR="00BD6DFD" w:rsidRPr="005911E2" w:rsidRDefault="00BD6DFD" w:rsidP="00BD6DFD">
      <w:pPr>
        <w:rPr>
          <w:lang w:eastAsia="en-AU"/>
        </w:rPr>
      </w:pPr>
      <w:r w:rsidRPr="005911E2">
        <w:rPr>
          <w:lang w:eastAsia="en-AU"/>
        </w:rPr>
        <w:t xml:space="preserve">While not an explicit objective of NIM, the BasicsCard provides some elements of a fee free banking service such as free transactions and balance enquiries. As we detail below, there is strong evidence that this makes the card attractive to some of those on a low income, particularly those living in remote areas where high banking fees and transaction costs can be a major problem (House </w:t>
      </w:r>
      <w:r w:rsidR="00FA2BC6">
        <w:rPr>
          <w:lang w:eastAsia="en-AU"/>
        </w:rPr>
        <w:t xml:space="preserve">of Representatives </w:t>
      </w:r>
      <w:r w:rsidRPr="005911E2">
        <w:rPr>
          <w:lang w:eastAsia="en-AU"/>
        </w:rPr>
        <w:t>Standing Committee on Aboriginal and Torres Strait Islander Affairs, 200</w:t>
      </w:r>
      <w:r w:rsidR="00417E68">
        <w:rPr>
          <w:lang w:eastAsia="en-AU"/>
        </w:rPr>
        <w:t>9b</w:t>
      </w:r>
      <w:r w:rsidR="00FA2BC6">
        <w:rPr>
          <w:lang w:eastAsia="en-AU"/>
        </w:rPr>
        <w:t>;</w:t>
      </w:r>
      <w:r w:rsidRPr="005911E2">
        <w:rPr>
          <w:lang w:eastAsia="en-AU"/>
        </w:rPr>
        <w:t xml:space="preserve"> McDonnell, 2003</w:t>
      </w:r>
      <w:r w:rsidR="007A0570">
        <w:rPr>
          <w:lang w:eastAsia="en-AU"/>
        </w:rPr>
        <w:t>;</w:t>
      </w:r>
      <w:r w:rsidRPr="005911E2">
        <w:rPr>
          <w:lang w:eastAsia="en-AU"/>
        </w:rPr>
        <w:t xml:space="preserve"> Australian Financial Counselling and Credit Reform Association, 2010).</w:t>
      </w:r>
      <w:r w:rsidRPr="005911E2">
        <w:rPr>
          <w:rFonts w:ascii="Times New Roman" w:hAnsi="Times New Roman"/>
          <w:sz w:val="24"/>
          <w:szCs w:val="24"/>
          <w:vertAlign w:val="superscript"/>
          <w:lang w:eastAsia="en-AU"/>
        </w:rPr>
        <w:footnoteReference w:id="62"/>
      </w:r>
    </w:p>
    <w:p w:rsidR="00BD6DFD" w:rsidRPr="005911E2" w:rsidRDefault="00BD6DFD" w:rsidP="00BD6DFD">
      <w:pPr>
        <w:rPr>
          <w:lang w:eastAsia="en-AU"/>
        </w:rPr>
      </w:pPr>
      <w:r w:rsidRPr="005911E2">
        <w:rPr>
          <w:lang w:eastAsia="en-AU"/>
        </w:rPr>
        <w:t>In remote Indigenous communities there is frequently only one ATM and the fees are commonly $2.00 to $2.50 per transaction</w:t>
      </w:r>
      <w:r w:rsidR="007A0570">
        <w:rPr>
          <w:lang w:eastAsia="en-AU"/>
        </w:rPr>
        <w:t>,</w:t>
      </w:r>
      <w:r w:rsidRPr="005911E2">
        <w:rPr>
          <w:lang w:eastAsia="en-AU"/>
        </w:rPr>
        <w:t xml:space="preserve"> including for checking the </w:t>
      </w:r>
      <w:r w:rsidRPr="005911E2">
        <w:rPr>
          <w:lang w:eastAsia="en-AU"/>
        </w:rPr>
        <w:lastRenderedPageBreak/>
        <w:t xml:space="preserve">account balance. In some cases the fee per transaction is substantially higher (House </w:t>
      </w:r>
      <w:r w:rsidR="00FA2BC6">
        <w:rPr>
          <w:lang w:eastAsia="en-AU"/>
        </w:rPr>
        <w:t xml:space="preserve">of Representatives </w:t>
      </w:r>
      <w:r w:rsidRPr="005911E2">
        <w:rPr>
          <w:lang w:eastAsia="en-AU"/>
        </w:rPr>
        <w:t>Standing Committee on Aboriginal and Torres Strait Islander Affairs, 200</w:t>
      </w:r>
      <w:r w:rsidR="00417E68">
        <w:rPr>
          <w:lang w:eastAsia="en-AU"/>
        </w:rPr>
        <w:t>9a</w:t>
      </w:r>
      <w:r w:rsidR="006F315A">
        <w:rPr>
          <w:lang w:eastAsia="en-AU"/>
        </w:rPr>
        <w:t>)</w:t>
      </w:r>
      <w:r w:rsidRPr="005911E2">
        <w:rPr>
          <w:lang w:eastAsia="en-AU"/>
        </w:rPr>
        <w:t>.</w:t>
      </w:r>
      <w:r w:rsidRPr="005911E2">
        <w:rPr>
          <w:rFonts w:ascii="Times New Roman" w:hAnsi="Times New Roman"/>
          <w:sz w:val="24"/>
          <w:szCs w:val="24"/>
          <w:vertAlign w:val="superscript"/>
          <w:lang w:eastAsia="en-AU"/>
        </w:rPr>
        <w:footnoteReference w:id="63"/>
      </w:r>
      <w:r w:rsidRPr="005911E2">
        <w:rPr>
          <w:lang w:eastAsia="en-AU"/>
        </w:rPr>
        <w:t xml:space="preserve"> </w:t>
      </w:r>
    </w:p>
    <w:p w:rsidR="00BD6DFD" w:rsidRPr="005911E2" w:rsidRDefault="00BD6DFD" w:rsidP="00BD6DFD">
      <w:pPr>
        <w:rPr>
          <w:lang w:eastAsia="en-AU"/>
        </w:rPr>
      </w:pPr>
      <w:r w:rsidRPr="005911E2">
        <w:rPr>
          <w:lang w:eastAsia="en-AU"/>
        </w:rPr>
        <w:t>Such transaction costs can become a substantial drain on potential spending both because of their size and the frequency with which they are incurred. This latter occurs for a number of reasons. The first is that the fee applies to all transactions, including simple account balance checks. The second is that many Indigenous people report that they make a number of small purchases and withdrawals as a way of managing their money and limiting the extent to which they are put under pressure to provide money to family.</w:t>
      </w:r>
    </w:p>
    <w:p w:rsidR="00BD6DFD" w:rsidRPr="005911E2" w:rsidRDefault="00BD6DFD" w:rsidP="00BD6DFD">
      <w:pPr>
        <w:rPr>
          <w:lang w:eastAsia="en-AU"/>
        </w:rPr>
      </w:pPr>
      <w:r w:rsidRPr="005911E2">
        <w:rPr>
          <w:lang w:eastAsia="en-AU"/>
        </w:rPr>
        <w:t>In a submission to the House Standing Committee on Aboriginal and Torres Strait Islander Affairs on 29 April 2009, Peter Johns, the Kaltjiti Store Manager gave the following evidence</w:t>
      </w:r>
      <w:r w:rsidR="00417E68">
        <w:rPr>
          <w:lang w:eastAsia="en-AU"/>
        </w:rPr>
        <w:t xml:space="preserve"> (HOR ATSIA</w:t>
      </w:r>
      <w:r w:rsidR="00E87E0D">
        <w:rPr>
          <w:lang w:eastAsia="en-AU"/>
        </w:rPr>
        <w:t>,</w:t>
      </w:r>
      <w:r w:rsidR="00417E68">
        <w:rPr>
          <w:lang w:eastAsia="en-AU"/>
        </w:rPr>
        <w:t xml:space="preserve"> 2009</w:t>
      </w:r>
      <w:r w:rsidR="00C01C11">
        <w:rPr>
          <w:lang w:eastAsia="en-AU"/>
        </w:rPr>
        <w:t>a</w:t>
      </w:r>
      <w:r w:rsidR="00417E68">
        <w:rPr>
          <w:lang w:eastAsia="en-AU"/>
        </w:rPr>
        <w:t>)</w:t>
      </w:r>
      <w:r w:rsidR="00F47B6B">
        <w:rPr>
          <w:lang w:eastAsia="en-AU"/>
        </w:rPr>
        <w:t>:</w:t>
      </w:r>
    </w:p>
    <w:p w:rsidR="00BD6DFD" w:rsidRPr="005911E2" w:rsidRDefault="002C4832" w:rsidP="00BD6DFD">
      <w:pPr>
        <w:jc w:val="left"/>
        <w:rPr>
          <w:i/>
          <w:iCs/>
        </w:rPr>
      </w:pPr>
      <w:r>
        <w:rPr>
          <w:i/>
          <w:iCs/>
        </w:rPr>
        <w:t>‘</w:t>
      </w:r>
      <w:r w:rsidR="00BD6DFD" w:rsidRPr="005911E2">
        <w:rPr>
          <w:i/>
          <w:iCs/>
        </w:rPr>
        <w:t>…no matter what your situation is with your own bank, in using a foreign ATM everyone has to pay a $2 fee. What I have noticed is that the people who can least afford to pay any bank fees are the ones who are paying the most—for example, the people who are on Centrelink benefits. I have seen instances of people doing a balance check of their account through an ATM, which incurs a $2 fee, two or three times a day. If the money is not there the first time then they will try again a little bit later and keep trying again until their benefit is actually in their bank account. I would be horrified to see the bank statements of some of these people who live in these communities because the ATM is the only way of getting their money, apart from the few who still get paid by cheque from Centrelink.</w:t>
      </w:r>
      <w:r>
        <w:rPr>
          <w:i/>
          <w:iCs/>
        </w:rPr>
        <w:t>’</w:t>
      </w:r>
    </w:p>
    <w:p w:rsidR="00BD6DFD" w:rsidRPr="005911E2" w:rsidRDefault="00BD6DFD" w:rsidP="00BD6DFD">
      <w:pPr>
        <w:rPr>
          <w:lang w:eastAsia="en-AU"/>
        </w:rPr>
      </w:pPr>
      <w:r w:rsidRPr="005911E2">
        <w:rPr>
          <w:lang w:eastAsia="en-AU"/>
        </w:rPr>
        <w:t xml:space="preserve">In addition to being the main way by which </w:t>
      </w:r>
      <w:r w:rsidR="00F878E4">
        <w:rPr>
          <w:lang w:eastAsia="en-AU"/>
        </w:rPr>
        <w:t>income management</w:t>
      </w:r>
      <w:r w:rsidRPr="005911E2">
        <w:rPr>
          <w:lang w:eastAsia="en-AU"/>
        </w:rPr>
        <w:t xml:space="preserve"> funds are spent</w:t>
      </w:r>
      <w:r w:rsidR="00F47B6B">
        <w:rPr>
          <w:lang w:eastAsia="en-AU"/>
        </w:rPr>
        <w:t>,</w:t>
      </w:r>
      <w:r w:rsidRPr="005911E2">
        <w:rPr>
          <w:lang w:eastAsia="en-AU"/>
        </w:rPr>
        <w:t xml:space="preserve"> the BasicsCard is the main aspect of being income managed which is publicly visible when used to check balances at BasicsCard kiosks or </w:t>
      </w:r>
      <w:r w:rsidR="00F47B6B">
        <w:rPr>
          <w:lang w:eastAsia="en-AU"/>
        </w:rPr>
        <w:t xml:space="preserve">when making </w:t>
      </w:r>
      <w:r w:rsidRPr="005911E2">
        <w:rPr>
          <w:lang w:eastAsia="en-AU"/>
        </w:rPr>
        <w:t xml:space="preserve">purchases at stores. </w:t>
      </w:r>
    </w:p>
    <w:p w:rsidR="00BD6DFD" w:rsidRPr="005911E2" w:rsidRDefault="00BD6DFD" w:rsidP="00BD6DFD">
      <w:pPr>
        <w:rPr>
          <w:lang w:eastAsia="en-AU"/>
        </w:rPr>
      </w:pPr>
      <w:r w:rsidRPr="005911E2">
        <w:rPr>
          <w:lang w:eastAsia="en-AU"/>
        </w:rPr>
        <w:t>Over 98 per cent of people subject to income management have had a BasicsCard issued to them, though this proportion varies between the Indigenous and non-Indigenous population (99 per cent compared to 92 per cent). BasicsCards are issued by Centrelink staff at a Customer Service Centre, and are replaced free of charge.</w:t>
      </w:r>
    </w:p>
    <w:p w:rsidR="00BD6DFD" w:rsidRPr="005911E2" w:rsidRDefault="00BD6DFD" w:rsidP="00BD6DFD">
      <w:pPr>
        <w:rPr>
          <w:lang w:eastAsia="en-AU"/>
        </w:rPr>
      </w:pPr>
      <w:r w:rsidRPr="005911E2">
        <w:rPr>
          <w:lang w:eastAsia="en-AU"/>
        </w:rPr>
        <w:t xml:space="preserve">The remainder of this chapter is structured as follows. It initially discusses the range of sales outlets which accept the BasicsCard, and then examines the number of BasicsCards being issued and the reasons for issuing replacements, using Centrelink administrative data. The chapter then draws on interviews with Centrelink, </w:t>
      </w:r>
      <w:r w:rsidR="00F47B6B">
        <w:rPr>
          <w:lang w:eastAsia="en-AU"/>
        </w:rPr>
        <w:t>m</w:t>
      </w:r>
      <w:r w:rsidRPr="005911E2">
        <w:rPr>
          <w:lang w:eastAsia="en-AU"/>
        </w:rPr>
        <w:t xml:space="preserve">oney </w:t>
      </w:r>
      <w:r w:rsidR="00F47B6B">
        <w:rPr>
          <w:lang w:eastAsia="en-AU"/>
        </w:rPr>
        <w:t>m</w:t>
      </w:r>
      <w:r w:rsidRPr="005911E2">
        <w:rPr>
          <w:lang w:eastAsia="en-AU"/>
        </w:rPr>
        <w:t>anagement and financial counsellors</w:t>
      </w:r>
      <w:r w:rsidR="00F47B6B">
        <w:rPr>
          <w:lang w:eastAsia="en-AU"/>
        </w:rPr>
        <w:t>,</w:t>
      </w:r>
      <w:r w:rsidRPr="005911E2">
        <w:rPr>
          <w:lang w:eastAsia="en-AU"/>
        </w:rPr>
        <w:t xml:space="preserve"> and merchants operating businesses in the </w:t>
      </w:r>
      <w:r w:rsidR="006435C8">
        <w:rPr>
          <w:lang w:eastAsia="en-AU"/>
        </w:rPr>
        <w:t>Northern Territory,</w:t>
      </w:r>
      <w:r w:rsidRPr="005911E2">
        <w:rPr>
          <w:lang w:eastAsia="en-AU"/>
        </w:rPr>
        <w:t xml:space="preserve"> as well as people subject to </w:t>
      </w:r>
      <w:r w:rsidR="00F878E4">
        <w:rPr>
          <w:lang w:eastAsia="en-AU"/>
        </w:rPr>
        <w:t>income management</w:t>
      </w:r>
      <w:r w:rsidRPr="005911E2">
        <w:rPr>
          <w:lang w:eastAsia="en-AU"/>
        </w:rPr>
        <w:t xml:space="preserve"> (whose views of the BasicsCard are also explored in more depth in Chapter 10). </w:t>
      </w:r>
    </w:p>
    <w:p w:rsidR="00BD6DFD" w:rsidRPr="005911E2" w:rsidRDefault="00BD6DFD" w:rsidP="00616B0F">
      <w:pPr>
        <w:pStyle w:val="Heading2"/>
      </w:pPr>
      <w:bookmarkStart w:id="501" w:name="_Toc321225125"/>
      <w:bookmarkStart w:id="502" w:name="_Toc321254468"/>
      <w:bookmarkStart w:id="503" w:name="_Toc328601492"/>
      <w:bookmarkStart w:id="504" w:name="_Toc329870374"/>
      <w:bookmarkStart w:id="505" w:name="_Toc335915760"/>
      <w:r w:rsidRPr="005911E2">
        <w:t>Merchants who accept the BasicsCard</w:t>
      </w:r>
      <w:bookmarkEnd w:id="501"/>
      <w:bookmarkEnd w:id="502"/>
      <w:bookmarkEnd w:id="503"/>
      <w:bookmarkEnd w:id="504"/>
      <w:bookmarkEnd w:id="505"/>
    </w:p>
    <w:p w:rsidR="00BD6DFD" w:rsidRPr="005911E2" w:rsidRDefault="00BD6DFD" w:rsidP="00BD6DFD">
      <w:pPr>
        <w:rPr>
          <w:lang w:eastAsia="en-AU"/>
        </w:rPr>
      </w:pPr>
      <w:r w:rsidRPr="005911E2">
        <w:rPr>
          <w:lang w:eastAsia="en-AU"/>
        </w:rPr>
        <w:t>There are 698 merchants across the</w:t>
      </w:r>
      <w:r w:rsidR="006435C8">
        <w:rPr>
          <w:lang w:eastAsia="en-AU"/>
        </w:rPr>
        <w:t xml:space="preserve"> Northern Territory </w:t>
      </w:r>
      <w:r w:rsidR="000954EA">
        <w:rPr>
          <w:lang w:eastAsia="en-AU"/>
        </w:rPr>
        <w:t>approved</w:t>
      </w:r>
      <w:r w:rsidR="000954EA" w:rsidRPr="005911E2">
        <w:rPr>
          <w:lang w:eastAsia="en-AU"/>
        </w:rPr>
        <w:t xml:space="preserve"> </w:t>
      </w:r>
      <w:r w:rsidRPr="005911E2">
        <w:rPr>
          <w:lang w:eastAsia="en-AU"/>
        </w:rPr>
        <w:t>to accept the BasicsCard (for merchants with stores in more than one location, each location is counted separately</w:t>
      </w:r>
      <w:r w:rsidR="00F47B6B">
        <w:rPr>
          <w:lang w:eastAsia="en-AU"/>
        </w:rPr>
        <w:t>).</w:t>
      </w:r>
      <w:r w:rsidRPr="005911E2">
        <w:rPr>
          <w:lang w:eastAsia="en-AU"/>
        </w:rPr>
        <w:t xml:space="preserve"> These form part of the Australia</w:t>
      </w:r>
      <w:r w:rsidR="00333514">
        <w:rPr>
          <w:lang w:eastAsia="en-AU"/>
        </w:rPr>
        <w:t>-</w:t>
      </w:r>
      <w:r w:rsidRPr="005911E2">
        <w:rPr>
          <w:lang w:eastAsia="en-AU"/>
        </w:rPr>
        <w:t>wide network of 5</w:t>
      </w:r>
      <w:r w:rsidR="002955BA">
        <w:rPr>
          <w:lang w:eastAsia="en-AU"/>
        </w:rPr>
        <w:t> </w:t>
      </w:r>
      <w:r w:rsidRPr="005911E2">
        <w:rPr>
          <w:lang w:eastAsia="en-AU"/>
        </w:rPr>
        <w:t xml:space="preserve">270 </w:t>
      </w:r>
      <w:r w:rsidR="000954EA">
        <w:rPr>
          <w:lang w:eastAsia="en-AU"/>
        </w:rPr>
        <w:t>approved</w:t>
      </w:r>
      <w:r w:rsidR="000954EA" w:rsidRPr="005911E2">
        <w:rPr>
          <w:lang w:eastAsia="en-AU"/>
        </w:rPr>
        <w:t xml:space="preserve"> </w:t>
      </w:r>
      <w:r w:rsidRPr="005911E2">
        <w:rPr>
          <w:lang w:eastAsia="en-AU"/>
        </w:rPr>
        <w:t xml:space="preserve">merchants. Table </w:t>
      </w:r>
      <w:r w:rsidRPr="005911E2">
        <w:rPr>
          <w:noProof/>
          <w:lang w:eastAsia="en-AU"/>
        </w:rPr>
        <w:t>6</w:t>
      </w:r>
      <w:r w:rsidRPr="005911E2">
        <w:rPr>
          <w:noProof/>
          <w:lang w:eastAsia="en-AU"/>
        </w:rPr>
        <w:noBreakHyphen/>
        <w:t>1</w:t>
      </w:r>
      <w:r w:rsidRPr="005911E2">
        <w:rPr>
          <w:lang w:eastAsia="en-AU"/>
        </w:rPr>
        <w:t xml:space="preserve"> </w:t>
      </w:r>
      <w:r w:rsidR="00333514">
        <w:rPr>
          <w:lang w:eastAsia="en-AU"/>
        </w:rPr>
        <w:t xml:space="preserve">reports </w:t>
      </w:r>
      <w:r w:rsidRPr="005911E2">
        <w:rPr>
          <w:lang w:eastAsia="en-AU"/>
        </w:rPr>
        <w:t xml:space="preserve">the number of </w:t>
      </w:r>
      <w:r w:rsidR="000954EA">
        <w:rPr>
          <w:lang w:eastAsia="en-AU"/>
        </w:rPr>
        <w:t>approved</w:t>
      </w:r>
      <w:r w:rsidR="000954EA" w:rsidRPr="005911E2">
        <w:rPr>
          <w:lang w:eastAsia="en-AU"/>
        </w:rPr>
        <w:t xml:space="preserve"> </w:t>
      </w:r>
      <w:r w:rsidRPr="005911E2">
        <w:rPr>
          <w:lang w:eastAsia="en-AU"/>
        </w:rPr>
        <w:t>merchants in the</w:t>
      </w:r>
      <w:r w:rsidR="006435C8">
        <w:rPr>
          <w:lang w:eastAsia="en-AU"/>
        </w:rPr>
        <w:t xml:space="preserve"> Northern Territory </w:t>
      </w:r>
      <w:r w:rsidRPr="005911E2">
        <w:rPr>
          <w:lang w:eastAsia="en-AU"/>
        </w:rPr>
        <w:t>by type of business. The types of businesses with the largest number of merchants are supermarkets (127), clothes stores (91), petrol stations (78), convenience stores (67) and automotive repairs (58).</w:t>
      </w:r>
    </w:p>
    <w:p w:rsidR="00BD6DFD" w:rsidRPr="005911E2" w:rsidRDefault="00BD6DFD" w:rsidP="00BD6DFD">
      <w:pPr>
        <w:pStyle w:val="tabfighead"/>
      </w:pPr>
      <w:bookmarkStart w:id="506" w:name="_Ref320512260"/>
      <w:bookmarkStart w:id="507" w:name="_Toc321430425"/>
      <w:bookmarkStart w:id="508" w:name="_Toc321254544"/>
      <w:bookmarkStart w:id="509" w:name="_Toc328601592"/>
      <w:bookmarkStart w:id="510" w:name="_Toc329051370"/>
      <w:bookmarkStart w:id="511" w:name="_Toc335915858"/>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6</w:t>
      </w:r>
      <w:r w:rsidR="00C7347D" w:rsidRPr="005911E2">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1</w:t>
      </w:r>
      <w:r w:rsidR="00C7347D" w:rsidRPr="005911E2">
        <w:fldChar w:fldCharType="end"/>
      </w:r>
      <w:bookmarkEnd w:id="506"/>
      <w:r w:rsidRPr="005911E2">
        <w:t xml:space="preserve"> </w:t>
      </w:r>
      <w:r w:rsidRPr="005911E2">
        <w:tab/>
        <w:t>Northern Territory, Number of BasicsCard approved merchants by type of business, March 2012</w:t>
      </w:r>
      <w:bookmarkEnd w:id="507"/>
      <w:bookmarkEnd w:id="508"/>
      <w:bookmarkEnd w:id="509"/>
      <w:bookmarkEnd w:id="510"/>
      <w:bookmarkEnd w:id="511"/>
      <w:r w:rsidRPr="005911E2">
        <w:t xml:space="preserve"> </w:t>
      </w:r>
    </w:p>
    <w:tbl>
      <w:tblPr>
        <w:tblW w:w="4542" w:type="dxa"/>
        <w:tblInd w:w="1803" w:type="dxa"/>
        <w:tblLook w:val="04A0" w:firstRow="1" w:lastRow="0" w:firstColumn="1" w:lastColumn="0" w:noHBand="0" w:noVBand="1"/>
      </w:tblPr>
      <w:tblGrid>
        <w:gridCol w:w="2700"/>
        <w:gridCol w:w="1842"/>
      </w:tblGrid>
      <w:tr w:rsidR="00BD6DFD" w:rsidRPr="00911315" w:rsidTr="000F4DDD">
        <w:tc>
          <w:tcPr>
            <w:tcW w:w="2700" w:type="dxa"/>
            <w:tcBorders>
              <w:top w:val="single" w:sz="4" w:space="0" w:color="000000"/>
              <w:bottom w:val="single" w:sz="4" w:space="0" w:color="000000"/>
            </w:tcBorders>
            <w:shd w:val="clear" w:color="auto" w:fill="auto"/>
            <w:noWrap/>
            <w:hideMark/>
          </w:tcPr>
          <w:p w:rsidR="00BD6DFD" w:rsidRPr="00911315" w:rsidRDefault="00BD6DFD" w:rsidP="00943DCB">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Type of business</w:t>
            </w:r>
          </w:p>
        </w:tc>
        <w:tc>
          <w:tcPr>
            <w:tcW w:w="1842" w:type="dxa"/>
            <w:tcBorders>
              <w:top w:val="single" w:sz="4" w:space="0" w:color="000000"/>
              <w:bottom w:val="single" w:sz="4" w:space="0" w:color="000000"/>
            </w:tcBorders>
            <w:shd w:val="clear" w:color="auto" w:fill="auto"/>
            <w:noWrap/>
            <w:hideMark/>
          </w:tcPr>
          <w:p w:rsidR="00BD6DFD" w:rsidRPr="00911315" w:rsidRDefault="00BD6DFD" w:rsidP="00943DC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Number of merchants in NT approved to accept BasicsCard</w:t>
            </w:r>
          </w:p>
        </w:tc>
      </w:tr>
      <w:tr w:rsidR="00BD6DFD" w:rsidRPr="00911315" w:rsidTr="000F4DDD">
        <w:tc>
          <w:tcPr>
            <w:tcW w:w="2700" w:type="dxa"/>
            <w:tcBorders>
              <w:top w:val="single" w:sz="4" w:space="0" w:color="000000"/>
            </w:tcBorders>
            <w:shd w:val="clear" w:color="auto" w:fill="auto"/>
            <w:noWrap/>
            <w:vAlign w:val="center"/>
            <w:hideMark/>
          </w:tcPr>
          <w:p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Automotive Repairs</w:t>
            </w:r>
          </w:p>
        </w:tc>
        <w:tc>
          <w:tcPr>
            <w:tcW w:w="1842" w:type="dxa"/>
            <w:tcBorders>
              <w:top w:val="single" w:sz="4" w:space="0" w:color="000000"/>
            </w:tcBorders>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58</w:t>
            </w:r>
          </w:p>
        </w:tc>
      </w:tr>
      <w:tr w:rsidR="00BD6DFD" w:rsidRPr="00911315" w:rsidTr="000F4DDD">
        <w:tc>
          <w:tcPr>
            <w:tcW w:w="2700" w:type="dxa"/>
            <w:shd w:val="clear" w:color="auto" w:fill="auto"/>
            <w:noWrap/>
            <w:vAlign w:val="center"/>
            <w:hideMark/>
          </w:tcPr>
          <w:p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Bakery</w:t>
            </w:r>
          </w:p>
        </w:tc>
        <w:tc>
          <w:tcPr>
            <w:tcW w:w="1842" w:type="dxa"/>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p>
        </w:tc>
      </w:tr>
      <w:tr w:rsidR="00BD6DFD" w:rsidRPr="00911315" w:rsidTr="000F4DDD">
        <w:tc>
          <w:tcPr>
            <w:tcW w:w="2700" w:type="dxa"/>
            <w:shd w:val="clear" w:color="auto" w:fill="auto"/>
            <w:noWrap/>
            <w:vAlign w:val="center"/>
            <w:hideMark/>
          </w:tcPr>
          <w:p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Bookstore</w:t>
            </w:r>
          </w:p>
        </w:tc>
        <w:tc>
          <w:tcPr>
            <w:tcW w:w="1842" w:type="dxa"/>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p>
        </w:tc>
      </w:tr>
      <w:tr w:rsidR="00BD6DFD" w:rsidRPr="00911315" w:rsidTr="000F4DDD">
        <w:tc>
          <w:tcPr>
            <w:tcW w:w="2700" w:type="dxa"/>
            <w:shd w:val="clear" w:color="auto" w:fill="auto"/>
            <w:noWrap/>
            <w:vAlign w:val="center"/>
            <w:hideMark/>
          </w:tcPr>
          <w:p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Butcher</w:t>
            </w:r>
          </w:p>
        </w:tc>
        <w:tc>
          <w:tcPr>
            <w:tcW w:w="1842" w:type="dxa"/>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26</w:t>
            </w:r>
          </w:p>
        </w:tc>
      </w:tr>
      <w:tr w:rsidR="00BD6DFD" w:rsidRPr="00911315" w:rsidTr="000F4DDD">
        <w:tc>
          <w:tcPr>
            <w:tcW w:w="2700" w:type="dxa"/>
            <w:shd w:val="clear" w:color="auto" w:fill="auto"/>
            <w:noWrap/>
            <w:vAlign w:val="center"/>
            <w:hideMark/>
          </w:tcPr>
          <w:p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Chemist/pharmacy</w:t>
            </w:r>
          </w:p>
        </w:tc>
        <w:tc>
          <w:tcPr>
            <w:tcW w:w="1842" w:type="dxa"/>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30</w:t>
            </w:r>
          </w:p>
        </w:tc>
      </w:tr>
      <w:tr w:rsidR="00BD6DFD" w:rsidRPr="00911315" w:rsidTr="000F4DDD">
        <w:tc>
          <w:tcPr>
            <w:tcW w:w="2700" w:type="dxa"/>
            <w:shd w:val="clear" w:color="auto" w:fill="auto"/>
            <w:noWrap/>
            <w:vAlign w:val="center"/>
            <w:hideMark/>
          </w:tcPr>
          <w:p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Clothes store</w:t>
            </w:r>
          </w:p>
        </w:tc>
        <w:tc>
          <w:tcPr>
            <w:tcW w:w="1842" w:type="dxa"/>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91</w:t>
            </w:r>
          </w:p>
        </w:tc>
      </w:tr>
      <w:tr w:rsidR="00BD6DFD" w:rsidRPr="00911315" w:rsidTr="000F4DDD">
        <w:tc>
          <w:tcPr>
            <w:tcW w:w="2700" w:type="dxa"/>
            <w:shd w:val="clear" w:color="auto" w:fill="auto"/>
            <w:noWrap/>
            <w:vAlign w:val="center"/>
            <w:hideMark/>
          </w:tcPr>
          <w:p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Convenience store</w:t>
            </w:r>
          </w:p>
        </w:tc>
        <w:tc>
          <w:tcPr>
            <w:tcW w:w="1842" w:type="dxa"/>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67</w:t>
            </w:r>
          </w:p>
        </w:tc>
      </w:tr>
      <w:tr w:rsidR="00BD6DFD" w:rsidRPr="00911315" w:rsidTr="000F4DDD">
        <w:tc>
          <w:tcPr>
            <w:tcW w:w="2700" w:type="dxa"/>
            <w:shd w:val="clear" w:color="auto" w:fill="auto"/>
            <w:noWrap/>
            <w:vAlign w:val="center"/>
            <w:hideMark/>
          </w:tcPr>
          <w:p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Deli</w:t>
            </w:r>
          </w:p>
        </w:tc>
        <w:tc>
          <w:tcPr>
            <w:tcW w:w="1842" w:type="dxa"/>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p>
        </w:tc>
      </w:tr>
      <w:tr w:rsidR="00BD6DFD" w:rsidRPr="00911315" w:rsidTr="000F4DDD">
        <w:tc>
          <w:tcPr>
            <w:tcW w:w="2700" w:type="dxa"/>
            <w:shd w:val="clear" w:color="auto" w:fill="auto"/>
            <w:noWrap/>
            <w:vAlign w:val="center"/>
            <w:hideMark/>
          </w:tcPr>
          <w:p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Department store</w:t>
            </w:r>
          </w:p>
        </w:tc>
        <w:tc>
          <w:tcPr>
            <w:tcW w:w="1842" w:type="dxa"/>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24</w:t>
            </w:r>
          </w:p>
        </w:tc>
      </w:tr>
      <w:tr w:rsidR="00BD6DFD" w:rsidRPr="00911315" w:rsidTr="000F4DDD">
        <w:tc>
          <w:tcPr>
            <w:tcW w:w="2700" w:type="dxa"/>
            <w:shd w:val="clear" w:color="auto" w:fill="auto"/>
            <w:noWrap/>
            <w:vAlign w:val="center"/>
            <w:hideMark/>
          </w:tcPr>
          <w:p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Discount store</w:t>
            </w:r>
          </w:p>
        </w:tc>
        <w:tc>
          <w:tcPr>
            <w:tcW w:w="1842" w:type="dxa"/>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8</w:t>
            </w:r>
          </w:p>
        </w:tc>
      </w:tr>
      <w:tr w:rsidR="00BD6DFD" w:rsidRPr="00911315" w:rsidTr="000F4DDD">
        <w:tc>
          <w:tcPr>
            <w:tcW w:w="2700" w:type="dxa"/>
            <w:shd w:val="clear" w:color="auto" w:fill="auto"/>
            <w:noWrap/>
            <w:vAlign w:val="center"/>
            <w:hideMark/>
          </w:tcPr>
          <w:p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Education outlet</w:t>
            </w:r>
          </w:p>
        </w:tc>
        <w:tc>
          <w:tcPr>
            <w:tcW w:w="1842" w:type="dxa"/>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26</w:t>
            </w:r>
          </w:p>
        </w:tc>
      </w:tr>
      <w:tr w:rsidR="00BD6DFD" w:rsidRPr="00911315" w:rsidTr="000F4DDD">
        <w:tc>
          <w:tcPr>
            <w:tcW w:w="2700" w:type="dxa"/>
            <w:shd w:val="clear" w:color="auto" w:fill="auto"/>
            <w:noWrap/>
            <w:vAlign w:val="center"/>
            <w:hideMark/>
          </w:tcPr>
          <w:p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Fruit and vegetables</w:t>
            </w:r>
          </w:p>
        </w:tc>
        <w:tc>
          <w:tcPr>
            <w:tcW w:w="1842" w:type="dxa"/>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w:t>
            </w:r>
          </w:p>
        </w:tc>
      </w:tr>
      <w:tr w:rsidR="00BD6DFD" w:rsidRPr="00911315" w:rsidTr="000F4DDD">
        <w:tc>
          <w:tcPr>
            <w:tcW w:w="2700" w:type="dxa"/>
            <w:shd w:val="clear" w:color="auto" w:fill="auto"/>
            <w:noWrap/>
            <w:vAlign w:val="center"/>
            <w:hideMark/>
          </w:tcPr>
          <w:p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Furniture store</w:t>
            </w:r>
          </w:p>
        </w:tc>
        <w:tc>
          <w:tcPr>
            <w:tcW w:w="1842" w:type="dxa"/>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w:t>
            </w:r>
          </w:p>
        </w:tc>
      </w:tr>
      <w:tr w:rsidR="00BD6DFD" w:rsidRPr="00911315" w:rsidTr="000F4DDD">
        <w:tc>
          <w:tcPr>
            <w:tcW w:w="2700" w:type="dxa"/>
            <w:shd w:val="clear" w:color="auto" w:fill="auto"/>
            <w:noWrap/>
            <w:vAlign w:val="center"/>
            <w:hideMark/>
          </w:tcPr>
          <w:p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Hardware store</w:t>
            </w:r>
          </w:p>
        </w:tc>
        <w:tc>
          <w:tcPr>
            <w:tcW w:w="1842" w:type="dxa"/>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15</w:t>
            </w:r>
          </w:p>
        </w:tc>
      </w:tr>
      <w:tr w:rsidR="00BD6DFD" w:rsidRPr="00911315" w:rsidTr="000F4DDD">
        <w:tc>
          <w:tcPr>
            <w:tcW w:w="2700" w:type="dxa"/>
            <w:shd w:val="clear" w:color="auto" w:fill="auto"/>
            <w:noWrap/>
            <w:vAlign w:val="center"/>
            <w:hideMark/>
          </w:tcPr>
          <w:p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Medical service</w:t>
            </w:r>
          </w:p>
        </w:tc>
        <w:tc>
          <w:tcPr>
            <w:tcW w:w="1842" w:type="dxa"/>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8</w:t>
            </w:r>
          </w:p>
        </w:tc>
      </w:tr>
      <w:tr w:rsidR="00BD6DFD" w:rsidRPr="00911315" w:rsidTr="000F4DDD">
        <w:tc>
          <w:tcPr>
            <w:tcW w:w="2700" w:type="dxa"/>
            <w:shd w:val="clear" w:color="auto" w:fill="auto"/>
            <w:noWrap/>
            <w:vAlign w:val="center"/>
            <w:hideMark/>
          </w:tcPr>
          <w:p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Newsagent</w:t>
            </w:r>
          </w:p>
        </w:tc>
        <w:tc>
          <w:tcPr>
            <w:tcW w:w="1842" w:type="dxa"/>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w:t>
            </w:r>
          </w:p>
        </w:tc>
      </w:tr>
      <w:tr w:rsidR="00BD6DFD" w:rsidRPr="00911315" w:rsidTr="000F4DDD">
        <w:tc>
          <w:tcPr>
            <w:tcW w:w="2700" w:type="dxa"/>
            <w:shd w:val="clear" w:color="auto" w:fill="auto"/>
            <w:noWrap/>
            <w:vAlign w:val="center"/>
            <w:hideMark/>
          </w:tcPr>
          <w:p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Other</w:t>
            </w:r>
          </w:p>
        </w:tc>
        <w:tc>
          <w:tcPr>
            <w:tcW w:w="1842" w:type="dxa"/>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p>
        </w:tc>
      </w:tr>
      <w:tr w:rsidR="00BD6DFD" w:rsidRPr="00911315" w:rsidTr="000F4DDD">
        <w:tc>
          <w:tcPr>
            <w:tcW w:w="2700" w:type="dxa"/>
            <w:shd w:val="clear" w:color="auto" w:fill="auto"/>
            <w:noWrap/>
            <w:vAlign w:val="center"/>
            <w:hideMark/>
          </w:tcPr>
          <w:p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Petrol station</w:t>
            </w:r>
          </w:p>
        </w:tc>
        <w:tc>
          <w:tcPr>
            <w:tcW w:w="1842" w:type="dxa"/>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78</w:t>
            </w:r>
          </w:p>
        </w:tc>
      </w:tr>
      <w:tr w:rsidR="00BD6DFD" w:rsidRPr="00911315" w:rsidTr="000F4DDD">
        <w:tc>
          <w:tcPr>
            <w:tcW w:w="2700" w:type="dxa"/>
            <w:shd w:val="clear" w:color="auto" w:fill="auto"/>
            <w:noWrap/>
            <w:vAlign w:val="center"/>
            <w:hideMark/>
          </w:tcPr>
          <w:p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Secondhand goods</w:t>
            </w:r>
          </w:p>
        </w:tc>
        <w:tc>
          <w:tcPr>
            <w:tcW w:w="1842" w:type="dxa"/>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23</w:t>
            </w:r>
          </w:p>
        </w:tc>
      </w:tr>
      <w:tr w:rsidR="00BD6DFD" w:rsidRPr="00911315" w:rsidTr="000F4DDD">
        <w:tc>
          <w:tcPr>
            <w:tcW w:w="2700" w:type="dxa"/>
            <w:shd w:val="clear" w:color="auto" w:fill="auto"/>
            <w:noWrap/>
            <w:vAlign w:val="center"/>
            <w:hideMark/>
          </w:tcPr>
          <w:p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Shoe store</w:t>
            </w:r>
          </w:p>
        </w:tc>
        <w:tc>
          <w:tcPr>
            <w:tcW w:w="1842" w:type="dxa"/>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15</w:t>
            </w:r>
          </w:p>
        </w:tc>
      </w:tr>
      <w:tr w:rsidR="00BD6DFD" w:rsidRPr="00911315" w:rsidTr="000F4DDD">
        <w:tc>
          <w:tcPr>
            <w:tcW w:w="2700" w:type="dxa"/>
            <w:shd w:val="clear" w:color="auto" w:fill="auto"/>
            <w:noWrap/>
            <w:vAlign w:val="center"/>
            <w:hideMark/>
          </w:tcPr>
          <w:p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Short term Accommodation</w:t>
            </w:r>
          </w:p>
        </w:tc>
        <w:tc>
          <w:tcPr>
            <w:tcW w:w="1842" w:type="dxa"/>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19</w:t>
            </w:r>
          </w:p>
        </w:tc>
      </w:tr>
      <w:tr w:rsidR="00BD6DFD" w:rsidRPr="00911315" w:rsidTr="000F4DDD">
        <w:tc>
          <w:tcPr>
            <w:tcW w:w="2700" w:type="dxa"/>
            <w:shd w:val="clear" w:color="auto" w:fill="auto"/>
            <w:noWrap/>
            <w:vAlign w:val="center"/>
            <w:hideMark/>
          </w:tcPr>
          <w:p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Supermarket</w:t>
            </w:r>
          </w:p>
        </w:tc>
        <w:tc>
          <w:tcPr>
            <w:tcW w:w="1842" w:type="dxa"/>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127</w:t>
            </w:r>
          </w:p>
        </w:tc>
      </w:tr>
      <w:tr w:rsidR="00BD6DFD" w:rsidRPr="00911315" w:rsidTr="000F4DDD">
        <w:tc>
          <w:tcPr>
            <w:tcW w:w="2700" w:type="dxa"/>
            <w:shd w:val="clear" w:color="auto" w:fill="auto"/>
            <w:noWrap/>
            <w:vAlign w:val="center"/>
            <w:hideMark/>
          </w:tcPr>
          <w:p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Toys</w:t>
            </w:r>
          </w:p>
        </w:tc>
        <w:tc>
          <w:tcPr>
            <w:tcW w:w="1842" w:type="dxa"/>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w:t>
            </w:r>
          </w:p>
        </w:tc>
      </w:tr>
      <w:tr w:rsidR="00BD6DFD" w:rsidRPr="00911315" w:rsidTr="000F4DDD">
        <w:tc>
          <w:tcPr>
            <w:tcW w:w="2700" w:type="dxa"/>
            <w:shd w:val="clear" w:color="auto" w:fill="auto"/>
            <w:noWrap/>
            <w:vAlign w:val="center"/>
            <w:hideMark/>
          </w:tcPr>
          <w:p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Transport</w:t>
            </w:r>
          </w:p>
        </w:tc>
        <w:tc>
          <w:tcPr>
            <w:tcW w:w="1842" w:type="dxa"/>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55</w:t>
            </w:r>
          </w:p>
        </w:tc>
      </w:tr>
      <w:tr w:rsidR="00BD6DFD" w:rsidRPr="00911315" w:rsidTr="000F4DDD">
        <w:tc>
          <w:tcPr>
            <w:tcW w:w="2700" w:type="dxa"/>
            <w:shd w:val="clear" w:color="auto" w:fill="auto"/>
            <w:noWrap/>
            <w:vAlign w:val="center"/>
            <w:hideMark/>
          </w:tcPr>
          <w:p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Whitegoods</w:t>
            </w:r>
          </w:p>
        </w:tc>
        <w:tc>
          <w:tcPr>
            <w:tcW w:w="1842" w:type="dxa"/>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p>
        </w:tc>
      </w:tr>
      <w:tr w:rsidR="00BD6DFD" w:rsidRPr="00911315" w:rsidTr="000F4DDD">
        <w:tc>
          <w:tcPr>
            <w:tcW w:w="2700" w:type="dxa"/>
            <w:tcBorders>
              <w:bottom w:val="single" w:sz="4" w:space="0" w:color="000000"/>
            </w:tcBorders>
            <w:shd w:val="clear" w:color="auto" w:fill="auto"/>
            <w:noWrap/>
            <w:vAlign w:val="center"/>
            <w:hideMark/>
          </w:tcPr>
          <w:p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Total</w:t>
            </w:r>
          </w:p>
        </w:tc>
        <w:tc>
          <w:tcPr>
            <w:tcW w:w="1842" w:type="dxa"/>
            <w:tcBorders>
              <w:bottom w:val="single" w:sz="4" w:space="0" w:color="000000"/>
            </w:tcBorders>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698</w:t>
            </w:r>
          </w:p>
        </w:tc>
      </w:tr>
    </w:tbl>
    <w:p w:rsidR="00BD6DFD" w:rsidRPr="005911E2" w:rsidRDefault="00BD6DFD" w:rsidP="002955BA">
      <w:pPr>
        <w:pStyle w:val="tablefootnotes"/>
        <w:rPr>
          <w:lang w:eastAsia="en-AU"/>
        </w:rPr>
      </w:pPr>
      <w:r w:rsidRPr="005911E2">
        <w:rPr>
          <w:lang w:eastAsia="en-AU"/>
        </w:rPr>
        <w:t>Source:</w:t>
      </w:r>
      <w:r w:rsidR="00CF518E">
        <w:rPr>
          <w:lang w:eastAsia="en-AU"/>
        </w:rPr>
        <w:tab/>
      </w:r>
      <w:r w:rsidRPr="005911E2">
        <w:rPr>
          <w:lang w:eastAsia="en-AU"/>
        </w:rPr>
        <w:t>Centrelink BasicsCard Merchant List, as of 24 March 2012, (Centrelink</w:t>
      </w:r>
      <w:r w:rsidR="00FA2BC6">
        <w:rPr>
          <w:lang w:eastAsia="en-AU"/>
        </w:rPr>
        <w:t>,</w:t>
      </w:r>
      <w:r w:rsidRPr="005911E2">
        <w:rPr>
          <w:lang w:eastAsia="en-AU"/>
        </w:rPr>
        <w:t xml:space="preserve"> 2012</w:t>
      </w:r>
      <w:r w:rsidR="00F74C91">
        <w:rPr>
          <w:lang w:eastAsia="en-AU"/>
        </w:rPr>
        <w:t>b</w:t>
      </w:r>
      <w:r w:rsidRPr="005911E2">
        <w:rPr>
          <w:lang w:eastAsia="en-AU"/>
        </w:rPr>
        <w:t>).</w:t>
      </w:r>
    </w:p>
    <w:p w:rsidR="00BD6DFD" w:rsidRPr="005911E2" w:rsidRDefault="00BD6DFD" w:rsidP="002955BA">
      <w:pPr>
        <w:pStyle w:val="tablefootnotes"/>
        <w:rPr>
          <w:lang w:eastAsia="en-AU"/>
        </w:rPr>
      </w:pPr>
    </w:p>
    <w:p w:rsidR="00943DCB" w:rsidRPr="005911E2" w:rsidRDefault="00943DCB" w:rsidP="00943DCB">
      <w:pPr>
        <w:rPr>
          <w:lang w:eastAsia="en-AU"/>
        </w:rPr>
      </w:pPr>
      <w:r w:rsidRPr="005911E2">
        <w:rPr>
          <w:lang w:eastAsia="en-AU"/>
        </w:rPr>
        <w:t xml:space="preserve">Approved merchants in the Northern Territory include the major supermarket chains (Coles and Woolworths), </w:t>
      </w:r>
      <w:r>
        <w:rPr>
          <w:lang w:eastAsia="en-AU"/>
        </w:rPr>
        <w:t>d</w:t>
      </w:r>
      <w:r w:rsidRPr="005911E2">
        <w:rPr>
          <w:lang w:eastAsia="en-AU"/>
        </w:rPr>
        <w:t>epartment stores (including Target, Kmart, Best and Less</w:t>
      </w:r>
      <w:r>
        <w:rPr>
          <w:lang w:eastAsia="en-AU"/>
        </w:rPr>
        <w:t>,</w:t>
      </w:r>
      <w:r w:rsidRPr="005911E2">
        <w:rPr>
          <w:lang w:eastAsia="en-AU"/>
        </w:rPr>
        <w:t xml:space="preserve"> and Woolworths) and some petrol station chains (including BP, Caltex, United, Mobil and Coles Express).</w:t>
      </w:r>
    </w:p>
    <w:p w:rsidR="00943DCB" w:rsidRPr="005911E2" w:rsidRDefault="00943DCB" w:rsidP="00943DCB">
      <w:pPr>
        <w:rPr>
          <w:lang w:eastAsia="en-AU"/>
        </w:rPr>
      </w:pPr>
      <w:r w:rsidRPr="005911E2">
        <w:rPr>
          <w:lang w:eastAsia="en-AU"/>
        </w:rPr>
        <w:t xml:space="preserve">The number of retail outlets approved to accept BasicsCard in the Northern Territory has increased since the commencement of </w:t>
      </w:r>
      <w:r>
        <w:rPr>
          <w:lang w:eastAsia="en-AU"/>
        </w:rPr>
        <w:t>income management</w:t>
      </w:r>
      <w:r w:rsidRPr="005911E2">
        <w:rPr>
          <w:lang w:eastAsia="en-AU"/>
        </w:rPr>
        <w:t>, but there are still many smaller retail outlets that do not accept the BasicsCard (</w:t>
      </w:r>
      <w:r w:rsidR="00FA2BC6">
        <w:rPr>
          <w:lang w:eastAsia="en-AU"/>
        </w:rPr>
        <w:t>FaHCSIA, 2011b,</w:t>
      </w:r>
      <w:r w:rsidR="00F8413B">
        <w:rPr>
          <w:lang w:eastAsia="en-AU"/>
        </w:rPr>
        <w:t xml:space="preserve"> p. </w:t>
      </w:r>
      <w:r w:rsidRPr="005911E2">
        <w:rPr>
          <w:lang w:eastAsia="en-AU"/>
        </w:rPr>
        <w:t xml:space="preserve">32). One factor which is taken into account when approving a store to accept the BasicsCard is the </w:t>
      </w:r>
      <w:r>
        <w:rPr>
          <w:lang w:eastAsia="en-AU"/>
        </w:rPr>
        <w:t>share</w:t>
      </w:r>
      <w:r w:rsidRPr="005911E2">
        <w:rPr>
          <w:lang w:eastAsia="en-AU"/>
        </w:rPr>
        <w:t xml:space="preserve"> of sales which are on priority goods (</w:t>
      </w:r>
      <w:r w:rsidR="00F8413B">
        <w:rPr>
          <w:lang w:eastAsia="en-AU"/>
        </w:rPr>
        <w:t>FaHCSIA, 2011b,</w:t>
      </w:r>
      <w:r w:rsidRPr="005911E2">
        <w:rPr>
          <w:lang w:eastAsia="en-AU"/>
        </w:rPr>
        <w:t xml:space="preserve"> footnote 1035). Outlets such as market stalls have been able to be approved for the BasicsCard from September 2011.</w:t>
      </w:r>
    </w:p>
    <w:p w:rsidR="00D96A58" w:rsidRDefault="00BD6DFD" w:rsidP="007B4471">
      <w:pPr>
        <w:pStyle w:val="Heading4"/>
      </w:pPr>
      <w:r w:rsidRPr="005911E2">
        <w:t>Checking BasicsCard balance</w:t>
      </w:r>
    </w:p>
    <w:p w:rsidR="00BD6DFD" w:rsidRPr="005911E2" w:rsidRDefault="00BD6DFD" w:rsidP="00BD6DFD">
      <w:pPr>
        <w:rPr>
          <w:lang w:eastAsia="en-AU"/>
        </w:rPr>
      </w:pPr>
      <w:r w:rsidRPr="005911E2">
        <w:rPr>
          <w:lang w:eastAsia="en-AU"/>
        </w:rPr>
        <w:t xml:space="preserve">As outlined in Chapter 2, BasicsCard balances can either be checked over the telephone, over the internet, at a Centrelink Office or at a BasicsCard Kiosk (similar to ATM, but does not dispense cash). In addition, some merchants offer the option of printing the BasicsCard balance on receipts. These methods of checking </w:t>
      </w:r>
      <w:r w:rsidR="00F47B6B">
        <w:rPr>
          <w:lang w:eastAsia="en-AU"/>
        </w:rPr>
        <w:t xml:space="preserve">the </w:t>
      </w:r>
      <w:r w:rsidRPr="005911E2">
        <w:rPr>
          <w:lang w:eastAsia="en-AU"/>
        </w:rPr>
        <w:t>BasicsCard balance are all free, although there may be costs to the person checking their balance in the form of phone call or internet access costs.</w:t>
      </w:r>
    </w:p>
    <w:p w:rsidR="00BD6DFD" w:rsidRPr="005911E2" w:rsidRDefault="00BD6DFD" w:rsidP="00BD6DFD">
      <w:pPr>
        <w:rPr>
          <w:lang w:eastAsia="en-AU"/>
        </w:rPr>
      </w:pPr>
      <w:r w:rsidRPr="005911E2">
        <w:rPr>
          <w:lang w:eastAsia="en-AU"/>
        </w:rPr>
        <w:t xml:space="preserve">In </w:t>
      </w:r>
      <w:r w:rsidR="00F74C91">
        <w:rPr>
          <w:lang w:eastAsia="en-AU"/>
        </w:rPr>
        <w:t>June</w:t>
      </w:r>
      <w:r w:rsidR="00F74C91" w:rsidRPr="005911E2">
        <w:rPr>
          <w:lang w:eastAsia="en-AU"/>
        </w:rPr>
        <w:t xml:space="preserve"> </w:t>
      </w:r>
      <w:r w:rsidRPr="005911E2">
        <w:rPr>
          <w:lang w:eastAsia="en-AU"/>
        </w:rPr>
        <w:t xml:space="preserve">2012, there were BasicsCard Kiosks in </w:t>
      </w:r>
      <w:r w:rsidR="0084340E">
        <w:rPr>
          <w:lang w:eastAsia="en-AU"/>
        </w:rPr>
        <w:t>ten</w:t>
      </w:r>
      <w:r w:rsidR="0084340E" w:rsidRPr="005911E2">
        <w:rPr>
          <w:lang w:eastAsia="en-AU"/>
        </w:rPr>
        <w:t xml:space="preserve"> </w:t>
      </w:r>
      <w:r w:rsidRPr="005911E2">
        <w:rPr>
          <w:lang w:eastAsia="en-AU"/>
        </w:rPr>
        <w:t xml:space="preserve">locations in larger population centres in the </w:t>
      </w:r>
      <w:r w:rsidR="00691035">
        <w:rPr>
          <w:lang w:eastAsia="en-AU"/>
        </w:rPr>
        <w:t>Northern Territory;</w:t>
      </w:r>
      <w:r w:rsidRPr="005911E2">
        <w:rPr>
          <w:lang w:eastAsia="en-AU"/>
        </w:rPr>
        <w:t xml:space="preserve"> Alice Springs (two locations)</w:t>
      </w:r>
      <w:r w:rsidR="00F47B6B">
        <w:rPr>
          <w:lang w:eastAsia="en-AU"/>
        </w:rPr>
        <w:t>,</w:t>
      </w:r>
      <w:r w:rsidRPr="005911E2">
        <w:rPr>
          <w:lang w:eastAsia="en-AU"/>
        </w:rPr>
        <w:t xml:space="preserve"> Bathurst Island</w:t>
      </w:r>
      <w:r w:rsidR="00F47B6B">
        <w:rPr>
          <w:lang w:eastAsia="en-AU"/>
        </w:rPr>
        <w:t>,</w:t>
      </w:r>
      <w:r w:rsidRPr="005911E2">
        <w:rPr>
          <w:lang w:eastAsia="en-AU"/>
        </w:rPr>
        <w:t xml:space="preserve"> Darwin (</w:t>
      </w:r>
      <w:r w:rsidR="0084340E">
        <w:rPr>
          <w:lang w:eastAsia="en-AU"/>
        </w:rPr>
        <w:t>five</w:t>
      </w:r>
      <w:r w:rsidR="00F74C91" w:rsidRPr="005911E2">
        <w:rPr>
          <w:lang w:eastAsia="en-AU"/>
        </w:rPr>
        <w:t xml:space="preserve"> </w:t>
      </w:r>
      <w:r w:rsidRPr="005911E2">
        <w:rPr>
          <w:lang w:eastAsia="en-AU"/>
        </w:rPr>
        <w:t>locations)</w:t>
      </w:r>
      <w:r w:rsidR="00F47B6B">
        <w:rPr>
          <w:lang w:eastAsia="en-AU"/>
        </w:rPr>
        <w:t>,</w:t>
      </w:r>
      <w:r w:rsidR="00771422">
        <w:rPr>
          <w:lang w:eastAsia="en-AU"/>
        </w:rPr>
        <w:t xml:space="preserve"> Katherine, and Wadeye</w:t>
      </w:r>
      <w:r w:rsidRPr="005911E2">
        <w:rPr>
          <w:lang w:eastAsia="en-AU"/>
        </w:rPr>
        <w:t xml:space="preserve"> (Centrelink</w:t>
      </w:r>
      <w:r w:rsidR="00F47B6B">
        <w:rPr>
          <w:lang w:eastAsia="en-AU"/>
        </w:rPr>
        <w:t>,</w:t>
      </w:r>
      <w:r w:rsidRPr="005911E2">
        <w:rPr>
          <w:lang w:eastAsia="en-AU"/>
        </w:rPr>
        <w:t xml:space="preserve"> 2012</w:t>
      </w:r>
      <w:r w:rsidR="00F74C91">
        <w:rPr>
          <w:lang w:eastAsia="en-AU"/>
        </w:rPr>
        <w:t>c</w:t>
      </w:r>
      <w:r w:rsidRPr="005911E2">
        <w:rPr>
          <w:lang w:eastAsia="en-AU"/>
        </w:rPr>
        <w:t>)</w:t>
      </w:r>
      <w:r w:rsidR="00F47B6B">
        <w:rPr>
          <w:lang w:eastAsia="en-AU"/>
        </w:rPr>
        <w:t>.</w:t>
      </w:r>
    </w:p>
    <w:p w:rsidR="00BD6DFD" w:rsidRPr="005911E2" w:rsidRDefault="00F47B6B" w:rsidP="00BD6DFD">
      <w:pPr>
        <w:rPr>
          <w:szCs w:val="31"/>
          <w:lang w:eastAsia="en-AU" w:bidi="ar-SA"/>
        </w:rPr>
      </w:pPr>
      <w:r>
        <w:rPr>
          <w:lang w:eastAsia="en-AU"/>
        </w:rPr>
        <w:t>M</w:t>
      </w:r>
      <w:r w:rsidR="00BD6DFD" w:rsidRPr="005911E2">
        <w:rPr>
          <w:lang w:eastAsia="en-AU"/>
        </w:rPr>
        <w:t>ore recently it has been possible for merchants to print BasicsCard balances on EFTPOS receipts. As at March 2011 a small number of larger retailers (</w:t>
      </w:r>
      <w:r w:rsidR="00BD6DFD" w:rsidRPr="005911E2">
        <w:rPr>
          <w:szCs w:val="31"/>
          <w:lang w:eastAsia="en-AU"/>
        </w:rPr>
        <w:t xml:space="preserve">Coles </w:t>
      </w:r>
      <w:r>
        <w:rPr>
          <w:szCs w:val="31"/>
          <w:lang w:eastAsia="en-AU" w:bidi="ar-SA"/>
        </w:rPr>
        <w:t>s</w:t>
      </w:r>
      <w:r w:rsidR="00BD6DFD" w:rsidRPr="005911E2">
        <w:rPr>
          <w:szCs w:val="31"/>
          <w:lang w:eastAsia="en-AU" w:bidi="ar-SA"/>
        </w:rPr>
        <w:t>upermarkets</w:t>
      </w:r>
      <w:r>
        <w:rPr>
          <w:szCs w:val="31"/>
          <w:lang w:eastAsia="en-AU" w:bidi="ar-SA"/>
        </w:rPr>
        <w:t>,</w:t>
      </w:r>
      <w:r w:rsidR="00BD6DFD" w:rsidRPr="005911E2">
        <w:rPr>
          <w:szCs w:val="31"/>
          <w:lang w:eastAsia="en-AU"/>
        </w:rPr>
        <w:t xml:space="preserve"> </w:t>
      </w:r>
      <w:r w:rsidR="00BD6DFD" w:rsidRPr="005911E2">
        <w:rPr>
          <w:szCs w:val="31"/>
          <w:lang w:eastAsia="en-AU" w:bidi="ar-SA"/>
        </w:rPr>
        <w:t>Coles Express</w:t>
      </w:r>
      <w:r>
        <w:rPr>
          <w:szCs w:val="31"/>
          <w:lang w:eastAsia="en-AU" w:bidi="ar-SA"/>
        </w:rPr>
        <w:t xml:space="preserve">, </w:t>
      </w:r>
      <w:r w:rsidR="00BD6DFD" w:rsidRPr="005911E2">
        <w:rPr>
          <w:szCs w:val="31"/>
          <w:lang w:eastAsia="en-AU"/>
        </w:rPr>
        <w:t>Target</w:t>
      </w:r>
      <w:r>
        <w:rPr>
          <w:szCs w:val="31"/>
          <w:lang w:eastAsia="en-AU"/>
        </w:rPr>
        <w:t xml:space="preserve">, </w:t>
      </w:r>
      <w:r w:rsidR="00BD6DFD" w:rsidRPr="005911E2">
        <w:rPr>
          <w:szCs w:val="31"/>
          <w:lang w:eastAsia="en-AU" w:bidi="ar-SA"/>
        </w:rPr>
        <w:t>Target Country</w:t>
      </w:r>
      <w:r>
        <w:rPr>
          <w:szCs w:val="31"/>
          <w:lang w:eastAsia="en-AU" w:bidi="ar-SA"/>
        </w:rPr>
        <w:t>,</w:t>
      </w:r>
      <w:r w:rsidR="00BD6DFD" w:rsidRPr="005911E2">
        <w:rPr>
          <w:szCs w:val="31"/>
          <w:lang w:eastAsia="en-AU"/>
        </w:rPr>
        <w:t xml:space="preserve"> </w:t>
      </w:r>
      <w:r w:rsidR="00BD6DFD" w:rsidRPr="005911E2">
        <w:rPr>
          <w:szCs w:val="31"/>
          <w:lang w:eastAsia="en-AU" w:bidi="ar-SA"/>
        </w:rPr>
        <w:t>Kmart</w:t>
      </w:r>
      <w:r>
        <w:rPr>
          <w:szCs w:val="31"/>
          <w:lang w:eastAsia="en-AU" w:bidi="ar-SA"/>
        </w:rPr>
        <w:t>,</w:t>
      </w:r>
      <w:r w:rsidR="00BD6DFD" w:rsidRPr="005911E2">
        <w:rPr>
          <w:szCs w:val="31"/>
          <w:lang w:eastAsia="en-AU"/>
        </w:rPr>
        <w:t xml:space="preserve"> </w:t>
      </w:r>
      <w:r w:rsidR="00BD6DFD" w:rsidRPr="005911E2">
        <w:rPr>
          <w:szCs w:val="31"/>
          <w:lang w:eastAsia="en-AU" w:bidi="ar-SA"/>
        </w:rPr>
        <w:t>Kmart Tyre and Auto Service</w:t>
      </w:r>
      <w:r>
        <w:rPr>
          <w:szCs w:val="31"/>
          <w:lang w:eastAsia="en-AU" w:bidi="ar-SA"/>
        </w:rPr>
        <w:t>,</w:t>
      </w:r>
      <w:r w:rsidR="00BD6DFD" w:rsidRPr="005911E2">
        <w:rPr>
          <w:szCs w:val="31"/>
          <w:lang w:eastAsia="en-AU"/>
        </w:rPr>
        <w:t xml:space="preserve"> and </w:t>
      </w:r>
      <w:r w:rsidR="00691035">
        <w:rPr>
          <w:szCs w:val="31"/>
          <w:lang w:eastAsia="en-AU" w:bidi="ar-SA"/>
        </w:rPr>
        <w:t>Bi-Lo</w:t>
      </w:r>
      <w:r w:rsidR="00BD6DFD" w:rsidRPr="005911E2">
        <w:rPr>
          <w:szCs w:val="31"/>
          <w:lang w:eastAsia="en-AU"/>
        </w:rPr>
        <w:t>) were offering this option.</w:t>
      </w:r>
    </w:p>
    <w:p w:rsidR="00BD6DFD" w:rsidRPr="005911E2" w:rsidRDefault="00BD6DFD" w:rsidP="00616B0F">
      <w:pPr>
        <w:pStyle w:val="Heading2"/>
      </w:pPr>
      <w:bookmarkStart w:id="512" w:name="_Toc321225126"/>
      <w:bookmarkStart w:id="513" w:name="_Toc321254469"/>
      <w:bookmarkStart w:id="514" w:name="_Toc328601493"/>
      <w:bookmarkStart w:id="515" w:name="_Toc329870375"/>
      <w:bookmarkStart w:id="516" w:name="_Toc335915761"/>
      <w:r w:rsidRPr="005911E2">
        <w:t>Number of BasicsCards issued and reasons for reissue</w:t>
      </w:r>
      <w:bookmarkEnd w:id="512"/>
      <w:bookmarkEnd w:id="513"/>
      <w:bookmarkEnd w:id="514"/>
      <w:bookmarkEnd w:id="515"/>
      <w:bookmarkEnd w:id="516"/>
    </w:p>
    <w:p w:rsidR="00BD6DFD" w:rsidRPr="005911E2" w:rsidRDefault="00BD6DFD" w:rsidP="00BD6DFD">
      <w:pPr>
        <w:rPr>
          <w:lang w:eastAsia="en-AU"/>
        </w:rPr>
      </w:pPr>
      <w:r w:rsidRPr="005911E2">
        <w:rPr>
          <w:lang w:eastAsia="en-AU"/>
        </w:rPr>
        <w:t xml:space="preserve">One way of understanding how the BasicsCard is used is to examine the number of BasicsCards issued and the reasons for cards being reissued. </w:t>
      </w:r>
    </w:p>
    <w:p w:rsidR="00BD6DFD" w:rsidRPr="005911E2" w:rsidRDefault="00BD6DFD" w:rsidP="00BD6DFD">
      <w:pPr>
        <w:rPr>
          <w:lang w:eastAsia="en-AU"/>
        </w:rPr>
      </w:pPr>
      <w:r w:rsidRPr="005911E2">
        <w:rPr>
          <w:lang w:eastAsia="en-AU"/>
        </w:rPr>
        <w:t xml:space="preserve">The number of cards issued may be an indicator of the extent to which those subject to </w:t>
      </w:r>
      <w:r w:rsidR="00F878E4">
        <w:rPr>
          <w:lang w:eastAsia="en-AU"/>
        </w:rPr>
        <w:t>income management</w:t>
      </w:r>
      <w:r w:rsidRPr="005911E2">
        <w:rPr>
          <w:lang w:eastAsia="en-AU"/>
        </w:rPr>
        <w:t>:</w:t>
      </w:r>
    </w:p>
    <w:p w:rsidR="00BD6DFD" w:rsidRPr="005911E2" w:rsidRDefault="00BD6DFD" w:rsidP="00007FB2">
      <w:pPr>
        <w:pStyle w:val="ListBullet"/>
      </w:pPr>
      <w:r w:rsidRPr="005911E2">
        <w:t>have lifestyles which are associated with losing their BasicsCard</w:t>
      </w:r>
    </w:p>
    <w:p w:rsidR="00BD6DFD" w:rsidRPr="005911E2" w:rsidRDefault="00BD6DFD" w:rsidP="00007FB2">
      <w:pPr>
        <w:pStyle w:val="ListBullet"/>
      </w:pPr>
      <w:r w:rsidRPr="005911E2">
        <w:t>treat the BasicsCard as disposable and therefore easily replaceable for no charge.</w:t>
      </w:r>
    </w:p>
    <w:p w:rsidR="00BD6DFD" w:rsidRPr="005911E2" w:rsidRDefault="00BD6DFD" w:rsidP="00BD6DFD">
      <w:pPr>
        <w:rPr>
          <w:lang w:eastAsia="en-AU"/>
        </w:rPr>
      </w:pPr>
      <w:r w:rsidRPr="005911E2">
        <w:rPr>
          <w:lang w:eastAsia="en-AU"/>
        </w:rPr>
        <w:t>On average, people being income managed have had 3.6 cards issued during their current spell of income management (Table 6</w:t>
      </w:r>
      <w:r w:rsidRPr="005911E2">
        <w:rPr>
          <w:lang w:eastAsia="en-AU"/>
        </w:rPr>
        <w:noBreakHyphen/>
        <w:t>2). This equates to 59</w:t>
      </w:r>
      <w:r w:rsidR="002955BA">
        <w:rPr>
          <w:lang w:eastAsia="en-AU"/>
        </w:rPr>
        <w:t> </w:t>
      </w:r>
      <w:r w:rsidRPr="005911E2">
        <w:rPr>
          <w:lang w:eastAsia="en-AU"/>
        </w:rPr>
        <w:t>013 BasicsCards.</w:t>
      </w:r>
      <w:r w:rsidRPr="005911E2">
        <w:rPr>
          <w:vertAlign w:val="superscript"/>
          <w:lang w:eastAsia="en-AU"/>
        </w:rPr>
        <w:footnoteReference w:id="64"/>
      </w:r>
    </w:p>
    <w:p w:rsidR="00BD6DFD" w:rsidRPr="005911E2" w:rsidRDefault="00BD6DFD" w:rsidP="00263D64">
      <w:pPr>
        <w:pStyle w:val="tabfighead"/>
      </w:pPr>
      <w:bookmarkStart w:id="517" w:name="_Ref320512284"/>
      <w:bookmarkStart w:id="518" w:name="_Toc321430426"/>
      <w:bookmarkStart w:id="519" w:name="_Toc321254545"/>
      <w:bookmarkStart w:id="520" w:name="_Toc328601593"/>
      <w:bookmarkStart w:id="521" w:name="_Toc329051371"/>
      <w:bookmarkStart w:id="522" w:name="_Toc335915859"/>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6</w:t>
      </w:r>
      <w:r w:rsidR="00C7347D" w:rsidRPr="005911E2">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2</w:t>
      </w:r>
      <w:r w:rsidR="00C7347D" w:rsidRPr="005911E2">
        <w:fldChar w:fldCharType="end"/>
      </w:r>
      <w:bookmarkEnd w:id="517"/>
      <w:r w:rsidRPr="005911E2">
        <w:t xml:space="preserve"> </w:t>
      </w:r>
      <w:r w:rsidRPr="005911E2">
        <w:tab/>
        <w:t>Number of BasicsCards issued during current spell of income management by type of income management, October 2011</w:t>
      </w:r>
      <w:bookmarkEnd w:id="518"/>
      <w:bookmarkEnd w:id="519"/>
      <w:bookmarkEnd w:id="520"/>
      <w:bookmarkEnd w:id="521"/>
      <w:bookmarkEnd w:id="522"/>
    </w:p>
    <w:tbl>
      <w:tblPr>
        <w:tblW w:w="5009" w:type="dxa"/>
        <w:jc w:val="center"/>
        <w:tblInd w:w="4033" w:type="dxa"/>
        <w:tblLook w:val="04A0" w:firstRow="1" w:lastRow="0" w:firstColumn="1" w:lastColumn="0" w:noHBand="0" w:noVBand="1"/>
      </w:tblPr>
      <w:tblGrid>
        <w:gridCol w:w="1462"/>
        <w:gridCol w:w="1138"/>
        <w:gridCol w:w="1417"/>
        <w:gridCol w:w="992"/>
      </w:tblGrid>
      <w:tr w:rsidR="00BD6DFD" w:rsidRPr="00911315" w:rsidTr="00943DCB">
        <w:trPr>
          <w:trHeight w:val="300"/>
          <w:jc w:val="center"/>
        </w:trPr>
        <w:tc>
          <w:tcPr>
            <w:tcW w:w="1462" w:type="dxa"/>
            <w:tcBorders>
              <w:top w:val="single" w:sz="4" w:space="0" w:color="000000"/>
              <w:bottom w:val="single" w:sz="4" w:space="0" w:color="000000"/>
            </w:tcBorders>
            <w:shd w:val="clear" w:color="auto" w:fill="auto"/>
            <w:noWrap/>
            <w:hideMark/>
          </w:tcPr>
          <w:p w:rsidR="00BD6DFD" w:rsidRPr="00911315" w:rsidRDefault="00BD6DFD" w:rsidP="00BD6DFD">
            <w:pPr>
              <w:keepNext/>
              <w:keepLines/>
              <w:spacing w:after="60" w:line="240" w:lineRule="auto"/>
              <w:ind w:left="0"/>
              <w:jc w:val="left"/>
              <w:rPr>
                <w:rFonts w:cs="Arial"/>
                <w:color w:val="000000"/>
                <w:sz w:val="16"/>
                <w:szCs w:val="16"/>
                <w:lang w:eastAsia="en-AU" w:bidi="ar-SA"/>
              </w:rPr>
            </w:pPr>
          </w:p>
        </w:tc>
        <w:tc>
          <w:tcPr>
            <w:tcW w:w="1138" w:type="dxa"/>
            <w:tcBorders>
              <w:top w:val="single" w:sz="4" w:space="0" w:color="000000"/>
              <w:bottom w:val="single" w:sz="4" w:space="0" w:color="000000"/>
            </w:tcBorders>
            <w:shd w:val="clear" w:color="auto" w:fill="auto"/>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Indigenous</w:t>
            </w:r>
          </w:p>
        </w:tc>
        <w:tc>
          <w:tcPr>
            <w:tcW w:w="1417" w:type="dxa"/>
            <w:tcBorders>
              <w:top w:val="single" w:sz="4" w:space="0" w:color="000000"/>
              <w:bottom w:val="single" w:sz="4" w:space="0" w:color="000000"/>
            </w:tcBorders>
            <w:shd w:val="clear" w:color="auto" w:fill="auto"/>
            <w:hideMark/>
          </w:tcPr>
          <w:p w:rsidR="00BD6DFD" w:rsidRPr="00911315" w:rsidRDefault="00BD6DFD" w:rsidP="00593501">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Non-Indigenous</w:t>
            </w:r>
          </w:p>
        </w:tc>
        <w:tc>
          <w:tcPr>
            <w:tcW w:w="992" w:type="dxa"/>
            <w:tcBorders>
              <w:top w:val="single" w:sz="4" w:space="0" w:color="000000"/>
              <w:bottom w:val="single" w:sz="4" w:space="0" w:color="000000"/>
            </w:tcBorders>
            <w:shd w:val="clear" w:color="auto" w:fill="auto"/>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Total</w:t>
            </w:r>
          </w:p>
        </w:tc>
      </w:tr>
      <w:tr w:rsidR="00BD6DFD" w:rsidRPr="00911315" w:rsidTr="00943DCB">
        <w:trPr>
          <w:trHeight w:val="300"/>
          <w:jc w:val="center"/>
        </w:trPr>
        <w:tc>
          <w:tcPr>
            <w:tcW w:w="1462" w:type="dxa"/>
            <w:tcBorders>
              <w:top w:val="single" w:sz="4" w:space="0" w:color="000000"/>
            </w:tcBorders>
            <w:shd w:val="clear" w:color="auto" w:fill="auto"/>
            <w:noWrap/>
          </w:tcPr>
          <w:p w:rsidR="00BD6DFD" w:rsidRPr="00911315" w:rsidRDefault="00BD6DFD" w:rsidP="00BD6DFD">
            <w:pPr>
              <w:keepNext/>
              <w:keepLines/>
              <w:spacing w:after="60" w:line="240" w:lineRule="auto"/>
              <w:ind w:left="0"/>
              <w:jc w:val="left"/>
              <w:rPr>
                <w:rFonts w:cs="Arial"/>
                <w:color w:val="000000"/>
                <w:sz w:val="16"/>
                <w:szCs w:val="16"/>
                <w:lang w:eastAsia="en-AU" w:bidi="ar-SA"/>
              </w:rPr>
            </w:pPr>
          </w:p>
        </w:tc>
        <w:tc>
          <w:tcPr>
            <w:tcW w:w="3547" w:type="dxa"/>
            <w:gridSpan w:val="3"/>
            <w:tcBorders>
              <w:top w:val="single" w:sz="4" w:space="0" w:color="000000"/>
            </w:tcBorders>
            <w:shd w:val="clear" w:color="auto" w:fill="auto"/>
            <w:noWrap/>
            <w:vAlign w:val="center"/>
          </w:tcPr>
          <w:p w:rsidR="00BD6DFD" w:rsidRPr="00911315" w:rsidRDefault="00BD6DFD" w:rsidP="00F74C91">
            <w:pPr>
              <w:keepNext/>
              <w:keepLines/>
              <w:spacing w:after="60" w:line="240" w:lineRule="auto"/>
              <w:ind w:left="0"/>
              <w:jc w:val="center"/>
              <w:rPr>
                <w:rFonts w:cs="Arial"/>
                <w:color w:val="000000"/>
                <w:sz w:val="16"/>
                <w:szCs w:val="16"/>
                <w:lang w:eastAsia="en-AU" w:bidi="ar-SA"/>
              </w:rPr>
            </w:pPr>
            <w:r w:rsidRPr="00911315">
              <w:rPr>
                <w:rFonts w:cs="Arial"/>
                <w:color w:val="000000"/>
                <w:sz w:val="16"/>
                <w:szCs w:val="16"/>
                <w:lang w:eastAsia="en-AU" w:bidi="ar-SA"/>
              </w:rPr>
              <w:t>Average number of cards</w:t>
            </w:r>
            <w:r w:rsidR="00273B1F">
              <w:rPr>
                <w:rFonts w:cs="Arial"/>
                <w:color w:val="000000"/>
                <w:sz w:val="16"/>
                <w:szCs w:val="16"/>
                <w:lang w:eastAsia="en-AU" w:bidi="ar-SA"/>
              </w:rPr>
              <w:t xml:space="preserve"> issued</w:t>
            </w:r>
          </w:p>
        </w:tc>
      </w:tr>
      <w:tr w:rsidR="00BD6DFD" w:rsidRPr="00911315" w:rsidTr="00943DCB">
        <w:trPr>
          <w:trHeight w:val="300"/>
          <w:jc w:val="center"/>
        </w:trPr>
        <w:tc>
          <w:tcPr>
            <w:tcW w:w="1462" w:type="dxa"/>
            <w:shd w:val="clear" w:color="auto" w:fill="auto"/>
            <w:noWrap/>
            <w:hideMark/>
          </w:tcPr>
          <w:p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CIM</w:t>
            </w:r>
          </w:p>
        </w:tc>
        <w:tc>
          <w:tcPr>
            <w:tcW w:w="1138" w:type="dxa"/>
            <w:shd w:val="clear" w:color="auto" w:fill="auto"/>
            <w:noWrap/>
            <w:vAlign w:val="center"/>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3.3</w:t>
            </w:r>
          </w:p>
        </w:tc>
        <w:tc>
          <w:tcPr>
            <w:tcW w:w="1417" w:type="dxa"/>
            <w:shd w:val="clear" w:color="auto" w:fill="auto"/>
            <w:noWrap/>
            <w:vAlign w:val="center"/>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1.2</w:t>
            </w:r>
          </w:p>
        </w:tc>
        <w:tc>
          <w:tcPr>
            <w:tcW w:w="992" w:type="dxa"/>
            <w:shd w:val="clear" w:color="auto" w:fill="auto"/>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3.1</w:t>
            </w:r>
          </w:p>
        </w:tc>
      </w:tr>
      <w:tr w:rsidR="00BD6DFD" w:rsidRPr="00911315" w:rsidTr="00943DCB">
        <w:trPr>
          <w:trHeight w:val="300"/>
          <w:jc w:val="center"/>
        </w:trPr>
        <w:tc>
          <w:tcPr>
            <w:tcW w:w="1462" w:type="dxa"/>
            <w:shd w:val="clear" w:color="auto" w:fill="auto"/>
            <w:noWrap/>
            <w:hideMark/>
          </w:tcPr>
          <w:p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CPIM</w:t>
            </w:r>
          </w:p>
        </w:tc>
        <w:tc>
          <w:tcPr>
            <w:tcW w:w="1138" w:type="dxa"/>
            <w:shd w:val="clear" w:color="auto" w:fill="auto"/>
            <w:noWrap/>
            <w:vAlign w:val="center"/>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2.1</w:t>
            </w:r>
          </w:p>
        </w:tc>
        <w:tc>
          <w:tcPr>
            <w:tcW w:w="1417" w:type="dxa"/>
            <w:shd w:val="clear" w:color="auto" w:fill="auto"/>
            <w:noWrap/>
            <w:vAlign w:val="center"/>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1.2</w:t>
            </w:r>
          </w:p>
        </w:tc>
        <w:tc>
          <w:tcPr>
            <w:tcW w:w="992" w:type="dxa"/>
            <w:shd w:val="clear" w:color="auto" w:fill="auto"/>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2.1</w:t>
            </w:r>
          </w:p>
        </w:tc>
      </w:tr>
      <w:tr w:rsidR="00BD6DFD" w:rsidRPr="00911315" w:rsidTr="00943DCB">
        <w:trPr>
          <w:trHeight w:val="300"/>
          <w:jc w:val="center"/>
        </w:trPr>
        <w:tc>
          <w:tcPr>
            <w:tcW w:w="1462" w:type="dxa"/>
            <w:shd w:val="clear" w:color="auto" w:fill="auto"/>
            <w:noWrap/>
            <w:hideMark/>
          </w:tcPr>
          <w:p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VIM</w:t>
            </w:r>
          </w:p>
        </w:tc>
        <w:tc>
          <w:tcPr>
            <w:tcW w:w="1138" w:type="dxa"/>
            <w:shd w:val="clear" w:color="auto" w:fill="auto"/>
            <w:noWrap/>
            <w:vAlign w:val="center"/>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4.8</w:t>
            </w:r>
          </w:p>
        </w:tc>
        <w:tc>
          <w:tcPr>
            <w:tcW w:w="1417" w:type="dxa"/>
            <w:shd w:val="clear" w:color="auto" w:fill="auto"/>
            <w:noWrap/>
            <w:vAlign w:val="center"/>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2.7</w:t>
            </w:r>
          </w:p>
        </w:tc>
        <w:tc>
          <w:tcPr>
            <w:tcW w:w="992" w:type="dxa"/>
            <w:shd w:val="clear" w:color="auto" w:fill="auto"/>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4.8</w:t>
            </w:r>
          </w:p>
        </w:tc>
      </w:tr>
      <w:tr w:rsidR="00BD6DFD" w:rsidRPr="00911315" w:rsidTr="00943DCB">
        <w:trPr>
          <w:trHeight w:val="300"/>
          <w:jc w:val="center"/>
        </w:trPr>
        <w:tc>
          <w:tcPr>
            <w:tcW w:w="1462" w:type="dxa"/>
            <w:shd w:val="clear" w:color="auto" w:fill="auto"/>
            <w:noWrap/>
            <w:hideMark/>
          </w:tcPr>
          <w:p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VULIM</w:t>
            </w:r>
          </w:p>
        </w:tc>
        <w:tc>
          <w:tcPr>
            <w:tcW w:w="1138" w:type="dxa"/>
            <w:shd w:val="clear" w:color="auto" w:fill="auto"/>
            <w:noWrap/>
            <w:vAlign w:val="center"/>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8.2</w:t>
            </w:r>
          </w:p>
        </w:tc>
        <w:tc>
          <w:tcPr>
            <w:tcW w:w="1417" w:type="dxa"/>
            <w:shd w:val="clear" w:color="auto" w:fill="auto"/>
            <w:noWrap/>
            <w:vAlign w:val="center"/>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4.5</w:t>
            </w:r>
          </w:p>
        </w:tc>
        <w:tc>
          <w:tcPr>
            <w:tcW w:w="992" w:type="dxa"/>
            <w:shd w:val="clear" w:color="auto" w:fill="auto"/>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8.1</w:t>
            </w:r>
          </w:p>
        </w:tc>
      </w:tr>
      <w:tr w:rsidR="00BD6DFD" w:rsidRPr="00911315" w:rsidTr="00943DCB">
        <w:trPr>
          <w:trHeight w:val="300"/>
          <w:jc w:val="center"/>
        </w:trPr>
        <w:tc>
          <w:tcPr>
            <w:tcW w:w="1462" w:type="dxa"/>
            <w:tcBorders>
              <w:bottom w:val="single" w:sz="4" w:space="0" w:color="000000"/>
            </w:tcBorders>
            <w:shd w:val="clear" w:color="auto" w:fill="auto"/>
            <w:noWrap/>
            <w:hideMark/>
          </w:tcPr>
          <w:p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Total</w:t>
            </w:r>
          </w:p>
        </w:tc>
        <w:tc>
          <w:tcPr>
            <w:tcW w:w="1138" w:type="dxa"/>
            <w:tcBorders>
              <w:bottom w:val="single" w:sz="4" w:space="0" w:color="000000"/>
            </w:tcBorders>
            <w:shd w:val="clear" w:color="auto" w:fill="auto"/>
            <w:noWrap/>
            <w:vAlign w:val="center"/>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3.8</w:t>
            </w:r>
          </w:p>
        </w:tc>
        <w:tc>
          <w:tcPr>
            <w:tcW w:w="1417" w:type="dxa"/>
            <w:tcBorders>
              <w:bottom w:val="single" w:sz="4" w:space="0" w:color="000000"/>
            </w:tcBorders>
            <w:shd w:val="clear" w:color="auto" w:fill="auto"/>
            <w:noWrap/>
            <w:vAlign w:val="center"/>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1.3</w:t>
            </w:r>
          </w:p>
        </w:tc>
        <w:tc>
          <w:tcPr>
            <w:tcW w:w="992" w:type="dxa"/>
            <w:tcBorders>
              <w:bottom w:val="single" w:sz="4" w:space="0" w:color="000000"/>
            </w:tcBorders>
            <w:shd w:val="clear" w:color="auto" w:fill="auto"/>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3.6</w:t>
            </w:r>
          </w:p>
        </w:tc>
      </w:tr>
    </w:tbl>
    <w:p w:rsidR="00BD6DFD" w:rsidRDefault="00BD6DFD" w:rsidP="003B4A1A">
      <w:pPr>
        <w:pStyle w:val="tablefootnoteslastline"/>
      </w:pPr>
      <w:r w:rsidRPr="002955BA">
        <w:t>Source:</w:t>
      </w:r>
      <w:r w:rsidRPr="002955BA">
        <w:tab/>
        <w:t xml:space="preserve">BasicsCards issued and </w:t>
      </w:r>
      <w:r w:rsidR="00F878E4" w:rsidRPr="002955BA">
        <w:t>income management</w:t>
      </w:r>
      <w:r w:rsidRPr="002955BA">
        <w:t xml:space="preserve"> client datasets as at 28 October 2011.</w:t>
      </w:r>
    </w:p>
    <w:p w:rsidR="00943DCB" w:rsidRPr="002955BA" w:rsidRDefault="00943DCB" w:rsidP="00943DCB">
      <w:pPr>
        <w:pStyle w:val="tablefootnotes"/>
      </w:pPr>
    </w:p>
    <w:p w:rsidR="00943DCB" w:rsidRPr="005911E2" w:rsidRDefault="00943DCB" w:rsidP="00943DCB">
      <w:pPr>
        <w:rPr>
          <w:lang w:eastAsia="en-AU"/>
        </w:rPr>
      </w:pPr>
      <w:r w:rsidRPr="005911E2">
        <w:rPr>
          <w:lang w:eastAsia="en-AU"/>
        </w:rPr>
        <w:t xml:space="preserve">There are differences in the number of BasicsCards issued according to </w:t>
      </w:r>
      <w:r>
        <w:rPr>
          <w:lang w:eastAsia="en-AU"/>
        </w:rPr>
        <w:t>income management</w:t>
      </w:r>
      <w:r w:rsidRPr="005911E2">
        <w:rPr>
          <w:lang w:eastAsia="en-AU"/>
        </w:rPr>
        <w:t xml:space="preserve"> measure. Those on </w:t>
      </w:r>
      <w:r>
        <w:rPr>
          <w:lang w:eastAsia="en-AU"/>
        </w:rPr>
        <w:t>Compulsory Income Management</w:t>
      </w:r>
      <w:r w:rsidRPr="005911E2">
        <w:rPr>
          <w:lang w:eastAsia="en-AU"/>
        </w:rPr>
        <w:t xml:space="preserve"> had, on average, 3.1 BasicsCards issued. Those on </w:t>
      </w:r>
      <w:r>
        <w:rPr>
          <w:lang w:eastAsia="en-AU"/>
        </w:rPr>
        <w:t>Voluntary Income Management</w:t>
      </w:r>
      <w:r w:rsidRPr="005911E2">
        <w:rPr>
          <w:lang w:eastAsia="en-AU"/>
        </w:rPr>
        <w:t xml:space="preserve"> had 4.8 cards issued and those on </w:t>
      </w:r>
      <w:r>
        <w:rPr>
          <w:lang w:eastAsia="en-AU"/>
        </w:rPr>
        <w:t>Vulnerable Income Management</w:t>
      </w:r>
      <w:r w:rsidRPr="005911E2">
        <w:rPr>
          <w:lang w:eastAsia="en-AU"/>
        </w:rPr>
        <w:t xml:space="preserve"> had an average of 8.1 cards issued, more than twice the average number of cards issued </w:t>
      </w:r>
      <w:r>
        <w:rPr>
          <w:lang w:eastAsia="en-AU"/>
        </w:rPr>
        <w:t xml:space="preserve">when compared with </w:t>
      </w:r>
      <w:r w:rsidRPr="005911E2">
        <w:rPr>
          <w:lang w:eastAsia="en-AU"/>
        </w:rPr>
        <w:t xml:space="preserve">those on </w:t>
      </w:r>
      <w:r>
        <w:rPr>
          <w:lang w:eastAsia="en-AU"/>
        </w:rPr>
        <w:t>Compulsory Income Management</w:t>
      </w:r>
      <w:r w:rsidRPr="005911E2">
        <w:rPr>
          <w:lang w:eastAsia="en-AU"/>
        </w:rPr>
        <w:t xml:space="preserve">. </w:t>
      </w:r>
    </w:p>
    <w:p w:rsidR="00BD6DFD" w:rsidRPr="005911E2" w:rsidRDefault="00BD6DFD" w:rsidP="00BD6DFD">
      <w:pPr>
        <w:rPr>
          <w:lang w:eastAsia="en-AU"/>
        </w:rPr>
      </w:pPr>
      <w:r w:rsidRPr="005911E2">
        <w:rPr>
          <w:lang w:eastAsia="en-AU"/>
        </w:rPr>
        <w:t xml:space="preserve">The longer a person has been on </w:t>
      </w:r>
      <w:r w:rsidR="00F878E4">
        <w:rPr>
          <w:lang w:eastAsia="en-AU"/>
        </w:rPr>
        <w:t>income management</w:t>
      </w:r>
      <w:r w:rsidRPr="005911E2">
        <w:rPr>
          <w:lang w:eastAsia="en-AU"/>
        </w:rPr>
        <w:t xml:space="preserve"> the greater the opportunity for them to </w:t>
      </w:r>
      <w:r w:rsidR="00333514">
        <w:rPr>
          <w:lang w:eastAsia="en-AU"/>
        </w:rPr>
        <w:t>lose</w:t>
      </w:r>
      <w:r w:rsidRPr="005911E2">
        <w:rPr>
          <w:lang w:eastAsia="en-AU"/>
        </w:rPr>
        <w:t xml:space="preserve"> or damag</w:t>
      </w:r>
      <w:r w:rsidR="00333514">
        <w:rPr>
          <w:lang w:eastAsia="en-AU"/>
        </w:rPr>
        <w:t>e</w:t>
      </w:r>
      <w:r w:rsidRPr="005911E2">
        <w:rPr>
          <w:lang w:eastAsia="en-AU"/>
        </w:rPr>
        <w:t xml:space="preserve"> their BasicsCard and hence require a replacement card. Table </w:t>
      </w:r>
      <w:r w:rsidRPr="005911E2">
        <w:rPr>
          <w:noProof/>
          <w:lang w:eastAsia="en-AU"/>
        </w:rPr>
        <w:t>6</w:t>
      </w:r>
      <w:r w:rsidRPr="005911E2">
        <w:rPr>
          <w:noProof/>
          <w:lang w:eastAsia="en-AU"/>
        </w:rPr>
        <w:noBreakHyphen/>
        <w:t>3</w:t>
      </w:r>
      <w:r w:rsidRPr="005911E2">
        <w:rPr>
          <w:lang w:eastAsia="en-AU"/>
        </w:rPr>
        <w:t xml:space="preserve"> provides information on the number of BasicsCards issued according to length of time on NIM. As expected</w:t>
      </w:r>
      <w:r w:rsidR="007214C4">
        <w:rPr>
          <w:lang w:eastAsia="en-AU"/>
        </w:rPr>
        <w:t>,</w:t>
      </w:r>
      <w:r w:rsidRPr="005911E2">
        <w:rPr>
          <w:lang w:eastAsia="en-AU"/>
        </w:rPr>
        <w:t xml:space="preserve"> the number of BasicsCards issued per person increases with length of time on </w:t>
      </w:r>
      <w:r w:rsidR="00F878E4">
        <w:rPr>
          <w:lang w:eastAsia="en-AU"/>
        </w:rPr>
        <w:t>income management</w:t>
      </w:r>
      <w:r w:rsidRPr="005911E2">
        <w:rPr>
          <w:lang w:eastAsia="en-AU"/>
        </w:rPr>
        <w:t xml:space="preserve">. Over one-third of those who had been on NIM for 12 months or more had four or more replacement cards issued. </w:t>
      </w:r>
    </w:p>
    <w:p w:rsidR="00BD6DFD" w:rsidRPr="005911E2" w:rsidRDefault="00BD6DFD" w:rsidP="00263D64">
      <w:pPr>
        <w:pStyle w:val="tabfighead"/>
      </w:pPr>
      <w:bookmarkStart w:id="523" w:name="_Ref320204261"/>
      <w:bookmarkStart w:id="524" w:name="_Toc321430427"/>
      <w:bookmarkStart w:id="525" w:name="_Toc321254546"/>
      <w:bookmarkStart w:id="526" w:name="_Toc328601594"/>
      <w:bookmarkStart w:id="527" w:name="_Toc329051372"/>
      <w:bookmarkStart w:id="528" w:name="_Toc335915860"/>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6</w:t>
      </w:r>
      <w:r w:rsidR="00C7347D" w:rsidRPr="005911E2">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3</w:t>
      </w:r>
      <w:r w:rsidR="00C7347D" w:rsidRPr="005911E2">
        <w:fldChar w:fldCharType="end"/>
      </w:r>
      <w:bookmarkEnd w:id="523"/>
      <w:r w:rsidRPr="005911E2">
        <w:t xml:space="preserve"> </w:t>
      </w:r>
      <w:r w:rsidRPr="005911E2">
        <w:tab/>
        <w:t xml:space="preserve">Number of cards issued during current spell of </w:t>
      </w:r>
      <w:r w:rsidR="00F878E4">
        <w:t>income management</w:t>
      </w:r>
      <w:r w:rsidRPr="005911E2">
        <w:t xml:space="preserve"> by length of time on NIM, October 2011</w:t>
      </w:r>
      <w:bookmarkEnd w:id="524"/>
      <w:bookmarkEnd w:id="525"/>
      <w:bookmarkEnd w:id="526"/>
      <w:bookmarkEnd w:id="527"/>
      <w:bookmarkEnd w:id="528"/>
      <w:r w:rsidRPr="005911E2">
        <w:t xml:space="preserve"> </w:t>
      </w:r>
    </w:p>
    <w:tbl>
      <w:tblPr>
        <w:tblW w:w="7144" w:type="dxa"/>
        <w:jc w:val="right"/>
        <w:tblInd w:w="1211" w:type="dxa"/>
        <w:tblLook w:val="04A0" w:firstRow="1" w:lastRow="0" w:firstColumn="1" w:lastColumn="0" w:noHBand="0" w:noVBand="1"/>
      </w:tblPr>
      <w:tblGrid>
        <w:gridCol w:w="2977"/>
        <w:gridCol w:w="992"/>
        <w:gridCol w:w="1134"/>
        <w:gridCol w:w="992"/>
        <w:gridCol w:w="1049"/>
      </w:tblGrid>
      <w:tr w:rsidR="00BD6DFD" w:rsidRPr="00911315" w:rsidTr="000F4DDD">
        <w:trPr>
          <w:jc w:val="right"/>
        </w:trPr>
        <w:tc>
          <w:tcPr>
            <w:tcW w:w="2977" w:type="dxa"/>
            <w:tcBorders>
              <w:top w:val="single" w:sz="4" w:space="0" w:color="000000"/>
            </w:tcBorders>
            <w:shd w:val="clear" w:color="auto" w:fill="auto"/>
            <w:hideMark/>
          </w:tcPr>
          <w:p w:rsidR="00BD6DFD" w:rsidRPr="00911315" w:rsidRDefault="00BD6DFD" w:rsidP="00BD6DFD">
            <w:pPr>
              <w:keepNext/>
              <w:keepLines/>
              <w:spacing w:after="60" w:line="240" w:lineRule="auto"/>
              <w:ind w:left="0"/>
              <w:jc w:val="left"/>
              <w:rPr>
                <w:rFonts w:cs="Arial"/>
                <w:color w:val="000000"/>
                <w:sz w:val="16"/>
                <w:szCs w:val="16"/>
                <w:lang w:eastAsia="en-AU" w:bidi="ar-SA"/>
              </w:rPr>
            </w:pPr>
          </w:p>
        </w:tc>
        <w:tc>
          <w:tcPr>
            <w:tcW w:w="3118" w:type="dxa"/>
            <w:gridSpan w:val="3"/>
            <w:tcBorders>
              <w:top w:val="single" w:sz="4" w:space="0" w:color="000000"/>
              <w:bottom w:val="single" w:sz="4" w:space="0" w:color="000000"/>
            </w:tcBorders>
            <w:shd w:val="clear" w:color="auto" w:fill="auto"/>
            <w:hideMark/>
          </w:tcPr>
          <w:p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Length of time on IM</w:t>
            </w:r>
            <w:r w:rsidR="00783DF8">
              <w:rPr>
                <w:rFonts w:cs="Arial"/>
                <w:color w:val="000000"/>
                <w:sz w:val="16"/>
                <w:szCs w:val="16"/>
                <w:lang w:eastAsia="en-AU" w:bidi="ar-SA"/>
              </w:rPr>
              <w:t>:</w:t>
            </w:r>
          </w:p>
        </w:tc>
        <w:tc>
          <w:tcPr>
            <w:tcW w:w="1049" w:type="dxa"/>
            <w:vMerge w:val="restart"/>
            <w:tcBorders>
              <w:top w:val="single" w:sz="4" w:space="0" w:color="000000"/>
            </w:tcBorders>
            <w:shd w:val="clear" w:color="auto" w:fill="auto"/>
            <w:hideMark/>
          </w:tcPr>
          <w:p w:rsidR="00BD6DFD" w:rsidRPr="00911315" w:rsidRDefault="00BD6DFD" w:rsidP="00783DF8">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Total</w:t>
            </w:r>
          </w:p>
        </w:tc>
      </w:tr>
      <w:tr w:rsidR="00BD6DFD" w:rsidRPr="00911315" w:rsidTr="000F4DDD">
        <w:trPr>
          <w:jc w:val="right"/>
        </w:trPr>
        <w:tc>
          <w:tcPr>
            <w:tcW w:w="2977" w:type="dxa"/>
            <w:tcBorders>
              <w:bottom w:val="single" w:sz="4" w:space="0" w:color="000000"/>
            </w:tcBorders>
            <w:shd w:val="clear" w:color="auto" w:fill="auto"/>
            <w:hideMark/>
          </w:tcPr>
          <w:p w:rsidR="00BD6DFD" w:rsidRPr="00911315" w:rsidRDefault="00BD6DFD" w:rsidP="00BD6DFD">
            <w:pPr>
              <w:keepNext/>
              <w:keepLines/>
              <w:spacing w:after="60" w:line="240" w:lineRule="auto"/>
              <w:ind w:left="0"/>
              <w:jc w:val="left"/>
              <w:rPr>
                <w:rFonts w:cs="Arial"/>
                <w:color w:val="000000"/>
                <w:sz w:val="16"/>
                <w:szCs w:val="16"/>
                <w:lang w:eastAsia="en-AU" w:bidi="ar-SA"/>
              </w:rPr>
            </w:pPr>
          </w:p>
        </w:tc>
        <w:tc>
          <w:tcPr>
            <w:tcW w:w="992" w:type="dxa"/>
            <w:tcBorders>
              <w:top w:val="single" w:sz="4" w:space="0" w:color="000000"/>
              <w:bottom w:val="single" w:sz="4" w:space="0" w:color="000000"/>
            </w:tcBorders>
            <w:shd w:val="clear" w:color="auto" w:fill="auto"/>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Up to 6 months on IM</w:t>
            </w:r>
          </w:p>
        </w:tc>
        <w:tc>
          <w:tcPr>
            <w:tcW w:w="1134" w:type="dxa"/>
            <w:tcBorders>
              <w:top w:val="single" w:sz="4" w:space="0" w:color="000000"/>
              <w:bottom w:val="single" w:sz="4" w:space="0" w:color="000000"/>
            </w:tcBorders>
            <w:shd w:val="clear" w:color="auto" w:fill="auto"/>
            <w:hideMark/>
          </w:tcPr>
          <w:p w:rsidR="00BD6DFD" w:rsidRPr="00911315" w:rsidRDefault="00BD6DFD" w:rsidP="007214C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6-11 months on IM</w:t>
            </w:r>
          </w:p>
        </w:tc>
        <w:tc>
          <w:tcPr>
            <w:tcW w:w="992" w:type="dxa"/>
            <w:tcBorders>
              <w:top w:val="single" w:sz="4" w:space="0" w:color="000000"/>
              <w:bottom w:val="single" w:sz="4" w:space="0" w:color="000000"/>
            </w:tcBorders>
            <w:shd w:val="clear" w:color="auto" w:fill="auto"/>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12+ months on IM</w:t>
            </w:r>
          </w:p>
        </w:tc>
        <w:tc>
          <w:tcPr>
            <w:tcW w:w="1049" w:type="dxa"/>
            <w:vMerge/>
            <w:tcBorders>
              <w:bottom w:val="single" w:sz="4" w:space="0" w:color="000000"/>
            </w:tcBorders>
            <w:shd w:val="clear" w:color="auto" w:fill="auto"/>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p>
        </w:tc>
      </w:tr>
      <w:tr w:rsidR="00BD6DFD" w:rsidRPr="00911315" w:rsidTr="000F4DDD">
        <w:trPr>
          <w:jc w:val="right"/>
        </w:trPr>
        <w:tc>
          <w:tcPr>
            <w:tcW w:w="2977" w:type="dxa"/>
            <w:tcBorders>
              <w:top w:val="single" w:sz="4" w:space="0" w:color="000000"/>
            </w:tcBorders>
            <w:shd w:val="clear" w:color="auto" w:fill="auto"/>
            <w:hideMark/>
          </w:tcPr>
          <w:p w:rsidR="00BD6DFD" w:rsidRPr="00911315" w:rsidRDefault="00BD6DFD" w:rsidP="00BD6DFD">
            <w:pPr>
              <w:keepNext/>
              <w:keepLines/>
              <w:spacing w:after="60" w:line="240" w:lineRule="auto"/>
              <w:ind w:left="0"/>
              <w:jc w:val="left"/>
              <w:rPr>
                <w:rFonts w:cs="Arial"/>
                <w:color w:val="000000"/>
                <w:sz w:val="16"/>
                <w:szCs w:val="16"/>
                <w:lang w:eastAsia="en-AU" w:bidi="ar-SA"/>
              </w:rPr>
            </w:pPr>
          </w:p>
        </w:tc>
        <w:tc>
          <w:tcPr>
            <w:tcW w:w="4167" w:type="dxa"/>
            <w:gridSpan w:val="4"/>
            <w:tcBorders>
              <w:top w:val="single" w:sz="4" w:space="0" w:color="000000"/>
            </w:tcBorders>
            <w:shd w:val="clear" w:color="auto" w:fill="auto"/>
            <w:hideMark/>
          </w:tcPr>
          <w:p w:rsidR="00BD6DFD" w:rsidRPr="00911315" w:rsidRDefault="00F74C91" w:rsidP="00F74C91">
            <w:pPr>
              <w:keepNext/>
              <w:keepLines/>
              <w:spacing w:after="60" w:line="240" w:lineRule="auto"/>
              <w:ind w:left="0"/>
              <w:jc w:val="center"/>
              <w:rPr>
                <w:rFonts w:cs="Arial"/>
                <w:color w:val="000000"/>
                <w:sz w:val="16"/>
                <w:szCs w:val="16"/>
                <w:lang w:eastAsia="en-AU" w:bidi="ar-SA"/>
              </w:rPr>
            </w:pPr>
            <w:r w:rsidRPr="00911315">
              <w:rPr>
                <w:rFonts w:cs="Arial"/>
                <w:color w:val="000000"/>
                <w:sz w:val="16"/>
                <w:szCs w:val="16"/>
                <w:lang w:eastAsia="en-AU" w:bidi="ar-SA"/>
              </w:rPr>
              <w:t xml:space="preserve">- </w:t>
            </w:r>
            <w:r w:rsidR="00BD6DFD" w:rsidRPr="00911315">
              <w:rPr>
                <w:rFonts w:cs="Arial"/>
                <w:color w:val="000000"/>
                <w:sz w:val="16"/>
                <w:szCs w:val="16"/>
                <w:lang w:eastAsia="en-AU" w:bidi="ar-SA"/>
              </w:rPr>
              <w:t>%</w:t>
            </w:r>
            <w:r w:rsidRPr="00911315">
              <w:rPr>
                <w:rFonts w:cs="Arial"/>
                <w:color w:val="000000"/>
                <w:sz w:val="16"/>
                <w:szCs w:val="16"/>
                <w:lang w:eastAsia="en-AU" w:bidi="ar-SA"/>
              </w:rPr>
              <w:t xml:space="preserve"> -</w:t>
            </w:r>
          </w:p>
        </w:tc>
      </w:tr>
      <w:tr w:rsidR="00BD6DFD" w:rsidRPr="00911315" w:rsidTr="000F4DDD">
        <w:trPr>
          <w:jc w:val="right"/>
        </w:trPr>
        <w:tc>
          <w:tcPr>
            <w:tcW w:w="2977" w:type="dxa"/>
            <w:shd w:val="clear" w:color="auto" w:fill="auto"/>
            <w:hideMark/>
          </w:tcPr>
          <w:p w:rsidR="00BD6DFD" w:rsidRPr="00911315" w:rsidRDefault="00BD6DFD" w:rsidP="00BD6DFD">
            <w:pPr>
              <w:keepNext/>
              <w:keepLines/>
              <w:spacing w:after="60" w:line="240" w:lineRule="auto"/>
              <w:ind w:left="145" w:hanging="145"/>
              <w:jc w:val="left"/>
              <w:rPr>
                <w:rFonts w:cs="Arial"/>
                <w:color w:val="000000"/>
                <w:sz w:val="16"/>
                <w:szCs w:val="16"/>
                <w:lang w:eastAsia="en-AU" w:bidi="ar-SA"/>
              </w:rPr>
            </w:pPr>
            <w:r w:rsidRPr="00911315">
              <w:rPr>
                <w:rFonts w:cs="Arial"/>
                <w:color w:val="000000"/>
                <w:sz w:val="16"/>
                <w:szCs w:val="16"/>
                <w:lang w:eastAsia="en-AU" w:bidi="ar-SA"/>
              </w:rPr>
              <w:t>No cards issued</w:t>
            </w:r>
          </w:p>
        </w:tc>
        <w:tc>
          <w:tcPr>
            <w:tcW w:w="992" w:type="dxa"/>
            <w:shd w:val="clear" w:color="auto" w:fill="auto"/>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4.0</w:t>
            </w:r>
          </w:p>
        </w:tc>
        <w:tc>
          <w:tcPr>
            <w:tcW w:w="1134" w:type="dxa"/>
            <w:shd w:val="clear" w:color="auto" w:fill="auto"/>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0.7</w:t>
            </w:r>
          </w:p>
        </w:tc>
        <w:tc>
          <w:tcPr>
            <w:tcW w:w="992" w:type="dxa"/>
            <w:shd w:val="clear" w:color="auto" w:fill="auto"/>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0.1</w:t>
            </w:r>
          </w:p>
        </w:tc>
        <w:tc>
          <w:tcPr>
            <w:tcW w:w="1049" w:type="dxa"/>
            <w:shd w:val="clear" w:color="auto" w:fill="auto"/>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1.4</w:t>
            </w:r>
          </w:p>
        </w:tc>
      </w:tr>
      <w:tr w:rsidR="00BD6DFD" w:rsidRPr="00911315" w:rsidTr="000F4DDD">
        <w:trPr>
          <w:jc w:val="right"/>
        </w:trPr>
        <w:tc>
          <w:tcPr>
            <w:tcW w:w="2977" w:type="dxa"/>
            <w:shd w:val="clear" w:color="auto" w:fill="auto"/>
            <w:hideMark/>
          </w:tcPr>
          <w:p w:rsidR="00BD6DFD" w:rsidRPr="00911315" w:rsidRDefault="00BD6DFD" w:rsidP="00BD6DFD">
            <w:pPr>
              <w:keepNext/>
              <w:keepLines/>
              <w:spacing w:after="60" w:line="240" w:lineRule="auto"/>
              <w:ind w:left="145" w:hanging="145"/>
              <w:jc w:val="left"/>
              <w:rPr>
                <w:rFonts w:cs="Arial"/>
                <w:color w:val="000000"/>
                <w:sz w:val="16"/>
                <w:szCs w:val="16"/>
                <w:lang w:eastAsia="en-AU" w:bidi="ar-SA"/>
              </w:rPr>
            </w:pPr>
            <w:r w:rsidRPr="00911315">
              <w:rPr>
                <w:rFonts w:cs="Arial"/>
                <w:color w:val="000000"/>
                <w:sz w:val="16"/>
                <w:szCs w:val="16"/>
                <w:lang w:eastAsia="en-AU" w:bidi="ar-SA"/>
              </w:rPr>
              <w:t>1 card issued, no replacements</w:t>
            </w:r>
          </w:p>
        </w:tc>
        <w:tc>
          <w:tcPr>
            <w:tcW w:w="992" w:type="dxa"/>
            <w:shd w:val="clear" w:color="auto" w:fill="auto"/>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68.6</w:t>
            </w:r>
          </w:p>
        </w:tc>
        <w:tc>
          <w:tcPr>
            <w:tcW w:w="1134" w:type="dxa"/>
            <w:shd w:val="clear" w:color="auto" w:fill="auto"/>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36.6</w:t>
            </w:r>
          </w:p>
        </w:tc>
        <w:tc>
          <w:tcPr>
            <w:tcW w:w="992" w:type="dxa"/>
            <w:shd w:val="clear" w:color="auto" w:fill="auto"/>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23.8</w:t>
            </w:r>
          </w:p>
        </w:tc>
        <w:tc>
          <w:tcPr>
            <w:tcW w:w="1049" w:type="dxa"/>
            <w:shd w:val="clear" w:color="auto" w:fill="auto"/>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40.2</w:t>
            </w:r>
          </w:p>
        </w:tc>
      </w:tr>
      <w:tr w:rsidR="00BD6DFD" w:rsidRPr="00911315" w:rsidTr="000F4DDD">
        <w:trPr>
          <w:jc w:val="right"/>
        </w:trPr>
        <w:tc>
          <w:tcPr>
            <w:tcW w:w="2977" w:type="dxa"/>
            <w:shd w:val="clear" w:color="auto" w:fill="auto"/>
            <w:hideMark/>
          </w:tcPr>
          <w:p w:rsidR="00BD6DFD" w:rsidRPr="00911315" w:rsidRDefault="00BD6DFD" w:rsidP="007214C4">
            <w:pPr>
              <w:keepNext/>
              <w:keepLines/>
              <w:spacing w:after="60" w:line="240" w:lineRule="auto"/>
              <w:ind w:left="145" w:hanging="145"/>
              <w:jc w:val="left"/>
              <w:rPr>
                <w:rFonts w:cs="Arial"/>
                <w:color w:val="000000"/>
                <w:sz w:val="16"/>
                <w:szCs w:val="16"/>
                <w:lang w:eastAsia="en-AU" w:bidi="ar-SA"/>
              </w:rPr>
            </w:pPr>
            <w:r w:rsidRPr="00911315">
              <w:rPr>
                <w:rFonts w:cs="Arial"/>
                <w:color w:val="000000"/>
                <w:sz w:val="16"/>
                <w:szCs w:val="16"/>
                <w:lang w:eastAsia="en-AU" w:bidi="ar-SA"/>
              </w:rPr>
              <w:t>2-4 cards issued (1-3 replacements)</w:t>
            </w:r>
          </w:p>
        </w:tc>
        <w:tc>
          <w:tcPr>
            <w:tcW w:w="992" w:type="dxa"/>
            <w:shd w:val="clear" w:color="auto" w:fill="auto"/>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24.0</w:t>
            </w:r>
          </w:p>
        </w:tc>
        <w:tc>
          <w:tcPr>
            <w:tcW w:w="1134" w:type="dxa"/>
            <w:shd w:val="clear" w:color="auto" w:fill="auto"/>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37.0</w:t>
            </w:r>
          </w:p>
        </w:tc>
        <w:tc>
          <w:tcPr>
            <w:tcW w:w="992" w:type="dxa"/>
            <w:shd w:val="clear" w:color="auto" w:fill="auto"/>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39.0</w:t>
            </w:r>
          </w:p>
        </w:tc>
        <w:tc>
          <w:tcPr>
            <w:tcW w:w="1049" w:type="dxa"/>
            <w:shd w:val="clear" w:color="auto" w:fill="auto"/>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34.0</w:t>
            </w:r>
          </w:p>
        </w:tc>
      </w:tr>
      <w:tr w:rsidR="00BD6DFD" w:rsidRPr="00911315" w:rsidTr="000F4DDD">
        <w:trPr>
          <w:jc w:val="right"/>
        </w:trPr>
        <w:tc>
          <w:tcPr>
            <w:tcW w:w="2977" w:type="dxa"/>
            <w:shd w:val="clear" w:color="auto" w:fill="auto"/>
            <w:hideMark/>
          </w:tcPr>
          <w:p w:rsidR="00BD6DFD" w:rsidRPr="00911315" w:rsidRDefault="00BD6DFD" w:rsidP="00BD6DFD">
            <w:pPr>
              <w:keepNext/>
              <w:keepLines/>
              <w:spacing w:after="60" w:line="240" w:lineRule="auto"/>
              <w:ind w:left="145" w:hanging="145"/>
              <w:jc w:val="left"/>
              <w:rPr>
                <w:rFonts w:cs="Arial"/>
                <w:color w:val="000000"/>
                <w:sz w:val="16"/>
                <w:szCs w:val="16"/>
                <w:lang w:eastAsia="en-AU" w:bidi="ar-SA"/>
              </w:rPr>
            </w:pPr>
            <w:r w:rsidRPr="00911315">
              <w:rPr>
                <w:rFonts w:cs="Arial"/>
                <w:color w:val="000000"/>
                <w:sz w:val="16"/>
                <w:szCs w:val="16"/>
                <w:lang w:eastAsia="en-AU" w:bidi="ar-SA"/>
              </w:rPr>
              <w:t>5+ cards issued (4+ replacements)</w:t>
            </w:r>
          </w:p>
        </w:tc>
        <w:tc>
          <w:tcPr>
            <w:tcW w:w="992" w:type="dxa"/>
            <w:shd w:val="clear" w:color="auto" w:fill="auto"/>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3.3</w:t>
            </w:r>
          </w:p>
        </w:tc>
        <w:tc>
          <w:tcPr>
            <w:tcW w:w="1134" w:type="dxa"/>
            <w:shd w:val="clear" w:color="auto" w:fill="auto"/>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25.7</w:t>
            </w:r>
          </w:p>
        </w:tc>
        <w:tc>
          <w:tcPr>
            <w:tcW w:w="992" w:type="dxa"/>
            <w:shd w:val="clear" w:color="auto" w:fill="auto"/>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37.2</w:t>
            </w:r>
          </w:p>
        </w:tc>
        <w:tc>
          <w:tcPr>
            <w:tcW w:w="1049" w:type="dxa"/>
            <w:shd w:val="clear" w:color="auto" w:fill="auto"/>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24.3</w:t>
            </w:r>
          </w:p>
        </w:tc>
      </w:tr>
      <w:tr w:rsidR="00BD6DFD" w:rsidRPr="00911315" w:rsidTr="000F4DDD">
        <w:trPr>
          <w:jc w:val="right"/>
        </w:trPr>
        <w:tc>
          <w:tcPr>
            <w:tcW w:w="2977" w:type="dxa"/>
            <w:tcBorders>
              <w:bottom w:val="single" w:sz="4" w:space="0" w:color="000000"/>
            </w:tcBorders>
            <w:shd w:val="clear" w:color="auto" w:fill="auto"/>
          </w:tcPr>
          <w:p w:rsidR="00BD6DFD" w:rsidRPr="00911315" w:rsidRDefault="00BD6DFD" w:rsidP="00BD6DFD">
            <w:pPr>
              <w:keepNext/>
              <w:keepLines/>
              <w:spacing w:after="60" w:line="240" w:lineRule="auto"/>
              <w:ind w:left="145" w:hanging="145"/>
              <w:jc w:val="left"/>
              <w:rPr>
                <w:rFonts w:cs="Arial"/>
                <w:color w:val="000000"/>
                <w:sz w:val="16"/>
                <w:szCs w:val="16"/>
                <w:lang w:eastAsia="en-AU" w:bidi="ar-SA"/>
              </w:rPr>
            </w:pPr>
            <w:r w:rsidRPr="00911315">
              <w:rPr>
                <w:rFonts w:cs="Arial"/>
                <w:color w:val="000000"/>
                <w:sz w:val="16"/>
                <w:szCs w:val="16"/>
                <w:lang w:eastAsia="en-AU" w:bidi="ar-SA"/>
              </w:rPr>
              <w:t>Total</w:t>
            </w:r>
          </w:p>
        </w:tc>
        <w:tc>
          <w:tcPr>
            <w:tcW w:w="992" w:type="dxa"/>
            <w:tcBorders>
              <w:bottom w:val="single" w:sz="4" w:space="0" w:color="000000"/>
            </w:tcBorders>
            <w:shd w:val="clear" w:color="auto" w:fill="auto"/>
            <w:vAlign w:val="center"/>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100.0</w:t>
            </w:r>
          </w:p>
        </w:tc>
        <w:tc>
          <w:tcPr>
            <w:tcW w:w="1134" w:type="dxa"/>
            <w:tcBorders>
              <w:bottom w:val="single" w:sz="4" w:space="0" w:color="000000"/>
            </w:tcBorders>
            <w:shd w:val="clear" w:color="auto" w:fill="auto"/>
            <w:vAlign w:val="center"/>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100.0</w:t>
            </w:r>
          </w:p>
        </w:tc>
        <w:tc>
          <w:tcPr>
            <w:tcW w:w="992" w:type="dxa"/>
            <w:tcBorders>
              <w:bottom w:val="single" w:sz="4" w:space="0" w:color="000000"/>
            </w:tcBorders>
            <w:shd w:val="clear" w:color="auto" w:fill="auto"/>
            <w:vAlign w:val="center"/>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100.0</w:t>
            </w:r>
          </w:p>
        </w:tc>
        <w:tc>
          <w:tcPr>
            <w:tcW w:w="1049" w:type="dxa"/>
            <w:tcBorders>
              <w:bottom w:val="single" w:sz="4" w:space="0" w:color="000000"/>
            </w:tcBorders>
            <w:shd w:val="clear" w:color="auto" w:fill="auto"/>
            <w:vAlign w:val="center"/>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100.0</w:t>
            </w:r>
          </w:p>
        </w:tc>
      </w:tr>
      <w:tr w:rsidR="00BD6DFD" w:rsidRPr="00911315" w:rsidTr="000F4DDD">
        <w:trPr>
          <w:jc w:val="right"/>
        </w:trPr>
        <w:tc>
          <w:tcPr>
            <w:tcW w:w="2977" w:type="dxa"/>
            <w:tcBorders>
              <w:top w:val="single" w:sz="4" w:space="0" w:color="000000"/>
            </w:tcBorders>
            <w:shd w:val="clear" w:color="auto" w:fill="auto"/>
            <w:hideMark/>
          </w:tcPr>
          <w:p w:rsidR="00BD6DFD" w:rsidRPr="00911315" w:rsidRDefault="00BD6DFD" w:rsidP="00BD6DFD">
            <w:pPr>
              <w:keepNext/>
              <w:keepLines/>
              <w:spacing w:after="60" w:line="240" w:lineRule="auto"/>
              <w:ind w:left="145" w:hanging="145"/>
              <w:jc w:val="left"/>
              <w:rPr>
                <w:rFonts w:cs="Arial"/>
                <w:color w:val="000000"/>
                <w:sz w:val="16"/>
                <w:szCs w:val="16"/>
                <w:lang w:eastAsia="en-AU" w:bidi="ar-SA"/>
              </w:rPr>
            </w:pPr>
            <w:r w:rsidRPr="00911315">
              <w:rPr>
                <w:rFonts w:cs="Arial"/>
                <w:color w:val="000000"/>
                <w:sz w:val="16"/>
                <w:szCs w:val="16"/>
                <w:lang w:eastAsia="en-AU" w:bidi="ar-SA"/>
              </w:rPr>
              <w:t>Average number of cards issued</w:t>
            </w:r>
          </w:p>
        </w:tc>
        <w:tc>
          <w:tcPr>
            <w:tcW w:w="992" w:type="dxa"/>
            <w:tcBorders>
              <w:top w:val="single" w:sz="4" w:space="0" w:color="000000"/>
            </w:tcBorders>
            <w:shd w:val="clear" w:color="auto" w:fill="auto"/>
            <w:vAlign w:val="center"/>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1.5</w:t>
            </w:r>
          </w:p>
        </w:tc>
        <w:tc>
          <w:tcPr>
            <w:tcW w:w="1134" w:type="dxa"/>
            <w:tcBorders>
              <w:top w:val="single" w:sz="4" w:space="0" w:color="000000"/>
            </w:tcBorders>
            <w:shd w:val="clear" w:color="auto" w:fill="auto"/>
            <w:vAlign w:val="center"/>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3.9</w:t>
            </w:r>
          </w:p>
        </w:tc>
        <w:tc>
          <w:tcPr>
            <w:tcW w:w="992" w:type="dxa"/>
            <w:tcBorders>
              <w:top w:val="single" w:sz="4" w:space="0" w:color="000000"/>
            </w:tcBorders>
            <w:shd w:val="clear" w:color="auto" w:fill="auto"/>
            <w:vAlign w:val="center"/>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4.8</w:t>
            </w:r>
          </w:p>
        </w:tc>
        <w:tc>
          <w:tcPr>
            <w:tcW w:w="1049" w:type="dxa"/>
            <w:tcBorders>
              <w:top w:val="single" w:sz="4" w:space="0" w:color="000000"/>
            </w:tcBorders>
            <w:shd w:val="clear" w:color="auto" w:fill="auto"/>
            <w:vAlign w:val="center"/>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3.6</w:t>
            </w:r>
          </w:p>
        </w:tc>
      </w:tr>
      <w:tr w:rsidR="00BD6DFD" w:rsidRPr="00911315" w:rsidTr="000F4DDD">
        <w:trPr>
          <w:jc w:val="right"/>
        </w:trPr>
        <w:tc>
          <w:tcPr>
            <w:tcW w:w="2977" w:type="dxa"/>
            <w:tcBorders>
              <w:bottom w:val="single" w:sz="4" w:space="0" w:color="000000"/>
            </w:tcBorders>
            <w:shd w:val="clear" w:color="auto" w:fill="auto"/>
            <w:hideMark/>
          </w:tcPr>
          <w:p w:rsidR="00BD6DFD" w:rsidRPr="00911315" w:rsidRDefault="00BD6DFD" w:rsidP="00BD6DFD">
            <w:pPr>
              <w:keepNext/>
              <w:keepLines/>
              <w:spacing w:after="60" w:line="240" w:lineRule="auto"/>
              <w:ind w:left="145" w:hanging="145"/>
              <w:jc w:val="left"/>
              <w:rPr>
                <w:rFonts w:cs="Arial"/>
                <w:color w:val="000000"/>
                <w:sz w:val="16"/>
                <w:szCs w:val="16"/>
                <w:lang w:eastAsia="en-AU" w:bidi="ar-SA"/>
              </w:rPr>
            </w:pPr>
            <w:r w:rsidRPr="00911315">
              <w:rPr>
                <w:rFonts w:cs="Arial"/>
                <w:color w:val="000000"/>
                <w:sz w:val="16"/>
                <w:szCs w:val="16"/>
                <w:lang w:eastAsia="en-AU" w:bidi="ar-SA"/>
              </w:rPr>
              <w:t xml:space="preserve">Total persons </w:t>
            </w:r>
          </w:p>
        </w:tc>
        <w:tc>
          <w:tcPr>
            <w:tcW w:w="992" w:type="dxa"/>
            <w:tcBorders>
              <w:bottom w:val="single" w:sz="4" w:space="0" w:color="000000"/>
            </w:tcBorders>
            <w:shd w:val="clear" w:color="auto" w:fill="auto"/>
            <w:hideMark/>
          </w:tcPr>
          <w:p w:rsidR="00BD6DFD" w:rsidRPr="00911315" w:rsidRDefault="00BD6DFD" w:rsidP="007214C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w:t>
            </w:r>
            <w:r w:rsidR="00F74C91" w:rsidRPr="00911315">
              <w:rPr>
                <w:rFonts w:cs="Arial"/>
                <w:color w:val="000000"/>
                <w:sz w:val="16"/>
                <w:szCs w:val="16"/>
                <w:lang w:eastAsia="en-AU" w:bidi="ar-SA"/>
              </w:rPr>
              <w:t> </w:t>
            </w:r>
            <w:r w:rsidRPr="00911315">
              <w:rPr>
                <w:rFonts w:cs="Arial"/>
                <w:color w:val="000000"/>
                <w:sz w:val="16"/>
                <w:szCs w:val="16"/>
                <w:lang w:eastAsia="en-AU" w:bidi="ar-SA"/>
              </w:rPr>
              <w:t>900</w:t>
            </w:r>
          </w:p>
        </w:tc>
        <w:tc>
          <w:tcPr>
            <w:tcW w:w="1134" w:type="dxa"/>
            <w:tcBorders>
              <w:bottom w:val="single" w:sz="4" w:space="0" w:color="000000"/>
            </w:tcBorders>
            <w:shd w:val="clear" w:color="auto" w:fill="auto"/>
            <w:hideMark/>
          </w:tcPr>
          <w:p w:rsidR="00BD6DFD" w:rsidRPr="00911315" w:rsidRDefault="00BD6DFD" w:rsidP="007214C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r w:rsidR="00F74C91" w:rsidRPr="00911315">
              <w:rPr>
                <w:rFonts w:cs="Arial"/>
                <w:color w:val="000000"/>
                <w:sz w:val="16"/>
                <w:szCs w:val="16"/>
                <w:lang w:eastAsia="en-AU" w:bidi="ar-SA"/>
              </w:rPr>
              <w:t> </w:t>
            </w:r>
            <w:r w:rsidRPr="00911315">
              <w:rPr>
                <w:rFonts w:cs="Arial"/>
                <w:color w:val="000000"/>
                <w:sz w:val="16"/>
                <w:szCs w:val="16"/>
                <w:lang w:eastAsia="en-AU" w:bidi="ar-SA"/>
              </w:rPr>
              <w:t>918</w:t>
            </w:r>
          </w:p>
        </w:tc>
        <w:tc>
          <w:tcPr>
            <w:tcW w:w="992" w:type="dxa"/>
            <w:tcBorders>
              <w:bottom w:val="single" w:sz="4" w:space="0" w:color="000000"/>
            </w:tcBorders>
            <w:shd w:val="clear" w:color="auto" w:fill="auto"/>
            <w:hideMark/>
          </w:tcPr>
          <w:p w:rsidR="00BD6DFD" w:rsidRPr="00911315" w:rsidRDefault="00BD6DFD" w:rsidP="007214C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w:t>
            </w:r>
            <w:r w:rsidR="00F74C91" w:rsidRPr="00911315">
              <w:rPr>
                <w:rFonts w:cs="Arial"/>
                <w:color w:val="000000"/>
                <w:sz w:val="16"/>
                <w:szCs w:val="16"/>
                <w:lang w:eastAsia="en-AU" w:bidi="ar-SA"/>
              </w:rPr>
              <w:t> </w:t>
            </w:r>
            <w:r w:rsidRPr="00911315">
              <w:rPr>
                <w:rFonts w:cs="Arial"/>
                <w:color w:val="000000"/>
                <w:sz w:val="16"/>
                <w:szCs w:val="16"/>
                <w:lang w:eastAsia="en-AU" w:bidi="ar-SA"/>
              </w:rPr>
              <w:t>561</w:t>
            </w:r>
          </w:p>
        </w:tc>
        <w:tc>
          <w:tcPr>
            <w:tcW w:w="1049" w:type="dxa"/>
            <w:tcBorders>
              <w:bottom w:val="single" w:sz="4" w:space="0" w:color="000000"/>
            </w:tcBorders>
            <w:shd w:val="clear" w:color="auto" w:fill="auto"/>
            <w:hideMark/>
          </w:tcPr>
          <w:p w:rsidR="00BD6DFD" w:rsidRPr="00911315" w:rsidRDefault="00BD6DFD" w:rsidP="007214C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16</w:t>
            </w:r>
            <w:r w:rsidR="00F74C91" w:rsidRPr="00911315">
              <w:rPr>
                <w:rFonts w:cs="Arial"/>
                <w:color w:val="000000"/>
                <w:sz w:val="16"/>
                <w:szCs w:val="16"/>
                <w:lang w:eastAsia="en-AU" w:bidi="ar-SA"/>
              </w:rPr>
              <w:t> </w:t>
            </w:r>
            <w:r w:rsidRPr="00911315">
              <w:rPr>
                <w:rFonts w:cs="Arial"/>
                <w:color w:val="000000"/>
                <w:sz w:val="16"/>
                <w:szCs w:val="16"/>
                <w:lang w:eastAsia="en-AU" w:bidi="ar-SA"/>
              </w:rPr>
              <w:t>392</w:t>
            </w:r>
          </w:p>
        </w:tc>
      </w:tr>
    </w:tbl>
    <w:p w:rsidR="00BD6DFD" w:rsidRPr="005911E2" w:rsidRDefault="00BD6DFD" w:rsidP="002955BA">
      <w:pPr>
        <w:pStyle w:val="tablefootnotes"/>
      </w:pPr>
      <w:r w:rsidRPr="005911E2">
        <w:t xml:space="preserve">Note: </w:t>
      </w:r>
      <w:r w:rsidR="00F74C91">
        <w:tab/>
      </w:r>
      <w:r w:rsidRPr="005911E2">
        <w:t xml:space="preserve">There are 13 records with missing data on number of weeks currently on </w:t>
      </w:r>
      <w:r w:rsidR="00F878E4">
        <w:t>income management</w:t>
      </w:r>
      <w:r w:rsidRPr="005911E2">
        <w:t xml:space="preserve"> or are excluded from the data presented by duration on </w:t>
      </w:r>
      <w:r w:rsidR="00F878E4">
        <w:t>income management</w:t>
      </w:r>
      <w:r w:rsidRPr="005911E2">
        <w:t xml:space="preserve"> but included in the total.</w:t>
      </w:r>
    </w:p>
    <w:p w:rsidR="00BD6DFD" w:rsidRPr="005911E2" w:rsidRDefault="00BD6DFD" w:rsidP="002955BA">
      <w:pPr>
        <w:pStyle w:val="tablefootnotes"/>
      </w:pPr>
      <w:r w:rsidRPr="005911E2">
        <w:t xml:space="preserve">Source: </w:t>
      </w:r>
      <w:r w:rsidR="00F74C91">
        <w:tab/>
      </w:r>
      <w:r w:rsidRPr="005911E2">
        <w:t xml:space="preserve">BasicsCards issued and </w:t>
      </w:r>
      <w:r w:rsidR="00F878E4">
        <w:t>income management</w:t>
      </w:r>
      <w:r w:rsidRPr="005911E2">
        <w:t xml:space="preserve"> client datasets as at 28 October 2011.</w:t>
      </w:r>
    </w:p>
    <w:p w:rsidR="00BD6DFD" w:rsidRPr="005911E2" w:rsidRDefault="00BD6DFD" w:rsidP="002955BA">
      <w:pPr>
        <w:pStyle w:val="tablefootnotes"/>
        <w:rPr>
          <w:lang w:eastAsia="en-AU"/>
        </w:rPr>
      </w:pPr>
    </w:p>
    <w:p w:rsidR="00BD6DFD" w:rsidRPr="005911E2" w:rsidRDefault="00BD6DFD" w:rsidP="00BD6DFD">
      <w:pPr>
        <w:rPr>
          <w:lang w:eastAsia="en-AU"/>
        </w:rPr>
      </w:pPr>
      <w:r w:rsidRPr="005911E2">
        <w:rPr>
          <w:lang w:eastAsia="en-AU"/>
        </w:rPr>
        <w:t>Indigenous people had an average of 3.8 BasicsCards issued whereas the average for non-Indigenous people was 1.3 (Table 6</w:t>
      </w:r>
      <w:r w:rsidRPr="005911E2">
        <w:rPr>
          <w:lang w:eastAsia="en-AU"/>
        </w:rPr>
        <w:noBreakHyphen/>
        <w:t xml:space="preserve">4). Indigenous people are much more likely to have 5 or more cards issued (27 per cent) than are non-Indigenous (2 per cent). </w:t>
      </w:r>
    </w:p>
    <w:p w:rsidR="00BD6DFD" w:rsidRPr="005911E2" w:rsidRDefault="00BD6DFD" w:rsidP="00263D64">
      <w:pPr>
        <w:pStyle w:val="tabfighead"/>
      </w:pPr>
      <w:bookmarkStart w:id="529" w:name="_Ref320204596"/>
      <w:bookmarkStart w:id="530" w:name="_Toc321430428"/>
      <w:bookmarkStart w:id="531" w:name="_Toc321254547"/>
      <w:bookmarkStart w:id="532" w:name="_Toc328601595"/>
      <w:bookmarkStart w:id="533" w:name="_Toc329051373"/>
      <w:bookmarkStart w:id="534" w:name="_Toc335915861"/>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6</w:t>
      </w:r>
      <w:r w:rsidR="00C7347D" w:rsidRPr="005911E2">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4</w:t>
      </w:r>
      <w:r w:rsidR="00C7347D" w:rsidRPr="005911E2">
        <w:fldChar w:fldCharType="end"/>
      </w:r>
      <w:bookmarkEnd w:id="529"/>
      <w:r w:rsidRPr="005911E2">
        <w:t xml:space="preserve"> </w:t>
      </w:r>
      <w:r w:rsidRPr="005911E2">
        <w:tab/>
        <w:t xml:space="preserve">Number of cards issued during current spell of </w:t>
      </w:r>
      <w:r w:rsidR="00F878E4">
        <w:t>income management</w:t>
      </w:r>
      <w:r w:rsidRPr="005911E2">
        <w:t xml:space="preserve"> by Indigenous status October 2011</w:t>
      </w:r>
      <w:bookmarkEnd w:id="530"/>
      <w:bookmarkEnd w:id="531"/>
      <w:bookmarkEnd w:id="532"/>
      <w:bookmarkEnd w:id="533"/>
      <w:bookmarkEnd w:id="534"/>
      <w:r w:rsidRPr="005911E2">
        <w:t xml:space="preserve"> </w:t>
      </w:r>
    </w:p>
    <w:tbl>
      <w:tblPr>
        <w:tblW w:w="6183" w:type="dxa"/>
        <w:tblInd w:w="1803" w:type="dxa"/>
        <w:tblLayout w:type="fixed"/>
        <w:tblLook w:val="04A0" w:firstRow="1" w:lastRow="0" w:firstColumn="1" w:lastColumn="0" w:noHBand="0" w:noVBand="1"/>
      </w:tblPr>
      <w:tblGrid>
        <w:gridCol w:w="3402"/>
        <w:gridCol w:w="1417"/>
        <w:gridCol w:w="1364"/>
      </w:tblGrid>
      <w:tr w:rsidR="00BD6DFD" w:rsidRPr="00911315" w:rsidTr="000F4DDD">
        <w:tc>
          <w:tcPr>
            <w:tcW w:w="3402" w:type="dxa"/>
            <w:tcBorders>
              <w:top w:val="single" w:sz="4" w:space="0" w:color="000000"/>
              <w:bottom w:val="single" w:sz="4" w:space="0" w:color="000000"/>
            </w:tcBorders>
            <w:shd w:val="clear" w:color="auto" w:fill="auto"/>
            <w:noWrap/>
            <w:vAlign w:val="bottom"/>
            <w:hideMark/>
          </w:tcPr>
          <w:p w:rsidR="00BD6DFD" w:rsidRPr="00911315" w:rsidRDefault="00BD6DFD" w:rsidP="00BD6DFD">
            <w:pPr>
              <w:keepNext/>
              <w:keepLines/>
              <w:spacing w:after="60" w:line="240" w:lineRule="auto"/>
              <w:ind w:left="0"/>
              <w:jc w:val="left"/>
              <w:rPr>
                <w:rFonts w:cs="Arial"/>
                <w:color w:val="000000"/>
                <w:sz w:val="16"/>
                <w:szCs w:val="16"/>
                <w:lang w:eastAsia="en-AU" w:bidi="ar-SA"/>
              </w:rPr>
            </w:pPr>
          </w:p>
        </w:tc>
        <w:tc>
          <w:tcPr>
            <w:tcW w:w="1417" w:type="dxa"/>
            <w:tcBorders>
              <w:top w:val="single" w:sz="4" w:space="0" w:color="000000"/>
              <w:bottom w:val="single" w:sz="4" w:space="0" w:color="000000"/>
            </w:tcBorders>
            <w:shd w:val="clear" w:color="auto" w:fill="auto"/>
            <w:noWrap/>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Indigenous</w:t>
            </w:r>
          </w:p>
        </w:tc>
        <w:tc>
          <w:tcPr>
            <w:tcW w:w="1364" w:type="dxa"/>
            <w:tcBorders>
              <w:top w:val="single" w:sz="4" w:space="0" w:color="000000"/>
              <w:bottom w:val="single" w:sz="4" w:space="0" w:color="000000"/>
            </w:tcBorders>
            <w:shd w:val="clear" w:color="auto" w:fill="auto"/>
            <w:noWrap/>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Non- Indigenous</w:t>
            </w:r>
          </w:p>
        </w:tc>
      </w:tr>
      <w:tr w:rsidR="00BD6DFD" w:rsidRPr="00911315" w:rsidTr="000F4DDD">
        <w:tc>
          <w:tcPr>
            <w:tcW w:w="3402" w:type="dxa"/>
            <w:tcBorders>
              <w:top w:val="single" w:sz="4" w:space="0" w:color="000000"/>
            </w:tcBorders>
            <w:shd w:val="clear" w:color="auto" w:fill="auto"/>
          </w:tcPr>
          <w:p w:rsidR="00BD6DFD" w:rsidRPr="00911315" w:rsidRDefault="00BD6DFD" w:rsidP="00BD6DFD">
            <w:pPr>
              <w:keepNext/>
              <w:keepLines/>
              <w:spacing w:after="60" w:line="240" w:lineRule="auto"/>
              <w:ind w:left="0"/>
              <w:jc w:val="left"/>
              <w:rPr>
                <w:rFonts w:cs="Arial"/>
                <w:color w:val="000000"/>
                <w:sz w:val="16"/>
                <w:szCs w:val="16"/>
                <w:lang w:eastAsia="en-AU" w:bidi="ar-SA"/>
              </w:rPr>
            </w:pPr>
          </w:p>
        </w:tc>
        <w:tc>
          <w:tcPr>
            <w:tcW w:w="2781" w:type="dxa"/>
            <w:gridSpan w:val="2"/>
            <w:tcBorders>
              <w:top w:val="single" w:sz="4" w:space="0" w:color="000000"/>
            </w:tcBorders>
            <w:shd w:val="clear" w:color="auto" w:fill="auto"/>
            <w:noWrap/>
            <w:vAlign w:val="bottom"/>
          </w:tcPr>
          <w:p w:rsidR="00BD6DFD" w:rsidRPr="00911315" w:rsidRDefault="00F74C91" w:rsidP="007214C4">
            <w:pPr>
              <w:keepNext/>
              <w:keepLines/>
              <w:spacing w:after="60" w:line="240" w:lineRule="auto"/>
              <w:ind w:left="0"/>
              <w:jc w:val="center"/>
              <w:rPr>
                <w:rFonts w:cs="Arial"/>
                <w:color w:val="000000"/>
                <w:sz w:val="16"/>
                <w:szCs w:val="16"/>
                <w:lang w:eastAsia="en-AU" w:bidi="ar-SA"/>
              </w:rPr>
            </w:pPr>
            <w:r w:rsidRPr="00911315">
              <w:rPr>
                <w:rFonts w:cs="Arial"/>
                <w:color w:val="000000"/>
                <w:sz w:val="16"/>
                <w:szCs w:val="16"/>
                <w:lang w:eastAsia="en-AU" w:bidi="ar-SA"/>
              </w:rPr>
              <w:t>-</w:t>
            </w:r>
            <w:r w:rsidR="00BD6DFD" w:rsidRPr="00911315">
              <w:rPr>
                <w:rFonts w:cs="Arial"/>
                <w:color w:val="000000"/>
                <w:sz w:val="16"/>
                <w:szCs w:val="16"/>
                <w:lang w:eastAsia="en-AU" w:bidi="ar-SA"/>
              </w:rPr>
              <w:t xml:space="preserve"> % </w:t>
            </w:r>
            <w:r w:rsidRPr="00911315">
              <w:rPr>
                <w:rFonts w:cs="Arial"/>
                <w:color w:val="000000"/>
                <w:sz w:val="16"/>
                <w:szCs w:val="16"/>
                <w:lang w:eastAsia="en-AU" w:bidi="ar-SA"/>
              </w:rPr>
              <w:t>-</w:t>
            </w:r>
          </w:p>
        </w:tc>
      </w:tr>
      <w:tr w:rsidR="00BD6DFD" w:rsidRPr="00911315" w:rsidTr="000F4DDD">
        <w:tc>
          <w:tcPr>
            <w:tcW w:w="3402" w:type="dxa"/>
            <w:shd w:val="clear" w:color="auto" w:fill="auto"/>
            <w:vAlign w:val="bottom"/>
            <w:hideMark/>
          </w:tcPr>
          <w:p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No cards issued</w:t>
            </w:r>
          </w:p>
        </w:tc>
        <w:tc>
          <w:tcPr>
            <w:tcW w:w="1417" w:type="dxa"/>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0.7</w:t>
            </w:r>
          </w:p>
        </w:tc>
        <w:tc>
          <w:tcPr>
            <w:tcW w:w="1364" w:type="dxa"/>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8.5</w:t>
            </w:r>
          </w:p>
        </w:tc>
      </w:tr>
      <w:tr w:rsidR="00BD6DFD" w:rsidRPr="00911315" w:rsidTr="000F4DDD">
        <w:tc>
          <w:tcPr>
            <w:tcW w:w="3402" w:type="dxa"/>
            <w:shd w:val="clear" w:color="auto" w:fill="auto"/>
            <w:vAlign w:val="bottom"/>
            <w:hideMark/>
          </w:tcPr>
          <w:p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1 card issued, no replacements</w:t>
            </w:r>
          </w:p>
        </w:tc>
        <w:tc>
          <w:tcPr>
            <w:tcW w:w="1417" w:type="dxa"/>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37.1</w:t>
            </w:r>
          </w:p>
        </w:tc>
        <w:tc>
          <w:tcPr>
            <w:tcW w:w="1364" w:type="dxa"/>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71.7</w:t>
            </w:r>
          </w:p>
        </w:tc>
      </w:tr>
      <w:tr w:rsidR="00BD6DFD" w:rsidRPr="00911315" w:rsidTr="000F4DDD">
        <w:tc>
          <w:tcPr>
            <w:tcW w:w="3402" w:type="dxa"/>
            <w:shd w:val="clear" w:color="auto" w:fill="auto"/>
            <w:vAlign w:val="bottom"/>
            <w:hideMark/>
          </w:tcPr>
          <w:p w:rsidR="00BD6DFD" w:rsidRPr="00911315" w:rsidRDefault="00BD6DFD" w:rsidP="007214C4">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2 - 4 cards issued (1-3 replacements)</w:t>
            </w:r>
          </w:p>
        </w:tc>
        <w:tc>
          <w:tcPr>
            <w:tcW w:w="1417" w:type="dxa"/>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35.6</w:t>
            </w:r>
          </w:p>
        </w:tc>
        <w:tc>
          <w:tcPr>
            <w:tcW w:w="1364" w:type="dxa"/>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17.5</w:t>
            </w:r>
          </w:p>
        </w:tc>
      </w:tr>
      <w:tr w:rsidR="00BD6DFD" w:rsidRPr="00911315" w:rsidTr="000F4DDD">
        <w:tc>
          <w:tcPr>
            <w:tcW w:w="3402" w:type="dxa"/>
            <w:shd w:val="clear" w:color="auto" w:fill="auto"/>
            <w:vAlign w:val="bottom"/>
            <w:hideMark/>
          </w:tcPr>
          <w:p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5+ cards issued (4+ replacements)</w:t>
            </w:r>
          </w:p>
        </w:tc>
        <w:tc>
          <w:tcPr>
            <w:tcW w:w="1417" w:type="dxa"/>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26.5</w:t>
            </w:r>
          </w:p>
        </w:tc>
        <w:tc>
          <w:tcPr>
            <w:tcW w:w="1364" w:type="dxa"/>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2.3</w:t>
            </w:r>
          </w:p>
        </w:tc>
      </w:tr>
      <w:tr w:rsidR="00BD6DFD" w:rsidRPr="00911315" w:rsidTr="000F4DDD">
        <w:tc>
          <w:tcPr>
            <w:tcW w:w="3402" w:type="dxa"/>
            <w:tcBorders>
              <w:bottom w:val="single" w:sz="4" w:space="0" w:color="000000"/>
            </w:tcBorders>
            <w:shd w:val="clear" w:color="auto" w:fill="auto"/>
            <w:vAlign w:val="bottom"/>
          </w:tcPr>
          <w:p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Total</w:t>
            </w:r>
          </w:p>
        </w:tc>
        <w:tc>
          <w:tcPr>
            <w:tcW w:w="1417" w:type="dxa"/>
            <w:tcBorders>
              <w:bottom w:val="single" w:sz="4" w:space="0" w:color="000000"/>
            </w:tcBorders>
            <w:shd w:val="clear" w:color="auto" w:fill="auto"/>
            <w:noWrap/>
            <w:vAlign w:val="bottom"/>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100.0</w:t>
            </w:r>
          </w:p>
        </w:tc>
        <w:tc>
          <w:tcPr>
            <w:tcW w:w="1364" w:type="dxa"/>
            <w:tcBorders>
              <w:bottom w:val="single" w:sz="4" w:space="0" w:color="000000"/>
            </w:tcBorders>
            <w:shd w:val="clear" w:color="auto" w:fill="auto"/>
            <w:noWrap/>
            <w:vAlign w:val="bottom"/>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100.0</w:t>
            </w:r>
          </w:p>
        </w:tc>
      </w:tr>
      <w:tr w:rsidR="00BD6DFD" w:rsidRPr="00911315" w:rsidTr="000F4DDD">
        <w:tc>
          <w:tcPr>
            <w:tcW w:w="3402" w:type="dxa"/>
            <w:tcBorders>
              <w:top w:val="single" w:sz="4" w:space="0" w:color="000000"/>
            </w:tcBorders>
            <w:shd w:val="clear" w:color="auto" w:fill="auto"/>
            <w:vAlign w:val="bottom"/>
            <w:hideMark/>
          </w:tcPr>
          <w:p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Average number of BasicsCards</w:t>
            </w:r>
          </w:p>
        </w:tc>
        <w:tc>
          <w:tcPr>
            <w:tcW w:w="1417" w:type="dxa"/>
            <w:tcBorders>
              <w:top w:val="single" w:sz="4" w:space="0" w:color="000000"/>
            </w:tcBorders>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3.8</w:t>
            </w:r>
          </w:p>
        </w:tc>
        <w:tc>
          <w:tcPr>
            <w:tcW w:w="1364" w:type="dxa"/>
            <w:tcBorders>
              <w:top w:val="single" w:sz="4" w:space="0" w:color="000000"/>
            </w:tcBorders>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1.3</w:t>
            </w:r>
          </w:p>
        </w:tc>
      </w:tr>
      <w:tr w:rsidR="00BD6DFD" w:rsidRPr="00911315" w:rsidTr="000F4DDD">
        <w:tc>
          <w:tcPr>
            <w:tcW w:w="3402" w:type="dxa"/>
            <w:tcBorders>
              <w:bottom w:val="single" w:sz="4" w:space="0" w:color="000000"/>
            </w:tcBorders>
            <w:shd w:val="clear" w:color="auto" w:fill="auto"/>
            <w:vAlign w:val="bottom"/>
            <w:hideMark/>
          </w:tcPr>
          <w:p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Total persons</w:t>
            </w:r>
          </w:p>
        </w:tc>
        <w:tc>
          <w:tcPr>
            <w:tcW w:w="1417" w:type="dxa"/>
            <w:tcBorders>
              <w:bottom w:val="single" w:sz="4" w:space="0" w:color="000000"/>
            </w:tcBorders>
            <w:shd w:val="clear" w:color="auto" w:fill="auto"/>
            <w:noWrap/>
            <w:vAlign w:val="bottom"/>
            <w:hideMark/>
          </w:tcPr>
          <w:p w:rsidR="00BD6DFD" w:rsidRPr="00911315" w:rsidRDefault="00BD6DFD" w:rsidP="007214C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14</w:t>
            </w:r>
            <w:r w:rsidR="00F74C91" w:rsidRPr="00911315">
              <w:rPr>
                <w:rFonts w:cs="Arial"/>
                <w:color w:val="000000"/>
                <w:sz w:val="16"/>
                <w:szCs w:val="16"/>
                <w:lang w:eastAsia="en-AU" w:bidi="ar-SA"/>
              </w:rPr>
              <w:t> </w:t>
            </w:r>
            <w:r w:rsidRPr="00911315">
              <w:rPr>
                <w:rFonts w:cs="Arial"/>
                <w:color w:val="000000"/>
                <w:sz w:val="16"/>
                <w:szCs w:val="16"/>
                <w:lang w:eastAsia="en-AU" w:bidi="ar-SA"/>
              </w:rPr>
              <w:t>926</w:t>
            </w:r>
          </w:p>
        </w:tc>
        <w:tc>
          <w:tcPr>
            <w:tcW w:w="1364" w:type="dxa"/>
            <w:tcBorders>
              <w:bottom w:val="single" w:sz="4" w:space="0" w:color="000000"/>
            </w:tcBorders>
            <w:shd w:val="clear" w:color="auto" w:fill="auto"/>
            <w:noWrap/>
            <w:vAlign w:val="bottom"/>
            <w:hideMark/>
          </w:tcPr>
          <w:p w:rsidR="00BD6DFD" w:rsidRPr="00911315" w:rsidRDefault="00BD6DFD" w:rsidP="007214C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r w:rsidR="00F74C91" w:rsidRPr="00911315">
              <w:rPr>
                <w:rFonts w:cs="Arial"/>
                <w:color w:val="000000"/>
                <w:sz w:val="16"/>
                <w:szCs w:val="16"/>
                <w:lang w:eastAsia="en-AU" w:bidi="ar-SA"/>
              </w:rPr>
              <w:t> </w:t>
            </w:r>
            <w:r w:rsidRPr="00911315">
              <w:rPr>
                <w:rFonts w:cs="Arial"/>
                <w:color w:val="000000"/>
                <w:sz w:val="16"/>
                <w:szCs w:val="16"/>
                <w:lang w:eastAsia="en-AU" w:bidi="ar-SA"/>
              </w:rPr>
              <w:t>466</w:t>
            </w:r>
          </w:p>
        </w:tc>
      </w:tr>
    </w:tbl>
    <w:p w:rsidR="00BD6DFD" w:rsidRPr="005911E2" w:rsidRDefault="00BD6DFD" w:rsidP="004E3A29">
      <w:pPr>
        <w:pStyle w:val="tablefootnotes"/>
      </w:pPr>
      <w:r w:rsidRPr="005911E2">
        <w:t xml:space="preserve">Source: </w:t>
      </w:r>
      <w:r w:rsidR="00F74C91">
        <w:tab/>
      </w:r>
      <w:r w:rsidRPr="005911E2">
        <w:t xml:space="preserve">BasicsCards issued and </w:t>
      </w:r>
      <w:r w:rsidR="00F878E4">
        <w:t>income management</w:t>
      </w:r>
      <w:r w:rsidRPr="005911E2">
        <w:t xml:space="preserve"> client datasets as at 28 October 2011.</w:t>
      </w:r>
    </w:p>
    <w:p w:rsidR="00BD6DFD" w:rsidRPr="005911E2" w:rsidRDefault="00BD6DFD" w:rsidP="001246B9">
      <w:pPr>
        <w:pStyle w:val="tablefootnoteslastline"/>
        <w:rPr>
          <w:lang w:eastAsia="en-AU"/>
        </w:rPr>
      </w:pPr>
    </w:p>
    <w:p w:rsidR="00BD6DFD" w:rsidRPr="005911E2" w:rsidRDefault="00BD6DFD" w:rsidP="00BD6DFD">
      <w:pPr>
        <w:rPr>
          <w:lang w:eastAsia="en-AU"/>
        </w:rPr>
      </w:pPr>
      <w:r w:rsidRPr="005911E2">
        <w:rPr>
          <w:lang w:eastAsia="en-AU"/>
        </w:rPr>
        <w:t>There is little difference in the number of BasicsCards issued according to whether or not the person has dependent children or according to gender.</w:t>
      </w:r>
    </w:p>
    <w:p w:rsidR="00BD6DFD" w:rsidRPr="005911E2" w:rsidRDefault="00BD6DFD" w:rsidP="00BD6DFD">
      <w:pPr>
        <w:rPr>
          <w:lang w:eastAsia="en-AU"/>
        </w:rPr>
      </w:pPr>
      <w:r w:rsidRPr="005911E2">
        <w:rPr>
          <w:lang w:eastAsia="en-AU"/>
        </w:rPr>
        <w:t>Table 6</w:t>
      </w:r>
      <w:r w:rsidRPr="005911E2">
        <w:rPr>
          <w:lang w:eastAsia="en-AU"/>
        </w:rPr>
        <w:noBreakHyphen/>
        <w:t xml:space="preserve">5 provides information on the reasons for the reissuing of BasicsCards. The reasons for replacement are </w:t>
      </w:r>
      <w:r w:rsidR="00F74C91" w:rsidRPr="005911E2">
        <w:rPr>
          <w:lang w:eastAsia="en-AU"/>
        </w:rPr>
        <w:t>self-reported</w:t>
      </w:r>
      <w:r w:rsidRPr="005911E2">
        <w:rPr>
          <w:lang w:eastAsia="en-AU"/>
        </w:rPr>
        <w:t xml:space="preserve"> by the person subject to IM</w:t>
      </w:r>
      <w:r w:rsidR="007214C4">
        <w:rPr>
          <w:lang w:eastAsia="en-AU"/>
        </w:rPr>
        <w:t xml:space="preserve"> and </w:t>
      </w:r>
      <w:r w:rsidRPr="005911E2">
        <w:rPr>
          <w:lang w:eastAsia="en-AU"/>
        </w:rPr>
        <w:t>Centrelink have advised that there is no verification of the reason for replacement. By far the most common reason for a BasicsCard being reissued is that</w:t>
      </w:r>
      <w:r w:rsidR="00C56AA3">
        <w:rPr>
          <w:lang w:eastAsia="en-AU"/>
        </w:rPr>
        <w:t xml:space="preserve"> the card was lost (77 </w:t>
      </w:r>
      <w:r w:rsidRPr="005911E2">
        <w:rPr>
          <w:lang w:eastAsia="en-AU"/>
        </w:rPr>
        <w:t>per cent) followed by the card being damaged (12 per cent). The other reasons such as it being stolen or left at home were much less common reasons for the replacement of a BasicsCard. Centrelink have advised that they believe that the number of cards reported as being lost is likely to be overstated by the fact that it’s the first option in the pick list available to the Customer Service Agent and customers, who, for example have left their card at home, often say that they have lost their card in order to get a replacement card.</w:t>
      </w:r>
    </w:p>
    <w:p w:rsidR="00BD6DFD" w:rsidRPr="005911E2" w:rsidRDefault="00BD6DFD" w:rsidP="00BD6DFD">
      <w:pPr>
        <w:rPr>
          <w:lang w:eastAsia="en-AU"/>
        </w:rPr>
      </w:pPr>
      <w:r w:rsidRPr="005911E2">
        <w:rPr>
          <w:lang w:eastAsia="en-AU"/>
        </w:rPr>
        <w:t>Although the average number of cards issued to Indigenous people was more than to non-Indigenous people, the reasons for cards being replaced were similar for Indigenous and non-Indigenous (Table 6</w:t>
      </w:r>
      <w:r w:rsidRPr="005911E2">
        <w:rPr>
          <w:lang w:eastAsia="en-AU"/>
        </w:rPr>
        <w:noBreakHyphen/>
        <w:t>5).</w:t>
      </w:r>
    </w:p>
    <w:p w:rsidR="00BD6DFD" w:rsidRPr="005911E2" w:rsidRDefault="00BD6DFD" w:rsidP="00263D64">
      <w:pPr>
        <w:pStyle w:val="tabfighead"/>
      </w:pPr>
      <w:bookmarkStart w:id="535" w:name="_Ref321082861"/>
      <w:bookmarkStart w:id="536" w:name="_Ref321082856"/>
      <w:bookmarkStart w:id="537" w:name="_Toc321430429"/>
      <w:bookmarkStart w:id="538" w:name="_Toc321254548"/>
      <w:bookmarkStart w:id="539" w:name="_Toc328601596"/>
      <w:bookmarkStart w:id="540" w:name="_Toc329051374"/>
      <w:bookmarkStart w:id="541" w:name="_Toc335915862"/>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6</w:t>
      </w:r>
      <w:r w:rsidR="00C7347D" w:rsidRPr="005911E2">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5</w:t>
      </w:r>
      <w:r w:rsidR="00C7347D" w:rsidRPr="005911E2">
        <w:fldChar w:fldCharType="end"/>
      </w:r>
      <w:bookmarkEnd w:id="535"/>
      <w:r w:rsidRPr="005911E2">
        <w:t xml:space="preserve"> </w:t>
      </w:r>
      <w:r w:rsidRPr="005911E2">
        <w:tab/>
        <w:t>Reasons for BasicsCard replacement by Indigenous status, October 2011</w:t>
      </w:r>
      <w:bookmarkEnd w:id="536"/>
      <w:bookmarkEnd w:id="537"/>
      <w:bookmarkEnd w:id="538"/>
      <w:bookmarkEnd w:id="539"/>
      <w:bookmarkEnd w:id="540"/>
      <w:bookmarkEnd w:id="541"/>
      <w:r w:rsidRPr="005911E2">
        <w:t xml:space="preserve"> </w:t>
      </w:r>
    </w:p>
    <w:tbl>
      <w:tblPr>
        <w:tblW w:w="7229" w:type="dxa"/>
        <w:tblInd w:w="1951" w:type="dxa"/>
        <w:tblLayout w:type="fixed"/>
        <w:tblLook w:val="04A0" w:firstRow="1" w:lastRow="0" w:firstColumn="1" w:lastColumn="0" w:noHBand="0" w:noVBand="1"/>
      </w:tblPr>
      <w:tblGrid>
        <w:gridCol w:w="3686"/>
        <w:gridCol w:w="1134"/>
        <w:gridCol w:w="1275"/>
        <w:gridCol w:w="1134"/>
      </w:tblGrid>
      <w:tr w:rsidR="00BD6DFD" w:rsidRPr="00911315" w:rsidTr="000F4DDD">
        <w:trPr>
          <w:trHeight w:val="375"/>
        </w:trPr>
        <w:tc>
          <w:tcPr>
            <w:tcW w:w="3686" w:type="dxa"/>
            <w:tcBorders>
              <w:top w:val="single" w:sz="4" w:space="0" w:color="000000"/>
              <w:bottom w:val="single" w:sz="4" w:space="0" w:color="000000"/>
            </w:tcBorders>
            <w:shd w:val="clear" w:color="auto" w:fill="auto"/>
            <w:noWrap/>
            <w:vAlign w:val="bottom"/>
            <w:hideMark/>
          </w:tcPr>
          <w:p w:rsidR="00BD6DFD" w:rsidRPr="00911315" w:rsidRDefault="00BD6DFD" w:rsidP="00BD6DFD">
            <w:pPr>
              <w:keepNext/>
              <w:keepLines/>
              <w:spacing w:after="60" w:line="240" w:lineRule="auto"/>
              <w:ind w:left="0"/>
              <w:jc w:val="left"/>
              <w:rPr>
                <w:rFonts w:cs="Arial"/>
                <w:color w:val="000000"/>
                <w:sz w:val="16"/>
                <w:szCs w:val="16"/>
                <w:lang w:eastAsia="en-AU" w:bidi="ar-SA"/>
              </w:rPr>
            </w:pPr>
          </w:p>
        </w:tc>
        <w:tc>
          <w:tcPr>
            <w:tcW w:w="1134" w:type="dxa"/>
            <w:tcBorders>
              <w:top w:val="single" w:sz="4" w:space="0" w:color="000000"/>
              <w:bottom w:val="single" w:sz="4" w:space="0" w:color="000000"/>
            </w:tcBorders>
            <w:shd w:val="clear" w:color="auto" w:fill="auto"/>
            <w:noWrap/>
            <w:hideMark/>
          </w:tcPr>
          <w:p w:rsidR="00BD6DFD" w:rsidRPr="00911315" w:rsidRDefault="00BD6DFD" w:rsidP="00BD6DFD">
            <w:pPr>
              <w:keepNext/>
              <w:keepLines/>
              <w:spacing w:after="60" w:line="240" w:lineRule="auto"/>
              <w:ind w:left="0"/>
              <w:jc w:val="right"/>
              <w:rPr>
                <w:rFonts w:cs="Arial"/>
                <w:bCs/>
                <w:color w:val="000000"/>
                <w:sz w:val="16"/>
                <w:szCs w:val="16"/>
                <w:lang w:eastAsia="en-AU" w:bidi="ar-SA"/>
              </w:rPr>
            </w:pPr>
            <w:r w:rsidRPr="00911315">
              <w:rPr>
                <w:rFonts w:cs="Arial"/>
                <w:bCs/>
                <w:color w:val="000000"/>
                <w:sz w:val="16"/>
                <w:szCs w:val="16"/>
                <w:lang w:eastAsia="en-AU" w:bidi="ar-SA"/>
              </w:rPr>
              <w:t>Indigenous</w:t>
            </w:r>
          </w:p>
        </w:tc>
        <w:tc>
          <w:tcPr>
            <w:tcW w:w="1275" w:type="dxa"/>
            <w:tcBorders>
              <w:top w:val="single" w:sz="4" w:space="0" w:color="000000"/>
              <w:bottom w:val="single" w:sz="4" w:space="0" w:color="000000"/>
            </w:tcBorders>
            <w:shd w:val="clear" w:color="auto" w:fill="auto"/>
            <w:noWrap/>
            <w:hideMark/>
          </w:tcPr>
          <w:p w:rsidR="00BD6DFD" w:rsidRPr="00911315" w:rsidRDefault="00BD6DFD" w:rsidP="00BD6DFD">
            <w:pPr>
              <w:keepNext/>
              <w:keepLines/>
              <w:spacing w:after="60" w:line="240" w:lineRule="auto"/>
              <w:ind w:left="0"/>
              <w:jc w:val="right"/>
              <w:rPr>
                <w:rFonts w:cs="Arial"/>
                <w:bCs/>
                <w:color w:val="000000"/>
                <w:sz w:val="16"/>
                <w:szCs w:val="16"/>
                <w:lang w:eastAsia="en-AU" w:bidi="ar-SA"/>
              </w:rPr>
            </w:pPr>
            <w:r w:rsidRPr="00911315">
              <w:rPr>
                <w:rFonts w:cs="Arial"/>
                <w:bCs/>
                <w:color w:val="000000"/>
                <w:sz w:val="16"/>
                <w:szCs w:val="16"/>
                <w:lang w:eastAsia="en-AU" w:bidi="ar-SA"/>
              </w:rPr>
              <w:t>Non- Indigenous</w:t>
            </w:r>
          </w:p>
        </w:tc>
        <w:tc>
          <w:tcPr>
            <w:tcW w:w="1134" w:type="dxa"/>
            <w:tcBorders>
              <w:top w:val="single" w:sz="4" w:space="0" w:color="000000"/>
              <w:bottom w:val="single" w:sz="4" w:space="0" w:color="000000"/>
            </w:tcBorders>
            <w:shd w:val="clear" w:color="auto" w:fill="auto"/>
            <w:noWrap/>
            <w:hideMark/>
          </w:tcPr>
          <w:p w:rsidR="00BD6DFD" w:rsidRPr="00911315" w:rsidRDefault="00BD6DFD" w:rsidP="00BD6DFD">
            <w:pPr>
              <w:keepNext/>
              <w:keepLines/>
              <w:spacing w:after="60" w:line="240" w:lineRule="auto"/>
              <w:ind w:left="0"/>
              <w:jc w:val="right"/>
              <w:rPr>
                <w:rFonts w:cs="Arial"/>
                <w:bCs/>
                <w:color w:val="000000"/>
                <w:sz w:val="16"/>
                <w:szCs w:val="16"/>
                <w:lang w:eastAsia="en-AU" w:bidi="ar-SA"/>
              </w:rPr>
            </w:pPr>
            <w:r w:rsidRPr="00911315">
              <w:rPr>
                <w:rFonts w:cs="Arial"/>
                <w:bCs/>
                <w:color w:val="000000"/>
                <w:sz w:val="16"/>
                <w:szCs w:val="16"/>
                <w:lang w:eastAsia="en-AU" w:bidi="ar-SA"/>
              </w:rPr>
              <w:t>Total</w:t>
            </w:r>
          </w:p>
        </w:tc>
      </w:tr>
      <w:tr w:rsidR="00BD6DFD" w:rsidRPr="00911315" w:rsidTr="000F4DDD">
        <w:trPr>
          <w:trHeight w:val="38"/>
        </w:trPr>
        <w:tc>
          <w:tcPr>
            <w:tcW w:w="3686" w:type="dxa"/>
            <w:tcBorders>
              <w:top w:val="single" w:sz="4" w:space="0" w:color="000000"/>
            </w:tcBorders>
            <w:shd w:val="clear" w:color="auto" w:fill="auto"/>
            <w:noWrap/>
            <w:vAlign w:val="bottom"/>
            <w:hideMark/>
          </w:tcPr>
          <w:p w:rsidR="00BD6DFD" w:rsidRPr="00911315" w:rsidRDefault="00BD6DFD" w:rsidP="00BD6DFD">
            <w:pPr>
              <w:keepNext/>
              <w:keepLines/>
              <w:spacing w:after="60" w:line="240" w:lineRule="auto"/>
              <w:ind w:left="0"/>
              <w:jc w:val="left"/>
              <w:rPr>
                <w:rFonts w:cs="Arial"/>
                <w:color w:val="000000"/>
                <w:sz w:val="16"/>
                <w:szCs w:val="16"/>
                <w:lang w:eastAsia="en-AU" w:bidi="ar-SA"/>
              </w:rPr>
            </w:pPr>
          </w:p>
        </w:tc>
        <w:tc>
          <w:tcPr>
            <w:tcW w:w="3543" w:type="dxa"/>
            <w:gridSpan w:val="3"/>
            <w:tcBorders>
              <w:top w:val="single" w:sz="4" w:space="0" w:color="000000"/>
            </w:tcBorders>
            <w:shd w:val="clear" w:color="auto" w:fill="auto"/>
            <w:noWrap/>
            <w:vAlign w:val="bottom"/>
            <w:hideMark/>
          </w:tcPr>
          <w:p w:rsidR="00BD6DFD" w:rsidRPr="00911315" w:rsidRDefault="00F74C91" w:rsidP="00F74C91">
            <w:pPr>
              <w:keepNext/>
              <w:keepLines/>
              <w:spacing w:after="60" w:line="240" w:lineRule="auto"/>
              <w:ind w:left="0"/>
              <w:jc w:val="center"/>
              <w:rPr>
                <w:rFonts w:cs="Arial"/>
                <w:bCs/>
                <w:color w:val="000000"/>
                <w:sz w:val="16"/>
                <w:szCs w:val="16"/>
                <w:lang w:eastAsia="en-AU" w:bidi="ar-SA"/>
              </w:rPr>
            </w:pPr>
            <w:r w:rsidRPr="00911315">
              <w:rPr>
                <w:rFonts w:cs="Arial"/>
                <w:bCs/>
                <w:color w:val="000000"/>
                <w:sz w:val="16"/>
                <w:szCs w:val="16"/>
                <w:lang w:eastAsia="en-AU" w:bidi="ar-SA"/>
              </w:rPr>
              <w:t xml:space="preserve">- </w:t>
            </w:r>
            <w:r w:rsidR="00BD6DFD" w:rsidRPr="00911315">
              <w:rPr>
                <w:rFonts w:cs="Arial"/>
                <w:bCs/>
                <w:color w:val="000000"/>
                <w:sz w:val="16"/>
                <w:szCs w:val="16"/>
                <w:lang w:eastAsia="en-AU" w:bidi="ar-SA"/>
              </w:rPr>
              <w:t xml:space="preserve">% </w:t>
            </w:r>
            <w:r w:rsidRPr="00911315">
              <w:rPr>
                <w:rFonts w:cs="Arial"/>
                <w:bCs/>
                <w:color w:val="000000"/>
                <w:sz w:val="16"/>
                <w:szCs w:val="16"/>
                <w:lang w:eastAsia="en-AU" w:bidi="ar-SA"/>
              </w:rPr>
              <w:t>-</w:t>
            </w:r>
          </w:p>
        </w:tc>
      </w:tr>
      <w:tr w:rsidR="00BD6DFD" w:rsidRPr="00911315" w:rsidTr="000F4DDD">
        <w:trPr>
          <w:trHeight w:val="300"/>
        </w:trPr>
        <w:tc>
          <w:tcPr>
            <w:tcW w:w="3686" w:type="dxa"/>
            <w:shd w:val="clear" w:color="auto" w:fill="auto"/>
            <w:noWrap/>
            <w:vAlign w:val="bottom"/>
            <w:hideMark/>
          </w:tcPr>
          <w:p w:rsidR="00BD6DFD" w:rsidRPr="00911315" w:rsidRDefault="00BD6DFD" w:rsidP="00BD6DFD">
            <w:pPr>
              <w:keepNext/>
              <w:keepLines/>
              <w:spacing w:after="60" w:line="240" w:lineRule="auto"/>
              <w:ind w:left="175" w:hanging="141"/>
              <w:jc w:val="left"/>
              <w:rPr>
                <w:rFonts w:cs="Arial"/>
                <w:color w:val="000000"/>
                <w:sz w:val="16"/>
                <w:szCs w:val="16"/>
                <w:lang w:eastAsia="en-AU" w:bidi="ar-SA"/>
              </w:rPr>
            </w:pPr>
            <w:r w:rsidRPr="00911315">
              <w:rPr>
                <w:rFonts w:cs="Arial"/>
                <w:color w:val="000000"/>
                <w:sz w:val="16"/>
                <w:szCs w:val="16"/>
                <w:lang w:eastAsia="en-AU" w:bidi="ar-SA"/>
              </w:rPr>
              <w:t>Lost</w:t>
            </w:r>
          </w:p>
        </w:tc>
        <w:tc>
          <w:tcPr>
            <w:tcW w:w="1134" w:type="dxa"/>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76.7</w:t>
            </w:r>
          </w:p>
        </w:tc>
        <w:tc>
          <w:tcPr>
            <w:tcW w:w="1275" w:type="dxa"/>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70.0</w:t>
            </w:r>
          </w:p>
        </w:tc>
        <w:tc>
          <w:tcPr>
            <w:tcW w:w="1134" w:type="dxa"/>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76.7</w:t>
            </w:r>
          </w:p>
        </w:tc>
      </w:tr>
      <w:tr w:rsidR="00BD6DFD" w:rsidRPr="00911315" w:rsidTr="000F4DDD">
        <w:trPr>
          <w:trHeight w:val="300"/>
        </w:trPr>
        <w:tc>
          <w:tcPr>
            <w:tcW w:w="3686" w:type="dxa"/>
            <w:shd w:val="clear" w:color="auto" w:fill="auto"/>
            <w:noWrap/>
            <w:vAlign w:val="bottom"/>
            <w:hideMark/>
          </w:tcPr>
          <w:p w:rsidR="00BD6DFD" w:rsidRPr="00911315" w:rsidRDefault="00BD6DFD" w:rsidP="00BD6DFD">
            <w:pPr>
              <w:keepNext/>
              <w:keepLines/>
              <w:spacing w:after="60" w:line="240" w:lineRule="auto"/>
              <w:ind w:left="175" w:hanging="141"/>
              <w:jc w:val="left"/>
              <w:rPr>
                <w:rFonts w:cs="Arial"/>
                <w:color w:val="000000"/>
                <w:sz w:val="16"/>
                <w:szCs w:val="16"/>
                <w:lang w:eastAsia="en-AU" w:bidi="ar-SA"/>
              </w:rPr>
            </w:pPr>
            <w:r w:rsidRPr="00911315">
              <w:rPr>
                <w:rFonts w:cs="Arial"/>
                <w:color w:val="000000"/>
                <w:sz w:val="16"/>
                <w:szCs w:val="16"/>
                <w:lang w:eastAsia="en-AU" w:bidi="ar-SA"/>
              </w:rPr>
              <w:t>Damaged</w:t>
            </w:r>
          </w:p>
        </w:tc>
        <w:tc>
          <w:tcPr>
            <w:tcW w:w="1134" w:type="dxa"/>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11.8</w:t>
            </w:r>
          </w:p>
        </w:tc>
        <w:tc>
          <w:tcPr>
            <w:tcW w:w="1275" w:type="dxa"/>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14.1</w:t>
            </w:r>
          </w:p>
        </w:tc>
        <w:tc>
          <w:tcPr>
            <w:tcW w:w="1134" w:type="dxa"/>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11.9</w:t>
            </w:r>
          </w:p>
        </w:tc>
      </w:tr>
      <w:tr w:rsidR="00BD6DFD" w:rsidRPr="00911315" w:rsidTr="000F4DDD">
        <w:trPr>
          <w:trHeight w:val="300"/>
        </w:trPr>
        <w:tc>
          <w:tcPr>
            <w:tcW w:w="3686" w:type="dxa"/>
            <w:shd w:val="clear" w:color="auto" w:fill="auto"/>
            <w:noWrap/>
            <w:vAlign w:val="bottom"/>
            <w:hideMark/>
          </w:tcPr>
          <w:p w:rsidR="00BD6DFD" w:rsidRPr="00911315" w:rsidRDefault="00BD6DFD" w:rsidP="00BD6DFD">
            <w:pPr>
              <w:keepNext/>
              <w:keepLines/>
              <w:spacing w:after="60" w:line="240" w:lineRule="auto"/>
              <w:ind w:left="175" w:hanging="141"/>
              <w:jc w:val="left"/>
              <w:rPr>
                <w:rFonts w:cs="Arial"/>
                <w:color w:val="000000"/>
                <w:sz w:val="16"/>
                <w:szCs w:val="16"/>
                <w:lang w:eastAsia="en-AU" w:bidi="ar-SA"/>
              </w:rPr>
            </w:pPr>
            <w:r w:rsidRPr="00911315">
              <w:rPr>
                <w:rFonts w:cs="Arial"/>
                <w:color w:val="000000"/>
                <w:sz w:val="16"/>
                <w:szCs w:val="16"/>
                <w:lang w:eastAsia="en-AU" w:bidi="ar-SA"/>
              </w:rPr>
              <w:t>Stolen</w:t>
            </w:r>
          </w:p>
        </w:tc>
        <w:tc>
          <w:tcPr>
            <w:tcW w:w="1134" w:type="dxa"/>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4.0</w:t>
            </w:r>
          </w:p>
        </w:tc>
        <w:tc>
          <w:tcPr>
            <w:tcW w:w="1275" w:type="dxa"/>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5.0</w:t>
            </w:r>
          </w:p>
        </w:tc>
        <w:tc>
          <w:tcPr>
            <w:tcW w:w="1134" w:type="dxa"/>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4.0</w:t>
            </w:r>
          </w:p>
        </w:tc>
      </w:tr>
      <w:tr w:rsidR="00BD6DFD" w:rsidRPr="00911315" w:rsidTr="000F4DDD">
        <w:trPr>
          <w:trHeight w:val="300"/>
        </w:trPr>
        <w:tc>
          <w:tcPr>
            <w:tcW w:w="3686" w:type="dxa"/>
            <w:shd w:val="clear" w:color="auto" w:fill="auto"/>
            <w:noWrap/>
            <w:vAlign w:val="bottom"/>
            <w:hideMark/>
          </w:tcPr>
          <w:p w:rsidR="00BD6DFD" w:rsidRPr="00911315" w:rsidRDefault="00BD6DFD" w:rsidP="00BD6DFD">
            <w:pPr>
              <w:keepNext/>
              <w:keepLines/>
              <w:spacing w:after="60" w:line="240" w:lineRule="auto"/>
              <w:ind w:left="175" w:hanging="141"/>
              <w:jc w:val="left"/>
              <w:rPr>
                <w:rFonts w:cs="Arial"/>
                <w:color w:val="000000"/>
                <w:sz w:val="16"/>
                <w:szCs w:val="16"/>
                <w:lang w:eastAsia="en-AU" w:bidi="ar-SA"/>
              </w:rPr>
            </w:pPr>
            <w:r w:rsidRPr="00911315">
              <w:rPr>
                <w:rFonts w:cs="Arial"/>
                <w:color w:val="000000"/>
                <w:sz w:val="16"/>
                <w:szCs w:val="16"/>
                <w:lang w:eastAsia="en-AU" w:bidi="ar-SA"/>
              </w:rPr>
              <w:t>Other (expired, left card at home, missing reason, customer request, given to 3rd party including retained at merchant)</w:t>
            </w:r>
          </w:p>
        </w:tc>
        <w:tc>
          <w:tcPr>
            <w:tcW w:w="1134" w:type="dxa"/>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7.4</w:t>
            </w:r>
          </w:p>
        </w:tc>
        <w:tc>
          <w:tcPr>
            <w:tcW w:w="1275" w:type="dxa"/>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10.9</w:t>
            </w:r>
          </w:p>
        </w:tc>
        <w:tc>
          <w:tcPr>
            <w:tcW w:w="1134" w:type="dxa"/>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7.5</w:t>
            </w:r>
          </w:p>
        </w:tc>
      </w:tr>
      <w:tr w:rsidR="00BD6DFD" w:rsidRPr="00911315" w:rsidTr="000F4DDD">
        <w:trPr>
          <w:trHeight w:val="300"/>
        </w:trPr>
        <w:tc>
          <w:tcPr>
            <w:tcW w:w="3686" w:type="dxa"/>
            <w:tcBorders>
              <w:bottom w:val="single" w:sz="4" w:space="0" w:color="000000"/>
            </w:tcBorders>
            <w:shd w:val="clear" w:color="auto" w:fill="auto"/>
            <w:noWrap/>
            <w:vAlign w:val="bottom"/>
            <w:hideMark/>
          </w:tcPr>
          <w:p w:rsidR="00BD6DFD" w:rsidRPr="00911315" w:rsidRDefault="00BD6DFD" w:rsidP="00BD6DFD">
            <w:pPr>
              <w:keepNext/>
              <w:keepLines/>
              <w:spacing w:after="60" w:line="240" w:lineRule="auto"/>
              <w:ind w:left="175" w:hanging="141"/>
              <w:jc w:val="left"/>
              <w:rPr>
                <w:rFonts w:cs="Arial"/>
                <w:color w:val="000000"/>
                <w:sz w:val="16"/>
                <w:szCs w:val="16"/>
                <w:lang w:eastAsia="en-AU" w:bidi="ar-SA"/>
              </w:rPr>
            </w:pPr>
            <w:r w:rsidRPr="00911315">
              <w:rPr>
                <w:rFonts w:cs="Arial"/>
                <w:color w:val="000000"/>
                <w:sz w:val="16"/>
                <w:szCs w:val="16"/>
                <w:lang w:eastAsia="en-AU" w:bidi="ar-SA"/>
              </w:rPr>
              <w:t>Total</w:t>
            </w:r>
          </w:p>
        </w:tc>
        <w:tc>
          <w:tcPr>
            <w:tcW w:w="1134" w:type="dxa"/>
            <w:tcBorders>
              <w:bottom w:val="single" w:sz="4" w:space="0" w:color="000000"/>
            </w:tcBorders>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100.0</w:t>
            </w:r>
          </w:p>
        </w:tc>
        <w:tc>
          <w:tcPr>
            <w:tcW w:w="1275" w:type="dxa"/>
            <w:tcBorders>
              <w:bottom w:val="single" w:sz="4" w:space="0" w:color="000000"/>
            </w:tcBorders>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100.0</w:t>
            </w:r>
          </w:p>
        </w:tc>
        <w:tc>
          <w:tcPr>
            <w:tcW w:w="1134" w:type="dxa"/>
            <w:tcBorders>
              <w:bottom w:val="single" w:sz="4" w:space="0" w:color="000000"/>
            </w:tcBorders>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100.0</w:t>
            </w:r>
          </w:p>
        </w:tc>
      </w:tr>
      <w:tr w:rsidR="00BD6DFD" w:rsidRPr="00911315" w:rsidTr="000F4DDD">
        <w:trPr>
          <w:trHeight w:val="300"/>
        </w:trPr>
        <w:tc>
          <w:tcPr>
            <w:tcW w:w="3686" w:type="dxa"/>
            <w:tcBorders>
              <w:top w:val="single" w:sz="4" w:space="0" w:color="000000"/>
              <w:bottom w:val="single" w:sz="4" w:space="0" w:color="000000"/>
            </w:tcBorders>
            <w:shd w:val="clear" w:color="auto" w:fill="auto"/>
            <w:noWrap/>
            <w:vAlign w:val="bottom"/>
            <w:hideMark/>
          </w:tcPr>
          <w:p w:rsidR="00BD6DFD" w:rsidRPr="00911315" w:rsidRDefault="00BD6DFD" w:rsidP="00BD6DFD">
            <w:pPr>
              <w:keepNext/>
              <w:keepLines/>
              <w:spacing w:after="60" w:line="240" w:lineRule="auto"/>
              <w:ind w:left="175" w:hanging="141"/>
              <w:jc w:val="left"/>
              <w:rPr>
                <w:rFonts w:cs="Arial"/>
                <w:color w:val="000000"/>
                <w:sz w:val="16"/>
                <w:szCs w:val="16"/>
                <w:lang w:eastAsia="en-AU" w:bidi="ar-SA"/>
              </w:rPr>
            </w:pPr>
            <w:r w:rsidRPr="00911315">
              <w:rPr>
                <w:rFonts w:cs="Arial"/>
                <w:color w:val="000000"/>
                <w:sz w:val="16"/>
                <w:szCs w:val="16"/>
                <w:lang w:eastAsia="en-AU" w:bidi="ar-SA"/>
              </w:rPr>
              <w:t>Total number of cards issued</w:t>
            </w:r>
          </w:p>
        </w:tc>
        <w:tc>
          <w:tcPr>
            <w:tcW w:w="1134" w:type="dxa"/>
            <w:tcBorders>
              <w:top w:val="single" w:sz="4" w:space="0" w:color="000000"/>
              <w:bottom w:val="single" w:sz="4" w:space="0" w:color="000000"/>
            </w:tcBorders>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42</w:t>
            </w:r>
            <w:r w:rsidR="00F74C91" w:rsidRPr="00911315">
              <w:rPr>
                <w:rFonts w:cs="Arial"/>
                <w:color w:val="000000"/>
                <w:sz w:val="16"/>
                <w:szCs w:val="16"/>
                <w:lang w:eastAsia="en-AU" w:bidi="ar-SA"/>
              </w:rPr>
              <w:t> </w:t>
            </w:r>
            <w:r w:rsidRPr="00911315">
              <w:rPr>
                <w:rFonts w:cs="Arial"/>
                <w:color w:val="000000"/>
                <w:sz w:val="16"/>
                <w:szCs w:val="16"/>
                <w:lang w:eastAsia="en-AU" w:bidi="ar-SA"/>
              </w:rPr>
              <w:t>238</w:t>
            </w:r>
          </w:p>
        </w:tc>
        <w:tc>
          <w:tcPr>
            <w:tcW w:w="1275" w:type="dxa"/>
            <w:tcBorders>
              <w:top w:val="single" w:sz="4" w:space="0" w:color="000000"/>
              <w:bottom w:val="single" w:sz="4" w:space="0" w:color="000000"/>
            </w:tcBorders>
            <w:shd w:val="clear" w:color="auto" w:fill="auto"/>
            <w:noWrap/>
            <w:vAlign w:val="bottom"/>
            <w:hideMark/>
          </w:tcPr>
          <w:p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616</w:t>
            </w:r>
          </w:p>
        </w:tc>
        <w:tc>
          <w:tcPr>
            <w:tcW w:w="1134" w:type="dxa"/>
            <w:tcBorders>
              <w:top w:val="single" w:sz="4" w:space="0" w:color="000000"/>
              <w:bottom w:val="single" w:sz="4" w:space="0" w:color="000000"/>
            </w:tcBorders>
            <w:shd w:val="clear" w:color="auto" w:fill="auto"/>
            <w:noWrap/>
            <w:vAlign w:val="bottom"/>
            <w:hideMark/>
          </w:tcPr>
          <w:p w:rsidR="00BD6DFD" w:rsidRPr="00911315" w:rsidRDefault="00BD6DFD" w:rsidP="003B778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42</w:t>
            </w:r>
            <w:r w:rsidR="00F74C91" w:rsidRPr="00911315">
              <w:rPr>
                <w:rFonts w:cs="Arial"/>
                <w:color w:val="000000"/>
                <w:sz w:val="16"/>
                <w:szCs w:val="16"/>
                <w:lang w:eastAsia="en-AU" w:bidi="ar-SA"/>
              </w:rPr>
              <w:t> </w:t>
            </w:r>
            <w:r w:rsidRPr="00911315">
              <w:rPr>
                <w:rFonts w:cs="Arial"/>
                <w:color w:val="000000"/>
                <w:sz w:val="16"/>
                <w:szCs w:val="16"/>
                <w:lang w:eastAsia="en-AU" w:bidi="ar-SA"/>
              </w:rPr>
              <w:t>854</w:t>
            </w:r>
          </w:p>
        </w:tc>
      </w:tr>
    </w:tbl>
    <w:p w:rsidR="00BD6DFD" w:rsidRPr="005911E2" w:rsidRDefault="00BD6DFD" w:rsidP="002955BA">
      <w:pPr>
        <w:pStyle w:val="tablefootnotes"/>
      </w:pPr>
      <w:r w:rsidRPr="005911E2">
        <w:t xml:space="preserve">Notes: </w:t>
      </w:r>
      <w:r w:rsidRPr="005911E2">
        <w:tab/>
        <w:t xml:space="preserve">Does not include first card issued if a replacement from previous </w:t>
      </w:r>
      <w:r w:rsidR="00F878E4">
        <w:t>income management</w:t>
      </w:r>
      <w:r w:rsidRPr="005911E2">
        <w:t xml:space="preserve"> spell.</w:t>
      </w:r>
    </w:p>
    <w:p w:rsidR="00BD6DFD" w:rsidRPr="005911E2" w:rsidRDefault="00BD6DFD" w:rsidP="002955BA">
      <w:pPr>
        <w:pStyle w:val="tablefootnotes"/>
      </w:pPr>
      <w:r w:rsidRPr="005911E2">
        <w:t xml:space="preserve">Source: </w:t>
      </w:r>
      <w:r w:rsidRPr="005911E2">
        <w:tab/>
        <w:t xml:space="preserve">BasicsCards issued and </w:t>
      </w:r>
      <w:r w:rsidR="00F878E4">
        <w:t>income management</w:t>
      </w:r>
      <w:r w:rsidRPr="005911E2">
        <w:t xml:space="preserve"> client datasets as at 28th October 2011.</w:t>
      </w:r>
    </w:p>
    <w:p w:rsidR="00BD6DFD" w:rsidRPr="00BB4D9F" w:rsidRDefault="00BD6DFD" w:rsidP="002955BA">
      <w:pPr>
        <w:pStyle w:val="tablefootnotes"/>
      </w:pPr>
    </w:p>
    <w:p w:rsidR="00BD6DFD" w:rsidRPr="005911E2" w:rsidRDefault="00BD6DFD" w:rsidP="00BD6DFD">
      <w:pPr>
        <w:rPr>
          <w:lang w:eastAsia="en-AU"/>
        </w:rPr>
      </w:pPr>
      <w:r w:rsidRPr="005911E2">
        <w:rPr>
          <w:lang w:eastAsia="en-AU"/>
        </w:rPr>
        <w:t xml:space="preserve">Overall there were few replacements for non-Indigenous clients. Indigenous people, however, had replacement cards issued at a relatively high rate. The extent to which this reflects the nature of </w:t>
      </w:r>
      <w:r w:rsidR="005911E2" w:rsidRPr="005911E2">
        <w:rPr>
          <w:lang w:eastAsia="en-AU"/>
        </w:rPr>
        <w:t>people’s</w:t>
      </w:r>
      <w:r w:rsidRPr="005911E2">
        <w:rPr>
          <w:lang w:eastAsia="en-AU"/>
        </w:rPr>
        <w:t xml:space="preserve"> lives</w:t>
      </w:r>
      <w:r w:rsidR="00BB4D9F">
        <w:rPr>
          <w:lang w:eastAsia="en-AU"/>
        </w:rPr>
        <w:t>,</w:t>
      </w:r>
      <w:r w:rsidRPr="005911E2">
        <w:rPr>
          <w:lang w:eastAsia="en-AU"/>
        </w:rPr>
        <w:t xml:space="preserve"> o</w:t>
      </w:r>
      <w:r w:rsidR="00BB4D9F">
        <w:rPr>
          <w:lang w:eastAsia="en-AU"/>
        </w:rPr>
        <w:t>r</w:t>
      </w:r>
      <w:r w:rsidRPr="005911E2">
        <w:rPr>
          <w:lang w:eastAsia="en-AU"/>
        </w:rPr>
        <w:t xml:space="preserve"> the extent to which it reflects that the BasicsCard is dispensable and easily replaced</w:t>
      </w:r>
      <w:r w:rsidR="00BB4D9F">
        <w:rPr>
          <w:lang w:eastAsia="en-AU"/>
        </w:rPr>
        <w:t>,</w:t>
      </w:r>
      <w:r w:rsidRPr="005911E2">
        <w:rPr>
          <w:lang w:eastAsia="en-AU"/>
        </w:rPr>
        <w:t xml:space="preserve"> is not clear from </w:t>
      </w:r>
      <w:r w:rsidR="00333514" w:rsidRPr="005911E2">
        <w:rPr>
          <w:lang w:eastAsia="en-AU"/>
        </w:rPr>
        <w:t>th</w:t>
      </w:r>
      <w:r w:rsidR="00333514">
        <w:rPr>
          <w:lang w:eastAsia="en-AU"/>
        </w:rPr>
        <w:t>is</w:t>
      </w:r>
      <w:r w:rsidR="00333514" w:rsidRPr="005911E2">
        <w:rPr>
          <w:lang w:eastAsia="en-AU"/>
        </w:rPr>
        <w:t xml:space="preserve"> </w:t>
      </w:r>
      <w:r w:rsidRPr="005911E2">
        <w:rPr>
          <w:lang w:eastAsia="en-AU"/>
        </w:rPr>
        <w:t xml:space="preserve">data. Further insight into the reasons for high levels of replacement amongst Indigenous people is given below. </w:t>
      </w:r>
    </w:p>
    <w:p w:rsidR="00BD6DFD" w:rsidRPr="005911E2" w:rsidRDefault="00BD6DFD" w:rsidP="00616B0F">
      <w:pPr>
        <w:pStyle w:val="Heading2"/>
      </w:pPr>
      <w:bookmarkStart w:id="542" w:name="_Toc321225127"/>
      <w:bookmarkStart w:id="543" w:name="_Toc321254470"/>
      <w:bookmarkStart w:id="544" w:name="_Toc328601494"/>
      <w:bookmarkStart w:id="545" w:name="_Toc329870376"/>
      <w:bookmarkStart w:id="546" w:name="_Toc335915762"/>
      <w:r w:rsidRPr="005911E2">
        <w:t>Merchants</w:t>
      </w:r>
      <w:r w:rsidR="00333514">
        <w:t>’</w:t>
      </w:r>
      <w:r w:rsidRPr="005911E2">
        <w:t xml:space="preserve"> views about the BasicsCard</w:t>
      </w:r>
      <w:bookmarkEnd w:id="542"/>
      <w:bookmarkEnd w:id="543"/>
      <w:bookmarkEnd w:id="544"/>
      <w:bookmarkEnd w:id="545"/>
      <w:bookmarkEnd w:id="546"/>
    </w:p>
    <w:p w:rsidR="00BD6DFD" w:rsidRPr="005911E2" w:rsidRDefault="00BD6DFD" w:rsidP="00BD6DFD">
      <w:pPr>
        <w:rPr>
          <w:lang w:eastAsia="en-AU"/>
        </w:rPr>
      </w:pPr>
      <w:r w:rsidRPr="005911E2">
        <w:rPr>
          <w:lang w:eastAsia="en-AU"/>
        </w:rPr>
        <w:t xml:space="preserve">The survey of merchants in the Northern Territory who were approved to accept the BasicsCard included several questions about their perceptions of customers’ experiences using the BasicsCard. The sample of merchants included both retailers of food and other essential goods as well as those who accepted BasicsCard for services such as school lunches, medical care and transport. Amongst the merchants who responded to the survey, 81 operate in remote locations. </w:t>
      </w:r>
    </w:p>
    <w:p w:rsidR="00BD6DFD" w:rsidRPr="005911E2" w:rsidRDefault="00BD6DFD" w:rsidP="00BD6DFD">
      <w:pPr>
        <w:rPr>
          <w:lang w:eastAsia="en-AU"/>
        </w:rPr>
      </w:pPr>
      <w:r w:rsidRPr="005911E2">
        <w:rPr>
          <w:lang w:eastAsia="en-AU"/>
        </w:rPr>
        <w:t>Merchants were asked about whether they thought customers felt comfortable using their BasicsCard, whether it was difficult for customers to know how much money is available on their BasicsCard</w:t>
      </w:r>
      <w:r w:rsidR="003B7785">
        <w:rPr>
          <w:lang w:eastAsia="en-AU"/>
        </w:rPr>
        <w:t>,</w:t>
      </w:r>
      <w:r w:rsidRPr="005911E2">
        <w:rPr>
          <w:lang w:eastAsia="en-AU"/>
        </w:rPr>
        <w:t xml:space="preserve"> and whether </w:t>
      </w:r>
      <w:r w:rsidR="003B7785">
        <w:rPr>
          <w:lang w:eastAsia="en-AU"/>
        </w:rPr>
        <w:t>c</w:t>
      </w:r>
      <w:r w:rsidRPr="005911E2">
        <w:rPr>
          <w:color w:val="000000"/>
          <w:lang w:eastAsia="en-AU"/>
        </w:rPr>
        <w:t>ustomers using the BasicsCard have a clear understanding of its use.</w:t>
      </w:r>
    </w:p>
    <w:p w:rsidR="00BD6DFD" w:rsidRPr="005911E2" w:rsidRDefault="00BD6DFD" w:rsidP="00BD6DFD">
      <w:pPr>
        <w:rPr>
          <w:lang w:eastAsia="en-AU"/>
        </w:rPr>
      </w:pPr>
      <w:r w:rsidRPr="005911E2">
        <w:rPr>
          <w:lang w:eastAsia="en-AU"/>
        </w:rPr>
        <w:t>The merchants interviewed believed that customers felt comfortable using their BasicsCards (Table 6</w:t>
      </w:r>
      <w:r w:rsidRPr="005911E2">
        <w:rPr>
          <w:lang w:eastAsia="en-AU"/>
        </w:rPr>
        <w:noBreakHyphen/>
        <w:t>6). Nevertheless</w:t>
      </w:r>
      <w:r w:rsidR="003B7785">
        <w:rPr>
          <w:lang w:eastAsia="en-AU"/>
        </w:rPr>
        <w:t>,</w:t>
      </w:r>
      <w:r w:rsidRPr="005911E2">
        <w:rPr>
          <w:lang w:eastAsia="en-AU"/>
        </w:rPr>
        <w:t xml:space="preserve"> as will be outlined in Section 6.5 and in Chapter 10, there is convincing evidence that for some customers there was embarrassment or shame associated with using the BasicsCard. </w:t>
      </w:r>
    </w:p>
    <w:p w:rsidR="00BD6DFD" w:rsidRPr="005911E2" w:rsidRDefault="00BD6DFD" w:rsidP="00BD6DFD">
      <w:pPr>
        <w:rPr>
          <w:lang w:eastAsia="en-AU"/>
        </w:rPr>
      </w:pPr>
      <w:r w:rsidRPr="005911E2">
        <w:rPr>
          <w:lang w:eastAsia="en-AU"/>
        </w:rPr>
        <w:t xml:space="preserve">Most merchants reported that in their experience customers had a clear understanding of the use of </w:t>
      </w:r>
      <w:r w:rsidR="003B7785">
        <w:rPr>
          <w:lang w:eastAsia="en-AU"/>
        </w:rPr>
        <w:t xml:space="preserve">the </w:t>
      </w:r>
      <w:r w:rsidRPr="005911E2">
        <w:rPr>
          <w:lang w:eastAsia="en-AU"/>
        </w:rPr>
        <w:t xml:space="preserve">BasicsCard (77 per cent strongly or mostly agreeing). Responses to the question about whether it was difficult for customers using the BasicsCard to know how much money was available on it were more evenly distributed, with just over half agreeing that it was difficult for customers to know their balance (51 per cent). This is consistent with data collected from Centrelink staff and qualitative information collected from </w:t>
      </w:r>
      <w:r w:rsidR="003B7785">
        <w:rPr>
          <w:lang w:eastAsia="en-AU"/>
        </w:rPr>
        <w:t xml:space="preserve">users of the card </w:t>
      </w:r>
      <w:r w:rsidRPr="005911E2">
        <w:rPr>
          <w:lang w:eastAsia="en-AU"/>
        </w:rPr>
        <w:t xml:space="preserve">that pointed to the difficulties some </w:t>
      </w:r>
      <w:r w:rsidR="00BB4D9F">
        <w:rPr>
          <w:lang w:eastAsia="en-AU"/>
        </w:rPr>
        <w:t>people</w:t>
      </w:r>
      <w:r w:rsidR="00BB4D9F" w:rsidRPr="005911E2">
        <w:rPr>
          <w:lang w:eastAsia="en-AU"/>
        </w:rPr>
        <w:t xml:space="preserve"> </w:t>
      </w:r>
      <w:r w:rsidRPr="005911E2">
        <w:rPr>
          <w:lang w:eastAsia="en-AU"/>
        </w:rPr>
        <w:t>have in checking their BasicsCard balance (see</w:t>
      </w:r>
      <w:r w:rsidR="00BB4D9F">
        <w:rPr>
          <w:lang w:eastAsia="en-AU"/>
        </w:rPr>
        <w:t xml:space="preserve"> section </w:t>
      </w:r>
      <w:r w:rsidR="00C7347D">
        <w:rPr>
          <w:lang w:eastAsia="en-AU"/>
        </w:rPr>
        <w:fldChar w:fldCharType="begin"/>
      </w:r>
      <w:r w:rsidR="00BB4D9F">
        <w:rPr>
          <w:lang w:eastAsia="en-AU"/>
        </w:rPr>
        <w:instrText xml:space="preserve"> REF _Ref194416544 \r \h </w:instrText>
      </w:r>
      <w:r w:rsidR="00C7347D">
        <w:rPr>
          <w:lang w:eastAsia="en-AU"/>
        </w:rPr>
      </w:r>
      <w:r w:rsidR="00C7347D">
        <w:rPr>
          <w:lang w:eastAsia="en-AU"/>
        </w:rPr>
        <w:fldChar w:fldCharType="separate"/>
      </w:r>
      <w:r w:rsidR="007D7E45">
        <w:rPr>
          <w:lang w:eastAsia="en-AU"/>
        </w:rPr>
        <w:t>6.5</w:t>
      </w:r>
      <w:r w:rsidR="00C7347D">
        <w:rPr>
          <w:lang w:eastAsia="en-AU"/>
        </w:rPr>
        <w:fldChar w:fldCharType="end"/>
      </w:r>
      <w:r w:rsidRPr="005911E2">
        <w:rPr>
          <w:lang w:eastAsia="en-AU"/>
        </w:rPr>
        <w:t xml:space="preserve">). </w:t>
      </w:r>
    </w:p>
    <w:p w:rsidR="00BD6DFD" w:rsidRPr="005911E2" w:rsidRDefault="00BD6DFD" w:rsidP="00BD6DFD">
      <w:pPr>
        <w:rPr>
          <w:lang w:eastAsia="en-AU"/>
        </w:rPr>
      </w:pPr>
      <w:r w:rsidRPr="005911E2">
        <w:rPr>
          <w:lang w:eastAsia="en-AU"/>
        </w:rPr>
        <w:t xml:space="preserve">Several merchants discussed this issue in more detail in their open ended responses at the end of the survey. </w:t>
      </w:r>
    </w:p>
    <w:p w:rsidR="00BD6DFD" w:rsidRPr="005911E2" w:rsidRDefault="00BD6DFD" w:rsidP="00BD6DFD">
      <w:pPr>
        <w:keepNext/>
        <w:spacing w:after="120"/>
        <w:ind w:left="2325"/>
        <w:jc w:val="left"/>
        <w:rPr>
          <w:i/>
          <w:iCs/>
        </w:rPr>
      </w:pPr>
      <w:r w:rsidRPr="005911E2">
        <w:rPr>
          <w:i/>
          <w:iCs/>
        </w:rPr>
        <w:t>There should be a system at the checkout to check their balance because its either they buy all their stuff and find they don’t have enough money and then at checkout have to call Centrelink and check how much is on their account, which holds everyone up.</w:t>
      </w:r>
    </w:p>
    <w:p w:rsidR="00BD6DFD" w:rsidRPr="005911E2" w:rsidRDefault="00BD6DFD" w:rsidP="00847CCC">
      <w:pPr>
        <w:pStyle w:val="mininame"/>
      </w:pPr>
      <w:r w:rsidRPr="005911E2">
        <w:t>Merchant</w:t>
      </w:r>
    </w:p>
    <w:p w:rsidR="00BD6DFD" w:rsidRPr="005911E2" w:rsidRDefault="00BD6DFD" w:rsidP="00BD6DFD">
      <w:pPr>
        <w:keepNext/>
        <w:spacing w:after="120"/>
        <w:ind w:left="2325"/>
        <w:jc w:val="left"/>
        <w:rPr>
          <w:i/>
          <w:iCs/>
        </w:rPr>
      </w:pPr>
      <w:r w:rsidRPr="005911E2">
        <w:rPr>
          <w:i/>
          <w:iCs/>
        </w:rPr>
        <w:t>It works well</w:t>
      </w:r>
      <w:r w:rsidR="003B7785">
        <w:rPr>
          <w:i/>
          <w:iCs/>
        </w:rPr>
        <w:t>,</w:t>
      </w:r>
      <w:r w:rsidRPr="005911E2">
        <w:rPr>
          <w:i/>
          <w:iCs/>
        </w:rPr>
        <w:t xml:space="preserve"> the biggest problem is that they never know how much is in it. We put things in the cash register and then we have to pull it out if they do not have the money</w:t>
      </w:r>
      <w:r w:rsidR="002A53BE">
        <w:rPr>
          <w:i/>
          <w:iCs/>
        </w:rPr>
        <w:t>.</w:t>
      </w:r>
    </w:p>
    <w:p w:rsidR="00BD6DFD" w:rsidRPr="005911E2" w:rsidRDefault="00BD6DFD" w:rsidP="00847CCC">
      <w:pPr>
        <w:pStyle w:val="mininame"/>
      </w:pPr>
      <w:r w:rsidRPr="005911E2">
        <w:t>Merchant</w:t>
      </w:r>
    </w:p>
    <w:p w:rsidR="00BD6DFD" w:rsidRPr="005911E2" w:rsidRDefault="00BD6DFD" w:rsidP="00263D64">
      <w:pPr>
        <w:pStyle w:val="tabfighead"/>
      </w:pPr>
      <w:bookmarkStart w:id="547" w:name="_Ref320512334"/>
      <w:bookmarkStart w:id="548" w:name="_Toc321430430"/>
      <w:bookmarkStart w:id="549" w:name="_Toc321254549"/>
      <w:bookmarkStart w:id="550" w:name="_Toc328601597"/>
      <w:bookmarkStart w:id="551" w:name="_Toc329051375"/>
      <w:bookmarkStart w:id="552" w:name="_Toc335915863"/>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6</w:t>
      </w:r>
      <w:r w:rsidR="00C7347D" w:rsidRPr="005911E2">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6</w:t>
      </w:r>
      <w:r w:rsidR="00C7347D" w:rsidRPr="005911E2">
        <w:fldChar w:fldCharType="end"/>
      </w:r>
      <w:bookmarkEnd w:id="547"/>
      <w:r w:rsidRPr="005911E2">
        <w:t xml:space="preserve"> </w:t>
      </w:r>
      <w:r w:rsidRPr="005911E2">
        <w:tab/>
        <w:t>Merchants</w:t>
      </w:r>
      <w:r w:rsidR="00333514">
        <w:t>’</w:t>
      </w:r>
      <w:r w:rsidRPr="005911E2">
        <w:t xml:space="preserve"> perceptions of customers</w:t>
      </w:r>
      <w:r w:rsidR="00333514">
        <w:t>’</w:t>
      </w:r>
      <w:r w:rsidRPr="005911E2">
        <w:t xml:space="preserve"> experience of using BasicsCard</w:t>
      </w:r>
      <w:bookmarkEnd w:id="548"/>
      <w:bookmarkEnd w:id="549"/>
      <w:bookmarkEnd w:id="550"/>
      <w:bookmarkEnd w:id="551"/>
      <w:bookmarkEnd w:id="552"/>
      <w:r w:rsidRPr="005911E2">
        <w:t xml:space="preserve"> </w:t>
      </w:r>
    </w:p>
    <w:tbl>
      <w:tblPr>
        <w:tblW w:w="7183" w:type="dxa"/>
        <w:tblInd w:w="1951" w:type="dxa"/>
        <w:tblLayout w:type="fixed"/>
        <w:tblLook w:val="04A0" w:firstRow="1" w:lastRow="0" w:firstColumn="1" w:lastColumn="0" w:noHBand="0" w:noVBand="1"/>
      </w:tblPr>
      <w:tblGrid>
        <w:gridCol w:w="2977"/>
        <w:gridCol w:w="992"/>
        <w:gridCol w:w="851"/>
        <w:gridCol w:w="850"/>
        <w:gridCol w:w="851"/>
        <w:gridCol w:w="662"/>
      </w:tblGrid>
      <w:tr w:rsidR="00BD6DFD" w:rsidRPr="00911315" w:rsidTr="000F4DDD">
        <w:tc>
          <w:tcPr>
            <w:tcW w:w="2977" w:type="dxa"/>
            <w:tcBorders>
              <w:top w:val="single" w:sz="4" w:space="0" w:color="000000"/>
              <w:bottom w:val="single" w:sz="4" w:space="0" w:color="000000"/>
            </w:tcBorders>
            <w:shd w:val="clear" w:color="auto" w:fill="auto"/>
            <w:vAlign w:val="center"/>
            <w:hideMark/>
          </w:tcPr>
          <w:p w:rsidR="00BD6DFD" w:rsidRPr="00911315" w:rsidRDefault="00BD6DFD" w:rsidP="00263D64">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 </w:t>
            </w:r>
          </w:p>
        </w:tc>
        <w:tc>
          <w:tcPr>
            <w:tcW w:w="992" w:type="dxa"/>
            <w:tcBorders>
              <w:top w:val="single" w:sz="4" w:space="0" w:color="000000"/>
              <w:bottom w:val="single" w:sz="4" w:space="0" w:color="000000"/>
            </w:tcBorders>
            <w:shd w:val="clear" w:color="auto" w:fill="auto"/>
            <w:hideMark/>
          </w:tcPr>
          <w:p w:rsidR="00BD6DFD" w:rsidRPr="00911315" w:rsidRDefault="00BD6DFD" w:rsidP="00263D6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Strongly agree</w:t>
            </w:r>
          </w:p>
        </w:tc>
        <w:tc>
          <w:tcPr>
            <w:tcW w:w="851" w:type="dxa"/>
            <w:tcBorders>
              <w:top w:val="single" w:sz="4" w:space="0" w:color="000000"/>
              <w:bottom w:val="single" w:sz="4" w:space="0" w:color="000000"/>
            </w:tcBorders>
            <w:shd w:val="clear" w:color="auto" w:fill="auto"/>
            <w:hideMark/>
          </w:tcPr>
          <w:p w:rsidR="00BD6DFD" w:rsidRPr="00911315" w:rsidRDefault="00BD6DFD" w:rsidP="00263D6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Mostly agree</w:t>
            </w:r>
          </w:p>
        </w:tc>
        <w:tc>
          <w:tcPr>
            <w:tcW w:w="850" w:type="dxa"/>
            <w:tcBorders>
              <w:top w:val="single" w:sz="4" w:space="0" w:color="000000"/>
              <w:bottom w:val="single" w:sz="4" w:space="0" w:color="000000"/>
            </w:tcBorders>
            <w:shd w:val="clear" w:color="auto" w:fill="auto"/>
            <w:hideMark/>
          </w:tcPr>
          <w:p w:rsidR="00BD6DFD" w:rsidRPr="00911315" w:rsidRDefault="00BD6DFD" w:rsidP="00263D6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Mostly disagree</w:t>
            </w:r>
          </w:p>
        </w:tc>
        <w:tc>
          <w:tcPr>
            <w:tcW w:w="851" w:type="dxa"/>
            <w:tcBorders>
              <w:top w:val="single" w:sz="4" w:space="0" w:color="000000"/>
              <w:bottom w:val="single" w:sz="4" w:space="0" w:color="000000"/>
            </w:tcBorders>
            <w:shd w:val="clear" w:color="auto" w:fill="auto"/>
            <w:hideMark/>
          </w:tcPr>
          <w:p w:rsidR="00BD6DFD" w:rsidRPr="00911315" w:rsidRDefault="00BD6DFD" w:rsidP="00263D6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Strongly disagree</w:t>
            </w:r>
          </w:p>
        </w:tc>
        <w:tc>
          <w:tcPr>
            <w:tcW w:w="662" w:type="dxa"/>
            <w:tcBorders>
              <w:top w:val="single" w:sz="4" w:space="0" w:color="000000"/>
              <w:bottom w:val="single" w:sz="4" w:space="0" w:color="000000"/>
            </w:tcBorders>
          </w:tcPr>
          <w:p w:rsidR="00BD6DFD" w:rsidRPr="00911315" w:rsidRDefault="00BD6DFD" w:rsidP="00263D6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Total</w:t>
            </w:r>
          </w:p>
        </w:tc>
      </w:tr>
      <w:tr w:rsidR="00BD6DFD" w:rsidRPr="00911315" w:rsidTr="000F4DDD">
        <w:tc>
          <w:tcPr>
            <w:tcW w:w="2977" w:type="dxa"/>
            <w:tcBorders>
              <w:top w:val="single" w:sz="4" w:space="0" w:color="000000"/>
            </w:tcBorders>
            <w:shd w:val="clear" w:color="auto" w:fill="auto"/>
            <w:vAlign w:val="center"/>
          </w:tcPr>
          <w:p w:rsidR="00BD6DFD" w:rsidRPr="00911315" w:rsidRDefault="00BD6DFD" w:rsidP="00263D64">
            <w:pPr>
              <w:keepNext/>
              <w:keepLines/>
              <w:spacing w:after="60" w:line="240" w:lineRule="auto"/>
              <w:ind w:left="0"/>
              <w:jc w:val="left"/>
              <w:rPr>
                <w:rFonts w:cs="Arial"/>
                <w:color w:val="000000"/>
                <w:sz w:val="16"/>
                <w:szCs w:val="16"/>
                <w:lang w:eastAsia="en-AU" w:bidi="ar-SA"/>
              </w:rPr>
            </w:pPr>
          </w:p>
        </w:tc>
        <w:tc>
          <w:tcPr>
            <w:tcW w:w="3544" w:type="dxa"/>
            <w:gridSpan w:val="4"/>
            <w:tcBorders>
              <w:top w:val="single" w:sz="4" w:space="0" w:color="000000"/>
            </w:tcBorders>
            <w:shd w:val="clear" w:color="auto" w:fill="auto"/>
            <w:vAlign w:val="center"/>
          </w:tcPr>
          <w:p w:rsidR="00BD6DFD" w:rsidRPr="00911315" w:rsidRDefault="00BD6DFD" w:rsidP="003B7785">
            <w:pPr>
              <w:keepNext/>
              <w:keepLines/>
              <w:spacing w:after="60" w:line="240" w:lineRule="auto"/>
              <w:ind w:left="0"/>
              <w:jc w:val="center"/>
              <w:rPr>
                <w:rFonts w:cs="Arial"/>
                <w:color w:val="000000"/>
                <w:sz w:val="16"/>
                <w:szCs w:val="16"/>
                <w:lang w:eastAsia="en-AU" w:bidi="ar-SA"/>
              </w:rPr>
            </w:pPr>
            <w:r w:rsidRPr="00911315">
              <w:rPr>
                <w:rFonts w:cs="Arial"/>
                <w:color w:val="000000"/>
                <w:sz w:val="16"/>
                <w:szCs w:val="16"/>
                <w:lang w:eastAsia="en-AU" w:bidi="ar-SA"/>
              </w:rPr>
              <w:t>- % -</w:t>
            </w:r>
          </w:p>
        </w:tc>
        <w:tc>
          <w:tcPr>
            <w:tcW w:w="662" w:type="dxa"/>
            <w:tcBorders>
              <w:top w:val="single" w:sz="4" w:space="0" w:color="000000"/>
            </w:tcBorders>
          </w:tcPr>
          <w:p w:rsidR="00BD6DFD" w:rsidRPr="00911315" w:rsidRDefault="00BD6DFD" w:rsidP="00263D64">
            <w:pPr>
              <w:keepNext/>
              <w:keepLines/>
              <w:spacing w:after="60" w:line="240" w:lineRule="auto"/>
              <w:ind w:left="0"/>
              <w:jc w:val="center"/>
              <w:rPr>
                <w:rFonts w:cs="Arial"/>
                <w:color w:val="000000"/>
                <w:sz w:val="16"/>
                <w:szCs w:val="16"/>
                <w:lang w:eastAsia="en-AU" w:bidi="ar-SA"/>
              </w:rPr>
            </w:pPr>
          </w:p>
        </w:tc>
      </w:tr>
      <w:tr w:rsidR="00BD6DFD" w:rsidRPr="00911315" w:rsidTr="000F4DDD">
        <w:tc>
          <w:tcPr>
            <w:tcW w:w="2977" w:type="dxa"/>
            <w:shd w:val="clear" w:color="auto" w:fill="auto"/>
            <w:vAlign w:val="center"/>
            <w:hideMark/>
          </w:tcPr>
          <w:p w:rsidR="00BD6DFD" w:rsidRPr="00911315" w:rsidRDefault="00BD6DFD" w:rsidP="00263D64">
            <w:pPr>
              <w:keepNext/>
              <w:keepLines/>
              <w:spacing w:after="60" w:line="240" w:lineRule="auto"/>
              <w:ind w:left="176" w:hanging="176"/>
              <w:jc w:val="left"/>
              <w:rPr>
                <w:rFonts w:cs="Arial"/>
                <w:color w:val="000000"/>
                <w:sz w:val="16"/>
                <w:szCs w:val="16"/>
                <w:lang w:eastAsia="en-AU" w:bidi="ar-SA"/>
              </w:rPr>
            </w:pPr>
            <w:r w:rsidRPr="00911315">
              <w:rPr>
                <w:rFonts w:cs="Arial"/>
                <w:color w:val="000000"/>
                <w:sz w:val="16"/>
                <w:szCs w:val="16"/>
                <w:lang w:eastAsia="en-AU" w:bidi="ar-SA"/>
              </w:rPr>
              <w:t>Customers feel comfortable using their BasicsCard in this store</w:t>
            </w:r>
          </w:p>
        </w:tc>
        <w:tc>
          <w:tcPr>
            <w:tcW w:w="992" w:type="dxa"/>
            <w:shd w:val="clear" w:color="auto" w:fill="auto"/>
            <w:vAlign w:val="bottom"/>
            <w:hideMark/>
          </w:tcPr>
          <w:p w:rsidR="00BD6DFD" w:rsidRPr="00911315" w:rsidRDefault="00BD6DFD" w:rsidP="00263D6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77</w:t>
            </w:r>
          </w:p>
        </w:tc>
        <w:tc>
          <w:tcPr>
            <w:tcW w:w="851" w:type="dxa"/>
            <w:shd w:val="clear" w:color="auto" w:fill="auto"/>
            <w:vAlign w:val="bottom"/>
            <w:hideMark/>
          </w:tcPr>
          <w:p w:rsidR="00BD6DFD" w:rsidRPr="00911315" w:rsidRDefault="00BD6DFD" w:rsidP="00263D6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15</w:t>
            </w:r>
          </w:p>
        </w:tc>
        <w:tc>
          <w:tcPr>
            <w:tcW w:w="850" w:type="dxa"/>
            <w:shd w:val="clear" w:color="auto" w:fill="auto"/>
            <w:vAlign w:val="bottom"/>
            <w:hideMark/>
          </w:tcPr>
          <w:p w:rsidR="00BD6DFD" w:rsidRPr="00911315" w:rsidRDefault="00BD6DFD" w:rsidP="00263D6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p>
        </w:tc>
        <w:tc>
          <w:tcPr>
            <w:tcW w:w="851" w:type="dxa"/>
            <w:shd w:val="clear" w:color="auto" w:fill="auto"/>
            <w:vAlign w:val="bottom"/>
            <w:hideMark/>
          </w:tcPr>
          <w:p w:rsidR="00BD6DFD" w:rsidRPr="00911315" w:rsidRDefault="00BD6DFD" w:rsidP="00263D6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w:t>
            </w:r>
          </w:p>
        </w:tc>
        <w:tc>
          <w:tcPr>
            <w:tcW w:w="662" w:type="dxa"/>
            <w:vAlign w:val="bottom"/>
          </w:tcPr>
          <w:p w:rsidR="00BD6DFD" w:rsidRPr="00911315" w:rsidRDefault="00BD6DFD" w:rsidP="00263D6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BD6DFD" w:rsidRPr="00911315" w:rsidTr="000F4DDD">
        <w:tc>
          <w:tcPr>
            <w:tcW w:w="2977" w:type="dxa"/>
            <w:shd w:val="clear" w:color="auto" w:fill="auto"/>
            <w:vAlign w:val="center"/>
            <w:hideMark/>
          </w:tcPr>
          <w:p w:rsidR="00BD6DFD" w:rsidRPr="00911315" w:rsidRDefault="00BD6DFD" w:rsidP="00263D64">
            <w:pPr>
              <w:keepNext/>
              <w:keepLines/>
              <w:spacing w:after="60" w:line="240" w:lineRule="auto"/>
              <w:ind w:left="176" w:hanging="176"/>
              <w:jc w:val="left"/>
              <w:rPr>
                <w:rFonts w:cs="Arial"/>
                <w:color w:val="000000"/>
                <w:sz w:val="16"/>
                <w:szCs w:val="16"/>
                <w:lang w:eastAsia="en-AU" w:bidi="ar-SA"/>
              </w:rPr>
            </w:pPr>
            <w:r w:rsidRPr="00911315">
              <w:rPr>
                <w:rFonts w:cs="Arial"/>
                <w:color w:val="000000"/>
                <w:sz w:val="16"/>
                <w:szCs w:val="16"/>
                <w:lang w:eastAsia="en-AU" w:bidi="ar-SA"/>
              </w:rPr>
              <w:t>Customers using the BasicsCard have a clear understanding of its use</w:t>
            </w:r>
          </w:p>
        </w:tc>
        <w:tc>
          <w:tcPr>
            <w:tcW w:w="992" w:type="dxa"/>
            <w:shd w:val="clear" w:color="auto" w:fill="auto"/>
            <w:vAlign w:val="bottom"/>
            <w:hideMark/>
          </w:tcPr>
          <w:p w:rsidR="00BD6DFD" w:rsidRPr="00911315" w:rsidRDefault="00BD6DFD" w:rsidP="00263D6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48</w:t>
            </w:r>
          </w:p>
        </w:tc>
        <w:tc>
          <w:tcPr>
            <w:tcW w:w="851" w:type="dxa"/>
            <w:shd w:val="clear" w:color="auto" w:fill="auto"/>
            <w:vAlign w:val="bottom"/>
            <w:hideMark/>
          </w:tcPr>
          <w:p w:rsidR="00BD6DFD" w:rsidRPr="00911315" w:rsidRDefault="00BD6DFD" w:rsidP="00263D6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29</w:t>
            </w:r>
          </w:p>
        </w:tc>
        <w:tc>
          <w:tcPr>
            <w:tcW w:w="850" w:type="dxa"/>
            <w:shd w:val="clear" w:color="auto" w:fill="auto"/>
            <w:vAlign w:val="bottom"/>
            <w:hideMark/>
          </w:tcPr>
          <w:p w:rsidR="00BD6DFD" w:rsidRPr="00911315" w:rsidRDefault="00BD6DFD" w:rsidP="00263D6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15</w:t>
            </w:r>
          </w:p>
        </w:tc>
        <w:tc>
          <w:tcPr>
            <w:tcW w:w="851" w:type="dxa"/>
            <w:shd w:val="clear" w:color="auto" w:fill="auto"/>
            <w:vAlign w:val="bottom"/>
            <w:hideMark/>
          </w:tcPr>
          <w:p w:rsidR="00BD6DFD" w:rsidRPr="00911315" w:rsidRDefault="00BD6DFD" w:rsidP="00263D6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8</w:t>
            </w:r>
          </w:p>
        </w:tc>
        <w:tc>
          <w:tcPr>
            <w:tcW w:w="662" w:type="dxa"/>
            <w:vAlign w:val="bottom"/>
          </w:tcPr>
          <w:p w:rsidR="00BD6DFD" w:rsidRPr="00911315" w:rsidRDefault="00BD6DFD" w:rsidP="00263D6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BD6DFD" w:rsidRPr="00911315" w:rsidTr="000F4DDD">
        <w:tc>
          <w:tcPr>
            <w:tcW w:w="2977" w:type="dxa"/>
            <w:tcBorders>
              <w:bottom w:val="single" w:sz="4" w:space="0" w:color="000000"/>
            </w:tcBorders>
            <w:shd w:val="clear" w:color="auto" w:fill="auto"/>
            <w:vAlign w:val="center"/>
            <w:hideMark/>
          </w:tcPr>
          <w:p w:rsidR="00BD6DFD" w:rsidRPr="00911315" w:rsidRDefault="00BD6DFD" w:rsidP="00263D64">
            <w:pPr>
              <w:keepNext/>
              <w:keepLines/>
              <w:spacing w:after="60" w:line="240" w:lineRule="auto"/>
              <w:ind w:left="176" w:hanging="176"/>
              <w:jc w:val="left"/>
              <w:rPr>
                <w:rFonts w:cs="Arial"/>
                <w:color w:val="000000"/>
                <w:sz w:val="16"/>
                <w:szCs w:val="16"/>
                <w:lang w:eastAsia="en-AU" w:bidi="ar-SA"/>
              </w:rPr>
            </w:pPr>
            <w:r w:rsidRPr="00911315">
              <w:rPr>
                <w:rFonts w:cs="Arial"/>
                <w:color w:val="000000"/>
                <w:sz w:val="16"/>
                <w:szCs w:val="16"/>
                <w:lang w:eastAsia="en-AU" w:bidi="ar-SA"/>
              </w:rPr>
              <w:t>It is difficult for customers using the BasicsCard to know how much money is available on it</w:t>
            </w:r>
          </w:p>
        </w:tc>
        <w:tc>
          <w:tcPr>
            <w:tcW w:w="992" w:type="dxa"/>
            <w:tcBorders>
              <w:bottom w:val="single" w:sz="4" w:space="0" w:color="000000"/>
            </w:tcBorders>
            <w:shd w:val="clear" w:color="auto" w:fill="auto"/>
            <w:vAlign w:val="bottom"/>
            <w:hideMark/>
          </w:tcPr>
          <w:p w:rsidR="00BD6DFD" w:rsidRPr="00911315" w:rsidRDefault="00BD6DFD" w:rsidP="00263D6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26</w:t>
            </w:r>
          </w:p>
        </w:tc>
        <w:tc>
          <w:tcPr>
            <w:tcW w:w="851" w:type="dxa"/>
            <w:tcBorders>
              <w:bottom w:val="single" w:sz="4" w:space="0" w:color="000000"/>
            </w:tcBorders>
            <w:shd w:val="clear" w:color="auto" w:fill="auto"/>
            <w:vAlign w:val="bottom"/>
            <w:hideMark/>
          </w:tcPr>
          <w:p w:rsidR="00BD6DFD" w:rsidRPr="00911315" w:rsidRDefault="00BD6DFD" w:rsidP="00263D6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26</w:t>
            </w:r>
          </w:p>
        </w:tc>
        <w:tc>
          <w:tcPr>
            <w:tcW w:w="850" w:type="dxa"/>
            <w:tcBorders>
              <w:bottom w:val="single" w:sz="4" w:space="0" w:color="000000"/>
            </w:tcBorders>
            <w:shd w:val="clear" w:color="auto" w:fill="auto"/>
            <w:vAlign w:val="bottom"/>
            <w:hideMark/>
          </w:tcPr>
          <w:p w:rsidR="00BD6DFD" w:rsidRPr="00911315" w:rsidRDefault="00BD6DFD" w:rsidP="00263D6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26</w:t>
            </w:r>
          </w:p>
        </w:tc>
        <w:tc>
          <w:tcPr>
            <w:tcW w:w="851" w:type="dxa"/>
            <w:tcBorders>
              <w:bottom w:val="single" w:sz="4" w:space="0" w:color="000000"/>
            </w:tcBorders>
            <w:shd w:val="clear" w:color="auto" w:fill="auto"/>
            <w:vAlign w:val="bottom"/>
            <w:hideMark/>
          </w:tcPr>
          <w:p w:rsidR="00BD6DFD" w:rsidRPr="00911315" w:rsidRDefault="00BD6DFD" w:rsidP="00263D6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23</w:t>
            </w:r>
          </w:p>
        </w:tc>
        <w:tc>
          <w:tcPr>
            <w:tcW w:w="662" w:type="dxa"/>
            <w:tcBorders>
              <w:bottom w:val="single" w:sz="4" w:space="0" w:color="000000"/>
            </w:tcBorders>
            <w:vAlign w:val="bottom"/>
          </w:tcPr>
          <w:p w:rsidR="00BD6DFD" w:rsidRPr="00911315" w:rsidRDefault="00BD6DFD" w:rsidP="00263D6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bl>
    <w:p w:rsidR="00BD6DFD" w:rsidRPr="005911E2" w:rsidRDefault="00BD6DFD" w:rsidP="00CF78DB">
      <w:pPr>
        <w:pStyle w:val="tablefootnotes"/>
      </w:pPr>
      <w:r w:rsidRPr="005911E2">
        <w:t xml:space="preserve">Notes: </w:t>
      </w:r>
      <w:r w:rsidRPr="005911E2">
        <w:tab/>
        <w:t>There were 103 merchants who participated in the survey. The proportion of ‘can’t say/don’t know’ responses or not applicable for the individual questions was</w:t>
      </w:r>
      <w:r w:rsidR="000F4DDD">
        <w:t xml:space="preserve"> 9</w:t>
      </w:r>
      <w:r w:rsidRPr="005911E2">
        <w:t xml:space="preserve"> per cent for the questions about customers understanding of its use, </w:t>
      </w:r>
      <w:r w:rsidR="000F4DDD">
        <w:t>13</w:t>
      </w:r>
      <w:r w:rsidRPr="005911E2">
        <w:t xml:space="preserve"> per cent for difficulty for customers to know how much money is available on their BasicsCard</w:t>
      </w:r>
      <w:r w:rsidR="003B7785">
        <w:t>,</w:t>
      </w:r>
      <w:r w:rsidRPr="005911E2">
        <w:t xml:space="preserve"> and </w:t>
      </w:r>
      <w:r w:rsidR="000F4DDD">
        <w:t>12</w:t>
      </w:r>
      <w:r w:rsidRPr="005911E2">
        <w:t xml:space="preserve"> per cent for the questions about how comfortable customers felts using their BasicsCard.</w:t>
      </w:r>
    </w:p>
    <w:p w:rsidR="00BD6DFD" w:rsidRPr="005911E2" w:rsidRDefault="00BD6DFD" w:rsidP="00CF78DB">
      <w:pPr>
        <w:pStyle w:val="tablefootnotes"/>
      </w:pPr>
      <w:r w:rsidRPr="005911E2">
        <w:t xml:space="preserve">Source: </w:t>
      </w:r>
      <w:r w:rsidRPr="005911E2">
        <w:tab/>
        <w:t>Survey of NT Merchants 2011.</w:t>
      </w:r>
    </w:p>
    <w:p w:rsidR="00BD6DFD" w:rsidRPr="005911E2" w:rsidRDefault="00BD6DFD" w:rsidP="00CF78DB">
      <w:pPr>
        <w:pStyle w:val="tablefootnotes"/>
      </w:pPr>
    </w:p>
    <w:p w:rsidR="00BD6DFD" w:rsidRPr="005911E2" w:rsidRDefault="00BD6DFD" w:rsidP="00BD6DFD">
      <w:pPr>
        <w:rPr>
          <w:lang w:eastAsia="en-AU"/>
        </w:rPr>
      </w:pPr>
      <w:r w:rsidRPr="005911E2">
        <w:rPr>
          <w:lang w:eastAsia="en-AU"/>
        </w:rPr>
        <w:t>In the qualitative component of the telephone interview</w:t>
      </w:r>
      <w:r w:rsidR="003B7785">
        <w:rPr>
          <w:lang w:eastAsia="en-AU"/>
        </w:rPr>
        <w:t>,</w:t>
      </w:r>
      <w:r w:rsidRPr="005911E2">
        <w:rPr>
          <w:lang w:eastAsia="en-AU"/>
        </w:rPr>
        <w:t xml:space="preserve"> the merchants said that people are using </w:t>
      </w:r>
      <w:r w:rsidR="00F34C94" w:rsidRPr="005911E2">
        <w:rPr>
          <w:lang w:eastAsia="en-AU"/>
        </w:rPr>
        <w:t>each other’s</w:t>
      </w:r>
      <w:r w:rsidRPr="005911E2">
        <w:rPr>
          <w:lang w:eastAsia="en-AU"/>
        </w:rPr>
        <w:t xml:space="preserve"> cards. About one-in-ten of the merchants interviewed identified this as an issue. One merchant felt that it was difficult for the merchant to tell whether a BasicsCard being used belonged to the person using the card.</w:t>
      </w:r>
    </w:p>
    <w:p w:rsidR="00BD6DFD" w:rsidRPr="005911E2" w:rsidRDefault="00BD6DFD" w:rsidP="00BD6DFD">
      <w:pPr>
        <w:keepNext/>
        <w:spacing w:after="120"/>
        <w:ind w:left="2325"/>
        <w:jc w:val="left"/>
        <w:rPr>
          <w:i/>
          <w:iCs/>
        </w:rPr>
      </w:pPr>
      <w:r w:rsidRPr="005911E2">
        <w:rPr>
          <w:i/>
          <w:iCs/>
        </w:rPr>
        <w:t>There needs to be more security. You created a card with no identity so anyone can use the card… There may be a name but it’s hard to identify if it’s that person. Other people use each other’s cards. How can you stop that?</w:t>
      </w:r>
    </w:p>
    <w:p w:rsidR="00BD6DFD" w:rsidRPr="005911E2" w:rsidRDefault="00BD6DFD" w:rsidP="00847CCC">
      <w:pPr>
        <w:pStyle w:val="mininame"/>
      </w:pPr>
      <w:r w:rsidRPr="005911E2">
        <w:t>Merchant</w:t>
      </w:r>
    </w:p>
    <w:p w:rsidR="00BD6DFD" w:rsidRPr="005911E2" w:rsidRDefault="00BD6DFD" w:rsidP="00BD6DFD">
      <w:pPr>
        <w:rPr>
          <w:lang w:eastAsia="en-AU"/>
        </w:rPr>
      </w:pPr>
      <w:r w:rsidRPr="005911E2">
        <w:rPr>
          <w:lang w:eastAsia="en-AU"/>
        </w:rPr>
        <w:t xml:space="preserve">A suggested solution to this issue was to add a photo to the card to ensure that only the person whose card it is can use it. </w:t>
      </w:r>
    </w:p>
    <w:p w:rsidR="00BD6DFD" w:rsidRPr="005911E2" w:rsidRDefault="00BD6DFD" w:rsidP="00BD6DFD">
      <w:pPr>
        <w:keepNext/>
        <w:spacing w:after="120"/>
        <w:ind w:left="2325"/>
        <w:jc w:val="left"/>
        <w:rPr>
          <w:i/>
          <w:iCs/>
        </w:rPr>
      </w:pPr>
      <w:r w:rsidRPr="005911E2">
        <w:rPr>
          <w:i/>
          <w:iCs/>
        </w:rPr>
        <w:t>Yeah you know as I say photo ID would help and some way of an ATM or something that tells them how much is on it. Overall it’s a good thing</w:t>
      </w:r>
      <w:r w:rsidR="003B7785">
        <w:rPr>
          <w:i/>
          <w:iCs/>
        </w:rPr>
        <w:t>,</w:t>
      </w:r>
      <w:r w:rsidRPr="005911E2">
        <w:rPr>
          <w:i/>
          <w:iCs/>
        </w:rPr>
        <w:t xml:space="preserve"> it’s got its teething problems but it’s good.</w:t>
      </w:r>
    </w:p>
    <w:p w:rsidR="00BD6DFD" w:rsidRPr="005911E2" w:rsidRDefault="00BD6DFD" w:rsidP="00847CCC">
      <w:pPr>
        <w:pStyle w:val="mininame"/>
      </w:pPr>
      <w:r w:rsidRPr="005911E2">
        <w:t>Merchant</w:t>
      </w:r>
    </w:p>
    <w:p w:rsidR="00BD6DFD" w:rsidRPr="005911E2" w:rsidRDefault="00BD6DFD" w:rsidP="00BD6DFD">
      <w:pPr>
        <w:rPr>
          <w:lang w:eastAsia="en-AU"/>
        </w:rPr>
      </w:pPr>
      <w:r w:rsidRPr="005911E2">
        <w:rPr>
          <w:lang w:eastAsia="en-AU"/>
        </w:rPr>
        <w:t xml:space="preserve">As discussed below, this idea also arose in discussions with Centrelink staff. </w:t>
      </w:r>
    </w:p>
    <w:p w:rsidR="00BD6DFD" w:rsidRPr="005911E2" w:rsidRDefault="00BD6DFD" w:rsidP="00BD6DFD">
      <w:pPr>
        <w:rPr>
          <w:lang w:eastAsia="en-AU"/>
        </w:rPr>
      </w:pPr>
      <w:r w:rsidRPr="005911E2">
        <w:rPr>
          <w:lang w:eastAsia="en-AU"/>
        </w:rPr>
        <w:t xml:space="preserve">Some of the participants </w:t>
      </w:r>
      <w:r w:rsidR="003B7785">
        <w:rPr>
          <w:lang w:eastAsia="en-AU"/>
        </w:rPr>
        <w:t xml:space="preserve">in </w:t>
      </w:r>
      <w:r w:rsidRPr="005911E2">
        <w:rPr>
          <w:lang w:eastAsia="en-AU"/>
        </w:rPr>
        <w:t xml:space="preserve">the </w:t>
      </w:r>
      <w:r w:rsidR="003B7785">
        <w:rPr>
          <w:lang w:eastAsia="en-AU"/>
        </w:rPr>
        <w:t>longitudinal survey</w:t>
      </w:r>
      <w:r w:rsidR="003B7785" w:rsidRPr="005911E2">
        <w:rPr>
          <w:lang w:eastAsia="en-AU"/>
        </w:rPr>
        <w:t xml:space="preserve"> </w:t>
      </w:r>
      <w:r w:rsidRPr="005911E2">
        <w:rPr>
          <w:lang w:eastAsia="en-AU"/>
        </w:rPr>
        <w:t>saw the sharing of BasicsCards as being consistent with Aboriginal culture and a way for families to share scar</w:t>
      </w:r>
      <w:r w:rsidR="00333514">
        <w:rPr>
          <w:lang w:eastAsia="en-AU"/>
        </w:rPr>
        <w:t>c</w:t>
      </w:r>
      <w:r w:rsidRPr="005911E2">
        <w:rPr>
          <w:lang w:eastAsia="en-AU"/>
        </w:rPr>
        <w:t>e resources.</w:t>
      </w:r>
    </w:p>
    <w:p w:rsidR="00BD6DFD" w:rsidRPr="005911E2" w:rsidRDefault="00BD6DFD" w:rsidP="00616B0F">
      <w:pPr>
        <w:pStyle w:val="Heading2"/>
      </w:pPr>
      <w:bookmarkStart w:id="553" w:name="_Ref194416544"/>
      <w:bookmarkStart w:id="554" w:name="_Toc321225128"/>
      <w:bookmarkStart w:id="555" w:name="_Toc321254471"/>
      <w:bookmarkStart w:id="556" w:name="_Toc328601495"/>
      <w:bookmarkStart w:id="557" w:name="_Toc329870377"/>
      <w:bookmarkStart w:id="558" w:name="_Toc335915763"/>
      <w:r w:rsidRPr="005911E2">
        <w:t>Operation and use of the BasicsCard</w:t>
      </w:r>
      <w:bookmarkEnd w:id="553"/>
      <w:bookmarkEnd w:id="554"/>
      <w:bookmarkEnd w:id="555"/>
      <w:bookmarkEnd w:id="556"/>
      <w:bookmarkEnd w:id="557"/>
      <w:bookmarkEnd w:id="558"/>
    </w:p>
    <w:p w:rsidR="00BD6DFD" w:rsidRPr="005911E2" w:rsidRDefault="00BD6DFD" w:rsidP="00BD6DFD">
      <w:pPr>
        <w:rPr>
          <w:lang w:eastAsia="en-AU"/>
        </w:rPr>
      </w:pPr>
      <w:r w:rsidRPr="005911E2">
        <w:rPr>
          <w:lang w:eastAsia="en-AU"/>
        </w:rPr>
        <w:t xml:space="preserve">A number of themes about the BasicsCard emerged across the qualitative interviews with those subject to IM, Centrelink staff, </w:t>
      </w:r>
      <w:r w:rsidR="003B7785">
        <w:rPr>
          <w:lang w:eastAsia="en-AU"/>
        </w:rPr>
        <w:t>m</w:t>
      </w:r>
      <w:r w:rsidRPr="005911E2">
        <w:rPr>
          <w:lang w:eastAsia="en-AU"/>
        </w:rPr>
        <w:t xml:space="preserve">oney </w:t>
      </w:r>
      <w:r w:rsidR="003B7785">
        <w:rPr>
          <w:lang w:eastAsia="en-AU"/>
        </w:rPr>
        <w:t>m</w:t>
      </w:r>
      <w:r w:rsidRPr="005911E2">
        <w:rPr>
          <w:lang w:eastAsia="en-AU"/>
        </w:rPr>
        <w:t>anagement workers</w:t>
      </w:r>
      <w:r w:rsidR="003B7785">
        <w:rPr>
          <w:lang w:eastAsia="en-AU"/>
        </w:rPr>
        <w:t>,</w:t>
      </w:r>
      <w:r w:rsidRPr="005911E2">
        <w:rPr>
          <w:lang w:eastAsia="en-AU"/>
        </w:rPr>
        <w:t xml:space="preserve"> and financial counsellors. These included: </w:t>
      </w:r>
    </w:p>
    <w:p w:rsidR="00BD6DFD" w:rsidRPr="005911E2" w:rsidRDefault="00BD6DFD" w:rsidP="00007FB2">
      <w:pPr>
        <w:pStyle w:val="ListBullet"/>
      </w:pPr>
      <w:r w:rsidRPr="005911E2">
        <w:t xml:space="preserve">reducing financial abuse, including the impacts of the BasicsCard </w:t>
      </w:r>
      <w:r w:rsidR="003B7785">
        <w:t xml:space="preserve">in reducing </w:t>
      </w:r>
      <w:r w:rsidRPr="005911E2">
        <w:t>the prevalence of financial abuse</w:t>
      </w:r>
    </w:p>
    <w:p w:rsidR="00BD6DFD" w:rsidRPr="005911E2" w:rsidRDefault="00BD6DFD" w:rsidP="00007FB2">
      <w:pPr>
        <w:pStyle w:val="ListBullet"/>
      </w:pPr>
      <w:r w:rsidRPr="005911E2">
        <w:t>the benefits of fee free banking</w:t>
      </w:r>
    </w:p>
    <w:p w:rsidR="00BD6DFD" w:rsidRPr="005911E2" w:rsidRDefault="00BD6DFD" w:rsidP="00007FB2">
      <w:pPr>
        <w:pStyle w:val="ListBullet"/>
      </w:pPr>
      <w:r w:rsidRPr="005911E2">
        <w:t>practical problems using the BasicsCard</w:t>
      </w:r>
    </w:p>
    <w:p w:rsidR="00BD6DFD" w:rsidRPr="005911E2" w:rsidRDefault="00BD6DFD" w:rsidP="00007FB2">
      <w:pPr>
        <w:pStyle w:val="ListBullet"/>
      </w:pPr>
      <w:r w:rsidRPr="005911E2">
        <w:t>embarrassment and stigma associated with using the BasicsCard.</w:t>
      </w:r>
    </w:p>
    <w:p w:rsidR="00BD6DFD" w:rsidRPr="005911E2" w:rsidRDefault="00BD6DFD" w:rsidP="00263D64">
      <w:pPr>
        <w:pStyle w:val="Heading3"/>
      </w:pPr>
      <w:r w:rsidRPr="005911E2">
        <w:t>Financial abuse</w:t>
      </w:r>
    </w:p>
    <w:p w:rsidR="00BD6DFD" w:rsidRPr="005911E2" w:rsidRDefault="00BD6DFD" w:rsidP="00BD6DFD">
      <w:pPr>
        <w:rPr>
          <w:lang w:eastAsia="en-AU"/>
        </w:rPr>
      </w:pPr>
      <w:r w:rsidRPr="005911E2">
        <w:rPr>
          <w:lang w:eastAsia="en-AU"/>
        </w:rPr>
        <w:t xml:space="preserve">There is evidence from the qualitative interviews with those subject to </w:t>
      </w:r>
      <w:r w:rsidR="00F878E4">
        <w:rPr>
          <w:lang w:eastAsia="en-AU"/>
        </w:rPr>
        <w:t>income management</w:t>
      </w:r>
      <w:r w:rsidRPr="005911E2">
        <w:rPr>
          <w:lang w:eastAsia="en-AU"/>
        </w:rPr>
        <w:t xml:space="preserve">, Centrelink staff and </w:t>
      </w:r>
      <w:r w:rsidR="003B7785">
        <w:rPr>
          <w:lang w:eastAsia="en-AU"/>
        </w:rPr>
        <w:t>m</w:t>
      </w:r>
      <w:r w:rsidRPr="005911E2">
        <w:rPr>
          <w:lang w:eastAsia="en-AU"/>
        </w:rPr>
        <w:t xml:space="preserve">oney </w:t>
      </w:r>
      <w:r w:rsidR="003B7785">
        <w:rPr>
          <w:lang w:eastAsia="en-AU"/>
        </w:rPr>
        <w:t>m</w:t>
      </w:r>
      <w:r w:rsidRPr="005911E2">
        <w:rPr>
          <w:lang w:eastAsia="en-AU"/>
        </w:rPr>
        <w:t>anagement and financial counselling service providers</w:t>
      </w:r>
      <w:r w:rsidR="003B7785">
        <w:rPr>
          <w:lang w:eastAsia="en-AU"/>
        </w:rPr>
        <w:t>,</w:t>
      </w:r>
      <w:r w:rsidRPr="005911E2">
        <w:rPr>
          <w:lang w:eastAsia="en-AU"/>
        </w:rPr>
        <w:t xml:space="preserve"> that the BasicsCard (and </w:t>
      </w:r>
      <w:r w:rsidR="00F878E4">
        <w:rPr>
          <w:lang w:eastAsia="en-AU"/>
        </w:rPr>
        <w:t>income management</w:t>
      </w:r>
      <w:r w:rsidRPr="005911E2">
        <w:rPr>
          <w:lang w:eastAsia="en-AU"/>
        </w:rPr>
        <w:t xml:space="preserve"> more broadly) can assist in reducing financial abuse and/or harassment. However</w:t>
      </w:r>
      <w:r w:rsidR="003B7785">
        <w:rPr>
          <w:lang w:eastAsia="en-AU"/>
        </w:rPr>
        <w:t>,</w:t>
      </w:r>
      <w:r w:rsidRPr="005911E2">
        <w:rPr>
          <w:lang w:eastAsia="en-AU"/>
        </w:rPr>
        <w:t xml:space="preserve"> the BasicsCard does not remove financial harassment and abuse (and indeed can exacerbate it in certain circumstances), and therefore </w:t>
      </w:r>
      <w:r w:rsidR="00F878E4">
        <w:rPr>
          <w:lang w:eastAsia="en-AU"/>
        </w:rPr>
        <w:t>income management</w:t>
      </w:r>
      <w:r w:rsidRPr="005911E2">
        <w:rPr>
          <w:lang w:eastAsia="en-AU"/>
        </w:rPr>
        <w:t xml:space="preserve"> is only a partial solution to this problem.</w:t>
      </w:r>
    </w:p>
    <w:p w:rsidR="00BD6DFD" w:rsidRPr="005911E2" w:rsidRDefault="00BD6DFD" w:rsidP="00BD6DFD">
      <w:pPr>
        <w:rPr>
          <w:lang w:eastAsia="en-AU"/>
        </w:rPr>
      </w:pPr>
      <w:r w:rsidRPr="005911E2">
        <w:rPr>
          <w:lang w:eastAsia="en-AU"/>
        </w:rPr>
        <w:t>A number of people subject to IM commented that they liked income management and the BasicsCard because it reduced the extent to which they were subject to financial harassment. As noted by some clients</w:t>
      </w:r>
      <w:r w:rsidR="003B7785">
        <w:rPr>
          <w:lang w:eastAsia="en-AU"/>
        </w:rPr>
        <w:t>,</w:t>
      </w:r>
      <w:r w:rsidRPr="005911E2">
        <w:rPr>
          <w:lang w:eastAsia="en-AU"/>
        </w:rPr>
        <w:t xml:space="preserve"> there are fewer money problems due to less cash on hand </w:t>
      </w:r>
      <w:r w:rsidR="003F007A" w:rsidRPr="005911E2">
        <w:rPr>
          <w:lang w:eastAsia="en-AU"/>
        </w:rPr>
        <w:t>which might otherwise be given or taken by others in their family</w:t>
      </w:r>
      <w:r w:rsidRPr="005911E2">
        <w:rPr>
          <w:lang w:eastAsia="en-AU"/>
        </w:rPr>
        <w:t xml:space="preserve">. </w:t>
      </w:r>
    </w:p>
    <w:p w:rsidR="00BD6DFD" w:rsidRPr="005911E2" w:rsidRDefault="00BD6DFD" w:rsidP="00BD6DFD">
      <w:pPr>
        <w:keepNext/>
        <w:spacing w:after="120"/>
        <w:ind w:left="2325"/>
        <w:jc w:val="left"/>
        <w:rPr>
          <w:i/>
          <w:iCs/>
        </w:rPr>
      </w:pPr>
      <w:r w:rsidRPr="005911E2">
        <w:rPr>
          <w:i/>
          <w:iCs/>
        </w:rPr>
        <w:t>Income management has helped and BasicsCard has helped because family can't ask you for your money.</w:t>
      </w:r>
    </w:p>
    <w:p w:rsidR="00BD6DFD" w:rsidRPr="005911E2" w:rsidRDefault="00094A52" w:rsidP="00847CCC">
      <w:pPr>
        <w:pStyle w:val="mininame"/>
        <w:rPr>
          <w:lang w:eastAsia="en-AU"/>
        </w:rPr>
      </w:pPr>
      <w:r>
        <w:rPr>
          <w:lang w:eastAsia="en-AU"/>
        </w:rPr>
        <w:t xml:space="preserve">Indigenous </w:t>
      </w:r>
      <w:r w:rsidR="00E010D1">
        <w:rPr>
          <w:lang w:eastAsia="en-AU"/>
        </w:rPr>
        <w:t>woman,</w:t>
      </w:r>
      <w:r w:rsidR="00BD6DFD" w:rsidRPr="005911E2">
        <w:rPr>
          <w:lang w:eastAsia="en-AU"/>
        </w:rPr>
        <w:t xml:space="preserve"> Alice Springs</w:t>
      </w:r>
    </w:p>
    <w:p w:rsidR="00BD6DFD" w:rsidRPr="005911E2" w:rsidRDefault="00BD6DFD" w:rsidP="00BD6DFD">
      <w:pPr>
        <w:keepNext/>
        <w:spacing w:after="120"/>
        <w:ind w:left="2325"/>
        <w:jc w:val="left"/>
        <w:rPr>
          <w:i/>
          <w:iCs/>
        </w:rPr>
      </w:pPr>
      <w:r w:rsidRPr="005911E2">
        <w:rPr>
          <w:i/>
          <w:iCs/>
        </w:rPr>
        <w:t>(</w:t>
      </w:r>
      <w:r w:rsidR="003B7785">
        <w:rPr>
          <w:i/>
          <w:iCs/>
        </w:rPr>
        <w:t>I</w:t>
      </w:r>
      <w:r w:rsidR="00F878E4">
        <w:rPr>
          <w:i/>
          <w:iCs/>
        </w:rPr>
        <w:t>ncome management</w:t>
      </w:r>
      <w:r w:rsidRPr="005911E2">
        <w:rPr>
          <w:i/>
          <w:iCs/>
        </w:rPr>
        <w:t xml:space="preserve"> is) Safer because no humbug from family</w:t>
      </w:r>
      <w:r w:rsidR="003B7785">
        <w:rPr>
          <w:i/>
          <w:iCs/>
        </w:rPr>
        <w:t>.</w:t>
      </w:r>
    </w:p>
    <w:p w:rsidR="00BD6DFD" w:rsidRPr="005911E2" w:rsidRDefault="00094A52" w:rsidP="00847CCC">
      <w:pPr>
        <w:pStyle w:val="mininame"/>
        <w:rPr>
          <w:lang w:eastAsia="en-AU"/>
        </w:rPr>
      </w:pPr>
      <w:r>
        <w:rPr>
          <w:lang w:eastAsia="en-AU"/>
        </w:rPr>
        <w:t xml:space="preserve">Indigenous </w:t>
      </w:r>
      <w:r w:rsidR="00E010D1">
        <w:rPr>
          <w:lang w:eastAsia="en-AU"/>
        </w:rPr>
        <w:t>woman,</w:t>
      </w:r>
      <w:r w:rsidR="00BD6DFD" w:rsidRPr="005911E2">
        <w:rPr>
          <w:lang w:eastAsia="en-AU"/>
        </w:rPr>
        <w:t xml:space="preserve"> Remote NT</w:t>
      </w:r>
    </w:p>
    <w:p w:rsidR="00BD6DFD" w:rsidRPr="005911E2" w:rsidRDefault="00BD6DFD" w:rsidP="00BD6DFD">
      <w:pPr>
        <w:keepNext/>
        <w:spacing w:after="120"/>
        <w:ind w:left="2325"/>
        <w:jc w:val="left"/>
        <w:rPr>
          <w:i/>
          <w:iCs/>
        </w:rPr>
      </w:pPr>
      <w:r w:rsidRPr="005911E2">
        <w:rPr>
          <w:i/>
          <w:iCs/>
        </w:rPr>
        <w:t>I have that BasicsCard and my husband can't get that money so I have food in my house.</w:t>
      </w:r>
    </w:p>
    <w:p w:rsidR="00BD6DFD" w:rsidRPr="005911E2" w:rsidRDefault="00094A52" w:rsidP="00847CCC">
      <w:pPr>
        <w:pStyle w:val="mininame"/>
      </w:pPr>
      <w:r>
        <w:rPr>
          <w:lang w:eastAsia="en-AU"/>
        </w:rPr>
        <w:t xml:space="preserve">Indigenous </w:t>
      </w:r>
      <w:r w:rsidR="00E010D1">
        <w:rPr>
          <w:lang w:eastAsia="en-AU"/>
        </w:rPr>
        <w:t>woman,</w:t>
      </w:r>
      <w:r w:rsidR="00BD6DFD" w:rsidRPr="005911E2">
        <w:t xml:space="preserve"> Remote NT</w:t>
      </w:r>
    </w:p>
    <w:p w:rsidR="00E81107" w:rsidRDefault="00BD6DFD" w:rsidP="00BB4D9F">
      <w:pPr>
        <w:rPr>
          <w:lang w:eastAsia="en-AU"/>
        </w:rPr>
      </w:pPr>
      <w:r w:rsidRPr="005911E2">
        <w:rPr>
          <w:lang w:eastAsia="en-AU"/>
        </w:rPr>
        <w:t xml:space="preserve">There were mixed views among Centrelink </w:t>
      </w:r>
      <w:r w:rsidR="003B7785">
        <w:rPr>
          <w:lang w:eastAsia="en-AU"/>
        </w:rPr>
        <w:t>s</w:t>
      </w:r>
      <w:r w:rsidRPr="005911E2">
        <w:rPr>
          <w:lang w:eastAsia="en-AU"/>
        </w:rPr>
        <w:t>taff about whether the BasicsCard helped to stop people being financially harassed. A number of the Centrelink staff interviewed commented that the BasicsCard does help reduce the incidence of financial harassment.</w:t>
      </w:r>
    </w:p>
    <w:p w:rsidR="00BD6DFD" w:rsidRPr="005911E2" w:rsidRDefault="00BD6DFD" w:rsidP="00BD6DFD">
      <w:pPr>
        <w:keepNext/>
        <w:spacing w:after="120"/>
        <w:ind w:left="2325"/>
        <w:jc w:val="left"/>
        <w:rPr>
          <w:i/>
          <w:iCs/>
        </w:rPr>
      </w:pPr>
      <w:r w:rsidRPr="005911E2">
        <w:rPr>
          <w:i/>
          <w:iCs/>
        </w:rPr>
        <w:t>We've been able to stop a lot of humbugging and stuff like that...we can just not give them a BasicsCard and we can allocate the money so that they can use it.</w:t>
      </w:r>
    </w:p>
    <w:p w:rsidR="00BD6DFD" w:rsidRPr="005911E2" w:rsidRDefault="00BD6DFD" w:rsidP="00847CCC">
      <w:pPr>
        <w:pStyle w:val="mininame"/>
      </w:pPr>
      <w:r w:rsidRPr="005911E2">
        <w:t>Centrelink Customer Service Advis</w:t>
      </w:r>
      <w:r w:rsidR="00384A7D">
        <w:t>e</w:t>
      </w:r>
      <w:r w:rsidRPr="005911E2">
        <w:t>r</w:t>
      </w:r>
    </w:p>
    <w:p w:rsidR="00BD6DFD" w:rsidRPr="005911E2" w:rsidRDefault="00BD6DFD" w:rsidP="00BD6DFD">
      <w:pPr>
        <w:keepNext/>
        <w:spacing w:after="120"/>
        <w:ind w:left="2325"/>
        <w:jc w:val="left"/>
        <w:rPr>
          <w:i/>
          <w:iCs/>
        </w:rPr>
      </w:pPr>
      <w:r w:rsidRPr="005911E2">
        <w:rPr>
          <w:i/>
          <w:iCs/>
        </w:rPr>
        <w:t>I've seen it in the street where a person's come up to try to get money off someone and the guy's pulled out his BasicsCard and said, I've only got BasicsCard, no money. Okay, and off they go to the next person. I mean, I know some of the multicultural customers who have come off income management have kept their BasicsCard for that purpose. They've told their family, I haven't got any money, all my money's on my BasicsCard.</w:t>
      </w:r>
    </w:p>
    <w:p w:rsidR="00BD6DFD" w:rsidRPr="005911E2" w:rsidRDefault="00BD6DFD" w:rsidP="00847CCC">
      <w:pPr>
        <w:pStyle w:val="mininame"/>
      </w:pPr>
      <w:r w:rsidRPr="005911E2">
        <w:t>Centrelink Customer Service Advis</w:t>
      </w:r>
      <w:r w:rsidR="00384A7D">
        <w:t>e</w:t>
      </w:r>
      <w:r w:rsidRPr="005911E2">
        <w:t>r</w:t>
      </w:r>
    </w:p>
    <w:p w:rsidR="00BD6DFD" w:rsidRPr="005911E2" w:rsidRDefault="00BD6DFD" w:rsidP="00BD6DFD">
      <w:pPr>
        <w:rPr>
          <w:lang w:eastAsia="en-AU"/>
        </w:rPr>
      </w:pPr>
      <w:r w:rsidRPr="005911E2">
        <w:rPr>
          <w:lang w:eastAsia="en-AU"/>
        </w:rPr>
        <w:t xml:space="preserve">One theme that emerged was that the BasicsCard (and </w:t>
      </w:r>
      <w:r w:rsidR="00F878E4">
        <w:rPr>
          <w:lang w:eastAsia="en-AU"/>
        </w:rPr>
        <w:t>income management</w:t>
      </w:r>
      <w:r w:rsidRPr="005911E2">
        <w:rPr>
          <w:lang w:eastAsia="en-AU"/>
        </w:rPr>
        <w:t xml:space="preserve"> more generally) was used by some people as a way of resisting giving money to family or other members of their community. This is illustrated by the following quote from a Centrelink Customer Service Adviser:</w:t>
      </w:r>
    </w:p>
    <w:p w:rsidR="00BD6DFD" w:rsidRPr="005911E2" w:rsidRDefault="00BD6DFD" w:rsidP="00BD6DFD">
      <w:pPr>
        <w:keepNext/>
        <w:spacing w:after="120"/>
        <w:ind w:left="2325"/>
        <w:jc w:val="left"/>
        <w:rPr>
          <w:i/>
          <w:iCs/>
        </w:rPr>
      </w:pPr>
      <w:r w:rsidRPr="005911E2">
        <w:rPr>
          <w:i/>
          <w:iCs/>
        </w:rPr>
        <w:t>The social exploitation that occurs for customers ... is huge. The amount of pressure because of cultural norms</w:t>
      </w:r>
      <w:r w:rsidR="00BC0012">
        <w:rPr>
          <w:i/>
          <w:iCs/>
        </w:rPr>
        <w:t>. W</w:t>
      </w:r>
      <w:r w:rsidRPr="005911E2">
        <w:rPr>
          <w:i/>
          <w:iCs/>
        </w:rPr>
        <w:t xml:space="preserve">hat this does is allow them to say </w:t>
      </w:r>
      <w:r w:rsidR="002C4832">
        <w:rPr>
          <w:i/>
          <w:iCs/>
        </w:rPr>
        <w:t>‘</w:t>
      </w:r>
      <w:r w:rsidRPr="005911E2">
        <w:rPr>
          <w:i/>
          <w:iCs/>
        </w:rPr>
        <w:t>…I can’t give you the money because Centrelink won’t let me have it until tomorrow</w:t>
      </w:r>
      <w:r w:rsidR="002C4832">
        <w:rPr>
          <w:i/>
          <w:iCs/>
        </w:rPr>
        <w:t>’</w:t>
      </w:r>
      <w:r w:rsidRPr="005911E2">
        <w:rPr>
          <w:i/>
          <w:iCs/>
        </w:rPr>
        <w:t>, which is a culturally acceptable practice to blame somebody bigger and stronger; to say they said, it’s not up to me. Whether that’s how they like it or not doesn’t come into question because they are the passive recipient.</w:t>
      </w:r>
    </w:p>
    <w:p w:rsidR="00BD6DFD" w:rsidRPr="005911E2" w:rsidRDefault="00BD6DFD" w:rsidP="00847CCC">
      <w:pPr>
        <w:pStyle w:val="mininame"/>
      </w:pPr>
      <w:r w:rsidRPr="005911E2">
        <w:t>Centrelink Customer Service Advis</w:t>
      </w:r>
      <w:r w:rsidR="00384A7D">
        <w:t>e</w:t>
      </w:r>
      <w:r w:rsidRPr="005911E2">
        <w:t>r</w:t>
      </w:r>
    </w:p>
    <w:p w:rsidR="00BD6DFD" w:rsidRPr="005911E2" w:rsidRDefault="00BD6DFD" w:rsidP="00BD6DFD">
      <w:pPr>
        <w:rPr>
          <w:lang w:eastAsia="en-AU"/>
        </w:rPr>
      </w:pPr>
      <w:r w:rsidRPr="005911E2">
        <w:rPr>
          <w:lang w:eastAsia="en-AU"/>
        </w:rPr>
        <w:t xml:space="preserve">While Centrelink staff believe that income management and the BasicsCard could assist in reducing financial harassment, they said that financial harassment still occurred with the BasicsCard. </w:t>
      </w:r>
    </w:p>
    <w:p w:rsidR="00BD6DFD" w:rsidRPr="005911E2" w:rsidRDefault="00BD6DFD" w:rsidP="00BD6DFD">
      <w:pPr>
        <w:keepNext/>
        <w:spacing w:after="120"/>
        <w:ind w:left="2325"/>
        <w:jc w:val="left"/>
        <w:rPr>
          <w:i/>
          <w:iCs/>
        </w:rPr>
      </w:pPr>
      <w:r w:rsidRPr="005911E2">
        <w:rPr>
          <w:i/>
          <w:iCs/>
        </w:rPr>
        <w:t>The BasicsCard still gets used as the ATMs used to. So in terms of family obligations - I've seen people in stores where you'll have four or five cards. Obviously you're not allowed to but there's pressure on the store workers as well. So they'll just be flicking through different cards. So if there is a situation of family pressure or family obligation that hasn't - it might make it a little bit more difficult than asking directly for cash, but there is pressure on people to hand over the money that's saved.</w:t>
      </w:r>
    </w:p>
    <w:p w:rsidR="00BD6DFD" w:rsidRPr="005911E2" w:rsidRDefault="00BD6DFD" w:rsidP="00943DCB">
      <w:pPr>
        <w:pStyle w:val="mininame"/>
      </w:pPr>
      <w:r w:rsidRPr="005911E2">
        <w:t>Centrelink Customer Service Advis</w:t>
      </w:r>
      <w:r w:rsidR="00384A7D">
        <w:t>e</w:t>
      </w:r>
      <w:r w:rsidRPr="005911E2">
        <w:t>r</w:t>
      </w:r>
    </w:p>
    <w:p w:rsidR="00BD6DFD" w:rsidRPr="005911E2" w:rsidRDefault="00BD6DFD" w:rsidP="00BD6DFD">
      <w:pPr>
        <w:keepNext/>
        <w:spacing w:after="120"/>
        <w:ind w:left="2325"/>
        <w:jc w:val="left"/>
        <w:rPr>
          <w:i/>
          <w:iCs/>
        </w:rPr>
      </w:pPr>
      <w:r w:rsidRPr="005911E2">
        <w:rPr>
          <w:i/>
          <w:iCs/>
        </w:rPr>
        <w:t xml:space="preserve">Another thing is like well old people... They don't know what to do; you know....the card is taken off them. Everybody uses everything. There needs to be something put in place to help those old people….In my community it's hard for old people to walk down all the way to the shop to sign the paper. So they send somebody else down with their key card or BasicsCard, and then that person who they sent it down with probably buys things for themselves as well. </w:t>
      </w:r>
    </w:p>
    <w:p w:rsidR="00BD6DFD" w:rsidRPr="005911E2" w:rsidRDefault="00BD6DFD" w:rsidP="00943DCB">
      <w:pPr>
        <w:pStyle w:val="mininame"/>
      </w:pPr>
      <w:r w:rsidRPr="005911E2">
        <w:t>Money management worker</w:t>
      </w:r>
    </w:p>
    <w:p w:rsidR="00BD6DFD" w:rsidRPr="005911E2" w:rsidRDefault="00BD6DFD" w:rsidP="00BD6DFD">
      <w:pPr>
        <w:rPr>
          <w:lang w:eastAsia="en-AU"/>
        </w:rPr>
      </w:pPr>
      <w:r w:rsidRPr="005911E2">
        <w:rPr>
          <w:lang w:eastAsia="en-AU"/>
        </w:rPr>
        <w:t>The ability to set up daily allocations to the BasicsCard was seen by Centrelink staff as a useful tool to assist in protecting vulnerable customers. That way the card only allows for purchases of a small amount of food each day to both ensure that people have some funds for this purpose across the payment period and to try and minimise financial abuse.</w:t>
      </w:r>
    </w:p>
    <w:p w:rsidR="00BD6DFD" w:rsidRPr="005911E2" w:rsidRDefault="00BD6DFD" w:rsidP="00BD6DFD">
      <w:pPr>
        <w:rPr>
          <w:lang w:eastAsia="en-AU"/>
        </w:rPr>
      </w:pPr>
      <w:r w:rsidRPr="005911E2">
        <w:rPr>
          <w:lang w:eastAsia="en-AU"/>
        </w:rPr>
        <w:t>However, even these arrangements can have their limits for the most vulnerable customers who may still lose their cards or have their cards taken by other people.</w:t>
      </w:r>
    </w:p>
    <w:p w:rsidR="00BD6DFD" w:rsidRPr="005911E2" w:rsidRDefault="00BD6DFD" w:rsidP="00BD6DFD">
      <w:pPr>
        <w:keepNext/>
        <w:spacing w:after="120"/>
        <w:ind w:left="2325"/>
        <w:jc w:val="left"/>
        <w:rPr>
          <w:i/>
          <w:iCs/>
        </w:rPr>
      </w:pPr>
      <w:r w:rsidRPr="005911E2">
        <w:rPr>
          <w:i/>
          <w:iCs/>
        </w:rPr>
        <w:t>We have one bloke that we allocate $30 a day to because he's just got no sense of what he's supposed to do with it. He lives on the street but that's all you can do. We give him a BasicsCard and he can't remember his PIN number. So what do you do? We are clutching at straws sometimes.</w:t>
      </w:r>
    </w:p>
    <w:p w:rsidR="00BD6DFD" w:rsidRPr="005911E2" w:rsidRDefault="00BD6DFD" w:rsidP="00943DCB">
      <w:pPr>
        <w:pStyle w:val="mininame"/>
      </w:pPr>
      <w:r w:rsidRPr="005911E2">
        <w:t>Centrelink Customer Service Advis</w:t>
      </w:r>
      <w:r w:rsidR="00384A7D">
        <w:t>e</w:t>
      </w:r>
      <w:r w:rsidRPr="005911E2">
        <w:t>r</w:t>
      </w:r>
    </w:p>
    <w:p w:rsidR="00BD6DFD" w:rsidRPr="005911E2" w:rsidRDefault="00BD6DFD" w:rsidP="00BD6DFD">
      <w:pPr>
        <w:rPr>
          <w:lang w:eastAsia="en-AU"/>
        </w:rPr>
      </w:pPr>
      <w:r w:rsidRPr="005911E2">
        <w:rPr>
          <w:lang w:eastAsia="en-AU"/>
        </w:rPr>
        <w:t>BasicsCards were not always seen as protecting vulnerable clients from financial abuse, with service providers reporting that they were still stolen and</w:t>
      </w:r>
      <w:r w:rsidR="00333514">
        <w:rPr>
          <w:lang w:eastAsia="en-AU"/>
        </w:rPr>
        <w:t>/</w:t>
      </w:r>
      <w:r w:rsidRPr="005911E2">
        <w:rPr>
          <w:lang w:eastAsia="en-AU"/>
        </w:rPr>
        <w:t>or misused by others. In remote communities, one solution used by Centrelink social workers in these circumstances is to have a daily allocation to a store where the client is known.</w:t>
      </w:r>
    </w:p>
    <w:p w:rsidR="00BD6DFD" w:rsidRPr="005911E2" w:rsidRDefault="00BD6DFD" w:rsidP="00BD6DFD">
      <w:pPr>
        <w:keepNext/>
        <w:spacing w:after="120"/>
        <w:ind w:left="2325"/>
        <w:jc w:val="left"/>
        <w:rPr>
          <w:i/>
          <w:iCs/>
        </w:rPr>
      </w:pPr>
      <w:r w:rsidRPr="005911E2">
        <w:rPr>
          <w:i/>
          <w:iCs/>
        </w:rPr>
        <w:t xml:space="preserve">We’ve got them on daily allocations, so the next day they can wake up, come in, get another card, have another allocation and start again. So we have quite a lot of people who have cards being reissued every two or three days. That will never stop. Because they’ll give the cards away or people will take them or - because the way the culture is here around family and culture, the sense of obligation - the cultural obligations to share are strong. There’s also fear of violence and abuse for young - from older fellas, from young fellas. They’ll say to you I don’t like that card because those young fellas come and take it from me, or they crack me if I don’t. </w:t>
      </w:r>
      <w:r w:rsidR="00580DF3" w:rsidRPr="00580DF3">
        <w:rPr>
          <w:i/>
          <w:iCs/>
          <w:u w:val="single"/>
        </w:rPr>
        <w:t>Interviewer:</w:t>
      </w:r>
      <w:r w:rsidR="007337E1">
        <w:rPr>
          <w:i/>
          <w:iCs/>
        </w:rPr>
        <w:t xml:space="preserve"> </w:t>
      </w:r>
      <w:r w:rsidRPr="005911E2">
        <w:rPr>
          <w:b/>
          <w:i/>
          <w:iCs/>
          <w:color w:val="000000" w:themeColor="text1"/>
          <w:szCs w:val="20"/>
        </w:rPr>
        <w:t>So the card can increase someone’s vulnerability</w:t>
      </w:r>
      <w:r w:rsidR="0084340E">
        <w:rPr>
          <w:b/>
          <w:i/>
          <w:iCs/>
          <w:color w:val="000000" w:themeColor="text1"/>
          <w:szCs w:val="20"/>
        </w:rPr>
        <w:t>?</w:t>
      </w:r>
      <w:r w:rsidR="0084340E" w:rsidRPr="005911E2">
        <w:rPr>
          <w:i/>
          <w:iCs/>
        </w:rPr>
        <w:t xml:space="preserve"> </w:t>
      </w:r>
      <w:r w:rsidRPr="005911E2">
        <w:rPr>
          <w:i/>
          <w:iCs/>
        </w:rPr>
        <w:t>So often</w:t>
      </w:r>
      <w:r w:rsidR="007337E1">
        <w:rPr>
          <w:i/>
          <w:iCs/>
        </w:rPr>
        <w:t>,</w:t>
      </w:r>
      <w:r w:rsidRPr="005911E2">
        <w:rPr>
          <w:i/>
          <w:iCs/>
        </w:rPr>
        <w:t xml:space="preserve"> we would then set up other alternatives like direct allocations to shops.</w:t>
      </w:r>
    </w:p>
    <w:p w:rsidR="00BD6DFD" w:rsidRPr="005911E2" w:rsidRDefault="00BD6DFD" w:rsidP="00943DCB">
      <w:pPr>
        <w:pStyle w:val="mininame"/>
      </w:pPr>
      <w:r w:rsidRPr="005911E2">
        <w:t>Centrelink social worker</w:t>
      </w:r>
    </w:p>
    <w:p w:rsidR="00BD6DFD" w:rsidRPr="005911E2" w:rsidRDefault="00BD6DFD" w:rsidP="00BD6DFD">
      <w:pPr>
        <w:rPr>
          <w:lang w:eastAsia="en-AU"/>
        </w:rPr>
      </w:pPr>
      <w:r w:rsidRPr="005911E2">
        <w:t xml:space="preserve">Some of those subject to </w:t>
      </w:r>
      <w:r w:rsidR="00F878E4">
        <w:t>income management</w:t>
      </w:r>
      <w:r w:rsidRPr="005911E2">
        <w:t xml:space="preserve"> said that there is more financial harassment due to </w:t>
      </w:r>
      <w:r w:rsidRPr="005911E2">
        <w:rPr>
          <w:lang w:eastAsia="en-AU"/>
        </w:rPr>
        <w:t xml:space="preserve">the reduced availability of cash. Family members who have problems with smoking, alcohol, drugs or gambling may seek other ways to fund these habits. If they can’t get cash they often ‘humbug’ for the BasicsCard. BasicsCards are also used for currency in card games and gambling. </w:t>
      </w:r>
    </w:p>
    <w:p w:rsidR="00BD6DFD" w:rsidRPr="005911E2" w:rsidRDefault="00BD6DFD" w:rsidP="00BD6DFD">
      <w:r w:rsidRPr="005911E2">
        <w:rPr>
          <w:lang w:eastAsia="en-AU"/>
        </w:rPr>
        <w:t xml:space="preserve">There have been some unintended consequences. Some of those subject to </w:t>
      </w:r>
      <w:r w:rsidR="00F878E4">
        <w:rPr>
          <w:lang w:eastAsia="en-AU"/>
        </w:rPr>
        <w:t>income management</w:t>
      </w:r>
      <w:r w:rsidRPr="005911E2">
        <w:rPr>
          <w:lang w:eastAsia="en-AU"/>
        </w:rPr>
        <w:t xml:space="preserve"> talk about giving up work because they wanted to be income managed in order to reduce</w:t>
      </w:r>
      <w:r w:rsidRPr="005911E2">
        <w:t xml:space="preserve"> financial </w:t>
      </w:r>
      <w:r w:rsidRPr="005911E2">
        <w:rPr>
          <w:lang w:eastAsia="en-AU"/>
        </w:rPr>
        <w:t>harassment.</w:t>
      </w:r>
      <w:r w:rsidRPr="005911E2">
        <w:t xml:space="preserve"> </w:t>
      </w:r>
      <w:r w:rsidRPr="005911E2">
        <w:rPr>
          <w:lang w:eastAsia="en-AU"/>
        </w:rPr>
        <w:t xml:space="preserve">There were also some respondents who said that they would like their employer to put their pay </w:t>
      </w:r>
      <w:r w:rsidR="002C4832">
        <w:rPr>
          <w:lang w:eastAsia="en-AU"/>
        </w:rPr>
        <w:t>‘</w:t>
      </w:r>
      <w:r w:rsidRPr="005911E2">
        <w:rPr>
          <w:lang w:eastAsia="en-AU"/>
        </w:rPr>
        <w:t>onto</w:t>
      </w:r>
      <w:r w:rsidR="002C4832">
        <w:rPr>
          <w:lang w:eastAsia="en-AU"/>
        </w:rPr>
        <w:t>’</w:t>
      </w:r>
      <w:r w:rsidRPr="005911E2">
        <w:rPr>
          <w:lang w:eastAsia="en-AU"/>
        </w:rPr>
        <w:t xml:space="preserve"> a BasicsCard in order to assist them to help keep their money safe—this of course is something employers cannot do.</w:t>
      </w:r>
    </w:p>
    <w:p w:rsidR="00BD6DFD" w:rsidRPr="005911E2" w:rsidRDefault="00BD6DFD" w:rsidP="00BD6DFD">
      <w:pPr>
        <w:keepNext/>
        <w:spacing w:after="120"/>
        <w:ind w:left="2325"/>
        <w:jc w:val="left"/>
        <w:rPr>
          <w:i/>
          <w:iCs/>
        </w:rPr>
      </w:pPr>
      <w:r w:rsidRPr="005911E2">
        <w:rPr>
          <w:i/>
          <w:iCs/>
        </w:rPr>
        <w:t xml:space="preserve">There are more robberies and violence due to less cash and this is thanks to the BasicsCard. I can’t help out my son at all. I will be on the BasicsCard as of next fortnight and I was on the BasicsCard prior to becoming a carer. I was only off the BasicsCard for </w:t>
      </w:r>
      <w:r w:rsidR="00333514">
        <w:rPr>
          <w:i/>
          <w:iCs/>
        </w:rPr>
        <w:t>three</w:t>
      </w:r>
      <w:r w:rsidRPr="005911E2">
        <w:rPr>
          <w:i/>
          <w:iCs/>
        </w:rPr>
        <w:t xml:space="preserve"> and half months. I am worried about my son when I am on BasicsCard</w:t>
      </w:r>
      <w:r w:rsidR="00BC0012">
        <w:rPr>
          <w:i/>
          <w:iCs/>
        </w:rPr>
        <w:t>.</w:t>
      </w:r>
    </w:p>
    <w:p w:rsidR="00BD6DFD" w:rsidRPr="005911E2" w:rsidRDefault="00094A52" w:rsidP="00943DCB">
      <w:pPr>
        <w:pStyle w:val="mininame"/>
      </w:pPr>
      <w:r>
        <w:t xml:space="preserve">Indigenous </w:t>
      </w:r>
      <w:r w:rsidR="00E010D1">
        <w:t xml:space="preserve">man, </w:t>
      </w:r>
      <w:r>
        <w:t>Darwin</w:t>
      </w:r>
    </w:p>
    <w:p w:rsidR="00BD6DFD" w:rsidRPr="005911E2" w:rsidRDefault="00BD6DFD" w:rsidP="00263D64">
      <w:pPr>
        <w:pStyle w:val="Heading3"/>
      </w:pPr>
      <w:r w:rsidRPr="005911E2">
        <w:t>Fee free ‘banking’</w:t>
      </w:r>
    </w:p>
    <w:p w:rsidR="00BD6DFD" w:rsidRPr="005911E2" w:rsidRDefault="00BD6DFD" w:rsidP="00BD6DFD">
      <w:pPr>
        <w:rPr>
          <w:lang w:eastAsia="en-AU"/>
        </w:rPr>
      </w:pPr>
      <w:r w:rsidRPr="005911E2">
        <w:rPr>
          <w:lang w:eastAsia="en-AU"/>
        </w:rPr>
        <w:t xml:space="preserve">The fee free nature of the BasicsCard was seen by Centrelink staff as being of benefit to those subject to </w:t>
      </w:r>
      <w:r w:rsidR="00F878E4">
        <w:rPr>
          <w:lang w:eastAsia="en-AU"/>
        </w:rPr>
        <w:t>income management</w:t>
      </w:r>
      <w:r w:rsidRPr="005911E2">
        <w:rPr>
          <w:lang w:eastAsia="en-AU"/>
        </w:rPr>
        <w:t xml:space="preserve"> and they believed that bank fees could be a big problem for income support recipients.</w:t>
      </w:r>
    </w:p>
    <w:p w:rsidR="00BD6DFD" w:rsidRPr="005911E2" w:rsidRDefault="00BD6DFD" w:rsidP="00BD6DFD">
      <w:pPr>
        <w:keepNext/>
        <w:spacing w:after="120"/>
        <w:ind w:left="2325"/>
        <w:jc w:val="left"/>
        <w:rPr>
          <w:i/>
          <w:iCs/>
        </w:rPr>
      </w:pPr>
      <w:r w:rsidRPr="005911E2">
        <w:rPr>
          <w:i/>
          <w:iCs/>
        </w:rPr>
        <w:t>A lot of people are attracted to Centrepay and BasicsCards, because customers aren't incurring any fees. Whereas if I was to pay through BPAY or through my own bank account, I'm tapped with account fees, whereas they're not.</w:t>
      </w:r>
    </w:p>
    <w:p w:rsidR="00BD6DFD" w:rsidRPr="005911E2" w:rsidRDefault="00BD6DFD" w:rsidP="00943DCB">
      <w:pPr>
        <w:pStyle w:val="mininame"/>
      </w:pPr>
      <w:r w:rsidRPr="005911E2">
        <w:t>Centrelink Customer Service Advis</w:t>
      </w:r>
      <w:r w:rsidR="00384A7D">
        <w:t>e</w:t>
      </w:r>
      <w:r w:rsidRPr="005911E2">
        <w:t>r</w:t>
      </w:r>
    </w:p>
    <w:p w:rsidR="00BD6DFD" w:rsidRPr="005911E2" w:rsidRDefault="00BD6DFD" w:rsidP="00BD6DFD">
      <w:pPr>
        <w:keepNext/>
        <w:spacing w:after="120"/>
        <w:ind w:left="2325"/>
        <w:jc w:val="left"/>
        <w:rPr>
          <w:i/>
          <w:iCs/>
        </w:rPr>
      </w:pPr>
      <w:r w:rsidRPr="005911E2">
        <w:rPr>
          <w:i/>
          <w:iCs/>
        </w:rPr>
        <w:t xml:space="preserve">I think it's the convenience of the BasicsCard myself, the green card...The ones who get it </w:t>
      </w:r>
      <w:r w:rsidR="00BC0012">
        <w:rPr>
          <w:i/>
          <w:iCs/>
        </w:rPr>
        <w:t xml:space="preserve">- </w:t>
      </w:r>
      <w:r w:rsidRPr="005911E2">
        <w:rPr>
          <w:i/>
          <w:iCs/>
        </w:rPr>
        <w:t xml:space="preserve">get it, that it's providing them with a bill paying service that they don't have to pay for. So the ones who get it </w:t>
      </w:r>
      <w:r w:rsidR="00BC0012">
        <w:rPr>
          <w:i/>
          <w:iCs/>
        </w:rPr>
        <w:t xml:space="preserve">- </w:t>
      </w:r>
      <w:r w:rsidRPr="005911E2">
        <w:rPr>
          <w:i/>
          <w:iCs/>
        </w:rPr>
        <w:t>get it and use it. Even the ones who don't like it I have encountered where they will come on and go off and go on and go off because it helps them...</w:t>
      </w:r>
    </w:p>
    <w:p w:rsidR="00BD6DFD" w:rsidRPr="005911E2" w:rsidRDefault="00BD6DFD" w:rsidP="00943DCB">
      <w:pPr>
        <w:pStyle w:val="mininame"/>
      </w:pPr>
      <w:r w:rsidRPr="005911E2">
        <w:t>Centrelink Customer Service Advis</w:t>
      </w:r>
      <w:r w:rsidR="00384A7D">
        <w:t>e</w:t>
      </w:r>
      <w:r w:rsidRPr="005911E2">
        <w:t>r</w:t>
      </w:r>
    </w:p>
    <w:p w:rsidR="00BD6DFD" w:rsidRPr="005911E2" w:rsidRDefault="00BD6DFD" w:rsidP="00BD6DFD">
      <w:pPr>
        <w:rPr>
          <w:lang w:eastAsia="en-AU"/>
        </w:rPr>
      </w:pPr>
      <w:r w:rsidRPr="005911E2">
        <w:rPr>
          <w:lang w:eastAsia="en-AU"/>
        </w:rPr>
        <w:t xml:space="preserve">The popularity of the BasicsCard was given as a reason as to why some people choose to be on Voluntary </w:t>
      </w:r>
      <w:r w:rsidR="00BC0012">
        <w:rPr>
          <w:lang w:eastAsia="en-AU"/>
        </w:rPr>
        <w:t>I</w:t>
      </w:r>
      <w:r w:rsidR="00F878E4">
        <w:rPr>
          <w:lang w:eastAsia="en-AU"/>
        </w:rPr>
        <w:t xml:space="preserve">ncome </w:t>
      </w:r>
      <w:r w:rsidR="00BC0012">
        <w:rPr>
          <w:lang w:eastAsia="en-AU"/>
        </w:rPr>
        <w:t>M</w:t>
      </w:r>
      <w:r w:rsidR="00F878E4">
        <w:rPr>
          <w:lang w:eastAsia="en-AU"/>
        </w:rPr>
        <w:t>anagement</w:t>
      </w:r>
      <w:r w:rsidRPr="005911E2">
        <w:rPr>
          <w:lang w:eastAsia="en-AU"/>
        </w:rPr>
        <w:t xml:space="preserve">. </w:t>
      </w:r>
    </w:p>
    <w:p w:rsidR="00BD6DFD" w:rsidRPr="005911E2" w:rsidRDefault="00BD6DFD" w:rsidP="00BD6DFD">
      <w:pPr>
        <w:keepNext/>
        <w:spacing w:after="120"/>
        <w:ind w:left="2325"/>
        <w:jc w:val="left"/>
        <w:rPr>
          <w:i/>
          <w:iCs/>
        </w:rPr>
      </w:pPr>
      <w:r w:rsidRPr="005911E2">
        <w:rPr>
          <w:i/>
          <w:iCs/>
        </w:rPr>
        <w:t xml:space="preserve">A lot of it is just based around the BasicsCard. </w:t>
      </w:r>
      <w:r w:rsidR="002C4832">
        <w:rPr>
          <w:i/>
          <w:iCs/>
        </w:rPr>
        <w:t>‘</w:t>
      </w:r>
      <w:r w:rsidRPr="005911E2">
        <w:rPr>
          <w:i/>
          <w:iCs/>
        </w:rPr>
        <w:t>I want that BasicsCard</w:t>
      </w:r>
      <w:r w:rsidR="002C4832">
        <w:rPr>
          <w:i/>
          <w:iCs/>
        </w:rPr>
        <w:t>’</w:t>
      </w:r>
      <w:r w:rsidRPr="005911E2">
        <w:rPr>
          <w:i/>
          <w:iCs/>
        </w:rPr>
        <w:t xml:space="preserve">. Even when you explain it’s still the same amount of money, it just goes to </w:t>
      </w:r>
      <w:r w:rsidR="00BC0012">
        <w:rPr>
          <w:i/>
          <w:iCs/>
        </w:rPr>
        <w:t>i</w:t>
      </w:r>
      <w:r w:rsidRPr="005911E2">
        <w:rPr>
          <w:i/>
          <w:iCs/>
        </w:rPr>
        <w:t xml:space="preserve">ncome </w:t>
      </w:r>
      <w:r w:rsidR="00BC0012">
        <w:rPr>
          <w:i/>
          <w:iCs/>
        </w:rPr>
        <w:t>m</w:t>
      </w:r>
      <w:r w:rsidRPr="005911E2">
        <w:rPr>
          <w:i/>
          <w:iCs/>
        </w:rPr>
        <w:t>anagement now instead of your bank, and the rest of it. They’ll go no that’s okay, I just want the BasicsCard.</w:t>
      </w:r>
    </w:p>
    <w:p w:rsidR="00BD6DFD" w:rsidRPr="005911E2" w:rsidRDefault="00BD6DFD" w:rsidP="00943DCB">
      <w:pPr>
        <w:pStyle w:val="mininame"/>
      </w:pPr>
      <w:r w:rsidRPr="005911E2">
        <w:t>Centrelink Customer Service Advis</w:t>
      </w:r>
      <w:r w:rsidR="00384A7D">
        <w:t>e</w:t>
      </w:r>
      <w:r w:rsidRPr="005911E2">
        <w:t>r</w:t>
      </w:r>
    </w:p>
    <w:p w:rsidR="00BD6DFD" w:rsidRPr="005911E2" w:rsidRDefault="00BD6DFD" w:rsidP="00BD6DFD">
      <w:pPr>
        <w:keepNext/>
        <w:spacing w:after="120"/>
        <w:ind w:left="2325"/>
        <w:jc w:val="left"/>
        <w:rPr>
          <w:i/>
          <w:iCs/>
        </w:rPr>
      </w:pPr>
      <w:r w:rsidRPr="005911E2">
        <w:rPr>
          <w:i/>
          <w:iCs/>
        </w:rPr>
        <w:t>We’ve had people come in and say, I don’t want to be income managed but I want the BasicsCard. So, you explain to them that it’s one and the same, they’ll stay on to keep their BasicsCard.</w:t>
      </w:r>
    </w:p>
    <w:p w:rsidR="00BD6DFD" w:rsidRPr="005911E2" w:rsidRDefault="00BD6DFD" w:rsidP="00943DCB">
      <w:pPr>
        <w:pStyle w:val="mininame"/>
      </w:pPr>
      <w:r w:rsidRPr="005911E2">
        <w:t>Centrelink Customer Service Advis</w:t>
      </w:r>
      <w:r w:rsidR="00384A7D">
        <w:t>e</w:t>
      </w:r>
      <w:r w:rsidRPr="005911E2">
        <w:t>r</w:t>
      </w:r>
    </w:p>
    <w:p w:rsidR="00BD6DFD" w:rsidRPr="005911E2" w:rsidRDefault="00BD6DFD" w:rsidP="00BD6DFD">
      <w:pPr>
        <w:rPr>
          <w:lang w:eastAsia="en-AU"/>
        </w:rPr>
      </w:pPr>
      <w:r w:rsidRPr="005911E2">
        <w:rPr>
          <w:lang w:eastAsia="en-AU"/>
        </w:rPr>
        <w:t>The BasicsCard was also seen to be very convenient and quick to obtain (directly from Centrelink) and quick to be replaced.</w:t>
      </w:r>
    </w:p>
    <w:p w:rsidR="00BD6DFD" w:rsidRPr="005911E2" w:rsidRDefault="00BD6DFD" w:rsidP="00BD6DFD">
      <w:pPr>
        <w:keepNext/>
        <w:spacing w:after="120"/>
        <w:ind w:left="2325"/>
        <w:jc w:val="left"/>
        <w:rPr>
          <w:i/>
          <w:iCs/>
        </w:rPr>
      </w:pPr>
      <w:r w:rsidRPr="005911E2">
        <w:rPr>
          <w:i/>
          <w:iCs/>
        </w:rPr>
        <w:t>It's free and it's instant, it's right there at the counter. They don't have to wait three years in the mail to get the card then another week to get a PIN.</w:t>
      </w:r>
    </w:p>
    <w:p w:rsidR="00BD6DFD" w:rsidRPr="005911E2" w:rsidRDefault="00BD6DFD" w:rsidP="00943DCB">
      <w:pPr>
        <w:pStyle w:val="mininame"/>
      </w:pPr>
      <w:r w:rsidRPr="005911E2">
        <w:t>Centrelink Customer Service Advis</w:t>
      </w:r>
      <w:r w:rsidR="00384A7D">
        <w:t>e</w:t>
      </w:r>
      <w:r w:rsidRPr="005911E2">
        <w:t>r</w:t>
      </w:r>
    </w:p>
    <w:p w:rsidR="00BD6DFD" w:rsidRPr="005911E2" w:rsidRDefault="00BD6DFD" w:rsidP="00BD6DFD">
      <w:pPr>
        <w:rPr>
          <w:lang w:eastAsia="en-AU"/>
        </w:rPr>
      </w:pPr>
      <w:r w:rsidRPr="005911E2">
        <w:rPr>
          <w:lang w:eastAsia="en-AU"/>
        </w:rPr>
        <w:t xml:space="preserve">However, some Centrelink staff </w:t>
      </w:r>
      <w:r w:rsidR="00BC0012">
        <w:rPr>
          <w:lang w:eastAsia="en-AU"/>
        </w:rPr>
        <w:t>a</w:t>
      </w:r>
      <w:r w:rsidRPr="005911E2">
        <w:rPr>
          <w:lang w:eastAsia="en-AU"/>
        </w:rPr>
        <w:t xml:space="preserve">re concerned about being seen </w:t>
      </w:r>
      <w:r w:rsidR="002C4832">
        <w:rPr>
          <w:lang w:eastAsia="en-AU"/>
        </w:rPr>
        <w:t>‘</w:t>
      </w:r>
      <w:r w:rsidRPr="005911E2">
        <w:rPr>
          <w:lang w:eastAsia="en-AU"/>
        </w:rPr>
        <w:t>as a bank</w:t>
      </w:r>
      <w:r w:rsidR="002C4832">
        <w:rPr>
          <w:lang w:eastAsia="en-AU"/>
        </w:rPr>
        <w:t>’</w:t>
      </w:r>
      <w:r w:rsidRPr="005911E2">
        <w:rPr>
          <w:lang w:eastAsia="en-AU"/>
        </w:rPr>
        <w:t>.</w:t>
      </w:r>
    </w:p>
    <w:p w:rsidR="00BD6DFD" w:rsidRPr="005911E2" w:rsidRDefault="00BD6DFD" w:rsidP="00BD6DFD">
      <w:pPr>
        <w:keepNext/>
        <w:spacing w:after="120"/>
        <w:ind w:left="2325"/>
        <w:jc w:val="left"/>
        <w:rPr>
          <w:i/>
          <w:iCs/>
        </w:rPr>
      </w:pPr>
      <w:r w:rsidRPr="005911E2">
        <w:rPr>
          <w:i/>
          <w:iCs/>
        </w:rPr>
        <w:t xml:space="preserve">They go </w:t>
      </w:r>
      <w:r w:rsidR="002C4832">
        <w:rPr>
          <w:i/>
          <w:iCs/>
        </w:rPr>
        <w:t>‘</w:t>
      </w:r>
      <w:r w:rsidRPr="005911E2">
        <w:rPr>
          <w:i/>
          <w:iCs/>
        </w:rPr>
        <w:t>BasicsCard, BasicsCard, BasicsCard</w:t>
      </w:r>
      <w:r w:rsidR="002C4832">
        <w:rPr>
          <w:i/>
          <w:iCs/>
        </w:rPr>
        <w:t>’</w:t>
      </w:r>
      <w:r w:rsidRPr="005911E2">
        <w:rPr>
          <w:i/>
          <w:iCs/>
        </w:rPr>
        <w:t xml:space="preserve"> and it's like no that's just one method of accessing income management. It's a very interesting conversation because I'm always mindful of not making us sound like a bank. But there have been many times when I have felt that I'm no longer Department of Human Services... I'm a bank...How much is my BasicsCard, that's the first thing. The green card comes out and how much is on it, what am I, what am I? A kiosk? </w:t>
      </w:r>
    </w:p>
    <w:p w:rsidR="00BD6DFD" w:rsidRPr="005911E2" w:rsidRDefault="00BD6DFD" w:rsidP="00943DCB">
      <w:pPr>
        <w:pStyle w:val="mininame"/>
      </w:pPr>
      <w:r w:rsidRPr="005911E2">
        <w:t>Centrelink Customer Service Advis</w:t>
      </w:r>
      <w:r w:rsidR="00384A7D">
        <w:t>e</w:t>
      </w:r>
      <w:r w:rsidRPr="005911E2">
        <w:t>r</w:t>
      </w:r>
    </w:p>
    <w:p w:rsidR="00BD6DFD" w:rsidRPr="005911E2" w:rsidRDefault="00BD6DFD" w:rsidP="00BD6DFD">
      <w:pPr>
        <w:rPr>
          <w:rFonts w:eastAsiaTheme="minorHAnsi"/>
          <w:lang w:eastAsia="en-AU"/>
        </w:rPr>
      </w:pPr>
      <w:r w:rsidRPr="005911E2">
        <w:rPr>
          <w:lang w:eastAsia="en-AU"/>
        </w:rPr>
        <w:t>Many Centrelink staff also spoke about the high rate of replacement of BasicsCards.</w:t>
      </w:r>
    </w:p>
    <w:p w:rsidR="00BD6DFD" w:rsidRPr="005911E2" w:rsidRDefault="00BD6DFD" w:rsidP="00BD6DFD">
      <w:pPr>
        <w:keepNext/>
        <w:spacing w:after="120"/>
        <w:ind w:left="2325"/>
        <w:jc w:val="left"/>
        <w:rPr>
          <w:i/>
          <w:iCs/>
        </w:rPr>
      </w:pPr>
      <w:r w:rsidRPr="005911E2">
        <w:rPr>
          <w:i/>
          <w:iCs/>
        </w:rPr>
        <w:t>Every time I replace a BasicsCard I try to reiterate to the customer it's - you need to take hold of it. It's your money - it's your entitlement. I don't know I think it's really easy to get a new BasicsCard. Like you just come in and it's like a five minute thing. You can just come in and get one.</w:t>
      </w:r>
    </w:p>
    <w:p w:rsidR="00BD6DFD" w:rsidRPr="005911E2" w:rsidRDefault="00BD6DFD" w:rsidP="00BD6DFD">
      <w:pPr>
        <w:keepNext/>
        <w:spacing w:after="120"/>
        <w:ind w:left="2325"/>
        <w:jc w:val="left"/>
        <w:rPr>
          <w:i/>
          <w:iCs/>
        </w:rPr>
      </w:pPr>
      <w:r w:rsidRPr="005911E2">
        <w:rPr>
          <w:i/>
          <w:iCs/>
        </w:rPr>
        <w:t xml:space="preserve"> I think - I don't know it's perhaps bred this sort of attitude towards the BasicsCard like its disposable. I mean the thing is if you could just go into a bank and get a brand new key card, a brand new bank card straight away then people probably wouldn't look after them quite as much. But it takes a week or two to get a new [bank] card</w:t>
      </w:r>
      <w:r w:rsidR="00BC0012">
        <w:rPr>
          <w:i/>
          <w:iCs/>
        </w:rPr>
        <w:t>.</w:t>
      </w:r>
    </w:p>
    <w:p w:rsidR="00BD6DFD" w:rsidRPr="005911E2" w:rsidRDefault="00BD6DFD" w:rsidP="00943DCB">
      <w:pPr>
        <w:pStyle w:val="mininame"/>
      </w:pPr>
      <w:r w:rsidRPr="005911E2">
        <w:t>Centrelink Customer Service Advis</w:t>
      </w:r>
      <w:r w:rsidR="00384A7D">
        <w:t>e</w:t>
      </w:r>
      <w:r w:rsidRPr="005911E2">
        <w:t>r</w:t>
      </w:r>
    </w:p>
    <w:p w:rsidR="00BD6DFD" w:rsidRPr="005911E2" w:rsidRDefault="00BD6DFD" w:rsidP="00BD6DFD">
      <w:pPr>
        <w:rPr>
          <w:rFonts w:ascii="Times New Roman" w:hAnsi="Times New Roman"/>
          <w:sz w:val="24"/>
          <w:szCs w:val="24"/>
          <w:lang w:eastAsia="en-AU"/>
        </w:rPr>
      </w:pPr>
      <w:r w:rsidRPr="005911E2">
        <w:rPr>
          <w:lang w:eastAsia="en-AU"/>
        </w:rPr>
        <w:t xml:space="preserve">A common theme emerging from the interviews with those subject to </w:t>
      </w:r>
      <w:r w:rsidR="00F878E4">
        <w:rPr>
          <w:lang w:eastAsia="en-AU"/>
        </w:rPr>
        <w:t>income management</w:t>
      </w:r>
      <w:r w:rsidRPr="005911E2">
        <w:rPr>
          <w:lang w:eastAsia="en-AU"/>
        </w:rPr>
        <w:t>, Centrelink staff</w:t>
      </w:r>
      <w:r w:rsidR="007736DC">
        <w:rPr>
          <w:lang w:eastAsia="en-AU"/>
        </w:rPr>
        <w:t>,</w:t>
      </w:r>
      <w:r w:rsidRPr="005911E2">
        <w:rPr>
          <w:lang w:eastAsia="en-AU"/>
        </w:rPr>
        <w:t xml:space="preserve"> and merchants</w:t>
      </w:r>
      <w:r w:rsidR="007736DC">
        <w:rPr>
          <w:lang w:eastAsia="en-AU"/>
        </w:rPr>
        <w:t>,</w:t>
      </w:r>
      <w:r w:rsidRPr="005911E2">
        <w:rPr>
          <w:lang w:eastAsia="en-AU"/>
        </w:rPr>
        <w:t xml:space="preserve"> was that it could be difficult for </w:t>
      </w:r>
      <w:r w:rsidR="007736DC">
        <w:rPr>
          <w:lang w:eastAsia="en-AU"/>
        </w:rPr>
        <w:t xml:space="preserve">people </w:t>
      </w:r>
      <w:r w:rsidRPr="005911E2">
        <w:rPr>
          <w:lang w:eastAsia="en-AU"/>
        </w:rPr>
        <w:t>to check the balances on their BasicsCard. This is consistent with the findings of the NTER Evaluation Report 2011</w:t>
      </w:r>
      <w:r w:rsidR="007736DC">
        <w:rPr>
          <w:lang w:eastAsia="en-AU"/>
        </w:rPr>
        <w:t xml:space="preserve"> (FaHCSIA</w:t>
      </w:r>
      <w:r w:rsidR="00892C83">
        <w:rPr>
          <w:lang w:eastAsia="en-AU"/>
        </w:rPr>
        <w:t>,</w:t>
      </w:r>
      <w:r w:rsidR="007736DC">
        <w:rPr>
          <w:lang w:eastAsia="en-AU"/>
        </w:rPr>
        <w:t xml:space="preserve"> 2011b)</w:t>
      </w:r>
      <w:r w:rsidRPr="005911E2">
        <w:rPr>
          <w:lang w:eastAsia="en-AU"/>
        </w:rPr>
        <w:t xml:space="preserve"> which also reported that there were some problems in checking BasicsCard balances and data showing that the majority of declined BasicsCard transactions were declined due to insufficient funds. Since the second version of the BasicsCard was released in April 2010, 2</w:t>
      </w:r>
      <w:r w:rsidR="00C96922">
        <w:rPr>
          <w:lang w:eastAsia="en-AU"/>
        </w:rPr>
        <w:t>2</w:t>
      </w:r>
      <w:r w:rsidRPr="005911E2">
        <w:rPr>
          <w:lang w:eastAsia="en-AU"/>
        </w:rPr>
        <w:t xml:space="preserve"> per cent of BasicsCard transactions have failed and of the failed transactions</w:t>
      </w:r>
      <w:r w:rsidR="007736DC">
        <w:rPr>
          <w:lang w:eastAsia="en-AU"/>
        </w:rPr>
        <w:t>,</w:t>
      </w:r>
      <w:r w:rsidRPr="005911E2">
        <w:rPr>
          <w:lang w:eastAsia="en-AU"/>
        </w:rPr>
        <w:t xml:space="preserve"> </w:t>
      </w:r>
      <w:r w:rsidR="00C96922">
        <w:rPr>
          <w:lang w:eastAsia="en-AU"/>
        </w:rPr>
        <w:t>70</w:t>
      </w:r>
      <w:r w:rsidR="00C96922" w:rsidRPr="005911E2">
        <w:rPr>
          <w:lang w:eastAsia="en-AU"/>
        </w:rPr>
        <w:t xml:space="preserve"> </w:t>
      </w:r>
      <w:r w:rsidRPr="005911E2">
        <w:rPr>
          <w:lang w:eastAsia="en-AU"/>
        </w:rPr>
        <w:t>per cent are due to insufficient funds (FaHCSIA, 2011</w:t>
      </w:r>
      <w:r w:rsidR="007736DC">
        <w:rPr>
          <w:lang w:eastAsia="en-AU"/>
        </w:rPr>
        <w:t>b</w:t>
      </w:r>
      <w:r w:rsidR="00F8413B">
        <w:rPr>
          <w:lang w:eastAsia="en-AU"/>
        </w:rPr>
        <w:t>,</w:t>
      </w:r>
      <w:r w:rsidR="00C96922">
        <w:rPr>
          <w:lang w:eastAsia="en-AU"/>
        </w:rPr>
        <w:t xml:space="preserve"> p.</w:t>
      </w:r>
      <w:r w:rsidR="00F8413B">
        <w:rPr>
          <w:lang w:eastAsia="en-AU"/>
        </w:rPr>
        <w:t> </w:t>
      </w:r>
      <w:r w:rsidR="00C96922">
        <w:rPr>
          <w:lang w:eastAsia="en-AU"/>
        </w:rPr>
        <w:t>352</w:t>
      </w:r>
      <w:r w:rsidRPr="005911E2">
        <w:rPr>
          <w:lang w:eastAsia="en-AU"/>
        </w:rPr>
        <w:t>).</w:t>
      </w:r>
    </w:p>
    <w:p w:rsidR="00BD6DFD" w:rsidRPr="005911E2" w:rsidRDefault="00BD6DFD" w:rsidP="00BD6DFD">
      <w:pPr>
        <w:keepNext/>
        <w:spacing w:after="120"/>
        <w:ind w:left="2325"/>
        <w:jc w:val="left"/>
        <w:rPr>
          <w:i/>
          <w:iCs/>
        </w:rPr>
      </w:pPr>
      <w:r w:rsidRPr="005911E2">
        <w:rPr>
          <w:i/>
          <w:iCs/>
        </w:rPr>
        <w:t>You don't know what your balance is and you have to call all the time.</w:t>
      </w:r>
    </w:p>
    <w:p w:rsidR="00BD6DFD" w:rsidRPr="005911E2" w:rsidRDefault="00094A52" w:rsidP="00943DCB">
      <w:pPr>
        <w:pStyle w:val="mininame"/>
        <w:rPr>
          <w:lang w:eastAsia="en-AU"/>
        </w:rPr>
      </w:pPr>
      <w:r>
        <w:rPr>
          <w:lang w:eastAsia="en-AU"/>
        </w:rPr>
        <w:t xml:space="preserve">Indigenous </w:t>
      </w:r>
      <w:r w:rsidR="00E010D1">
        <w:rPr>
          <w:lang w:eastAsia="en-AU"/>
        </w:rPr>
        <w:t xml:space="preserve">woman, </w:t>
      </w:r>
      <w:r>
        <w:rPr>
          <w:lang w:eastAsia="en-AU"/>
        </w:rPr>
        <w:t>Darwin</w:t>
      </w:r>
    </w:p>
    <w:p w:rsidR="00BD6DFD" w:rsidRPr="005911E2" w:rsidRDefault="00BD6DFD" w:rsidP="00BD6DFD">
      <w:pPr>
        <w:keepNext/>
        <w:spacing w:after="120"/>
        <w:ind w:left="2325"/>
        <w:jc w:val="left"/>
        <w:rPr>
          <w:i/>
          <w:iCs/>
        </w:rPr>
      </w:pPr>
      <w:r w:rsidRPr="005911E2">
        <w:rPr>
          <w:i/>
          <w:iCs/>
        </w:rPr>
        <w:t>Because I’m able to manage my money I’m sick of the screw ups I’m sick of having to use my own money on calling up and it’s embarrassing carrying a BasicsCard around and having to line up.</w:t>
      </w:r>
    </w:p>
    <w:p w:rsidR="00BD6DFD" w:rsidRPr="005911E2" w:rsidRDefault="00094A52" w:rsidP="00943DCB">
      <w:pPr>
        <w:pStyle w:val="mininame"/>
      </w:pPr>
      <w:r>
        <w:t xml:space="preserve">Non-Indigenous </w:t>
      </w:r>
      <w:r w:rsidR="00E010D1">
        <w:t xml:space="preserve">woman, </w:t>
      </w:r>
      <w:r w:rsidR="00BD6DFD" w:rsidRPr="005911E2">
        <w:t>Darwin</w:t>
      </w:r>
    </w:p>
    <w:p w:rsidR="00BD6DFD" w:rsidRPr="005911E2" w:rsidRDefault="00BD6DFD" w:rsidP="00BD6DFD">
      <w:pPr>
        <w:rPr>
          <w:lang w:eastAsia="en-AU"/>
        </w:rPr>
      </w:pPr>
      <w:r w:rsidRPr="005911E2">
        <w:rPr>
          <w:lang w:eastAsia="en-AU"/>
        </w:rPr>
        <w:t>This caused some frustration and embarrassment for people when shopping. While options are available for clients to check their balances via telephone, the internet or at a specified BasicsCard kiosk, these methods were not always practicable with people whose first language was not English</w:t>
      </w:r>
      <w:r w:rsidR="00D9440A">
        <w:rPr>
          <w:lang w:eastAsia="en-AU"/>
        </w:rPr>
        <w:t>,</w:t>
      </w:r>
      <w:r w:rsidRPr="005911E2">
        <w:rPr>
          <w:lang w:eastAsia="en-AU"/>
        </w:rPr>
        <w:t xml:space="preserve"> or </w:t>
      </w:r>
      <w:r w:rsidR="00D9440A">
        <w:rPr>
          <w:lang w:eastAsia="en-AU"/>
        </w:rPr>
        <w:t xml:space="preserve">with </w:t>
      </w:r>
      <w:r w:rsidRPr="005911E2">
        <w:rPr>
          <w:lang w:eastAsia="en-AU"/>
        </w:rPr>
        <w:t xml:space="preserve">the elderly or frail. It also meant that checking balances for clients can be a significant part of </w:t>
      </w:r>
      <w:r w:rsidR="00BB4D9F">
        <w:rPr>
          <w:lang w:eastAsia="en-AU"/>
        </w:rPr>
        <w:t xml:space="preserve">the </w:t>
      </w:r>
      <w:r w:rsidRPr="005911E2">
        <w:rPr>
          <w:lang w:eastAsia="en-AU"/>
        </w:rPr>
        <w:t xml:space="preserve">work </w:t>
      </w:r>
      <w:r w:rsidR="00BB4D9F">
        <w:rPr>
          <w:lang w:eastAsia="en-AU"/>
        </w:rPr>
        <w:t xml:space="preserve">of </w:t>
      </w:r>
      <w:r w:rsidR="00D9440A">
        <w:rPr>
          <w:lang w:eastAsia="en-AU"/>
        </w:rPr>
        <w:t>Centrelink C</w:t>
      </w:r>
      <w:r w:rsidRPr="005911E2">
        <w:rPr>
          <w:lang w:eastAsia="en-AU"/>
        </w:rPr>
        <w:t xml:space="preserve">ustomer </w:t>
      </w:r>
      <w:r w:rsidR="00D9440A">
        <w:rPr>
          <w:lang w:eastAsia="en-AU"/>
        </w:rPr>
        <w:t>S</w:t>
      </w:r>
      <w:r w:rsidRPr="005911E2">
        <w:rPr>
          <w:lang w:eastAsia="en-AU"/>
        </w:rPr>
        <w:t xml:space="preserve">ervice </w:t>
      </w:r>
      <w:r w:rsidR="00D9440A">
        <w:rPr>
          <w:lang w:eastAsia="en-AU"/>
        </w:rPr>
        <w:t>A</w:t>
      </w:r>
      <w:r w:rsidRPr="005911E2">
        <w:rPr>
          <w:lang w:eastAsia="en-AU"/>
        </w:rPr>
        <w:t>dvisers.</w:t>
      </w:r>
    </w:p>
    <w:p w:rsidR="00BD6DFD" w:rsidRPr="005911E2" w:rsidRDefault="00BD6DFD" w:rsidP="00BD6DFD">
      <w:pPr>
        <w:keepNext/>
        <w:spacing w:after="120"/>
        <w:ind w:left="2325"/>
        <w:jc w:val="left"/>
        <w:rPr>
          <w:i/>
          <w:iCs/>
        </w:rPr>
      </w:pPr>
      <w:r w:rsidRPr="005911E2">
        <w:rPr>
          <w:i/>
          <w:iCs/>
        </w:rPr>
        <w:t>We do have - of course we have other customers that come through but the majority of our business is primarily around income management. Re-issuing of BasicsCards and transferring of funds and - because for some reason, our customers, I don’t think have really embraced the self-service options for income management. They have to a degree. They’re happy to use the kiosks in the shopping centres but they will stand in line for however long it takes just to find out the balance of their BasicsCard if they’re in the office.</w:t>
      </w:r>
    </w:p>
    <w:p w:rsidR="00BD6DFD" w:rsidRPr="005911E2" w:rsidRDefault="00BD6DFD" w:rsidP="00943DCB">
      <w:pPr>
        <w:pStyle w:val="mininame"/>
        <w:rPr>
          <w:lang w:eastAsia="en-AU"/>
        </w:rPr>
      </w:pPr>
      <w:r w:rsidRPr="005911E2">
        <w:rPr>
          <w:lang w:eastAsia="en-AU"/>
        </w:rPr>
        <w:t xml:space="preserve">Centrelink </w:t>
      </w:r>
      <w:r w:rsidR="00B450CA">
        <w:rPr>
          <w:lang w:eastAsia="en-AU"/>
        </w:rPr>
        <w:t>Customer Service Adviser</w:t>
      </w:r>
    </w:p>
    <w:p w:rsidR="00BD6DFD" w:rsidRPr="005911E2" w:rsidRDefault="00BD6DFD" w:rsidP="00BD6DFD">
      <w:pPr>
        <w:keepNext/>
        <w:spacing w:after="120"/>
        <w:ind w:left="2325"/>
        <w:jc w:val="left"/>
        <w:rPr>
          <w:i/>
          <w:iCs/>
        </w:rPr>
      </w:pPr>
      <w:r w:rsidRPr="005911E2">
        <w:rPr>
          <w:i/>
          <w:iCs/>
        </w:rPr>
        <w:t>There are a lot of customers who don’t want to have a bar of self</w:t>
      </w:r>
      <w:r w:rsidR="00D9440A">
        <w:rPr>
          <w:i/>
          <w:iCs/>
        </w:rPr>
        <w:t>-</w:t>
      </w:r>
      <w:r w:rsidRPr="005911E2">
        <w:rPr>
          <w:i/>
          <w:iCs/>
        </w:rPr>
        <w:t>service and come here for the face to face service...Well I think it’s what they’re used to, but I think, too, it’s - for a lot of the people that come here, English is second or third language so it’s very difficult ...so putting them on the phone to do any sort of business, you just can’t do it, and you wouldn’t do it. You set our customers up to fail if we push self</w:t>
      </w:r>
      <w:r w:rsidR="00D9440A">
        <w:rPr>
          <w:i/>
          <w:iCs/>
        </w:rPr>
        <w:t>-</w:t>
      </w:r>
      <w:r w:rsidRPr="005911E2">
        <w:rPr>
          <w:i/>
          <w:iCs/>
        </w:rPr>
        <w:t>service like that, so...</w:t>
      </w:r>
    </w:p>
    <w:p w:rsidR="00BD6DFD" w:rsidRPr="005911E2" w:rsidRDefault="00BD6DFD" w:rsidP="00847CCC">
      <w:pPr>
        <w:pStyle w:val="mininame"/>
        <w:rPr>
          <w:highlight w:val="yellow"/>
          <w:lang w:eastAsia="en-AU"/>
        </w:rPr>
      </w:pPr>
      <w:r w:rsidRPr="005911E2">
        <w:rPr>
          <w:lang w:eastAsia="en-AU"/>
        </w:rPr>
        <w:t xml:space="preserve">Centrelink </w:t>
      </w:r>
      <w:r w:rsidR="00B450CA">
        <w:rPr>
          <w:lang w:eastAsia="en-AU"/>
        </w:rPr>
        <w:t>Customer Service Adviser</w:t>
      </w:r>
    </w:p>
    <w:p w:rsidR="00BD6DFD" w:rsidRPr="005911E2" w:rsidRDefault="00BD6DFD" w:rsidP="00BD6DFD">
      <w:pPr>
        <w:rPr>
          <w:lang w:eastAsia="en-AU"/>
        </w:rPr>
      </w:pPr>
      <w:r w:rsidRPr="005911E2">
        <w:rPr>
          <w:lang w:eastAsia="en-AU"/>
        </w:rPr>
        <w:t xml:space="preserve">Although the use of the BasicsCard is transaction free, there can be telecommunication costs associated with checking account balances. It is free if the call is made from a land line or a Centrelink phone, but a lot of those subject to </w:t>
      </w:r>
      <w:r w:rsidR="00F878E4">
        <w:rPr>
          <w:lang w:eastAsia="en-AU"/>
        </w:rPr>
        <w:t>income management</w:t>
      </w:r>
      <w:r w:rsidRPr="005911E2">
        <w:rPr>
          <w:lang w:eastAsia="en-AU"/>
        </w:rPr>
        <w:t xml:space="preserve"> do not have a land line and public phones have often been vandalized and are not working. So in practice many people use mobile phones and this costs money. </w:t>
      </w:r>
    </w:p>
    <w:p w:rsidR="00BD6DFD" w:rsidRPr="005911E2" w:rsidRDefault="00BD6DFD" w:rsidP="00BD6DFD">
      <w:pPr>
        <w:keepNext/>
        <w:spacing w:after="120"/>
        <w:ind w:left="2325"/>
        <w:jc w:val="left"/>
        <w:rPr>
          <w:i/>
          <w:iCs/>
        </w:rPr>
      </w:pPr>
      <w:r w:rsidRPr="005911E2">
        <w:rPr>
          <w:i/>
          <w:iCs/>
        </w:rPr>
        <w:t>Waiting times when calling up for income management is a very long time</w:t>
      </w:r>
      <w:r w:rsidR="00D9440A">
        <w:rPr>
          <w:i/>
          <w:iCs/>
        </w:rPr>
        <w:t>,</w:t>
      </w:r>
      <w:r w:rsidRPr="005911E2">
        <w:rPr>
          <w:i/>
          <w:iCs/>
        </w:rPr>
        <w:t xml:space="preserve"> you have to use your own credit up waiting on hold</w:t>
      </w:r>
      <w:r w:rsidR="00D9440A">
        <w:rPr>
          <w:i/>
          <w:iCs/>
        </w:rPr>
        <w:t>.</w:t>
      </w:r>
      <w:r w:rsidRPr="005911E2" w:rsidDel="00212251">
        <w:rPr>
          <w:rFonts w:ascii="Times New Roman" w:hAnsi="Times New Roman"/>
          <w:i/>
          <w:iCs/>
        </w:rPr>
        <w:t xml:space="preserve"> </w:t>
      </w:r>
    </w:p>
    <w:p w:rsidR="00BD6DFD" w:rsidRDefault="00BD6DFD" w:rsidP="00847CCC">
      <w:pPr>
        <w:pStyle w:val="mininame"/>
      </w:pPr>
      <w:r w:rsidRPr="005911E2">
        <w:t>Indigenous</w:t>
      </w:r>
      <w:r w:rsidR="00E010D1">
        <w:t xml:space="preserve"> man,</w:t>
      </w:r>
      <w:r w:rsidRPr="005911E2">
        <w:t xml:space="preserve"> Darwin </w:t>
      </w:r>
    </w:p>
    <w:p w:rsidR="00366484" w:rsidRDefault="002353D7">
      <w:pPr>
        <w:pStyle w:val="BodyText"/>
      </w:pPr>
      <w:r>
        <w:t xml:space="preserve">It was noted in the introduction that the question of transaction costs associated with the use of ATMs in remote Indigenous communities was the subject of a joint review by the Treasury and the Reserve Bank of Australia, and that </w:t>
      </w:r>
      <w:r w:rsidR="00584A1E">
        <w:t>it is proposed that fee free transactions will become available at ATMS in 76 remote Indigenous communities across Australia.</w:t>
      </w:r>
      <w:r w:rsidR="00BB14C5">
        <w:t xml:space="preserve"> </w:t>
      </w:r>
      <w:r w:rsidR="00584A1E">
        <w:t>This initiative may have an impact on the role of, and views about the BasicsCard as described here.</w:t>
      </w:r>
    </w:p>
    <w:p w:rsidR="00BD6DFD" w:rsidRPr="005911E2" w:rsidRDefault="00BD6DFD" w:rsidP="00263D64">
      <w:pPr>
        <w:pStyle w:val="Heading3"/>
      </w:pPr>
      <w:bookmarkStart w:id="559" w:name="_Ref194692634"/>
      <w:r w:rsidRPr="005911E2">
        <w:t>Practical problems using the BasicsCard</w:t>
      </w:r>
      <w:bookmarkEnd w:id="559"/>
    </w:p>
    <w:p w:rsidR="00BD6DFD" w:rsidRPr="005911E2" w:rsidRDefault="00BD6DFD" w:rsidP="00BD6DFD">
      <w:pPr>
        <w:rPr>
          <w:lang w:eastAsia="en-AU"/>
        </w:rPr>
      </w:pPr>
      <w:r w:rsidRPr="005911E2">
        <w:rPr>
          <w:lang w:eastAsia="en-AU"/>
        </w:rPr>
        <w:t>A number of practical problems using the BasicsCard were identified by survey participants.</w:t>
      </w:r>
    </w:p>
    <w:p w:rsidR="00BD6DFD" w:rsidRPr="005911E2" w:rsidRDefault="00BD6DFD" w:rsidP="007B4471">
      <w:pPr>
        <w:pStyle w:val="Heading4"/>
      </w:pPr>
      <w:r w:rsidRPr="005911E2">
        <w:t>Not all merchants accept the BasicsCard</w:t>
      </w:r>
    </w:p>
    <w:p w:rsidR="00BD6DFD" w:rsidRPr="005911E2" w:rsidRDefault="00BD6DFD" w:rsidP="00BD6DFD">
      <w:pPr>
        <w:rPr>
          <w:lang w:eastAsia="en-AU"/>
        </w:rPr>
      </w:pPr>
      <w:r w:rsidRPr="005911E2">
        <w:rPr>
          <w:lang w:eastAsia="en-AU"/>
        </w:rPr>
        <w:t xml:space="preserve">One problem was that the BasicsCard could not always be used where it was most convenient for people to shop or where they would prefer to shop. This was especially the case for farmers markets and other outlets that may sell fresh, cheap food, but that did not have a contract with Centrelink to accept the BasicsCard. </w:t>
      </w:r>
    </w:p>
    <w:p w:rsidR="00BD6DFD" w:rsidRPr="005911E2" w:rsidRDefault="00BD6DFD" w:rsidP="00BD6DFD">
      <w:pPr>
        <w:rPr>
          <w:lang w:eastAsia="en-AU"/>
        </w:rPr>
      </w:pPr>
      <w:r w:rsidRPr="005911E2">
        <w:rPr>
          <w:lang w:eastAsia="en-AU"/>
        </w:rPr>
        <w:t xml:space="preserve">Many survey participants were concerned about the fact that the BasicsCard is only valid at certain shops, and not at markets or for other services such as travel. </w:t>
      </w:r>
    </w:p>
    <w:p w:rsidR="00BD6DFD" w:rsidRPr="005911E2" w:rsidRDefault="00BD6DFD" w:rsidP="00BD6DFD">
      <w:pPr>
        <w:keepNext/>
        <w:spacing w:after="120"/>
        <w:ind w:left="2325"/>
        <w:jc w:val="left"/>
        <w:rPr>
          <w:i/>
          <w:iCs/>
        </w:rPr>
      </w:pPr>
      <w:r w:rsidRPr="005911E2">
        <w:rPr>
          <w:i/>
          <w:iCs/>
        </w:rPr>
        <w:t>Bad thing, because of the limited range of places I can go to spend my money; I'm not trying to go to the bottle shop or a drug dealer.</w:t>
      </w:r>
    </w:p>
    <w:p w:rsidR="00BD6DFD" w:rsidRPr="005911E2" w:rsidRDefault="00094A52" w:rsidP="00847CCC">
      <w:pPr>
        <w:pStyle w:val="mininame"/>
      </w:pPr>
      <w:r>
        <w:t xml:space="preserve">Non-Indigenous </w:t>
      </w:r>
      <w:r w:rsidR="00E010D1">
        <w:t>man,</w:t>
      </w:r>
      <w:r w:rsidR="00BD6DFD" w:rsidRPr="005911E2">
        <w:t xml:space="preserve"> Darwin</w:t>
      </w:r>
    </w:p>
    <w:p w:rsidR="00BD6DFD" w:rsidRPr="005911E2" w:rsidRDefault="00BD6DFD" w:rsidP="00BD6DFD">
      <w:pPr>
        <w:rPr>
          <w:lang w:eastAsia="en-AU"/>
        </w:rPr>
      </w:pPr>
      <w:r w:rsidRPr="005911E2">
        <w:rPr>
          <w:lang w:eastAsia="en-AU"/>
        </w:rPr>
        <w:t xml:space="preserve">A particular concern was that </w:t>
      </w:r>
      <w:r w:rsidR="00077699">
        <w:rPr>
          <w:lang w:eastAsia="en-AU"/>
        </w:rPr>
        <w:t>the limitations of the</w:t>
      </w:r>
      <w:r w:rsidRPr="005911E2">
        <w:rPr>
          <w:lang w:eastAsia="en-AU"/>
        </w:rPr>
        <w:t xml:space="preserve"> </w:t>
      </w:r>
      <w:r w:rsidR="00D9440A">
        <w:rPr>
          <w:lang w:eastAsia="en-AU"/>
        </w:rPr>
        <w:t xml:space="preserve">merchants </w:t>
      </w:r>
      <w:r w:rsidRPr="005911E2">
        <w:rPr>
          <w:lang w:eastAsia="en-AU"/>
        </w:rPr>
        <w:t xml:space="preserve">where BasicsCard </w:t>
      </w:r>
      <w:r w:rsidR="00D9440A">
        <w:rPr>
          <w:lang w:eastAsia="en-AU"/>
        </w:rPr>
        <w:t xml:space="preserve">is accepted </w:t>
      </w:r>
      <w:r w:rsidR="00077699">
        <w:rPr>
          <w:lang w:eastAsia="en-AU"/>
        </w:rPr>
        <w:t>results in people</w:t>
      </w:r>
      <w:r w:rsidR="00D9440A">
        <w:rPr>
          <w:lang w:eastAsia="en-AU"/>
        </w:rPr>
        <w:t xml:space="preserve"> </w:t>
      </w:r>
      <w:r w:rsidRPr="005911E2">
        <w:rPr>
          <w:lang w:eastAsia="en-AU"/>
        </w:rPr>
        <w:t>miss</w:t>
      </w:r>
      <w:r w:rsidR="00077699">
        <w:rPr>
          <w:lang w:eastAsia="en-AU"/>
        </w:rPr>
        <w:t>ing</w:t>
      </w:r>
      <w:r w:rsidRPr="005911E2">
        <w:rPr>
          <w:lang w:eastAsia="en-AU"/>
        </w:rPr>
        <w:t xml:space="preserve"> out on better deals or fresher food which is available from markets where the BasicsCard is not accepted.</w:t>
      </w:r>
    </w:p>
    <w:p w:rsidR="00BD6DFD" w:rsidRPr="005911E2" w:rsidRDefault="00BD6DFD" w:rsidP="00BD6DFD">
      <w:pPr>
        <w:keepNext/>
        <w:spacing w:after="120"/>
        <w:ind w:left="2325"/>
        <w:jc w:val="left"/>
        <w:rPr>
          <w:i/>
          <w:iCs/>
        </w:rPr>
      </w:pPr>
      <w:r w:rsidRPr="005911E2">
        <w:rPr>
          <w:i/>
          <w:iCs/>
        </w:rPr>
        <w:t>Because I'm dictated to shop at Coles and Woollies or even Kmart. I like to buy from the locals because I get better deals</w:t>
      </w:r>
      <w:r w:rsidR="00D9440A">
        <w:rPr>
          <w:i/>
          <w:iCs/>
        </w:rPr>
        <w:t>,</w:t>
      </w:r>
      <w:r w:rsidRPr="005911E2">
        <w:rPr>
          <w:i/>
          <w:iCs/>
        </w:rPr>
        <w:t xml:space="preserve"> fresher food and I like to buy clothing from the markets and I can’t take the BasicsCard to the markets.</w:t>
      </w:r>
    </w:p>
    <w:p w:rsidR="00BD6DFD" w:rsidRPr="005911E2" w:rsidRDefault="00094A52" w:rsidP="00847CCC">
      <w:pPr>
        <w:pStyle w:val="mininame"/>
      </w:pPr>
      <w:r>
        <w:t xml:space="preserve">Non-Indigenous </w:t>
      </w:r>
      <w:r w:rsidR="00E010D1">
        <w:t>woman,</w:t>
      </w:r>
      <w:r w:rsidR="00BD6DFD" w:rsidRPr="005911E2">
        <w:t xml:space="preserve"> Darwin</w:t>
      </w:r>
    </w:p>
    <w:p w:rsidR="00BD6DFD" w:rsidRPr="005911E2" w:rsidRDefault="00BD6DFD" w:rsidP="00BD6DFD">
      <w:pPr>
        <w:rPr>
          <w:lang w:eastAsia="en-AU"/>
        </w:rPr>
      </w:pPr>
      <w:r w:rsidRPr="005911E2">
        <w:rPr>
          <w:lang w:eastAsia="en-AU"/>
        </w:rPr>
        <w:t xml:space="preserve">Another concern was that they could not always pay for activities for their children because the BasicsCard could not be used. One respondent talked about not being able to take their children to the Katherine show. </w:t>
      </w:r>
    </w:p>
    <w:p w:rsidR="00BD6DFD" w:rsidRPr="005911E2" w:rsidRDefault="00BD6DFD" w:rsidP="00BD6DFD">
      <w:pPr>
        <w:keepNext/>
        <w:spacing w:after="120"/>
        <w:ind w:left="2325"/>
        <w:jc w:val="left"/>
        <w:rPr>
          <w:i/>
          <w:iCs/>
        </w:rPr>
      </w:pPr>
      <w:r w:rsidRPr="005911E2">
        <w:rPr>
          <w:i/>
          <w:iCs/>
        </w:rPr>
        <w:t>When the kids want something it's hard to get it with BasicsCard. I wanted money for the Katherine show. My stepson was crying for things but I couldn't pay for them so we went back home. All the money was in BasicsCard.</w:t>
      </w:r>
    </w:p>
    <w:p w:rsidR="00BD6DFD" w:rsidRPr="005911E2" w:rsidRDefault="00094A52" w:rsidP="00847CCC">
      <w:pPr>
        <w:pStyle w:val="mininame"/>
      </w:pPr>
      <w:r>
        <w:t xml:space="preserve">Indigenous </w:t>
      </w:r>
      <w:r w:rsidR="00E010D1">
        <w:t>man,</w:t>
      </w:r>
      <w:r w:rsidR="00BD6DFD" w:rsidRPr="005911E2">
        <w:t>Remote NT</w:t>
      </w:r>
    </w:p>
    <w:p w:rsidR="00BD6DFD" w:rsidRPr="005911E2" w:rsidRDefault="00BD6DFD" w:rsidP="00BD6DFD">
      <w:pPr>
        <w:rPr>
          <w:lang w:eastAsia="en-AU"/>
        </w:rPr>
      </w:pPr>
      <w:r w:rsidRPr="005911E2">
        <w:rPr>
          <w:lang w:eastAsia="en-AU"/>
        </w:rPr>
        <w:t xml:space="preserve">Centrelink staff also identified problems associated with the BasicsCard not being able to be used </w:t>
      </w:r>
      <w:r w:rsidR="00D9440A">
        <w:rPr>
          <w:lang w:eastAsia="en-AU"/>
        </w:rPr>
        <w:t>in</w:t>
      </w:r>
      <w:r w:rsidR="00D9440A" w:rsidRPr="005911E2">
        <w:rPr>
          <w:lang w:eastAsia="en-AU"/>
        </w:rPr>
        <w:t xml:space="preserve"> </w:t>
      </w:r>
      <w:r w:rsidRPr="005911E2">
        <w:rPr>
          <w:lang w:eastAsia="en-AU"/>
        </w:rPr>
        <w:t xml:space="preserve">all shops. </w:t>
      </w:r>
    </w:p>
    <w:p w:rsidR="00BD6DFD" w:rsidRPr="005911E2" w:rsidRDefault="00BD6DFD" w:rsidP="00BD6DFD">
      <w:pPr>
        <w:keepNext/>
        <w:spacing w:after="120"/>
        <w:ind w:left="2325"/>
        <w:jc w:val="left"/>
        <w:rPr>
          <w:i/>
          <w:iCs/>
        </w:rPr>
      </w:pPr>
      <w:r w:rsidRPr="005911E2">
        <w:rPr>
          <w:i/>
          <w:iCs/>
        </w:rPr>
        <w:t>But it’s those little shops that need to get signed up first. You go to the corner store to buy a loaf of bread and milk, I’m not going to drive an extra 20 Ks to go to Woolies to use the BasicsCard to do it so why should a customer? We’re not taking their money, we’re just telling them that okay, you can’t spend it on this but don’t make them drive 20 minutes out of their way to use the BasicsCard there when they can’t use it there. So I think one of the major things is getting the organisations on board before rolling it out.</w:t>
      </w:r>
    </w:p>
    <w:p w:rsidR="00BD6DFD" w:rsidRPr="005911E2" w:rsidRDefault="00BD6DFD" w:rsidP="00847CCC">
      <w:pPr>
        <w:pStyle w:val="mininame"/>
      </w:pPr>
      <w:r w:rsidRPr="005911E2">
        <w:t>Centrelink Customer Service Advis</w:t>
      </w:r>
      <w:r w:rsidR="00384A7D">
        <w:t>e</w:t>
      </w:r>
      <w:r w:rsidRPr="005911E2">
        <w:t>r</w:t>
      </w:r>
    </w:p>
    <w:p w:rsidR="00BD6DFD" w:rsidRPr="005911E2" w:rsidRDefault="00BD6DFD" w:rsidP="00BD6DFD">
      <w:pPr>
        <w:keepNext/>
        <w:spacing w:after="120"/>
        <w:ind w:left="2325"/>
        <w:jc w:val="left"/>
        <w:rPr>
          <w:i/>
          <w:iCs/>
        </w:rPr>
      </w:pPr>
      <w:r w:rsidRPr="005911E2">
        <w:rPr>
          <w:i/>
          <w:iCs/>
        </w:rPr>
        <w:t>Well it’s not just indigenous communities, it’s also - I’ve got Indian, Pakistani customers who are the same thing, in that family type environment. African husbands who, you know - sorry, back to the Indian people, who go to certain shops to buy the meat and stuff and they can’t use their BasicsCard there because the shop owners don’t want to be involved in income management.</w:t>
      </w:r>
    </w:p>
    <w:p w:rsidR="00BD6DFD" w:rsidRPr="005911E2" w:rsidRDefault="00BD6DFD" w:rsidP="00847CCC">
      <w:pPr>
        <w:pStyle w:val="mininame"/>
      </w:pPr>
      <w:r w:rsidRPr="005911E2">
        <w:t>Centrelink Customer Service Advis</w:t>
      </w:r>
      <w:r w:rsidR="00384A7D">
        <w:t>e</w:t>
      </w:r>
      <w:r w:rsidRPr="005911E2">
        <w:t>r</w:t>
      </w:r>
    </w:p>
    <w:p w:rsidR="00BD6DFD" w:rsidRPr="005911E2" w:rsidRDefault="00263D64" w:rsidP="007B4471">
      <w:pPr>
        <w:pStyle w:val="Heading4"/>
      </w:pPr>
      <w:r w:rsidRPr="005911E2">
        <w:t>Purchasing larger items</w:t>
      </w:r>
    </w:p>
    <w:p w:rsidR="00BD6DFD" w:rsidRPr="005911E2" w:rsidRDefault="00BD6DFD" w:rsidP="00BD6DFD">
      <w:pPr>
        <w:rPr>
          <w:lang w:eastAsia="en-AU"/>
        </w:rPr>
      </w:pPr>
      <w:r w:rsidRPr="005911E2">
        <w:rPr>
          <w:lang w:eastAsia="en-AU"/>
        </w:rPr>
        <w:t xml:space="preserve">Participants reported difficulties in purchasing items which required them to organise for Centrelink to make the payment to the retailer. </w:t>
      </w:r>
    </w:p>
    <w:p w:rsidR="00BD6DFD" w:rsidRPr="005911E2" w:rsidRDefault="00BD6DFD" w:rsidP="00BD6DFD">
      <w:pPr>
        <w:keepNext/>
        <w:spacing w:after="120"/>
        <w:ind w:left="2325"/>
        <w:jc w:val="left"/>
        <w:rPr>
          <w:i/>
          <w:iCs/>
        </w:rPr>
      </w:pPr>
      <w:r w:rsidRPr="005911E2">
        <w:rPr>
          <w:i/>
          <w:iCs/>
          <w:lang w:eastAsia="en-AU"/>
        </w:rPr>
        <w:t>Even if you ask for a $500 loan</w:t>
      </w:r>
      <w:r w:rsidR="00D9440A">
        <w:rPr>
          <w:i/>
          <w:iCs/>
          <w:lang w:eastAsia="en-AU"/>
        </w:rPr>
        <w:t>,</w:t>
      </w:r>
      <w:r w:rsidRPr="005911E2">
        <w:rPr>
          <w:i/>
          <w:iCs/>
          <w:lang w:eastAsia="en-AU"/>
        </w:rPr>
        <w:t xml:space="preserve"> its income managed so it doesn't really help. Also if you want to go to Harvey Norman to buy something you got to get their quote on how much it costs then back to Centrelink to get the money and </w:t>
      </w:r>
      <w:r w:rsidRPr="005911E2">
        <w:rPr>
          <w:i/>
          <w:iCs/>
        </w:rPr>
        <w:t>then</w:t>
      </w:r>
      <w:r w:rsidRPr="005911E2">
        <w:rPr>
          <w:i/>
          <w:iCs/>
          <w:lang w:eastAsia="en-AU"/>
        </w:rPr>
        <w:t xml:space="preserve"> back. It is such a waste of time.</w:t>
      </w:r>
    </w:p>
    <w:p w:rsidR="00BD6DFD" w:rsidRPr="005911E2" w:rsidRDefault="00094A52" w:rsidP="00847CCC">
      <w:pPr>
        <w:pStyle w:val="mininame"/>
      </w:pPr>
      <w:r>
        <w:t xml:space="preserve">Non-Indigenous </w:t>
      </w:r>
      <w:r w:rsidR="00E010D1">
        <w:t>man,</w:t>
      </w:r>
      <w:r w:rsidR="00BD6DFD" w:rsidRPr="005911E2">
        <w:t>Darwin</w:t>
      </w:r>
    </w:p>
    <w:p w:rsidR="00BD6DFD" w:rsidRPr="005911E2" w:rsidRDefault="00BD6DFD" w:rsidP="00BD6DFD">
      <w:pPr>
        <w:keepNext/>
        <w:spacing w:after="120"/>
        <w:ind w:left="2325"/>
        <w:jc w:val="left"/>
        <w:rPr>
          <w:i/>
          <w:iCs/>
        </w:rPr>
      </w:pPr>
      <w:r w:rsidRPr="005911E2">
        <w:rPr>
          <w:i/>
          <w:iCs/>
        </w:rPr>
        <w:t>They told me at Harvey Norman, Good Guys</w:t>
      </w:r>
      <w:r w:rsidR="00D9440A">
        <w:rPr>
          <w:i/>
          <w:iCs/>
        </w:rPr>
        <w:t>,</w:t>
      </w:r>
      <w:r w:rsidRPr="005911E2">
        <w:rPr>
          <w:i/>
          <w:iCs/>
        </w:rPr>
        <w:t xml:space="preserve"> and then JB Hi Fi told me I need to go to Centrelink and get them to make a cheque and then it takes 3 days for that cheque to get to the shop and that is difficult.</w:t>
      </w:r>
    </w:p>
    <w:p w:rsidR="00BD6DFD" w:rsidRPr="005911E2" w:rsidRDefault="00094A52" w:rsidP="00847CCC">
      <w:pPr>
        <w:pStyle w:val="mininame"/>
      </w:pPr>
      <w:r w:rsidRPr="005911E2">
        <w:t xml:space="preserve">Indigenous </w:t>
      </w:r>
      <w:r w:rsidR="00E010D1">
        <w:t>woman,</w:t>
      </w:r>
      <w:r w:rsidR="00BD6DFD" w:rsidRPr="005911E2">
        <w:t xml:space="preserve"> Darwin</w:t>
      </w:r>
    </w:p>
    <w:p w:rsidR="00BD6DFD" w:rsidRPr="005911E2" w:rsidRDefault="00BD6DFD" w:rsidP="00BD6DFD">
      <w:pPr>
        <w:keepNext/>
        <w:spacing w:after="120"/>
        <w:ind w:left="2325"/>
        <w:jc w:val="left"/>
        <w:rPr>
          <w:i/>
          <w:iCs/>
        </w:rPr>
      </w:pPr>
      <w:r w:rsidRPr="005911E2">
        <w:rPr>
          <w:i/>
          <w:iCs/>
        </w:rPr>
        <w:t>Makes it easier but some places don't take BasicsCard. Sometimes the BasicsCard lines go down it is a shame job, especially when I'm food shopping and I can't pay for the food. I don't find it a shame job being on BasicsCard but not knowing what is on your card is shame job when you can’t pay.</w:t>
      </w:r>
    </w:p>
    <w:p w:rsidR="00BD6DFD" w:rsidRPr="005911E2" w:rsidRDefault="00094A52" w:rsidP="00847CCC">
      <w:pPr>
        <w:pStyle w:val="mininame"/>
      </w:pPr>
      <w:r w:rsidRPr="005911E2">
        <w:t xml:space="preserve">Indigenous </w:t>
      </w:r>
      <w:r w:rsidR="00E010D1">
        <w:t>woman,</w:t>
      </w:r>
      <w:r w:rsidR="00BD6DFD" w:rsidRPr="005911E2">
        <w:t xml:space="preserve"> Darwin </w:t>
      </w:r>
    </w:p>
    <w:p w:rsidR="00BD6DFD" w:rsidRPr="005911E2" w:rsidRDefault="00BD6DFD" w:rsidP="00BD6DFD">
      <w:pPr>
        <w:rPr>
          <w:lang w:eastAsia="en-AU"/>
        </w:rPr>
      </w:pPr>
      <w:r w:rsidRPr="005911E2">
        <w:rPr>
          <w:lang w:eastAsia="en-AU"/>
        </w:rPr>
        <w:t xml:space="preserve">While it is the case that when the BasicsCard lines go down the entire EFTPOS system is unavailable and no electronic banking is possible, </w:t>
      </w:r>
      <w:r w:rsidR="00F878E4">
        <w:rPr>
          <w:lang w:eastAsia="en-AU"/>
        </w:rPr>
        <w:t>income management</w:t>
      </w:r>
      <w:r w:rsidRPr="005911E2">
        <w:rPr>
          <w:lang w:eastAsia="en-AU"/>
        </w:rPr>
        <w:t xml:space="preserve"> means that people have less ability to carry cash and hence do not have the cash alternative available to them to the same extent as they would if they were not subject to </w:t>
      </w:r>
      <w:r w:rsidR="00F878E4">
        <w:rPr>
          <w:lang w:eastAsia="en-AU"/>
        </w:rPr>
        <w:t>income management</w:t>
      </w:r>
      <w:r w:rsidRPr="005911E2">
        <w:rPr>
          <w:lang w:eastAsia="en-AU"/>
        </w:rPr>
        <w:t xml:space="preserve">. </w:t>
      </w:r>
    </w:p>
    <w:p w:rsidR="00BD6DFD" w:rsidRPr="005911E2" w:rsidRDefault="00BD6DFD" w:rsidP="007B4471">
      <w:pPr>
        <w:pStyle w:val="Heading4"/>
      </w:pPr>
      <w:r w:rsidRPr="005911E2">
        <w:t>Embarrassment and stigma associated with using the BasicsCard</w:t>
      </w:r>
    </w:p>
    <w:p w:rsidR="00BD6DFD" w:rsidRPr="005911E2" w:rsidRDefault="00BD6DFD" w:rsidP="00BD6DFD">
      <w:pPr>
        <w:tabs>
          <w:tab w:val="left" w:pos="1980"/>
        </w:tabs>
        <w:jc w:val="left"/>
        <w:rPr>
          <w:rFonts w:ascii="Times New Roman" w:hAnsi="Times New Roman"/>
          <w:sz w:val="24"/>
          <w:szCs w:val="24"/>
        </w:rPr>
      </w:pPr>
      <w:r w:rsidRPr="005911E2">
        <w:rPr>
          <w:lang w:eastAsia="en-AU"/>
        </w:rPr>
        <w:t>A common theme was the embarrassment and stigma associated with using the BasicsCard</w:t>
      </w:r>
      <w:r w:rsidRPr="005911E2">
        <w:rPr>
          <w:rFonts w:ascii="Times New Roman" w:hAnsi="Times New Roman"/>
          <w:sz w:val="24"/>
          <w:szCs w:val="24"/>
        </w:rPr>
        <w:t xml:space="preserve">. </w:t>
      </w:r>
      <w:r w:rsidRPr="005911E2">
        <w:t xml:space="preserve">Stigma was a strong theme from the qualitative interviews of people subject to </w:t>
      </w:r>
      <w:r w:rsidR="00F878E4">
        <w:t>income management</w:t>
      </w:r>
      <w:r w:rsidRPr="005911E2">
        <w:t>:</w:t>
      </w:r>
    </w:p>
    <w:p w:rsidR="00BD6DFD" w:rsidRPr="005911E2" w:rsidRDefault="00BD6DFD" w:rsidP="00BD6DFD">
      <w:pPr>
        <w:keepNext/>
        <w:spacing w:after="120"/>
        <w:ind w:left="2325"/>
        <w:jc w:val="left"/>
        <w:rPr>
          <w:i/>
          <w:iCs/>
        </w:rPr>
      </w:pPr>
      <w:r w:rsidRPr="005911E2">
        <w:rPr>
          <w:i/>
          <w:iCs/>
        </w:rPr>
        <w:t xml:space="preserve">I've explained to </w:t>
      </w:r>
      <w:r w:rsidR="00D9440A">
        <w:rPr>
          <w:i/>
          <w:iCs/>
        </w:rPr>
        <w:t>i</w:t>
      </w:r>
      <w:r w:rsidRPr="005911E2">
        <w:rPr>
          <w:i/>
          <w:iCs/>
        </w:rPr>
        <w:t xml:space="preserve">ncome </w:t>
      </w:r>
      <w:r w:rsidR="00D9440A">
        <w:rPr>
          <w:i/>
          <w:iCs/>
        </w:rPr>
        <w:t>m</w:t>
      </w:r>
      <w:r w:rsidRPr="005911E2">
        <w:rPr>
          <w:i/>
          <w:iCs/>
        </w:rPr>
        <w:t>anagement that when I want to take my kids out to dinner I have to get approval and then they send vouchers or a cheque to the place and that's embarrassing. I couldn't even spend it on my daughter for her birthday.</w:t>
      </w:r>
    </w:p>
    <w:p w:rsidR="00BD6DFD" w:rsidRPr="005911E2" w:rsidRDefault="00094A52" w:rsidP="00847CCC">
      <w:pPr>
        <w:pStyle w:val="mininame"/>
      </w:pPr>
      <w:r>
        <w:t xml:space="preserve">Indigenous </w:t>
      </w:r>
      <w:r w:rsidR="00E010D1">
        <w:t>woman,</w:t>
      </w:r>
      <w:r w:rsidR="00BD6DFD" w:rsidRPr="005911E2">
        <w:t xml:space="preserve"> Darwin</w:t>
      </w:r>
    </w:p>
    <w:p w:rsidR="00BD6DFD" w:rsidRPr="005911E2" w:rsidRDefault="00BD6DFD" w:rsidP="00BD6DFD">
      <w:pPr>
        <w:keepNext/>
        <w:spacing w:after="120"/>
        <w:ind w:left="2325"/>
        <w:jc w:val="left"/>
        <w:rPr>
          <w:i/>
          <w:iCs/>
        </w:rPr>
      </w:pPr>
      <w:r w:rsidRPr="005911E2">
        <w:rPr>
          <w:i/>
          <w:iCs/>
        </w:rPr>
        <w:t>Basically every time you wan</w:t>
      </w:r>
      <w:r w:rsidR="00A97BF6">
        <w:rPr>
          <w:i/>
          <w:iCs/>
        </w:rPr>
        <w:t>t to</w:t>
      </w:r>
      <w:r w:rsidRPr="005911E2">
        <w:rPr>
          <w:i/>
          <w:iCs/>
        </w:rPr>
        <w:t xml:space="preserve"> buy something you have to pull out this card and say </w:t>
      </w:r>
      <w:r w:rsidR="002C4832">
        <w:rPr>
          <w:i/>
          <w:iCs/>
        </w:rPr>
        <w:t>‘</w:t>
      </w:r>
      <w:r w:rsidRPr="005911E2">
        <w:rPr>
          <w:i/>
          <w:iCs/>
        </w:rPr>
        <w:t>hi I am on the dole people</w:t>
      </w:r>
      <w:r w:rsidR="002C4832">
        <w:rPr>
          <w:i/>
          <w:iCs/>
        </w:rPr>
        <w:t>’</w:t>
      </w:r>
      <w:r w:rsidRPr="005911E2">
        <w:rPr>
          <w:i/>
          <w:iCs/>
        </w:rPr>
        <w:t xml:space="preserve"> and some places don't know about the card and it's embarrassing if the government say I have to be on it but yet gives you a chance to get off it. I can only use this card at limited shops and stores if I need fuel and a shop doesn’t accept the card I got a drive around on an empty tank till I find somewhere that accept it.</w:t>
      </w:r>
    </w:p>
    <w:p w:rsidR="00BD6DFD" w:rsidRPr="005911E2" w:rsidRDefault="00AC72FE" w:rsidP="00847CCC">
      <w:pPr>
        <w:pStyle w:val="mininame"/>
      </w:pPr>
      <w:r>
        <w:t xml:space="preserve">Non-Indigenous </w:t>
      </w:r>
      <w:r w:rsidR="00E010D1">
        <w:t>man,</w:t>
      </w:r>
      <w:r>
        <w:t xml:space="preserve"> </w:t>
      </w:r>
      <w:r w:rsidR="00BD6DFD" w:rsidRPr="005911E2">
        <w:t>Darwin</w:t>
      </w:r>
    </w:p>
    <w:p w:rsidR="00BD6DFD" w:rsidRPr="005911E2" w:rsidRDefault="00BD6DFD" w:rsidP="00BD6DFD">
      <w:pPr>
        <w:rPr>
          <w:lang w:eastAsia="en-AU"/>
        </w:rPr>
      </w:pPr>
      <w:r w:rsidRPr="005911E2">
        <w:rPr>
          <w:lang w:eastAsia="en-AU"/>
        </w:rPr>
        <w:t xml:space="preserve">Centrelink staff who took part in the qualitative study also observed that many clients found the BasicsCard as being embarrassing and stigmatising. </w:t>
      </w:r>
    </w:p>
    <w:p w:rsidR="00BD6DFD" w:rsidRPr="005911E2" w:rsidRDefault="00BD6DFD" w:rsidP="00BD6DFD">
      <w:pPr>
        <w:rPr>
          <w:lang w:eastAsia="en-AU"/>
        </w:rPr>
      </w:pPr>
      <w:r w:rsidRPr="005911E2">
        <w:rPr>
          <w:lang w:eastAsia="en-AU"/>
        </w:rPr>
        <w:t>This was to some extent exacerbated by the fact that the card was easily identifiable due to its distinctive colour.</w:t>
      </w:r>
    </w:p>
    <w:p w:rsidR="00BD6DFD" w:rsidRPr="005911E2" w:rsidRDefault="00BD6DFD" w:rsidP="00BD6DFD">
      <w:pPr>
        <w:keepNext/>
        <w:spacing w:after="120"/>
        <w:ind w:left="2325"/>
        <w:jc w:val="left"/>
        <w:rPr>
          <w:i/>
          <w:iCs/>
        </w:rPr>
      </w:pPr>
      <w:r w:rsidRPr="005911E2">
        <w:rPr>
          <w:i/>
          <w:iCs/>
        </w:rPr>
        <w:t>There’s still that negativity about it, though, it’s the stigma of being on income management and pulling out your BasicsCard at the shops. That’s what they’re embarrassed about…This one customer said that it’s the green - the colour of the card that stands out and everyone knows. I suppose because it’s not a regular colour of a key card maybe, I don’t know, but pulling out the green card and everyone goes oh, she’s got the BasicsCard sort of thing and they get embarrassed about that.</w:t>
      </w:r>
    </w:p>
    <w:p w:rsidR="00BD6DFD" w:rsidRPr="005911E2" w:rsidRDefault="00BD6DFD" w:rsidP="00847CCC">
      <w:pPr>
        <w:pStyle w:val="mininame"/>
      </w:pPr>
      <w:r w:rsidRPr="005911E2">
        <w:t xml:space="preserve">Centrelink </w:t>
      </w:r>
      <w:r w:rsidR="00D9440A" w:rsidRPr="005911E2">
        <w:t>Custome</w:t>
      </w:r>
      <w:r w:rsidR="00B450CA">
        <w:t>r Service Advise</w:t>
      </w:r>
      <w:r w:rsidR="00D9440A" w:rsidRPr="005911E2">
        <w:t>r</w:t>
      </w:r>
    </w:p>
    <w:p w:rsidR="00BD6DFD" w:rsidRPr="005911E2" w:rsidRDefault="00BD6DFD" w:rsidP="00BD6DFD">
      <w:pPr>
        <w:rPr>
          <w:lang w:eastAsia="en-AU"/>
        </w:rPr>
      </w:pPr>
      <w:r w:rsidRPr="005911E2">
        <w:rPr>
          <w:lang w:eastAsia="en-AU"/>
        </w:rPr>
        <w:t xml:space="preserve">There were also reports of people being singled out by shop assistants when they were shopping with their BasicsCard for their choices. </w:t>
      </w:r>
    </w:p>
    <w:p w:rsidR="00BD6DFD" w:rsidRPr="005911E2" w:rsidRDefault="00BD6DFD" w:rsidP="00BD6DFD">
      <w:pPr>
        <w:keepNext/>
        <w:spacing w:after="120"/>
        <w:ind w:left="2325"/>
        <w:jc w:val="left"/>
        <w:rPr>
          <w:i/>
          <w:iCs/>
        </w:rPr>
      </w:pPr>
      <w:r w:rsidRPr="005911E2">
        <w:rPr>
          <w:i/>
          <w:iCs/>
        </w:rPr>
        <w:t xml:space="preserve">When it came out, well actually even when the store cards came out we had incidences in the supermarkets where the </w:t>
      </w:r>
      <w:r w:rsidR="00A97BF6" w:rsidRPr="005911E2">
        <w:rPr>
          <w:i/>
          <w:iCs/>
        </w:rPr>
        <w:t>checkout</w:t>
      </w:r>
      <w:r w:rsidRPr="005911E2">
        <w:rPr>
          <w:i/>
          <w:iCs/>
        </w:rPr>
        <w:t xml:space="preserve"> chick would tell the customer, no, oh well you are on that card, you can't have that steak. You go and get that other steak, that cheaper one. You are wasting your money.</w:t>
      </w:r>
    </w:p>
    <w:p w:rsidR="00BD6DFD" w:rsidRPr="005911E2" w:rsidRDefault="00BD6DFD" w:rsidP="00847CCC">
      <w:pPr>
        <w:pStyle w:val="mininame"/>
      </w:pPr>
      <w:r w:rsidRPr="005911E2">
        <w:t xml:space="preserve">Centrelink </w:t>
      </w:r>
      <w:r w:rsidR="00B450CA">
        <w:t>Customer Service Advise</w:t>
      </w:r>
      <w:r w:rsidR="00D9440A" w:rsidRPr="005911E2">
        <w:t>r</w:t>
      </w:r>
    </w:p>
    <w:p w:rsidR="00BD6DFD" w:rsidRPr="005911E2" w:rsidRDefault="00BD6DFD" w:rsidP="00BD6DFD">
      <w:pPr>
        <w:rPr>
          <w:lang w:eastAsia="en-AU"/>
        </w:rPr>
      </w:pPr>
      <w:r w:rsidRPr="005911E2">
        <w:rPr>
          <w:lang w:eastAsia="en-AU"/>
        </w:rPr>
        <w:t xml:space="preserve">Interestingly this also emerged as a theme in the survey of merchants with a small number of survey participants referring to the choices made by customers in their stores as </w:t>
      </w:r>
      <w:r w:rsidR="002C4832">
        <w:rPr>
          <w:lang w:eastAsia="en-AU"/>
        </w:rPr>
        <w:t>‘</w:t>
      </w:r>
      <w:r w:rsidRPr="005911E2">
        <w:rPr>
          <w:lang w:eastAsia="en-AU"/>
        </w:rPr>
        <w:t>inappropriate</w:t>
      </w:r>
      <w:r w:rsidR="002C4832">
        <w:rPr>
          <w:lang w:eastAsia="en-AU"/>
        </w:rPr>
        <w:t>’</w:t>
      </w:r>
      <w:r w:rsidRPr="005911E2">
        <w:rPr>
          <w:lang w:eastAsia="en-AU"/>
        </w:rPr>
        <w:t xml:space="preserve"> – such as buying toys for children - even though they did not fall within the list of excluded items.</w:t>
      </w:r>
    </w:p>
    <w:p w:rsidR="00BD6DFD" w:rsidRPr="005911E2" w:rsidRDefault="00BD6DFD" w:rsidP="00BD6DFD">
      <w:pPr>
        <w:rPr>
          <w:lang w:eastAsia="en-AU"/>
        </w:rPr>
      </w:pPr>
      <w:r w:rsidRPr="005911E2">
        <w:rPr>
          <w:lang w:eastAsia="en-AU"/>
        </w:rPr>
        <w:t>The BasicsCard was frequently seen as stigmatising because it identified people as being deficient.</w:t>
      </w:r>
    </w:p>
    <w:p w:rsidR="00BD6DFD" w:rsidRPr="005911E2" w:rsidRDefault="00BD6DFD" w:rsidP="00BD6DFD">
      <w:pPr>
        <w:keepNext/>
        <w:spacing w:after="120"/>
        <w:ind w:left="2325"/>
        <w:jc w:val="left"/>
        <w:rPr>
          <w:i/>
          <w:iCs/>
        </w:rPr>
      </w:pPr>
      <w:r w:rsidRPr="005911E2">
        <w:rPr>
          <w:i/>
          <w:iCs/>
        </w:rPr>
        <w:t>I think there's just the stigma attached to a BasicsCard in some way does because people have had problems with using their basics. Especially because when it was first to certain areas,</w:t>
      </w:r>
      <w:r w:rsidR="00892C83">
        <w:rPr>
          <w:i/>
          <w:iCs/>
        </w:rPr>
        <w:t xml:space="preserve"> </w:t>
      </w:r>
      <w:r w:rsidRPr="005911E2">
        <w:rPr>
          <w:i/>
          <w:iCs/>
        </w:rPr>
        <w:t>that it was like shame, that you're being told you can't manage your money. That's what some people say; you say I can't manage my money so I get given this card.</w:t>
      </w:r>
    </w:p>
    <w:p w:rsidR="00BD6DFD" w:rsidRPr="005911E2" w:rsidRDefault="00BD6DFD" w:rsidP="00847CCC">
      <w:pPr>
        <w:pStyle w:val="mininame"/>
        <w:rPr>
          <w:lang w:eastAsia="en-AU"/>
        </w:rPr>
      </w:pPr>
      <w:r w:rsidRPr="005911E2">
        <w:rPr>
          <w:lang w:eastAsia="en-AU"/>
        </w:rPr>
        <w:t>Money management worker</w:t>
      </w:r>
    </w:p>
    <w:p w:rsidR="00E81107" w:rsidRPr="00077699" w:rsidRDefault="00901A4F" w:rsidP="00077699">
      <w:pPr>
        <w:pStyle w:val="BodyText"/>
      </w:pPr>
      <w:r w:rsidRPr="00077699">
        <w:t>Similarly, service providers participating in the stakeholder consultations reported that single mothers believed that the BasicsCard identified them as bad mothers and some would shop in a suburb away from their homes to try and avoid being seen using it.</w:t>
      </w:r>
    </w:p>
    <w:p w:rsidR="00BD6DFD" w:rsidRPr="005911E2" w:rsidRDefault="00BD6DFD" w:rsidP="00616B0F">
      <w:pPr>
        <w:pStyle w:val="Heading2"/>
      </w:pPr>
      <w:bookmarkStart w:id="560" w:name="_Toc321225129"/>
      <w:bookmarkStart w:id="561" w:name="_Toc321254472"/>
      <w:bookmarkStart w:id="562" w:name="_Toc328601496"/>
      <w:bookmarkStart w:id="563" w:name="_Toc329870378"/>
      <w:bookmarkStart w:id="564" w:name="_Toc335915764"/>
      <w:r w:rsidRPr="005911E2">
        <w:t xml:space="preserve">Overall views of those subject to </w:t>
      </w:r>
      <w:bookmarkEnd w:id="560"/>
      <w:bookmarkEnd w:id="561"/>
      <w:r w:rsidR="00F878E4">
        <w:t>income management</w:t>
      </w:r>
      <w:bookmarkEnd w:id="562"/>
      <w:bookmarkEnd w:id="563"/>
      <w:bookmarkEnd w:id="564"/>
    </w:p>
    <w:p w:rsidR="00BD6DFD" w:rsidRPr="005911E2" w:rsidRDefault="00BD6DFD" w:rsidP="00BD6DFD">
      <w:pPr>
        <w:rPr>
          <w:lang w:eastAsia="en-AU"/>
        </w:rPr>
      </w:pPr>
      <w:r w:rsidRPr="005911E2">
        <w:rPr>
          <w:lang w:eastAsia="en-AU"/>
        </w:rPr>
        <w:t xml:space="preserve">The views of those subject to </w:t>
      </w:r>
      <w:r w:rsidR="00F878E4">
        <w:rPr>
          <w:lang w:eastAsia="en-AU"/>
        </w:rPr>
        <w:t>income management</w:t>
      </w:r>
      <w:r w:rsidRPr="005911E2">
        <w:rPr>
          <w:lang w:eastAsia="en-AU"/>
        </w:rPr>
        <w:t xml:space="preserve"> about the BasicsCard are divided. Those who were positive about the card believed that it reduced financial harassment and helped them manage their funds. </w:t>
      </w:r>
    </w:p>
    <w:p w:rsidR="00BD6DFD" w:rsidRPr="005911E2" w:rsidRDefault="00BD6DFD" w:rsidP="00BD6DFD">
      <w:pPr>
        <w:keepNext/>
        <w:spacing w:after="120"/>
        <w:ind w:left="2325"/>
        <w:jc w:val="left"/>
        <w:rPr>
          <w:i/>
          <w:iCs/>
        </w:rPr>
      </w:pPr>
      <w:r w:rsidRPr="005911E2">
        <w:rPr>
          <w:i/>
          <w:iCs/>
        </w:rPr>
        <w:t>It’s a good thing - I mean it's a bad thing when you want to buy piss. They've taken me off that income management because I'm working. But I would have liked the choice to put $100 on my BasicsCard. I'd like to be able to keep the BasicsCard like a bank card (debit card) except I can't access cash from it (doesn't want to access cash from it). That's what's helped me. I’m down to about $20 a fortnight in that now. I still have the BasicsCard not totally off income management but yeah I’d like to keep that BasicsCard.</w:t>
      </w:r>
    </w:p>
    <w:p w:rsidR="00BD6DFD" w:rsidRPr="005911E2" w:rsidRDefault="00AC72FE" w:rsidP="00847CCC">
      <w:pPr>
        <w:pStyle w:val="mininame"/>
      </w:pPr>
      <w:r>
        <w:t xml:space="preserve">Indigenous </w:t>
      </w:r>
      <w:r w:rsidR="00E010D1">
        <w:t>man,</w:t>
      </w:r>
      <w:r>
        <w:t xml:space="preserve"> </w:t>
      </w:r>
      <w:r w:rsidR="00BD6DFD" w:rsidRPr="005911E2">
        <w:t>Darwin</w:t>
      </w:r>
    </w:p>
    <w:p w:rsidR="00BD6DFD" w:rsidRPr="005911E2" w:rsidRDefault="00BD6DFD" w:rsidP="00BD6DFD">
      <w:pPr>
        <w:rPr>
          <w:lang w:eastAsia="en-AU"/>
        </w:rPr>
      </w:pPr>
      <w:r w:rsidRPr="005911E2">
        <w:rPr>
          <w:lang w:eastAsia="en-AU"/>
        </w:rPr>
        <w:t xml:space="preserve">The mixed and ambivalent responses to the BasicsCard and </w:t>
      </w:r>
      <w:r w:rsidR="00F878E4">
        <w:rPr>
          <w:lang w:eastAsia="en-AU"/>
        </w:rPr>
        <w:t>income management</w:t>
      </w:r>
      <w:r w:rsidRPr="005911E2">
        <w:rPr>
          <w:lang w:eastAsia="en-AU"/>
        </w:rPr>
        <w:t xml:space="preserve"> are illustrated by the experiences of these two Indigenous women in Darwin:</w:t>
      </w:r>
    </w:p>
    <w:p w:rsidR="00D96A58" w:rsidRDefault="00BD6DFD" w:rsidP="002955BA">
      <w:pPr>
        <w:spacing w:after="120"/>
        <w:ind w:left="2325"/>
        <w:jc w:val="left"/>
        <w:rPr>
          <w:i/>
          <w:iCs/>
        </w:rPr>
      </w:pPr>
      <w:r w:rsidRPr="005911E2">
        <w:rPr>
          <w:i/>
          <w:iCs/>
        </w:rPr>
        <w:t>One thing I find is your depression and other added stresses from it (</w:t>
      </w:r>
      <w:r w:rsidR="00F878E4">
        <w:rPr>
          <w:i/>
          <w:iCs/>
        </w:rPr>
        <w:t>income management</w:t>
      </w:r>
      <w:r w:rsidRPr="005911E2">
        <w:rPr>
          <w:i/>
          <w:iCs/>
        </w:rPr>
        <w:t xml:space="preserve">). It is making it harder and stressed when not being able to get to funerals causing depression from not having closure. My second family is like my brothers and sisters and mothers and uncles and Aunties. The women are having the card so there is always food so it doesn't matter when men are taking the cash. I don't know why they are smoking gunja though - it causes schizophrenia. If my little brothers and sisters won't go to school I’m making sure they have </w:t>
      </w:r>
      <w:r w:rsidR="00F878E4">
        <w:rPr>
          <w:i/>
          <w:iCs/>
        </w:rPr>
        <w:t>income management</w:t>
      </w:r>
      <w:r w:rsidRPr="005911E2">
        <w:rPr>
          <w:i/>
          <w:iCs/>
        </w:rPr>
        <w:t xml:space="preserve"> </w:t>
      </w:r>
      <w:r w:rsidR="00A97BF6" w:rsidRPr="005911E2">
        <w:rPr>
          <w:i/>
          <w:iCs/>
        </w:rPr>
        <w:t>because</w:t>
      </w:r>
      <w:r w:rsidRPr="005911E2">
        <w:rPr>
          <w:i/>
          <w:iCs/>
        </w:rPr>
        <w:t xml:space="preserve"> they can't live off me, I have 4 kids to look after. I like to have a drink every now and then but I pay for my food and things first. I think that income management is good and the kids are healthier and they are being fed a lot more. The kids are allowed to go to the shops with the BasicsCard and get what they want. If they have the money they will just spend it on grog.</w:t>
      </w:r>
    </w:p>
    <w:p w:rsidR="00BD6DFD" w:rsidRPr="005911E2" w:rsidRDefault="00BD6DFD" w:rsidP="00077699">
      <w:pPr>
        <w:keepNext/>
        <w:spacing w:after="120"/>
        <w:ind w:left="2325"/>
        <w:jc w:val="left"/>
        <w:rPr>
          <w:i/>
          <w:iCs/>
        </w:rPr>
      </w:pPr>
      <w:r w:rsidRPr="005911E2">
        <w:rPr>
          <w:i/>
          <w:iCs/>
        </w:rPr>
        <w:t xml:space="preserve">Before </w:t>
      </w:r>
      <w:r w:rsidR="00CE0D66">
        <w:rPr>
          <w:i/>
          <w:iCs/>
        </w:rPr>
        <w:t>i</w:t>
      </w:r>
      <w:r w:rsidRPr="005911E2">
        <w:rPr>
          <w:i/>
          <w:iCs/>
        </w:rPr>
        <w:t xml:space="preserve">ncome </w:t>
      </w:r>
      <w:r w:rsidR="00CE0D66">
        <w:rPr>
          <w:i/>
          <w:iCs/>
        </w:rPr>
        <w:t>m</w:t>
      </w:r>
      <w:r w:rsidRPr="005911E2">
        <w:rPr>
          <w:i/>
          <w:iCs/>
        </w:rPr>
        <w:t xml:space="preserve">anagement I had Centrepay. Once everything was done that money left was pocket money and going out money for me. When they put me on </w:t>
      </w:r>
      <w:r w:rsidR="00F878E4">
        <w:rPr>
          <w:i/>
          <w:iCs/>
        </w:rPr>
        <w:t>income management</w:t>
      </w:r>
      <w:r w:rsidRPr="005911E2">
        <w:rPr>
          <w:i/>
          <w:iCs/>
        </w:rPr>
        <w:t xml:space="preserve"> I laughed. I would use to like to go to the cinema and get dressed up and go to the restaurants and teach my girls how to eat and be at all different places. Coles says we can't buy </w:t>
      </w:r>
      <w:r w:rsidR="00CE0D66">
        <w:rPr>
          <w:i/>
          <w:iCs/>
        </w:rPr>
        <w:t>v</w:t>
      </w:r>
      <w:r w:rsidRPr="005911E2">
        <w:rPr>
          <w:i/>
          <w:iCs/>
        </w:rPr>
        <w:t>ouchers with BasicsCards they wouldn't let me take my kids to the Cinema cause I wasn't allowed to buy gift cards. I sent my girls to Broome when I was in Queensland and they had no money so I bought the gift cards to give my girls toiletries and food. When I came back to NT I couldn’t buy a gift card for my children and help them like I used to.</w:t>
      </w:r>
    </w:p>
    <w:p w:rsidR="00BD6DFD" w:rsidRPr="005911E2" w:rsidRDefault="00AC72FE" w:rsidP="00847CCC">
      <w:pPr>
        <w:pStyle w:val="mininame"/>
      </w:pPr>
      <w:r>
        <w:t xml:space="preserve">Indigenous </w:t>
      </w:r>
      <w:r w:rsidR="00E010D1">
        <w:t>woman,</w:t>
      </w:r>
      <w:r>
        <w:t xml:space="preserve"> Darwin</w:t>
      </w:r>
    </w:p>
    <w:p w:rsidR="00BD6DFD" w:rsidRPr="005911E2" w:rsidRDefault="00BD6DFD" w:rsidP="00BD6DFD">
      <w:pPr>
        <w:keepNext/>
        <w:spacing w:after="120"/>
        <w:ind w:left="2325"/>
        <w:jc w:val="left"/>
        <w:rPr>
          <w:i/>
          <w:iCs/>
        </w:rPr>
      </w:pPr>
      <w:r w:rsidRPr="005911E2">
        <w:rPr>
          <w:i/>
          <w:iCs/>
        </w:rPr>
        <w:t>I have mixed feelings about it (</w:t>
      </w:r>
      <w:r w:rsidR="00F878E4">
        <w:rPr>
          <w:i/>
          <w:iCs/>
        </w:rPr>
        <w:t>income management</w:t>
      </w:r>
      <w:r w:rsidRPr="005911E2">
        <w:rPr>
          <w:i/>
          <w:iCs/>
        </w:rPr>
        <w:t>). I don't feel that I need to be on income management but sometimes it is ok. It takes so long to call the call centre. The father of my oldest child is not paying maintenance. I have had a suspension of my Centrelink payment due to unmatched data. They said I received too much child support which was wrong. The kids are up at the shops spending the BasicsCard on crap. They try to trade their BasicsCard for cash, or buy things they can trade for cash.</w:t>
      </w:r>
      <w:r w:rsidR="00B62B2D">
        <w:rPr>
          <w:i/>
          <w:iCs/>
        </w:rPr>
        <w:t xml:space="preserve"> </w:t>
      </w:r>
      <w:r w:rsidRPr="005911E2">
        <w:rPr>
          <w:i/>
          <w:iCs/>
        </w:rPr>
        <w:t>People also go fishing more now so they don't have to spend money. It’s really embarrassing people. Know my way of life and with the BasicsCard I can't get in paying bills and lot of places don't take it. The way they applied it hasn't exactly worked for all people. They got to remember not everyone is dysfunctional.</w:t>
      </w:r>
    </w:p>
    <w:p w:rsidR="00BD6DFD" w:rsidRPr="005911E2" w:rsidRDefault="00AC72FE" w:rsidP="00847CCC">
      <w:pPr>
        <w:pStyle w:val="mininame"/>
      </w:pPr>
      <w:r>
        <w:t xml:space="preserve">Indigenous </w:t>
      </w:r>
      <w:r w:rsidR="00E010D1">
        <w:t>woman,</w:t>
      </w:r>
      <w:r>
        <w:t xml:space="preserve"> Darwin</w:t>
      </w:r>
    </w:p>
    <w:p w:rsidR="00BD6DFD" w:rsidRPr="005911E2" w:rsidRDefault="00BD6DFD" w:rsidP="00616B0F">
      <w:pPr>
        <w:pStyle w:val="Heading2"/>
        <w:rPr>
          <w:sz w:val="20"/>
        </w:rPr>
      </w:pPr>
      <w:bookmarkStart w:id="565" w:name="_Toc321225130"/>
      <w:bookmarkStart w:id="566" w:name="_Toc321254473"/>
      <w:bookmarkStart w:id="567" w:name="_Toc328601497"/>
      <w:bookmarkStart w:id="568" w:name="_Toc329870379"/>
      <w:bookmarkStart w:id="569" w:name="_Toc335915765"/>
      <w:r w:rsidRPr="005911E2">
        <w:t>Conclusion</w:t>
      </w:r>
      <w:bookmarkEnd w:id="565"/>
      <w:bookmarkEnd w:id="566"/>
      <w:bookmarkEnd w:id="567"/>
      <w:bookmarkEnd w:id="568"/>
      <w:bookmarkEnd w:id="569"/>
    </w:p>
    <w:p w:rsidR="00BD6DFD" w:rsidRPr="005911E2" w:rsidRDefault="00BD6DFD" w:rsidP="00BD6DFD">
      <w:pPr>
        <w:rPr>
          <w:lang w:eastAsia="en-AU"/>
        </w:rPr>
      </w:pPr>
      <w:r w:rsidRPr="005911E2">
        <w:rPr>
          <w:lang w:eastAsia="en-AU"/>
        </w:rPr>
        <w:t xml:space="preserve">There are mixed views about the BasicsCard amongst those subject to </w:t>
      </w:r>
      <w:r w:rsidR="00F878E4">
        <w:rPr>
          <w:lang w:eastAsia="en-AU"/>
        </w:rPr>
        <w:t>income management</w:t>
      </w:r>
      <w:r w:rsidRPr="005911E2">
        <w:rPr>
          <w:lang w:eastAsia="en-AU"/>
        </w:rPr>
        <w:t>. While many valued the BasicsCard, it was also experienced as being stigmatising, unfair and very restrictive by many people. Positive aspects of the BasicsCard include the fact that it provides transaction free banking, that it provides a safe ‘kitty’</w:t>
      </w:r>
      <w:r w:rsidR="00CE0D66">
        <w:rPr>
          <w:lang w:eastAsia="en-AU"/>
        </w:rPr>
        <w:t>,</w:t>
      </w:r>
      <w:r w:rsidRPr="005911E2">
        <w:rPr>
          <w:lang w:eastAsia="en-AU"/>
        </w:rPr>
        <w:t xml:space="preserve"> and ensures money is available for food. The card is seen as safer than cash. The ability to set daily limits as a way of managing money or protecting against financial harassment is valued by some. While </w:t>
      </w:r>
      <w:r w:rsidR="00CE0D66">
        <w:rPr>
          <w:lang w:eastAsia="en-AU"/>
        </w:rPr>
        <w:t xml:space="preserve">the </w:t>
      </w:r>
      <w:r w:rsidRPr="005911E2">
        <w:rPr>
          <w:lang w:eastAsia="en-AU"/>
        </w:rPr>
        <w:t>BasicsCard can provide some protection against financial harassment, it is not a panacea as people can find their way around the lack of cash.</w:t>
      </w:r>
    </w:p>
    <w:p w:rsidR="00BD6DFD" w:rsidRPr="005911E2" w:rsidRDefault="00BD6DFD" w:rsidP="00BD6DFD">
      <w:pPr>
        <w:rPr>
          <w:lang w:eastAsia="en-AU"/>
        </w:rPr>
      </w:pPr>
      <w:r w:rsidRPr="005911E2">
        <w:rPr>
          <w:lang w:eastAsia="en-AU"/>
        </w:rPr>
        <w:t>There is some evidence (from Centrelink staff) that some people go on Voluntary Income Management in order to get a BasicsCard.</w:t>
      </w:r>
    </w:p>
    <w:p w:rsidR="00BD6DFD" w:rsidRPr="005911E2" w:rsidRDefault="00BD6DFD" w:rsidP="00BD6DFD">
      <w:pPr>
        <w:rPr>
          <w:lang w:eastAsia="en-AU"/>
        </w:rPr>
      </w:pPr>
      <w:r w:rsidRPr="005911E2">
        <w:rPr>
          <w:lang w:eastAsia="en-AU"/>
        </w:rPr>
        <w:t xml:space="preserve">While in a technical sense the BasicsCard generally works well, there were some practical problems in its use. These issues are similar to those identified in various reports on </w:t>
      </w:r>
      <w:r w:rsidR="00F878E4">
        <w:rPr>
          <w:lang w:eastAsia="en-AU"/>
        </w:rPr>
        <w:t>income management</w:t>
      </w:r>
      <w:r w:rsidRPr="005911E2">
        <w:rPr>
          <w:lang w:eastAsia="en-AU"/>
        </w:rPr>
        <w:t xml:space="preserve"> in the</w:t>
      </w:r>
      <w:r w:rsidR="006435C8">
        <w:rPr>
          <w:lang w:eastAsia="en-AU"/>
        </w:rPr>
        <w:t xml:space="preserve"> Northern Territory </w:t>
      </w:r>
      <w:r w:rsidRPr="005911E2">
        <w:rPr>
          <w:lang w:eastAsia="en-AU"/>
        </w:rPr>
        <w:t>and the NTER more broadly.</w:t>
      </w:r>
    </w:p>
    <w:p w:rsidR="00BD6DFD" w:rsidRPr="005911E2" w:rsidRDefault="00BD6DFD" w:rsidP="00BD6DFD">
      <w:pPr>
        <w:rPr>
          <w:lang w:eastAsia="en-AU"/>
        </w:rPr>
      </w:pPr>
      <w:r w:rsidRPr="005911E2">
        <w:rPr>
          <w:lang w:eastAsia="en-AU"/>
        </w:rPr>
        <w:t>The key practical problems are:</w:t>
      </w:r>
    </w:p>
    <w:p w:rsidR="00BD6DFD" w:rsidRPr="005911E2" w:rsidRDefault="00CE0D66" w:rsidP="00051CDC">
      <w:pPr>
        <w:pStyle w:val="ListBullet"/>
      </w:pPr>
      <w:r>
        <w:t>n</w:t>
      </w:r>
      <w:r w:rsidR="00BD6DFD" w:rsidRPr="005911E2">
        <w:t>ot all merchants in the</w:t>
      </w:r>
      <w:r w:rsidR="006435C8">
        <w:t xml:space="preserve"> Northern Territory </w:t>
      </w:r>
      <w:r w:rsidR="00BD6DFD" w:rsidRPr="005911E2">
        <w:t>accept the BasicsCard, which limits shopping choices, particularly with smaller merchants. This was particularly problematic for buying things second hand and from markets</w:t>
      </w:r>
    </w:p>
    <w:p w:rsidR="00BD6DFD" w:rsidRPr="005911E2" w:rsidRDefault="00CE0D66" w:rsidP="00051CDC">
      <w:pPr>
        <w:pStyle w:val="ListBullet"/>
      </w:pPr>
      <w:r>
        <w:t>i</w:t>
      </w:r>
      <w:r w:rsidR="00BD6DFD" w:rsidRPr="005911E2">
        <w:t xml:space="preserve">n remote areas there are telecommunications costs associated with checking </w:t>
      </w:r>
      <w:r>
        <w:t xml:space="preserve">the </w:t>
      </w:r>
      <w:r w:rsidR="00BD6DFD" w:rsidRPr="005911E2">
        <w:t>BasicsCard balance, but these are almost certainly less than the costs associated with commercial banks</w:t>
      </w:r>
    </w:p>
    <w:p w:rsidR="00BD6DFD" w:rsidRPr="005911E2" w:rsidRDefault="00CE0D66" w:rsidP="00051CDC">
      <w:pPr>
        <w:pStyle w:val="ListBullet"/>
      </w:pPr>
      <w:r>
        <w:t>c</w:t>
      </w:r>
      <w:r w:rsidR="00BD6DFD" w:rsidRPr="005911E2">
        <w:t>hecking BasicsCard balances can be difficult, particularly in remote areas as there are fewer options (such as kiosks and Centrelink offices) available</w:t>
      </w:r>
    </w:p>
    <w:p w:rsidR="00BD6DFD" w:rsidRPr="005911E2" w:rsidRDefault="00CE0D66" w:rsidP="00051CDC">
      <w:pPr>
        <w:pStyle w:val="ListBullet"/>
      </w:pPr>
      <w:r>
        <w:t>s</w:t>
      </w:r>
      <w:r w:rsidR="00BD6DFD" w:rsidRPr="005911E2">
        <w:t xml:space="preserve">ome clients expressed frustration at the length of time they had to wait to talk to a call centre operative, and the quality of advice received about their BasicsCard and </w:t>
      </w:r>
      <w:r w:rsidR="00F878E4">
        <w:t>income management</w:t>
      </w:r>
      <w:r w:rsidR="00BD6DFD" w:rsidRPr="005911E2">
        <w:t xml:space="preserve"> more broadly.</w:t>
      </w:r>
    </w:p>
    <w:p w:rsidR="00BD6DFD" w:rsidRPr="005911E2" w:rsidRDefault="00BD6DFD" w:rsidP="00BD6DFD">
      <w:pPr>
        <w:rPr>
          <w:lang w:eastAsia="en-AU"/>
        </w:rPr>
      </w:pPr>
      <w:r w:rsidRPr="005911E2">
        <w:rPr>
          <w:lang w:eastAsia="en-AU"/>
        </w:rPr>
        <w:t xml:space="preserve">Some of those subject to </w:t>
      </w:r>
      <w:r w:rsidR="00F878E4">
        <w:rPr>
          <w:lang w:eastAsia="en-AU"/>
        </w:rPr>
        <w:t>income management</w:t>
      </w:r>
      <w:r w:rsidRPr="005911E2">
        <w:rPr>
          <w:lang w:eastAsia="en-AU"/>
        </w:rPr>
        <w:t xml:space="preserve"> reported that it made travelling interstate more difficult or required more planning prior to going, although clearly many people subject to </w:t>
      </w:r>
      <w:r w:rsidR="00F878E4">
        <w:rPr>
          <w:lang w:eastAsia="en-AU"/>
        </w:rPr>
        <w:t>income management</w:t>
      </w:r>
      <w:r w:rsidRPr="005911E2">
        <w:rPr>
          <w:lang w:eastAsia="en-AU"/>
        </w:rPr>
        <w:t xml:space="preserve"> do travel. As will be reported in Chapter 10, data from the </w:t>
      </w:r>
      <w:r w:rsidR="004D71D4">
        <w:rPr>
          <w:lang w:eastAsia="en-AU"/>
        </w:rPr>
        <w:t xml:space="preserve">longitudinal </w:t>
      </w:r>
      <w:r w:rsidR="005B4122">
        <w:rPr>
          <w:lang w:eastAsia="en-AU"/>
        </w:rPr>
        <w:t>survey</w:t>
      </w:r>
      <w:r w:rsidRPr="005911E2">
        <w:rPr>
          <w:lang w:eastAsia="en-AU"/>
        </w:rPr>
        <w:t xml:space="preserve"> reveals that some people find being on </w:t>
      </w:r>
      <w:r w:rsidR="00F878E4">
        <w:rPr>
          <w:lang w:eastAsia="en-AU"/>
        </w:rPr>
        <w:t>income management</w:t>
      </w:r>
      <w:r w:rsidRPr="005911E2">
        <w:rPr>
          <w:lang w:eastAsia="en-AU"/>
        </w:rPr>
        <w:t xml:space="preserve"> made it easier to travel interstate.</w:t>
      </w:r>
    </w:p>
    <w:p w:rsidR="00BD6DFD" w:rsidRPr="005911E2" w:rsidRDefault="00BD6DFD" w:rsidP="00BD6DFD">
      <w:pPr>
        <w:rPr>
          <w:lang w:eastAsia="en-AU"/>
        </w:rPr>
      </w:pPr>
      <w:r w:rsidRPr="005911E2">
        <w:rPr>
          <w:lang w:eastAsia="en-AU"/>
        </w:rPr>
        <w:t xml:space="preserve">The assessment of peoples’ financial needs appears to play a significant role in how </w:t>
      </w:r>
      <w:r w:rsidR="00F878E4">
        <w:rPr>
          <w:lang w:eastAsia="en-AU"/>
        </w:rPr>
        <w:t>income management</w:t>
      </w:r>
      <w:r w:rsidRPr="005911E2">
        <w:rPr>
          <w:lang w:eastAsia="en-AU"/>
        </w:rPr>
        <w:t xml:space="preserve"> and the BasicsCard ‘work</w:t>
      </w:r>
      <w:r w:rsidR="004D71D4">
        <w:rPr>
          <w:lang w:eastAsia="en-AU"/>
        </w:rPr>
        <w:t>s</w:t>
      </w:r>
      <w:r w:rsidRPr="005911E2">
        <w:rPr>
          <w:lang w:eastAsia="en-AU"/>
        </w:rPr>
        <w:t>’ for individuals. Where these needs have been accurately assessed and the managed income is appropriately targeted</w:t>
      </w:r>
      <w:r w:rsidR="004D71D4">
        <w:rPr>
          <w:lang w:eastAsia="en-AU"/>
        </w:rPr>
        <w:t>,</w:t>
      </w:r>
      <w:r w:rsidRPr="005911E2">
        <w:rPr>
          <w:lang w:eastAsia="en-AU"/>
        </w:rPr>
        <w:t xml:space="preserve"> the frustrations of </w:t>
      </w:r>
      <w:r w:rsidR="00F878E4">
        <w:rPr>
          <w:lang w:eastAsia="en-AU"/>
        </w:rPr>
        <w:t>income management</w:t>
      </w:r>
      <w:r w:rsidRPr="005911E2">
        <w:rPr>
          <w:lang w:eastAsia="en-AU"/>
        </w:rPr>
        <w:t xml:space="preserve"> are more easily accepted. However, those who felt that their financial circumstances were not reflected in their allocations found the BasicsCard very challenging. </w:t>
      </w:r>
    </w:p>
    <w:p w:rsidR="00BD6DFD" w:rsidRPr="005911E2" w:rsidRDefault="00BD6DFD" w:rsidP="00BD6DFD">
      <w:pPr>
        <w:rPr>
          <w:lang w:eastAsia="en-AU"/>
        </w:rPr>
      </w:pPr>
      <w:r w:rsidRPr="005911E2">
        <w:rPr>
          <w:lang w:eastAsia="en-AU"/>
        </w:rPr>
        <w:t xml:space="preserve">An important theme emerging from the data was </w:t>
      </w:r>
      <w:r w:rsidR="004D71D4">
        <w:rPr>
          <w:lang w:eastAsia="en-AU"/>
        </w:rPr>
        <w:t xml:space="preserve">that </w:t>
      </w:r>
      <w:r w:rsidRPr="005911E2">
        <w:rPr>
          <w:lang w:eastAsia="en-AU"/>
        </w:rPr>
        <w:t>the free banking aspect of the BasicsCard is popular and partially addresses the long-standing problem of high bank transaction costs in some remote communities</w:t>
      </w:r>
      <w:r w:rsidR="004D71D4">
        <w:rPr>
          <w:lang w:eastAsia="en-AU"/>
        </w:rPr>
        <w:t>,</w:t>
      </w:r>
      <w:r w:rsidRPr="005911E2">
        <w:rPr>
          <w:lang w:eastAsia="en-AU"/>
        </w:rPr>
        <w:t xml:space="preserve"> where people </w:t>
      </w:r>
      <w:r w:rsidR="004D71D4">
        <w:rPr>
          <w:lang w:eastAsia="en-AU"/>
        </w:rPr>
        <w:t xml:space="preserve">have </w:t>
      </w:r>
      <w:r w:rsidRPr="005911E2">
        <w:rPr>
          <w:lang w:eastAsia="en-AU"/>
        </w:rPr>
        <w:t>little choice but to use ATMs</w:t>
      </w:r>
      <w:r w:rsidR="004D71D4">
        <w:rPr>
          <w:lang w:eastAsia="en-AU"/>
        </w:rPr>
        <w:t xml:space="preserve"> of banks other than their own, and subsequently pay high usage fees</w:t>
      </w:r>
      <w:r w:rsidRPr="005911E2">
        <w:rPr>
          <w:lang w:eastAsia="en-AU"/>
        </w:rPr>
        <w:t>.</w:t>
      </w:r>
      <w:r w:rsidR="00BB14C5">
        <w:rPr>
          <w:lang w:eastAsia="en-AU"/>
        </w:rPr>
        <w:t xml:space="preserve"> </w:t>
      </w:r>
      <w:r w:rsidR="00584A1E">
        <w:rPr>
          <w:lang w:eastAsia="en-AU"/>
        </w:rPr>
        <w:t xml:space="preserve">It </w:t>
      </w:r>
      <w:r w:rsidR="003B5477">
        <w:rPr>
          <w:lang w:eastAsia="en-AU"/>
        </w:rPr>
        <w:t>will be important to monitor</w:t>
      </w:r>
      <w:r w:rsidR="00584A1E">
        <w:rPr>
          <w:lang w:eastAsia="en-AU"/>
        </w:rPr>
        <w:t xml:space="preserve"> how</w:t>
      </w:r>
      <w:r w:rsidR="003B5477">
        <w:rPr>
          <w:lang w:eastAsia="en-AU"/>
        </w:rPr>
        <w:t xml:space="preserve"> the</w:t>
      </w:r>
      <w:r w:rsidR="00584A1E">
        <w:rPr>
          <w:lang w:eastAsia="en-AU"/>
        </w:rPr>
        <w:t xml:space="preserve"> announced changes in the availability of fee free ATMs in remote Indigenous communities </w:t>
      </w:r>
      <w:r w:rsidR="003B5477">
        <w:rPr>
          <w:lang w:eastAsia="en-AU"/>
        </w:rPr>
        <w:t>may</w:t>
      </w:r>
      <w:r w:rsidR="00584A1E">
        <w:rPr>
          <w:lang w:eastAsia="en-AU"/>
        </w:rPr>
        <w:t xml:space="preserve"> impact on this.</w:t>
      </w:r>
    </w:p>
    <w:bookmarkEnd w:id="500"/>
    <w:p w:rsidR="00BD6DFD" w:rsidRPr="005911E2" w:rsidRDefault="00BD6DFD" w:rsidP="00C0582B">
      <w:pPr>
        <w:pStyle w:val="chapterend"/>
        <w:rPr>
          <w:lang w:bidi="ar-SA"/>
        </w:rPr>
      </w:pPr>
    </w:p>
    <w:p w:rsidR="004F0925" w:rsidRPr="005911E2" w:rsidRDefault="004F0925" w:rsidP="00BD6DFD">
      <w:pPr>
        <w:pStyle w:val="Heading1"/>
      </w:pPr>
      <w:bookmarkStart w:id="570" w:name="_Toc328601498"/>
      <w:bookmarkStart w:id="571" w:name="_Toc329870380"/>
      <w:bookmarkStart w:id="572" w:name="_Toc335915766"/>
      <w:r w:rsidRPr="005911E2">
        <w:t xml:space="preserve">Matched Savings Scheme Payment, </w:t>
      </w:r>
      <w:r w:rsidR="004D71D4">
        <w:t>m</w:t>
      </w:r>
      <w:r w:rsidR="00553384" w:rsidRPr="005911E2">
        <w:t xml:space="preserve">oney </w:t>
      </w:r>
      <w:r w:rsidR="004D71D4">
        <w:t>m</w:t>
      </w:r>
      <w:r w:rsidR="00553384" w:rsidRPr="005911E2">
        <w:t>anagement</w:t>
      </w:r>
      <w:r w:rsidRPr="005911E2">
        <w:t xml:space="preserve"> and financial counselling</w:t>
      </w:r>
      <w:bookmarkEnd w:id="493"/>
      <w:bookmarkEnd w:id="494"/>
      <w:bookmarkEnd w:id="570"/>
      <w:bookmarkEnd w:id="571"/>
      <w:bookmarkEnd w:id="572"/>
    </w:p>
    <w:p w:rsidR="00263D64" w:rsidRPr="005911E2" w:rsidRDefault="00263D64" w:rsidP="00616B0F">
      <w:pPr>
        <w:pStyle w:val="Heading2"/>
      </w:pPr>
      <w:bookmarkStart w:id="573" w:name="_Toc321225132"/>
      <w:bookmarkStart w:id="574" w:name="_Toc321254475"/>
      <w:bookmarkStart w:id="575" w:name="_Toc328601499"/>
      <w:bookmarkStart w:id="576" w:name="_Toc329870381"/>
      <w:bookmarkStart w:id="577" w:name="_Toc335915767"/>
      <w:r w:rsidRPr="005911E2">
        <w:t>Introduction</w:t>
      </w:r>
      <w:bookmarkEnd w:id="573"/>
      <w:bookmarkEnd w:id="574"/>
      <w:bookmarkEnd w:id="575"/>
      <w:bookmarkEnd w:id="576"/>
      <w:bookmarkEnd w:id="577"/>
    </w:p>
    <w:p w:rsidR="00263D64" w:rsidRPr="005911E2" w:rsidRDefault="00263D64" w:rsidP="00263D64">
      <w:pPr>
        <w:rPr>
          <w:lang w:eastAsia="en-AU"/>
        </w:rPr>
      </w:pPr>
      <w:r w:rsidRPr="005911E2">
        <w:rPr>
          <w:lang w:eastAsia="en-AU"/>
        </w:rPr>
        <w:t>In addition to the aspects of NIM that are designed to restrict how people spend their money, there are elements that are designed to improve the ability of people to manage their money. This aspect of NIM involves two strategies: (i) improving budgeting skills via financial education (</w:t>
      </w:r>
      <w:r w:rsidR="004D71D4">
        <w:rPr>
          <w:lang w:eastAsia="en-AU"/>
        </w:rPr>
        <w:t>m</w:t>
      </w:r>
      <w:r w:rsidRPr="005911E2">
        <w:rPr>
          <w:lang w:eastAsia="en-AU"/>
        </w:rPr>
        <w:t xml:space="preserve">oney </w:t>
      </w:r>
      <w:r w:rsidR="004D71D4">
        <w:rPr>
          <w:lang w:eastAsia="en-AU"/>
        </w:rPr>
        <w:t>m</w:t>
      </w:r>
      <w:r w:rsidRPr="005911E2">
        <w:rPr>
          <w:lang w:eastAsia="en-AU"/>
        </w:rPr>
        <w:t>anagement courses and financial counselling); and (ii) encouraging people to develop a savings pattern by providing a Matched Saving</w:t>
      </w:r>
      <w:r w:rsidR="001F6050">
        <w:rPr>
          <w:lang w:eastAsia="en-AU"/>
        </w:rPr>
        <w:t>s</w:t>
      </w:r>
      <w:r w:rsidRPr="005911E2">
        <w:rPr>
          <w:lang w:eastAsia="en-AU"/>
        </w:rPr>
        <w:t xml:space="preserve"> Payment. This Chapter focuses on these aspects of NIM.</w:t>
      </w:r>
      <w:r w:rsidR="00BB14C5">
        <w:rPr>
          <w:lang w:eastAsia="en-AU"/>
        </w:rPr>
        <w:t xml:space="preserve"> </w:t>
      </w:r>
      <w:r w:rsidR="007337E1">
        <w:rPr>
          <w:lang w:eastAsia="en-AU"/>
        </w:rPr>
        <w:t xml:space="preserve">Section </w:t>
      </w:r>
      <w:r w:rsidR="00C7347D">
        <w:rPr>
          <w:lang w:eastAsia="en-AU"/>
        </w:rPr>
        <w:fldChar w:fldCharType="begin"/>
      </w:r>
      <w:r w:rsidR="007337E1">
        <w:rPr>
          <w:lang w:eastAsia="en-AU"/>
        </w:rPr>
        <w:instrText xml:space="preserve"> REF _Ref328511163 \r \h </w:instrText>
      </w:r>
      <w:r w:rsidR="00C7347D">
        <w:rPr>
          <w:lang w:eastAsia="en-AU"/>
        </w:rPr>
      </w:r>
      <w:r w:rsidR="00C7347D">
        <w:rPr>
          <w:lang w:eastAsia="en-AU"/>
        </w:rPr>
        <w:fldChar w:fldCharType="separate"/>
      </w:r>
      <w:r w:rsidR="007D7E45">
        <w:rPr>
          <w:lang w:eastAsia="en-AU"/>
        </w:rPr>
        <w:t>2.4.6</w:t>
      </w:r>
      <w:r w:rsidR="00C7347D">
        <w:rPr>
          <w:lang w:eastAsia="en-AU"/>
        </w:rPr>
        <w:fldChar w:fldCharType="end"/>
      </w:r>
      <w:r w:rsidR="007337E1">
        <w:rPr>
          <w:lang w:eastAsia="en-AU"/>
        </w:rPr>
        <w:t xml:space="preserve"> provides more details on the money management and financial counselling services.</w:t>
      </w:r>
    </w:p>
    <w:p w:rsidR="00263D64" w:rsidRPr="005911E2" w:rsidRDefault="00263D64" w:rsidP="00263D64">
      <w:pPr>
        <w:rPr>
          <w:lang w:eastAsia="en-AU"/>
        </w:rPr>
      </w:pPr>
      <w:r w:rsidRPr="005911E2">
        <w:rPr>
          <w:lang w:eastAsia="en-AU"/>
        </w:rPr>
        <w:t xml:space="preserve">The data used in </w:t>
      </w:r>
      <w:r w:rsidR="00333514" w:rsidRPr="005911E2">
        <w:rPr>
          <w:lang w:eastAsia="en-AU"/>
        </w:rPr>
        <w:t>th</w:t>
      </w:r>
      <w:r w:rsidR="00333514">
        <w:rPr>
          <w:lang w:eastAsia="en-AU"/>
        </w:rPr>
        <w:t>is</w:t>
      </w:r>
      <w:r w:rsidR="00333514" w:rsidRPr="005911E2">
        <w:rPr>
          <w:lang w:eastAsia="en-AU"/>
        </w:rPr>
        <w:t xml:space="preserve"> </w:t>
      </w:r>
      <w:r w:rsidRPr="005911E2">
        <w:rPr>
          <w:lang w:eastAsia="en-AU"/>
        </w:rPr>
        <w:t>Chapter is derived from Wave 1</w:t>
      </w:r>
      <w:r w:rsidR="001F6050">
        <w:rPr>
          <w:lang w:eastAsia="en-AU"/>
        </w:rPr>
        <w:t xml:space="preserve"> of the </w:t>
      </w:r>
      <w:r w:rsidR="00ED49C8">
        <w:rPr>
          <w:lang w:eastAsia="en-AU"/>
        </w:rPr>
        <w:t>L</w:t>
      </w:r>
      <w:r w:rsidR="001F6050">
        <w:rPr>
          <w:lang w:eastAsia="en-AU"/>
        </w:rPr>
        <w:t xml:space="preserve">ongitudinal </w:t>
      </w:r>
      <w:r w:rsidR="00ED49C8">
        <w:rPr>
          <w:lang w:eastAsia="en-AU"/>
        </w:rPr>
        <w:t>Survey of New Income Management</w:t>
      </w:r>
      <w:r w:rsidRPr="005911E2">
        <w:rPr>
          <w:lang w:eastAsia="en-AU"/>
        </w:rPr>
        <w:t xml:space="preserve">; Centrelink administrative data; data provided by contracted </w:t>
      </w:r>
      <w:r w:rsidR="001F6050">
        <w:rPr>
          <w:lang w:eastAsia="en-AU"/>
        </w:rPr>
        <w:t>m</w:t>
      </w:r>
      <w:r w:rsidRPr="005911E2">
        <w:rPr>
          <w:lang w:eastAsia="en-AU"/>
        </w:rPr>
        <w:t xml:space="preserve">oney </w:t>
      </w:r>
      <w:r w:rsidR="001F6050">
        <w:rPr>
          <w:lang w:eastAsia="en-AU"/>
        </w:rPr>
        <w:t>m</w:t>
      </w:r>
      <w:r w:rsidRPr="005911E2">
        <w:rPr>
          <w:lang w:eastAsia="en-AU"/>
        </w:rPr>
        <w:t xml:space="preserve">anagement and financial counsellor services providers; </w:t>
      </w:r>
      <w:r w:rsidR="001F6050">
        <w:rPr>
          <w:lang w:eastAsia="en-AU"/>
        </w:rPr>
        <w:t xml:space="preserve">and </w:t>
      </w:r>
      <w:r w:rsidRPr="005911E2">
        <w:rPr>
          <w:lang w:eastAsia="en-AU"/>
        </w:rPr>
        <w:t>quantitative and qualitative interviews with Centrelink staff; and qualitative interviews with Money Management service providers</w:t>
      </w:r>
      <w:r w:rsidR="005911E2" w:rsidRPr="005911E2">
        <w:rPr>
          <w:lang w:eastAsia="en-AU"/>
        </w:rPr>
        <w:t>.</w:t>
      </w:r>
    </w:p>
    <w:p w:rsidR="00263D64" w:rsidRPr="005911E2" w:rsidRDefault="00263D64" w:rsidP="00263D64">
      <w:pPr>
        <w:rPr>
          <w:lang w:eastAsia="en-AU"/>
        </w:rPr>
      </w:pPr>
      <w:r w:rsidRPr="005911E2">
        <w:rPr>
          <w:lang w:eastAsia="en-AU"/>
        </w:rPr>
        <w:t xml:space="preserve">As outlined in Chapter 2, the voluntary Matched Savings Payment is designed to encourage people on </w:t>
      </w:r>
      <w:r w:rsidR="00F878E4">
        <w:rPr>
          <w:lang w:eastAsia="en-AU"/>
        </w:rPr>
        <w:t>income management</w:t>
      </w:r>
      <w:r w:rsidRPr="005911E2">
        <w:rPr>
          <w:lang w:eastAsia="en-AU"/>
        </w:rPr>
        <w:t xml:space="preserve"> to develop a savings pattern and increase their capacity to manage their money. Under this scheme</w:t>
      </w:r>
      <w:r w:rsidR="001F6050">
        <w:rPr>
          <w:lang w:eastAsia="en-AU"/>
        </w:rPr>
        <w:t>,</w:t>
      </w:r>
      <w:r w:rsidRPr="005911E2">
        <w:rPr>
          <w:lang w:eastAsia="en-AU"/>
        </w:rPr>
        <w:t xml:space="preserve"> Centrelink matches savings </w:t>
      </w:r>
      <w:r w:rsidR="001F6050">
        <w:rPr>
          <w:lang w:eastAsia="en-AU"/>
        </w:rPr>
        <w:t>dollar-for-dollar</w:t>
      </w:r>
      <w:r w:rsidRPr="005911E2">
        <w:rPr>
          <w:lang w:eastAsia="en-AU"/>
        </w:rPr>
        <w:t xml:space="preserve"> up to a maximum of $500. A Matched Saving</w:t>
      </w:r>
      <w:r w:rsidR="001F6050">
        <w:rPr>
          <w:lang w:eastAsia="en-AU"/>
        </w:rPr>
        <w:t>s</w:t>
      </w:r>
      <w:r w:rsidRPr="005911E2">
        <w:rPr>
          <w:lang w:eastAsia="en-AU"/>
        </w:rPr>
        <w:t xml:space="preserve"> Payment can be made for savings of less than $500, but a person can receive a Matched Savings Payment only once.</w:t>
      </w:r>
      <w:r w:rsidRPr="005911E2">
        <w:rPr>
          <w:vertAlign w:val="superscript"/>
          <w:lang w:eastAsia="en-AU"/>
        </w:rPr>
        <w:t xml:space="preserve"> </w:t>
      </w:r>
      <w:r w:rsidRPr="005911E2">
        <w:rPr>
          <w:vertAlign w:val="superscript"/>
          <w:lang w:eastAsia="en-AU"/>
        </w:rPr>
        <w:footnoteReference w:id="65"/>
      </w:r>
    </w:p>
    <w:p w:rsidR="00263D64" w:rsidRPr="005911E2" w:rsidRDefault="00263D64" w:rsidP="00263D64">
      <w:pPr>
        <w:rPr>
          <w:lang w:eastAsia="en-AU"/>
        </w:rPr>
      </w:pPr>
      <w:r w:rsidRPr="005911E2">
        <w:rPr>
          <w:lang w:eastAsia="en-AU"/>
        </w:rPr>
        <w:t>The Matched Savings Payment is available to people subject to Compulsory Income Management, Child Protection Income Management and Vulnerable Income Management.</w:t>
      </w:r>
    </w:p>
    <w:p w:rsidR="00263D64" w:rsidRPr="005911E2" w:rsidRDefault="00263D64" w:rsidP="00263D64">
      <w:pPr>
        <w:rPr>
          <w:lang w:eastAsia="en-AU"/>
        </w:rPr>
      </w:pPr>
      <w:r w:rsidRPr="005911E2">
        <w:rPr>
          <w:lang w:eastAsia="en-AU"/>
        </w:rPr>
        <w:t>To be eligible for the Matched Savings Payment</w:t>
      </w:r>
      <w:r w:rsidR="001F6050">
        <w:rPr>
          <w:lang w:eastAsia="en-AU"/>
        </w:rPr>
        <w:t>,</w:t>
      </w:r>
      <w:r w:rsidRPr="005911E2">
        <w:rPr>
          <w:lang w:eastAsia="en-AU"/>
        </w:rPr>
        <w:t xml:space="preserve"> the person subject to </w:t>
      </w:r>
      <w:r w:rsidR="00F878E4">
        <w:rPr>
          <w:lang w:eastAsia="en-AU"/>
        </w:rPr>
        <w:t>income management</w:t>
      </w:r>
      <w:r w:rsidRPr="005911E2">
        <w:rPr>
          <w:lang w:eastAsia="en-AU"/>
        </w:rPr>
        <w:t xml:space="preserve"> has to have completed an </w:t>
      </w:r>
      <w:r w:rsidR="001F6050">
        <w:rPr>
          <w:lang w:eastAsia="en-AU"/>
        </w:rPr>
        <w:t>a</w:t>
      </w:r>
      <w:r w:rsidRPr="005911E2">
        <w:rPr>
          <w:lang w:eastAsia="en-AU"/>
        </w:rPr>
        <w:t xml:space="preserve">pproved </w:t>
      </w:r>
      <w:r w:rsidR="001F6050">
        <w:rPr>
          <w:lang w:eastAsia="en-AU"/>
        </w:rPr>
        <w:t>m</w:t>
      </w:r>
      <w:r w:rsidRPr="005911E2">
        <w:rPr>
          <w:lang w:eastAsia="en-AU"/>
        </w:rPr>
        <w:t xml:space="preserve">oney </w:t>
      </w:r>
      <w:r w:rsidR="001F6050">
        <w:rPr>
          <w:lang w:eastAsia="en-AU"/>
        </w:rPr>
        <w:t>m</w:t>
      </w:r>
      <w:r w:rsidRPr="005911E2">
        <w:rPr>
          <w:lang w:eastAsia="en-AU"/>
        </w:rPr>
        <w:t>anagement course and have achieved a ‘pattern of saving’ over a minimum of 13 weeks. People are required to save this money from their non-income managed funds. However, the matched payment becomes part of their income managed funds.</w:t>
      </w:r>
    </w:p>
    <w:p w:rsidR="00263D64" w:rsidRPr="005911E2" w:rsidRDefault="00263D64" w:rsidP="00263D64">
      <w:pPr>
        <w:rPr>
          <w:shd w:val="clear" w:color="auto" w:fill="FFFFFF"/>
          <w:lang w:eastAsia="en-AU"/>
        </w:rPr>
      </w:pPr>
      <w:r w:rsidRPr="005911E2">
        <w:rPr>
          <w:shd w:val="clear" w:color="auto" w:fill="FFFFFF"/>
          <w:lang w:eastAsia="en-AU"/>
        </w:rPr>
        <w:t xml:space="preserve">The Matched Savings Payment is modelled on the Saver Plus program, </w:t>
      </w:r>
      <w:r w:rsidRPr="005911E2">
        <w:rPr>
          <w:szCs w:val="20"/>
          <w:shd w:val="clear" w:color="auto" w:fill="FFFFFF"/>
          <w:lang w:eastAsia="en-AU"/>
        </w:rPr>
        <w:t xml:space="preserve">although the context is very different with </w:t>
      </w:r>
      <w:r w:rsidR="00333514" w:rsidRPr="005911E2">
        <w:rPr>
          <w:szCs w:val="20"/>
          <w:shd w:val="clear" w:color="auto" w:fill="FFFFFF"/>
          <w:lang w:eastAsia="en-AU"/>
        </w:rPr>
        <w:t>th</w:t>
      </w:r>
      <w:r w:rsidR="00333514">
        <w:rPr>
          <w:szCs w:val="20"/>
          <w:shd w:val="clear" w:color="auto" w:fill="FFFFFF"/>
          <w:lang w:eastAsia="en-AU"/>
        </w:rPr>
        <w:t xml:space="preserve">e </w:t>
      </w:r>
      <w:r w:rsidR="001F6050">
        <w:rPr>
          <w:szCs w:val="20"/>
          <w:shd w:val="clear" w:color="auto" w:fill="FFFFFF"/>
          <w:lang w:eastAsia="en-AU"/>
        </w:rPr>
        <w:t xml:space="preserve">payment </w:t>
      </w:r>
      <w:r w:rsidR="00333514">
        <w:rPr>
          <w:szCs w:val="20"/>
          <w:shd w:val="clear" w:color="auto" w:fill="FFFFFF"/>
          <w:lang w:eastAsia="en-AU"/>
        </w:rPr>
        <w:t xml:space="preserve">being </w:t>
      </w:r>
      <w:r w:rsidRPr="005911E2">
        <w:rPr>
          <w:szCs w:val="20"/>
          <w:shd w:val="clear" w:color="auto" w:fill="FFFFFF"/>
          <w:lang w:eastAsia="en-AU"/>
        </w:rPr>
        <w:t>linked to income management</w:t>
      </w:r>
      <w:r w:rsidRPr="005911E2">
        <w:rPr>
          <w:shd w:val="clear" w:color="auto" w:fill="FFFFFF"/>
          <w:lang w:eastAsia="en-AU"/>
        </w:rPr>
        <w:t xml:space="preserve"> and no financial institution </w:t>
      </w:r>
      <w:r w:rsidR="00333514">
        <w:rPr>
          <w:shd w:val="clear" w:color="auto" w:fill="FFFFFF"/>
          <w:lang w:eastAsia="en-AU"/>
        </w:rPr>
        <w:t>being</w:t>
      </w:r>
      <w:r w:rsidR="00333514" w:rsidRPr="005911E2">
        <w:rPr>
          <w:shd w:val="clear" w:color="auto" w:fill="FFFFFF"/>
          <w:lang w:eastAsia="en-AU"/>
        </w:rPr>
        <w:t xml:space="preserve"> </w:t>
      </w:r>
      <w:r w:rsidRPr="005911E2">
        <w:rPr>
          <w:shd w:val="clear" w:color="auto" w:fill="FFFFFF"/>
          <w:lang w:eastAsia="en-AU"/>
        </w:rPr>
        <w:t>involved</w:t>
      </w:r>
      <w:r w:rsidRPr="005911E2">
        <w:rPr>
          <w:szCs w:val="20"/>
          <w:shd w:val="clear" w:color="auto" w:fill="FFFFFF"/>
          <w:lang w:eastAsia="en-AU"/>
        </w:rPr>
        <w:t>.</w:t>
      </w:r>
      <w:r w:rsidRPr="005911E2">
        <w:rPr>
          <w:rFonts w:asciiTheme="minorHAnsi" w:hAnsiTheme="minorHAnsi"/>
          <w:vertAlign w:val="superscript"/>
          <w:lang w:eastAsia="en-AU"/>
        </w:rPr>
        <w:footnoteReference w:id="66"/>
      </w:r>
      <w:r w:rsidRPr="005911E2">
        <w:rPr>
          <w:szCs w:val="20"/>
          <w:shd w:val="clear" w:color="auto" w:fill="FFFFFF"/>
          <w:lang w:eastAsia="en-AU"/>
        </w:rPr>
        <w:t xml:space="preserve"> </w:t>
      </w:r>
      <w:r w:rsidRPr="005911E2">
        <w:rPr>
          <w:shd w:val="clear" w:color="auto" w:fill="FFFFFF"/>
          <w:lang w:eastAsia="en-AU"/>
        </w:rPr>
        <w:t>Evaluation of the Saver Plus program has found that the program does achieve results with positive effects on savings behaviour being found (</w:t>
      </w:r>
      <w:r w:rsidR="00587AD8" w:rsidRPr="00587AD8">
        <w:rPr>
          <w:shd w:val="clear" w:color="auto" w:fill="FFFFFF"/>
          <w:lang w:eastAsia="en-AU"/>
        </w:rPr>
        <w:t>Bodsworth, 2011</w:t>
      </w:r>
      <w:r w:rsidR="00587AD8">
        <w:rPr>
          <w:shd w:val="clear" w:color="auto" w:fill="FFFFFF"/>
          <w:lang w:eastAsia="en-AU"/>
        </w:rPr>
        <w:t xml:space="preserve">; </w:t>
      </w:r>
      <w:r w:rsidRPr="005911E2">
        <w:rPr>
          <w:shd w:val="clear" w:color="auto" w:fill="FFFFFF"/>
          <w:lang w:eastAsia="en-AU"/>
        </w:rPr>
        <w:t xml:space="preserve">Russell, Wall </w:t>
      </w:r>
      <w:r w:rsidR="001F6050">
        <w:rPr>
          <w:shd w:val="clear" w:color="auto" w:fill="FFFFFF"/>
          <w:lang w:eastAsia="en-AU"/>
        </w:rPr>
        <w:t>&amp;</w:t>
      </w:r>
      <w:r w:rsidR="001F6050" w:rsidRPr="005911E2">
        <w:rPr>
          <w:shd w:val="clear" w:color="auto" w:fill="FFFFFF"/>
          <w:lang w:eastAsia="en-AU"/>
        </w:rPr>
        <w:t xml:space="preserve"> </w:t>
      </w:r>
      <w:r w:rsidR="00587AD8">
        <w:rPr>
          <w:shd w:val="clear" w:color="auto" w:fill="FFFFFF"/>
          <w:lang w:eastAsia="en-AU"/>
        </w:rPr>
        <w:t>Doan, 2011</w:t>
      </w:r>
      <w:r w:rsidRPr="005911E2">
        <w:rPr>
          <w:shd w:val="clear" w:color="auto" w:fill="FFFFFF"/>
          <w:lang w:eastAsia="en-AU"/>
        </w:rPr>
        <w:t>).</w:t>
      </w:r>
    </w:p>
    <w:p w:rsidR="00263D64" w:rsidRPr="005911E2" w:rsidRDefault="00263D64" w:rsidP="00263D64">
      <w:pPr>
        <w:rPr>
          <w:lang w:eastAsia="en-AU"/>
        </w:rPr>
      </w:pPr>
      <w:r w:rsidRPr="005911E2">
        <w:rPr>
          <w:lang w:eastAsia="en-AU"/>
        </w:rPr>
        <w:t>A $500 savings target is quite considerable for low income households. Analysis of the 2009-10 Household Expenditure Survey (ABS</w:t>
      </w:r>
      <w:r w:rsidR="00BA34BE">
        <w:rPr>
          <w:lang w:eastAsia="en-AU"/>
        </w:rPr>
        <w:t>,</w:t>
      </w:r>
      <w:r w:rsidRPr="005911E2">
        <w:rPr>
          <w:lang w:eastAsia="en-AU"/>
        </w:rPr>
        <w:t xml:space="preserve"> 2009-10)</w:t>
      </w:r>
      <w:r w:rsidR="00BA34BE">
        <w:rPr>
          <w:lang w:eastAsia="en-AU"/>
        </w:rPr>
        <w:t>,</w:t>
      </w:r>
      <w:r w:rsidRPr="005911E2">
        <w:rPr>
          <w:lang w:eastAsia="en-AU"/>
        </w:rPr>
        <w:t xml:space="preserve"> for individuals whose main source of income was income support</w:t>
      </w:r>
      <w:r w:rsidR="00BA34BE">
        <w:rPr>
          <w:lang w:eastAsia="en-AU"/>
        </w:rPr>
        <w:t>,</w:t>
      </w:r>
      <w:r w:rsidRPr="005911E2">
        <w:rPr>
          <w:lang w:eastAsia="en-AU"/>
        </w:rPr>
        <w:t xml:space="preserve"> indicates that 9 per cent had a bank balance of zero, 18 per cent a positive bank balance of under $100, 12 per cent a bank balance of $100 to $499 and 61 per cent had a bank balance of $500 or more.</w:t>
      </w:r>
      <w:r w:rsidR="00B62B2D">
        <w:rPr>
          <w:lang w:eastAsia="en-AU"/>
        </w:rPr>
        <w:t xml:space="preserve"> </w:t>
      </w:r>
      <w:r w:rsidRPr="005911E2">
        <w:rPr>
          <w:lang w:eastAsia="en-AU"/>
        </w:rPr>
        <w:t>Hence the specific savings target of an additional $500 is substantially above the total savings of a substantial minority of all income support recipients</w:t>
      </w:r>
      <w:r w:rsidR="00D134DC">
        <w:rPr>
          <w:lang w:eastAsia="en-AU"/>
        </w:rPr>
        <w:t>, including Age Pensioners,</w:t>
      </w:r>
      <w:r w:rsidRPr="005911E2">
        <w:rPr>
          <w:lang w:eastAsia="en-AU"/>
        </w:rPr>
        <w:t xml:space="preserve"> across Australia.</w:t>
      </w:r>
    </w:p>
    <w:p w:rsidR="00263D64" w:rsidRPr="005911E2" w:rsidRDefault="00263D64" w:rsidP="00616B0F">
      <w:pPr>
        <w:pStyle w:val="Heading2"/>
      </w:pPr>
      <w:bookmarkStart w:id="578" w:name="_Toc321225133"/>
      <w:bookmarkStart w:id="579" w:name="_Toc321254476"/>
      <w:bookmarkStart w:id="580" w:name="_Toc328601500"/>
      <w:bookmarkStart w:id="581" w:name="_Toc329870382"/>
      <w:bookmarkStart w:id="582" w:name="_Toc335915768"/>
      <w:r w:rsidRPr="005911E2">
        <w:t>Number of people accessing management and financial counselling services</w:t>
      </w:r>
      <w:bookmarkEnd w:id="578"/>
      <w:bookmarkEnd w:id="579"/>
      <w:bookmarkEnd w:id="580"/>
      <w:bookmarkEnd w:id="581"/>
      <w:bookmarkEnd w:id="582"/>
      <w:r w:rsidRPr="005911E2">
        <w:t xml:space="preserve"> </w:t>
      </w:r>
    </w:p>
    <w:p w:rsidR="00263D64" w:rsidRPr="005911E2" w:rsidRDefault="00263D64" w:rsidP="00263D64">
      <w:pPr>
        <w:rPr>
          <w:lang w:eastAsia="en-AU"/>
        </w:rPr>
      </w:pPr>
      <w:r w:rsidRPr="005911E2">
        <w:rPr>
          <w:lang w:eastAsia="en-AU"/>
        </w:rPr>
        <w:t xml:space="preserve">While </w:t>
      </w:r>
      <w:r w:rsidR="00BA34BE">
        <w:rPr>
          <w:lang w:eastAsia="en-AU"/>
        </w:rPr>
        <w:t>m</w:t>
      </w:r>
      <w:r w:rsidRPr="005911E2">
        <w:rPr>
          <w:lang w:eastAsia="en-AU"/>
        </w:rPr>
        <w:t xml:space="preserve">oney </w:t>
      </w:r>
      <w:r w:rsidR="00BA34BE">
        <w:rPr>
          <w:lang w:eastAsia="en-AU"/>
        </w:rPr>
        <w:t>m</w:t>
      </w:r>
      <w:r w:rsidRPr="005911E2">
        <w:rPr>
          <w:lang w:eastAsia="en-AU"/>
        </w:rPr>
        <w:t>anagement services have been delivered in the</w:t>
      </w:r>
      <w:r w:rsidR="006435C8">
        <w:rPr>
          <w:lang w:eastAsia="en-AU"/>
        </w:rPr>
        <w:t xml:space="preserve"> Northern Territory </w:t>
      </w:r>
      <w:r w:rsidRPr="005911E2">
        <w:rPr>
          <w:lang w:eastAsia="en-AU"/>
        </w:rPr>
        <w:t xml:space="preserve">for some time, the number of sites from which they were offered </w:t>
      </w:r>
      <w:r w:rsidR="00333514" w:rsidRPr="005911E2">
        <w:rPr>
          <w:lang w:eastAsia="en-AU"/>
        </w:rPr>
        <w:t>ha</w:t>
      </w:r>
      <w:r w:rsidR="00333514">
        <w:rPr>
          <w:lang w:eastAsia="en-AU"/>
        </w:rPr>
        <w:t>s</w:t>
      </w:r>
      <w:r w:rsidR="00333514" w:rsidRPr="005911E2">
        <w:rPr>
          <w:lang w:eastAsia="en-AU"/>
        </w:rPr>
        <w:t xml:space="preserve"> </w:t>
      </w:r>
      <w:r w:rsidRPr="005911E2">
        <w:rPr>
          <w:lang w:eastAsia="en-AU"/>
        </w:rPr>
        <w:t>been low. In 2008 the program was considerably expanded and by February 2011 was being provided in about 180 different locations (FaHCSIA</w:t>
      </w:r>
      <w:r w:rsidR="009125CF">
        <w:rPr>
          <w:lang w:eastAsia="en-AU"/>
        </w:rPr>
        <w:t>,</w:t>
      </w:r>
      <w:r w:rsidRPr="005911E2">
        <w:rPr>
          <w:lang w:eastAsia="en-AU"/>
        </w:rPr>
        <w:t xml:space="preserve"> 2012a)</w:t>
      </w:r>
      <w:r w:rsidR="00BA34BE">
        <w:rPr>
          <w:lang w:eastAsia="en-AU"/>
        </w:rPr>
        <w:t>.</w:t>
      </w:r>
    </w:p>
    <w:p w:rsidR="00263D64" w:rsidRPr="005911E2" w:rsidRDefault="00263D64" w:rsidP="00263D64">
      <w:pPr>
        <w:rPr>
          <w:lang w:eastAsia="en-AU"/>
        </w:rPr>
      </w:pPr>
      <w:r w:rsidRPr="005911E2">
        <w:rPr>
          <w:lang w:eastAsia="en-AU"/>
        </w:rPr>
        <w:t xml:space="preserve">Money </w:t>
      </w:r>
      <w:r w:rsidR="00BA34BE">
        <w:rPr>
          <w:lang w:eastAsia="en-AU"/>
        </w:rPr>
        <w:t>m</w:t>
      </w:r>
      <w:r w:rsidRPr="005911E2">
        <w:rPr>
          <w:lang w:eastAsia="en-AU"/>
        </w:rPr>
        <w:t xml:space="preserve">anagement services include </w:t>
      </w:r>
      <w:r w:rsidR="00BA34BE">
        <w:rPr>
          <w:lang w:eastAsia="en-AU"/>
        </w:rPr>
        <w:t>a</w:t>
      </w:r>
      <w:r w:rsidRPr="005911E2">
        <w:rPr>
          <w:lang w:eastAsia="en-AU"/>
        </w:rPr>
        <w:t xml:space="preserve">pproved </w:t>
      </w:r>
      <w:r w:rsidR="00BA34BE">
        <w:rPr>
          <w:lang w:eastAsia="en-AU"/>
        </w:rPr>
        <w:t>m</w:t>
      </w:r>
      <w:r w:rsidRPr="005911E2">
        <w:rPr>
          <w:lang w:eastAsia="en-AU"/>
        </w:rPr>
        <w:t xml:space="preserve">oney </w:t>
      </w:r>
      <w:r w:rsidR="00BA34BE">
        <w:rPr>
          <w:lang w:eastAsia="en-AU"/>
        </w:rPr>
        <w:t>m</w:t>
      </w:r>
      <w:r w:rsidRPr="005911E2">
        <w:rPr>
          <w:lang w:eastAsia="en-AU"/>
        </w:rPr>
        <w:t xml:space="preserve">anagement courses, workshops and individual coaching </w:t>
      </w:r>
      <w:r w:rsidR="00E57049">
        <w:rPr>
          <w:lang w:eastAsia="en-AU"/>
        </w:rPr>
        <w:t xml:space="preserve">and support </w:t>
      </w:r>
      <w:r w:rsidRPr="005911E2">
        <w:rPr>
          <w:lang w:eastAsia="en-AU"/>
        </w:rPr>
        <w:t>around financial management and literacy</w:t>
      </w:r>
      <w:r w:rsidR="00BA34BE">
        <w:rPr>
          <w:lang w:eastAsia="en-AU"/>
        </w:rPr>
        <w:t>;</w:t>
      </w:r>
      <w:r w:rsidRPr="005911E2">
        <w:rPr>
          <w:lang w:eastAsia="en-AU"/>
        </w:rPr>
        <w:t xml:space="preserve"> assistance with planning and setting goals to save for more expensive items such as whitegoods</w:t>
      </w:r>
      <w:r w:rsidR="00BA34BE">
        <w:rPr>
          <w:lang w:eastAsia="en-AU"/>
        </w:rPr>
        <w:t>;</w:t>
      </w:r>
      <w:r w:rsidRPr="005911E2">
        <w:rPr>
          <w:lang w:eastAsia="en-AU"/>
        </w:rPr>
        <w:t xml:space="preserve"> and assisting people to make better use of financial services such as ATMs</w:t>
      </w:r>
      <w:r w:rsidR="00BA34BE">
        <w:rPr>
          <w:lang w:eastAsia="en-AU"/>
        </w:rPr>
        <w:t>,</w:t>
      </w:r>
      <w:r w:rsidRPr="005911E2">
        <w:rPr>
          <w:lang w:eastAsia="en-AU"/>
        </w:rPr>
        <w:t xml:space="preserve"> internet and telephone banking.</w:t>
      </w:r>
    </w:p>
    <w:p w:rsidR="00263D64" w:rsidRPr="005911E2" w:rsidRDefault="00263D64" w:rsidP="00263D64">
      <w:pPr>
        <w:rPr>
          <w:lang w:eastAsia="en-AU"/>
        </w:rPr>
      </w:pPr>
      <w:r w:rsidRPr="005911E2">
        <w:rPr>
          <w:lang w:eastAsia="en-AU"/>
        </w:rPr>
        <w:t xml:space="preserve">Data on the number of people accessing </w:t>
      </w:r>
      <w:r w:rsidR="00BA34BE">
        <w:rPr>
          <w:lang w:eastAsia="en-AU"/>
        </w:rPr>
        <w:t>m</w:t>
      </w:r>
      <w:r w:rsidRPr="005911E2">
        <w:rPr>
          <w:lang w:eastAsia="en-AU"/>
        </w:rPr>
        <w:t xml:space="preserve">oney </w:t>
      </w:r>
      <w:r w:rsidR="00BA34BE">
        <w:rPr>
          <w:lang w:eastAsia="en-AU"/>
        </w:rPr>
        <w:t>m</w:t>
      </w:r>
      <w:r w:rsidRPr="005911E2">
        <w:rPr>
          <w:lang w:eastAsia="en-AU"/>
        </w:rPr>
        <w:t xml:space="preserve">anagement and financial counselling services comes from the contracted </w:t>
      </w:r>
      <w:r w:rsidR="00BA34BE">
        <w:rPr>
          <w:lang w:eastAsia="en-AU"/>
        </w:rPr>
        <w:t>m</w:t>
      </w:r>
      <w:r w:rsidRPr="005911E2">
        <w:rPr>
          <w:lang w:eastAsia="en-AU"/>
        </w:rPr>
        <w:t xml:space="preserve">oney </w:t>
      </w:r>
      <w:r w:rsidR="00BA34BE">
        <w:rPr>
          <w:lang w:eastAsia="en-AU"/>
        </w:rPr>
        <w:t>m</w:t>
      </w:r>
      <w:r w:rsidRPr="005911E2">
        <w:rPr>
          <w:lang w:eastAsia="en-AU"/>
        </w:rPr>
        <w:t>anagement service providers’ reports to FaHCSIA.</w:t>
      </w:r>
    </w:p>
    <w:p w:rsidR="00263D64" w:rsidRPr="005911E2" w:rsidRDefault="00263D64" w:rsidP="00077699">
      <w:pPr>
        <w:pStyle w:val="BodyText"/>
      </w:pPr>
      <w:r w:rsidRPr="005911E2">
        <w:t xml:space="preserve">Figure </w:t>
      </w:r>
      <w:r w:rsidRPr="005911E2">
        <w:rPr>
          <w:noProof/>
        </w:rPr>
        <w:t>7</w:t>
      </w:r>
      <w:r w:rsidRPr="005911E2">
        <w:noBreakHyphen/>
      </w:r>
      <w:r w:rsidRPr="005911E2">
        <w:rPr>
          <w:noProof/>
        </w:rPr>
        <w:t>1</w:t>
      </w:r>
      <w:r w:rsidRPr="005911E2">
        <w:t xml:space="preserve"> shows the number of people accessing </w:t>
      </w:r>
      <w:r w:rsidR="00BA34BE">
        <w:t>m</w:t>
      </w:r>
      <w:r w:rsidRPr="005911E2">
        <w:t xml:space="preserve">oney </w:t>
      </w:r>
      <w:r w:rsidR="00BA34BE">
        <w:t>m</w:t>
      </w:r>
      <w:r w:rsidRPr="005911E2">
        <w:t xml:space="preserve">anagement services over the period 2009 to 2011. The numbers in this figure include both people on </w:t>
      </w:r>
      <w:r w:rsidR="00F878E4">
        <w:t>income management</w:t>
      </w:r>
      <w:r w:rsidRPr="005911E2">
        <w:t xml:space="preserve"> and those not. They also include services </w:t>
      </w:r>
      <w:r w:rsidR="00BA34BE" w:rsidRPr="005911E2">
        <w:t xml:space="preserve">only </w:t>
      </w:r>
      <w:r w:rsidRPr="005911E2">
        <w:t>provided on a one-on-one basis. Services are also provided in the form of workshops</w:t>
      </w:r>
      <w:r w:rsidR="00BA34BE">
        <w:t>,</w:t>
      </w:r>
      <w:r w:rsidRPr="005911E2">
        <w:t xml:space="preserve"> and the number of workshops provided is shown in Figure </w:t>
      </w:r>
      <w:r w:rsidRPr="005911E2">
        <w:rPr>
          <w:noProof/>
        </w:rPr>
        <w:t>7</w:t>
      </w:r>
      <w:r w:rsidRPr="005911E2">
        <w:noBreakHyphen/>
      </w:r>
      <w:r w:rsidRPr="005911E2">
        <w:rPr>
          <w:noProof/>
        </w:rPr>
        <w:t>2</w:t>
      </w:r>
      <w:r w:rsidRPr="005911E2">
        <w:t xml:space="preserve">. </w:t>
      </w:r>
    </w:p>
    <w:p w:rsidR="00263D64" w:rsidRPr="005911E2" w:rsidRDefault="00263D64" w:rsidP="00264663">
      <w:pPr>
        <w:pStyle w:val="tabfighead"/>
      </w:pPr>
      <w:bookmarkStart w:id="583" w:name="_Ref194578424"/>
      <w:bookmarkStart w:id="584" w:name="_Ref194578403"/>
      <w:bookmarkStart w:id="585" w:name="_Toc321254604"/>
      <w:bookmarkStart w:id="586" w:name="_Toc328601658"/>
      <w:bookmarkStart w:id="587" w:name="_Toc335915924"/>
      <w:r w:rsidRPr="005911E2">
        <w:t xml:space="preserve">Figure </w:t>
      </w:r>
      <w:r w:rsidR="00C7347D">
        <w:fldChar w:fldCharType="begin"/>
      </w:r>
      <w:r w:rsidR="00E74851">
        <w:instrText xml:space="preserve"> STYLEREF 1 \s </w:instrText>
      </w:r>
      <w:r w:rsidR="00C7347D">
        <w:fldChar w:fldCharType="separate"/>
      </w:r>
      <w:r w:rsidR="007D7E45">
        <w:rPr>
          <w:noProof/>
        </w:rPr>
        <w:t>7</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1</w:t>
      </w:r>
      <w:r w:rsidR="00C7347D">
        <w:fldChar w:fldCharType="end"/>
      </w:r>
      <w:bookmarkEnd w:id="583"/>
      <w:r w:rsidRPr="005911E2">
        <w:t xml:space="preserve"> </w:t>
      </w:r>
      <w:r w:rsidRPr="005911E2">
        <w:tab/>
        <w:t xml:space="preserve">Northern Territory, Number of clients provided services by </w:t>
      </w:r>
      <w:r w:rsidR="00672F76">
        <w:t>m</w:t>
      </w:r>
      <w:r w:rsidRPr="005911E2">
        <w:t xml:space="preserve">oney </w:t>
      </w:r>
      <w:r w:rsidR="00672F76">
        <w:t>m</w:t>
      </w:r>
      <w:r w:rsidRPr="005911E2">
        <w:t>anagement service providers, 2009-2011</w:t>
      </w:r>
      <w:bookmarkEnd w:id="584"/>
      <w:bookmarkEnd w:id="585"/>
      <w:bookmarkEnd w:id="586"/>
      <w:bookmarkEnd w:id="587"/>
    </w:p>
    <w:tbl>
      <w:tblPr>
        <w:tblStyle w:val="TableGrid5"/>
        <w:tblW w:w="0" w:type="auto"/>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1 Northern Territory, Number of clients provided services by money management service providers, 2009-2011"/>
        <w:tblDescription w:val="Figure 7-1 Northern Territory, Number of clients provided services by money management service providers, 2009-2011"/>
      </w:tblPr>
      <w:tblGrid>
        <w:gridCol w:w="7286"/>
      </w:tblGrid>
      <w:tr w:rsidR="00263D64" w:rsidRPr="005911E2" w:rsidTr="009D15E2">
        <w:trPr>
          <w:tblHeader/>
        </w:trPr>
        <w:tc>
          <w:tcPr>
            <w:tcW w:w="7286" w:type="dxa"/>
          </w:tcPr>
          <w:p w:rsidR="00263D64" w:rsidRPr="005911E2" w:rsidRDefault="000975E8" w:rsidP="00263D64">
            <w:pPr>
              <w:keepNext/>
              <w:keepLines/>
              <w:ind w:left="0"/>
              <w:rPr>
                <w:lang w:eastAsia="en-AU"/>
              </w:rPr>
            </w:pPr>
            <w:r>
              <w:rPr>
                <w:noProof/>
                <w:lang w:eastAsia="en-AU" w:bidi="ar-SA"/>
              </w:rPr>
              <w:drawing>
                <wp:inline distT="0" distB="0" distL="0" distR="0" wp14:anchorId="355CDFA4" wp14:editId="46FC6195">
                  <wp:extent cx="4579620" cy="2750820"/>
                  <wp:effectExtent l="0" t="0" r="0" b="0"/>
                  <wp:docPr id="7" name="Picture 4" descr="Figure 7-1 Northern Territory, Number of clients provided services by money management service providers, 2009-2011" title="Figure 7-1 Northern Territory, Number of clients provided services by money management service providers, 2009-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4579620" cy="2750820"/>
                          </a:xfrm>
                          <a:prstGeom prst="rect">
                            <a:avLst/>
                          </a:prstGeom>
                          <a:noFill/>
                          <a:ln w="9525">
                            <a:noFill/>
                            <a:miter lim="800000"/>
                            <a:headEnd/>
                            <a:tailEnd/>
                          </a:ln>
                        </pic:spPr>
                      </pic:pic>
                    </a:graphicData>
                  </a:graphic>
                </wp:inline>
              </w:drawing>
            </w:r>
          </w:p>
        </w:tc>
      </w:tr>
    </w:tbl>
    <w:p w:rsidR="00263D64" w:rsidRPr="005911E2" w:rsidRDefault="00263D64" w:rsidP="00CF78DB">
      <w:pPr>
        <w:pStyle w:val="tablefootnotes"/>
        <w:rPr>
          <w:lang w:eastAsia="en-AU"/>
        </w:rPr>
      </w:pPr>
    </w:p>
    <w:p w:rsidR="00263D64" w:rsidRPr="005911E2" w:rsidRDefault="00263D64" w:rsidP="00CF78DB">
      <w:pPr>
        <w:pStyle w:val="tablefootnotes"/>
      </w:pPr>
      <w:r w:rsidRPr="005911E2">
        <w:t>Notes:</w:t>
      </w:r>
      <w:r w:rsidRPr="005911E2">
        <w:tab/>
        <w:t xml:space="preserve">Some of the clients who received services provided by </w:t>
      </w:r>
      <w:r w:rsidR="00672F76">
        <w:t>m</w:t>
      </w:r>
      <w:r w:rsidRPr="005911E2">
        <w:t xml:space="preserve">oney </w:t>
      </w:r>
      <w:r w:rsidR="00672F76">
        <w:t>m</w:t>
      </w:r>
      <w:r w:rsidRPr="005911E2">
        <w:t xml:space="preserve">anagement </w:t>
      </w:r>
      <w:r w:rsidR="00672F76">
        <w:t>s</w:t>
      </w:r>
      <w:r w:rsidRPr="005911E2">
        <w:t xml:space="preserve">ervice providers who are not recorded as being on </w:t>
      </w:r>
      <w:r w:rsidR="00F878E4">
        <w:t>income management</w:t>
      </w:r>
      <w:r w:rsidRPr="005911E2">
        <w:t xml:space="preserve"> by the service provider may in fact have been on </w:t>
      </w:r>
      <w:r w:rsidR="00F878E4">
        <w:t>income management</w:t>
      </w:r>
      <w:r w:rsidRPr="005911E2">
        <w:t>.</w:t>
      </w:r>
      <w:r w:rsidR="00B62B2D">
        <w:t xml:space="preserve"> </w:t>
      </w:r>
      <w:r w:rsidRPr="005911E2">
        <w:t xml:space="preserve">Clients are not required to advise service providers that they are currently on </w:t>
      </w:r>
      <w:r w:rsidR="00672F76">
        <w:t>i</w:t>
      </w:r>
      <w:r w:rsidRPr="005911E2">
        <w:t xml:space="preserve">ncome </w:t>
      </w:r>
      <w:r w:rsidR="00672F76">
        <w:t>m</w:t>
      </w:r>
      <w:r w:rsidRPr="005911E2">
        <w:t xml:space="preserve">anagement in order to receive </w:t>
      </w:r>
      <w:r w:rsidR="00672F76">
        <w:t>m</w:t>
      </w:r>
      <w:r w:rsidRPr="005911E2">
        <w:t xml:space="preserve">oney </w:t>
      </w:r>
      <w:r w:rsidR="00672F76">
        <w:t>m</w:t>
      </w:r>
      <w:r w:rsidRPr="005911E2">
        <w:t>anagement services</w:t>
      </w:r>
      <w:r w:rsidR="00847CCC">
        <w:t>.</w:t>
      </w:r>
    </w:p>
    <w:p w:rsidR="00263D64" w:rsidRDefault="00263D64" w:rsidP="001246B9">
      <w:pPr>
        <w:pStyle w:val="tablefootnoteslastline"/>
      </w:pPr>
      <w:r w:rsidRPr="005911E2">
        <w:t xml:space="preserve">Source: </w:t>
      </w:r>
      <w:r w:rsidRPr="005911E2">
        <w:tab/>
        <w:t xml:space="preserve">Derived from reports provided by </w:t>
      </w:r>
      <w:r w:rsidR="00672F76">
        <w:t>m</w:t>
      </w:r>
      <w:r w:rsidRPr="005911E2">
        <w:t xml:space="preserve">oney </w:t>
      </w:r>
      <w:r w:rsidR="00672F76">
        <w:t>m</w:t>
      </w:r>
      <w:r w:rsidRPr="005911E2">
        <w:t>anagement services to FaHCSIA.</w:t>
      </w:r>
    </w:p>
    <w:p w:rsidR="001246B9" w:rsidRDefault="001246B9" w:rsidP="001246B9">
      <w:pPr>
        <w:pStyle w:val="tablefootnoteslastline"/>
      </w:pPr>
    </w:p>
    <w:p w:rsidR="001246B9" w:rsidRPr="005911E2" w:rsidRDefault="001246B9" w:rsidP="001246B9">
      <w:pPr>
        <w:pStyle w:val="BodyText"/>
      </w:pPr>
      <w:r w:rsidRPr="005911E2">
        <w:t xml:space="preserve">The number of workshops provided by </w:t>
      </w:r>
      <w:r>
        <w:t>m</w:t>
      </w:r>
      <w:r w:rsidRPr="005911E2">
        <w:t xml:space="preserve">oney </w:t>
      </w:r>
      <w:r>
        <w:t>m</w:t>
      </w:r>
      <w:r w:rsidRPr="005911E2">
        <w:t xml:space="preserve">anagement services increased from 105 </w:t>
      </w:r>
      <w:r>
        <w:t>for</w:t>
      </w:r>
      <w:r w:rsidRPr="005911E2">
        <w:t xml:space="preserve"> the period January to June 2010</w:t>
      </w:r>
      <w:r>
        <w:t>,</w:t>
      </w:r>
      <w:r w:rsidRPr="005911E2">
        <w:t xml:space="preserve"> to 473 </w:t>
      </w:r>
      <w:r>
        <w:t>for</w:t>
      </w:r>
      <w:r w:rsidRPr="005911E2">
        <w:t xml:space="preserve"> the period July to December 2011.</w:t>
      </w:r>
    </w:p>
    <w:p w:rsidR="001246B9" w:rsidRPr="005911E2" w:rsidRDefault="001246B9" w:rsidP="001246B9">
      <w:pPr>
        <w:pStyle w:val="BodyText"/>
      </w:pPr>
      <w:r w:rsidRPr="005911E2">
        <w:t xml:space="preserve">The total number of people accessing a </w:t>
      </w:r>
      <w:r>
        <w:t>m</w:t>
      </w:r>
      <w:r w:rsidRPr="005911E2">
        <w:t xml:space="preserve">oney </w:t>
      </w:r>
      <w:r>
        <w:t>m</w:t>
      </w:r>
      <w:r w:rsidRPr="005911E2">
        <w:t>anagement service increased from 3</w:t>
      </w:r>
      <w:r>
        <w:t> </w:t>
      </w:r>
      <w:r w:rsidRPr="005911E2">
        <w:t>845 over the period just prior to the transition from NTER IM to NIM (January to June 2010) to 7</w:t>
      </w:r>
      <w:r>
        <w:t> </w:t>
      </w:r>
      <w:r w:rsidRPr="005911E2">
        <w:t>499 over the period July to December 2011. Immediately following the transition to NIM</w:t>
      </w:r>
      <w:r>
        <w:t>,</w:t>
      </w:r>
      <w:r w:rsidRPr="005911E2">
        <w:t xml:space="preserve"> the number of clients that the services reported assisting fell to 2</w:t>
      </w:r>
      <w:r>
        <w:t> </w:t>
      </w:r>
      <w:r w:rsidRPr="005911E2">
        <w:t xml:space="preserve">715 but then rapidly increased. </w:t>
      </w:r>
    </w:p>
    <w:p w:rsidR="001246B9" w:rsidRPr="005911E2" w:rsidRDefault="001246B9" w:rsidP="001246B9">
      <w:pPr>
        <w:pStyle w:val="BodyText"/>
      </w:pPr>
      <w:r w:rsidRPr="005911E2">
        <w:t xml:space="preserve">The vast majority of clients of </w:t>
      </w:r>
      <w:r>
        <w:t>m</w:t>
      </w:r>
      <w:r w:rsidRPr="005911E2">
        <w:t xml:space="preserve">oney </w:t>
      </w:r>
      <w:r>
        <w:t>m</w:t>
      </w:r>
      <w:r w:rsidRPr="005911E2">
        <w:t>anagement services are Indigenous (98 per cent for the period July to December 2011).</w:t>
      </w:r>
    </w:p>
    <w:p w:rsidR="001246B9" w:rsidRPr="005911E2" w:rsidRDefault="001246B9" w:rsidP="001246B9">
      <w:pPr>
        <w:pStyle w:val="BodyText"/>
      </w:pPr>
      <w:r w:rsidRPr="005911E2">
        <w:t xml:space="preserve">The number of clients identified as being subject to </w:t>
      </w:r>
      <w:r>
        <w:t>income management</w:t>
      </w:r>
      <w:r w:rsidRPr="005911E2">
        <w:t xml:space="preserve"> who were assisted by </w:t>
      </w:r>
      <w:r>
        <w:t>m</w:t>
      </w:r>
      <w:r w:rsidRPr="005911E2">
        <w:t xml:space="preserve">oney </w:t>
      </w:r>
      <w:r>
        <w:t>m</w:t>
      </w:r>
      <w:r w:rsidRPr="005911E2">
        <w:t>anagement services increased from 2</w:t>
      </w:r>
      <w:r>
        <w:t> </w:t>
      </w:r>
      <w:r w:rsidRPr="005911E2">
        <w:t>089 just prior to the transition to NIM (January to June 2010) to 4</w:t>
      </w:r>
      <w:r>
        <w:t> </w:t>
      </w:r>
      <w:r w:rsidRPr="005911E2">
        <w:t xml:space="preserve">588 over the period July to December 2011. While the majority of those commencing </w:t>
      </w:r>
      <w:r>
        <w:t>a</w:t>
      </w:r>
      <w:r w:rsidRPr="005911E2">
        <w:t xml:space="preserve">pproved </w:t>
      </w:r>
      <w:r>
        <w:t>m</w:t>
      </w:r>
      <w:r w:rsidRPr="005911E2">
        <w:t xml:space="preserve">oney </w:t>
      </w:r>
      <w:r>
        <w:t>m</w:t>
      </w:r>
      <w:r w:rsidRPr="005911E2">
        <w:t>anagement courses are Indigenous, th</w:t>
      </w:r>
      <w:r>
        <w:t>e</w:t>
      </w:r>
      <w:r w:rsidRPr="005911E2">
        <w:t xml:space="preserve"> proportion who identify as being Indigenous has fallen from 94 per cent over the period July to December 2010</w:t>
      </w:r>
      <w:r>
        <w:t>,</w:t>
      </w:r>
      <w:r w:rsidRPr="005911E2">
        <w:t xml:space="preserve"> to 79 per cent over the period July to December 2011.</w:t>
      </w:r>
    </w:p>
    <w:p w:rsidR="00263D64" w:rsidRPr="005911E2" w:rsidRDefault="00263D64" w:rsidP="00264663">
      <w:pPr>
        <w:pStyle w:val="tabfighead"/>
      </w:pPr>
      <w:bookmarkStart w:id="588" w:name="_Ref194578552"/>
      <w:bookmarkStart w:id="589" w:name="_Ref321205743"/>
      <w:bookmarkStart w:id="590" w:name="_Toc321254605"/>
      <w:bookmarkStart w:id="591" w:name="_Toc328601659"/>
      <w:bookmarkStart w:id="592" w:name="_Toc335915925"/>
      <w:r w:rsidRPr="005911E2">
        <w:t xml:space="preserve">Figure </w:t>
      </w:r>
      <w:r w:rsidR="00C7347D">
        <w:fldChar w:fldCharType="begin"/>
      </w:r>
      <w:r w:rsidR="00E74851">
        <w:instrText xml:space="preserve"> STYLEREF 1 \s </w:instrText>
      </w:r>
      <w:r w:rsidR="00C7347D">
        <w:fldChar w:fldCharType="separate"/>
      </w:r>
      <w:r w:rsidR="007D7E45">
        <w:rPr>
          <w:noProof/>
        </w:rPr>
        <w:t>7</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2</w:t>
      </w:r>
      <w:r w:rsidR="00C7347D">
        <w:fldChar w:fldCharType="end"/>
      </w:r>
      <w:bookmarkEnd w:id="588"/>
      <w:bookmarkEnd w:id="589"/>
      <w:r w:rsidRPr="005911E2">
        <w:t xml:space="preserve"> </w:t>
      </w:r>
      <w:r w:rsidRPr="005911E2">
        <w:tab/>
        <w:t xml:space="preserve">Northern Territory, Number of workshops run by </w:t>
      </w:r>
      <w:r w:rsidR="00B450CA">
        <w:t>m</w:t>
      </w:r>
      <w:r w:rsidRPr="005911E2">
        <w:t xml:space="preserve">oney </w:t>
      </w:r>
      <w:r w:rsidR="00B450CA">
        <w:t>m</w:t>
      </w:r>
      <w:r w:rsidRPr="005911E2">
        <w:t>anagement services, 2009-2011</w:t>
      </w:r>
      <w:bookmarkEnd w:id="590"/>
      <w:bookmarkEnd w:id="591"/>
      <w:bookmarkEnd w:id="592"/>
    </w:p>
    <w:p w:rsidR="00263D64" w:rsidRPr="005911E2" w:rsidRDefault="00E75F1A" w:rsidP="00263D64">
      <w:pPr>
        <w:keepNext/>
        <w:keepLines/>
        <w:spacing w:after="0"/>
        <w:ind w:left="2552" w:hanging="851"/>
        <w:jc w:val="left"/>
      </w:pPr>
      <w:r>
        <w:rPr>
          <w:noProof/>
          <w:lang w:eastAsia="en-AU" w:bidi="ar-SA"/>
        </w:rPr>
        <w:drawing>
          <wp:inline distT="0" distB="0" distL="0" distR="0">
            <wp:extent cx="4572000" cy="2743200"/>
            <wp:effectExtent l="0" t="0" r="0" b="0"/>
            <wp:docPr id="59" name="Picture 21" descr="Figure 7-2 Northern Territory, Number of workshops run by money management services, 2009-2011" title="Figure 7-2 Northern Territory, Number of workshops run by money management services, 2009-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263D64" w:rsidRPr="005911E2" w:rsidRDefault="00263D64" w:rsidP="00CF78DB">
      <w:pPr>
        <w:pStyle w:val="tablefootnotes"/>
      </w:pPr>
      <w:r w:rsidRPr="005911E2">
        <w:t xml:space="preserve">Source: </w:t>
      </w:r>
      <w:r w:rsidR="00783DF8">
        <w:tab/>
      </w:r>
      <w:r w:rsidRPr="005911E2">
        <w:t xml:space="preserve">Derived from reports provided by </w:t>
      </w:r>
      <w:r w:rsidR="00672F76">
        <w:t>m</w:t>
      </w:r>
      <w:r w:rsidRPr="005911E2">
        <w:t xml:space="preserve">oney </w:t>
      </w:r>
      <w:r w:rsidR="00672F76">
        <w:t>m</w:t>
      </w:r>
      <w:r w:rsidRPr="005911E2">
        <w:t>anagement services to FaHCSIA.</w:t>
      </w:r>
    </w:p>
    <w:p w:rsidR="00263D64" w:rsidRPr="005911E2" w:rsidRDefault="00263D64" w:rsidP="00CF78DB">
      <w:pPr>
        <w:pStyle w:val="tablefootnotes"/>
        <w:rPr>
          <w:lang w:eastAsia="en-AU"/>
        </w:rPr>
      </w:pPr>
    </w:p>
    <w:p w:rsidR="00263D64" w:rsidRPr="005911E2" w:rsidRDefault="00263D64" w:rsidP="00263D64">
      <w:pPr>
        <w:rPr>
          <w:lang w:eastAsia="en-AU"/>
        </w:rPr>
      </w:pPr>
      <w:r w:rsidRPr="005911E2">
        <w:rPr>
          <w:lang w:eastAsia="en-AU"/>
        </w:rPr>
        <w:t xml:space="preserve">Much of the increase in the number of individuals subject to </w:t>
      </w:r>
      <w:r w:rsidR="00F878E4">
        <w:rPr>
          <w:lang w:eastAsia="en-AU"/>
        </w:rPr>
        <w:t>income management</w:t>
      </w:r>
      <w:r w:rsidRPr="005911E2">
        <w:rPr>
          <w:lang w:eastAsia="en-AU"/>
        </w:rPr>
        <w:t xml:space="preserve"> accessing </w:t>
      </w:r>
      <w:r w:rsidR="00672F76">
        <w:rPr>
          <w:lang w:eastAsia="en-AU"/>
        </w:rPr>
        <w:t>m</w:t>
      </w:r>
      <w:r w:rsidRPr="005911E2">
        <w:rPr>
          <w:lang w:eastAsia="en-AU"/>
        </w:rPr>
        <w:t xml:space="preserve">oney </w:t>
      </w:r>
      <w:r w:rsidR="00672F76">
        <w:rPr>
          <w:lang w:eastAsia="en-AU"/>
        </w:rPr>
        <w:t>m</w:t>
      </w:r>
      <w:r w:rsidRPr="005911E2">
        <w:rPr>
          <w:lang w:eastAsia="en-AU"/>
        </w:rPr>
        <w:t xml:space="preserve">anagement services from July 2010 comprises people on </w:t>
      </w:r>
      <w:r w:rsidR="004808B3">
        <w:rPr>
          <w:lang w:eastAsia="en-AU"/>
        </w:rPr>
        <w:t>Compulsory Income Management</w:t>
      </w:r>
      <w:r w:rsidRPr="005911E2">
        <w:rPr>
          <w:lang w:eastAsia="en-AU"/>
        </w:rPr>
        <w:t xml:space="preserve"> (Figure 7</w:t>
      </w:r>
      <w:r w:rsidRPr="005911E2">
        <w:rPr>
          <w:lang w:eastAsia="en-AU"/>
        </w:rPr>
        <w:noBreakHyphen/>
        <w:t xml:space="preserve">3). There is virtually no change in the number of those on </w:t>
      </w:r>
      <w:r w:rsidR="002B5A5C">
        <w:rPr>
          <w:lang w:eastAsia="en-AU"/>
        </w:rPr>
        <w:t>Voluntary Income Management</w:t>
      </w:r>
      <w:r w:rsidRPr="005911E2">
        <w:rPr>
          <w:lang w:eastAsia="en-AU"/>
        </w:rPr>
        <w:t xml:space="preserve"> accessing these services. This is likely to be an underestimate of the actual number of people assisted because the data in Figure </w:t>
      </w:r>
      <w:r w:rsidRPr="005911E2">
        <w:rPr>
          <w:noProof/>
          <w:lang w:eastAsia="en-AU"/>
        </w:rPr>
        <w:t>7</w:t>
      </w:r>
      <w:r w:rsidRPr="005911E2">
        <w:rPr>
          <w:lang w:eastAsia="en-AU"/>
        </w:rPr>
        <w:noBreakHyphen/>
      </w:r>
      <w:r w:rsidRPr="005911E2">
        <w:rPr>
          <w:noProof/>
          <w:lang w:eastAsia="en-AU"/>
        </w:rPr>
        <w:t>3</w:t>
      </w:r>
      <w:r w:rsidRPr="005911E2">
        <w:rPr>
          <w:lang w:eastAsia="en-AU"/>
        </w:rPr>
        <w:t xml:space="preserve"> does not include people who attended workshops.</w:t>
      </w:r>
    </w:p>
    <w:p w:rsidR="00263D64" w:rsidRPr="005911E2" w:rsidRDefault="00263D64" w:rsidP="00672F76">
      <w:pPr>
        <w:pStyle w:val="tabfighead"/>
      </w:pPr>
      <w:bookmarkStart w:id="593" w:name="_Ref194578649"/>
      <w:bookmarkStart w:id="594" w:name="_Toc321254606"/>
      <w:bookmarkStart w:id="595" w:name="_Toc328601660"/>
      <w:bookmarkStart w:id="596" w:name="_Toc335915926"/>
      <w:r w:rsidRPr="005911E2">
        <w:t xml:space="preserve">Figure </w:t>
      </w:r>
      <w:r w:rsidR="00C7347D">
        <w:fldChar w:fldCharType="begin"/>
      </w:r>
      <w:r w:rsidR="00E74851">
        <w:instrText xml:space="preserve"> STYLEREF 1 \s </w:instrText>
      </w:r>
      <w:r w:rsidR="00C7347D">
        <w:fldChar w:fldCharType="separate"/>
      </w:r>
      <w:r w:rsidR="007D7E45">
        <w:rPr>
          <w:noProof/>
        </w:rPr>
        <w:t>7</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3</w:t>
      </w:r>
      <w:r w:rsidR="00C7347D">
        <w:fldChar w:fldCharType="end"/>
      </w:r>
      <w:bookmarkEnd w:id="593"/>
      <w:r w:rsidRPr="005911E2">
        <w:t xml:space="preserve"> </w:t>
      </w:r>
      <w:r w:rsidRPr="005911E2">
        <w:tab/>
        <w:t xml:space="preserve">Numbers assisted by </w:t>
      </w:r>
      <w:r w:rsidR="00672F76">
        <w:t>m</w:t>
      </w:r>
      <w:r w:rsidRPr="005911E2">
        <w:t xml:space="preserve">oney </w:t>
      </w:r>
      <w:r w:rsidR="00672F76">
        <w:t>m</w:t>
      </w:r>
      <w:r w:rsidRPr="005911E2">
        <w:t xml:space="preserve">anagement service providers by type of </w:t>
      </w:r>
      <w:r w:rsidR="00F878E4">
        <w:t>income management</w:t>
      </w:r>
      <w:r w:rsidRPr="005911E2">
        <w:t>, 2010-2011</w:t>
      </w:r>
      <w:bookmarkEnd w:id="594"/>
      <w:bookmarkEnd w:id="595"/>
      <w:bookmarkEnd w:id="596"/>
    </w:p>
    <w:p w:rsidR="00263D64" w:rsidRPr="005911E2" w:rsidRDefault="00E75F1A" w:rsidP="00263D64">
      <w:pPr>
        <w:keepNext/>
        <w:keepLines/>
        <w:spacing w:after="0" w:line="264" w:lineRule="auto"/>
        <w:ind w:left="2552" w:hanging="851"/>
        <w:rPr>
          <w:sz w:val="18"/>
        </w:rPr>
      </w:pPr>
      <w:r w:rsidRPr="0004229F">
        <w:rPr>
          <w:noProof/>
          <w:sz w:val="18"/>
          <w:lang w:eastAsia="en-AU" w:bidi="ar-SA"/>
        </w:rPr>
        <w:drawing>
          <wp:inline distT="0" distB="0" distL="0" distR="0">
            <wp:extent cx="4572000" cy="2743200"/>
            <wp:effectExtent l="0" t="0" r="0" b="0"/>
            <wp:docPr id="60" name="Picture 25" descr="Figure 7-3 Numbers assisted by money management service providers by type of income management, 2010-2011" title="Figure 7-3 Numbers assisted by money management service providers by type of income management, 2010-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D96A58" w:rsidRDefault="00263D64" w:rsidP="002955BA">
      <w:pPr>
        <w:pStyle w:val="tablefootnotes"/>
      </w:pPr>
      <w:r w:rsidRPr="005911E2">
        <w:t xml:space="preserve">Source: </w:t>
      </w:r>
      <w:r w:rsidR="00077699">
        <w:tab/>
      </w:r>
      <w:r w:rsidRPr="005911E2">
        <w:t xml:space="preserve">Derived from reports provided by </w:t>
      </w:r>
      <w:r w:rsidR="00B450CA">
        <w:t>m</w:t>
      </w:r>
      <w:r w:rsidRPr="005911E2">
        <w:t xml:space="preserve">oney </w:t>
      </w:r>
      <w:r w:rsidR="00B450CA">
        <w:t>m</w:t>
      </w:r>
      <w:r w:rsidRPr="005911E2">
        <w:t>anagement services to FaHCSIA.</w:t>
      </w:r>
    </w:p>
    <w:p w:rsidR="00263D64" w:rsidRPr="005911E2" w:rsidRDefault="00263D64" w:rsidP="00263D64">
      <w:pPr>
        <w:spacing w:after="0" w:line="264" w:lineRule="auto"/>
        <w:ind w:left="2552" w:hanging="851"/>
        <w:rPr>
          <w:sz w:val="18"/>
        </w:rPr>
      </w:pPr>
    </w:p>
    <w:p w:rsidR="00263D64" w:rsidRPr="005911E2" w:rsidRDefault="00263D64" w:rsidP="00263D64">
      <w:pPr>
        <w:rPr>
          <w:lang w:eastAsia="en-AU"/>
        </w:rPr>
      </w:pPr>
      <w:r w:rsidRPr="005911E2">
        <w:rPr>
          <w:lang w:eastAsia="en-AU"/>
        </w:rPr>
        <w:t xml:space="preserve">In their reports to FaHCSIA, </w:t>
      </w:r>
      <w:r w:rsidR="00672F76">
        <w:rPr>
          <w:lang w:eastAsia="en-AU"/>
        </w:rPr>
        <w:t>m</w:t>
      </w:r>
      <w:r w:rsidRPr="005911E2">
        <w:rPr>
          <w:lang w:eastAsia="en-AU"/>
        </w:rPr>
        <w:t xml:space="preserve">oney </w:t>
      </w:r>
      <w:r w:rsidR="00672F76">
        <w:rPr>
          <w:lang w:eastAsia="en-AU"/>
        </w:rPr>
        <w:t>m</w:t>
      </w:r>
      <w:r w:rsidRPr="005911E2">
        <w:rPr>
          <w:lang w:eastAsia="en-AU"/>
        </w:rPr>
        <w:t>anagement services reported that</w:t>
      </w:r>
      <w:r w:rsidR="00672F76">
        <w:rPr>
          <w:lang w:eastAsia="en-AU"/>
        </w:rPr>
        <w:t>,</w:t>
      </w:r>
      <w:r w:rsidRPr="005911E2">
        <w:rPr>
          <w:lang w:eastAsia="en-AU"/>
        </w:rPr>
        <w:t xml:space="preserve"> over the 6 month period July to December 2011</w:t>
      </w:r>
      <w:r w:rsidR="00672F76">
        <w:rPr>
          <w:lang w:eastAsia="en-AU"/>
        </w:rPr>
        <w:t>,</w:t>
      </w:r>
      <w:r w:rsidRPr="005911E2">
        <w:rPr>
          <w:lang w:eastAsia="en-AU"/>
        </w:rPr>
        <w:t xml:space="preserve"> services were provided to over 4</w:t>
      </w:r>
      <w:r w:rsidR="00077699">
        <w:rPr>
          <w:lang w:eastAsia="en-AU"/>
        </w:rPr>
        <w:t> </w:t>
      </w:r>
      <w:r w:rsidRPr="005911E2">
        <w:rPr>
          <w:lang w:eastAsia="en-AU"/>
        </w:rPr>
        <w:t xml:space="preserve">000 people subject to </w:t>
      </w:r>
      <w:r w:rsidR="00F878E4">
        <w:rPr>
          <w:lang w:eastAsia="en-AU"/>
        </w:rPr>
        <w:t>income management</w:t>
      </w:r>
      <w:r w:rsidRPr="005911E2">
        <w:rPr>
          <w:lang w:eastAsia="en-AU"/>
        </w:rPr>
        <w:t xml:space="preserve"> plus nearly 500 workshops with multiple participants. According to these figures well over </w:t>
      </w:r>
      <w:r w:rsidR="00672F76">
        <w:rPr>
          <w:lang w:eastAsia="en-AU"/>
        </w:rPr>
        <w:t xml:space="preserve">a </w:t>
      </w:r>
      <w:r w:rsidRPr="005911E2">
        <w:rPr>
          <w:lang w:eastAsia="en-AU"/>
        </w:rPr>
        <w:t xml:space="preserve">quarter of those subject to </w:t>
      </w:r>
      <w:r w:rsidR="00F878E4">
        <w:rPr>
          <w:lang w:eastAsia="en-AU"/>
        </w:rPr>
        <w:t>income management</w:t>
      </w:r>
      <w:r w:rsidRPr="005911E2">
        <w:rPr>
          <w:lang w:eastAsia="en-AU"/>
        </w:rPr>
        <w:t xml:space="preserve"> used these services over </w:t>
      </w:r>
      <w:r w:rsidR="00601E30">
        <w:rPr>
          <w:lang w:eastAsia="en-AU"/>
        </w:rPr>
        <w:t>the</w:t>
      </w:r>
      <w:r w:rsidRPr="005911E2">
        <w:rPr>
          <w:lang w:eastAsia="en-AU"/>
        </w:rPr>
        <w:t xml:space="preserve"> 6 month period. However, these figures are much higher than suggested by the participation rates in these services reported by survey participants</w:t>
      </w:r>
      <w:r w:rsidR="00077699">
        <w:rPr>
          <w:lang w:eastAsia="en-AU"/>
        </w:rPr>
        <w:t xml:space="preserve"> in the first wave of </w:t>
      </w:r>
      <w:r w:rsidRPr="005911E2">
        <w:rPr>
          <w:lang w:eastAsia="en-AU"/>
        </w:rPr>
        <w:t xml:space="preserve">the LSNIM </w:t>
      </w:r>
      <w:r w:rsidR="00601E30">
        <w:rPr>
          <w:lang w:eastAsia="en-AU"/>
        </w:rPr>
        <w:t>or</w:t>
      </w:r>
      <w:r w:rsidRPr="005911E2">
        <w:rPr>
          <w:lang w:eastAsia="en-AU"/>
        </w:rPr>
        <w:t xml:space="preserve"> from the surveys of Centrelink staff</w:t>
      </w:r>
      <w:r w:rsidR="00672F76">
        <w:rPr>
          <w:lang w:eastAsia="en-AU"/>
        </w:rPr>
        <w:t>,</w:t>
      </w:r>
      <w:r w:rsidRPr="005911E2">
        <w:rPr>
          <w:lang w:eastAsia="en-AU"/>
        </w:rPr>
        <w:t xml:space="preserve"> and </w:t>
      </w:r>
      <w:r w:rsidR="00672F76">
        <w:rPr>
          <w:lang w:eastAsia="en-AU"/>
        </w:rPr>
        <w:t>m</w:t>
      </w:r>
      <w:r w:rsidRPr="005911E2">
        <w:rPr>
          <w:lang w:eastAsia="en-AU"/>
        </w:rPr>
        <w:t xml:space="preserve">oney </w:t>
      </w:r>
      <w:r w:rsidR="00672F76">
        <w:rPr>
          <w:lang w:eastAsia="en-AU"/>
        </w:rPr>
        <w:t>m</w:t>
      </w:r>
      <w:r w:rsidRPr="005911E2">
        <w:rPr>
          <w:lang w:eastAsia="en-AU"/>
        </w:rPr>
        <w:t>anagement and financial counselling service providers. One explanation for the variation is that the data reported by the service providers may count each instance of a service provided to a client as a separate client</w:t>
      </w:r>
      <w:r w:rsidR="00672F76">
        <w:rPr>
          <w:lang w:eastAsia="en-AU"/>
        </w:rPr>
        <w:t>;</w:t>
      </w:r>
      <w:r w:rsidRPr="005911E2">
        <w:rPr>
          <w:lang w:eastAsia="en-AU"/>
        </w:rPr>
        <w:t xml:space="preserve"> some people may gain assistance from more than one service. At this stage the evaluation is not able to resolve this issue.</w:t>
      </w:r>
    </w:p>
    <w:p w:rsidR="00263D64" w:rsidRPr="005911E2" w:rsidRDefault="00263D64" w:rsidP="00263D64">
      <w:pPr>
        <w:rPr>
          <w:lang w:eastAsia="en-AU"/>
        </w:rPr>
      </w:pPr>
      <w:r w:rsidRPr="005911E2">
        <w:rPr>
          <w:lang w:eastAsia="en-AU"/>
        </w:rPr>
        <w:t xml:space="preserve">Money </w:t>
      </w:r>
      <w:r w:rsidR="00672F76">
        <w:rPr>
          <w:lang w:eastAsia="en-AU"/>
        </w:rPr>
        <w:t>m</w:t>
      </w:r>
      <w:r w:rsidRPr="005911E2">
        <w:rPr>
          <w:lang w:eastAsia="en-AU"/>
        </w:rPr>
        <w:t xml:space="preserve">anagement services provide </w:t>
      </w:r>
      <w:r w:rsidR="00672F76">
        <w:rPr>
          <w:lang w:eastAsia="en-AU"/>
        </w:rPr>
        <w:t>a</w:t>
      </w:r>
      <w:r w:rsidRPr="005911E2">
        <w:rPr>
          <w:lang w:eastAsia="en-AU"/>
        </w:rPr>
        <w:t xml:space="preserve">pproved </w:t>
      </w:r>
      <w:r w:rsidR="00672F76">
        <w:rPr>
          <w:lang w:eastAsia="en-AU"/>
        </w:rPr>
        <w:t>m</w:t>
      </w:r>
      <w:r w:rsidRPr="005911E2">
        <w:rPr>
          <w:lang w:eastAsia="en-AU"/>
        </w:rPr>
        <w:t xml:space="preserve">oney </w:t>
      </w:r>
      <w:r w:rsidR="00672F76">
        <w:rPr>
          <w:lang w:eastAsia="en-AU"/>
        </w:rPr>
        <w:t>m</w:t>
      </w:r>
      <w:r w:rsidRPr="005911E2">
        <w:rPr>
          <w:lang w:eastAsia="en-AU"/>
        </w:rPr>
        <w:t xml:space="preserve">anagement </w:t>
      </w:r>
      <w:r w:rsidR="00672F76">
        <w:rPr>
          <w:lang w:eastAsia="en-AU"/>
        </w:rPr>
        <w:t>c</w:t>
      </w:r>
      <w:r w:rsidRPr="005911E2">
        <w:rPr>
          <w:lang w:eastAsia="en-AU"/>
        </w:rPr>
        <w:t>ourse</w:t>
      </w:r>
      <w:r w:rsidR="007337E1">
        <w:rPr>
          <w:lang w:eastAsia="en-AU"/>
        </w:rPr>
        <w:t>s</w:t>
      </w:r>
      <w:r w:rsidRPr="005911E2">
        <w:rPr>
          <w:lang w:eastAsia="en-AU"/>
        </w:rPr>
        <w:t xml:space="preserve"> and </w:t>
      </w:r>
      <w:r w:rsidR="005911E2" w:rsidRPr="005911E2">
        <w:rPr>
          <w:lang w:eastAsia="en-AU"/>
        </w:rPr>
        <w:t xml:space="preserve">workshops. </w:t>
      </w:r>
      <w:r w:rsidRPr="005911E2">
        <w:rPr>
          <w:lang w:eastAsia="en-AU"/>
        </w:rPr>
        <w:t xml:space="preserve">Only a small proportion of </w:t>
      </w:r>
      <w:r w:rsidR="00672F76">
        <w:rPr>
          <w:lang w:eastAsia="en-AU"/>
        </w:rPr>
        <w:t>m</w:t>
      </w:r>
      <w:r w:rsidRPr="005911E2">
        <w:rPr>
          <w:lang w:eastAsia="en-AU"/>
        </w:rPr>
        <w:t xml:space="preserve">oney </w:t>
      </w:r>
      <w:r w:rsidR="00672F76">
        <w:rPr>
          <w:lang w:eastAsia="en-AU"/>
        </w:rPr>
        <w:t>m</w:t>
      </w:r>
      <w:r w:rsidRPr="005911E2">
        <w:rPr>
          <w:lang w:eastAsia="en-AU"/>
        </w:rPr>
        <w:t xml:space="preserve">anagement services which are provided are </w:t>
      </w:r>
      <w:r w:rsidR="00672F76">
        <w:rPr>
          <w:lang w:eastAsia="en-AU"/>
        </w:rPr>
        <w:t>a</w:t>
      </w:r>
      <w:r w:rsidRPr="005911E2">
        <w:rPr>
          <w:lang w:eastAsia="en-AU"/>
        </w:rPr>
        <w:t xml:space="preserve">pproved </w:t>
      </w:r>
      <w:r w:rsidR="00672F76">
        <w:rPr>
          <w:lang w:eastAsia="en-AU"/>
        </w:rPr>
        <w:t>m</w:t>
      </w:r>
      <w:r w:rsidRPr="005911E2">
        <w:rPr>
          <w:lang w:eastAsia="en-AU"/>
        </w:rPr>
        <w:t xml:space="preserve">oney </w:t>
      </w:r>
      <w:r w:rsidR="00672F76">
        <w:rPr>
          <w:lang w:eastAsia="en-AU"/>
        </w:rPr>
        <w:t>m</w:t>
      </w:r>
      <w:r w:rsidRPr="005911E2">
        <w:rPr>
          <w:lang w:eastAsia="en-AU"/>
        </w:rPr>
        <w:t xml:space="preserve">anagement courses. Over the period July to December 2011, 362 people commenced an </w:t>
      </w:r>
      <w:r w:rsidR="00672F76">
        <w:rPr>
          <w:lang w:eastAsia="en-AU"/>
        </w:rPr>
        <w:t>a</w:t>
      </w:r>
      <w:r w:rsidRPr="005911E2">
        <w:rPr>
          <w:lang w:eastAsia="en-AU"/>
        </w:rPr>
        <w:t xml:space="preserve">pproved </w:t>
      </w:r>
      <w:r w:rsidR="00672F76">
        <w:rPr>
          <w:lang w:eastAsia="en-AU"/>
        </w:rPr>
        <w:t>m</w:t>
      </w:r>
      <w:r w:rsidRPr="005911E2">
        <w:rPr>
          <w:lang w:eastAsia="en-AU"/>
        </w:rPr>
        <w:t xml:space="preserve">oney </w:t>
      </w:r>
      <w:r w:rsidR="00672F76">
        <w:rPr>
          <w:lang w:eastAsia="en-AU"/>
        </w:rPr>
        <w:t>m</w:t>
      </w:r>
      <w:r w:rsidRPr="005911E2">
        <w:rPr>
          <w:lang w:eastAsia="en-AU"/>
        </w:rPr>
        <w:t xml:space="preserve">anagement </w:t>
      </w:r>
      <w:r w:rsidR="00672F76">
        <w:rPr>
          <w:lang w:eastAsia="en-AU"/>
        </w:rPr>
        <w:t>c</w:t>
      </w:r>
      <w:r w:rsidRPr="005911E2">
        <w:rPr>
          <w:lang w:eastAsia="en-AU"/>
        </w:rPr>
        <w:t xml:space="preserve">ourse. Of these, 149 completed the course, 29 withdrew and 184 were </w:t>
      </w:r>
      <w:r w:rsidR="007D0AB3">
        <w:rPr>
          <w:lang w:eastAsia="en-AU"/>
        </w:rPr>
        <w:t>apparently</w:t>
      </w:r>
      <w:r w:rsidR="007D0AB3" w:rsidRPr="005911E2">
        <w:rPr>
          <w:lang w:eastAsia="en-AU"/>
        </w:rPr>
        <w:t xml:space="preserve"> </w:t>
      </w:r>
      <w:r w:rsidRPr="005911E2">
        <w:rPr>
          <w:lang w:eastAsia="en-AU"/>
        </w:rPr>
        <w:t>still doing the course</w:t>
      </w:r>
      <w:r w:rsidR="00BD1D95">
        <w:rPr>
          <w:lang w:eastAsia="en-AU"/>
        </w:rPr>
        <w:t xml:space="preserve"> in December 2011</w:t>
      </w:r>
      <w:r w:rsidRPr="005911E2">
        <w:rPr>
          <w:lang w:eastAsia="en-AU"/>
        </w:rPr>
        <w:t>.</w:t>
      </w:r>
    </w:p>
    <w:p w:rsidR="00263D64" w:rsidRPr="005911E2" w:rsidRDefault="00263D64" w:rsidP="00263D64">
      <w:pPr>
        <w:rPr>
          <w:lang w:eastAsia="en-AU"/>
        </w:rPr>
      </w:pPr>
      <w:r w:rsidRPr="005911E2">
        <w:rPr>
          <w:lang w:eastAsia="en-AU"/>
        </w:rPr>
        <w:t>Very few people received a Matched Savings Payment. As at January 2012, just 15 Matched Saving Payments had been made with the average payment being $490.80.</w:t>
      </w:r>
      <w:r w:rsidRPr="005911E2">
        <w:rPr>
          <w:vertAlign w:val="superscript"/>
          <w:lang w:eastAsia="en-AU"/>
        </w:rPr>
        <w:footnoteReference w:id="67"/>
      </w:r>
      <w:r w:rsidRPr="005911E2">
        <w:rPr>
          <w:lang w:eastAsia="en-AU"/>
        </w:rPr>
        <w:t xml:space="preserve"> Most of those who gained the </w:t>
      </w:r>
      <w:r w:rsidR="00BD1D95">
        <w:rPr>
          <w:lang w:eastAsia="en-AU"/>
        </w:rPr>
        <w:t xml:space="preserve">payment </w:t>
      </w:r>
      <w:r w:rsidRPr="005911E2">
        <w:rPr>
          <w:lang w:eastAsia="en-AU"/>
        </w:rPr>
        <w:t>were non-Indigenous.</w:t>
      </w:r>
    </w:p>
    <w:p w:rsidR="00263D64" w:rsidRPr="005911E2" w:rsidRDefault="00263D64" w:rsidP="00264663">
      <w:pPr>
        <w:pStyle w:val="tabfighead"/>
      </w:pPr>
      <w:bookmarkStart w:id="597" w:name="_Toc321254607"/>
      <w:bookmarkStart w:id="598" w:name="_Toc328601661"/>
      <w:bookmarkStart w:id="599" w:name="_Toc335915927"/>
      <w:r w:rsidRPr="005911E2">
        <w:t xml:space="preserve">Figure </w:t>
      </w:r>
      <w:r w:rsidR="00C7347D">
        <w:fldChar w:fldCharType="begin"/>
      </w:r>
      <w:r w:rsidR="00E74851">
        <w:instrText xml:space="preserve"> STYLEREF 1 \s </w:instrText>
      </w:r>
      <w:r w:rsidR="00C7347D">
        <w:fldChar w:fldCharType="separate"/>
      </w:r>
      <w:r w:rsidR="007D7E45">
        <w:rPr>
          <w:noProof/>
        </w:rPr>
        <w:t>7</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4</w:t>
      </w:r>
      <w:r w:rsidR="00C7347D">
        <w:fldChar w:fldCharType="end"/>
      </w:r>
      <w:r w:rsidRPr="005911E2">
        <w:t xml:space="preserve"> </w:t>
      </w:r>
      <w:r w:rsidRPr="005911E2">
        <w:tab/>
      </w:r>
      <w:r w:rsidR="006435C8">
        <w:t>Northern Territory,</w:t>
      </w:r>
      <w:r w:rsidRPr="005911E2">
        <w:t xml:space="preserve"> number of people attending </w:t>
      </w:r>
      <w:r w:rsidR="00D43761">
        <w:t>a</w:t>
      </w:r>
      <w:r w:rsidRPr="005911E2">
        <w:t xml:space="preserve">pproved </w:t>
      </w:r>
      <w:r w:rsidR="00D43761">
        <w:t>m</w:t>
      </w:r>
      <w:r w:rsidRPr="005911E2">
        <w:t xml:space="preserve">oney </w:t>
      </w:r>
      <w:r w:rsidR="00D43761">
        <w:t>m</w:t>
      </w:r>
      <w:r w:rsidRPr="005911E2">
        <w:t xml:space="preserve">anagement </w:t>
      </w:r>
      <w:r w:rsidR="00D43761">
        <w:t>c</w:t>
      </w:r>
      <w:r w:rsidRPr="005911E2">
        <w:t>ourses, 2010-2011</w:t>
      </w:r>
      <w:bookmarkEnd w:id="597"/>
      <w:bookmarkEnd w:id="598"/>
      <w:bookmarkEnd w:id="599"/>
    </w:p>
    <w:tbl>
      <w:tblPr>
        <w:tblStyle w:val="TableGrid"/>
        <w:tblW w:w="7853" w:type="dxa"/>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4 Northern Territory, number of people attending approved money management courses, 2010-2011"/>
        <w:tblDescription w:val="Figure 7-4 Northern Territory, number of people attending approved money management courses, 2010-2011"/>
      </w:tblPr>
      <w:tblGrid>
        <w:gridCol w:w="7853"/>
      </w:tblGrid>
      <w:tr w:rsidR="006F3AA9" w:rsidTr="009D15E2">
        <w:trPr>
          <w:tblHeader/>
        </w:trPr>
        <w:tc>
          <w:tcPr>
            <w:tcW w:w="7853" w:type="dxa"/>
          </w:tcPr>
          <w:p w:rsidR="006F3AA9" w:rsidRDefault="00E75F1A" w:rsidP="00263D64">
            <w:pPr>
              <w:keepNext/>
              <w:keepLines/>
              <w:ind w:left="0"/>
              <w:jc w:val="left"/>
              <w:rPr>
                <w:lang w:eastAsia="en-AU"/>
              </w:rPr>
            </w:pPr>
            <w:r>
              <w:rPr>
                <w:noProof/>
                <w:lang w:eastAsia="en-AU" w:bidi="ar-SA"/>
              </w:rPr>
              <w:drawing>
                <wp:anchor distT="0" distB="0" distL="114300" distR="114300" simplePos="0" relativeHeight="251759616" behindDoc="0" locked="0" layoutInCell="1" allowOverlap="1" wp14:anchorId="1019FD8C" wp14:editId="50208FFE">
                  <wp:simplePos x="0" y="0"/>
                  <wp:positionH relativeFrom="column">
                    <wp:posOffset>0</wp:posOffset>
                  </wp:positionH>
                  <wp:positionV relativeFrom="paragraph">
                    <wp:posOffset>292884</wp:posOffset>
                  </wp:positionV>
                  <wp:extent cx="4570879" cy="2743200"/>
                  <wp:effectExtent l="0" t="0" r="1270" b="0"/>
                  <wp:wrapTopAndBottom/>
                  <wp:docPr id="61" name="Picture 42" descr="Figure 7-4 Northern Territory, number of people attending approved money management courses, 2010-2011" title="Figure 7-4 Northern Territory, number of people attending approved money management courses, 2010-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anchor>
              </w:drawing>
            </w:r>
          </w:p>
        </w:tc>
      </w:tr>
    </w:tbl>
    <w:p w:rsidR="00263D64" w:rsidRPr="005911E2" w:rsidRDefault="00263D64" w:rsidP="002955BA">
      <w:pPr>
        <w:pStyle w:val="tablefootnotes"/>
      </w:pPr>
      <w:r w:rsidRPr="005911E2">
        <w:t>Source:</w:t>
      </w:r>
      <w:r w:rsidR="00077699">
        <w:tab/>
      </w:r>
      <w:r w:rsidRPr="005911E2">
        <w:t xml:space="preserve">Derived from reports provided by </w:t>
      </w:r>
      <w:r w:rsidR="00D43761">
        <w:t>m</w:t>
      </w:r>
      <w:r w:rsidRPr="005911E2">
        <w:t xml:space="preserve">oney </w:t>
      </w:r>
      <w:r w:rsidR="00D43761">
        <w:t>m</w:t>
      </w:r>
      <w:r w:rsidRPr="005911E2">
        <w:t>anagement services to FaHCSIA.</w:t>
      </w:r>
    </w:p>
    <w:p w:rsidR="00D96A58" w:rsidRDefault="00D96A58" w:rsidP="002955BA">
      <w:pPr>
        <w:spacing w:after="0" w:line="264" w:lineRule="auto"/>
        <w:ind w:left="2552" w:hanging="851"/>
        <w:rPr>
          <w:lang w:eastAsia="en-AU"/>
        </w:rPr>
      </w:pPr>
    </w:p>
    <w:p w:rsidR="00263D64" w:rsidRPr="005911E2" w:rsidRDefault="00263D64" w:rsidP="00263D64">
      <w:pPr>
        <w:rPr>
          <w:lang w:eastAsia="en-AU"/>
        </w:rPr>
      </w:pPr>
      <w:r w:rsidRPr="005911E2">
        <w:rPr>
          <w:lang w:eastAsia="en-AU"/>
        </w:rPr>
        <w:t>Another stream of financial advice is delivered through Commonwealth Financial Counselling</w:t>
      </w:r>
      <w:r w:rsidR="00D43761">
        <w:rPr>
          <w:lang w:eastAsia="en-AU"/>
        </w:rPr>
        <w:t>.</w:t>
      </w:r>
      <w:r w:rsidRPr="005911E2">
        <w:rPr>
          <w:lang w:eastAsia="en-AU"/>
        </w:rPr>
        <w:t xml:space="preserve"> The numbers of people subject to income management receiving such services </w:t>
      </w:r>
      <w:r w:rsidR="007D0AB3">
        <w:rPr>
          <w:lang w:eastAsia="en-AU"/>
        </w:rPr>
        <w:t xml:space="preserve">from this source </w:t>
      </w:r>
      <w:r w:rsidRPr="005911E2">
        <w:rPr>
          <w:lang w:eastAsia="en-AU"/>
        </w:rPr>
        <w:t xml:space="preserve">is smaller than those receiving </w:t>
      </w:r>
      <w:r w:rsidR="00D43761">
        <w:rPr>
          <w:lang w:eastAsia="en-AU"/>
        </w:rPr>
        <w:t>m</w:t>
      </w:r>
      <w:r w:rsidRPr="005911E2">
        <w:rPr>
          <w:lang w:eastAsia="en-AU"/>
        </w:rPr>
        <w:t xml:space="preserve">oney </w:t>
      </w:r>
      <w:r w:rsidR="00D43761">
        <w:rPr>
          <w:lang w:eastAsia="en-AU"/>
        </w:rPr>
        <w:t>m</w:t>
      </w:r>
      <w:r w:rsidRPr="005911E2">
        <w:rPr>
          <w:lang w:eastAsia="en-AU"/>
        </w:rPr>
        <w:t>anagement services. In 2010-11, a total of 136 people being income managed received financial counselling services, of whom 114 were on Compulsory Income Management and 22 were on Voluntary Income Management.</w:t>
      </w:r>
    </w:p>
    <w:p w:rsidR="00263D64" w:rsidRPr="005911E2" w:rsidRDefault="00263D64" w:rsidP="00616B0F">
      <w:pPr>
        <w:pStyle w:val="Heading2"/>
      </w:pPr>
      <w:bookmarkStart w:id="600" w:name="_Toc328667921"/>
      <w:bookmarkStart w:id="601" w:name="_Toc328601501"/>
      <w:bookmarkStart w:id="602" w:name="_Toc321225134"/>
      <w:bookmarkStart w:id="603" w:name="_Toc321254477"/>
      <w:bookmarkStart w:id="604" w:name="_Toc328601502"/>
      <w:bookmarkStart w:id="605" w:name="_Toc329870383"/>
      <w:bookmarkStart w:id="606" w:name="_Toc335915769"/>
      <w:bookmarkEnd w:id="600"/>
      <w:bookmarkEnd w:id="601"/>
      <w:r w:rsidRPr="005911E2">
        <w:t xml:space="preserve">Perspectives of </w:t>
      </w:r>
      <w:r w:rsidR="00D43761">
        <w:t>m</w:t>
      </w:r>
      <w:r w:rsidRPr="005911E2">
        <w:t xml:space="preserve">oney </w:t>
      </w:r>
      <w:r w:rsidR="00D43761">
        <w:t>m</w:t>
      </w:r>
      <w:r w:rsidRPr="005911E2">
        <w:t xml:space="preserve">anagement and financial counselling services of those subject to </w:t>
      </w:r>
      <w:bookmarkEnd w:id="602"/>
      <w:bookmarkEnd w:id="603"/>
      <w:r w:rsidR="00F878E4">
        <w:t>income management</w:t>
      </w:r>
      <w:bookmarkEnd w:id="604"/>
      <w:bookmarkEnd w:id="605"/>
      <w:bookmarkEnd w:id="606"/>
    </w:p>
    <w:p w:rsidR="00263D64" w:rsidRPr="005911E2" w:rsidRDefault="00263D64" w:rsidP="00263D64">
      <w:pPr>
        <w:rPr>
          <w:lang w:eastAsia="en-AU"/>
        </w:rPr>
      </w:pPr>
      <w:r w:rsidRPr="005911E2">
        <w:rPr>
          <w:lang w:eastAsia="en-AU"/>
        </w:rPr>
        <w:t xml:space="preserve">Wave 1 </w:t>
      </w:r>
      <w:r w:rsidR="00D43761">
        <w:rPr>
          <w:lang w:eastAsia="en-AU"/>
        </w:rPr>
        <w:t xml:space="preserve">of the </w:t>
      </w:r>
      <w:r w:rsidR="00077699">
        <w:rPr>
          <w:lang w:eastAsia="en-AU"/>
        </w:rPr>
        <w:t xml:space="preserve">LSNIM </w:t>
      </w:r>
      <w:r w:rsidR="00D43761">
        <w:rPr>
          <w:lang w:eastAsia="en-AU"/>
        </w:rPr>
        <w:t xml:space="preserve">longitudinal survey </w:t>
      </w:r>
      <w:r w:rsidRPr="005911E2">
        <w:rPr>
          <w:lang w:eastAsia="en-AU"/>
        </w:rPr>
        <w:t xml:space="preserve">included several questions about knowledge of and use of </w:t>
      </w:r>
      <w:r w:rsidR="00D43761">
        <w:rPr>
          <w:lang w:eastAsia="en-AU"/>
        </w:rPr>
        <w:t>m</w:t>
      </w:r>
      <w:r w:rsidRPr="005911E2">
        <w:rPr>
          <w:lang w:eastAsia="en-AU"/>
        </w:rPr>
        <w:t xml:space="preserve">oney </w:t>
      </w:r>
      <w:r w:rsidR="00D43761">
        <w:rPr>
          <w:lang w:eastAsia="en-AU"/>
        </w:rPr>
        <w:t>m</w:t>
      </w:r>
      <w:r w:rsidRPr="005911E2">
        <w:rPr>
          <w:lang w:eastAsia="en-AU"/>
        </w:rPr>
        <w:t xml:space="preserve">anagement and financial counselling services and the Matched Savings Payment. </w:t>
      </w:r>
    </w:p>
    <w:p w:rsidR="00263D64" w:rsidRPr="005911E2" w:rsidRDefault="00263D64" w:rsidP="00263D64">
      <w:pPr>
        <w:rPr>
          <w:lang w:eastAsia="en-AU"/>
        </w:rPr>
      </w:pPr>
      <w:r w:rsidRPr="005911E2">
        <w:rPr>
          <w:lang w:eastAsia="en-AU"/>
        </w:rPr>
        <w:t xml:space="preserve">Of the 809 participants in the </w:t>
      </w:r>
      <w:r w:rsidR="006435C8">
        <w:rPr>
          <w:lang w:eastAsia="en-AU"/>
        </w:rPr>
        <w:t>Northern Territory,</w:t>
      </w:r>
      <w:r w:rsidRPr="005911E2">
        <w:rPr>
          <w:lang w:eastAsia="en-AU"/>
        </w:rPr>
        <w:t xml:space="preserve"> 14 per cent (11 per cent of Indigenous and 21 per cent of non-Indigenous participants) reported having spoken to a </w:t>
      </w:r>
      <w:r w:rsidR="00D43761">
        <w:rPr>
          <w:lang w:eastAsia="en-AU"/>
        </w:rPr>
        <w:t>m</w:t>
      </w:r>
      <w:r w:rsidRPr="005911E2">
        <w:rPr>
          <w:lang w:eastAsia="en-AU"/>
        </w:rPr>
        <w:t xml:space="preserve">oney </w:t>
      </w:r>
      <w:r w:rsidR="00D43761">
        <w:rPr>
          <w:lang w:eastAsia="en-AU"/>
        </w:rPr>
        <w:t>m</w:t>
      </w:r>
      <w:r w:rsidRPr="005911E2">
        <w:rPr>
          <w:lang w:eastAsia="en-AU"/>
        </w:rPr>
        <w:t>anagement or financial counselling service in the 12</w:t>
      </w:r>
      <w:r w:rsidR="00F8413B">
        <w:rPr>
          <w:lang w:eastAsia="en-AU"/>
        </w:rPr>
        <w:t> </w:t>
      </w:r>
      <w:r w:rsidRPr="005911E2">
        <w:rPr>
          <w:lang w:eastAsia="en-AU"/>
        </w:rPr>
        <w:t>months prior to the interview.</w:t>
      </w:r>
      <w:r w:rsidRPr="005911E2">
        <w:rPr>
          <w:szCs w:val="24"/>
          <w:vertAlign w:val="superscript"/>
          <w:lang w:eastAsia="en-AU"/>
        </w:rPr>
        <w:footnoteReference w:id="68"/>
      </w:r>
    </w:p>
    <w:p w:rsidR="00263D64" w:rsidRPr="005911E2" w:rsidRDefault="00263D64" w:rsidP="006F14AA">
      <w:pPr>
        <w:pStyle w:val="tabfighead"/>
      </w:pPr>
      <w:bookmarkStart w:id="607" w:name="_Ref194578993"/>
      <w:bookmarkStart w:id="608" w:name="_Toc321430431"/>
      <w:bookmarkStart w:id="609" w:name="_Toc321254550"/>
      <w:bookmarkStart w:id="610" w:name="_Toc328601598"/>
      <w:bookmarkStart w:id="611" w:name="_Toc329051376"/>
      <w:bookmarkStart w:id="612" w:name="_Toc335915864"/>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7</w:t>
      </w:r>
      <w:r w:rsidR="00C7347D" w:rsidRPr="005911E2">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1</w:t>
      </w:r>
      <w:r w:rsidR="00C7347D" w:rsidRPr="005911E2">
        <w:fldChar w:fldCharType="end"/>
      </w:r>
      <w:bookmarkEnd w:id="607"/>
      <w:r w:rsidRPr="005911E2">
        <w:t xml:space="preserve"> </w:t>
      </w:r>
      <w:r w:rsidRPr="005911E2">
        <w:tab/>
        <w:t xml:space="preserve">LSNIM Wave 1, reasons for going to a </w:t>
      </w:r>
      <w:r w:rsidR="00B450CA">
        <w:t>m</w:t>
      </w:r>
      <w:r w:rsidRPr="005911E2">
        <w:t xml:space="preserve">oney </w:t>
      </w:r>
      <w:r w:rsidR="00B450CA">
        <w:t>m</w:t>
      </w:r>
      <w:r w:rsidRPr="005911E2">
        <w:t>anagement or financial counselling service</w:t>
      </w:r>
      <w:bookmarkEnd w:id="608"/>
      <w:bookmarkEnd w:id="609"/>
      <w:bookmarkEnd w:id="610"/>
      <w:bookmarkEnd w:id="611"/>
      <w:bookmarkEnd w:id="612"/>
    </w:p>
    <w:tbl>
      <w:tblPr>
        <w:tblW w:w="0" w:type="auto"/>
        <w:tblInd w:w="1803" w:type="dxa"/>
        <w:tblLayout w:type="fixed"/>
        <w:tblLook w:val="04A0" w:firstRow="1" w:lastRow="0" w:firstColumn="1" w:lastColumn="0" w:noHBand="0" w:noVBand="1"/>
      </w:tblPr>
      <w:tblGrid>
        <w:gridCol w:w="3632"/>
        <w:gridCol w:w="999"/>
        <w:gridCol w:w="1045"/>
        <w:gridCol w:w="873"/>
      </w:tblGrid>
      <w:tr w:rsidR="00263D64" w:rsidRPr="00847CCC" w:rsidTr="00C04728">
        <w:trPr>
          <w:trHeight w:val="300"/>
        </w:trPr>
        <w:tc>
          <w:tcPr>
            <w:tcW w:w="3632" w:type="dxa"/>
            <w:tcBorders>
              <w:top w:val="single" w:sz="4" w:space="0" w:color="000000"/>
              <w:bottom w:val="single" w:sz="4" w:space="0" w:color="000000"/>
            </w:tcBorders>
            <w:shd w:val="clear" w:color="auto" w:fill="auto"/>
            <w:noWrap/>
            <w:vAlign w:val="bottom"/>
            <w:hideMark/>
          </w:tcPr>
          <w:p w:rsidR="00263D64" w:rsidRPr="00847CCC" w:rsidRDefault="00263D64" w:rsidP="00847CCC">
            <w:pPr>
              <w:keepNext/>
              <w:keepLines/>
              <w:spacing w:after="40" w:line="240" w:lineRule="auto"/>
              <w:ind w:left="0"/>
              <w:jc w:val="left"/>
              <w:rPr>
                <w:rFonts w:cs="Arial"/>
                <w:color w:val="000000"/>
                <w:sz w:val="16"/>
                <w:szCs w:val="16"/>
                <w:lang w:eastAsia="en-AU" w:bidi="ar-SA"/>
              </w:rPr>
            </w:pPr>
          </w:p>
        </w:tc>
        <w:tc>
          <w:tcPr>
            <w:tcW w:w="999" w:type="dxa"/>
            <w:tcBorders>
              <w:top w:val="single" w:sz="4" w:space="0" w:color="000000"/>
              <w:bottom w:val="single" w:sz="4" w:space="0" w:color="000000"/>
            </w:tcBorders>
            <w:shd w:val="clear" w:color="auto" w:fill="auto"/>
            <w:noWrap/>
            <w:hideMark/>
          </w:tcPr>
          <w:p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Indigenous</w:t>
            </w:r>
          </w:p>
        </w:tc>
        <w:tc>
          <w:tcPr>
            <w:tcW w:w="1045" w:type="dxa"/>
            <w:tcBorders>
              <w:top w:val="single" w:sz="4" w:space="0" w:color="000000"/>
              <w:bottom w:val="single" w:sz="4" w:space="0" w:color="000000"/>
            </w:tcBorders>
            <w:shd w:val="clear" w:color="auto" w:fill="auto"/>
            <w:noWrap/>
            <w:hideMark/>
          </w:tcPr>
          <w:p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Non-Indigenous</w:t>
            </w:r>
          </w:p>
        </w:tc>
        <w:tc>
          <w:tcPr>
            <w:tcW w:w="873" w:type="dxa"/>
            <w:tcBorders>
              <w:top w:val="single" w:sz="4" w:space="0" w:color="000000"/>
              <w:bottom w:val="single" w:sz="4" w:space="0" w:color="000000"/>
            </w:tcBorders>
            <w:shd w:val="clear" w:color="auto" w:fill="auto"/>
            <w:noWrap/>
            <w:hideMark/>
          </w:tcPr>
          <w:p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Total</w:t>
            </w:r>
          </w:p>
        </w:tc>
      </w:tr>
      <w:tr w:rsidR="00263D64" w:rsidRPr="00847CCC" w:rsidTr="00C04728">
        <w:trPr>
          <w:trHeight w:val="300"/>
        </w:trPr>
        <w:tc>
          <w:tcPr>
            <w:tcW w:w="3632" w:type="dxa"/>
            <w:tcBorders>
              <w:top w:val="single" w:sz="4" w:space="0" w:color="000000"/>
            </w:tcBorders>
            <w:shd w:val="clear" w:color="auto" w:fill="auto"/>
            <w:noWrap/>
            <w:vAlign w:val="bottom"/>
            <w:hideMark/>
          </w:tcPr>
          <w:p w:rsidR="00263D64" w:rsidRPr="00847CCC" w:rsidRDefault="00263D64" w:rsidP="00847CCC">
            <w:pPr>
              <w:keepNext/>
              <w:keepLines/>
              <w:spacing w:after="40" w:line="240" w:lineRule="auto"/>
              <w:ind w:left="0"/>
              <w:jc w:val="left"/>
              <w:rPr>
                <w:rFonts w:eastAsia="Arial" w:cs="Arial"/>
                <w:color w:val="000000"/>
                <w:sz w:val="16"/>
                <w:szCs w:val="16"/>
                <w:lang w:eastAsia="en-AU" w:bidi="ar-SA"/>
              </w:rPr>
            </w:pPr>
          </w:p>
        </w:tc>
        <w:tc>
          <w:tcPr>
            <w:tcW w:w="2917" w:type="dxa"/>
            <w:gridSpan w:val="3"/>
            <w:tcBorders>
              <w:top w:val="single" w:sz="4" w:space="0" w:color="000000"/>
            </w:tcBorders>
            <w:shd w:val="clear" w:color="auto" w:fill="auto"/>
            <w:noWrap/>
            <w:vAlign w:val="bottom"/>
            <w:hideMark/>
          </w:tcPr>
          <w:p w:rsidR="00263D64" w:rsidRPr="00847CCC" w:rsidRDefault="00263D64" w:rsidP="00847CCC">
            <w:pPr>
              <w:keepNext/>
              <w:keepLines/>
              <w:spacing w:after="40" w:line="240" w:lineRule="auto"/>
              <w:ind w:left="0"/>
              <w:jc w:val="center"/>
              <w:rPr>
                <w:rFonts w:cs="Arial"/>
                <w:color w:val="000000"/>
                <w:sz w:val="16"/>
                <w:szCs w:val="16"/>
                <w:lang w:eastAsia="en-AU" w:bidi="ar-SA"/>
              </w:rPr>
            </w:pPr>
            <w:r w:rsidRPr="00847CCC">
              <w:rPr>
                <w:rFonts w:cs="Arial"/>
                <w:color w:val="000000"/>
                <w:sz w:val="16"/>
                <w:szCs w:val="16"/>
                <w:lang w:eastAsia="en-AU" w:bidi="ar-SA"/>
              </w:rPr>
              <w:t>- % - (a)</w:t>
            </w:r>
          </w:p>
        </w:tc>
      </w:tr>
      <w:tr w:rsidR="00263D64" w:rsidRPr="00847CCC" w:rsidTr="00C04728">
        <w:trPr>
          <w:trHeight w:val="300"/>
        </w:trPr>
        <w:tc>
          <w:tcPr>
            <w:tcW w:w="3632" w:type="dxa"/>
            <w:shd w:val="clear" w:color="auto" w:fill="auto"/>
            <w:noWrap/>
            <w:vAlign w:val="bottom"/>
            <w:hideMark/>
          </w:tcPr>
          <w:p w:rsidR="00263D64" w:rsidRPr="00847CCC" w:rsidRDefault="00263D64" w:rsidP="00847CCC">
            <w:pPr>
              <w:keepNext/>
              <w:keepLines/>
              <w:spacing w:after="40" w:line="240" w:lineRule="auto"/>
              <w:ind w:left="0"/>
              <w:jc w:val="left"/>
              <w:rPr>
                <w:rFonts w:cs="Arial"/>
                <w:color w:val="000000"/>
                <w:sz w:val="16"/>
                <w:szCs w:val="16"/>
                <w:lang w:eastAsia="en-AU" w:bidi="ar-SA"/>
              </w:rPr>
            </w:pPr>
            <w:r w:rsidRPr="00847CCC">
              <w:rPr>
                <w:rFonts w:eastAsia="Arial" w:cs="Arial"/>
                <w:color w:val="000000"/>
                <w:sz w:val="16"/>
                <w:szCs w:val="16"/>
                <w:lang w:eastAsia="en-AU" w:bidi="ar-SA"/>
              </w:rPr>
              <w:t xml:space="preserve">To do the </w:t>
            </w:r>
            <w:r w:rsidR="00D43761" w:rsidRPr="00847CCC">
              <w:rPr>
                <w:rFonts w:eastAsia="Arial" w:cs="Arial"/>
                <w:color w:val="000000"/>
                <w:sz w:val="16"/>
                <w:szCs w:val="16"/>
                <w:lang w:eastAsia="en-AU" w:bidi="ar-SA"/>
              </w:rPr>
              <w:t>a</w:t>
            </w:r>
            <w:r w:rsidRPr="00847CCC">
              <w:rPr>
                <w:rFonts w:eastAsia="Arial" w:cs="Arial"/>
                <w:color w:val="000000"/>
                <w:sz w:val="16"/>
                <w:szCs w:val="16"/>
                <w:lang w:eastAsia="en-AU" w:bidi="ar-SA"/>
              </w:rPr>
              <w:t xml:space="preserve">pproved </w:t>
            </w:r>
            <w:r w:rsidR="00D43761" w:rsidRPr="00847CCC">
              <w:rPr>
                <w:rFonts w:eastAsia="Arial" w:cs="Arial"/>
                <w:color w:val="000000"/>
                <w:sz w:val="16"/>
                <w:szCs w:val="16"/>
                <w:lang w:eastAsia="en-AU" w:bidi="ar-SA"/>
              </w:rPr>
              <w:t>m</w:t>
            </w:r>
            <w:r w:rsidRPr="00847CCC">
              <w:rPr>
                <w:rFonts w:eastAsia="Arial" w:cs="Arial"/>
                <w:color w:val="000000"/>
                <w:sz w:val="16"/>
                <w:szCs w:val="16"/>
                <w:lang w:eastAsia="en-AU" w:bidi="ar-SA"/>
              </w:rPr>
              <w:t xml:space="preserve">oney </w:t>
            </w:r>
            <w:r w:rsidR="00D43761" w:rsidRPr="00847CCC">
              <w:rPr>
                <w:rFonts w:eastAsia="Arial" w:cs="Arial"/>
                <w:color w:val="000000"/>
                <w:sz w:val="16"/>
                <w:szCs w:val="16"/>
                <w:lang w:eastAsia="en-AU" w:bidi="ar-SA"/>
              </w:rPr>
              <w:t>m</w:t>
            </w:r>
            <w:r w:rsidRPr="00847CCC">
              <w:rPr>
                <w:rFonts w:eastAsia="Arial" w:cs="Arial"/>
                <w:color w:val="000000"/>
                <w:sz w:val="16"/>
                <w:szCs w:val="16"/>
                <w:lang w:eastAsia="en-AU" w:bidi="ar-SA"/>
              </w:rPr>
              <w:t xml:space="preserve">anagement </w:t>
            </w:r>
            <w:r w:rsidR="00D43761" w:rsidRPr="00847CCC">
              <w:rPr>
                <w:rFonts w:eastAsia="Arial" w:cs="Arial"/>
                <w:color w:val="000000"/>
                <w:sz w:val="16"/>
                <w:szCs w:val="16"/>
                <w:lang w:eastAsia="en-AU" w:bidi="ar-SA"/>
              </w:rPr>
              <w:t>c</w:t>
            </w:r>
            <w:r w:rsidRPr="00847CCC">
              <w:rPr>
                <w:rFonts w:eastAsia="Arial" w:cs="Arial"/>
                <w:color w:val="000000"/>
                <w:sz w:val="16"/>
                <w:szCs w:val="16"/>
                <w:lang w:eastAsia="en-AU" w:bidi="ar-SA"/>
              </w:rPr>
              <w:t>ourse</w:t>
            </w:r>
          </w:p>
        </w:tc>
        <w:tc>
          <w:tcPr>
            <w:tcW w:w="999" w:type="dxa"/>
            <w:shd w:val="clear" w:color="auto" w:fill="auto"/>
            <w:noWrap/>
            <w:vAlign w:val="bottom"/>
            <w:hideMark/>
          </w:tcPr>
          <w:p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16</w:t>
            </w:r>
          </w:p>
        </w:tc>
        <w:tc>
          <w:tcPr>
            <w:tcW w:w="1045" w:type="dxa"/>
            <w:shd w:val="clear" w:color="auto" w:fill="auto"/>
            <w:noWrap/>
            <w:vAlign w:val="bottom"/>
            <w:hideMark/>
          </w:tcPr>
          <w:p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11</w:t>
            </w:r>
          </w:p>
        </w:tc>
        <w:tc>
          <w:tcPr>
            <w:tcW w:w="873" w:type="dxa"/>
            <w:shd w:val="clear" w:color="auto" w:fill="auto"/>
            <w:noWrap/>
            <w:vAlign w:val="bottom"/>
            <w:hideMark/>
          </w:tcPr>
          <w:p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14</w:t>
            </w:r>
          </w:p>
        </w:tc>
      </w:tr>
      <w:tr w:rsidR="00263D64" w:rsidRPr="00847CCC" w:rsidTr="00C04728">
        <w:trPr>
          <w:trHeight w:val="300"/>
        </w:trPr>
        <w:tc>
          <w:tcPr>
            <w:tcW w:w="3632" w:type="dxa"/>
            <w:shd w:val="clear" w:color="auto" w:fill="auto"/>
            <w:noWrap/>
            <w:vAlign w:val="bottom"/>
            <w:hideMark/>
          </w:tcPr>
          <w:p w:rsidR="00263D64" w:rsidRPr="00847CCC" w:rsidRDefault="00263D64" w:rsidP="00847CCC">
            <w:pPr>
              <w:keepNext/>
              <w:keepLines/>
              <w:spacing w:after="40" w:line="240" w:lineRule="auto"/>
              <w:ind w:left="0"/>
              <w:jc w:val="left"/>
              <w:rPr>
                <w:rFonts w:cs="Arial"/>
                <w:color w:val="000000"/>
                <w:sz w:val="16"/>
                <w:szCs w:val="16"/>
                <w:lang w:eastAsia="en-AU" w:bidi="ar-SA"/>
              </w:rPr>
            </w:pPr>
            <w:r w:rsidRPr="00847CCC">
              <w:rPr>
                <w:rFonts w:eastAsia="Arial" w:cs="Arial"/>
                <w:color w:val="000000"/>
                <w:sz w:val="16"/>
                <w:szCs w:val="16"/>
                <w:lang w:eastAsia="en-AU" w:bidi="ar-SA"/>
              </w:rPr>
              <w:t>To do Moneyminded or Moneybusiness course</w:t>
            </w:r>
          </w:p>
        </w:tc>
        <w:tc>
          <w:tcPr>
            <w:tcW w:w="999" w:type="dxa"/>
            <w:shd w:val="clear" w:color="auto" w:fill="auto"/>
            <w:noWrap/>
            <w:vAlign w:val="bottom"/>
            <w:hideMark/>
          </w:tcPr>
          <w:p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6</w:t>
            </w:r>
          </w:p>
        </w:tc>
        <w:tc>
          <w:tcPr>
            <w:tcW w:w="1045" w:type="dxa"/>
            <w:shd w:val="clear" w:color="auto" w:fill="auto"/>
            <w:noWrap/>
            <w:vAlign w:val="bottom"/>
            <w:hideMark/>
          </w:tcPr>
          <w:p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2</w:t>
            </w:r>
          </w:p>
        </w:tc>
        <w:tc>
          <w:tcPr>
            <w:tcW w:w="873" w:type="dxa"/>
            <w:shd w:val="clear" w:color="auto" w:fill="auto"/>
            <w:noWrap/>
            <w:vAlign w:val="bottom"/>
            <w:hideMark/>
          </w:tcPr>
          <w:p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4</w:t>
            </w:r>
          </w:p>
        </w:tc>
      </w:tr>
      <w:tr w:rsidR="00263D64" w:rsidRPr="00847CCC" w:rsidTr="00C04728">
        <w:trPr>
          <w:trHeight w:val="300"/>
        </w:trPr>
        <w:tc>
          <w:tcPr>
            <w:tcW w:w="3632" w:type="dxa"/>
            <w:shd w:val="clear" w:color="auto" w:fill="auto"/>
            <w:noWrap/>
            <w:vAlign w:val="bottom"/>
            <w:hideMark/>
          </w:tcPr>
          <w:p w:rsidR="00263D64" w:rsidRPr="00847CCC" w:rsidRDefault="00263D64" w:rsidP="00847CCC">
            <w:pPr>
              <w:keepNext/>
              <w:keepLines/>
              <w:spacing w:after="40" w:line="240" w:lineRule="auto"/>
              <w:ind w:left="0"/>
              <w:jc w:val="left"/>
              <w:rPr>
                <w:rFonts w:cs="Arial"/>
                <w:color w:val="000000"/>
                <w:sz w:val="16"/>
                <w:szCs w:val="16"/>
                <w:lang w:eastAsia="en-AU" w:bidi="ar-SA"/>
              </w:rPr>
            </w:pPr>
            <w:r w:rsidRPr="00847CCC">
              <w:rPr>
                <w:rFonts w:eastAsia="Arial" w:cs="Arial"/>
                <w:color w:val="000000"/>
                <w:sz w:val="16"/>
                <w:szCs w:val="16"/>
                <w:lang w:eastAsia="en-AU" w:bidi="ar-SA"/>
              </w:rPr>
              <w:t>Centrelink told me to</w:t>
            </w:r>
          </w:p>
        </w:tc>
        <w:tc>
          <w:tcPr>
            <w:tcW w:w="999" w:type="dxa"/>
            <w:shd w:val="clear" w:color="auto" w:fill="auto"/>
            <w:noWrap/>
            <w:vAlign w:val="bottom"/>
            <w:hideMark/>
          </w:tcPr>
          <w:p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26</w:t>
            </w:r>
          </w:p>
        </w:tc>
        <w:tc>
          <w:tcPr>
            <w:tcW w:w="1045" w:type="dxa"/>
            <w:shd w:val="clear" w:color="auto" w:fill="auto"/>
            <w:noWrap/>
            <w:vAlign w:val="bottom"/>
            <w:hideMark/>
          </w:tcPr>
          <w:p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34</w:t>
            </w:r>
          </w:p>
        </w:tc>
        <w:tc>
          <w:tcPr>
            <w:tcW w:w="873" w:type="dxa"/>
            <w:shd w:val="clear" w:color="auto" w:fill="auto"/>
            <w:noWrap/>
            <w:vAlign w:val="bottom"/>
            <w:hideMark/>
          </w:tcPr>
          <w:p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29</w:t>
            </w:r>
          </w:p>
        </w:tc>
      </w:tr>
      <w:tr w:rsidR="00263D64" w:rsidRPr="00847CCC" w:rsidTr="00C04728">
        <w:trPr>
          <w:trHeight w:val="300"/>
        </w:trPr>
        <w:tc>
          <w:tcPr>
            <w:tcW w:w="3632" w:type="dxa"/>
            <w:shd w:val="clear" w:color="auto" w:fill="auto"/>
            <w:noWrap/>
            <w:vAlign w:val="bottom"/>
            <w:hideMark/>
          </w:tcPr>
          <w:p w:rsidR="00263D64" w:rsidRPr="00847CCC" w:rsidRDefault="00263D64" w:rsidP="00847CCC">
            <w:pPr>
              <w:keepNext/>
              <w:keepLines/>
              <w:spacing w:after="40" w:line="240" w:lineRule="auto"/>
              <w:ind w:left="0"/>
              <w:jc w:val="left"/>
              <w:rPr>
                <w:rFonts w:cs="Arial"/>
                <w:color w:val="000000"/>
                <w:sz w:val="16"/>
                <w:szCs w:val="16"/>
                <w:lang w:eastAsia="en-AU" w:bidi="ar-SA"/>
              </w:rPr>
            </w:pPr>
            <w:r w:rsidRPr="00847CCC">
              <w:rPr>
                <w:rFonts w:eastAsia="Arial" w:cs="Arial"/>
                <w:color w:val="000000"/>
                <w:sz w:val="16"/>
                <w:szCs w:val="16"/>
                <w:lang w:eastAsia="en-AU" w:bidi="ar-SA"/>
              </w:rPr>
              <w:t>Because another organisation referred me</w:t>
            </w:r>
          </w:p>
        </w:tc>
        <w:tc>
          <w:tcPr>
            <w:tcW w:w="999" w:type="dxa"/>
            <w:shd w:val="clear" w:color="auto" w:fill="auto"/>
            <w:noWrap/>
            <w:vAlign w:val="bottom"/>
            <w:hideMark/>
          </w:tcPr>
          <w:p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7</w:t>
            </w:r>
          </w:p>
        </w:tc>
        <w:tc>
          <w:tcPr>
            <w:tcW w:w="1045" w:type="dxa"/>
            <w:shd w:val="clear" w:color="auto" w:fill="auto"/>
            <w:noWrap/>
            <w:vAlign w:val="bottom"/>
            <w:hideMark/>
          </w:tcPr>
          <w:p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5</w:t>
            </w:r>
          </w:p>
        </w:tc>
        <w:tc>
          <w:tcPr>
            <w:tcW w:w="873" w:type="dxa"/>
            <w:shd w:val="clear" w:color="auto" w:fill="auto"/>
            <w:noWrap/>
            <w:vAlign w:val="bottom"/>
            <w:hideMark/>
          </w:tcPr>
          <w:p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6</w:t>
            </w:r>
          </w:p>
        </w:tc>
      </w:tr>
      <w:tr w:rsidR="00263D64" w:rsidRPr="00847CCC" w:rsidTr="00C04728">
        <w:trPr>
          <w:trHeight w:val="300"/>
        </w:trPr>
        <w:tc>
          <w:tcPr>
            <w:tcW w:w="3632" w:type="dxa"/>
            <w:shd w:val="clear" w:color="auto" w:fill="auto"/>
            <w:noWrap/>
            <w:vAlign w:val="bottom"/>
            <w:hideMark/>
          </w:tcPr>
          <w:p w:rsidR="00263D64" w:rsidRPr="00847CCC" w:rsidRDefault="00263D64" w:rsidP="00847CCC">
            <w:pPr>
              <w:keepNext/>
              <w:keepLines/>
              <w:spacing w:after="40" w:line="240" w:lineRule="auto"/>
              <w:ind w:left="0"/>
              <w:jc w:val="left"/>
              <w:rPr>
                <w:rFonts w:cs="Arial"/>
                <w:color w:val="000000"/>
                <w:sz w:val="16"/>
                <w:szCs w:val="16"/>
                <w:lang w:eastAsia="en-AU" w:bidi="ar-SA"/>
              </w:rPr>
            </w:pPr>
            <w:r w:rsidRPr="00847CCC">
              <w:rPr>
                <w:rFonts w:eastAsia="Arial" w:cs="Arial"/>
                <w:color w:val="000000"/>
                <w:sz w:val="16"/>
                <w:szCs w:val="16"/>
                <w:lang w:eastAsia="en-AU" w:bidi="ar-SA"/>
              </w:rPr>
              <w:t>Had debts</w:t>
            </w:r>
          </w:p>
        </w:tc>
        <w:tc>
          <w:tcPr>
            <w:tcW w:w="999" w:type="dxa"/>
            <w:shd w:val="clear" w:color="auto" w:fill="auto"/>
            <w:noWrap/>
            <w:vAlign w:val="bottom"/>
            <w:hideMark/>
          </w:tcPr>
          <w:p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4</w:t>
            </w:r>
          </w:p>
        </w:tc>
        <w:tc>
          <w:tcPr>
            <w:tcW w:w="1045" w:type="dxa"/>
            <w:shd w:val="clear" w:color="auto" w:fill="auto"/>
            <w:noWrap/>
            <w:vAlign w:val="bottom"/>
            <w:hideMark/>
          </w:tcPr>
          <w:p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9</w:t>
            </w:r>
          </w:p>
        </w:tc>
        <w:tc>
          <w:tcPr>
            <w:tcW w:w="873" w:type="dxa"/>
            <w:shd w:val="clear" w:color="auto" w:fill="auto"/>
            <w:noWrap/>
            <w:vAlign w:val="bottom"/>
            <w:hideMark/>
          </w:tcPr>
          <w:p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6</w:t>
            </w:r>
          </w:p>
        </w:tc>
      </w:tr>
      <w:tr w:rsidR="00263D64" w:rsidRPr="00847CCC" w:rsidTr="00C04728">
        <w:trPr>
          <w:trHeight w:val="300"/>
        </w:trPr>
        <w:tc>
          <w:tcPr>
            <w:tcW w:w="3632" w:type="dxa"/>
            <w:shd w:val="clear" w:color="auto" w:fill="auto"/>
            <w:noWrap/>
            <w:vAlign w:val="bottom"/>
            <w:hideMark/>
          </w:tcPr>
          <w:p w:rsidR="00263D64" w:rsidRPr="00847CCC" w:rsidRDefault="00263D64" w:rsidP="00847CCC">
            <w:pPr>
              <w:keepNext/>
              <w:keepLines/>
              <w:spacing w:after="40" w:line="240" w:lineRule="auto"/>
              <w:ind w:left="0"/>
              <w:jc w:val="left"/>
              <w:rPr>
                <w:rFonts w:cs="Arial"/>
                <w:color w:val="000000"/>
                <w:sz w:val="16"/>
                <w:szCs w:val="16"/>
                <w:lang w:eastAsia="en-AU" w:bidi="ar-SA"/>
              </w:rPr>
            </w:pPr>
            <w:r w:rsidRPr="00847CCC">
              <w:rPr>
                <w:rFonts w:eastAsia="Arial" w:cs="Arial"/>
                <w:color w:val="000000"/>
                <w:sz w:val="16"/>
                <w:szCs w:val="16"/>
                <w:lang w:eastAsia="en-AU" w:bidi="ar-SA"/>
              </w:rPr>
              <w:t>Had a big bill</w:t>
            </w:r>
          </w:p>
        </w:tc>
        <w:tc>
          <w:tcPr>
            <w:tcW w:w="999" w:type="dxa"/>
            <w:shd w:val="clear" w:color="auto" w:fill="auto"/>
            <w:noWrap/>
            <w:vAlign w:val="bottom"/>
            <w:hideMark/>
          </w:tcPr>
          <w:p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3</w:t>
            </w:r>
          </w:p>
        </w:tc>
        <w:tc>
          <w:tcPr>
            <w:tcW w:w="1045" w:type="dxa"/>
            <w:shd w:val="clear" w:color="auto" w:fill="auto"/>
            <w:noWrap/>
            <w:vAlign w:val="bottom"/>
            <w:hideMark/>
          </w:tcPr>
          <w:p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5</w:t>
            </w:r>
          </w:p>
        </w:tc>
        <w:tc>
          <w:tcPr>
            <w:tcW w:w="873" w:type="dxa"/>
            <w:shd w:val="clear" w:color="auto" w:fill="auto"/>
            <w:noWrap/>
            <w:vAlign w:val="bottom"/>
            <w:hideMark/>
          </w:tcPr>
          <w:p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4</w:t>
            </w:r>
          </w:p>
        </w:tc>
      </w:tr>
      <w:tr w:rsidR="00263D64" w:rsidRPr="00847CCC" w:rsidTr="00C04728">
        <w:trPr>
          <w:trHeight w:val="300"/>
        </w:trPr>
        <w:tc>
          <w:tcPr>
            <w:tcW w:w="3632" w:type="dxa"/>
            <w:shd w:val="clear" w:color="auto" w:fill="auto"/>
            <w:noWrap/>
            <w:vAlign w:val="bottom"/>
            <w:hideMark/>
          </w:tcPr>
          <w:p w:rsidR="00263D64" w:rsidRPr="00847CCC" w:rsidRDefault="00263D64" w:rsidP="00847CCC">
            <w:pPr>
              <w:keepNext/>
              <w:keepLines/>
              <w:spacing w:after="40" w:line="240" w:lineRule="auto"/>
              <w:ind w:left="0"/>
              <w:jc w:val="left"/>
              <w:rPr>
                <w:rFonts w:cs="Arial"/>
                <w:color w:val="000000"/>
                <w:sz w:val="16"/>
                <w:szCs w:val="16"/>
                <w:lang w:eastAsia="en-AU" w:bidi="ar-SA"/>
              </w:rPr>
            </w:pPr>
            <w:r w:rsidRPr="00847CCC">
              <w:rPr>
                <w:rFonts w:eastAsia="Arial" w:cs="Arial"/>
                <w:color w:val="000000"/>
                <w:sz w:val="16"/>
                <w:szCs w:val="16"/>
                <w:lang w:eastAsia="en-AU" w:bidi="ar-SA"/>
              </w:rPr>
              <w:t>Run out of money</w:t>
            </w:r>
          </w:p>
        </w:tc>
        <w:tc>
          <w:tcPr>
            <w:tcW w:w="999" w:type="dxa"/>
            <w:shd w:val="clear" w:color="auto" w:fill="auto"/>
            <w:noWrap/>
            <w:vAlign w:val="bottom"/>
            <w:hideMark/>
          </w:tcPr>
          <w:p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6</w:t>
            </w:r>
          </w:p>
        </w:tc>
        <w:tc>
          <w:tcPr>
            <w:tcW w:w="1045" w:type="dxa"/>
            <w:shd w:val="clear" w:color="auto" w:fill="auto"/>
            <w:noWrap/>
            <w:vAlign w:val="bottom"/>
            <w:hideMark/>
          </w:tcPr>
          <w:p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7</w:t>
            </w:r>
          </w:p>
        </w:tc>
        <w:tc>
          <w:tcPr>
            <w:tcW w:w="873" w:type="dxa"/>
            <w:shd w:val="clear" w:color="auto" w:fill="auto"/>
            <w:noWrap/>
            <w:vAlign w:val="bottom"/>
            <w:hideMark/>
          </w:tcPr>
          <w:p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6</w:t>
            </w:r>
          </w:p>
        </w:tc>
      </w:tr>
      <w:tr w:rsidR="00263D64" w:rsidRPr="00847CCC" w:rsidTr="00C04728">
        <w:trPr>
          <w:trHeight w:val="300"/>
        </w:trPr>
        <w:tc>
          <w:tcPr>
            <w:tcW w:w="3632" w:type="dxa"/>
            <w:shd w:val="clear" w:color="auto" w:fill="auto"/>
            <w:noWrap/>
            <w:vAlign w:val="bottom"/>
            <w:hideMark/>
          </w:tcPr>
          <w:p w:rsidR="00263D64" w:rsidRPr="00847CCC" w:rsidRDefault="00263D64" w:rsidP="00847CCC">
            <w:pPr>
              <w:keepNext/>
              <w:keepLines/>
              <w:spacing w:after="40" w:line="240" w:lineRule="auto"/>
              <w:ind w:left="0"/>
              <w:jc w:val="left"/>
              <w:rPr>
                <w:rFonts w:cs="Arial"/>
                <w:color w:val="000000"/>
                <w:sz w:val="16"/>
                <w:szCs w:val="16"/>
                <w:lang w:eastAsia="en-AU" w:bidi="ar-SA"/>
              </w:rPr>
            </w:pPr>
            <w:r w:rsidRPr="00847CCC">
              <w:rPr>
                <w:rFonts w:eastAsia="Arial" w:cs="Arial"/>
                <w:color w:val="000000"/>
                <w:sz w:val="16"/>
                <w:szCs w:val="16"/>
                <w:lang w:eastAsia="en-AU" w:bidi="ar-SA"/>
              </w:rPr>
              <w:t>Help with a budget</w:t>
            </w:r>
          </w:p>
        </w:tc>
        <w:tc>
          <w:tcPr>
            <w:tcW w:w="999" w:type="dxa"/>
            <w:shd w:val="clear" w:color="auto" w:fill="auto"/>
            <w:noWrap/>
            <w:vAlign w:val="bottom"/>
            <w:hideMark/>
          </w:tcPr>
          <w:p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10</w:t>
            </w:r>
          </w:p>
        </w:tc>
        <w:tc>
          <w:tcPr>
            <w:tcW w:w="1045" w:type="dxa"/>
            <w:shd w:val="clear" w:color="auto" w:fill="auto"/>
            <w:noWrap/>
            <w:vAlign w:val="bottom"/>
            <w:hideMark/>
          </w:tcPr>
          <w:p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9</w:t>
            </w:r>
          </w:p>
        </w:tc>
        <w:tc>
          <w:tcPr>
            <w:tcW w:w="873" w:type="dxa"/>
            <w:shd w:val="clear" w:color="auto" w:fill="auto"/>
            <w:noWrap/>
            <w:vAlign w:val="bottom"/>
            <w:hideMark/>
          </w:tcPr>
          <w:p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10</w:t>
            </w:r>
          </w:p>
        </w:tc>
      </w:tr>
      <w:tr w:rsidR="00263D64" w:rsidRPr="00847CCC" w:rsidTr="00C04728">
        <w:trPr>
          <w:trHeight w:val="300"/>
        </w:trPr>
        <w:tc>
          <w:tcPr>
            <w:tcW w:w="3632" w:type="dxa"/>
            <w:shd w:val="clear" w:color="auto" w:fill="auto"/>
            <w:noWrap/>
            <w:vAlign w:val="bottom"/>
            <w:hideMark/>
          </w:tcPr>
          <w:p w:rsidR="00263D64" w:rsidRPr="00847CCC" w:rsidRDefault="00263D64" w:rsidP="00847CCC">
            <w:pPr>
              <w:keepNext/>
              <w:keepLines/>
              <w:spacing w:after="40" w:line="240" w:lineRule="auto"/>
              <w:ind w:left="0"/>
              <w:jc w:val="left"/>
              <w:rPr>
                <w:rFonts w:cs="Arial"/>
                <w:color w:val="000000"/>
                <w:sz w:val="16"/>
                <w:szCs w:val="16"/>
                <w:lang w:eastAsia="en-AU" w:bidi="ar-SA"/>
              </w:rPr>
            </w:pPr>
            <w:r w:rsidRPr="00847CCC">
              <w:rPr>
                <w:rFonts w:eastAsia="Arial" w:cs="Arial"/>
                <w:color w:val="000000"/>
                <w:sz w:val="16"/>
                <w:szCs w:val="16"/>
                <w:lang w:eastAsia="en-AU" w:bidi="ar-SA"/>
              </w:rPr>
              <w:t xml:space="preserve">Help save money </w:t>
            </w:r>
          </w:p>
        </w:tc>
        <w:tc>
          <w:tcPr>
            <w:tcW w:w="999" w:type="dxa"/>
            <w:shd w:val="clear" w:color="auto" w:fill="auto"/>
            <w:noWrap/>
            <w:vAlign w:val="bottom"/>
            <w:hideMark/>
          </w:tcPr>
          <w:p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18</w:t>
            </w:r>
          </w:p>
        </w:tc>
        <w:tc>
          <w:tcPr>
            <w:tcW w:w="1045" w:type="dxa"/>
            <w:shd w:val="clear" w:color="auto" w:fill="auto"/>
            <w:noWrap/>
            <w:vAlign w:val="bottom"/>
            <w:hideMark/>
          </w:tcPr>
          <w:p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5</w:t>
            </w:r>
          </w:p>
        </w:tc>
        <w:tc>
          <w:tcPr>
            <w:tcW w:w="873" w:type="dxa"/>
            <w:shd w:val="clear" w:color="auto" w:fill="auto"/>
            <w:noWrap/>
            <w:vAlign w:val="bottom"/>
            <w:hideMark/>
          </w:tcPr>
          <w:p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13</w:t>
            </w:r>
          </w:p>
        </w:tc>
      </w:tr>
      <w:tr w:rsidR="00263D64" w:rsidRPr="00847CCC" w:rsidTr="00C04728">
        <w:trPr>
          <w:trHeight w:val="300"/>
        </w:trPr>
        <w:tc>
          <w:tcPr>
            <w:tcW w:w="3632" w:type="dxa"/>
            <w:shd w:val="clear" w:color="auto" w:fill="auto"/>
            <w:noWrap/>
            <w:vAlign w:val="bottom"/>
            <w:hideMark/>
          </w:tcPr>
          <w:p w:rsidR="00263D64" w:rsidRPr="00847CCC" w:rsidRDefault="00263D64" w:rsidP="00847CCC">
            <w:pPr>
              <w:keepNext/>
              <w:keepLines/>
              <w:spacing w:after="40" w:line="240" w:lineRule="auto"/>
              <w:ind w:left="0"/>
              <w:jc w:val="left"/>
              <w:rPr>
                <w:rFonts w:cs="Arial"/>
                <w:color w:val="000000"/>
                <w:sz w:val="16"/>
                <w:szCs w:val="16"/>
                <w:lang w:eastAsia="en-AU" w:bidi="ar-SA"/>
              </w:rPr>
            </w:pPr>
            <w:r w:rsidRPr="00847CCC">
              <w:rPr>
                <w:rFonts w:eastAsia="Arial" w:cs="Arial"/>
                <w:color w:val="000000"/>
                <w:sz w:val="16"/>
                <w:szCs w:val="16"/>
                <w:lang w:eastAsia="en-AU" w:bidi="ar-SA"/>
              </w:rPr>
              <w:t>Other reasons</w:t>
            </w:r>
          </w:p>
        </w:tc>
        <w:tc>
          <w:tcPr>
            <w:tcW w:w="999" w:type="dxa"/>
            <w:shd w:val="clear" w:color="auto" w:fill="auto"/>
            <w:noWrap/>
            <w:vAlign w:val="bottom"/>
            <w:hideMark/>
          </w:tcPr>
          <w:p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3</w:t>
            </w:r>
          </w:p>
        </w:tc>
        <w:tc>
          <w:tcPr>
            <w:tcW w:w="1045" w:type="dxa"/>
            <w:shd w:val="clear" w:color="auto" w:fill="auto"/>
            <w:noWrap/>
            <w:vAlign w:val="bottom"/>
            <w:hideMark/>
          </w:tcPr>
          <w:p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16</w:t>
            </w:r>
          </w:p>
        </w:tc>
        <w:tc>
          <w:tcPr>
            <w:tcW w:w="873" w:type="dxa"/>
            <w:shd w:val="clear" w:color="auto" w:fill="auto"/>
            <w:noWrap/>
            <w:vAlign w:val="bottom"/>
            <w:hideMark/>
          </w:tcPr>
          <w:p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8</w:t>
            </w:r>
          </w:p>
        </w:tc>
      </w:tr>
      <w:tr w:rsidR="00263D64" w:rsidRPr="00847CCC" w:rsidTr="00C04728">
        <w:trPr>
          <w:trHeight w:val="300"/>
        </w:trPr>
        <w:tc>
          <w:tcPr>
            <w:tcW w:w="3632" w:type="dxa"/>
            <w:tcBorders>
              <w:bottom w:val="single" w:sz="4" w:space="0" w:color="000000"/>
            </w:tcBorders>
            <w:shd w:val="clear" w:color="auto" w:fill="auto"/>
            <w:noWrap/>
            <w:vAlign w:val="bottom"/>
            <w:hideMark/>
          </w:tcPr>
          <w:p w:rsidR="00263D64" w:rsidRPr="00847CCC" w:rsidRDefault="00263D64" w:rsidP="00847CCC">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Prefer not to say</w:t>
            </w:r>
          </w:p>
        </w:tc>
        <w:tc>
          <w:tcPr>
            <w:tcW w:w="999" w:type="dxa"/>
            <w:tcBorders>
              <w:bottom w:val="single" w:sz="4" w:space="0" w:color="000000"/>
            </w:tcBorders>
            <w:shd w:val="clear" w:color="auto" w:fill="auto"/>
            <w:noWrap/>
            <w:vAlign w:val="bottom"/>
            <w:hideMark/>
          </w:tcPr>
          <w:p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22</w:t>
            </w:r>
          </w:p>
        </w:tc>
        <w:tc>
          <w:tcPr>
            <w:tcW w:w="1045" w:type="dxa"/>
            <w:tcBorders>
              <w:bottom w:val="single" w:sz="4" w:space="0" w:color="000000"/>
            </w:tcBorders>
            <w:shd w:val="clear" w:color="auto" w:fill="auto"/>
            <w:noWrap/>
            <w:vAlign w:val="bottom"/>
            <w:hideMark/>
          </w:tcPr>
          <w:p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14</w:t>
            </w:r>
          </w:p>
        </w:tc>
        <w:tc>
          <w:tcPr>
            <w:tcW w:w="873" w:type="dxa"/>
            <w:tcBorders>
              <w:bottom w:val="single" w:sz="4" w:space="0" w:color="000000"/>
            </w:tcBorders>
            <w:shd w:val="clear" w:color="auto" w:fill="auto"/>
            <w:noWrap/>
            <w:vAlign w:val="bottom"/>
            <w:hideMark/>
          </w:tcPr>
          <w:p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19</w:t>
            </w:r>
          </w:p>
        </w:tc>
      </w:tr>
      <w:tr w:rsidR="00263D64" w:rsidRPr="00847CCC" w:rsidTr="00C04728">
        <w:trPr>
          <w:trHeight w:val="300"/>
        </w:trPr>
        <w:tc>
          <w:tcPr>
            <w:tcW w:w="3632" w:type="dxa"/>
            <w:tcBorders>
              <w:top w:val="single" w:sz="4" w:space="0" w:color="000000"/>
              <w:bottom w:val="single" w:sz="4" w:space="0" w:color="000000"/>
            </w:tcBorders>
            <w:shd w:val="clear" w:color="auto" w:fill="auto"/>
            <w:noWrap/>
            <w:vAlign w:val="bottom"/>
            <w:hideMark/>
          </w:tcPr>
          <w:p w:rsidR="00263D64" w:rsidRPr="00847CCC" w:rsidRDefault="00263D64" w:rsidP="00847CCC">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Number of survey participants (persons)</w:t>
            </w:r>
          </w:p>
        </w:tc>
        <w:tc>
          <w:tcPr>
            <w:tcW w:w="999" w:type="dxa"/>
            <w:tcBorders>
              <w:top w:val="single" w:sz="4" w:space="0" w:color="000000"/>
              <w:bottom w:val="single" w:sz="4" w:space="0" w:color="000000"/>
            </w:tcBorders>
            <w:shd w:val="clear" w:color="auto" w:fill="auto"/>
            <w:noWrap/>
            <w:vAlign w:val="bottom"/>
            <w:hideMark/>
          </w:tcPr>
          <w:p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68</w:t>
            </w:r>
          </w:p>
        </w:tc>
        <w:tc>
          <w:tcPr>
            <w:tcW w:w="1045" w:type="dxa"/>
            <w:tcBorders>
              <w:top w:val="single" w:sz="4" w:space="0" w:color="000000"/>
              <w:bottom w:val="single" w:sz="4" w:space="0" w:color="000000"/>
            </w:tcBorders>
            <w:shd w:val="clear" w:color="auto" w:fill="auto"/>
            <w:noWrap/>
            <w:vAlign w:val="bottom"/>
            <w:hideMark/>
          </w:tcPr>
          <w:p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44</w:t>
            </w:r>
          </w:p>
        </w:tc>
        <w:tc>
          <w:tcPr>
            <w:tcW w:w="873" w:type="dxa"/>
            <w:tcBorders>
              <w:top w:val="single" w:sz="4" w:space="0" w:color="000000"/>
              <w:bottom w:val="single" w:sz="4" w:space="0" w:color="000000"/>
            </w:tcBorders>
            <w:shd w:val="clear" w:color="auto" w:fill="auto"/>
            <w:noWrap/>
            <w:vAlign w:val="bottom"/>
            <w:hideMark/>
          </w:tcPr>
          <w:p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112</w:t>
            </w:r>
          </w:p>
        </w:tc>
      </w:tr>
    </w:tbl>
    <w:p w:rsidR="00CF518E" w:rsidRDefault="00CF518E" w:rsidP="002955BA">
      <w:pPr>
        <w:pStyle w:val="tablefootnotes"/>
      </w:pPr>
      <w:r>
        <w:t>Notes:</w:t>
      </w:r>
      <w:r w:rsidR="00077699" w:rsidDel="00077699">
        <w:t xml:space="preserve"> </w:t>
      </w:r>
    </w:p>
    <w:p w:rsidR="00263D64" w:rsidRPr="005911E2" w:rsidRDefault="00263D64" w:rsidP="002955BA">
      <w:pPr>
        <w:pStyle w:val="tablefootnotes"/>
      </w:pPr>
      <w:r w:rsidRPr="005911E2">
        <w:t xml:space="preserve">(a) </w:t>
      </w:r>
      <w:r w:rsidRPr="005911E2">
        <w:tab/>
        <w:t>Survey participants could give multiple reaso</w:t>
      </w:r>
      <w:r w:rsidR="00AC72FE">
        <w:t>ns, columns do not add to 100.</w:t>
      </w:r>
    </w:p>
    <w:p w:rsidR="00263D64" w:rsidRDefault="00263D64" w:rsidP="00847CCC">
      <w:pPr>
        <w:pStyle w:val="tablefootnoteslastline"/>
      </w:pPr>
      <w:r w:rsidRPr="005911E2">
        <w:t xml:space="preserve">Source: </w:t>
      </w:r>
      <w:r w:rsidRPr="005911E2">
        <w:tab/>
      </w:r>
      <w:r w:rsidR="00077699">
        <w:t>LSNIM</w:t>
      </w:r>
      <w:r w:rsidRPr="005911E2">
        <w:t>, Wave 1.</w:t>
      </w:r>
    </w:p>
    <w:p w:rsidR="00847CCC" w:rsidRPr="00847CCC" w:rsidRDefault="00847CCC" w:rsidP="00847CCC">
      <w:pPr>
        <w:pStyle w:val="tablefootnoteslastline"/>
      </w:pPr>
    </w:p>
    <w:p w:rsidR="00847CCC" w:rsidRPr="005911E2" w:rsidRDefault="00847CCC" w:rsidP="00847CCC">
      <w:pPr>
        <w:rPr>
          <w:lang w:eastAsia="en-AU"/>
        </w:rPr>
      </w:pPr>
      <w:r w:rsidRPr="005911E2">
        <w:rPr>
          <w:lang w:eastAsia="en-AU"/>
        </w:rPr>
        <w:t xml:space="preserve">A higher proportion of those on </w:t>
      </w:r>
      <w:r>
        <w:rPr>
          <w:lang w:eastAsia="en-AU"/>
        </w:rPr>
        <w:t>Compulsory Income Management</w:t>
      </w:r>
      <w:r w:rsidRPr="005911E2">
        <w:rPr>
          <w:lang w:eastAsia="en-AU"/>
        </w:rPr>
        <w:t xml:space="preserve"> (Indigenous and non-Indigenous combined) than those on </w:t>
      </w:r>
      <w:r>
        <w:rPr>
          <w:lang w:eastAsia="en-AU"/>
        </w:rPr>
        <w:t>Voluntary Income Management</w:t>
      </w:r>
      <w:r w:rsidRPr="005911E2">
        <w:rPr>
          <w:lang w:eastAsia="en-AU"/>
        </w:rPr>
        <w:t xml:space="preserve"> reported having seen a </w:t>
      </w:r>
      <w:r>
        <w:rPr>
          <w:lang w:eastAsia="en-AU"/>
        </w:rPr>
        <w:t>m</w:t>
      </w:r>
      <w:r w:rsidRPr="005911E2">
        <w:rPr>
          <w:lang w:eastAsia="en-AU"/>
        </w:rPr>
        <w:t xml:space="preserve">oney </w:t>
      </w:r>
      <w:r>
        <w:rPr>
          <w:lang w:eastAsia="en-AU"/>
        </w:rPr>
        <w:t>m</w:t>
      </w:r>
      <w:r w:rsidRPr="005911E2">
        <w:rPr>
          <w:lang w:eastAsia="en-AU"/>
        </w:rPr>
        <w:t>anagement or fi</w:t>
      </w:r>
      <w:r w:rsidR="00F8413B">
        <w:rPr>
          <w:lang w:eastAsia="en-AU"/>
        </w:rPr>
        <w:t>nancial counselling service (16 </w:t>
      </w:r>
      <w:r w:rsidRPr="005911E2">
        <w:rPr>
          <w:lang w:eastAsia="en-AU"/>
        </w:rPr>
        <w:t xml:space="preserve">per cent compared with 7 per cent). </w:t>
      </w:r>
    </w:p>
    <w:p w:rsidR="00847CCC" w:rsidRPr="005911E2" w:rsidRDefault="00847CCC" w:rsidP="00847CCC">
      <w:pPr>
        <w:rPr>
          <w:lang w:eastAsia="en-AU"/>
        </w:rPr>
      </w:pPr>
      <w:r w:rsidRPr="005911E2">
        <w:rPr>
          <w:lang w:eastAsia="en-AU"/>
        </w:rPr>
        <w:t xml:space="preserve">The most common reason given for going to see a </w:t>
      </w:r>
      <w:r>
        <w:rPr>
          <w:lang w:eastAsia="en-AU"/>
        </w:rPr>
        <w:t>m</w:t>
      </w:r>
      <w:r w:rsidRPr="005911E2">
        <w:rPr>
          <w:lang w:eastAsia="en-AU"/>
        </w:rPr>
        <w:t xml:space="preserve">oney </w:t>
      </w:r>
      <w:r>
        <w:rPr>
          <w:lang w:eastAsia="en-AU"/>
        </w:rPr>
        <w:t>m</w:t>
      </w:r>
      <w:r w:rsidRPr="005911E2">
        <w:rPr>
          <w:lang w:eastAsia="en-AU"/>
        </w:rPr>
        <w:t xml:space="preserve">anagement or financial counselling service was </w:t>
      </w:r>
      <w:r>
        <w:rPr>
          <w:lang w:eastAsia="en-AU"/>
        </w:rPr>
        <w:t>‘</w:t>
      </w:r>
      <w:r w:rsidRPr="005911E2">
        <w:rPr>
          <w:lang w:eastAsia="en-AU"/>
        </w:rPr>
        <w:t>Centrelink told me to</w:t>
      </w:r>
      <w:r>
        <w:rPr>
          <w:lang w:eastAsia="en-AU"/>
        </w:rPr>
        <w:t>’</w:t>
      </w:r>
      <w:r w:rsidRPr="005911E2">
        <w:rPr>
          <w:lang w:eastAsia="en-AU"/>
        </w:rPr>
        <w:t xml:space="preserve"> (29 per cent) followed by </w:t>
      </w:r>
      <w:r>
        <w:rPr>
          <w:lang w:eastAsia="en-AU"/>
        </w:rPr>
        <w:t>‘</w:t>
      </w:r>
      <w:r w:rsidRPr="005911E2">
        <w:rPr>
          <w:lang w:eastAsia="en-AU"/>
        </w:rPr>
        <w:t xml:space="preserve">to do the </w:t>
      </w:r>
      <w:r>
        <w:rPr>
          <w:lang w:eastAsia="en-AU"/>
        </w:rPr>
        <w:t>a</w:t>
      </w:r>
      <w:r w:rsidRPr="005911E2">
        <w:rPr>
          <w:lang w:eastAsia="en-AU"/>
        </w:rPr>
        <w:t xml:space="preserve">pproved </w:t>
      </w:r>
      <w:r>
        <w:rPr>
          <w:lang w:eastAsia="en-AU"/>
        </w:rPr>
        <w:t>m</w:t>
      </w:r>
      <w:r w:rsidRPr="005911E2">
        <w:rPr>
          <w:lang w:eastAsia="en-AU"/>
        </w:rPr>
        <w:t xml:space="preserve">oney </w:t>
      </w:r>
      <w:r>
        <w:rPr>
          <w:lang w:eastAsia="en-AU"/>
        </w:rPr>
        <w:t>m</w:t>
      </w:r>
      <w:r w:rsidRPr="005911E2">
        <w:rPr>
          <w:lang w:eastAsia="en-AU"/>
        </w:rPr>
        <w:t xml:space="preserve">anagement </w:t>
      </w:r>
      <w:r>
        <w:rPr>
          <w:lang w:eastAsia="en-AU"/>
        </w:rPr>
        <w:t>c</w:t>
      </w:r>
      <w:r w:rsidRPr="005911E2">
        <w:rPr>
          <w:lang w:eastAsia="en-AU"/>
        </w:rPr>
        <w:t>ourse</w:t>
      </w:r>
      <w:r>
        <w:rPr>
          <w:lang w:eastAsia="en-AU"/>
        </w:rPr>
        <w:t>’</w:t>
      </w:r>
      <w:r w:rsidRPr="005911E2">
        <w:rPr>
          <w:lang w:eastAsia="en-AU"/>
        </w:rPr>
        <w:t xml:space="preserve"> (14 per cent), </w:t>
      </w:r>
      <w:r>
        <w:rPr>
          <w:lang w:eastAsia="en-AU"/>
        </w:rPr>
        <w:t>‘</w:t>
      </w:r>
      <w:r w:rsidRPr="005911E2">
        <w:rPr>
          <w:lang w:eastAsia="en-AU"/>
        </w:rPr>
        <w:t>help save money</w:t>
      </w:r>
      <w:r>
        <w:rPr>
          <w:lang w:eastAsia="en-AU"/>
        </w:rPr>
        <w:t>’</w:t>
      </w:r>
      <w:r w:rsidRPr="005911E2">
        <w:rPr>
          <w:lang w:eastAsia="en-AU"/>
        </w:rPr>
        <w:t xml:space="preserve"> (13 per cent)</w:t>
      </w:r>
      <w:r>
        <w:rPr>
          <w:lang w:eastAsia="en-AU"/>
        </w:rPr>
        <w:t>,</w:t>
      </w:r>
      <w:r w:rsidRPr="005911E2">
        <w:rPr>
          <w:lang w:eastAsia="en-AU"/>
        </w:rPr>
        <w:t xml:space="preserve"> and then a range of reasons which related to the actual management of money (Table 7</w:t>
      </w:r>
      <w:r w:rsidRPr="005911E2">
        <w:rPr>
          <w:lang w:eastAsia="en-AU"/>
        </w:rPr>
        <w:noBreakHyphen/>
        <w:t xml:space="preserve">1). </w:t>
      </w:r>
    </w:p>
    <w:p w:rsidR="00263D64" w:rsidRPr="005911E2" w:rsidRDefault="00263D64" w:rsidP="00263D64">
      <w:pPr>
        <w:rPr>
          <w:lang w:eastAsia="en-AU"/>
        </w:rPr>
      </w:pPr>
      <w:r w:rsidRPr="005911E2">
        <w:rPr>
          <w:lang w:eastAsia="en-AU"/>
        </w:rPr>
        <w:t>For Indigenous survey participants, the most common ways they were assisted (</w:t>
      </w:r>
      <w:r w:rsidR="006F14AA" w:rsidRPr="00077699">
        <w:rPr>
          <w:bCs/>
        </w:rPr>
        <w:t xml:space="preserve">Table </w:t>
      </w:r>
      <w:r w:rsidR="006F14AA" w:rsidRPr="00077699">
        <w:rPr>
          <w:noProof/>
        </w:rPr>
        <w:t>7</w:t>
      </w:r>
      <w:r w:rsidR="006F14AA" w:rsidRPr="005911E2">
        <w:rPr>
          <w:b/>
          <w:bCs/>
        </w:rPr>
        <w:noBreakHyphen/>
      </w:r>
      <w:r w:rsidR="006F14AA" w:rsidRPr="005911E2">
        <w:rPr>
          <w:noProof/>
        </w:rPr>
        <w:t>2</w:t>
      </w:r>
      <w:r w:rsidRPr="005911E2">
        <w:rPr>
          <w:lang w:eastAsia="en-AU"/>
        </w:rPr>
        <w:t>) was through developing financial management skills (60 per cent)</w:t>
      </w:r>
      <w:r w:rsidR="00D43761">
        <w:rPr>
          <w:lang w:eastAsia="en-AU"/>
        </w:rPr>
        <w:t>,</w:t>
      </w:r>
      <w:r w:rsidRPr="005911E2">
        <w:rPr>
          <w:lang w:eastAsia="en-AU"/>
        </w:rPr>
        <w:t xml:space="preserve"> followed by dealing with Centrelink (49 per cent)</w:t>
      </w:r>
      <w:r w:rsidR="00D43761">
        <w:rPr>
          <w:lang w:eastAsia="en-AU"/>
        </w:rPr>
        <w:t>,</w:t>
      </w:r>
      <w:r w:rsidRPr="005911E2">
        <w:rPr>
          <w:lang w:eastAsia="en-AU"/>
        </w:rPr>
        <w:t xml:space="preserve"> and accessing the </w:t>
      </w:r>
      <w:r w:rsidR="00D43761">
        <w:rPr>
          <w:lang w:eastAsia="en-AU"/>
        </w:rPr>
        <w:t>a</w:t>
      </w:r>
      <w:r w:rsidRPr="005911E2">
        <w:rPr>
          <w:lang w:eastAsia="en-AU"/>
        </w:rPr>
        <w:t xml:space="preserve">pproved </w:t>
      </w:r>
      <w:r w:rsidR="00D43761">
        <w:rPr>
          <w:lang w:eastAsia="en-AU"/>
        </w:rPr>
        <w:t>m</w:t>
      </w:r>
      <w:r w:rsidRPr="005911E2">
        <w:rPr>
          <w:lang w:eastAsia="en-AU"/>
        </w:rPr>
        <w:t xml:space="preserve">oney </w:t>
      </w:r>
      <w:r w:rsidR="00D43761">
        <w:rPr>
          <w:lang w:eastAsia="en-AU"/>
        </w:rPr>
        <w:t>m</w:t>
      </w:r>
      <w:r w:rsidRPr="005911E2">
        <w:rPr>
          <w:lang w:eastAsia="en-AU"/>
        </w:rPr>
        <w:t xml:space="preserve">anagement </w:t>
      </w:r>
      <w:r w:rsidR="00D43761">
        <w:rPr>
          <w:lang w:eastAsia="en-AU"/>
        </w:rPr>
        <w:t>c</w:t>
      </w:r>
      <w:r w:rsidRPr="005911E2">
        <w:rPr>
          <w:lang w:eastAsia="en-AU"/>
        </w:rPr>
        <w:t>ourse (41 per cent).</w:t>
      </w:r>
    </w:p>
    <w:p w:rsidR="00263D64" w:rsidRPr="005911E2" w:rsidRDefault="00263D64" w:rsidP="00263D64">
      <w:pPr>
        <w:rPr>
          <w:lang w:eastAsia="en-AU"/>
        </w:rPr>
      </w:pPr>
      <w:r w:rsidRPr="005911E2">
        <w:rPr>
          <w:lang w:eastAsia="en-AU"/>
        </w:rPr>
        <w:t>For non-Indigenous</w:t>
      </w:r>
      <w:r w:rsidR="00D43761">
        <w:rPr>
          <w:lang w:eastAsia="en-AU"/>
        </w:rPr>
        <w:t xml:space="preserve"> survey participants</w:t>
      </w:r>
      <w:r w:rsidRPr="005911E2">
        <w:rPr>
          <w:lang w:eastAsia="en-AU"/>
        </w:rPr>
        <w:t>, the most common way</w:t>
      </w:r>
      <w:r w:rsidR="00D43761">
        <w:rPr>
          <w:lang w:eastAsia="en-AU"/>
        </w:rPr>
        <w:t xml:space="preserve">s they were </w:t>
      </w:r>
      <w:r w:rsidRPr="005911E2">
        <w:rPr>
          <w:lang w:eastAsia="en-AU"/>
        </w:rPr>
        <w:t xml:space="preserve">assisted was </w:t>
      </w:r>
      <w:r w:rsidR="007D0AB3">
        <w:rPr>
          <w:lang w:eastAsia="en-AU"/>
        </w:rPr>
        <w:t xml:space="preserve">through: </w:t>
      </w:r>
      <w:r w:rsidRPr="005911E2">
        <w:rPr>
          <w:lang w:eastAsia="en-AU"/>
        </w:rPr>
        <w:t>financial management skills (50 per cent)</w:t>
      </w:r>
      <w:r w:rsidR="007D0AB3">
        <w:rPr>
          <w:lang w:eastAsia="en-AU"/>
        </w:rPr>
        <w:t>;</w:t>
      </w:r>
      <w:r w:rsidRPr="005911E2">
        <w:rPr>
          <w:lang w:eastAsia="en-AU"/>
        </w:rPr>
        <w:t xml:space="preserve"> accessing the </w:t>
      </w:r>
      <w:r w:rsidR="00D43761">
        <w:rPr>
          <w:lang w:eastAsia="en-AU"/>
        </w:rPr>
        <w:t>a</w:t>
      </w:r>
      <w:r w:rsidRPr="005911E2">
        <w:rPr>
          <w:lang w:eastAsia="en-AU"/>
        </w:rPr>
        <w:t xml:space="preserve">pproved </w:t>
      </w:r>
      <w:r w:rsidR="00D43761">
        <w:rPr>
          <w:lang w:eastAsia="en-AU"/>
        </w:rPr>
        <w:t>m</w:t>
      </w:r>
      <w:r w:rsidRPr="005911E2">
        <w:rPr>
          <w:lang w:eastAsia="en-AU"/>
        </w:rPr>
        <w:t xml:space="preserve">oney </w:t>
      </w:r>
      <w:r w:rsidR="00D43761">
        <w:rPr>
          <w:lang w:eastAsia="en-AU"/>
        </w:rPr>
        <w:t>m</w:t>
      </w:r>
      <w:r w:rsidRPr="005911E2">
        <w:rPr>
          <w:lang w:eastAsia="en-AU"/>
        </w:rPr>
        <w:t xml:space="preserve">anagement </w:t>
      </w:r>
      <w:r w:rsidR="00D43761">
        <w:rPr>
          <w:lang w:eastAsia="en-AU"/>
        </w:rPr>
        <w:t>c</w:t>
      </w:r>
      <w:r w:rsidRPr="005911E2">
        <w:rPr>
          <w:lang w:eastAsia="en-AU"/>
        </w:rPr>
        <w:t>ourse (34 per cent)</w:t>
      </w:r>
      <w:r w:rsidR="007D0AB3">
        <w:rPr>
          <w:lang w:eastAsia="en-AU"/>
        </w:rPr>
        <w:t>;</w:t>
      </w:r>
      <w:r w:rsidRPr="005911E2">
        <w:rPr>
          <w:lang w:eastAsia="en-AU"/>
        </w:rPr>
        <w:t xml:space="preserve"> and dealing with Centrelink (32 per cent).</w:t>
      </w:r>
    </w:p>
    <w:p w:rsidR="00263D64" w:rsidRPr="005911E2" w:rsidRDefault="00263D64" w:rsidP="006F14AA">
      <w:pPr>
        <w:pStyle w:val="tabfighead"/>
      </w:pPr>
      <w:bookmarkStart w:id="613" w:name="_Ref321737365"/>
      <w:bookmarkStart w:id="614" w:name="_Toc328601599"/>
      <w:bookmarkStart w:id="615" w:name="_Toc329051377"/>
      <w:bookmarkStart w:id="616" w:name="_Toc335915865"/>
      <w:bookmarkStart w:id="617" w:name="_Toc321430432"/>
      <w:bookmarkStart w:id="618" w:name="_Toc321254551"/>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7</w:t>
      </w:r>
      <w:r w:rsidR="00C7347D" w:rsidRPr="005911E2">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2</w:t>
      </w:r>
      <w:r w:rsidR="00C7347D" w:rsidRPr="005911E2">
        <w:fldChar w:fldCharType="end"/>
      </w:r>
      <w:bookmarkEnd w:id="613"/>
      <w:r w:rsidRPr="005911E2">
        <w:t xml:space="preserve"> </w:t>
      </w:r>
      <w:r w:rsidRPr="005911E2">
        <w:tab/>
        <w:t xml:space="preserve">LSNIM Wave 1, ways in which the </w:t>
      </w:r>
      <w:r w:rsidR="00077699">
        <w:t>m</w:t>
      </w:r>
      <w:r w:rsidR="00077699" w:rsidRPr="005911E2">
        <w:t xml:space="preserve">oney </w:t>
      </w:r>
      <w:r w:rsidR="00077699">
        <w:t>m</w:t>
      </w:r>
      <w:r w:rsidR="00077699" w:rsidRPr="005911E2">
        <w:t xml:space="preserve">anagement </w:t>
      </w:r>
      <w:r w:rsidRPr="005911E2">
        <w:t>or financial counselling service assisted</w:t>
      </w:r>
      <w:bookmarkEnd w:id="614"/>
      <w:bookmarkEnd w:id="615"/>
      <w:bookmarkEnd w:id="616"/>
      <w:r w:rsidRPr="005911E2">
        <w:t xml:space="preserve"> </w:t>
      </w:r>
      <w:bookmarkEnd w:id="617"/>
      <w:bookmarkEnd w:id="618"/>
    </w:p>
    <w:tbl>
      <w:tblPr>
        <w:tblW w:w="6804" w:type="dxa"/>
        <w:tblInd w:w="1803" w:type="dxa"/>
        <w:tblLayout w:type="fixed"/>
        <w:tblLook w:val="04A0" w:firstRow="1" w:lastRow="0" w:firstColumn="1" w:lastColumn="0" w:noHBand="0" w:noVBand="1"/>
      </w:tblPr>
      <w:tblGrid>
        <w:gridCol w:w="3827"/>
        <w:gridCol w:w="1134"/>
        <w:gridCol w:w="1134"/>
        <w:gridCol w:w="709"/>
      </w:tblGrid>
      <w:tr w:rsidR="00263D64" w:rsidRPr="00847CCC" w:rsidTr="00351FF6">
        <w:trPr>
          <w:trHeight w:val="300"/>
        </w:trPr>
        <w:tc>
          <w:tcPr>
            <w:tcW w:w="3827" w:type="dxa"/>
            <w:tcBorders>
              <w:top w:val="single" w:sz="4" w:space="0" w:color="000000"/>
              <w:bottom w:val="single" w:sz="4" w:space="0" w:color="000000"/>
            </w:tcBorders>
            <w:shd w:val="clear" w:color="auto" w:fill="auto"/>
            <w:noWrap/>
            <w:vAlign w:val="bottom"/>
            <w:hideMark/>
          </w:tcPr>
          <w:p w:rsidR="00263D64" w:rsidRPr="00847CCC" w:rsidRDefault="00263D64" w:rsidP="00263D64">
            <w:pPr>
              <w:keepNext/>
              <w:keepLines/>
              <w:spacing w:after="60" w:line="240" w:lineRule="auto"/>
              <w:ind w:left="0"/>
              <w:jc w:val="left"/>
              <w:rPr>
                <w:rFonts w:cs="Arial"/>
                <w:color w:val="000000"/>
                <w:sz w:val="16"/>
                <w:szCs w:val="16"/>
                <w:lang w:eastAsia="en-AU" w:bidi="ar-SA"/>
              </w:rPr>
            </w:pPr>
          </w:p>
        </w:tc>
        <w:tc>
          <w:tcPr>
            <w:tcW w:w="1134" w:type="dxa"/>
            <w:tcBorders>
              <w:top w:val="single" w:sz="4" w:space="0" w:color="000000"/>
              <w:bottom w:val="single" w:sz="4" w:space="0" w:color="000000"/>
            </w:tcBorders>
            <w:shd w:val="clear" w:color="auto" w:fill="auto"/>
            <w:noWrap/>
            <w:hideMark/>
          </w:tcPr>
          <w:p w:rsidR="00263D64" w:rsidRPr="00847CCC" w:rsidRDefault="00263D64" w:rsidP="00263D64">
            <w:pPr>
              <w:keepNext/>
              <w:keepLines/>
              <w:spacing w:after="60" w:line="240" w:lineRule="auto"/>
              <w:ind w:left="0"/>
              <w:jc w:val="right"/>
              <w:rPr>
                <w:rFonts w:cs="Arial"/>
                <w:color w:val="000000"/>
                <w:sz w:val="16"/>
                <w:szCs w:val="16"/>
                <w:lang w:eastAsia="en-AU" w:bidi="ar-SA"/>
              </w:rPr>
            </w:pPr>
            <w:r w:rsidRPr="00847CCC">
              <w:rPr>
                <w:rFonts w:cs="Arial"/>
                <w:color w:val="000000"/>
                <w:sz w:val="16"/>
                <w:szCs w:val="16"/>
                <w:lang w:eastAsia="en-AU" w:bidi="ar-SA"/>
              </w:rPr>
              <w:t>Indigenous</w:t>
            </w:r>
          </w:p>
        </w:tc>
        <w:tc>
          <w:tcPr>
            <w:tcW w:w="1134" w:type="dxa"/>
            <w:tcBorders>
              <w:top w:val="single" w:sz="4" w:space="0" w:color="000000"/>
              <w:bottom w:val="single" w:sz="4" w:space="0" w:color="000000"/>
            </w:tcBorders>
            <w:shd w:val="clear" w:color="auto" w:fill="auto"/>
            <w:noWrap/>
            <w:hideMark/>
          </w:tcPr>
          <w:p w:rsidR="00263D64" w:rsidRPr="00847CCC" w:rsidRDefault="00263D64" w:rsidP="00263D64">
            <w:pPr>
              <w:keepNext/>
              <w:keepLines/>
              <w:spacing w:after="60" w:line="240" w:lineRule="auto"/>
              <w:ind w:left="0"/>
              <w:jc w:val="right"/>
              <w:rPr>
                <w:rFonts w:cs="Arial"/>
                <w:color w:val="000000"/>
                <w:sz w:val="16"/>
                <w:szCs w:val="16"/>
                <w:lang w:eastAsia="en-AU" w:bidi="ar-SA"/>
              </w:rPr>
            </w:pPr>
            <w:r w:rsidRPr="00847CCC">
              <w:rPr>
                <w:rFonts w:cs="Arial"/>
                <w:color w:val="000000"/>
                <w:sz w:val="16"/>
                <w:szCs w:val="16"/>
                <w:lang w:eastAsia="en-AU" w:bidi="ar-SA"/>
              </w:rPr>
              <w:t>Non-Indigenous</w:t>
            </w:r>
          </w:p>
        </w:tc>
        <w:tc>
          <w:tcPr>
            <w:tcW w:w="709" w:type="dxa"/>
            <w:tcBorders>
              <w:top w:val="single" w:sz="4" w:space="0" w:color="000000"/>
              <w:bottom w:val="single" w:sz="4" w:space="0" w:color="000000"/>
            </w:tcBorders>
            <w:shd w:val="clear" w:color="auto" w:fill="auto"/>
            <w:noWrap/>
            <w:hideMark/>
          </w:tcPr>
          <w:p w:rsidR="00263D64" w:rsidRPr="00847CCC" w:rsidRDefault="00263D64" w:rsidP="00263D64">
            <w:pPr>
              <w:keepNext/>
              <w:keepLines/>
              <w:spacing w:after="60" w:line="240" w:lineRule="auto"/>
              <w:ind w:left="0"/>
              <w:jc w:val="right"/>
              <w:rPr>
                <w:rFonts w:cs="Arial"/>
                <w:color w:val="000000"/>
                <w:sz w:val="16"/>
                <w:szCs w:val="16"/>
                <w:lang w:eastAsia="en-AU" w:bidi="ar-SA"/>
              </w:rPr>
            </w:pPr>
            <w:r w:rsidRPr="00847CCC">
              <w:rPr>
                <w:rFonts w:cs="Arial"/>
                <w:color w:val="000000"/>
                <w:sz w:val="16"/>
                <w:szCs w:val="16"/>
                <w:lang w:eastAsia="en-AU" w:bidi="ar-SA"/>
              </w:rPr>
              <w:t>Total</w:t>
            </w:r>
          </w:p>
        </w:tc>
      </w:tr>
      <w:tr w:rsidR="00263D64" w:rsidRPr="00847CCC" w:rsidTr="00351FF6">
        <w:trPr>
          <w:trHeight w:val="300"/>
        </w:trPr>
        <w:tc>
          <w:tcPr>
            <w:tcW w:w="3827" w:type="dxa"/>
            <w:tcBorders>
              <w:top w:val="single" w:sz="4" w:space="0" w:color="000000"/>
            </w:tcBorders>
            <w:shd w:val="clear" w:color="auto" w:fill="auto"/>
            <w:noWrap/>
            <w:vAlign w:val="bottom"/>
            <w:hideMark/>
          </w:tcPr>
          <w:p w:rsidR="00263D64" w:rsidRPr="00847CCC" w:rsidRDefault="00263D64" w:rsidP="00263D64">
            <w:pPr>
              <w:keepNext/>
              <w:keepLines/>
              <w:spacing w:after="60" w:line="240" w:lineRule="auto"/>
              <w:ind w:left="0"/>
              <w:jc w:val="left"/>
              <w:rPr>
                <w:rFonts w:cs="Arial"/>
                <w:color w:val="000000"/>
                <w:sz w:val="16"/>
                <w:szCs w:val="16"/>
                <w:lang w:eastAsia="en-AU" w:bidi="ar-SA"/>
              </w:rPr>
            </w:pPr>
          </w:p>
        </w:tc>
        <w:tc>
          <w:tcPr>
            <w:tcW w:w="2977" w:type="dxa"/>
            <w:gridSpan w:val="3"/>
            <w:tcBorders>
              <w:top w:val="single" w:sz="4" w:space="0" w:color="000000"/>
            </w:tcBorders>
            <w:shd w:val="clear" w:color="auto" w:fill="auto"/>
            <w:noWrap/>
            <w:vAlign w:val="bottom"/>
            <w:hideMark/>
          </w:tcPr>
          <w:p w:rsidR="00263D64" w:rsidRPr="00847CCC" w:rsidRDefault="00263D64" w:rsidP="00263D64">
            <w:pPr>
              <w:keepNext/>
              <w:keepLines/>
              <w:spacing w:after="60" w:line="240" w:lineRule="auto"/>
              <w:ind w:left="0"/>
              <w:jc w:val="center"/>
              <w:rPr>
                <w:rFonts w:cs="Arial"/>
                <w:color w:val="000000"/>
                <w:sz w:val="16"/>
                <w:szCs w:val="16"/>
                <w:lang w:eastAsia="en-AU" w:bidi="ar-SA"/>
              </w:rPr>
            </w:pPr>
            <w:r w:rsidRPr="00847CCC">
              <w:rPr>
                <w:rFonts w:cs="Arial"/>
                <w:color w:val="000000"/>
                <w:sz w:val="16"/>
                <w:szCs w:val="16"/>
                <w:lang w:eastAsia="en-AU" w:bidi="ar-SA"/>
              </w:rPr>
              <w:t>- % - (a)</w:t>
            </w:r>
          </w:p>
        </w:tc>
      </w:tr>
      <w:tr w:rsidR="00263D64" w:rsidRPr="00847CCC" w:rsidTr="00351FF6">
        <w:trPr>
          <w:trHeight w:val="300"/>
        </w:trPr>
        <w:tc>
          <w:tcPr>
            <w:tcW w:w="3827" w:type="dxa"/>
            <w:shd w:val="clear" w:color="auto" w:fill="auto"/>
            <w:noWrap/>
            <w:vAlign w:val="bottom"/>
            <w:hideMark/>
          </w:tcPr>
          <w:p w:rsidR="00263D64" w:rsidRPr="00847CCC" w:rsidRDefault="00263D64" w:rsidP="00B450CA">
            <w:pPr>
              <w:keepNext/>
              <w:keepLines/>
              <w:spacing w:after="60" w:line="240" w:lineRule="auto"/>
              <w:ind w:left="0"/>
              <w:jc w:val="left"/>
              <w:rPr>
                <w:rFonts w:cs="Arial"/>
                <w:color w:val="000000"/>
                <w:sz w:val="16"/>
                <w:szCs w:val="16"/>
                <w:lang w:eastAsia="en-AU" w:bidi="ar-SA"/>
              </w:rPr>
            </w:pPr>
            <w:r w:rsidRPr="00847CCC">
              <w:rPr>
                <w:rFonts w:cs="Arial"/>
                <w:color w:val="000000"/>
                <w:sz w:val="16"/>
                <w:szCs w:val="16"/>
                <w:lang w:eastAsia="en-AU" w:bidi="ar-SA"/>
              </w:rPr>
              <w:t>Accessing Approved Money Management Course</w:t>
            </w:r>
          </w:p>
        </w:tc>
        <w:tc>
          <w:tcPr>
            <w:tcW w:w="1134" w:type="dxa"/>
            <w:shd w:val="clear" w:color="auto" w:fill="auto"/>
            <w:noWrap/>
            <w:vAlign w:val="bottom"/>
            <w:hideMark/>
          </w:tcPr>
          <w:p w:rsidR="00263D64" w:rsidRPr="00847CCC" w:rsidRDefault="00263D64" w:rsidP="00263D64">
            <w:pPr>
              <w:keepNext/>
              <w:keepLines/>
              <w:spacing w:after="60" w:line="240" w:lineRule="auto"/>
              <w:ind w:left="0"/>
              <w:jc w:val="right"/>
              <w:rPr>
                <w:rFonts w:cs="Arial"/>
                <w:color w:val="000000"/>
                <w:sz w:val="16"/>
                <w:szCs w:val="16"/>
                <w:lang w:eastAsia="en-AU" w:bidi="ar-SA"/>
              </w:rPr>
            </w:pPr>
            <w:r w:rsidRPr="00847CCC">
              <w:rPr>
                <w:rFonts w:cs="Arial"/>
                <w:color w:val="000000"/>
                <w:sz w:val="16"/>
                <w:szCs w:val="16"/>
                <w:lang w:eastAsia="en-AU" w:bidi="ar-SA"/>
              </w:rPr>
              <w:t>41</w:t>
            </w:r>
          </w:p>
        </w:tc>
        <w:tc>
          <w:tcPr>
            <w:tcW w:w="1134" w:type="dxa"/>
            <w:shd w:val="clear" w:color="auto" w:fill="auto"/>
            <w:noWrap/>
            <w:vAlign w:val="bottom"/>
            <w:hideMark/>
          </w:tcPr>
          <w:p w:rsidR="00263D64" w:rsidRPr="00847CCC" w:rsidRDefault="00263D64" w:rsidP="00263D64">
            <w:pPr>
              <w:keepNext/>
              <w:keepLines/>
              <w:spacing w:after="60" w:line="240" w:lineRule="auto"/>
              <w:ind w:left="0"/>
              <w:jc w:val="right"/>
              <w:rPr>
                <w:rFonts w:cs="Arial"/>
                <w:color w:val="000000"/>
                <w:sz w:val="16"/>
                <w:szCs w:val="16"/>
                <w:lang w:eastAsia="en-AU" w:bidi="ar-SA"/>
              </w:rPr>
            </w:pPr>
            <w:r w:rsidRPr="00847CCC">
              <w:rPr>
                <w:rFonts w:cs="Arial"/>
                <w:color w:val="000000"/>
                <w:sz w:val="16"/>
                <w:szCs w:val="16"/>
                <w:lang w:eastAsia="en-AU" w:bidi="ar-SA"/>
              </w:rPr>
              <w:t>34</w:t>
            </w:r>
          </w:p>
        </w:tc>
        <w:tc>
          <w:tcPr>
            <w:tcW w:w="709" w:type="dxa"/>
            <w:shd w:val="clear" w:color="auto" w:fill="auto"/>
            <w:noWrap/>
            <w:vAlign w:val="bottom"/>
            <w:hideMark/>
          </w:tcPr>
          <w:p w:rsidR="00263D64" w:rsidRPr="00847CCC" w:rsidRDefault="00263D64" w:rsidP="00263D64">
            <w:pPr>
              <w:keepNext/>
              <w:keepLines/>
              <w:spacing w:after="60" w:line="240" w:lineRule="auto"/>
              <w:ind w:left="0"/>
              <w:jc w:val="right"/>
              <w:rPr>
                <w:rFonts w:cs="Arial"/>
                <w:color w:val="000000"/>
                <w:sz w:val="16"/>
                <w:szCs w:val="16"/>
                <w:lang w:eastAsia="en-AU" w:bidi="ar-SA"/>
              </w:rPr>
            </w:pPr>
            <w:r w:rsidRPr="00847CCC">
              <w:rPr>
                <w:rFonts w:cs="Arial"/>
                <w:color w:val="000000"/>
                <w:sz w:val="16"/>
                <w:szCs w:val="16"/>
                <w:lang w:eastAsia="en-AU" w:bidi="ar-SA"/>
              </w:rPr>
              <w:t>38</w:t>
            </w:r>
          </w:p>
        </w:tc>
      </w:tr>
      <w:tr w:rsidR="00263D64" w:rsidRPr="00847CCC" w:rsidTr="00351FF6">
        <w:trPr>
          <w:trHeight w:val="319"/>
        </w:trPr>
        <w:tc>
          <w:tcPr>
            <w:tcW w:w="3827" w:type="dxa"/>
            <w:shd w:val="clear" w:color="auto" w:fill="auto"/>
            <w:noWrap/>
            <w:vAlign w:val="bottom"/>
            <w:hideMark/>
          </w:tcPr>
          <w:p w:rsidR="00263D64" w:rsidRPr="00847CCC" w:rsidRDefault="00263D64" w:rsidP="00263D64">
            <w:pPr>
              <w:keepNext/>
              <w:keepLines/>
              <w:spacing w:after="60" w:line="240" w:lineRule="auto"/>
              <w:ind w:left="0"/>
              <w:jc w:val="left"/>
              <w:rPr>
                <w:rFonts w:cs="Arial"/>
                <w:color w:val="000000"/>
                <w:sz w:val="16"/>
                <w:szCs w:val="16"/>
                <w:lang w:eastAsia="en-AU" w:bidi="ar-SA"/>
              </w:rPr>
            </w:pPr>
            <w:r w:rsidRPr="00847CCC">
              <w:rPr>
                <w:rFonts w:cs="Arial"/>
                <w:color w:val="000000"/>
                <w:sz w:val="16"/>
                <w:szCs w:val="16"/>
                <w:lang w:eastAsia="en-AU" w:bidi="ar-SA"/>
              </w:rPr>
              <w:t>Dealing with Centrelink</w:t>
            </w:r>
          </w:p>
        </w:tc>
        <w:tc>
          <w:tcPr>
            <w:tcW w:w="1134" w:type="dxa"/>
            <w:shd w:val="clear" w:color="auto" w:fill="auto"/>
            <w:noWrap/>
            <w:vAlign w:val="bottom"/>
            <w:hideMark/>
          </w:tcPr>
          <w:p w:rsidR="00263D64" w:rsidRPr="00847CCC" w:rsidRDefault="00263D64" w:rsidP="00263D64">
            <w:pPr>
              <w:keepNext/>
              <w:keepLines/>
              <w:spacing w:after="60" w:line="240" w:lineRule="auto"/>
              <w:ind w:left="0"/>
              <w:jc w:val="right"/>
              <w:rPr>
                <w:rFonts w:cs="Arial"/>
                <w:color w:val="000000"/>
                <w:sz w:val="16"/>
                <w:szCs w:val="16"/>
                <w:lang w:eastAsia="en-AU" w:bidi="ar-SA"/>
              </w:rPr>
            </w:pPr>
            <w:r w:rsidRPr="00847CCC">
              <w:rPr>
                <w:rFonts w:cs="Arial"/>
                <w:color w:val="000000"/>
                <w:sz w:val="16"/>
                <w:szCs w:val="16"/>
                <w:lang w:eastAsia="en-AU" w:bidi="ar-SA"/>
              </w:rPr>
              <w:t>49</w:t>
            </w:r>
          </w:p>
        </w:tc>
        <w:tc>
          <w:tcPr>
            <w:tcW w:w="1134" w:type="dxa"/>
            <w:shd w:val="clear" w:color="auto" w:fill="auto"/>
            <w:noWrap/>
            <w:vAlign w:val="bottom"/>
            <w:hideMark/>
          </w:tcPr>
          <w:p w:rsidR="00263D64" w:rsidRPr="00847CCC" w:rsidRDefault="00263D64" w:rsidP="00263D64">
            <w:pPr>
              <w:keepNext/>
              <w:keepLines/>
              <w:spacing w:after="60" w:line="240" w:lineRule="auto"/>
              <w:ind w:left="0"/>
              <w:jc w:val="right"/>
              <w:rPr>
                <w:rFonts w:cs="Arial"/>
                <w:color w:val="000000"/>
                <w:sz w:val="16"/>
                <w:szCs w:val="16"/>
                <w:lang w:eastAsia="en-AU" w:bidi="ar-SA"/>
              </w:rPr>
            </w:pPr>
            <w:r w:rsidRPr="00847CCC">
              <w:rPr>
                <w:rFonts w:cs="Arial"/>
                <w:color w:val="000000"/>
                <w:sz w:val="16"/>
                <w:szCs w:val="16"/>
                <w:lang w:eastAsia="en-AU" w:bidi="ar-SA"/>
              </w:rPr>
              <w:t>32</w:t>
            </w:r>
          </w:p>
        </w:tc>
        <w:tc>
          <w:tcPr>
            <w:tcW w:w="709" w:type="dxa"/>
            <w:shd w:val="clear" w:color="auto" w:fill="auto"/>
            <w:noWrap/>
            <w:vAlign w:val="bottom"/>
            <w:hideMark/>
          </w:tcPr>
          <w:p w:rsidR="00263D64" w:rsidRPr="00847CCC" w:rsidRDefault="00263D64" w:rsidP="00263D64">
            <w:pPr>
              <w:keepNext/>
              <w:keepLines/>
              <w:spacing w:after="60" w:line="240" w:lineRule="auto"/>
              <w:ind w:left="0"/>
              <w:jc w:val="right"/>
              <w:rPr>
                <w:rFonts w:cs="Arial"/>
                <w:color w:val="000000"/>
                <w:sz w:val="16"/>
                <w:szCs w:val="16"/>
                <w:lang w:eastAsia="en-AU" w:bidi="ar-SA"/>
              </w:rPr>
            </w:pPr>
            <w:r w:rsidRPr="00847CCC">
              <w:rPr>
                <w:rFonts w:cs="Arial"/>
                <w:color w:val="000000"/>
                <w:sz w:val="16"/>
                <w:szCs w:val="16"/>
                <w:lang w:eastAsia="en-AU" w:bidi="ar-SA"/>
              </w:rPr>
              <w:t>42</w:t>
            </w:r>
          </w:p>
        </w:tc>
      </w:tr>
      <w:tr w:rsidR="00263D64" w:rsidRPr="00847CCC" w:rsidTr="00351FF6">
        <w:trPr>
          <w:trHeight w:val="300"/>
        </w:trPr>
        <w:tc>
          <w:tcPr>
            <w:tcW w:w="3827" w:type="dxa"/>
            <w:shd w:val="clear" w:color="auto" w:fill="auto"/>
            <w:noWrap/>
            <w:vAlign w:val="bottom"/>
            <w:hideMark/>
          </w:tcPr>
          <w:p w:rsidR="00263D64" w:rsidRPr="00847CCC" w:rsidRDefault="00263D64" w:rsidP="00263D64">
            <w:pPr>
              <w:keepNext/>
              <w:keepLines/>
              <w:spacing w:after="60" w:line="240" w:lineRule="auto"/>
              <w:ind w:left="0"/>
              <w:jc w:val="left"/>
              <w:rPr>
                <w:rFonts w:cs="Arial"/>
                <w:color w:val="000000"/>
                <w:sz w:val="16"/>
                <w:szCs w:val="16"/>
                <w:lang w:eastAsia="en-AU" w:bidi="ar-SA"/>
              </w:rPr>
            </w:pPr>
            <w:r w:rsidRPr="00847CCC">
              <w:rPr>
                <w:rFonts w:cs="Arial"/>
                <w:color w:val="000000"/>
                <w:sz w:val="16"/>
                <w:szCs w:val="16"/>
                <w:lang w:eastAsia="en-AU" w:bidi="ar-SA"/>
              </w:rPr>
              <w:t>Financial management skills</w:t>
            </w:r>
          </w:p>
        </w:tc>
        <w:tc>
          <w:tcPr>
            <w:tcW w:w="1134" w:type="dxa"/>
            <w:shd w:val="clear" w:color="auto" w:fill="auto"/>
            <w:noWrap/>
            <w:vAlign w:val="bottom"/>
            <w:hideMark/>
          </w:tcPr>
          <w:p w:rsidR="00263D64" w:rsidRPr="00847CCC" w:rsidRDefault="00263D64" w:rsidP="00263D64">
            <w:pPr>
              <w:keepNext/>
              <w:keepLines/>
              <w:spacing w:after="60" w:line="240" w:lineRule="auto"/>
              <w:ind w:left="0"/>
              <w:jc w:val="right"/>
              <w:rPr>
                <w:rFonts w:cs="Arial"/>
                <w:color w:val="000000"/>
                <w:sz w:val="16"/>
                <w:szCs w:val="16"/>
                <w:lang w:eastAsia="en-AU" w:bidi="ar-SA"/>
              </w:rPr>
            </w:pPr>
            <w:r w:rsidRPr="00847CCC">
              <w:rPr>
                <w:rFonts w:cs="Arial"/>
                <w:color w:val="000000"/>
                <w:sz w:val="16"/>
                <w:szCs w:val="16"/>
                <w:lang w:eastAsia="en-AU" w:bidi="ar-SA"/>
              </w:rPr>
              <w:t>60</w:t>
            </w:r>
          </w:p>
        </w:tc>
        <w:tc>
          <w:tcPr>
            <w:tcW w:w="1134" w:type="dxa"/>
            <w:shd w:val="clear" w:color="auto" w:fill="auto"/>
            <w:noWrap/>
            <w:vAlign w:val="bottom"/>
            <w:hideMark/>
          </w:tcPr>
          <w:p w:rsidR="00263D64" w:rsidRPr="00847CCC" w:rsidRDefault="00263D64" w:rsidP="00263D64">
            <w:pPr>
              <w:keepNext/>
              <w:keepLines/>
              <w:spacing w:after="60" w:line="240" w:lineRule="auto"/>
              <w:ind w:left="0"/>
              <w:jc w:val="right"/>
              <w:rPr>
                <w:rFonts w:cs="Arial"/>
                <w:color w:val="000000"/>
                <w:sz w:val="16"/>
                <w:szCs w:val="16"/>
                <w:lang w:eastAsia="en-AU" w:bidi="ar-SA"/>
              </w:rPr>
            </w:pPr>
            <w:r w:rsidRPr="00847CCC">
              <w:rPr>
                <w:rFonts w:cs="Arial"/>
                <w:color w:val="000000"/>
                <w:sz w:val="16"/>
                <w:szCs w:val="16"/>
                <w:lang w:eastAsia="en-AU" w:bidi="ar-SA"/>
              </w:rPr>
              <w:t>50</w:t>
            </w:r>
          </w:p>
        </w:tc>
        <w:tc>
          <w:tcPr>
            <w:tcW w:w="709" w:type="dxa"/>
            <w:shd w:val="clear" w:color="auto" w:fill="auto"/>
            <w:noWrap/>
            <w:vAlign w:val="bottom"/>
            <w:hideMark/>
          </w:tcPr>
          <w:p w:rsidR="00263D64" w:rsidRPr="00847CCC" w:rsidRDefault="00263D64" w:rsidP="00263D64">
            <w:pPr>
              <w:keepNext/>
              <w:keepLines/>
              <w:spacing w:after="60" w:line="240" w:lineRule="auto"/>
              <w:ind w:left="0"/>
              <w:jc w:val="right"/>
              <w:rPr>
                <w:rFonts w:cs="Arial"/>
                <w:color w:val="000000"/>
                <w:sz w:val="16"/>
                <w:szCs w:val="16"/>
                <w:lang w:eastAsia="en-AU" w:bidi="ar-SA"/>
              </w:rPr>
            </w:pPr>
            <w:r w:rsidRPr="00847CCC">
              <w:rPr>
                <w:rFonts w:cs="Arial"/>
                <w:color w:val="000000"/>
                <w:sz w:val="16"/>
                <w:szCs w:val="16"/>
                <w:lang w:eastAsia="en-AU" w:bidi="ar-SA"/>
              </w:rPr>
              <w:t>56</w:t>
            </w:r>
          </w:p>
        </w:tc>
      </w:tr>
      <w:tr w:rsidR="00263D64" w:rsidRPr="00847CCC" w:rsidTr="00351FF6">
        <w:trPr>
          <w:trHeight w:val="300"/>
        </w:trPr>
        <w:tc>
          <w:tcPr>
            <w:tcW w:w="3827" w:type="dxa"/>
            <w:tcBorders>
              <w:bottom w:val="single" w:sz="4" w:space="0" w:color="000000"/>
            </w:tcBorders>
            <w:shd w:val="clear" w:color="auto" w:fill="auto"/>
            <w:noWrap/>
            <w:vAlign w:val="bottom"/>
            <w:hideMark/>
          </w:tcPr>
          <w:p w:rsidR="00263D64" w:rsidRPr="00847CCC" w:rsidRDefault="00263D64" w:rsidP="00263D64">
            <w:pPr>
              <w:keepNext/>
              <w:keepLines/>
              <w:spacing w:after="60" w:line="240" w:lineRule="auto"/>
              <w:ind w:left="0"/>
              <w:jc w:val="left"/>
              <w:rPr>
                <w:rFonts w:cs="Arial"/>
                <w:color w:val="000000"/>
                <w:sz w:val="16"/>
                <w:szCs w:val="16"/>
                <w:lang w:eastAsia="en-AU" w:bidi="ar-SA"/>
              </w:rPr>
            </w:pPr>
            <w:r w:rsidRPr="00847CCC">
              <w:rPr>
                <w:rFonts w:cs="Arial"/>
                <w:color w:val="000000"/>
                <w:sz w:val="16"/>
                <w:szCs w:val="16"/>
                <w:lang w:eastAsia="en-AU" w:bidi="ar-SA"/>
              </w:rPr>
              <w:t>Referred to another organisation</w:t>
            </w:r>
          </w:p>
        </w:tc>
        <w:tc>
          <w:tcPr>
            <w:tcW w:w="1134" w:type="dxa"/>
            <w:tcBorders>
              <w:bottom w:val="single" w:sz="4" w:space="0" w:color="000000"/>
            </w:tcBorders>
            <w:shd w:val="clear" w:color="auto" w:fill="auto"/>
            <w:noWrap/>
            <w:vAlign w:val="bottom"/>
            <w:hideMark/>
          </w:tcPr>
          <w:p w:rsidR="00263D64" w:rsidRPr="00847CCC" w:rsidRDefault="00263D64" w:rsidP="00263D64">
            <w:pPr>
              <w:keepNext/>
              <w:keepLines/>
              <w:spacing w:after="60" w:line="240" w:lineRule="auto"/>
              <w:ind w:left="0"/>
              <w:jc w:val="right"/>
              <w:rPr>
                <w:rFonts w:cs="Arial"/>
                <w:color w:val="000000"/>
                <w:sz w:val="16"/>
                <w:szCs w:val="16"/>
                <w:lang w:eastAsia="en-AU" w:bidi="ar-SA"/>
              </w:rPr>
            </w:pPr>
            <w:r w:rsidRPr="00847CCC">
              <w:rPr>
                <w:rFonts w:cs="Arial"/>
                <w:color w:val="000000"/>
                <w:sz w:val="16"/>
                <w:szCs w:val="16"/>
                <w:lang w:eastAsia="en-AU" w:bidi="ar-SA"/>
              </w:rPr>
              <w:t>3</w:t>
            </w:r>
          </w:p>
        </w:tc>
        <w:tc>
          <w:tcPr>
            <w:tcW w:w="1134" w:type="dxa"/>
            <w:tcBorders>
              <w:bottom w:val="single" w:sz="4" w:space="0" w:color="000000"/>
            </w:tcBorders>
            <w:shd w:val="clear" w:color="auto" w:fill="auto"/>
            <w:noWrap/>
            <w:vAlign w:val="bottom"/>
            <w:hideMark/>
          </w:tcPr>
          <w:p w:rsidR="00263D64" w:rsidRPr="00847CCC" w:rsidRDefault="00263D64" w:rsidP="00263D64">
            <w:pPr>
              <w:keepNext/>
              <w:keepLines/>
              <w:spacing w:after="60" w:line="240" w:lineRule="auto"/>
              <w:ind w:left="0"/>
              <w:jc w:val="right"/>
              <w:rPr>
                <w:rFonts w:cs="Arial"/>
                <w:color w:val="000000"/>
                <w:sz w:val="16"/>
                <w:szCs w:val="16"/>
                <w:lang w:eastAsia="en-AU" w:bidi="ar-SA"/>
              </w:rPr>
            </w:pPr>
            <w:r w:rsidRPr="00847CCC">
              <w:rPr>
                <w:rFonts w:cs="Arial"/>
                <w:color w:val="000000"/>
                <w:sz w:val="16"/>
                <w:szCs w:val="16"/>
                <w:lang w:eastAsia="en-AU" w:bidi="ar-SA"/>
              </w:rPr>
              <w:t>9</w:t>
            </w:r>
          </w:p>
        </w:tc>
        <w:tc>
          <w:tcPr>
            <w:tcW w:w="709" w:type="dxa"/>
            <w:tcBorders>
              <w:bottom w:val="single" w:sz="4" w:space="0" w:color="000000"/>
            </w:tcBorders>
            <w:shd w:val="clear" w:color="auto" w:fill="auto"/>
            <w:noWrap/>
            <w:vAlign w:val="bottom"/>
            <w:hideMark/>
          </w:tcPr>
          <w:p w:rsidR="00263D64" w:rsidRPr="00847CCC" w:rsidRDefault="00263D64" w:rsidP="00263D64">
            <w:pPr>
              <w:keepNext/>
              <w:keepLines/>
              <w:spacing w:after="60" w:line="240" w:lineRule="auto"/>
              <w:ind w:left="0"/>
              <w:jc w:val="right"/>
              <w:rPr>
                <w:rFonts w:cs="Arial"/>
                <w:color w:val="000000"/>
                <w:sz w:val="16"/>
                <w:szCs w:val="16"/>
                <w:lang w:eastAsia="en-AU" w:bidi="ar-SA"/>
              </w:rPr>
            </w:pPr>
            <w:r w:rsidRPr="00847CCC">
              <w:rPr>
                <w:rFonts w:cs="Arial"/>
                <w:color w:val="000000"/>
                <w:sz w:val="16"/>
                <w:szCs w:val="16"/>
                <w:lang w:eastAsia="en-AU" w:bidi="ar-SA"/>
              </w:rPr>
              <w:t>5</w:t>
            </w:r>
          </w:p>
        </w:tc>
      </w:tr>
    </w:tbl>
    <w:p w:rsidR="00CF518E" w:rsidRDefault="00CF518E" w:rsidP="002955BA">
      <w:pPr>
        <w:pStyle w:val="tablefootnotes"/>
      </w:pPr>
      <w:r>
        <w:t>Notes:</w:t>
      </w:r>
    </w:p>
    <w:p w:rsidR="00263D64" w:rsidRPr="005911E2" w:rsidRDefault="00263D64" w:rsidP="002955BA">
      <w:pPr>
        <w:pStyle w:val="tablefootnotes"/>
      </w:pPr>
      <w:r w:rsidRPr="005911E2">
        <w:t xml:space="preserve">(a) </w:t>
      </w:r>
      <w:r w:rsidRPr="005911E2">
        <w:tab/>
        <w:t>Survey participants could give multiple reas</w:t>
      </w:r>
      <w:r w:rsidR="00AC72FE">
        <w:t>ons, columns do not add to 100</w:t>
      </w:r>
      <w:r w:rsidRPr="005911E2">
        <w:t xml:space="preserve">. Don’t know responses are coded as did not assist with the particular area. Financial management skills include </w:t>
      </w:r>
      <w:r w:rsidR="001429AF">
        <w:t xml:space="preserve">managing </w:t>
      </w:r>
      <w:r w:rsidRPr="005911E2">
        <w:t>debts, big bills, budgeting and savings.</w:t>
      </w:r>
    </w:p>
    <w:p w:rsidR="00263D64" w:rsidRPr="005911E2" w:rsidRDefault="00263D64" w:rsidP="002955BA">
      <w:pPr>
        <w:pStyle w:val="tablefootnotes"/>
      </w:pPr>
      <w:r w:rsidRPr="005911E2">
        <w:t>Source:</w:t>
      </w:r>
      <w:r w:rsidRPr="005911E2">
        <w:tab/>
        <w:t>LSNIM, Wave 1.</w:t>
      </w:r>
    </w:p>
    <w:p w:rsidR="00263D64" w:rsidRPr="005911E2" w:rsidRDefault="00263D64" w:rsidP="002955BA">
      <w:pPr>
        <w:pStyle w:val="tablefootnotes"/>
        <w:rPr>
          <w:sz w:val="20"/>
        </w:rPr>
      </w:pPr>
    </w:p>
    <w:p w:rsidR="00263D64" w:rsidRPr="005911E2" w:rsidRDefault="00263D64" w:rsidP="00263D64">
      <w:pPr>
        <w:rPr>
          <w:lang w:eastAsia="en-AU"/>
        </w:rPr>
      </w:pPr>
      <w:r w:rsidRPr="005911E2">
        <w:rPr>
          <w:lang w:eastAsia="en-AU"/>
        </w:rPr>
        <w:t>About one-in-five survey participants had heard of Matched Savings</w:t>
      </w:r>
      <w:r w:rsidR="00D43761">
        <w:rPr>
          <w:lang w:eastAsia="en-AU"/>
        </w:rPr>
        <w:t xml:space="preserve"> Payments</w:t>
      </w:r>
      <w:r w:rsidRPr="005911E2">
        <w:rPr>
          <w:lang w:eastAsia="en-AU"/>
        </w:rPr>
        <w:t xml:space="preserve">. A higher proportion of non-Indigenous survey participants had heard of the </w:t>
      </w:r>
      <w:r w:rsidR="00D43761">
        <w:rPr>
          <w:lang w:eastAsia="en-AU"/>
        </w:rPr>
        <w:t xml:space="preserve">Payments </w:t>
      </w:r>
      <w:r w:rsidRPr="005911E2">
        <w:rPr>
          <w:lang w:eastAsia="en-AU"/>
        </w:rPr>
        <w:t xml:space="preserve">(35 per cent) than the Indigenous survey participants (13 per cent). The proportion of survey participants who said that they had attended an </w:t>
      </w:r>
      <w:r w:rsidR="00D43761">
        <w:rPr>
          <w:lang w:eastAsia="en-AU"/>
        </w:rPr>
        <w:t>a</w:t>
      </w:r>
      <w:r w:rsidRPr="005911E2">
        <w:rPr>
          <w:lang w:eastAsia="en-AU"/>
        </w:rPr>
        <w:t xml:space="preserve">pproved </w:t>
      </w:r>
      <w:r w:rsidR="00D43761">
        <w:rPr>
          <w:lang w:eastAsia="en-AU"/>
        </w:rPr>
        <w:t>m</w:t>
      </w:r>
      <w:r w:rsidRPr="005911E2">
        <w:rPr>
          <w:lang w:eastAsia="en-AU"/>
        </w:rPr>
        <w:t xml:space="preserve">oney </w:t>
      </w:r>
      <w:r w:rsidR="00D43761">
        <w:rPr>
          <w:lang w:eastAsia="en-AU"/>
        </w:rPr>
        <w:t>m</w:t>
      </w:r>
      <w:r w:rsidRPr="005911E2">
        <w:rPr>
          <w:lang w:eastAsia="en-AU"/>
        </w:rPr>
        <w:t xml:space="preserve">anagement course was very low (3 per cent), but was higher for non-Indigenous participants than for Indigenous participants (6 per cent compared with 1 per cent). </w:t>
      </w:r>
    </w:p>
    <w:p w:rsidR="00263D64" w:rsidRPr="005911E2" w:rsidRDefault="00263D64" w:rsidP="00616B0F">
      <w:pPr>
        <w:pStyle w:val="Heading2"/>
      </w:pPr>
      <w:bookmarkStart w:id="619" w:name="_Toc321225135"/>
      <w:bookmarkStart w:id="620" w:name="_Toc321254478"/>
      <w:bookmarkStart w:id="621" w:name="_Toc328601503"/>
      <w:bookmarkStart w:id="622" w:name="_Toc329870384"/>
      <w:bookmarkStart w:id="623" w:name="_Toc335915770"/>
      <w:r w:rsidRPr="005911E2">
        <w:t xml:space="preserve">Centrelink staff views of </w:t>
      </w:r>
      <w:r w:rsidR="00D43761">
        <w:t>m</w:t>
      </w:r>
      <w:r w:rsidRPr="005911E2">
        <w:t xml:space="preserve">oney </w:t>
      </w:r>
      <w:r w:rsidR="00D43761">
        <w:t>m</w:t>
      </w:r>
      <w:r w:rsidRPr="005911E2">
        <w:t xml:space="preserve">anagement services and the </w:t>
      </w:r>
      <w:r w:rsidR="00C32CEF">
        <w:t>M</w:t>
      </w:r>
      <w:r w:rsidRPr="005911E2">
        <w:t xml:space="preserve">atched </w:t>
      </w:r>
      <w:r w:rsidR="00C32CEF">
        <w:t>S</w:t>
      </w:r>
      <w:r w:rsidRPr="005911E2">
        <w:t xml:space="preserve">avings </w:t>
      </w:r>
      <w:r w:rsidR="00C32CEF">
        <w:t>P</w:t>
      </w:r>
      <w:r w:rsidRPr="005911E2">
        <w:t>ayment</w:t>
      </w:r>
      <w:bookmarkEnd w:id="619"/>
      <w:bookmarkEnd w:id="620"/>
      <w:bookmarkEnd w:id="621"/>
      <w:bookmarkEnd w:id="622"/>
      <w:bookmarkEnd w:id="623"/>
    </w:p>
    <w:p w:rsidR="00263D64" w:rsidRPr="005911E2" w:rsidRDefault="00263D64" w:rsidP="00263D64">
      <w:pPr>
        <w:rPr>
          <w:lang w:eastAsia="en-AU"/>
        </w:rPr>
      </w:pPr>
      <w:r w:rsidRPr="005911E2">
        <w:rPr>
          <w:lang w:eastAsia="en-AU"/>
        </w:rPr>
        <w:t xml:space="preserve">The survey of 128 Centrelink staff included several questions related to the </w:t>
      </w:r>
      <w:r w:rsidR="00C32CEF">
        <w:rPr>
          <w:lang w:eastAsia="en-AU"/>
        </w:rPr>
        <w:t>m</w:t>
      </w:r>
      <w:r w:rsidRPr="005911E2">
        <w:rPr>
          <w:lang w:eastAsia="en-AU"/>
        </w:rPr>
        <w:t xml:space="preserve">oney </w:t>
      </w:r>
      <w:r w:rsidR="00C32CEF">
        <w:rPr>
          <w:lang w:eastAsia="en-AU"/>
        </w:rPr>
        <w:t>m</w:t>
      </w:r>
      <w:r w:rsidRPr="005911E2">
        <w:rPr>
          <w:lang w:eastAsia="en-AU"/>
        </w:rPr>
        <w:t xml:space="preserve">anagement </w:t>
      </w:r>
      <w:r w:rsidR="00C32CEF">
        <w:rPr>
          <w:lang w:eastAsia="en-AU"/>
        </w:rPr>
        <w:t xml:space="preserve">and </w:t>
      </w:r>
      <w:r w:rsidRPr="005911E2">
        <w:rPr>
          <w:lang w:eastAsia="en-AU"/>
        </w:rPr>
        <w:t xml:space="preserve">financial counselling services. The two major questions were: how useful they thought referring clients to </w:t>
      </w:r>
      <w:r w:rsidR="00C32CEF">
        <w:rPr>
          <w:lang w:eastAsia="en-AU"/>
        </w:rPr>
        <w:t>m</w:t>
      </w:r>
      <w:r w:rsidRPr="005911E2">
        <w:rPr>
          <w:lang w:eastAsia="en-AU"/>
        </w:rPr>
        <w:t xml:space="preserve">oney </w:t>
      </w:r>
      <w:r w:rsidR="00C32CEF">
        <w:rPr>
          <w:lang w:eastAsia="en-AU"/>
        </w:rPr>
        <w:t>m</w:t>
      </w:r>
      <w:r w:rsidRPr="005911E2">
        <w:rPr>
          <w:lang w:eastAsia="en-AU"/>
        </w:rPr>
        <w:t xml:space="preserve">anagement or financial counselling services was; and what barriers </w:t>
      </w:r>
      <w:r w:rsidR="00C32CEF">
        <w:rPr>
          <w:lang w:eastAsia="en-AU"/>
        </w:rPr>
        <w:t xml:space="preserve">there were </w:t>
      </w:r>
      <w:r w:rsidRPr="005911E2">
        <w:rPr>
          <w:lang w:eastAsia="en-AU"/>
        </w:rPr>
        <w:t xml:space="preserve">to their clients who were subject to IM receiving </w:t>
      </w:r>
      <w:r w:rsidR="00C32CEF">
        <w:rPr>
          <w:lang w:eastAsia="en-AU"/>
        </w:rPr>
        <w:t>m</w:t>
      </w:r>
      <w:r w:rsidRPr="005911E2">
        <w:rPr>
          <w:lang w:eastAsia="en-AU"/>
        </w:rPr>
        <w:t xml:space="preserve">oney </w:t>
      </w:r>
      <w:r w:rsidR="00C32CEF">
        <w:rPr>
          <w:lang w:eastAsia="en-AU"/>
        </w:rPr>
        <w:t>m</w:t>
      </w:r>
      <w:r w:rsidRPr="005911E2">
        <w:rPr>
          <w:lang w:eastAsia="en-AU"/>
        </w:rPr>
        <w:t>anagement and financial counselling services.</w:t>
      </w:r>
    </w:p>
    <w:p w:rsidR="00263D64" w:rsidRPr="005911E2" w:rsidRDefault="00194AE5" w:rsidP="00263D64">
      <w:pPr>
        <w:rPr>
          <w:highlight w:val="yellow"/>
          <w:lang w:eastAsia="en-AU"/>
        </w:rPr>
      </w:pPr>
      <w:r>
        <w:rPr>
          <w:lang w:eastAsia="en-AU"/>
        </w:rPr>
        <w:t>Thirteen per cent</w:t>
      </w:r>
      <w:r w:rsidR="00263D64" w:rsidRPr="005911E2">
        <w:rPr>
          <w:lang w:eastAsia="en-AU"/>
        </w:rPr>
        <w:t xml:space="preserve"> of the Centrelink staff interviewed said that </w:t>
      </w:r>
      <w:r w:rsidRPr="005911E2">
        <w:rPr>
          <w:lang w:eastAsia="en-AU"/>
        </w:rPr>
        <w:t>refer</w:t>
      </w:r>
      <w:r>
        <w:rPr>
          <w:lang w:eastAsia="en-AU"/>
        </w:rPr>
        <w:t xml:space="preserve">ring </w:t>
      </w:r>
      <w:r w:rsidR="00F45A56">
        <w:rPr>
          <w:lang w:eastAsia="en-AU"/>
        </w:rPr>
        <w:t>their</w:t>
      </w:r>
      <w:r w:rsidR="00263D64" w:rsidRPr="005911E2">
        <w:rPr>
          <w:lang w:eastAsia="en-AU"/>
        </w:rPr>
        <w:t xml:space="preserve"> clients to </w:t>
      </w:r>
      <w:r w:rsidR="00C32CEF">
        <w:rPr>
          <w:lang w:eastAsia="en-AU"/>
        </w:rPr>
        <w:t>m</w:t>
      </w:r>
      <w:r w:rsidR="00263D64" w:rsidRPr="005911E2">
        <w:rPr>
          <w:lang w:eastAsia="en-AU"/>
        </w:rPr>
        <w:t xml:space="preserve">oney </w:t>
      </w:r>
      <w:r w:rsidR="00C32CEF">
        <w:rPr>
          <w:lang w:eastAsia="en-AU"/>
        </w:rPr>
        <w:t>m</w:t>
      </w:r>
      <w:r w:rsidR="00263D64" w:rsidRPr="005911E2">
        <w:rPr>
          <w:lang w:eastAsia="en-AU"/>
        </w:rPr>
        <w:t xml:space="preserve">anagement </w:t>
      </w:r>
      <w:r w:rsidR="00C32CEF">
        <w:rPr>
          <w:lang w:eastAsia="en-AU"/>
        </w:rPr>
        <w:t>and</w:t>
      </w:r>
      <w:r w:rsidR="00263D64" w:rsidRPr="005911E2">
        <w:rPr>
          <w:lang w:eastAsia="en-AU"/>
        </w:rPr>
        <w:t xml:space="preserve"> financial counselling services </w:t>
      </w:r>
      <w:r w:rsidRPr="005911E2">
        <w:rPr>
          <w:lang w:eastAsia="en-AU"/>
        </w:rPr>
        <w:t>was greatly useful</w:t>
      </w:r>
      <w:r>
        <w:rPr>
          <w:lang w:eastAsia="en-AU"/>
        </w:rPr>
        <w:t xml:space="preserve">. </w:t>
      </w:r>
      <w:r w:rsidRPr="005911E2">
        <w:rPr>
          <w:lang w:eastAsia="en-AU"/>
        </w:rPr>
        <w:t xml:space="preserve">One quarter said it was moderately useful </w:t>
      </w:r>
      <w:r w:rsidR="00263D64" w:rsidRPr="005911E2">
        <w:rPr>
          <w:lang w:eastAsia="en-AU"/>
        </w:rPr>
        <w:t xml:space="preserve">and a further 33 per cent said </w:t>
      </w:r>
      <w:r w:rsidR="00C32CEF">
        <w:rPr>
          <w:lang w:eastAsia="en-AU"/>
        </w:rPr>
        <w:t xml:space="preserve">it </w:t>
      </w:r>
      <w:r w:rsidR="00263D64" w:rsidRPr="005911E2">
        <w:rPr>
          <w:lang w:eastAsia="en-AU"/>
        </w:rPr>
        <w:t xml:space="preserve">was only a little </w:t>
      </w:r>
      <w:r>
        <w:rPr>
          <w:lang w:eastAsia="en-AU"/>
        </w:rPr>
        <w:t>useful</w:t>
      </w:r>
      <w:r w:rsidR="00F45A56">
        <w:rPr>
          <w:lang w:eastAsia="en-AU"/>
        </w:rPr>
        <w:t>, with the remaining 29 per cent considering that such referrals were not at all useful</w:t>
      </w:r>
      <w:r w:rsidR="00263D64" w:rsidRPr="005911E2">
        <w:rPr>
          <w:lang w:eastAsia="en-AU"/>
        </w:rPr>
        <w:t xml:space="preserve"> (Figure </w:t>
      </w:r>
      <w:r w:rsidR="00263D64" w:rsidRPr="005911E2">
        <w:rPr>
          <w:noProof/>
          <w:lang w:eastAsia="en-AU"/>
        </w:rPr>
        <w:t>7</w:t>
      </w:r>
      <w:r w:rsidR="00263D64" w:rsidRPr="005911E2">
        <w:rPr>
          <w:noProof/>
          <w:lang w:eastAsia="en-AU"/>
        </w:rPr>
        <w:noBreakHyphen/>
        <w:t>5</w:t>
      </w:r>
      <w:r w:rsidR="00263D64" w:rsidRPr="005911E2">
        <w:rPr>
          <w:lang w:eastAsia="en-AU"/>
        </w:rPr>
        <w:t xml:space="preserve">). </w:t>
      </w:r>
    </w:p>
    <w:p w:rsidR="00263D64" w:rsidRPr="005911E2" w:rsidRDefault="00263D64" w:rsidP="006F14AA">
      <w:pPr>
        <w:pStyle w:val="tabfighead"/>
      </w:pPr>
      <w:bookmarkStart w:id="624" w:name="_Ref194579333"/>
      <w:bookmarkStart w:id="625" w:name="_Toc321254608"/>
      <w:bookmarkStart w:id="626" w:name="_Toc328601662"/>
      <w:bookmarkStart w:id="627" w:name="_Toc335915928"/>
      <w:r w:rsidRPr="005911E2">
        <w:t xml:space="preserve">Figure </w:t>
      </w:r>
      <w:r w:rsidR="00C7347D">
        <w:fldChar w:fldCharType="begin"/>
      </w:r>
      <w:r w:rsidR="00E74851">
        <w:instrText xml:space="preserve"> STYLEREF 1 \s </w:instrText>
      </w:r>
      <w:r w:rsidR="00C7347D">
        <w:fldChar w:fldCharType="separate"/>
      </w:r>
      <w:r w:rsidR="007D7E45">
        <w:rPr>
          <w:noProof/>
        </w:rPr>
        <w:t>7</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5</w:t>
      </w:r>
      <w:r w:rsidR="00C7347D">
        <w:fldChar w:fldCharType="end"/>
      </w:r>
      <w:bookmarkEnd w:id="624"/>
      <w:r w:rsidRPr="005911E2">
        <w:t xml:space="preserve"> </w:t>
      </w:r>
      <w:r w:rsidRPr="005911E2">
        <w:tab/>
        <w:t xml:space="preserve">Centrelink staff, How useful is referring clients/customers to </w:t>
      </w:r>
      <w:r w:rsidR="00C32CEF">
        <w:t>m</w:t>
      </w:r>
      <w:r w:rsidRPr="005911E2">
        <w:t xml:space="preserve">oney </w:t>
      </w:r>
      <w:r w:rsidR="00C32CEF">
        <w:t>m</w:t>
      </w:r>
      <w:r w:rsidRPr="005911E2">
        <w:t>anagement</w:t>
      </w:r>
      <w:r w:rsidR="00C32CEF">
        <w:t xml:space="preserve"> and </w:t>
      </w:r>
      <w:r w:rsidRPr="005911E2">
        <w:t>financial counselling services?</w:t>
      </w:r>
      <w:bookmarkEnd w:id="625"/>
      <w:bookmarkEnd w:id="626"/>
      <w:bookmarkEnd w:id="627"/>
      <w:r w:rsidRPr="005911E2">
        <w:t xml:space="preserve"> </w:t>
      </w:r>
    </w:p>
    <w:tbl>
      <w:tblPr>
        <w:tblStyle w:val="TableGrid"/>
        <w:tblW w:w="0" w:type="auto"/>
        <w:tblInd w:w="1668" w:type="dxa"/>
        <w:tblLook w:val="04A0" w:firstRow="1" w:lastRow="0" w:firstColumn="1" w:lastColumn="0" w:noHBand="0" w:noVBand="1"/>
        <w:tblCaption w:val="Figure 7-5 Centrelink staff, How useful is referring clients/customers to money management and financial counselling services? "/>
        <w:tblDescription w:val="Figure 7-5 Centrelink staff, How useful is referring clients/customers to money management and financial counselling services? "/>
      </w:tblPr>
      <w:tblGrid>
        <w:gridCol w:w="7427"/>
      </w:tblGrid>
      <w:tr w:rsidR="006F3AA9" w:rsidTr="009D15E2">
        <w:trPr>
          <w:tblHeader/>
        </w:trPr>
        <w:tc>
          <w:tcPr>
            <w:tcW w:w="7427" w:type="dxa"/>
            <w:tcBorders>
              <w:top w:val="nil"/>
              <w:left w:val="nil"/>
              <w:bottom w:val="nil"/>
              <w:right w:val="nil"/>
            </w:tcBorders>
          </w:tcPr>
          <w:p w:rsidR="006F3AA9" w:rsidRDefault="00E75F1A" w:rsidP="00263D64">
            <w:pPr>
              <w:ind w:left="0"/>
              <w:jc w:val="left"/>
              <w:rPr>
                <w:lang w:eastAsia="en-AU"/>
              </w:rPr>
            </w:pPr>
            <w:r>
              <w:rPr>
                <w:noProof/>
                <w:lang w:eastAsia="en-AU" w:bidi="ar-SA"/>
              </w:rPr>
              <w:drawing>
                <wp:inline distT="0" distB="0" distL="0" distR="0" wp14:anchorId="5DB6AC68" wp14:editId="440103BF">
                  <wp:extent cx="4572000" cy="2555875"/>
                  <wp:effectExtent l="0" t="0" r="0" b="0"/>
                  <wp:docPr id="64" name="Picture 43" descr="Figure 7-5 Centrelink staff, How useful is referring clients/customers to money management and financial counselling services? " title="Figure 7-5 Centrelink staff, How useful is referring clients/customers to money management and financial counselling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2555875"/>
                          </a:xfrm>
                          <a:prstGeom prst="rect">
                            <a:avLst/>
                          </a:prstGeom>
                          <a:noFill/>
                          <a:ln>
                            <a:noFill/>
                          </a:ln>
                        </pic:spPr>
                      </pic:pic>
                    </a:graphicData>
                  </a:graphic>
                </wp:inline>
              </w:drawing>
            </w:r>
          </w:p>
        </w:tc>
      </w:tr>
    </w:tbl>
    <w:p w:rsidR="00263D64" w:rsidRPr="005911E2" w:rsidRDefault="00263D64" w:rsidP="002955BA">
      <w:pPr>
        <w:pStyle w:val="tablefootnotes"/>
      </w:pPr>
      <w:r w:rsidRPr="005911E2">
        <w:t xml:space="preserve">Notes: </w:t>
      </w:r>
      <w:r w:rsidRPr="005911E2">
        <w:tab/>
        <w:t xml:space="preserve">Six per cent of participants felt that they were not able to answer this question. These participants are excluded from the figure. </w:t>
      </w:r>
    </w:p>
    <w:p w:rsidR="00263D64" w:rsidRPr="005911E2" w:rsidRDefault="00263D64" w:rsidP="002955BA">
      <w:pPr>
        <w:pStyle w:val="tablefootnotes"/>
      </w:pPr>
      <w:r w:rsidRPr="005911E2">
        <w:t xml:space="preserve">Source: </w:t>
      </w:r>
      <w:r w:rsidRPr="005911E2">
        <w:tab/>
        <w:t>Centrelink Staff Survey 2011</w:t>
      </w:r>
      <w:r w:rsidR="00847CCC">
        <w:t>.</w:t>
      </w:r>
    </w:p>
    <w:p w:rsidR="00263D64" w:rsidRPr="005911E2" w:rsidRDefault="00263D64" w:rsidP="00263D64">
      <w:pPr>
        <w:spacing w:after="0" w:line="264" w:lineRule="auto"/>
        <w:ind w:left="2552" w:hanging="851"/>
        <w:rPr>
          <w:sz w:val="18"/>
          <w:lang w:eastAsia="en-AU"/>
        </w:rPr>
      </w:pPr>
    </w:p>
    <w:p w:rsidR="00263D64" w:rsidRPr="005911E2" w:rsidRDefault="00263D64" w:rsidP="00263D64">
      <w:pPr>
        <w:rPr>
          <w:lang w:eastAsia="en-AU"/>
        </w:rPr>
      </w:pPr>
      <w:r w:rsidRPr="005911E2">
        <w:rPr>
          <w:lang w:eastAsia="en-AU"/>
        </w:rPr>
        <w:t xml:space="preserve">In terms of whether the Centrelink staff thought that they were able to refer clients to suitable services to improve their money management skills, the majority either strongly agreed or mostly agreed (18 per cent and 47 per cent respectively). It is not entirely clear why a higher proportion of Centrelink staff thought that the services were suitable than those who thought that the services were useful to clients. It is likely that </w:t>
      </w:r>
      <w:r w:rsidR="007D0AB3">
        <w:rPr>
          <w:lang w:eastAsia="en-AU"/>
        </w:rPr>
        <w:t>‘</w:t>
      </w:r>
      <w:r w:rsidRPr="005911E2">
        <w:rPr>
          <w:lang w:eastAsia="en-AU"/>
        </w:rPr>
        <w:t>suitable</w:t>
      </w:r>
      <w:r w:rsidR="007D0AB3">
        <w:rPr>
          <w:lang w:eastAsia="en-AU"/>
        </w:rPr>
        <w:t>’</w:t>
      </w:r>
      <w:r w:rsidRPr="005911E2">
        <w:rPr>
          <w:lang w:eastAsia="en-AU"/>
        </w:rPr>
        <w:t xml:space="preserve"> is interpreted to cover a wider range of factors such as how far people had to travel </w:t>
      </w:r>
      <w:r w:rsidR="007D0AB3">
        <w:rPr>
          <w:lang w:eastAsia="en-AU"/>
        </w:rPr>
        <w:t xml:space="preserve">to access the </w:t>
      </w:r>
      <w:r w:rsidRPr="005911E2">
        <w:rPr>
          <w:lang w:eastAsia="en-AU"/>
        </w:rPr>
        <w:t xml:space="preserve">service and </w:t>
      </w:r>
      <w:r w:rsidR="007D0AB3">
        <w:rPr>
          <w:lang w:eastAsia="en-AU"/>
        </w:rPr>
        <w:t>its</w:t>
      </w:r>
      <w:r w:rsidR="007D0AB3" w:rsidRPr="005911E2">
        <w:rPr>
          <w:lang w:eastAsia="en-AU"/>
        </w:rPr>
        <w:t xml:space="preserve"> </w:t>
      </w:r>
      <w:r w:rsidRPr="005911E2">
        <w:rPr>
          <w:lang w:eastAsia="en-AU"/>
        </w:rPr>
        <w:t>cultural appropriateness</w:t>
      </w:r>
      <w:r w:rsidR="007D0AB3">
        <w:rPr>
          <w:lang w:eastAsia="en-AU"/>
        </w:rPr>
        <w:t>,</w:t>
      </w:r>
      <w:r w:rsidRPr="005911E2">
        <w:rPr>
          <w:lang w:eastAsia="en-AU"/>
        </w:rPr>
        <w:t xml:space="preserve"> whereas </w:t>
      </w:r>
      <w:r w:rsidR="007D0AB3">
        <w:rPr>
          <w:lang w:eastAsia="en-AU"/>
        </w:rPr>
        <w:t>‘</w:t>
      </w:r>
      <w:r w:rsidRPr="005911E2">
        <w:rPr>
          <w:lang w:eastAsia="en-AU"/>
        </w:rPr>
        <w:t>useful</w:t>
      </w:r>
      <w:r w:rsidR="007D0AB3">
        <w:rPr>
          <w:lang w:eastAsia="en-AU"/>
        </w:rPr>
        <w:t>’</w:t>
      </w:r>
      <w:r w:rsidRPr="005911E2">
        <w:rPr>
          <w:lang w:eastAsia="en-AU"/>
        </w:rPr>
        <w:t xml:space="preserve"> relates more to whether they thought that the services assisted those subject to </w:t>
      </w:r>
      <w:r w:rsidR="00F878E4">
        <w:rPr>
          <w:lang w:eastAsia="en-AU"/>
        </w:rPr>
        <w:t>income management</w:t>
      </w:r>
      <w:r w:rsidRPr="005911E2">
        <w:rPr>
          <w:lang w:eastAsia="en-AU"/>
        </w:rPr>
        <w:t>.</w:t>
      </w:r>
    </w:p>
    <w:p w:rsidR="00263D64" w:rsidRPr="005911E2" w:rsidRDefault="00077699" w:rsidP="00263D64">
      <w:pPr>
        <w:rPr>
          <w:lang w:eastAsia="en-AU"/>
        </w:rPr>
      </w:pPr>
      <w:r>
        <w:rPr>
          <w:lang w:eastAsia="en-AU"/>
        </w:rPr>
        <w:t>The</w:t>
      </w:r>
      <w:r w:rsidR="00263D64" w:rsidRPr="005911E2">
        <w:rPr>
          <w:lang w:eastAsia="en-AU"/>
        </w:rPr>
        <w:t xml:space="preserve"> second major question that was asked in the survey of Centrelink staff with regard to money management was the extent to which they agreed or disagreed with a series of statements about potential barriers to people being able to access </w:t>
      </w:r>
      <w:r w:rsidR="00455170">
        <w:rPr>
          <w:lang w:eastAsia="en-AU"/>
        </w:rPr>
        <w:t xml:space="preserve">money </w:t>
      </w:r>
      <w:r w:rsidR="00263D64" w:rsidRPr="005911E2">
        <w:rPr>
          <w:lang w:eastAsia="en-AU"/>
        </w:rPr>
        <w:t xml:space="preserve">management </w:t>
      </w:r>
      <w:r w:rsidR="00455170">
        <w:rPr>
          <w:lang w:eastAsia="en-AU"/>
        </w:rPr>
        <w:t xml:space="preserve">and </w:t>
      </w:r>
      <w:r w:rsidR="00263D64" w:rsidRPr="005911E2">
        <w:rPr>
          <w:lang w:eastAsia="en-AU"/>
        </w:rPr>
        <w:t xml:space="preserve">financial counselling services (Table </w:t>
      </w:r>
      <w:r w:rsidR="00263D64" w:rsidRPr="005911E2">
        <w:rPr>
          <w:noProof/>
          <w:lang w:eastAsia="en-AU"/>
        </w:rPr>
        <w:t>7</w:t>
      </w:r>
      <w:r w:rsidR="00263D64" w:rsidRPr="005911E2">
        <w:rPr>
          <w:lang w:eastAsia="en-AU"/>
        </w:rPr>
        <w:noBreakHyphen/>
      </w:r>
      <w:r w:rsidR="00263D64" w:rsidRPr="005911E2">
        <w:rPr>
          <w:noProof/>
          <w:lang w:eastAsia="en-AU"/>
        </w:rPr>
        <w:t>3</w:t>
      </w:r>
      <w:r w:rsidR="00263D64" w:rsidRPr="005911E2">
        <w:rPr>
          <w:lang w:eastAsia="en-AU"/>
        </w:rPr>
        <w:t>). Over three-quarters of Centrelink staff agreed that the following were barriers to access:</w:t>
      </w:r>
    </w:p>
    <w:p w:rsidR="00263D64" w:rsidRPr="005911E2" w:rsidRDefault="00263D64" w:rsidP="00051CDC">
      <w:pPr>
        <w:pStyle w:val="ListBullet"/>
        <w:rPr>
          <w:lang w:eastAsia="en-AU"/>
        </w:rPr>
      </w:pPr>
      <w:r w:rsidRPr="005911E2">
        <w:rPr>
          <w:lang w:eastAsia="en-AU"/>
        </w:rPr>
        <w:t>a lack of understanding by clients/customers of the purpose of financial counselling and money management services – 85 per cent agreeing or strongly agreeing</w:t>
      </w:r>
    </w:p>
    <w:p w:rsidR="00263D64" w:rsidRPr="005911E2" w:rsidRDefault="00263D64" w:rsidP="00051CDC">
      <w:pPr>
        <w:pStyle w:val="ListBullet"/>
        <w:rPr>
          <w:lang w:eastAsia="en-AU"/>
        </w:rPr>
      </w:pPr>
      <w:r w:rsidRPr="005911E2">
        <w:rPr>
          <w:lang w:eastAsia="en-AU"/>
        </w:rPr>
        <w:t>language barriers for some clients/customers – 84 per cent agreeing or strongly agreeing</w:t>
      </w:r>
    </w:p>
    <w:p w:rsidR="00263D64" w:rsidRPr="005911E2" w:rsidRDefault="00263D64" w:rsidP="00051CDC">
      <w:pPr>
        <w:pStyle w:val="ListBullet"/>
        <w:rPr>
          <w:lang w:eastAsia="en-AU"/>
        </w:rPr>
      </w:pPr>
      <w:r w:rsidRPr="005911E2">
        <w:rPr>
          <w:lang w:eastAsia="en-AU"/>
        </w:rPr>
        <w:t>services not pitched to the appropriate literacy and numeracy levels of clients – 79 per cent agreeing or strongly agreeing</w:t>
      </w:r>
    </w:p>
    <w:p w:rsidR="00263D64" w:rsidRPr="005911E2" w:rsidRDefault="00263D64" w:rsidP="00051CDC">
      <w:pPr>
        <w:pStyle w:val="ListBullet"/>
        <w:rPr>
          <w:lang w:eastAsia="en-AU"/>
        </w:rPr>
      </w:pPr>
      <w:r w:rsidRPr="005911E2">
        <w:rPr>
          <w:lang w:eastAsia="en-AU"/>
        </w:rPr>
        <w:t>services not available – 78 per cent agreeing or strongly agreeing</w:t>
      </w:r>
    </w:p>
    <w:p w:rsidR="00263D64" w:rsidRPr="005911E2" w:rsidRDefault="00263D64" w:rsidP="00051CDC">
      <w:pPr>
        <w:pStyle w:val="ListBullet"/>
        <w:rPr>
          <w:lang w:eastAsia="en-AU"/>
        </w:rPr>
      </w:pPr>
      <w:r w:rsidRPr="005911E2">
        <w:rPr>
          <w:lang w:eastAsia="en-AU"/>
        </w:rPr>
        <w:t>families cannot get to services – 75 per cent agreeing or strongly agreeing.</w:t>
      </w:r>
    </w:p>
    <w:p w:rsidR="00263D64" w:rsidRPr="005911E2" w:rsidRDefault="00263D64" w:rsidP="00263D64">
      <w:pPr>
        <w:rPr>
          <w:lang w:eastAsia="en-AU"/>
        </w:rPr>
      </w:pPr>
      <w:r w:rsidRPr="005911E2">
        <w:rPr>
          <w:lang w:eastAsia="en-AU"/>
        </w:rPr>
        <w:t xml:space="preserve">Other barriers to accessing these services that had an over 60 per cent agreement rate were </w:t>
      </w:r>
      <w:r w:rsidR="00455170">
        <w:rPr>
          <w:lang w:eastAsia="en-AU"/>
        </w:rPr>
        <w:t xml:space="preserve">that </w:t>
      </w:r>
      <w:r w:rsidRPr="005911E2">
        <w:rPr>
          <w:lang w:eastAsia="en-AU"/>
        </w:rPr>
        <w:t>referral processes do not work well (63 per cent agreeing or strongly agreeing)</w:t>
      </w:r>
      <w:r w:rsidR="00455170">
        <w:rPr>
          <w:lang w:eastAsia="en-AU"/>
        </w:rPr>
        <w:t>,</w:t>
      </w:r>
      <w:r w:rsidRPr="005911E2">
        <w:rPr>
          <w:lang w:eastAsia="en-AU"/>
        </w:rPr>
        <w:t xml:space="preserve"> and a lack of understanding by referral agencies of the purpose and services of </w:t>
      </w:r>
      <w:r w:rsidR="00455170">
        <w:rPr>
          <w:lang w:eastAsia="en-AU"/>
        </w:rPr>
        <w:t>m</w:t>
      </w:r>
      <w:r w:rsidRPr="005911E2">
        <w:rPr>
          <w:lang w:eastAsia="en-AU"/>
        </w:rPr>
        <w:t xml:space="preserve">oney </w:t>
      </w:r>
      <w:r w:rsidR="00455170">
        <w:rPr>
          <w:lang w:eastAsia="en-AU"/>
        </w:rPr>
        <w:t>m</w:t>
      </w:r>
      <w:r w:rsidRPr="005911E2">
        <w:rPr>
          <w:lang w:eastAsia="en-AU"/>
        </w:rPr>
        <w:t>anagement services (60 per cent agreeing or strongly agreeing).</w:t>
      </w:r>
    </w:p>
    <w:p w:rsidR="00263D64" w:rsidRPr="005911E2" w:rsidRDefault="00263D64" w:rsidP="00263D64">
      <w:pPr>
        <w:rPr>
          <w:lang w:eastAsia="en-AU"/>
        </w:rPr>
      </w:pPr>
      <w:r w:rsidRPr="005911E2">
        <w:rPr>
          <w:lang w:eastAsia="en-AU"/>
        </w:rPr>
        <w:t xml:space="preserve">The other potential barriers identified by Centrelink staff in </w:t>
      </w:r>
      <w:r w:rsidR="006F754E" w:rsidRPr="005911E2">
        <w:rPr>
          <w:lang w:eastAsia="en-AU"/>
        </w:rPr>
        <w:t xml:space="preserve">the </w:t>
      </w:r>
      <w:r w:rsidRPr="005911E2">
        <w:rPr>
          <w:lang w:eastAsia="en-AU"/>
        </w:rPr>
        <w:t>survey, with agreement levels of 54 per cent and 55 per cent respectively</w:t>
      </w:r>
      <w:r w:rsidR="00455170">
        <w:rPr>
          <w:lang w:eastAsia="en-AU"/>
        </w:rPr>
        <w:t>,</w:t>
      </w:r>
      <w:r w:rsidRPr="005911E2">
        <w:rPr>
          <w:lang w:eastAsia="en-AU"/>
        </w:rPr>
        <w:t xml:space="preserve"> were that the services provided were not specifically tailored to families on very low incomes, or were not culturally appropriate. </w:t>
      </w:r>
    </w:p>
    <w:p w:rsidR="00263D64" w:rsidRPr="005911E2" w:rsidRDefault="00263D64" w:rsidP="00263D64">
      <w:pPr>
        <w:rPr>
          <w:lang w:eastAsia="en-AU"/>
        </w:rPr>
      </w:pPr>
      <w:r w:rsidRPr="005911E2">
        <w:rPr>
          <w:lang w:eastAsia="en-AU"/>
        </w:rPr>
        <w:t xml:space="preserve">It is important to note that there was a substantial difference in the proportion of Centrelink staff responding ‘can’t say/don’t know’ across the various statements of potential barriers. This probably reflects the extent to which Centrelink staff are familiar with what </w:t>
      </w:r>
      <w:r w:rsidR="00455170">
        <w:rPr>
          <w:lang w:eastAsia="en-AU"/>
        </w:rPr>
        <w:t>m</w:t>
      </w:r>
      <w:r w:rsidRPr="005911E2">
        <w:rPr>
          <w:lang w:eastAsia="en-AU"/>
        </w:rPr>
        <w:t xml:space="preserve">oney </w:t>
      </w:r>
      <w:r w:rsidR="00455170">
        <w:rPr>
          <w:lang w:eastAsia="en-AU"/>
        </w:rPr>
        <w:t>m</w:t>
      </w:r>
      <w:r w:rsidRPr="005911E2">
        <w:rPr>
          <w:lang w:eastAsia="en-AU"/>
        </w:rPr>
        <w:t xml:space="preserve">anagement and financial counselling services provide. The highest proportion of </w:t>
      </w:r>
      <w:r w:rsidR="00455170">
        <w:rPr>
          <w:lang w:eastAsia="en-AU"/>
        </w:rPr>
        <w:t>’</w:t>
      </w:r>
      <w:r w:rsidRPr="005911E2">
        <w:rPr>
          <w:lang w:eastAsia="en-AU"/>
        </w:rPr>
        <w:t>can’t say/don’t know</w:t>
      </w:r>
      <w:r w:rsidR="00455170">
        <w:rPr>
          <w:lang w:eastAsia="en-AU"/>
        </w:rPr>
        <w:t>’</w:t>
      </w:r>
      <w:r w:rsidRPr="005911E2">
        <w:rPr>
          <w:lang w:eastAsia="en-AU"/>
        </w:rPr>
        <w:t xml:space="preserve"> responses were to the statements </w:t>
      </w:r>
      <w:r w:rsidR="00455170">
        <w:rPr>
          <w:lang w:eastAsia="en-AU"/>
        </w:rPr>
        <w:t>’</w:t>
      </w:r>
      <w:r w:rsidRPr="005911E2">
        <w:rPr>
          <w:lang w:eastAsia="en-AU"/>
        </w:rPr>
        <w:t>services are not culturally appropriate</w:t>
      </w:r>
      <w:r w:rsidR="00455170">
        <w:rPr>
          <w:lang w:eastAsia="en-AU"/>
        </w:rPr>
        <w:t>’</w:t>
      </w:r>
      <w:r w:rsidRPr="005911E2">
        <w:rPr>
          <w:lang w:eastAsia="en-AU"/>
        </w:rPr>
        <w:t xml:space="preserve"> (32 per cent), </w:t>
      </w:r>
      <w:r w:rsidR="00455170">
        <w:rPr>
          <w:lang w:eastAsia="en-AU"/>
        </w:rPr>
        <w:t>‘</w:t>
      </w:r>
      <w:r w:rsidRPr="005911E2">
        <w:rPr>
          <w:lang w:eastAsia="en-AU"/>
        </w:rPr>
        <w:t>services provided are not specifically tailored to families on very low incomes</w:t>
      </w:r>
      <w:r w:rsidR="00455170">
        <w:rPr>
          <w:lang w:eastAsia="en-AU"/>
        </w:rPr>
        <w:t>’</w:t>
      </w:r>
      <w:r w:rsidRPr="005911E2">
        <w:rPr>
          <w:lang w:eastAsia="en-AU"/>
        </w:rPr>
        <w:t xml:space="preserve"> (30 per cent),</w:t>
      </w:r>
      <w:r w:rsidR="00455170">
        <w:rPr>
          <w:lang w:eastAsia="en-AU"/>
        </w:rPr>
        <w:t xml:space="preserve"> and</w:t>
      </w:r>
      <w:r w:rsidRPr="005911E2">
        <w:rPr>
          <w:lang w:eastAsia="en-AU"/>
        </w:rPr>
        <w:t xml:space="preserve"> </w:t>
      </w:r>
      <w:r w:rsidR="00455170">
        <w:rPr>
          <w:lang w:eastAsia="en-AU"/>
        </w:rPr>
        <w:t>‘</w:t>
      </w:r>
      <w:r w:rsidRPr="005911E2">
        <w:rPr>
          <w:lang w:eastAsia="en-AU"/>
        </w:rPr>
        <w:t>services are not pitched to the appropriate literacy and numeracy levels of clients</w:t>
      </w:r>
      <w:r w:rsidR="00455170">
        <w:rPr>
          <w:lang w:eastAsia="en-AU"/>
        </w:rPr>
        <w:t>’</w:t>
      </w:r>
      <w:r w:rsidRPr="005911E2">
        <w:rPr>
          <w:lang w:eastAsia="en-AU"/>
        </w:rPr>
        <w:t xml:space="preserve"> (25 per cent).</w:t>
      </w:r>
    </w:p>
    <w:p w:rsidR="00263D64" w:rsidRPr="005911E2" w:rsidRDefault="00263D64" w:rsidP="00263D64">
      <w:pPr>
        <w:rPr>
          <w:lang w:eastAsia="en-AU"/>
        </w:rPr>
      </w:pPr>
      <w:r w:rsidRPr="005911E2">
        <w:rPr>
          <w:lang w:eastAsia="en-AU"/>
        </w:rPr>
        <w:t xml:space="preserve">To the extent that Centrelink staff </w:t>
      </w:r>
      <w:r w:rsidR="007D0AB3">
        <w:rPr>
          <w:lang w:eastAsia="en-AU"/>
        </w:rPr>
        <w:t xml:space="preserve">believe they </w:t>
      </w:r>
      <w:r w:rsidRPr="005911E2">
        <w:rPr>
          <w:lang w:eastAsia="en-AU"/>
        </w:rPr>
        <w:t xml:space="preserve">do not have knowledge about the appropriateness of the </w:t>
      </w:r>
      <w:r w:rsidR="00455170">
        <w:rPr>
          <w:lang w:eastAsia="en-AU"/>
        </w:rPr>
        <w:t>m</w:t>
      </w:r>
      <w:r w:rsidRPr="005911E2">
        <w:rPr>
          <w:lang w:eastAsia="en-AU"/>
        </w:rPr>
        <w:t xml:space="preserve">oney </w:t>
      </w:r>
      <w:r w:rsidR="00455170">
        <w:rPr>
          <w:lang w:eastAsia="en-AU"/>
        </w:rPr>
        <w:t>m</w:t>
      </w:r>
      <w:r w:rsidRPr="005911E2">
        <w:rPr>
          <w:lang w:eastAsia="en-AU"/>
        </w:rPr>
        <w:t xml:space="preserve">anagement </w:t>
      </w:r>
      <w:r w:rsidR="00455170">
        <w:rPr>
          <w:lang w:eastAsia="en-AU"/>
        </w:rPr>
        <w:t>and</w:t>
      </w:r>
      <w:r w:rsidRPr="005911E2">
        <w:rPr>
          <w:lang w:eastAsia="en-AU"/>
        </w:rPr>
        <w:t xml:space="preserve"> financial counselling services for different groups of clients</w:t>
      </w:r>
      <w:r w:rsidR="00455170">
        <w:rPr>
          <w:lang w:eastAsia="en-AU"/>
        </w:rPr>
        <w:t>,</w:t>
      </w:r>
      <w:r w:rsidRPr="005911E2">
        <w:rPr>
          <w:lang w:eastAsia="en-AU"/>
        </w:rPr>
        <w:t xml:space="preserve"> or the purpose or services provided, this is likely to reduce the referral rate</w:t>
      </w:r>
      <w:r w:rsidR="007D0AB3">
        <w:rPr>
          <w:lang w:eastAsia="en-AU"/>
        </w:rPr>
        <w:t>,</w:t>
      </w:r>
      <w:r w:rsidRPr="005911E2">
        <w:rPr>
          <w:lang w:eastAsia="en-AU"/>
        </w:rPr>
        <w:t xml:space="preserve"> or the effectiveness of the referrals</w:t>
      </w:r>
      <w:r w:rsidR="007D0AB3">
        <w:rPr>
          <w:lang w:eastAsia="en-AU"/>
        </w:rPr>
        <w:t>,</w:t>
      </w:r>
      <w:r w:rsidRPr="005911E2">
        <w:rPr>
          <w:lang w:eastAsia="en-AU"/>
        </w:rPr>
        <w:t xml:space="preserve"> of people on income management to </w:t>
      </w:r>
      <w:r w:rsidR="00455170">
        <w:rPr>
          <w:lang w:eastAsia="en-AU"/>
        </w:rPr>
        <w:t>m</w:t>
      </w:r>
      <w:r w:rsidRPr="005911E2">
        <w:rPr>
          <w:lang w:eastAsia="en-AU"/>
        </w:rPr>
        <w:t xml:space="preserve">oney </w:t>
      </w:r>
      <w:r w:rsidR="00455170">
        <w:rPr>
          <w:lang w:eastAsia="en-AU"/>
        </w:rPr>
        <w:t>m</w:t>
      </w:r>
      <w:r w:rsidRPr="005911E2">
        <w:rPr>
          <w:lang w:eastAsia="en-AU"/>
        </w:rPr>
        <w:t>anagement or financial counselling service</w:t>
      </w:r>
      <w:r w:rsidR="00455170">
        <w:rPr>
          <w:lang w:eastAsia="en-AU"/>
        </w:rPr>
        <w:t>s</w:t>
      </w:r>
      <w:r w:rsidRPr="005911E2">
        <w:rPr>
          <w:lang w:eastAsia="en-AU"/>
        </w:rPr>
        <w:t>.</w:t>
      </w:r>
    </w:p>
    <w:p w:rsidR="00263D64" w:rsidRPr="005911E2" w:rsidRDefault="00263D64" w:rsidP="006F14AA">
      <w:pPr>
        <w:pStyle w:val="tabfighead"/>
      </w:pPr>
      <w:bookmarkStart w:id="628" w:name="_Ref321172334"/>
      <w:bookmarkStart w:id="629" w:name="_Toc321430433"/>
      <w:bookmarkStart w:id="630" w:name="_Toc321254552"/>
      <w:bookmarkStart w:id="631" w:name="_Toc328601600"/>
      <w:bookmarkStart w:id="632" w:name="_Toc329051378"/>
      <w:bookmarkStart w:id="633" w:name="_Toc335915866"/>
      <w:bookmarkStart w:id="634" w:name="_Ref194579379"/>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7</w:t>
      </w:r>
      <w:r w:rsidR="00C7347D" w:rsidRPr="005911E2">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3</w:t>
      </w:r>
      <w:r w:rsidR="00C7347D" w:rsidRPr="005911E2">
        <w:fldChar w:fldCharType="end"/>
      </w:r>
      <w:bookmarkEnd w:id="628"/>
      <w:r w:rsidRPr="005911E2">
        <w:t xml:space="preserve"> </w:t>
      </w:r>
      <w:r w:rsidRPr="005911E2">
        <w:tab/>
        <w:t xml:space="preserve">Centrelink staff views of the barriers to clients receiving </w:t>
      </w:r>
      <w:r w:rsidR="00455170">
        <w:t>m</w:t>
      </w:r>
      <w:r w:rsidRPr="005911E2">
        <w:t xml:space="preserve">oney </w:t>
      </w:r>
      <w:r w:rsidR="00455170">
        <w:t>m</w:t>
      </w:r>
      <w:r w:rsidRPr="005911E2">
        <w:t>anagement and financial counselling services, 2011</w:t>
      </w:r>
      <w:bookmarkEnd w:id="629"/>
      <w:bookmarkEnd w:id="630"/>
      <w:bookmarkEnd w:id="631"/>
      <w:bookmarkEnd w:id="632"/>
      <w:bookmarkEnd w:id="633"/>
      <w:r w:rsidRPr="005911E2">
        <w:t xml:space="preserve"> </w:t>
      </w:r>
      <w:bookmarkEnd w:id="634"/>
    </w:p>
    <w:tbl>
      <w:tblPr>
        <w:tblStyle w:val="Style132"/>
        <w:tblW w:w="4392" w:type="pct"/>
        <w:jc w:val="right"/>
        <w:tblBorders>
          <w:top w:val="single" w:sz="8" w:space="0" w:color="263C88" w:themeColor="accent1"/>
        </w:tblBorders>
        <w:tblLayout w:type="fixed"/>
        <w:tblCellMar>
          <w:left w:w="115" w:type="dxa"/>
          <w:right w:w="115" w:type="dxa"/>
        </w:tblCellMar>
        <w:tblLook w:val="04A0" w:firstRow="1" w:lastRow="0" w:firstColumn="1" w:lastColumn="0" w:noHBand="0" w:noVBand="1"/>
        <w:tblCaption w:val="Table 7-3 Centrelink staff views of the barriers to clients receiving money management and financial counselling services, 2011 "/>
        <w:tblDescription w:val="Table 7-3 Centrelink staff views of the barriers to clients receiving money management and financial counselling services, 2011 "/>
      </w:tblPr>
      <w:tblGrid>
        <w:gridCol w:w="3542"/>
        <w:gridCol w:w="851"/>
        <w:gridCol w:w="992"/>
        <w:gridCol w:w="991"/>
        <w:gridCol w:w="851"/>
        <w:gridCol w:w="691"/>
        <w:gridCol w:w="83"/>
      </w:tblGrid>
      <w:tr w:rsidR="00263D64" w:rsidRPr="00847CCC" w:rsidTr="009D15E2">
        <w:trPr>
          <w:gridAfter w:val="1"/>
          <w:wAfter w:w="51" w:type="pct"/>
          <w:tblHeader/>
          <w:jc w:val="right"/>
        </w:trPr>
        <w:tc>
          <w:tcPr>
            <w:tcW w:w="2213" w:type="pct"/>
            <w:tcBorders>
              <w:top w:val="single" w:sz="8" w:space="0" w:color="263C88" w:themeColor="accent1"/>
              <w:bottom w:val="single" w:sz="8" w:space="0" w:color="263C88" w:themeColor="accent1"/>
            </w:tcBorders>
          </w:tcPr>
          <w:p w:rsidR="00263D64" w:rsidRPr="00847CCC" w:rsidRDefault="00263D64" w:rsidP="00263D64">
            <w:pPr>
              <w:keepNext/>
              <w:spacing w:after="60" w:line="240" w:lineRule="auto"/>
              <w:ind w:left="0"/>
              <w:jc w:val="left"/>
              <w:rPr>
                <w:rFonts w:cs="Arial"/>
                <w:noProof/>
                <w:color w:val="000000"/>
                <w:sz w:val="16"/>
                <w:szCs w:val="16"/>
                <w:lang w:eastAsia="en-AU" w:bidi="ar-SA"/>
              </w:rPr>
            </w:pPr>
          </w:p>
        </w:tc>
        <w:tc>
          <w:tcPr>
            <w:tcW w:w="532" w:type="pct"/>
            <w:tcBorders>
              <w:top w:val="single" w:sz="8" w:space="0" w:color="263C88" w:themeColor="accent1"/>
              <w:bottom w:val="single" w:sz="8" w:space="0" w:color="263C88" w:themeColor="accent1"/>
            </w:tcBorders>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 xml:space="preserve">Strongly agree </w:t>
            </w:r>
          </w:p>
        </w:tc>
        <w:tc>
          <w:tcPr>
            <w:tcW w:w="620" w:type="pct"/>
            <w:tcBorders>
              <w:top w:val="single" w:sz="8" w:space="0" w:color="263C88" w:themeColor="accent1"/>
              <w:bottom w:val="single" w:sz="8" w:space="0" w:color="263C88" w:themeColor="accent1"/>
            </w:tcBorders>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 xml:space="preserve">Mostly agree </w:t>
            </w:r>
          </w:p>
        </w:tc>
        <w:tc>
          <w:tcPr>
            <w:tcW w:w="619" w:type="pct"/>
            <w:tcBorders>
              <w:top w:val="single" w:sz="8" w:space="0" w:color="263C88" w:themeColor="accent1"/>
              <w:bottom w:val="single" w:sz="8" w:space="0" w:color="263C88" w:themeColor="accent1"/>
            </w:tcBorders>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 xml:space="preserve">Mostly disagree </w:t>
            </w:r>
          </w:p>
        </w:tc>
        <w:tc>
          <w:tcPr>
            <w:tcW w:w="532" w:type="pct"/>
            <w:tcBorders>
              <w:top w:val="single" w:sz="8" w:space="0" w:color="263C88" w:themeColor="accent1"/>
              <w:bottom w:val="single" w:sz="8" w:space="0" w:color="263C88" w:themeColor="accent1"/>
            </w:tcBorders>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 xml:space="preserve">Strongly disagree </w:t>
            </w:r>
          </w:p>
        </w:tc>
        <w:tc>
          <w:tcPr>
            <w:tcW w:w="432" w:type="pct"/>
            <w:tcBorders>
              <w:top w:val="single" w:sz="8" w:space="0" w:color="263C88" w:themeColor="accent1"/>
              <w:bottom w:val="single" w:sz="8" w:space="0" w:color="263C88" w:themeColor="accent1"/>
            </w:tcBorders>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Total</w:t>
            </w:r>
          </w:p>
        </w:tc>
      </w:tr>
      <w:tr w:rsidR="00263D64" w:rsidRPr="00847CCC" w:rsidTr="00D7398E">
        <w:trPr>
          <w:jc w:val="right"/>
        </w:trPr>
        <w:tc>
          <w:tcPr>
            <w:tcW w:w="2213" w:type="pct"/>
            <w:tcBorders>
              <w:top w:val="single" w:sz="8" w:space="0" w:color="263C88" w:themeColor="accent1"/>
              <w:bottom w:val="nil"/>
            </w:tcBorders>
            <w:vAlign w:val="center"/>
          </w:tcPr>
          <w:p w:rsidR="00263D64" w:rsidRPr="00847CCC" w:rsidRDefault="00263D64" w:rsidP="00263D64">
            <w:pPr>
              <w:keepNext/>
              <w:spacing w:after="60" w:line="240" w:lineRule="auto"/>
              <w:ind w:left="0"/>
              <w:jc w:val="left"/>
              <w:rPr>
                <w:rFonts w:cs="Arial"/>
                <w:noProof/>
                <w:color w:val="000000"/>
                <w:sz w:val="16"/>
                <w:szCs w:val="16"/>
                <w:lang w:eastAsia="en-AU" w:bidi="ar-SA"/>
              </w:rPr>
            </w:pPr>
          </w:p>
        </w:tc>
        <w:tc>
          <w:tcPr>
            <w:tcW w:w="2787" w:type="pct"/>
            <w:gridSpan w:val="6"/>
            <w:tcBorders>
              <w:top w:val="single" w:sz="8" w:space="0" w:color="263C88" w:themeColor="accent1"/>
              <w:bottom w:val="nil"/>
            </w:tcBorders>
          </w:tcPr>
          <w:p w:rsidR="00263D64" w:rsidRPr="00847CCC" w:rsidRDefault="00263D64" w:rsidP="00263D64">
            <w:pPr>
              <w:keepNext/>
              <w:spacing w:after="60" w:line="240" w:lineRule="auto"/>
              <w:ind w:left="0"/>
              <w:jc w:val="center"/>
              <w:rPr>
                <w:rFonts w:cs="Arial"/>
                <w:noProof/>
                <w:color w:val="000000"/>
                <w:sz w:val="16"/>
                <w:szCs w:val="16"/>
                <w:lang w:eastAsia="en-AU" w:bidi="ar-SA"/>
              </w:rPr>
            </w:pPr>
            <w:r w:rsidRPr="00847CCC">
              <w:rPr>
                <w:rFonts w:cs="Arial"/>
                <w:noProof/>
                <w:color w:val="000000"/>
                <w:sz w:val="16"/>
                <w:szCs w:val="16"/>
                <w:lang w:eastAsia="en-AU" w:bidi="ar-SA"/>
              </w:rPr>
              <w:t>- % -</w:t>
            </w:r>
          </w:p>
        </w:tc>
      </w:tr>
      <w:tr w:rsidR="00263D64" w:rsidRPr="00847CCC" w:rsidTr="00D7398E">
        <w:trPr>
          <w:gridAfter w:val="1"/>
          <w:wAfter w:w="51" w:type="pct"/>
          <w:jc w:val="right"/>
        </w:trPr>
        <w:tc>
          <w:tcPr>
            <w:tcW w:w="2213" w:type="pct"/>
            <w:tcBorders>
              <w:top w:val="nil"/>
              <w:bottom w:val="nil"/>
            </w:tcBorders>
            <w:vAlign w:val="center"/>
          </w:tcPr>
          <w:p w:rsidR="00263D64" w:rsidRPr="00847CCC" w:rsidRDefault="00263D64" w:rsidP="00455170">
            <w:pPr>
              <w:keepNext/>
              <w:spacing w:after="60" w:line="240" w:lineRule="auto"/>
              <w:ind w:left="168" w:hanging="142"/>
              <w:jc w:val="left"/>
              <w:rPr>
                <w:rFonts w:cs="Arial"/>
                <w:noProof/>
                <w:color w:val="000000"/>
                <w:sz w:val="16"/>
                <w:szCs w:val="16"/>
                <w:lang w:eastAsia="en-AU" w:bidi="ar-SA"/>
              </w:rPr>
            </w:pPr>
            <w:r w:rsidRPr="00847CCC">
              <w:rPr>
                <w:rFonts w:cs="Arial"/>
                <w:noProof/>
                <w:color w:val="000000"/>
                <w:sz w:val="16"/>
                <w:szCs w:val="16"/>
                <w:lang w:eastAsia="en-AU" w:bidi="ar-SA"/>
              </w:rPr>
              <w:t xml:space="preserve">A lack of understanding by clients of the purpose of financial counselling and </w:t>
            </w:r>
            <w:r w:rsidR="00455170" w:rsidRPr="00847CCC">
              <w:rPr>
                <w:rFonts w:cs="Arial"/>
                <w:noProof/>
                <w:color w:val="000000"/>
                <w:sz w:val="16"/>
                <w:szCs w:val="16"/>
                <w:lang w:eastAsia="en-AU" w:bidi="ar-SA"/>
              </w:rPr>
              <w:t>m</w:t>
            </w:r>
            <w:r w:rsidRPr="00847CCC">
              <w:rPr>
                <w:rFonts w:cs="Arial"/>
                <w:noProof/>
                <w:color w:val="000000"/>
                <w:sz w:val="16"/>
                <w:szCs w:val="16"/>
                <w:lang w:eastAsia="en-AU" w:bidi="ar-SA"/>
              </w:rPr>
              <w:t xml:space="preserve">oney </w:t>
            </w:r>
            <w:r w:rsidR="00455170" w:rsidRPr="00847CCC">
              <w:rPr>
                <w:rFonts w:cs="Arial"/>
                <w:noProof/>
                <w:color w:val="000000"/>
                <w:sz w:val="16"/>
                <w:szCs w:val="16"/>
                <w:lang w:eastAsia="en-AU" w:bidi="ar-SA"/>
              </w:rPr>
              <w:t>m</w:t>
            </w:r>
            <w:r w:rsidRPr="00847CCC">
              <w:rPr>
                <w:rFonts w:cs="Arial"/>
                <w:noProof/>
                <w:color w:val="000000"/>
                <w:sz w:val="16"/>
                <w:szCs w:val="16"/>
                <w:lang w:eastAsia="en-AU" w:bidi="ar-SA"/>
              </w:rPr>
              <w:t>anagement services</w:t>
            </w:r>
          </w:p>
        </w:tc>
        <w:tc>
          <w:tcPr>
            <w:tcW w:w="532" w:type="pct"/>
            <w:tcBorders>
              <w:top w:val="nil"/>
              <w:bottom w:val="nil"/>
            </w:tcBorders>
            <w:vAlign w:val="bottom"/>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29.8</w:t>
            </w:r>
          </w:p>
        </w:tc>
        <w:tc>
          <w:tcPr>
            <w:tcW w:w="620" w:type="pct"/>
            <w:tcBorders>
              <w:top w:val="nil"/>
              <w:bottom w:val="nil"/>
            </w:tcBorders>
            <w:vAlign w:val="bottom"/>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55.4</w:t>
            </w:r>
          </w:p>
        </w:tc>
        <w:tc>
          <w:tcPr>
            <w:tcW w:w="619" w:type="pct"/>
            <w:tcBorders>
              <w:top w:val="nil"/>
              <w:bottom w:val="nil"/>
            </w:tcBorders>
            <w:vAlign w:val="bottom"/>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13.2</w:t>
            </w:r>
          </w:p>
        </w:tc>
        <w:tc>
          <w:tcPr>
            <w:tcW w:w="532" w:type="pct"/>
            <w:tcBorders>
              <w:top w:val="nil"/>
              <w:bottom w:val="nil"/>
            </w:tcBorders>
            <w:vAlign w:val="bottom"/>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1.7</w:t>
            </w:r>
          </w:p>
        </w:tc>
        <w:tc>
          <w:tcPr>
            <w:tcW w:w="432" w:type="pct"/>
            <w:tcBorders>
              <w:top w:val="nil"/>
              <w:bottom w:val="nil"/>
            </w:tcBorders>
            <w:vAlign w:val="bottom"/>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100.0</w:t>
            </w:r>
          </w:p>
        </w:tc>
      </w:tr>
      <w:tr w:rsidR="00263D64" w:rsidRPr="00847CCC" w:rsidTr="00D7398E">
        <w:trPr>
          <w:gridAfter w:val="1"/>
          <w:wAfter w:w="51" w:type="pct"/>
          <w:jc w:val="right"/>
        </w:trPr>
        <w:tc>
          <w:tcPr>
            <w:tcW w:w="2213" w:type="pct"/>
            <w:tcBorders>
              <w:top w:val="nil"/>
            </w:tcBorders>
            <w:vAlign w:val="center"/>
          </w:tcPr>
          <w:p w:rsidR="00263D64" w:rsidRPr="00847CCC" w:rsidRDefault="00263D64" w:rsidP="00263D64">
            <w:pPr>
              <w:keepNext/>
              <w:spacing w:after="60" w:line="240" w:lineRule="auto"/>
              <w:ind w:left="168" w:hanging="142"/>
              <w:jc w:val="left"/>
              <w:rPr>
                <w:rFonts w:cs="Arial"/>
                <w:noProof/>
                <w:color w:val="000000"/>
                <w:sz w:val="16"/>
                <w:szCs w:val="16"/>
                <w:lang w:eastAsia="en-AU" w:bidi="ar-SA"/>
              </w:rPr>
            </w:pPr>
            <w:r w:rsidRPr="00847CCC">
              <w:rPr>
                <w:rFonts w:cs="Arial"/>
                <w:noProof/>
                <w:color w:val="000000"/>
                <w:sz w:val="16"/>
                <w:szCs w:val="16"/>
                <w:lang w:eastAsia="en-AU" w:bidi="ar-SA"/>
              </w:rPr>
              <w:t>Services are not available</w:t>
            </w:r>
          </w:p>
        </w:tc>
        <w:tc>
          <w:tcPr>
            <w:tcW w:w="532" w:type="pct"/>
            <w:tcBorders>
              <w:top w:val="nil"/>
            </w:tcBorders>
            <w:vAlign w:val="bottom"/>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47.1</w:t>
            </w:r>
          </w:p>
        </w:tc>
        <w:tc>
          <w:tcPr>
            <w:tcW w:w="620" w:type="pct"/>
            <w:tcBorders>
              <w:top w:val="nil"/>
            </w:tcBorders>
            <w:vAlign w:val="bottom"/>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31.1</w:t>
            </w:r>
          </w:p>
        </w:tc>
        <w:tc>
          <w:tcPr>
            <w:tcW w:w="619" w:type="pct"/>
            <w:tcBorders>
              <w:top w:val="nil"/>
            </w:tcBorders>
            <w:vAlign w:val="bottom"/>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18.5</w:t>
            </w:r>
          </w:p>
        </w:tc>
        <w:tc>
          <w:tcPr>
            <w:tcW w:w="532" w:type="pct"/>
            <w:tcBorders>
              <w:top w:val="nil"/>
            </w:tcBorders>
            <w:vAlign w:val="bottom"/>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3.4</w:t>
            </w:r>
          </w:p>
        </w:tc>
        <w:tc>
          <w:tcPr>
            <w:tcW w:w="432" w:type="pct"/>
            <w:tcBorders>
              <w:top w:val="nil"/>
            </w:tcBorders>
            <w:vAlign w:val="bottom"/>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100.0</w:t>
            </w:r>
          </w:p>
        </w:tc>
      </w:tr>
      <w:tr w:rsidR="00263D64" w:rsidRPr="00847CCC" w:rsidTr="00D7398E">
        <w:trPr>
          <w:gridAfter w:val="1"/>
          <w:wAfter w:w="51" w:type="pct"/>
          <w:jc w:val="right"/>
        </w:trPr>
        <w:tc>
          <w:tcPr>
            <w:tcW w:w="2213" w:type="pct"/>
            <w:vAlign w:val="center"/>
          </w:tcPr>
          <w:p w:rsidR="00263D64" w:rsidRPr="00847CCC" w:rsidRDefault="00263D64" w:rsidP="00263D64">
            <w:pPr>
              <w:keepNext/>
              <w:spacing w:after="60" w:line="240" w:lineRule="auto"/>
              <w:ind w:left="168" w:hanging="142"/>
              <w:jc w:val="left"/>
              <w:rPr>
                <w:rFonts w:cs="Arial"/>
                <w:noProof/>
                <w:color w:val="000000"/>
                <w:sz w:val="16"/>
                <w:szCs w:val="16"/>
                <w:lang w:eastAsia="en-AU" w:bidi="ar-SA"/>
              </w:rPr>
            </w:pPr>
            <w:r w:rsidRPr="00847CCC">
              <w:rPr>
                <w:rFonts w:cs="Arial"/>
                <w:noProof/>
                <w:color w:val="000000"/>
                <w:sz w:val="16"/>
                <w:szCs w:val="16"/>
                <w:lang w:eastAsia="en-AU" w:bidi="ar-SA"/>
              </w:rPr>
              <w:t>Services provided are not specifically tailored to families on very low incomes</w:t>
            </w:r>
          </w:p>
        </w:tc>
        <w:tc>
          <w:tcPr>
            <w:tcW w:w="532" w:type="pct"/>
            <w:vAlign w:val="bottom"/>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23.6</w:t>
            </w:r>
          </w:p>
        </w:tc>
        <w:tc>
          <w:tcPr>
            <w:tcW w:w="620" w:type="pct"/>
            <w:vAlign w:val="bottom"/>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30.3</w:t>
            </w:r>
          </w:p>
        </w:tc>
        <w:tc>
          <w:tcPr>
            <w:tcW w:w="619" w:type="pct"/>
            <w:vAlign w:val="bottom"/>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37.1</w:t>
            </w:r>
          </w:p>
        </w:tc>
        <w:tc>
          <w:tcPr>
            <w:tcW w:w="532" w:type="pct"/>
            <w:vAlign w:val="bottom"/>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9.0</w:t>
            </w:r>
          </w:p>
        </w:tc>
        <w:tc>
          <w:tcPr>
            <w:tcW w:w="432" w:type="pct"/>
            <w:vAlign w:val="bottom"/>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100.0</w:t>
            </w:r>
          </w:p>
        </w:tc>
      </w:tr>
      <w:tr w:rsidR="00263D64" w:rsidRPr="00847CCC" w:rsidTr="00D7398E">
        <w:trPr>
          <w:gridAfter w:val="1"/>
          <w:wAfter w:w="51" w:type="pct"/>
          <w:jc w:val="right"/>
        </w:trPr>
        <w:tc>
          <w:tcPr>
            <w:tcW w:w="2213" w:type="pct"/>
            <w:vAlign w:val="center"/>
          </w:tcPr>
          <w:p w:rsidR="00263D64" w:rsidRPr="00847CCC" w:rsidRDefault="00263D64" w:rsidP="00263D64">
            <w:pPr>
              <w:keepNext/>
              <w:spacing w:after="60" w:line="240" w:lineRule="auto"/>
              <w:ind w:left="168" w:hanging="142"/>
              <w:jc w:val="left"/>
              <w:rPr>
                <w:rFonts w:cs="Arial"/>
                <w:noProof/>
                <w:color w:val="000000"/>
                <w:sz w:val="16"/>
                <w:szCs w:val="16"/>
                <w:lang w:eastAsia="en-AU" w:bidi="ar-SA"/>
              </w:rPr>
            </w:pPr>
            <w:r w:rsidRPr="00847CCC">
              <w:rPr>
                <w:rFonts w:cs="Arial"/>
                <w:noProof/>
                <w:color w:val="000000"/>
                <w:sz w:val="16"/>
                <w:szCs w:val="16"/>
                <w:lang w:eastAsia="en-AU" w:bidi="ar-SA"/>
              </w:rPr>
              <w:t>Families cannot get to services</w:t>
            </w:r>
          </w:p>
        </w:tc>
        <w:tc>
          <w:tcPr>
            <w:tcW w:w="532" w:type="pct"/>
            <w:vAlign w:val="bottom"/>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35.3</w:t>
            </w:r>
          </w:p>
        </w:tc>
        <w:tc>
          <w:tcPr>
            <w:tcW w:w="620" w:type="pct"/>
            <w:vAlign w:val="bottom"/>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39.7</w:t>
            </w:r>
          </w:p>
        </w:tc>
        <w:tc>
          <w:tcPr>
            <w:tcW w:w="619" w:type="pct"/>
            <w:vAlign w:val="bottom"/>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22.4</w:t>
            </w:r>
          </w:p>
        </w:tc>
        <w:tc>
          <w:tcPr>
            <w:tcW w:w="532" w:type="pct"/>
            <w:vAlign w:val="bottom"/>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2.6</w:t>
            </w:r>
          </w:p>
        </w:tc>
        <w:tc>
          <w:tcPr>
            <w:tcW w:w="432" w:type="pct"/>
            <w:vAlign w:val="bottom"/>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100.0</w:t>
            </w:r>
          </w:p>
        </w:tc>
      </w:tr>
      <w:tr w:rsidR="00263D64" w:rsidRPr="00847CCC" w:rsidTr="00D7398E">
        <w:trPr>
          <w:gridAfter w:val="1"/>
          <w:wAfter w:w="51" w:type="pct"/>
          <w:jc w:val="right"/>
        </w:trPr>
        <w:tc>
          <w:tcPr>
            <w:tcW w:w="2213" w:type="pct"/>
            <w:vAlign w:val="center"/>
          </w:tcPr>
          <w:p w:rsidR="00263D64" w:rsidRPr="00847CCC" w:rsidRDefault="00263D64" w:rsidP="00263D64">
            <w:pPr>
              <w:keepNext/>
              <w:spacing w:after="60" w:line="240" w:lineRule="auto"/>
              <w:ind w:left="168" w:hanging="142"/>
              <w:jc w:val="left"/>
              <w:rPr>
                <w:rFonts w:cs="Arial"/>
                <w:noProof/>
                <w:color w:val="000000"/>
                <w:sz w:val="16"/>
                <w:szCs w:val="16"/>
                <w:lang w:eastAsia="en-AU" w:bidi="ar-SA"/>
              </w:rPr>
            </w:pPr>
            <w:r w:rsidRPr="00847CCC">
              <w:rPr>
                <w:rFonts w:cs="Arial"/>
                <w:noProof/>
                <w:color w:val="000000"/>
                <w:sz w:val="16"/>
                <w:szCs w:val="16"/>
                <w:lang w:eastAsia="en-AU" w:bidi="ar-SA"/>
              </w:rPr>
              <w:t>Referral processes do not work well</w:t>
            </w:r>
          </w:p>
        </w:tc>
        <w:tc>
          <w:tcPr>
            <w:tcW w:w="532" w:type="pct"/>
            <w:vAlign w:val="bottom"/>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36.7</w:t>
            </w:r>
          </w:p>
        </w:tc>
        <w:tc>
          <w:tcPr>
            <w:tcW w:w="620" w:type="pct"/>
            <w:vAlign w:val="bottom"/>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26.6</w:t>
            </w:r>
          </w:p>
        </w:tc>
        <w:tc>
          <w:tcPr>
            <w:tcW w:w="619" w:type="pct"/>
            <w:vAlign w:val="bottom"/>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32.1</w:t>
            </w:r>
          </w:p>
        </w:tc>
        <w:tc>
          <w:tcPr>
            <w:tcW w:w="532" w:type="pct"/>
            <w:vAlign w:val="bottom"/>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4.6</w:t>
            </w:r>
          </w:p>
        </w:tc>
        <w:tc>
          <w:tcPr>
            <w:tcW w:w="432" w:type="pct"/>
            <w:vAlign w:val="bottom"/>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100.0</w:t>
            </w:r>
          </w:p>
        </w:tc>
      </w:tr>
      <w:tr w:rsidR="00263D64" w:rsidRPr="00847CCC" w:rsidTr="00D7398E">
        <w:trPr>
          <w:gridAfter w:val="1"/>
          <w:wAfter w:w="51" w:type="pct"/>
          <w:jc w:val="right"/>
        </w:trPr>
        <w:tc>
          <w:tcPr>
            <w:tcW w:w="2213" w:type="pct"/>
            <w:vAlign w:val="center"/>
          </w:tcPr>
          <w:p w:rsidR="00263D64" w:rsidRPr="00847CCC" w:rsidRDefault="00263D64" w:rsidP="00263D64">
            <w:pPr>
              <w:keepNext/>
              <w:spacing w:after="60" w:line="240" w:lineRule="auto"/>
              <w:ind w:left="168" w:hanging="142"/>
              <w:jc w:val="left"/>
              <w:rPr>
                <w:rFonts w:cs="Arial"/>
                <w:noProof/>
                <w:color w:val="000000"/>
                <w:sz w:val="16"/>
                <w:szCs w:val="16"/>
                <w:lang w:eastAsia="en-AU" w:bidi="ar-SA"/>
              </w:rPr>
            </w:pPr>
            <w:r w:rsidRPr="00847CCC">
              <w:rPr>
                <w:rFonts w:cs="Arial"/>
                <w:noProof/>
                <w:color w:val="000000"/>
                <w:sz w:val="16"/>
                <w:szCs w:val="16"/>
                <w:lang w:eastAsia="en-AU" w:bidi="ar-SA"/>
              </w:rPr>
              <w:t>Services are not culturally appropriate</w:t>
            </w:r>
          </w:p>
        </w:tc>
        <w:tc>
          <w:tcPr>
            <w:tcW w:w="532" w:type="pct"/>
            <w:vAlign w:val="bottom"/>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27.6</w:t>
            </w:r>
          </w:p>
        </w:tc>
        <w:tc>
          <w:tcPr>
            <w:tcW w:w="620" w:type="pct"/>
            <w:vAlign w:val="bottom"/>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27.6</w:t>
            </w:r>
          </w:p>
        </w:tc>
        <w:tc>
          <w:tcPr>
            <w:tcW w:w="619" w:type="pct"/>
            <w:vAlign w:val="bottom"/>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36.8</w:t>
            </w:r>
          </w:p>
        </w:tc>
        <w:tc>
          <w:tcPr>
            <w:tcW w:w="532" w:type="pct"/>
            <w:vAlign w:val="bottom"/>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8.1</w:t>
            </w:r>
          </w:p>
        </w:tc>
        <w:tc>
          <w:tcPr>
            <w:tcW w:w="432" w:type="pct"/>
            <w:vAlign w:val="bottom"/>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100.0</w:t>
            </w:r>
          </w:p>
        </w:tc>
      </w:tr>
      <w:tr w:rsidR="00263D64" w:rsidRPr="00847CCC" w:rsidTr="00D7398E">
        <w:trPr>
          <w:gridAfter w:val="1"/>
          <w:wAfter w:w="51" w:type="pct"/>
          <w:jc w:val="right"/>
        </w:trPr>
        <w:tc>
          <w:tcPr>
            <w:tcW w:w="2213" w:type="pct"/>
            <w:vAlign w:val="center"/>
          </w:tcPr>
          <w:p w:rsidR="00263D64" w:rsidRPr="00847CCC" w:rsidRDefault="00263D64" w:rsidP="00263D64">
            <w:pPr>
              <w:keepNext/>
              <w:spacing w:after="60" w:line="240" w:lineRule="auto"/>
              <w:ind w:left="168" w:hanging="142"/>
              <w:jc w:val="left"/>
              <w:rPr>
                <w:rFonts w:cs="Arial"/>
                <w:noProof/>
                <w:color w:val="000000"/>
                <w:sz w:val="16"/>
                <w:szCs w:val="16"/>
                <w:lang w:eastAsia="en-AU" w:bidi="ar-SA"/>
              </w:rPr>
            </w:pPr>
            <w:r w:rsidRPr="00847CCC">
              <w:rPr>
                <w:rFonts w:cs="Arial"/>
                <w:noProof/>
                <w:color w:val="000000"/>
                <w:sz w:val="16"/>
                <w:szCs w:val="16"/>
                <w:lang w:eastAsia="en-AU" w:bidi="ar-SA"/>
              </w:rPr>
              <w:t>There are language barriers for some clients</w:t>
            </w:r>
          </w:p>
        </w:tc>
        <w:tc>
          <w:tcPr>
            <w:tcW w:w="532" w:type="pct"/>
            <w:vAlign w:val="bottom"/>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44.4</w:t>
            </w:r>
          </w:p>
        </w:tc>
        <w:tc>
          <w:tcPr>
            <w:tcW w:w="620" w:type="pct"/>
            <w:vAlign w:val="bottom"/>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40.0</w:t>
            </w:r>
          </w:p>
        </w:tc>
        <w:tc>
          <w:tcPr>
            <w:tcW w:w="619" w:type="pct"/>
            <w:vAlign w:val="bottom"/>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13.0</w:t>
            </w:r>
          </w:p>
        </w:tc>
        <w:tc>
          <w:tcPr>
            <w:tcW w:w="532" w:type="pct"/>
            <w:vAlign w:val="bottom"/>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2.6</w:t>
            </w:r>
          </w:p>
        </w:tc>
        <w:tc>
          <w:tcPr>
            <w:tcW w:w="432" w:type="pct"/>
            <w:vAlign w:val="bottom"/>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100.0</w:t>
            </w:r>
          </w:p>
        </w:tc>
      </w:tr>
      <w:tr w:rsidR="00263D64" w:rsidRPr="00847CCC" w:rsidTr="00D7398E">
        <w:trPr>
          <w:gridAfter w:val="1"/>
          <w:wAfter w:w="51" w:type="pct"/>
          <w:jc w:val="right"/>
        </w:trPr>
        <w:tc>
          <w:tcPr>
            <w:tcW w:w="2213" w:type="pct"/>
            <w:tcBorders>
              <w:bottom w:val="single" w:sz="4" w:space="0" w:color="auto"/>
            </w:tcBorders>
            <w:vAlign w:val="center"/>
          </w:tcPr>
          <w:p w:rsidR="00263D64" w:rsidRPr="00847CCC" w:rsidRDefault="00263D64" w:rsidP="00263D64">
            <w:pPr>
              <w:keepNext/>
              <w:spacing w:after="60" w:line="240" w:lineRule="auto"/>
              <w:ind w:left="168" w:hanging="142"/>
              <w:jc w:val="left"/>
              <w:rPr>
                <w:rFonts w:cs="Arial"/>
                <w:noProof/>
                <w:color w:val="000000"/>
                <w:sz w:val="16"/>
                <w:szCs w:val="16"/>
                <w:lang w:eastAsia="en-AU" w:bidi="ar-SA"/>
              </w:rPr>
            </w:pPr>
            <w:r w:rsidRPr="00847CCC">
              <w:rPr>
                <w:rFonts w:cs="Arial"/>
                <w:noProof/>
                <w:color w:val="000000"/>
                <w:sz w:val="16"/>
                <w:szCs w:val="16"/>
                <w:lang w:eastAsia="en-AU" w:bidi="ar-SA"/>
              </w:rPr>
              <w:t>Services are not pitched to the appropriate literacy and numeracy levels of clients</w:t>
            </w:r>
          </w:p>
        </w:tc>
        <w:tc>
          <w:tcPr>
            <w:tcW w:w="532" w:type="pct"/>
            <w:tcBorders>
              <w:bottom w:val="single" w:sz="4" w:space="0" w:color="auto"/>
            </w:tcBorders>
            <w:vAlign w:val="bottom"/>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42.7</w:t>
            </w:r>
          </w:p>
        </w:tc>
        <w:tc>
          <w:tcPr>
            <w:tcW w:w="620" w:type="pct"/>
            <w:tcBorders>
              <w:bottom w:val="single" w:sz="4" w:space="0" w:color="auto"/>
            </w:tcBorders>
            <w:vAlign w:val="bottom"/>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36.5</w:t>
            </w:r>
          </w:p>
        </w:tc>
        <w:tc>
          <w:tcPr>
            <w:tcW w:w="619" w:type="pct"/>
            <w:tcBorders>
              <w:bottom w:val="single" w:sz="4" w:space="0" w:color="auto"/>
            </w:tcBorders>
            <w:vAlign w:val="bottom"/>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17.7</w:t>
            </w:r>
          </w:p>
        </w:tc>
        <w:tc>
          <w:tcPr>
            <w:tcW w:w="532" w:type="pct"/>
            <w:tcBorders>
              <w:bottom w:val="single" w:sz="4" w:space="0" w:color="auto"/>
            </w:tcBorders>
            <w:vAlign w:val="bottom"/>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3.1</w:t>
            </w:r>
          </w:p>
        </w:tc>
        <w:tc>
          <w:tcPr>
            <w:tcW w:w="432" w:type="pct"/>
            <w:tcBorders>
              <w:bottom w:val="single" w:sz="4" w:space="0" w:color="auto"/>
            </w:tcBorders>
            <w:vAlign w:val="bottom"/>
          </w:tcPr>
          <w:p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100.0</w:t>
            </w:r>
          </w:p>
        </w:tc>
      </w:tr>
    </w:tbl>
    <w:p w:rsidR="00263D64" w:rsidRPr="005911E2" w:rsidRDefault="00263D64" w:rsidP="002955BA">
      <w:pPr>
        <w:pStyle w:val="tablefootnotes"/>
        <w:rPr>
          <w:lang w:eastAsia="en-AU"/>
        </w:rPr>
      </w:pPr>
      <w:r w:rsidRPr="005911E2">
        <w:rPr>
          <w:lang w:eastAsia="en-AU"/>
        </w:rPr>
        <w:t xml:space="preserve">Notes: </w:t>
      </w:r>
      <w:r w:rsidRPr="005911E2">
        <w:rPr>
          <w:lang w:eastAsia="en-AU"/>
        </w:rPr>
        <w:tab/>
        <w:t xml:space="preserve">128 survey participants. The proportion of ‘can’t say/don’t know’ responses ranged from 5 per cent to 32 per cent for these items. These responses are excluded from this table. Items where there were 20 per cent or more of ‘can’t say/don’t know’ responses included </w:t>
      </w:r>
      <w:r w:rsidR="00561F28">
        <w:rPr>
          <w:lang w:eastAsia="en-AU"/>
        </w:rPr>
        <w:t>‘</w:t>
      </w:r>
      <w:r w:rsidRPr="005911E2">
        <w:rPr>
          <w:rFonts w:cs="Arial"/>
          <w:color w:val="000000"/>
          <w:szCs w:val="18"/>
          <w:lang w:eastAsia="en-AU"/>
        </w:rPr>
        <w:t>serv</w:t>
      </w:r>
      <w:r w:rsidRPr="005911E2">
        <w:rPr>
          <w:lang w:eastAsia="en-AU"/>
        </w:rPr>
        <w:t>ices are not pitched to the appropriate literacy and numeracy levels of clients</w:t>
      </w:r>
      <w:r w:rsidR="00561F28">
        <w:rPr>
          <w:lang w:eastAsia="en-AU"/>
        </w:rPr>
        <w:t>’</w:t>
      </w:r>
      <w:r w:rsidRPr="005911E2">
        <w:rPr>
          <w:lang w:eastAsia="en-AU"/>
        </w:rPr>
        <w:t>,</w:t>
      </w:r>
      <w:r w:rsidR="00561F28">
        <w:rPr>
          <w:lang w:eastAsia="en-AU"/>
        </w:rPr>
        <w:t xml:space="preserve"> ‘</w:t>
      </w:r>
      <w:r w:rsidRPr="005911E2">
        <w:rPr>
          <w:lang w:eastAsia="en-AU"/>
        </w:rPr>
        <w:t>services provided are not specifically tailored to families on very low incomes</w:t>
      </w:r>
      <w:r w:rsidR="00561F28">
        <w:rPr>
          <w:lang w:eastAsia="en-AU"/>
        </w:rPr>
        <w:t>’</w:t>
      </w:r>
      <w:r w:rsidRPr="005911E2">
        <w:rPr>
          <w:lang w:eastAsia="en-AU"/>
        </w:rPr>
        <w:t xml:space="preserve"> and </w:t>
      </w:r>
      <w:r w:rsidR="00561F28">
        <w:rPr>
          <w:lang w:eastAsia="en-AU"/>
        </w:rPr>
        <w:t>‘</w:t>
      </w:r>
      <w:r w:rsidRPr="005911E2">
        <w:rPr>
          <w:lang w:eastAsia="en-AU"/>
        </w:rPr>
        <w:t>services are not culturally appropriate</w:t>
      </w:r>
      <w:r w:rsidR="00561F28">
        <w:rPr>
          <w:lang w:eastAsia="en-AU"/>
        </w:rPr>
        <w:t>’</w:t>
      </w:r>
      <w:r w:rsidRPr="005911E2">
        <w:rPr>
          <w:lang w:eastAsia="en-AU"/>
        </w:rPr>
        <w:t>.</w:t>
      </w:r>
    </w:p>
    <w:p w:rsidR="00263D64" w:rsidRPr="005911E2" w:rsidRDefault="00263D64" w:rsidP="002955BA">
      <w:pPr>
        <w:pStyle w:val="tablefootnotes"/>
        <w:rPr>
          <w:lang w:eastAsia="en-AU"/>
        </w:rPr>
      </w:pPr>
      <w:r w:rsidRPr="005911E2">
        <w:rPr>
          <w:lang w:eastAsia="en-AU"/>
        </w:rPr>
        <w:t xml:space="preserve">Source: </w:t>
      </w:r>
      <w:r w:rsidRPr="005911E2">
        <w:rPr>
          <w:lang w:eastAsia="en-AU"/>
        </w:rPr>
        <w:tab/>
        <w:t>Quantitative survey of NT Centrelink Staff 2011.</w:t>
      </w:r>
    </w:p>
    <w:p w:rsidR="00D96A58" w:rsidRPr="002955BA" w:rsidRDefault="00D96A58" w:rsidP="002955BA">
      <w:pPr>
        <w:spacing w:after="0" w:line="264" w:lineRule="auto"/>
        <w:ind w:left="2552" w:hanging="851"/>
        <w:rPr>
          <w:sz w:val="18"/>
          <w:lang w:eastAsia="en-AU"/>
        </w:rPr>
      </w:pPr>
    </w:p>
    <w:p w:rsidR="00263D64" w:rsidRPr="005911E2" w:rsidRDefault="00263D64" w:rsidP="00263D64">
      <w:pPr>
        <w:rPr>
          <w:lang w:eastAsia="en-AU"/>
        </w:rPr>
      </w:pPr>
      <w:r w:rsidRPr="005911E2">
        <w:rPr>
          <w:lang w:eastAsia="en-AU"/>
        </w:rPr>
        <w:t xml:space="preserve">In addition to the survey of Centrelink staff, 39 staff from Centrelink participated in qualitative interviews. These interviews included some discussion of the referral processes to </w:t>
      </w:r>
      <w:r w:rsidR="00561F28">
        <w:rPr>
          <w:lang w:eastAsia="en-AU"/>
        </w:rPr>
        <w:t>m</w:t>
      </w:r>
      <w:r w:rsidRPr="005911E2">
        <w:rPr>
          <w:lang w:eastAsia="en-AU"/>
        </w:rPr>
        <w:t xml:space="preserve">oney </w:t>
      </w:r>
      <w:r w:rsidR="00561F28">
        <w:rPr>
          <w:lang w:eastAsia="en-AU"/>
        </w:rPr>
        <w:t>m</w:t>
      </w:r>
      <w:r w:rsidRPr="005911E2">
        <w:rPr>
          <w:lang w:eastAsia="en-AU"/>
        </w:rPr>
        <w:t>anagement services, the extent to which Centrelink clients were using these services</w:t>
      </w:r>
      <w:r w:rsidR="00561F28">
        <w:rPr>
          <w:lang w:eastAsia="en-AU"/>
        </w:rPr>
        <w:t>,</w:t>
      </w:r>
      <w:r w:rsidRPr="005911E2">
        <w:rPr>
          <w:lang w:eastAsia="en-AU"/>
        </w:rPr>
        <w:t xml:space="preserve"> and possible reasons why they perceived the uptake of these services and the matched savings payment was relatively low.</w:t>
      </w:r>
    </w:p>
    <w:p w:rsidR="00263D64" w:rsidRPr="005911E2" w:rsidRDefault="00263D64" w:rsidP="00263D64">
      <w:pPr>
        <w:rPr>
          <w:lang w:eastAsia="en-AU"/>
        </w:rPr>
      </w:pPr>
      <w:r w:rsidRPr="005911E2">
        <w:rPr>
          <w:lang w:eastAsia="en-AU"/>
        </w:rPr>
        <w:t xml:space="preserve">Overall, most Centrelink staff involved in </w:t>
      </w:r>
      <w:r w:rsidR="00E07214" w:rsidRPr="005911E2">
        <w:rPr>
          <w:lang w:eastAsia="en-AU"/>
        </w:rPr>
        <w:t xml:space="preserve">directly </w:t>
      </w:r>
      <w:r w:rsidRPr="005911E2">
        <w:rPr>
          <w:lang w:eastAsia="en-AU"/>
        </w:rPr>
        <w:t>providing services to people on income management reported that they frequently made referrals to services but that they did not know whether clients took up these referrals. This was particularly hard to ascertain given that the course</w:t>
      </w:r>
      <w:r w:rsidR="00B012E2" w:rsidRPr="005911E2">
        <w:rPr>
          <w:lang w:eastAsia="en-AU"/>
        </w:rPr>
        <w:t>s</w:t>
      </w:r>
      <w:r w:rsidRPr="005911E2">
        <w:rPr>
          <w:lang w:eastAsia="en-AU"/>
        </w:rPr>
        <w:t xml:space="preserve"> were not compulsory. However, most believed that the uptake is very low. </w:t>
      </w:r>
    </w:p>
    <w:p w:rsidR="00263D64" w:rsidRPr="005911E2" w:rsidRDefault="00263D64" w:rsidP="00847CCC">
      <w:pPr>
        <w:pStyle w:val="miniquote"/>
      </w:pPr>
      <w:r w:rsidRPr="005911E2">
        <w:t xml:space="preserve">Money management is a bit of an issue. Staff are saying they are getting fed up at making referrals. </w:t>
      </w:r>
      <w:r w:rsidR="00A97BF6" w:rsidRPr="005911E2">
        <w:t xml:space="preserve">There </w:t>
      </w:r>
      <w:r w:rsidR="00A97BF6">
        <w:t>is</w:t>
      </w:r>
      <w:r w:rsidR="00A97BF6" w:rsidRPr="005911E2">
        <w:t xml:space="preserve"> a lack of providers on the ground talking to customers when the customer is ready. </w:t>
      </w:r>
      <w:r w:rsidRPr="005911E2">
        <w:t xml:space="preserve">It works best when the </w:t>
      </w:r>
      <w:r w:rsidR="00561F28">
        <w:t>m</w:t>
      </w:r>
      <w:r w:rsidRPr="005911E2">
        <w:t xml:space="preserve">oney </w:t>
      </w:r>
      <w:r w:rsidR="00561F28">
        <w:t>m</w:t>
      </w:r>
      <w:r w:rsidRPr="005911E2">
        <w:t xml:space="preserve">anagement provider is there when Centrelink is there. Referrals need to be almost instantaneous, or they won’t attend. </w:t>
      </w:r>
    </w:p>
    <w:p w:rsidR="00263D64" w:rsidRPr="005911E2" w:rsidRDefault="00263D64" w:rsidP="00847CCC">
      <w:pPr>
        <w:pStyle w:val="mininame"/>
      </w:pPr>
      <w:r w:rsidRPr="005911E2">
        <w:t xml:space="preserve">Centrelink </w:t>
      </w:r>
      <w:r w:rsidR="00561F28">
        <w:t>M</w:t>
      </w:r>
      <w:r w:rsidRPr="005911E2">
        <w:t>anager</w:t>
      </w:r>
    </w:p>
    <w:p w:rsidR="00263D64" w:rsidRPr="005911E2" w:rsidRDefault="00263D64" w:rsidP="00263D64">
      <w:pPr>
        <w:rPr>
          <w:lang w:eastAsia="en-AU"/>
        </w:rPr>
      </w:pPr>
      <w:r w:rsidRPr="005911E2">
        <w:rPr>
          <w:lang w:eastAsia="en-AU"/>
        </w:rPr>
        <w:t xml:space="preserve">There were also some concerns that it was difficult for clients to access services when the services had </w:t>
      </w:r>
      <w:r w:rsidR="00561F28">
        <w:rPr>
          <w:lang w:eastAsia="en-AU"/>
        </w:rPr>
        <w:t>large</w:t>
      </w:r>
      <w:r w:rsidR="00561F28" w:rsidRPr="005911E2">
        <w:rPr>
          <w:lang w:eastAsia="en-AU"/>
        </w:rPr>
        <w:t xml:space="preserve"> </w:t>
      </w:r>
      <w:r w:rsidRPr="005911E2">
        <w:rPr>
          <w:lang w:eastAsia="en-AU"/>
        </w:rPr>
        <w:t xml:space="preserve">distances to cover or where </w:t>
      </w:r>
      <w:r w:rsidR="00561F28">
        <w:rPr>
          <w:lang w:eastAsia="en-AU"/>
        </w:rPr>
        <w:t>they</w:t>
      </w:r>
      <w:r w:rsidR="00561F28" w:rsidRPr="005911E2">
        <w:rPr>
          <w:lang w:eastAsia="en-AU"/>
        </w:rPr>
        <w:t xml:space="preserve"> </w:t>
      </w:r>
      <w:r w:rsidRPr="005911E2">
        <w:rPr>
          <w:lang w:eastAsia="en-AU"/>
        </w:rPr>
        <w:t xml:space="preserve">may not be visiting their locations for some </w:t>
      </w:r>
      <w:r w:rsidR="007337E1">
        <w:rPr>
          <w:lang w:eastAsia="en-AU"/>
        </w:rPr>
        <w:t>time</w:t>
      </w:r>
      <w:r w:rsidRPr="005911E2">
        <w:rPr>
          <w:lang w:eastAsia="en-AU"/>
        </w:rPr>
        <w:t xml:space="preserve">. </w:t>
      </w:r>
    </w:p>
    <w:p w:rsidR="00263D64" w:rsidRPr="005911E2" w:rsidRDefault="00E07214" w:rsidP="00263D64">
      <w:pPr>
        <w:rPr>
          <w:lang w:eastAsia="en-AU"/>
        </w:rPr>
      </w:pPr>
      <w:r>
        <w:rPr>
          <w:lang w:eastAsia="en-AU"/>
        </w:rPr>
        <w:t xml:space="preserve">One </w:t>
      </w:r>
      <w:r w:rsidR="00263D64" w:rsidRPr="005911E2">
        <w:rPr>
          <w:lang w:eastAsia="en-AU"/>
        </w:rPr>
        <w:t xml:space="preserve">suggestion </w:t>
      </w:r>
      <w:r>
        <w:rPr>
          <w:lang w:eastAsia="en-AU"/>
        </w:rPr>
        <w:t xml:space="preserve">provided by respondents </w:t>
      </w:r>
      <w:r w:rsidR="00263D64" w:rsidRPr="005911E2">
        <w:rPr>
          <w:lang w:eastAsia="en-AU"/>
        </w:rPr>
        <w:t xml:space="preserve">to resolve this issue </w:t>
      </w:r>
      <w:r>
        <w:rPr>
          <w:lang w:eastAsia="en-AU"/>
        </w:rPr>
        <w:t>was to</w:t>
      </w:r>
      <w:r w:rsidR="00263D64" w:rsidRPr="005911E2">
        <w:rPr>
          <w:lang w:eastAsia="en-AU"/>
        </w:rPr>
        <w:t xml:space="preserve"> co-locat</w:t>
      </w:r>
      <w:r>
        <w:rPr>
          <w:lang w:eastAsia="en-AU"/>
        </w:rPr>
        <w:t>e</w:t>
      </w:r>
      <w:r w:rsidR="00263D64" w:rsidRPr="005911E2">
        <w:rPr>
          <w:lang w:eastAsia="en-AU"/>
        </w:rPr>
        <w:t xml:space="preserve"> Centrelink</w:t>
      </w:r>
      <w:r w:rsidR="00561F28">
        <w:rPr>
          <w:lang w:eastAsia="en-AU"/>
        </w:rPr>
        <w:t>,</w:t>
      </w:r>
      <w:r w:rsidR="00263D64" w:rsidRPr="005911E2">
        <w:rPr>
          <w:lang w:eastAsia="en-AU"/>
        </w:rPr>
        <w:t xml:space="preserve"> </w:t>
      </w:r>
      <w:r w:rsidR="00561F28">
        <w:rPr>
          <w:lang w:eastAsia="en-AU"/>
        </w:rPr>
        <w:t>m</w:t>
      </w:r>
      <w:r w:rsidR="00263D64" w:rsidRPr="005911E2">
        <w:rPr>
          <w:lang w:eastAsia="en-AU"/>
        </w:rPr>
        <w:t xml:space="preserve">oney </w:t>
      </w:r>
      <w:r w:rsidR="00561F28">
        <w:rPr>
          <w:lang w:eastAsia="en-AU"/>
        </w:rPr>
        <w:t>m</w:t>
      </w:r>
      <w:r w:rsidR="00263D64" w:rsidRPr="005911E2">
        <w:rPr>
          <w:lang w:eastAsia="en-AU"/>
        </w:rPr>
        <w:t>anagement and financial counselling services</w:t>
      </w:r>
      <w:r>
        <w:rPr>
          <w:lang w:eastAsia="en-AU"/>
        </w:rPr>
        <w:t>, either</w:t>
      </w:r>
      <w:r w:rsidR="00263D64" w:rsidRPr="005911E2">
        <w:rPr>
          <w:lang w:eastAsia="en-AU"/>
        </w:rPr>
        <w:t xml:space="preserve"> through Centrelink providing these services or having a contracted provider located in the same offices. </w:t>
      </w:r>
    </w:p>
    <w:p w:rsidR="00263D64" w:rsidRPr="005911E2" w:rsidRDefault="00263D64" w:rsidP="00616B0F">
      <w:pPr>
        <w:pStyle w:val="Heading2"/>
      </w:pPr>
      <w:bookmarkStart w:id="635" w:name="_Toc335915771"/>
      <w:bookmarkStart w:id="636" w:name="_Toc321225136"/>
      <w:bookmarkStart w:id="637" w:name="_Toc321254479"/>
      <w:bookmarkStart w:id="638" w:name="_Toc328601504"/>
      <w:bookmarkStart w:id="639" w:name="_Toc329870385"/>
      <w:r w:rsidRPr="005911E2">
        <w:t>Money management and financial counselling staff views</w:t>
      </w:r>
      <w:bookmarkEnd w:id="635"/>
      <w:r w:rsidRPr="005911E2">
        <w:t xml:space="preserve"> </w:t>
      </w:r>
      <w:bookmarkEnd w:id="636"/>
      <w:bookmarkEnd w:id="637"/>
      <w:bookmarkEnd w:id="638"/>
      <w:bookmarkEnd w:id="639"/>
    </w:p>
    <w:p w:rsidR="00263D64" w:rsidRPr="005911E2" w:rsidRDefault="00263D64" w:rsidP="00263D64">
      <w:pPr>
        <w:rPr>
          <w:lang w:eastAsia="en-AU"/>
        </w:rPr>
      </w:pPr>
      <w:r w:rsidRPr="005911E2">
        <w:rPr>
          <w:lang w:eastAsia="en-AU"/>
        </w:rPr>
        <w:t xml:space="preserve">Money management and financial counselling service staff who took part in the interviews (18 </w:t>
      </w:r>
      <w:r w:rsidR="00561F28">
        <w:rPr>
          <w:lang w:eastAsia="en-AU"/>
        </w:rPr>
        <w:t>m</w:t>
      </w:r>
      <w:r w:rsidRPr="005911E2">
        <w:rPr>
          <w:lang w:eastAsia="en-AU"/>
        </w:rPr>
        <w:t xml:space="preserve">oney </w:t>
      </w:r>
      <w:r w:rsidR="00561F28">
        <w:rPr>
          <w:lang w:eastAsia="en-AU"/>
        </w:rPr>
        <w:t>m</w:t>
      </w:r>
      <w:r w:rsidRPr="005911E2">
        <w:rPr>
          <w:lang w:eastAsia="en-AU"/>
        </w:rPr>
        <w:t>anagement and financial counselling workers</w:t>
      </w:r>
      <w:r w:rsidR="005510A6">
        <w:rPr>
          <w:rStyle w:val="FootnoteReference"/>
          <w:lang w:eastAsia="en-AU"/>
        </w:rPr>
        <w:footnoteReference w:id="69"/>
      </w:r>
      <w:r w:rsidRPr="005911E2">
        <w:rPr>
          <w:lang w:eastAsia="en-AU"/>
        </w:rPr>
        <w:t xml:space="preserve">) identified four key issues in relation to the implementation of the </w:t>
      </w:r>
      <w:r w:rsidR="00561F28">
        <w:rPr>
          <w:lang w:eastAsia="en-AU"/>
        </w:rPr>
        <w:t>a</w:t>
      </w:r>
      <w:r w:rsidRPr="005911E2">
        <w:rPr>
          <w:lang w:eastAsia="en-AU"/>
        </w:rPr>
        <w:t xml:space="preserve">pproved </w:t>
      </w:r>
      <w:r w:rsidR="00561F28">
        <w:rPr>
          <w:lang w:eastAsia="en-AU"/>
        </w:rPr>
        <w:t>m</w:t>
      </w:r>
      <w:r w:rsidRPr="005911E2">
        <w:rPr>
          <w:lang w:eastAsia="en-AU"/>
        </w:rPr>
        <w:t xml:space="preserve">oney </w:t>
      </w:r>
      <w:r w:rsidR="00561F28">
        <w:rPr>
          <w:lang w:eastAsia="en-AU"/>
        </w:rPr>
        <w:t>m</w:t>
      </w:r>
      <w:r w:rsidRPr="005911E2">
        <w:rPr>
          <w:lang w:eastAsia="en-AU"/>
        </w:rPr>
        <w:t xml:space="preserve">anagement courses. The first was that the courses they were asked to deliver to clients were not relevant to the lived experience of most of their clients. Many clients found them difficult to understand and did not address the core needs of their client groups. A specific </w:t>
      </w:r>
      <w:r w:rsidR="007D0AB3" w:rsidRPr="005911E2">
        <w:rPr>
          <w:lang w:eastAsia="en-AU"/>
        </w:rPr>
        <w:t>crit</w:t>
      </w:r>
      <w:r w:rsidR="007D0AB3">
        <w:rPr>
          <w:lang w:eastAsia="en-AU"/>
        </w:rPr>
        <w:t>icism</w:t>
      </w:r>
      <w:r w:rsidR="007D0AB3" w:rsidRPr="005911E2">
        <w:rPr>
          <w:lang w:eastAsia="en-AU"/>
        </w:rPr>
        <w:t xml:space="preserve"> </w:t>
      </w:r>
      <w:r w:rsidRPr="005911E2">
        <w:rPr>
          <w:lang w:eastAsia="en-AU"/>
        </w:rPr>
        <w:t>that was voiced was that the courses were seen as being poorly pitched</w:t>
      </w:r>
      <w:r w:rsidR="007D0AB3">
        <w:rPr>
          <w:lang w:eastAsia="en-AU"/>
        </w:rPr>
        <w:t>: at</w:t>
      </w:r>
      <w:r w:rsidRPr="005911E2">
        <w:rPr>
          <w:lang w:eastAsia="en-AU"/>
        </w:rPr>
        <w:t xml:space="preserve"> too high a level for people living in remote areas</w:t>
      </w:r>
      <w:r w:rsidR="007D0AB3">
        <w:rPr>
          <w:lang w:eastAsia="en-AU"/>
        </w:rPr>
        <w:t>;</w:t>
      </w:r>
      <w:r w:rsidRPr="005911E2">
        <w:rPr>
          <w:lang w:eastAsia="en-AU"/>
        </w:rPr>
        <w:t xml:space="preserve"> and at too low a level for some clients in urban areas. </w:t>
      </w:r>
    </w:p>
    <w:p w:rsidR="00263D64" w:rsidRPr="005911E2" w:rsidRDefault="00263D64" w:rsidP="00847CCC">
      <w:pPr>
        <w:pStyle w:val="miniquote"/>
      </w:pPr>
      <w:r w:rsidRPr="005911E2">
        <w:t xml:space="preserve">It's really hard to hit the mark in terms of the understanding. There's the acquiescent kind of learning as well where it's like do you understand what I'm talking about? Yes I do, yes I do, and then you find out oh what the hell was he talking about? </w:t>
      </w:r>
      <w:r w:rsidR="00A97BF6" w:rsidRPr="005911E2">
        <w:t>There are</w:t>
      </w:r>
      <w:r w:rsidRPr="005911E2">
        <w:t xml:space="preserve"> a few things that inherently are a bit wrong about the workshop. I shouldn't say wrong, but it either over hits the target or under hits it. There's a lot of assumed knowledge there, just within the conversation itself. </w:t>
      </w:r>
    </w:p>
    <w:p w:rsidR="00263D64" w:rsidRPr="005911E2" w:rsidRDefault="00263D64" w:rsidP="00847CCC">
      <w:pPr>
        <w:pStyle w:val="mininame"/>
      </w:pPr>
      <w:r w:rsidRPr="005911E2">
        <w:t xml:space="preserve">Money </w:t>
      </w:r>
      <w:r w:rsidR="00561F28">
        <w:t>m</w:t>
      </w:r>
      <w:r w:rsidRPr="005911E2">
        <w:t>anagement provider</w:t>
      </w:r>
    </w:p>
    <w:p w:rsidR="00263D64" w:rsidRPr="005911E2" w:rsidRDefault="00263D64" w:rsidP="00263D64">
      <w:pPr>
        <w:rPr>
          <w:lang w:eastAsia="en-AU"/>
        </w:rPr>
      </w:pPr>
      <w:r w:rsidRPr="005911E2">
        <w:rPr>
          <w:lang w:eastAsia="en-AU"/>
        </w:rPr>
        <w:t xml:space="preserve">Reflecting this type of perspective, staff interviewed in these services expressed frustration at not being able to provide information they saw as being relevant and useful to their clients. Those participating in interviews often had ideas about how they would like to improve the courses and a number also showed alternative courses that they had developed and would like to use with their clients. It was suggested </w:t>
      </w:r>
      <w:r w:rsidR="007D0AB3">
        <w:rPr>
          <w:lang w:eastAsia="en-AU"/>
        </w:rPr>
        <w:t xml:space="preserve">by the participating staff </w:t>
      </w:r>
      <w:r w:rsidRPr="005911E2">
        <w:rPr>
          <w:lang w:eastAsia="en-AU"/>
        </w:rPr>
        <w:t>that a consultative approach where local service providers worked with FaHCSIA to develop approved courses that me</w:t>
      </w:r>
      <w:r w:rsidR="00B012E2" w:rsidRPr="005911E2">
        <w:rPr>
          <w:lang w:eastAsia="en-AU"/>
        </w:rPr>
        <w:t>et</w:t>
      </w:r>
      <w:r w:rsidRPr="005911E2">
        <w:rPr>
          <w:lang w:eastAsia="en-AU"/>
        </w:rPr>
        <w:t xml:space="preserve"> the needs of local people would improve outcomes for many of their clients. </w:t>
      </w:r>
    </w:p>
    <w:p w:rsidR="00263D64" w:rsidRPr="005911E2" w:rsidRDefault="00263D64" w:rsidP="00263D64">
      <w:pPr>
        <w:keepNext/>
        <w:spacing w:after="120"/>
        <w:ind w:left="2325"/>
        <w:jc w:val="left"/>
        <w:rPr>
          <w:i/>
          <w:iCs/>
        </w:rPr>
      </w:pPr>
      <w:r w:rsidRPr="005911E2">
        <w:rPr>
          <w:i/>
          <w:iCs/>
        </w:rPr>
        <w:t>People need simple skills, like living skills.</w:t>
      </w:r>
    </w:p>
    <w:p w:rsidR="00263D64" w:rsidRPr="005911E2" w:rsidRDefault="00263D64" w:rsidP="00847CCC">
      <w:pPr>
        <w:pStyle w:val="mininame"/>
      </w:pPr>
      <w:r w:rsidRPr="005911E2">
        <w:t xml:space="preserve"> Money </w:t>
      </w:r>
      <w:r w:rsidR="00561F28">
        <w:t>m</w:t>
      </w:r>
      <w:r w:rsidRPr="005911E2">
        <w:t>anagement provider</w:t>
      </w:r>
    </w:p>
    <w:p w:rsidR="00263D64" w:rsidRPr="005911E2" w:rsidRDefault="00263D64" w:rsidP="00263D64">
      <w:pPr>
        <w:keepNext/>
        <w:spacing w:after="120"/>
        <w:ind w:left="2325"/>
        <w:jc w:val="left"/>
        <w:rPr>
          <w:i/>
          <w:iCs/>
        </w:rPr>
      </w:pPr>
      <w:r w:rsidRPr="005911E2">
        <w:rPr>
          <w:i/>
          <w:iCs/>
        </w:rPr>
        <w:t>I would love to be able to get a group of people together in a store and be able to say how can we make money last.</w:t>
      </w:r>
    </w:p>
    <w:p w:rsidR="00263D64" w:rsidRPr="005911E2" w:rsidRDefault="00263D64" w:rsidP="00847CCC">
      <w:pPr>
        <w:pStyle w:val="mininame"/>
      </w:pPr>
      <w:r w:rsidRPr="005911E2">
        <w:t xml:space="preserve">Money </w:t>
      </w:r>
      <w:r w:rsidR="00561F28">
        <w:t>m</w:t>
      </w:r>
      <w:r w:rsidRPr="005911E2">
        <w:t>anagement provider</w:t>
      </w:r>
    </w:p>
    <w:p w:rsidR="00263D64" w:rsidRPr="005911E2" w:rsidRDefault="00263D64" w:rsidP="00263D64">
      <w:pPr>
        <w:keepNext/>
        <w:spacing w:after="120"/>
        <w:ind w:left="2325"/>
        <w:jc w:val="left"/>
        <w:rPr>
          <w:i/>
          <w:iCs/>
        </w:rPr>
      </w:pPr>
      <w:r w:rsidRPr="005911E2">
        <w:rPr>
          <w:i/>
          <w:iCs/>
        </w:rPr>
        <w:t>I guess if it was to be done over again, I'd support a community development model where you go in there and say these are all the things that we can do but what is it that you think will be most</w:t>
      </w:r>
      <w:r w:rsidR="007D0AB3">
        <w:rPr>
          <w:i/>
          <w:iCs/>
        </w:rPr>
        <w:t xml:space="preserve"> [appropriate]</w:t>
      </w:r>
    </w:p>
    <w:p w:rsidR="00263D64" w:rsidRPr="005911E2" w:rsidRDefault="00263D64" w:rsidP="00847CCC">
      <w:pPr>
        <w:pStyle w:val="mininame"/>
      </w:pPr>
      <w:r w:rsidRPr="005911E2">
        <w:t xml:space="preserve">Money </w:t>
      </w:r>
      <w:r w:rsidR="00561F28">
        <w:t>m</w:t>
      </w:r>
      <w:r w:rsidRPr="005911E2">
        <w:t>anagement provider</w:t>
      </w:r>
    </w:p>
    <w:p w:rsidR="00263D64" w:rsidRPr="005911E2" w:rsidRDefault="00263D64" w:rsidP="00263D64">
      <w:pPr>
        <w:keepNext/>
        <w:spacing w:after="120"/>
        <w:ind w:left="2325"/>
        <w:jc w:val="left"/>
        <w:rPr>
          <w:i/>
          <w:iCs/>
        </w:rPr>
      </w:pPr>
      <w:r w:rsidRPr="005911E2">
        <w:rPr>
          <w:i/>
          <w:iCs/>
        </w:rPr>
        <w:t>I mean we're talking about people that are on welfare. So their payments are normally promised every fortnight to rent, living and so forth…that was one of the things that shocked me the most about this budgeting. The assumption that you're probably struggling because you just don't know how to budget rather than it's inadequate to live off.</w:t>
      </w:r>
    </w:p>
    <w:p w:rsidR="00263D64" w:rsidRPr="005911E2" w:rsidRDefault="00263D64" w:rsidP="00847CCC">
      <w:pPr>
        <w:pStyle w:val="mininame"/>
      </w:pPr>
      <w:r w:rsidRPr="005911E2">
        <w:t>Financial counsellor</w:t>
      </w:r>
    </w:p>
    <w:p w:rsidR="00263D64" w:rsidRPr="005911E2" w:rsidRDefault="00263D64" w:rsidP="00263D64">
      <w:pPr>
        <w:rPr>
          <w:lang w:eastAsia="en-AU"/>
        </w:rPr>
      </w:pPr>
      <w:r w:rsidRPr="005911E2">
        <w:rPr>
          <w:lang w:eastAsia="en-AU"/>
        </w:rPr>
        <w:t>The mode of delivery was also seen a</w:t>
      </w:r>
      <w:r w:rsidR="007D0AB3">
        <w:rPr>
          <w:lang w:eastAsia="en-AU"/>
        </w:rPr>
        <w:t>s</w:t>
      </w:r>
      <w:r w:rsidRPr="005911E2">
        <w:rPr>
          <w:lang w:eastAsia="en-AU"/>
        </w:rPr>
        <w:t xml:space="preserve"> difficult for people. The course was seen as taking too much time. The sessions were seen as being too long and too wordy for many of their clients.</w:t>
      </w:r>
    </w:p>
    <w:p w:rsidR="00263D64" w:rsidRPr="005911E2" w:rsidRDefault="00263D64" w:rsidP="00263D64">
      <w:pPr>
        <w:keepNext/>
        <w:spacing w:after="120"/>
        <w:ind w:left="2325"/>
        <w:jc w:val="left"/>
        <w:rPr>
          <w:i/>
          <w:iCs/>
        </w:rPr>
      </w:pPr>
      <w:r w:rsidRPr="005911E2">
        <w:rPr>
          <w:i/>
          <w:iCs/>
        </w:rPr>
        <w:t>The course needs to be broken into smaller chunks. Three times 3 hours is too hard for people to digest.</w:t>
      </w:r>
    </w:p>
    <w:p w:rsidR="00263D64" w:rsidRPr="005911E2" w:rsidRDefault="00263D64" w:rsidP="00847CCC">
      <w:pPr>
        <w:pStyle w:val="mininame"/>
      </w:pPr>
      <w:r w:rsidRPr="005911E2">
        <w:t>M</w:t>
      </w:r>
      <w:r w:rsidR="00561F28">
        <w:t xml:space="preserve">oney management </w:t>
      </w:r>
      <w:r w:rsidRPr="005911E2">
        <w:t>provider</w:t>
      </w:r>
    </w:p>
    <w:p w:rsidR="00263D64" w:rsidRPr="005911E2" w:rsidRDefault="00263D64" w:rsidP="00263D64">
      <w:pPr>
        <w:rPr>
          <w:lang w:eastAsia="en-AU"/>
        </w:rPr>
      </w:pPr>
      <w:r w:rsidRPr="005911E2">
        <w:rPr>
          <w:lang w:eastAsia="en-AU"/>
        </w:rPr>
        <w:t xml:space="preserve">Money management workers across the participating services also noted that providing </w:t>
      </w:r>
      <w:r w:rsidR="00561F28">
        <w:rPr>
          <w:lang w:eastAsia="en-AU"/>
        </w:rPr>
        <w:t>a</w:t>
      </w:r>
      <w:r w:rsidRPr="005911E2">
        <w:rPr>
          <w:lang w:eastAsia="en-AU"/>
        </w:rPr>
        <w:t xml:space="preserve">pproved </w:t>
      </w:r>
      <w:r w:rsidR="00561F28">
        <w:rPr>
          <w:lang w:eastAsia="en-AU"/>
        </w:rPr>
        <w:t>m</w:t>
      </w:r>
      <w:r w:rsidRPr="005911E2">
        <w:rPr>
          <w:lang w:eastAsia="en-AU"/>
        </w:rPr>
        <w:t xml:space="preserve">oney </w:t>
      </w:r>
      <w:r w:rsidR="00561F28">
        <w:rPr>
          <w:lang w:eastAsia="en-AU"/>
        </w:rPr>
        <w:t>m</w:t>
      </w:r>
      <w:r w:rsidRPr="005911E2">
        <w:rPr>
          <w:lang w:eastAsia="en-AU"/>
        </w:rPr>
        <w:t>anagement courses was a relatively small part of their actual work. For example, one service that worked with remote communities reported that workshops and courses accounted for only 5 to 10</w:t>
      </w:r>
      <w:r w:rsidRPr="005911E2">
        <w:rPr>
          <w:rFonts w:ascii="Times New Roman" w:hAnsi="Times New Roman"/>
          <w:lang w:eastAsia="en-AU"/>
        </w:rPr>
        <w:t xml:space="preserve"> </w:t>
      </w:r>
      <w:r w:rsidRPr="005911E2">
        <w:rPr>
          <w:lang w:eastAsia="en-AU"/>
        </w:rPr>
        <w:t>per cent of their work. The rest of their time was spent on advocacy and support</w:t>
      </w:r>
      <w:r w:rsidR="00561F28">
        <w:rPr>
          <w:lang w:eastAsia="en-AU"/>
        </w:rPr>
        <w:t>,</w:t>
      </w:r>
      <w:r w:rsidRPr="005911E2">
        <w:rPr>
          <w:lang w:eastAsia="en-AU"/>
        </w:rPr>
        <w:t xml:space="preserve"> such as assisting people with applying for </w:t>
      </w:r>
      <w:r w:rsidR="00561F28">
        <w:rPr>
          <w:lang w:eastAsia="en-AU"/>
        </w:rPr>
        <w:t xml:space="preserve">a </w:t>
      </w:r>
      <w:r w:rsidRPr="005911E2">
        <w:rPr>
          <w:lang w:eastAsia="en-AU"/>
        </w:rPr>
        <w:t>photo ID</w:t>
      </w:r>
      <w:r w:rsidR="00561F28">
        <w:rPr>
          <w:lang w:eastAsia="en-AU"/>
        </w:rPr>
        <w:t>,</w:t>
      </w:r>
      <w:r w:rsidRPr="005911E2">
        <w:rPr>
          <w:vertAlign w:val="superscript"/>
          <w:lang w:eastAsia="en-AU"/>
        </w:rPr>
        <w:footnoteReference w:id="70"/>
      </w:r>
      <w:r w:rsidRPr="005911E2">
        <w:rPr>
          <w:lang w:eastAsia="en-AU"/>
        </w:rPr>
        <w:t xml:space="preserve"> assisting people to access bank accounts</w:t>
      </w:r>
      <w:r w:rsidR="00561F28">
        <w:rPr>
          <w:lang w:eastAsia="en-AU"/>
        </w:rPr>
        <w:t>,</w:t>
      </w:r>
      <w:r w:rsidRPr="005911E2">
        <w:rPr>
          <w:lang w:eastAsia="en-AU"/>
        </w:rPr>
        <w:t xml:space="preserve"> and dealing with credit issues. Another service made a similar response:</w:t>
      </w:r>
    </w:p>
    <w:p w:rsidR="001246B9" w:rsidRDefault="00263D64" w:rsidP="001246B9">
      <w:pPr>
        <w:spacing w:after="120"/>
        <w:ind w:left="2325"/>
        <w:jc w:val="left"/>
        <w:rPr>
          <w:i/>
          <w:iCs/>
        </w:rPr>
      </w:pPr>
      <w:r w:rsidRPr="005911E2">
        <w:rPr>
          <w:i/>
          <w:iCs/>
        </w:rPr>
        <w:t xml:space="preserve">There are modules within those workshops that people find interesting and are like </w:t>
      </w:r>
      <w:r w:rsidR="002C4832">
        <w:rPr>
          <w:i/>
          <w:iCs/>
        </w:rPr>
        <w:t>‘</w:t>
      </w:r>
      <w:r w:rsidRPr="005911E2">
        <w:rPr>
          <w:i/>
          <w:iCs/>
        </w:rPr>
        <w:t>that's what I want to know about</w:t>
      </w:r>
      <w:r w:rsidR="002C4832">
        <w:rPr>
          <w:i/>
          <w:iCs/>
        </w:rPr>
        <w:t>’</w:t>
      </w:r>
      <w:r w:rsidRPr="005911E2">
        <w:rPr>
          <w:i/>
          <w:iCs/>
        </w:rPr>
        <w:t>. So it'll be one</w:t>
      </w:r>
      <w:r w:rsidR="00561F28">
        <w:rPr>
          <w:i/>
          <w:iCs/>
        </w:rPr>
        <w:t>-</w:t>
      </w:r>
      <w:r w:rsidRPr="005911E2">
        <w:rPr>
          <w:i/>
          <w:iCs/>
        </w:rPr>
        <w:t>to</w:t>
      </w:r>
      <w:r w:rsidR="00561F28">
        <w:rPr>
          <w:i/>
          <w:iCs/>
        </w:rPr>
        <w:t>-</w:t>
      </w:r>
      <w:r w:rsidRPr="005911E2">
        <w:rPr>
          <w:i/>
          <w:iCs/>
        </w:rPr>
        <w:t>one budgeting or one</w:t>
      </w:r>
      <w:r w:rsidR="00561F28">
        <w:rPr>
          <w:i/>
          <w:iCs/>
        </w:rPr>
        <w:t>-</w:t>
      </w:r>
      <w:r w:rsidRPr="005911E2">
        <w:rPr>
          <w:i/>
          <w:iCs/>
        </w:rPr>
        <w:t>on</w:t>
      </w:r>
      <w:r w:rsidR="00561F28">
        <w:rPr>
          <w:i/>
          <w:iCs/>
        </w:rPr>
        <w:t>-</w:t>
      </w:r>
      <w:r w:rsidRPr="005911E2">
        <w:rPr>
          <w:i/>
          <w:iCs/>
        </w:rPr>
        <w:t>one Internet banking, phone banking. Or it could be just receiving a letter from a bank that's not understood or a bill from Telstra. So real one-on-one stuff.</w:t>
      </w:r>
    </w:p>
    <w:p w:rsidR="00263D64" w:rsidRPr="005911E2" w:rsidRDefault="00263D64" w:rsidP="001246B9">
      <w:pPr>
        <w:keepNext/>
        <w:spacing w:after="120"/>
        <w:ind w:left="2325"/>
        <w:jc w:val="left"/>
        <w:rPr>
          <w:i/>
          <w:iCs/>
        </w:rPr>
      </w:pPr>
      <w:r w:rsidRPr="005911E2">
        <w:rPr>
          <w:i/>
          <w:iCs/>
        </w:rPr>
        <w:t xml:space="preserve"> So we're trying to make FaHCSIA aware of it and we indicate that through our reports about the things that we do apart from the workshops. So the workshops would honestly take up about 10 per cent of the time that we do.</w:t>
      </w:r>
    </w:p>
    <w:p w:rsidR="00263D64" w:rsidRPr="005911E2" w:rsidRDefault="00263D64" w:rsidP="00847CCC">
      <w:pPr>
        <w:pStyle w:val="mininame"/>
      </w:pPr>
      <w:r w:rsidRPr="005911E2">
        <w:t xml:space="preserve">Money </w:t>
      </w:r>
      <w:r w:rsidR="00561F28">
        <w:t>m</w:t>
      </w:r>
      <w:r w:rsidRPr="005911E2">
        <w:t>anagement provider</w:t>
      </w:r>
    </w:p>
    <w:p w:rsidR="00263D64" w:rsidRPr="005911E2" w:rsidRDefault="00263D64" w:rsidP="00263D64">
      <w:pPr>
        <w:rPr>
          <w:lang w:eastAsia="en-AU"/>
        </w:rPr>
      </w:pPr>
      <w:r w:rsidRPr="005911E2">
        <w:rPr>
          <w:lang w:eastAsia="en-AU"/>
        </w:rPr>
        <w:t xml:space="preserve">This is consistent with the quantitative data provided by services to FaHCSIA which shows that while many of the </w:t>
      </w:r>
      <w:r w:rsidR="00561F28">
        <w:rPr>
          <w:lang w:eastAsia="en-AU"/>
        </w:rPr>
        <w:t>m</w:t>
      </w:r>
      <w:r w:rsidRPr="005911E2">
        <w:rPr>
          <w:lang w:eastAsia="en-AU"/>
        </w:rPr>
        <w:t xml:space="preserve">oney </w:t>
      </w:r>
      <w:r w:rsidR="00561F28">
        <w:rPr>
          <w:lang w:eastAsia="en-AU"/>
        </w:rPr>
        <w:t>m</w:t>
      </w:r>
      <w:r w:rsidRPr="005911E2">
        <w:rPr>
          <w:lang w:eastAsia="en-AU"/>
        </w:rPr>
        <w:t xml:space="preserve">anagement and financial counselling service clients are on a form of income management, few complete </w:t>
      </w:r>
      <w:r w:rsidR="00F57BEF">
        <w:rPr>
          <w:lang w:eastAsia="en-AU"/>
        </w:rPr>
        <w:t>a</w:t>
      </w:r>
      <w:r w:rsidRPr="005911E2">
        <w:rPr>
          <w:lang w:eastAsia="en-AU"/>
        </w:rPr>
        <w:t xml:space="preserve">pproved </w:t>
      </w:r>
      <w:r w:rsidR="00F57BEF">
        <w:rPr>
          <w:lang w:eastAsia="en-AU"/>
        </w:rPr>
        <w:t>m</w:t>
      </w:r>
      <w:r w:rsidRPr="005911E2">
        <w:rPr>
          <w:lang w:eastAsia="en-AU"/>
        </w:rPr>
        <w:t xml:space="preserve">oney </w:t>
      </w:r>
      <w:r w:rsidR="00F57BEF">
        <w:rPr>
          <w:lang w:eastAsia="en-AU"/>
        </w:rPr>
        <w:t>m</w:t>
      </w:r>
      <w:r w:rsidRPr="005911E2">
        <w:rPr>
          <w:lang w:eastAsia="en-AU"/>
        </w:rPr>
        <w:t>anagement courses.</w:t>
      </w:r>
    </w:p>
    <w:p w:rsidR="00263D64" w:rsidRPr="005911E2" w:rsidRDefault="00263D64" w:rsidP="00263D64">
      <w:pPr>
        <w:rPr>
          <w:lang w:eastAsia="en-AU"/>
        </w:rPr>
      </w:pPr>
      <w:r w:rsidRPr="005911E2">
        <w:rPr>
          <w:lang w:eastAsia="en-AU"/>
        </w:rPr>
        <w:t xml:space="preserve">The third issue for </w:t>
      </w:r>
      <w:r w:rsidR="00F57BEF">
        <w:rPr>
          <w:lang w:eastAsia="en-AU"/>
        </w:rPr>
        <w:t>m</w:t>
      </w:r>
      <w:r w:rsidRPr="005911E2">
        <w:rPr>
          <w:lang w:eastAsia="en-AU"/>
        </w:rPr>
        <w:t xml:space="preserve">oney </w:t>
      </w:r>
      <w:r w:rsidR="00F57BEF">
        <w:rPr>
          <w:lang w:eastAsia="en-AU"/>
        </w:rPr>
        <w:t>m</w:t>
      </w:r>
      <w:r w:rsidRPr="005911E2">
        <w:rPr>
          <w:lang w:eastAsia="en-AU"/>
        </w:rPr>
        <w:t>anagement/financial counselling services was that they reported not receiving referrals from Centrelink – something that they had expected to happen. This was less of an issue for services operating in communities previously prescribed under the NTER</w:t>
      </w:r>
      <w:r w:rsidR="00F57BEF">
        <w:rPr>
          <w:lang w:eastAsia="en-AU"/>
        </w:rPr>
        <w:t>,</w:t>
      </w:r>
      <w:r w:rsidRPr="005911E2">
        <w:rPr>
          <w:lang w:eastAsia="en-AU"/>
        </w:rPr>
        <w:t xml:space="preserve"> as they reported that most of these clients are on some form of </w:t>
      </w:r>
      <w:r w:rsidR="00F878E4">
        <w:rPr>
          <w:lang w:eastAsia="en-AU"/>
        </w:rPr>
        <w:t>income management</w:t>
      </w:r>
      <w:r w:rsidRPr="005911E2">
        <w:rPr>
          <w:lang w:eastAsia="en-AU"/>
        </w:rPr>
        <w:t xml:space="preserve"> anyway. </w:t>
      </w:r>
    </w:p>
    <w:p w:rsidR="00263D64" w:rsidRPr="005911E2" w:rsidRDefault="00263D64" w:rsidP="00263D64">
      <w:pPr>
        <w:keepNext/>
        <w:spacing w:after="120"/>
        <w:ind w:left="2325"/>
        <w:jc w:val="left"/>
        <w:rPr>
          <w:i/>
          <w:iCs/>
        </w:rPr>
      </w:pPr>
      <w:r w:rsidRPr="005911E2">
        <w:rPr>
          <w:i/>
          <w:iCs/>
        </w:rPr>
        <w:t>It's something we're working on. In fact we met with Centrelink today. There's a systemic issue or problem with that in that the contract from FaHCSIA says that the referrals - majority of referrals</w:t>
      </w:r>
      <w:r w:rsidR="00F57BEF">
        <w:rPr>
          <w:i/>
          <w:iCs/>
        </w:rPr>
        <w:t xml:space="preserve"> -</w:t>
      </w:r>
      <w:r w:rsidR="00B62B2D">
        <w:rPr>
          <w:i/>
          <w:iCs/>
        </w:rPr>
        <w:t xml:space="preserve"> </w:t>
      </w:r>
      <w:r w:rsidRPr="005911E2">
        <w:rPr>
          <w:i/>
          <w:iCs/>
        </w:rPr>
        <w:t>will come from Centrelink</w:t>
      </w:r>
      <w:r w:rsidR="00F57BEF">
        <w:rPr>
          <w:i/>
          <w:iCs/>
        </w:rPr>
        <w:t>,</w:t>
      </w:r>
      <w:r w:rsidRPr="005911E2">
        <w:rPr>
          <w:i/>
          <w:iCs/>
        </w:rPr>
        <w:t xml:space="preserve"> but there's no mechanism in place that referrals come from Centrelink to us. So they'll have - it's quite well formatted on their internal system but a client that's been referred for </w:t>
      </w:r>
      <w:r w:rsidR="00F57BEF">
        <w:rPr>
          <w:i/>
          <w:iCs/>
        </w:rPr>
        <w:t>m</w:t>
      </w:r>
      <w:r w:rsidRPr="005911E2">
        <w:rPr>
          <w:i/>
          <w:iCs/>
        </w:rPr>
        <w:t xml:space="preserve">oney </w:t>
      </w:r>
      <w:r w:rsidR="00F57BEF">
        <w:rPr>
          <w:i/>
          <w:iCs/>
        </w:rPr>
        <w:t>m</w:t>
      </w:r>
      <w:r w:rsidRPr="005911E2">
        <w:rPr>
          <w:i/>
          <w:iCs/>
        </w:rPr>
        <w:t>anagement, unless that client then approaches us separate to that, then we never hear about it.</w:t>
      </w:r>
    </w:p>
    <w:p w:rsidR="00263D64" w:rsidRPr="005911E2" w:rsidRDefault="00263D64" w:rsidP="00847CCC">
      <w:pPr>
        <w:pStyle w:val="mininame"/>
      </w:pPr>
      <w:r w:rsidRPr="005911E2">
        <w:t xml:space="preserve">Money </w:t>
      </w:r>
      <w:r w:rsidR="00F57BEF">
        <w:t>m</w:t>
      </w:r>
      <w:r w:rsidRPr="005911E2">
        <w:t>anagement provider</w:t>
      </w:r>
    </w:p>
    <w:p w:rsidR="00263D64" w:rsidRPr="005911E2" w:rsidRDefault="00263D64" w:rsidP="00263D64">
      <w:pPr>
        <w:rPr>
          <w:lang w:eastAsia="en-AU"/>
        </w:rPr>
      </w:pPr>
      <w:r w:rsidRPr="005911E2">
        <w:rPr>
          <w:lang w:eastAsia="en-AU"/>
        </w:rPr>
        <w:t xml:space="preserve">However it was a concern for services that were in areas where </w:t>
      </w:r>
      <w:r w:rsidR="00F878E4">
        <w:rPr>
          <w:lang w:eastAsia="en-AU"/>
        </w:rPr>
        <w:t>income management</w:t>
      </w:r>
      <w:r w:rsidRPr="005911E2">
        <w:rPr>
          <w:lang w:eastAsia="en-AU"/>
        </w:rPr>
        <w:t xml:space="preserve"> was new and there were also some concerns in the beginning that clients didn’t really understand what they were being referred to.</w:t>
      </w:r>
    </w:p>
    <w:p w:rsidR="00263D64" w:rsidRPr="005911E2" w:rsidRDefault="00263D64" w:rsidP="00263D64">
      <w:pPr>
        <w:keepNext/>
        <w:spacing w:after="120"/>
        <w:ind w:left="2325"/>
        <w:jc w:val="left"/>
        <w:rPr>
          <w:i/>
          <w:iCs/>
        </w:rPr>
      </w:pPr>
      <w:r w:rsidRPr="005911E2">
        <w:rPr>
          <w:i/>
          <w:iCs/>
        </w:rPr>
        <w:t xml:space="preserve">When the income management first came in, there was a lot of - nobody fully understood what was going on. Like either the clients </w:t>
      </w:r>
      <w:r w:rsidR="00077699">
        <w:rPr>
          <w:i/>
          <w:iCs/>
        </w:rPr>
        <w:t>or</w:t>
      </w:r>
      <w:r w:rsidR="00077699" w:rsidRPr="005911E2">
        <w:rPr>
          <w:i/>
          <w:iCs/>
        </w:rPr>
        <w:t xml:space="preserve"> </w:t>
      </w:r>
      <w:r w:rsidRPr="005911E2">
        <w:rPr>
          <w:i/>
          <w:iCs/>
        </w:rPr>
        <w:t xml:space="preserve">we got the impression that a lot of Centrelink workers didn't know what was going on. So then people weren't explaining it properly to the clients, the clients were coming in frustrated, going why is this happening, sort of thing. </w:t>
      </w:r>
    </w:p>
    <w:p w:rsidR="00263D64" w:rsidRPr="005911E2" w:rsidRDefault="00901A4F" w:rsidP="00847CCC">
      <w:pPr>
        <w:pStyle w:val="mininame"/>
        <w:rPr>
          <w:i/>
        </w:rPr>
      </w:pPr>
      <w:r w:rsidRPr="00077699">
        <w:t xml:space="preserve">Money </w:t>
      </w:r>
      <w:r w:rsidR="00F57BEF">
        <w:t>m</w:t>
      </w:r>
      <w:r w:rsidR="00263D64" w:rsidRPr="00F57BEF">
        <w:t>anagement</w:t>
      </w:r>
      <w:r w:rsidR="00263D64" w:rsidRPr="005911E2">
        <w:t xml:space="preserve"> provider</w:t>
      </w:r>
    </w:p>
    <w:p w:rsidR="00263D64" w:rsidRPr="005911E2" w:rsidRDefault="00263D64" w:rsidP="00263D64">
      <w:pPr>
        <w:rPr>
          <w:lang w:eastAsia="en-AU"/>
        </w:rPr>
      </w:pPr>
      <w:r w:rsidRPr="005911E2">
        <w:rPr>
          <w:lang w:eastAsia="en-AU"/>
        </w:rPr>
        <w:t xml:space="preserve">In all interviews, staff from </w:t>
      </w:r>
      <w:r w:rsidR="00F57BEF">
        <w:rPr>
          <w:lang w:eastAsia="en-AU"/>
        </w:rPr>
        <w:t>m</w:t>
      </w:r>
      <w:r w:rsidRPr="005911E2">
        <w:rPr>
          <w:lang w:eastAsia="en-AU"/>
        </w:rPr>
        <w:t xml:space="preserve">oney </w:t>
      </w:r>
      <w:r w:rsidR="00F57BEF">
        <w:rPr>
          <w:lang w:eastAsia="en-AU"/>
        </w:rPr>
        <w:t>m</w:t>
      </w:r>
      <w:r w:rsidRPr="005911E2">
        <w:rPr>
          <w:lang w:eastAsia="en-AU"/>
        </w:rPr>
        <w:t>anagement services reported that there was goodwill between their services and Centrelink</w:t>
      </w:r>
      <w:r w:rsidR="00F57BEF">
        <w:rPr>
          <w:lang w:eastAsia="en-AU"/>
        </w:rPr>
        <w:t>,</w:t>
      </w:r>
      <w:r w:rsidRPr="005911E2">
        <w:rPr>
          <w:lang w:eastAsia="en-AU"/>
        </w:rPr>
        <w:t xml:space="preserve"> but this had not led to actual referrals. Given that many of the Centrelink staff reported offering their </w:t>
      </w:r>
      <w:r w:rsidR="00A97BF6" w:rsidRPr="005911E2">
        <w:rPr>
          <w:lang w:eastAsia="en-AU"/>
        </w:rPr>
        <w:t>clients’</w:t>
      </w:r>
      <w:r w:rsidRPr="005911E2">
        <w:rPr>
          <w:lang w:eastAsia="en-AU"/>
        </w:rPr>
        <w:t xml:space="preserve"> referrals to these services, this difference in perception may reflect the barriers to people acting upon the referrals (which are not compulsory). The new </w:t>
      </w:r>
      <w:r w:rsidR="00F57BEF">
        <w:rPr>
          <w:lang w:eastAsia="en-AU"/>
        </w:rPr>
        <w:t>‘</w:t>
      </w:r>
      <w:r w:rsidRPr="005911E2">
        <w:rPr>
          <w:lang w:eastAsia="en-AU"/>
        </w:rPr>
        <w:t>referral portal</w:t>
      </w:r>
      <w:r w:rsidR="00F57BEF">
        <w:rPr>
          <w:lang w:eastAsia="en-AU"/>
        </w:rPr>
        <w:t>’</w:t>
      </w:r>
      <w:r w:rsidRPr="005911E2">
        <w:rPr>
          <w:lang w:eastAsia="en-AU"/>
        </w:rPr>
        <w:t xml:space="preserve"> that was being developed by Centrelink at the time of the interviews was seen as a potentially positive development that would allow services to follow up with clients who had expressed an interest. </w:t>
      </w:r>
    </w:p>
    <w:p w:rsidR="00263D64" w:rsidRPr="005911E2" w:rsidRDefault="00263D64" w:rsidP="00263D64">
      <w:pPr>
        <w:rPr>
          <w:lang w:eastAsia="en-AU"/>
        </w:rPr>
      </w:pPr>
      <w:r w:rsidRPr="005911E2">
        <w:rPr>
          <w:lang w:eastAsia="en-AU"/>
        </w:rPr>
        <w:t xml:space="preserve">The final issue related to the Matched Savings Payment. Both financial counsellors and </w:t>
      </w:r>
      <w:r w:rsidR="00F57BEF">
        <w:rPr>
          <w:lang w:eastAsia="en-AU"/>
        </w:rPr>
        <w:t>m</w:t>
      </w:r>
      <w:r w:rsidRPr="005911E2">
        <w:rPr>
          <w:lang w:eastAsia="en-AU"/>
        </w:rPr>
        <w:t xml:space="preserve">oney </w:t>
      </w:r>
      <w:r w:rsidR="00F57BEF">
        <w:rPr>
          <w:lang w:eastAsia="en-AU"/>
        </w:rPr>
        <w:t>m</w:t>
      </w:r>
      <w:r w:rsidRPr="005911E2">
        <w:rPr>
          <w:lang w:eastAsia="en-AU"/>
        </w:rPr>
        <w:t xml:space="preserve">anagement </w:t>
      </w:r>
      <w:r w:rsidR="00F57BEF">
        <w:rPr>
          <w:lang w:eastAsia="en-AU"/>
        </w:rPr>
        <w:t>providers</w:t>
      </w:r>
      <w:r w:rsidR="00F57BEF" w:rsidRPr="005911E2">
        <w:rPr>
          <w:lang w:eastAsia="en-AU"/>
        </w:rPr>
        <w:t xml:space="preserve"> </w:t>
      </w:r>
      <w:r w:rsidRPr="005911E2">
        <w:rPr>
          <w:lang w:eastAsia="en-AU"/>
        </w:rPr>
        <w:t xml:space="preserve">expressed concerns about the difficulty for people on very low incomes being able to save money as part of the scheme. </w:t>
      </w:r>
    </w:p>
    <w:p w:rsidR="00263D64" w:rsidRPr="005911E2" w:rsidRDefault="00263D64" w:rsidP="00263D64">
      <w:pPr>
        <w:rPr>
          <w:lang w:eastAsia="en-AU"/>
        </w:rPr>
      </w:pPr>
      <w:r w:rsidRPr="005911E2">
        <w:rPr>
          <w:lang w:eastAsia="en-AU"/>
        </w:rPr>
        <w:t xml:space="preserve">Another aspect of the matched payments scheme noted by </w:t>
      </w:r>
      <w:r w:rsidR="00B450CA">
        <w:rPr>
          <w:lang w:eastAsia="en-AU"/>
        </w:rPr>
        <w:t>m</w:t>
      </w:r>
      <w:r w:rsidRPr="005911E2">
        <w:rPr>
          <w:lang w:eastAsia="en-AU"/>
        </w:rPr>
        <w:t xml:space="preserve">oney </w:t>
      </w:r>
      <w:r w:rsidR="00B450CA">
        <w:rPr>
          <w:lang w:eastAsia="en-AU"/>
        </w:rPr>
        <w:t>m</w:t>
      </w:r>
      <w:r w:rsidRPr="005911E2">
        <w:rPr>
          <w:lang w:eastAsia="en-AU"/>
        </w:rPr>
        <w:t xml:space="preserve">anagement workers and financial counsellors was the frustration among their clients that the incentive payment was </w:t>
      </w:r>
      <w:r w:rsidR="009C6B34">
        <w:rPr>
          <w:lang w:eastAsia="en-AU"/>
        </w:rPr>
        <w:t>subject to</w:t>
      </w:r>
      <w:r w:rsidRPr="005911E2">
        <w:rPr>
          <w:lang w:eastAsia="en-AU"/>
        </w:rPr>
        <w:t xml:space="preserve"> </w:t>
      </w:r>
      <w:r w:rsidR="00F878E4">
        <w:rPr>
          <w:lang w:eastAsia="en-AU"/>
        </w:rPr>
        <w:t>income management</w:t>
      </w:r>
      <w:r w:rsidR="00F57BEF">
        <w:rPr>
          <w:lang w:eastAsia="en-AU"/>
        </w:rPr>
        <w:t>,</w:t>
      </w:r>
      <w:r w:rsidRPr="005911E2">
        <w:rPr>
          <w:lang w:eastAsia="en-AU"/>
        </w:rPr>
        <w:t xml:space="preserve"> even though the money they saved was not from their </w:t>
      </w:r>
      <w:r w:rsidR="00F878E4">
        <w:rPr>
          <w:lang w:eastAsia="en-AU"/>
        </w:rPr>
        <w:t>income management</w:t>
      </w:r>
      <w:r w:rsidRPr="005911E2">
        <w:rPr>
          <w:lang w:eastAsia="en-AU"/>
        </w:rPr>
        <w:t xml:space="preserve"> funds.</w:t>
      </w:r>
    </w:p>
    <w:p w:rsidR="00263D64" w:rsidRPr="005911E2" w:rsidRDefault="00263D64" w:rsidP="00263D64">
      <w:pPr>
        <w:keepNext/>
        <w:spacing w:after="120"/>
        <w:ind w:left="2325"/>
        <w:jc w:val="left"/>
        <w:rPr>
          <w:i/>
          <w:iCs/>
        </w:rPr>
      </w:pPr>
      <w:r w:rsidRPr="005911E2">
        <w:rPr>
          <w:i/>
          <w:iCs/>
        </w:rPr>
        <w:t xml:space="preserve">I think the government tried to work a bit of a swiftie. If you save $500 we'll give you $500 but we won't tell you it's going to go on your BasicsCard. So there was a lot of - I heard a lot back last year with people like yeah, I want to be doing that Matched Savings. I want to be getting that $500. Then you said oh well this - and they go I'm out of here. See you later. So again it's the government being the government and the mob out there they know what the </w:t>
      </w:r>
      <w:r w:rsidR="00A97BF6" w:rsidRPr="005911E2">
        <w:rPr>
          <w:i/>
          <w:iCs/>
        </w:rPr>
        <w:t>governments</w:t>
      </w:r>
      <w:r w:rsidRPr="005911E2">
        <w:rPr>
          <w:i/>
          <w:iCs/>
        </w:rPr>
        <w:t xml:space="preserve"> like. It's kind of like the mouth is moving but hmmm, what's really going on? It all just sounds that little bit too good to be true. So it was a suck-in and the mob picked up on that real quick. People sit down there in Canberra and go oh, why aren't the children playing [at school] and why isn't this happening? It's like don't you think that people in communities might be making really quite peaceful protest about the shit that's not happening in communities?</w:t>
      </w:r>
    </w:p>
    <w:p w:rsidR="00263D64" w:rsidRPr="005911E2" w:rsidRDefault="00263D64" w:rsidP="00847CCC">
      <w:pPr>
        <w:pStyle w:val="mininame"/>
      </w:pPr>
      <w:r w:rsidRPr="005911E2">
        <w:t>Money management provider</w:t>
      </w:r>
    </w:p>
    <w:p w:rsidR="00263D64" w:rsidRPr="005911E2" w:rsidRDefault="00263D64" w:rsidP="00616B0F">
      <w:pPr>
        <w:pStyle w:val="Heading2"/>
      </w:pPr>
      <w:bookmarkStart w:id="640" w:name="_Toc321225137"/>
      <w:bookmarkStart w:id="641" w:name="_Toc321254480"/>
      <w:bookmarkStart w:id="642" w:name="_Toc328601505"/>
      <w:bookmarkStart w:id="643" w:name="_Toc329870386"/>
      <w:bookmarkStart w:id="644" w:name="_Toc335915772"/>
      <w:r w:rsidRPr="005911E2">
        <w:t>Summary</w:t>
      </w:r>
      <w:bookmarkEnd w:id="640"/>
      <w:bookmarkEnd w:id="641"/>
      <w:bookmarkEnd w:id="642"/>
      <w:bookmarkEnd w:id="643"/>
      <w:bookmarkEnd w:id="644"/>
      <w:r w:rsidRPr="005911E2">
        <w:t xml:space="preserve"> </w:t>
      </w:r>
    </w:p>
    <w:p w:rsidR="00263D64" w:rsidRPr="005911E2" w:rsidRDefault="00263D64" w:rsidP="00263D64">
      <w:pPr>
        <w:rPr>
          <w:lang w:eastAsia="en-AU"/>
        </w:rPr>
      </w:pPr>
      <w:r w:rsidRPr="005911E2">
        <w:rPr>
          <w:lang w:eastAsia="en-AU"/>
        </w:rPr>
        <w:t xml:space="preserve">The </w:t>
      </w:r>
      <w:r w:rsidR="00F57BEF">
        <w:rPr>
          <w:lang w:eastAsia="en-AU"/>
        </w:rPr>
        <w:t>m</w:t>
      </w:r>
      <w:r w:rsidRPr="005911E2">
        <w:rPr>
          <w:lang w:eastAsia="en-AU"/>
        </w:rPr>
        <w:t xml:space="preserve">oney </w:t>
      </w:r>
      <w:r w:rsidR="00F57BEF">
        <w:rPr>
          <w:lang w:eastAsia="en-AU"/>
        </w:rPr>
        <w:t>m</w:t>
      </w:r>
      <w:r w:rsidRPr="005911E2">
        <w:rPr>
          <w:lang w:eastAsia="en-AU"/>
        </w:rPr>
        <w:t xml:space="preserve">anagement and financial counselling services and </w:t>
      </w:r>
      <w:r w:rsidR="00614538" w:rsidRPr="005911E2">
        <w:rPr>
          <w:lang w:eastAsia="en-AU"/>
        </w:rPr>
        <w:t>the</w:t>
      </w:r>
      <w:r w:rsidR="00614538">
        <w:rPr>
          <w:lang w:eastAsia="en-AU"/>
        </w:rPr>
        <w:t xml:space="preserve"> </w:t>
      </w:r>
      <w:r w:rsidR="00F57BEF">
        <w:rPr>
          <w:lang w:eastAsia="en-AU"/>
        </w:rPr>
        <w:t xml:space="preserve">Matched Savings Payment </w:t>
      </w:r>
      <w:r w:rsidRPr="005911E2">
        <w:rPr>
          <w:lang w:eastAsia="en-AU"/>
        </w:rPr>
        <w:t xml:space="preserve">are designed to improve the ability of people to manage their money and to develop a savings pattern. These aspects of NIM are designed to increase people’s ability to better manage their own affairs. </w:t>
      </w:r>
    </w:p>
    <w:p w:rsidR="00263D64" w:rsidRPr="005911E2" w:rsidRDefault="00263D64" w:rsidP="00263D64">
      <w:pPr>
        <w:rPr>
          <w:lang w:eastAsia="en-AU"/>
        </w:rPr>
      </w:pPr>
      <w:r w:rsidRPr="005911E2">
        <w:rPr>
          <w:lang w:eastAsia="en-AU"/>
        </w:rPr>
        <w:t xml:space="preserve">The FaHCSIA program logic for NIM identifies that </w:t>
      </w:r>
      <w:r w:rsidR="00F57BEF">
        <w:rPr>
          <w:lang w:eastAsia="en-AU"/>
        </w:rPr>
        <w:t>m</w:t>
      </w:r>
      <w:r w:rsidRPr="005911E2">
        <w:rPr>
          <w:lang w:eastAsia="en-AU"/>
        </w:rPr>
        <w:t xml:space="preserve">oney </w:t>
      </w:r>
      <w:r w:rsidR="00F57BEF">
        <w:rPr>
          <w:lang w:eastAsia="en-AU"/>
        </w:rPr>
        <w:t>m</w:t>
      </w:r>
      <w:r w:rsidRPr="005911E2">
        <w:rPr>
          <w:lang w:eastAsia="en-AU"/>
        </w:rPr>
        <w:t xml:space="preserve">anagement </w:t>
      </w:r>
      <w:r w:rsidR="00F57BEF">
        <w:rPr>
          <w:lang w:eastAsia="en-AU"/>
        </w:rPr>
        <w:t xml:space="preserve">and </w:t>
      </w:r>
      <w:r w:rsidRPr="005911E2">
        <w:rPr>
          <w:lang w:eastAsia="en-AU"/>
        </w:rPr>
        <w:t>financial counselling</w:t>
      </w:r>
      <w:r w:rsidR="00F57BEF">
        <w:rPr>
          <w:lang w:eastAsia="en-AU"/>
        </w:rPr>
        <w:t>,</w:t>
      </w:r>
      <w:r w:rsidRPr="005911E2">
        <w:rPr>
          <w:lang w:eastAsia="en-AU"/>
        </w:rPr>
        <w:t xml:space="preserve"> and the savings </w:t>
      </w:r>
      <w:r w:rsidR="00F57BEF">
        <w:rPr>
          <w:lang w:eastAsia="en-AU"/>
        </w:rPr>
        <w:t xml:space="preserve">payment </w:t>
      </w:r>
      <w:r w:rsidRPr="005911E2">
        <w:rPr>
          <w:lang w:eastAsia="en-AU"/>
        </w:rPr>
        <w:t xml:space="preserve">components of NIM are expected to contribute to people increasing </w:t>
      </w:r>
      <w:r w:rsidR="00F57BEF">
        <w:rPr>
          <w:lang w:eastAsia="en-AU"/>
        </w:rPr>
        <w:t xml:space="preserve">their </w:t>
      </w:r>
      <w:r w:rsidRPr="005911E2">
        <w:rPr>
          <w:lang w:eastAsia="en-AU"/>
        </w:rPr>
        <w:t xml:space="preserve">financial literacy and </w:t>
      </w:r>
      <w:r w:rsidR="00F57BEF">
        <w:rPr>
          <w:lang w:eastAsia="en-AU"/>
        </w:rPr>
        <w:t xml:space="preserve">their </w:t>
      </w:r>
      <w:r w:rsidRPr="005911E2">
        <w:rPr>
          <w:lang w:eastAsia="en-AU"/>
        </w:rPr>
        <w:t>ability to develop basic household budgeting practices, increas</w:t>
      </w:r>
      <w:r w:rsidR="00F57BEF">
        <w:rPr>
          <w:lang w:eastAsia="en-AU"/>
        </w:rPr>
        <w:t>ing</w:t>
      </w:r>
      <w:r w:rsidRPr="005911E2">
        <w:rPr>
          <w:lang w:eastAsia="en-AU"/>
        </w:rPr>
        <w:t xml:space="preserve"> self-reliance</w:t>
      </w:r>
      <w:r w:rsidR="00F57BEF">
        <w:rPr>
          <w:lang w:eastAsia="en-AU"/>
        </w:rPr>
        <w:t>,</w:t>
      </w:r>
      <w:r w:rsidRPr="005911E2">
        <w:rPr>
          <w:lang w:eastAsia="en-AU"/>
        </w:rPr>
        <w:t xml:space="preserve"> and ultimately </w:t>
      </w:r>
      <w:r w:rsidR="00F57BEF">
        <w:rPr>
          <w:lang w:eastAsia="en-AU"/>
        </w:rPr>
        <w:t xml:space="preserve">making </w:t>
      </w:r>
      <w:r w:rsidRPr="005911E2">
        <w:rPr>
          <w:lang w:eastAsia="en-AU"/>
        </w:rPr>
        <w:t xml:space="preserve">income management </w:t>
      </w:r>
      <w:r w:rsidR="00F57BEF">
        <w:rPr>
          <w:lang w:eastAsia="en-AU"/>
        </w:rPr>
        <w:t>redundant</w:t>
      </w:r>
      <w:r w:rsidRPr="005911E2">
        <w:rPr>
          <w:lang w:eastAsia="en-AU"/>
        </w:rPr>
        <w:t>.</w:t>
      </w:r>
      <w:r w:rsidRPr="005911E2">
        <w:rPr>
          <w:vertAlign w:val="superscript"/>
          <w:lang w:eastAsia="en-AU"/>
        </w:rPr>
        <w:footnoteReference w:id="71"/>
      </w:r>
      <w:r w:rsidRPr="005911E2">
        <w:rPr>
          <w:lang w:eastAsia="en-AU" w:bidi="ar-SA"/>
        </w:rPr>
        <w:t xml:space="preserve"> </w:t>
      </w:r>
      <w:r w:rsidR="00DA3012" w:rsidRPr="005911E2">
        <w:rPr>
          <w:lang w:eastAsia="en-AU"/>
        </w:rPr>
        <w:t>According to the program logic</w:t>
      </w:r>
      <w:r w:rsidR="00DA3012">
        <w:rPr>
          <w:lang w:eastAsia="en-AU"/>
        </w:rPr>
        <w:t xml:space="preserve"> these aspects of NIM</w:t>
      </w:r>
      <w:r w:rsidRPr="005911E2">
        <w:rPr>
          <w:lang w:eastAsia="en-AU"/>
        </w:rPr>
        <w:t xml:space="preserve"> are</w:t>
      </w:r>
      <w:r w:rsidR="00DA3012">
        <w:rPr>
          <w:lang w:eastAsia="en-AU"/>
        </w:rPr>
        <w:t xml:space="preserve"> </w:t>
      </w:r>
      <w:r w:rsidRPr="005911E2">
        <w:rPr>
          <w:lang w:eastAsia="en-AU"/>
        </w:rPr>
        <w:t xml:space="preserve">central to its ability to achieve </w:t>
      </w:r>
      <w:r w:rsidR="00DA3012">
        <w:rPr>
          <w:lang w:eastAsia="en-AU"/>
        </w:rPr>
        <w:t>positive</w:t>
      </w:r>
      <w:r w:rsidRPr="005911E2">
        <w:rPr>
          <w:lang w:eastAsia="en-AU"/>
        </w:rPr>
        <w:t xml:space="preserve"> outcomes </w:t>
      </w:r>
      <w:r w:rsidR="00DA3012">
        <w:rPr>
          <w:lang w:eastAsia="en-AU"/>
        </w:rPr>
        <w:t>for</w:t>
      </w:r>
      <w:r w:rsidRPr="005911E2">
        <w:rPr>
          <w:lang w:eastAsia="en-AU"/>
        </w:rPr>
        <w:t xml:space="preserve"> financial skills and self-reliance. </w:t>
      </w:r>
    </w:p>
    <w:p w:rsidR="00263D64" w:rsidRPr="005911E2" w:rsidRDefault="00263D64" w:rsidP="00263D64">
      <w:pPr>
        <w:rPr>
          <w:lang w:eastAsia="en-AU"/>
        </w:rPr>
      </w:pPr>
      <w:r w:rsidRPr="005911E2">
        <w:rPr>
          <w:lang w:eastAsia="en-AU"/>
        </w:rPr>
        <w:t xml:space="preserve">It is somewhat uncertain as to just how many people are </w:t>
      </w:r>
      <w:r w:rsidR="005911E2" w:rsidRPr="005911E2">
        <w:rPr>
          <w:lang w:eastAsia="en-AU"/>
        </w:rPr>
        <w:t>benefitting</w:t>
      </w:r>
      <w:r w:rsidRPr="005911E2">
        <w:rPr>
          <w:lang w:eastAsia="en-AU"/>
        </w:rPr>
        <w:t xml:space="preserve"> from </w:t>
      </w:r>
      <w:r w:rsidR="002B1CF4">
        <w:rPr>
          <w:lang w:eastAsia="en-AU"/>
        </w:rPr>
        <w:t>m</w:t>
      </w:r>
      <w:r w:rsidRPr="005911E2">
        <w:rPr>
          <w:lang w:eastAsia="en-AU"/>
        </w:rPr>
        <w:t xml:space="preserve">oney </w:t>
      </w:r>
      <w:r w:rsidR="002B1CF4">
        <w:rPr>
          <w:lang w:eastAsia="en-AU"/>
        </w:rPr>
        <w:t>m</w:t>
      </w:r>
      <w:r w:rsidRPr="005911E2">
        <w:rPr>
          <w:lang w:eastAsia="en-AU"/>
        </w:rPr>
        <w:t xml:space="preserve">anagement services. The administrative data presented in this </w:t>
      </w:r>
      <w:r w:rsidR="002B1CF4">
        <w:rPr>
          <w:lang w:eastAsia="en-AU"/>
        </w:rPr>
        <w:t>c</w:t>
      </w:r>
      <w:r w:rsidRPr="005911E2">
        <w:rPr>
          <w:lang w:eastAsia="en-AU"/>
        </w:rPr>
        <w:t xml:space="preserve">hapter suggests that </w:t>
      </w:r>
      <w:r w:rsidR="002B1CF4">
        <w:rPr>
          <w:lang w:eastAsia="en-AU"/>
        </w:rPr>
        <w:t>m</w:t>
      </w:r>
      <w:r w:rsidRPr="005911E2">
        <w:rPr>
          <w:lang w:eastAsia="en-AU"/>
        </w:rPr>
        <w:t xml:space="preserve">oney </w:t>
      </w:r>
      <w:r w:rsidR="002B1CF4">
        <w:rPr>
          <w:lang w:eastAsia="en-AU"/>
        </w:rPr>
        <w:t>m</w:t>
      </w:r>
      <w:r w:rsidRPr="005911E2">
        <w:rPr>
          <w:lang w:eastAsia="en-AU"/>
        </w:rPr>
        <w:t xml:space="preserve">anagement services are providing a substantial proportion of those subject to </w:t>
      </w:r>
      <w:r w:rsidR="00F878E4">
        <w:rPr>
          <w:lang w:eastAsia="en-AU"/>
        </w:rPr>
        <w:t>income management</w:t>
      </w:r>
      <w:r w:rsidRPr="005911E2">
        <w:rPr>
          <w:lang w:eastAsia="en-AU"/>
        </w:rPr>
        <w:t xml:space="preserve"> with a range of services. On the other hand</w:t>
      </w:r>
      <w:r w:rsidR="002B1CF4">
        <w:rPr>
          <w:lang w:eastAsia="en-AU"/>
        </w:rPr>
        <w:t>,</w:t>
      </w:r>
      <w:r w:rsidRPr="005911E2">
        <w:rPr>
          <w:lang w:eastAsia="en-AU"/>
        </w:rPr>
        <w:t xml:space="preserve"> the results of the first wave of the LSNIM suggest a much smaller fraction utilise these</w:t>
      </w:r>
      <w:r w:rsidR="002B1CF4">
        <w:rPr>
          <w:lang w:eastAsia="en-AU"/>
        </w:rPr>
        <w:t xml:space="preserve"> services</w:t>
      </w:r>
      <w:r w:rsidRPr="005911E2">
        <w:rPr>
          <w:lang w:eastAsia="en-AU"/>
        </w:rPr>
        <w:t>. Either way</w:t>
      </w:r>
      <w:r w:rsidR="002B1CF4">
        <w:rPr>
          <w:lang w:eastAsia="en-AU"/>
        </w:rPr>
        <w:t>,</w:t>
      </w:r>
      <w:r w:rsidRPr="005911E2">
        <w:rPr>
          <w:lang w:eastAsia="en-AU"/>
        </w:rPr>
        <w:t xml:space="preserve"> very few of the services provided are approved </w:t>
      </w:r>
      <w:r w:rsidR="002B1CF4">
        <w:rPr>
          <w:lang w:eastAsia="en-AU"/>
        </w:rPr>
        <w:t>m</w:t>
      </w:r>
      <w:r w:rsidRPr="005911E2">
        <w:rPr>
          <w:lang w:eastAsia="en-AU"/>
        </w:rPr>
        <w:t xml:space="preserve">oney </w:t>
      </w:r>
      <w:r w:rsidR="002B1CF4">
        <w:rPr>
          <w:lang w:eastAsia="en-AU"/>
        </w:rPr>
        <w:t>m</w:t>
      </w:r>
      <w:r w:rsidRPr="005911E2">
        <w:rPr>
          <w:lang w:eastAsia="en-AU"/>
        </w:rPr>
        <w:t xml:space="preserve">anagement courses. Completion of an approved </w:t>
      </w:r>
      <w:r w:rsidR="002B1CF4">
        <w:rPr>
          <w:lang w:eastAsia="en-AU"/>
        </w:rPr>
        <w:t>m</w:t>
      </w:r>
      <w:r w:rsidRPr="005911E2">
        <w:rPr>
          <w:lang w:eastAsia="en-AU"/>
        </w:rPr>
        <w:t xml:space="preserve">oney </w:t>
      </w:r>
      <w:r w:rsidR="002B1CF4">
        <w:rPr>
          <w:lang w:eastAsia="en-AU"/>
        </w:rPr>
        <w:t>m</w:t>
      </w:r>
      <w:r w:rsidRPr="005911E2">
        <w:rPr>
          <w:lang w:eastAsia="en-AU"/>
        </w:rPr>
        <w:t xml:space="preserve">anagement course is required in order to be eligible for a Matched Savings </w:t>
      </w:r>
      <w:r w:rsidR="002B1CF4">
        <w:rPr>
          <w:lang w:eastAsia="en-AU"/>
        </w:rPr>
        <w:t>Payment</w:t>
      </w:r>
      <w:r w:rsidRPr="005911E2">
        <w:rPr>
          <w:lang w:eastAsia="en-AU"/>
        </w:rPr>
        <w:t xml:space="preserve">. Over the period July to December 2011 only 362 people commenced an approved </w:t>
      </w:r>
      <w:r w:rsidR="002B1CF4">
        <w:rPr>
          <w:lang w:eastAsia="en-AU"/>
        </w:rPr>
        <w:t>m</w:t>
      </w:r>
      <w:r w:rsidRPr="005911E2">
        <w:rPr>
          <w:lang w:eastAsia="en-AU"/>
        </w:rPr>
        <w:t xml:space="preserve">oney </w:t>
      </w:r>
      <w:r w:rsidR="002B1CF4">
        <w:rPr>
          <w:lang w:eastAsia="en-AU"/>
        </w:rPr>
        <w:t>m</w:t>
      </w:r>
      <w:r w:rsidRPr="005911E2">
        <w:rPr>
          <w:lang w:eastAsia="en-AU"/>
        </w:rPr>
        <w:t xml:space="preserve">anagement </w:t>
      </w:r>
      <w:r w:rsidR="002B1CF4">
        <w:rPr>
          <w:lang w:eastAsia="en-AU"/>
        </w:rPr>
        <w:t>c</w:t>
      </w:r>
      <w:r w:rsidRPr="005911E2">
        <w:rPr>
          <w:lang w:eastAsia="en-AU"/>
        </w:rPr>
        <w:t>ourse and 149 completed</w:t>
      </w:r>
      <w:r w:rsidR="00077699">
        <w:rPr>
          <w:lang w:eastAsia="en-AU"/>
        </w:rPr>
        <w:t xml:space="preserve"> a</w:t>
      </w:r>
      <w:r w:rsidR="002B1CF4">
        <w:rPr>
          <w:lang w:eastAsia="en-AU"/>
        </w:rPr>
        <w:t xml:space="preserve"> course</w:t>
      </w:r>
      <w:r w:rsidRPr="005911E2">
        <w:rPr>
          <w:lang w:eastAsia="en-AU"/>
        </w:rPr>
        <w:t xml:space="preserve">. The 362 people commencing an approved </w:t>
      </w:r>
      <w:r w:rsidR="002B1CF4">
        <w:rPr>
          <w:lang w:eastAsia="en-AU"/>
        </w:rPr>
        <w:t>m</w:t>
      </w:r>
      <w:r w:rsidRPr="005911E2">
        <w:rPr>
          <w:lang w:eastAsia="en-AU"/>
        </w:rPr>
        <w:t xml:space="preserve">oney </w:t>
      </w:r>
      <w:r w:rsidR="002B1CF4">
        <w:rPr>
          <w:lang w:eastAsia="en-AU"/>
        </w:rPr>
        <w:t>m</w:t>
      </w:r>
      <w:r w:rsidRPr="005911E2">
        <w:rPr>
          <w:lang w:eastAsia="en-AU"/>
        </w:rPr>
        <w:t xml:space="preserve">anagement course is 7.9 per cent of those subject to </w:t>
      </w:r>
      <w:r w:rsidR="00F878E4">
        <w:rPr>
          <w:lang w:eastAsia="en-AU"/>
        </w:rPr>
        <w:t>income management</w:t>
      </w:r>
      <w:r w:rsidRPr="005911E2">
        <w:rPr>
          <w:lang w:eastAsia="en-AU"/>
        </w:rPr>
        <w:t xml:space="preserve"> who accessed </w:t>
      </w:r>
      <w:r w:rsidR="002B1CF4">
        <w:rPr>
          <w:lang w:eastAsia="en-AU"/>
        </w:rPr>
        <w:t>m</w:t>
      </w:r>
      <w:r w:rsidRPr="005911E2">
        <w:rPr>
          <w:lang w:eastAsia="en-AU"/>
        </w:rPr>
        <w:t xml:space="preserve">oney </w:t>
      </w:r>
      <w:r w:rsidR="002B1CF4">
        <w:rPr>
          <w:lang w:eastAsia="en-AU"/>
        </w:rPr>
        <w:t>m</w:t>
      </w:r>
      <w:r w:rsidRPr="005911E2">
        <w:rPr>
          <w:lang w:eastAsia="en-AU"/>
        </w:rPr>
        <w:t>anagement services.</w:t>
      </w:r>
    </w:p>
    <w:p w:rsidR="00263D64" w:rsidRPr="005911E2" w:rsidRDefault="00263D64" w:rsidP="00263D64">
      <w:pPr>
        <w:rPr>
          <w:lang w:eastAsia="en-AU"/>
        </w:rPr>
      </w:pPr>
      <w:r w:rsidRPr="005911E2">
        <w:rPr>
          <w:lang w:eastAsia="en-AU"/>
        </w:rPr>
        <w:t xml:space="preserve">While the numbers completing approved </w:t>
      </w:r>
      <w:r w:rsidR="00892C83">
        <w:rPr>
          <w:lang w:eastAsia="en-AU"/>
        </w:rPr>
        <w:t>m</w:t>
      </w:r>
      <w:r w:rsidRPr="005911E2">
        <w:rPr>
          <w:lang w:eastAsia="en-AU"/>
        </w:rPr>
        <w:t xml:space="preserve">oney </w:t>
      </w:r>
      <w:r w:rsidR="002B1CF4">
        <w:rPr>
          <w:lang w:eastAsia="en-AU"/>
        </w:rPr>
        <w:t>m</w:t>
      </w:r>
      <w:r w:rsidRPr="005911E2">
        <w:rPr>
          <w:lang w:eastAsia="en-AU"/>
        </w:rPr>
        <w:t xml:space="preserve">anagement courses is low, it has increased from just 134 over the period January to June 2011. Very few (15) Matched Savings Payments have been made. </w:t>
      </w:r>
    </w:p>
    <w:p w:rsidR="00263D64" w:rsidRPr="005911E2" w:rsidRDefault="00263D64" w:rsidP="00263D64">
      <w:pPr>
        <w:rPr>
          <w:lang w:eastAsia="en-AU" w:bidi="ar-SA"/>
        </w:rPr>
      </w:pPr>
      <w:r w:rsidRPr="005911E2">
        <w:rPr>
          <w:lang w:eastAsia="en-AU" w:bidi="ar-SA"/>
        </w:rPr>
        <w:t xml:space="preserve">Virtually all of the clients of the </w:t>
      </w:r>
      <w:r w:rsidR="002B1CF4">
        <w:rPr>
          <w:lang w:eastAsia="en-AU" w:bidi="ar-SA"/>
        </w:rPr>
        <w:t>m</w:t>
      </w:r>
      <w:r w:rsidRPr="005911E2">
        <w:rPr>
          <w:lang w:eastAsia="en-AU" w:bidi="ar-SA"/>
        </w:rPr>
        <w:t xml:space="preserve">oney </w:t>
      </w:r>
      <w:r w:rsidR="002B1CF4">
        <w:rPr>
          <w:lang w:eastAsia="en-AU" w:bidi="ar-SA"/>
        </w:rPr>
        <w:t>m</w:t>
      </w:r>
      <w:r w:rsidRPr="005911E2">
        <w:rPr>
          <w:lang w:eastAsia="en-AU" w:bidi="ar-SA"/>
        </w:rPr>
        <w:t xml:space="preserve">anagement </w:t>
      </w:r>
      <w:r w:rsidR="002B1CF4">
        <w:rPr>
          <w:lang w:eastAsia="en-AU" w:bidi="ar-SA"/>
        </w:rPr>
        <w:t>and</w:t>
      </w:r>
      <w:r w:rsidRPr="005911E2">
        <w:rPr>
          <w:lang w:eastAsia="en-AU" w:bidi="ar-SA"/>
        </w:rPr>
        <w:t xml:space="preserve"> financial counselling services were Indigenous (98 per cent)</w:t>
      </w:r>
      <w:r w:rsidR="007D0AB3">
        <w:rPr>
          <w:lang w:eastAsia="en-AU" w:bidi="ar-SA"/>
        </w:rPr>
        <w:t>. W</w:t>
      </w:r>
      <w:r w:rsidRPr="005911E2">
        <w:rPr>
          <w:lang w:eastAsia="en-AU" w:bidi="ar-SA"/>
        </w:rPr>
        <w:t xml:space="preserve">hile </w:t>
      </w:r>
      <w:r w:rsidR="007D0AB3">
        <w:rPr>
          <w:lang w:eastAsia="en-AU" w:bidi="ar-SA"/>
        </w:rPr>
        <w:t>Indigenous people were also a</w:t>
      </w:r>
      <w:r w:rsidR="007D0AB3" w:rsidRPr="005911E2">
        <w:rPr>
          <w:lang w:eastAsia="en-AU" w:bidi="ar-SA"/>
        </w:rPr>
        <w:t xml:space="preserve"> </w:t>
      </w:r>
      <w:r w:rsidRPr="005911E2">
        <w:rPr>
          <w:lang w:eastAsia="en-AU" w:bidi="ar-SA"/>
        </w:rPr>
        <w:t xml:space="preserve">majority of those doing approved </w:t>
      </w:r>
      <w:r w:rsidR="002B1CF4">
        <w:rPr>
          <w:lang w:eastAsia="en-AU" w:bidi="ar-SA"/>
        </w:rPr>
        <w:t>m</w:t>
      </w:r>
      <w:r w:rsidRPr="005911E2">
        <w:rPr>
          <w:lang w:eastAsia="en-AU" w:bidi="ar-SA"/>
        </w:rPr>
        <w:t xml:space="preserve">oney </w:t>
      </w:r>
      <w:r w:rsidR="002B1CF4">
        <w:rPr>
          <w:lang w:eastAsia="en-AU" w:bidi="ar-SA"/>
        </w:rPr>
        <w:t>m</w:t>
      </w:r>
      <w:r w:rsidRPr="005911E2">
        <w:rPr>
          <w:lang w:eastAsia="en-AU" w:bidi="ar-SA"/>
        </w:rPr>
        <w:t>anagement courses were Indigenous</w:t>
      </w:r>
      <w:r w:rsidR="007D0AB3">
        <w:rPr>
          <w:lang w:eastAsia="en-AU" w:bidi="ar-SA"/>
        </w:rPr>
        <w:t xml:space="preserve"> the proportion was lower,</w:t>
      </w:r>
      <w:r w:rsidRPr="005911E2">
        <w:rPr>
          <w:lang w:eastAsia="en-AU" w:bidi="ar-SA"/>
        </w:rPr>
        <w:t xml:space="preserve"> 79 per cent. </w:t>
      </w:r>
    </w:p>
    <w:p w:rsidR="00263D64" w:rsidRPr="005911E2" w:rsidRDefault="00263D64" w:rsidP="00263D64">
      <w:pPr>
        <w:rPr>
          <w:lang w:eastAsia="en-AU" w:bidi="ar-SA"/>
        </w:rPr>
      </w:pPr>
      <w:r w:rsidRPr="005911E2">
        <w:rPr>
          <w:lang w:eastAsia="en-AU" w:bidi="ar-SA"/>
        </w:rPr>
        <w:t xml:space="preserve">While there have been few people completing approved </w:t>
      </w:r>
      <w:r w:rsidR="002B1CF4">
        <w:rPr>
          <w:lang w:eastAsia="en-AU" w:bidi="ar-SA"/>
        </w:rPr>
        <w:t>m</w:t>
      </w:r>
      <w:r w:rsidRPr="005911E2">
        <w:rPr>
          <w:lang w:eastAsia="en-AU" w:bidi="ar-SA"/>
        </w:rPr>
        <w:t xml:space="preserve">oney </w:t>
      </w:r>
      <w:r w:rsidR="002B1CF4">
        <w:rPr>
          <w:lang w:eastAsia="en-AU" w:bidi="ar-SA"/>
        </w:rPr>
        <w:t>m</w:t>
      </w:r>
      <w:r w:rsidRPr="005911E2">
        <w:rPr>
          <w:lang w:eastAsia="en-AU" w:bidi="ar-SA"/>
        </w:rPr>
        <w:t xml:space="preserve">anagement courses or receiving payments for having demonstrated a pattern of savings, the </w:t>
      </w:r>
      <w:r w:rsidR="002B1CF4">
        <w:rPr>
          <w:lang w:eastAsia="en-AU" w:bidi="ar-SA"/>
        </w:rPr>
        <w:t>m</w:t>
      </w:r>
      <w:r w:rsidRPr="005911E2">
        <w:rPr>
          <w:lang w:eastAsia="en-AU" w:bidi="ar-SA"/>
        </w:rPr>
        <w:t xml:space="preserve">oney </w:t>
      </w:r>
      <w:r w:rsidR="002B1CF4">
        <w:rPr>
          <w:lang w:eastAsia="en-AU" w:bidi="ar-SA"/>
        </w:rPr>
        <w:t>m</w:t>
      </w:r>
      <w:r w:rsidRPr="005911E2">
        <w:rPr>
          <w:lang w:eastAsia="en-AU" w:bidi="ar-SA"/>
        </w:rPr>
        <w:t xml:space="preserve">anagement </w:t>
      </w:r>
      <w:r w:rsidR="002B1CF4">
        <w:rPr>
          <w:lang w:eastAsia="en-AU" w:bidi="ar-SA"/>
        </w:rPr>
        <w:t>s</w:t>
      </w:r>
      <w:r w:rsidRPr="005911E2">
        <w:rPr>
          <w:lang w:eastAsia="en-AU" w:bidi="ar-SA"/>
        </w:rPr>
        <w:t xml:space="preserve">ervices are providing assistance to a substantial proportion of those subject to </w:t>
      </w:r>
      <w:r w:rsidR="00F878E4">
        <w:rPr>
          <w:lang w:eastAsia="en-AU" w:bidi="ar-SA"/>
        </w:rPr>
        <w:t>income management</w:t>
      </w:r>
      <w:r w:rsidRPr="005911E2">
        <w:rPr>
          <w:lang w:eastAsia="en-AU" w:bidi="ar-SA"/>
        </w:rPr>
        <w:t xml:space="preserve">. The type of assistance provided is varied. There was clearly a significant unmet need for this type of service in the </w:t>
      </w:r>
      <w:r w:rsidR="006435C8">
        <w:rPr>
          <w:lang w:eastAsia="en-AU" w:bidi="ar-SA"/>
        </w:rPr>
        <w:t>Northern Territory.</w:t>
      </w:r>
      <w:r w:rsidRPr="005911E2">
        <w:rPr>
          <w:lang w:eastAsia="en-AU" w:bidi="ar-SA"/>
        </w:rPr>
        <w:t xml:space="preserve"> Evaluating the effectiveness of the broader financial counselling and financial education provided by these services is beyond the scope of this evaluation.</w:t>
      </w:r>
    </w:p>
    <w:p w:rsidR="00263D64" w:rsidRPr="005911E2" w:rsidRDefault="00263D64" w:rsidP="00263D64">
      <w:pPr>
        <w:rPr>
          <w:lang w:eastAsia="en-AU" w:bidi="ar-SA"/>
        </w:rPr>
      </w:pPr>
      <w:r w:rsidRPr="005911E2">
        <w:rPr>
          <w:lang w:eastAsia="en-AU" w:bidi="ar-SA"/>
        </w:rPr>
        <w:t xml:space="preserve">However, the majority of Centrelink staff interviewed </w:t>
      </w:r>
      <w:r w:rsidR="00772EDE">
        <w:rPr>
          <w:lang w:eastAsia="en-AU" w:bidi="ar-SA"/>
        </w:rPr>
        <w:t>we</w:t>
      </w:r>
      <w:r w:rsidR="002B1CF4">
        <w:rPr>
          <w:lang w:eastAsia="en-AU" w:bidi="ar-SA"/>
        </w:rPr>
        <w:t>re</w:t>
      </w:r>
      <w:r w:rsidR="002B1CF4" w:rsidRPr="005911E2">
        <w:rPr>
          <w:lang w:eastAsia="en-AU" w:bidi="ar-SA"/>
        </w:rPr>
        <w:t xml:space="preserve"> </w:t>
      </w:r>
      <w:r w:rsidRPr="005911E2">
        <w:rPr>
          <w:lang w:eastAsia="en-AU" w:bidi="ar-SA"/>
        </w:rPr>
        <w:t xml:space="preserve">of the view that referring clients to </w:t>
      </w:r>
      <w:r w:rsidR="002B1CF4">
        <w:rPr>
          <w:lang w:eastAsia="en-AU" w:bidi="ar-SA"/>
        </w:rPr>
        <w:t>m</w:t>
      </w:r>
      <w:r w:rsidRPr="005911E2">
        <w:rPr>
          <w:lang w:eastAsia="en-AU" w:bidi="ar-SA"/>
        </w:rPr>
        <w:t xml:space="preserve">oney </w:t>
      </w:r>
      <w:r w:rsidR="002B1CF4">
        <w:rPr>
          <w:lang w:eastAsia="en-AU" w:bidi="ar-SA"/>
        </w:rPr>
        <w:t>m</w:t>
      </w:r>
      <w:r w:rsidRPr="005911E2">
        <w:rPr>
          <w:lang w:eastAsia="en-AU" w:bidi="ar-SA"/>
        </w:rPr>
        <w:t xml:space="preserve">anagement </w:t>
      </w:r>
      <w:r w:rsidR="002B1CF4">
        <w:rPr>
          <w:lang w:eastAsia="en-AU" w:bidi="ar-SA"/>
        </w:rPr>
        <w:t xml:space="preserve">and </w:t>
      </w:r>
      <w:r w:rsidRPr="005911E2">
        <w:rPr>
          <w:lang w:eastAsia="en-AU" w:bidi="ar-SA"/>
        </w:rPr>
        <w:t>financial counselling services was of little or no</w:t>
      </w:r>
      <w:r w:rsidR="002B1CF4">
        <w:rPr>
          <w:lang w:eastAsia="en-AU" w:bidi="ar-SA"/>
        </w:rPr>
        <w:t xml:space="preserve"> use</w:t>
      </w:r>
      <w:r w:rsidRPr="005911E2">
        <w:rPr>
          <w:lang w:eastAsia="en-AU" w:bidi="ar-SA"/>
        </w:rPr>
        <w:t xml:space="preserve"> at all. The key barriers to people accessing these services was a lack of understanding of the purpose of financial counselling</w:t>
      </w:r>
      <w:r w:rsidR="00AB5368">
        <w:rPr>
          <w:lang w:eastAsia="en-AU" w:bidi="ar-SA"/>
        </w:rPr>
        <w:t>;</w:t>
      </w:r>
      <w:r w:rsidRPr="005911E2">
        <w:rPr>
          <w:lang w:eastAsia="en-AU" w:bidi="ar-SA"/>
        </w:rPr>
        <w:t xml:space="preserve"> services not being available or families not being able to get to the services</w:t>
      </w:r>
      <w:r w:rsidR="00AB5368">
        <w:rPr>
          <w:lang w:eastAsia="en-AU" w:bidi="ar-SA"/>
        </w:rPr>
        <w:t>;</w:t>
      </w:r>
      <w:r w:rsidRPr="005911E2">
        <w:rPr>
          <w:lang w:eastAsia="en-AU" w:bidi="ar-SA"/>
        </w:rPr>
        <w:t xml:space="preserve"> and services not being appropriate for reasons such as language barriers</w:t>
      </w:r>
      <w:r w:rsidR="00AB5368">
        <w:rPr>
          <w:lang w:eastAsia="en-AU" w:bidi="ar-SA"/>
        </w:rPr>
        <w:t>,</w:t>
      </w:r>
      <w:r w:rsidRPr="005911E2">
        <w:rPr>
          <w:lang w:eastAsia="en-AU" w:bidi="ar-SA"/>
        </w:rPr>
        <w:t xml:space="preserve"> or the services being pitched at the wrong literacy and numeracy levels of clients. </w:t>
      </w:r>
    </w:p>
    <w:p w:rsidR="00263D64" w:rsidRPr="005911E2" w:rsidRDefault="00263D64" w:rsidP="00263D64">
      <w:pPr>
        <w:rPr>
          <w:lang w:eastAsia="en-AU" w:bidi="ar-SA"/>
        </w:rPr>
      </w:pPr>
      <w:r w:rsidRPr="005911E2">
        <w:rPr>
          <w:lang w:eastAsia="en-AU" w:bidi="ar-SA"/>
        </w:rPr>
        <w:t>In general</w:t>
      </w:r>
      <w:r w:rsidR="00AB5368">
        <w:rPr>
          <w:lang w:eastAsia="en-AU" w:bidi="ar-SA"/>
        </w:rPr>
        <w:t>,</w:t>
      </w:r>
      <w:r w:rsidRPr="005911E2">
        <w:rPr>
          <w:lang w:eastAsia="en-AU" w:bidi="ar-SA"/>
        </w:rPr>
        <w:t xml:space="preserve"> people subject to income management reported a low level of knowledge of the Matched Savings </w:t>
      </w:r>
      <w:r w:rsidR="009619BA">
        <w:rPr>
          <w:lang w:eastAsia="en-AU" w:bidi="ar-SA"/>
        </w:rPr>
        <w:t>Payment</w:t>
      </w:r>
      <w:r w:rsidRPr="005911E2">
        <w:rPr>
          <w:lang w:eastAsia="en-AU" w:bidi="ar-SA"/>
        </w:rPr>
        <w:t>.</w:t>
      </w:r>
    </w:p>
    <w:p w:rsidR="00263D64" w:rsidRPr="005911E2" w:rsidRDefault="00263D64" w:rsidP="00263D64">
      <w:pPr>
        <w:rPr>
          <w:lang w:eastAsia="en-AU" w:bidi="ar-SA"/>
        </w:rPr>
      </w:pPr>
      <w:r w:rsidRPr="005911E2">
        <w:rPr>
          <w:lang w:eastAsia="en-AU" w:bidi="ar-SA"/>
        </w:rPr>
        <w:t xml:space="preserve">Money management and financial counselling service staff also indicated that the courses they were asked to deliver were generally not relevant to most of their clients, and that the Matched Savings </w:t>
      </w:r>
      <w:r w:rsidR="009619BA">
        <w:rPr>
          <w:lang w:eastAsia="en-AU" w:bidi="ar-SA"/>
        </w:rPr>
        <w:t>P</w:t>
      </w:r>
      <w:r w:rsidRPr="005911E2">
        <w:rPr>
          <w:lang w:eastAsia="en-AU" w:bidi="ar-SA"/>
        </w:rPr>
        <w:t>ayment was problematic.</w:t>
      </w:r>
    </w:p>
    <w:p w:rsidR="00263D64" w:rsidRPr="005911E2" w:rsidRDefault="00263D64" w:rsidP="00263D64">
      <w:pPr>
        <w:rPr>
          <w:lang w:eastAsia="en-AU" w:bidi="ar-SA"/>
        </w:rPr>
      </w:pPr>
      <w:r w:rsidRPr="005911E2">
        <w:rPr>
          <w:lang w:eastAsia="en-AU" w:bidi="ar-SA"/>
        </w:rPr>
        <w:t xml:space="preserve">The lack of success of the Matched Savings </w:t>
      </w:r>
      <w:r w:rsidR="009619BA">
        <w:rPr>
          <w:lang w:eastAsia="en-AU" w:bidi="ar-SA"/>
        </w:rPr>
        <w:t>Payment</w:t>
      </w:r>
      <w:r w:rsidRPr="005911E2">
        <w:rPr>
          <w:lang w:eastAsia="en-AU" w:bidi="ar-SA"/>
        </w:rPr>
        <w:t xml:space="preserve"> </w:t>
      </w:r>
      <w:r w:rsidR="007D0AB3">
        <w:rPr>
          <w:lang w:eastAsia="en-AU" w:bidi="ar-SA"/>
        </w:rPr>
        <w:t>would appear to be the result of a number of factors</w:t>
      </w:r>
      <w:r w:rsidRPr="005911E2">
        <w:rPr>
          <w:lang w:eastAsia="en-AU" w:bidi="ar-SA"/>
        </w:rPr>
        <w:t>:</w:t>
      </w:r>
    </w:p>
    <w:p w:rsidR="00263D64" w:rsidRPr="005911E2" w:rsidRDefault="00263D64" w:rsidP="00051CDC">
      <w:pPr>
        <w:pStyle w:val="ListBullet"/>
        <w:rPr>
          <w:lang w:bidi="ar-SA"/>
        </w:rPr>
      </w:pPr>
      <w:r w:rsidRPr="005911E2">
        <w:rPr>
          <w:lang w:bidi="ar-SA"/>
        </w:rPr>
        <w:t xml:space="preserve">low </w:t>
      </w:r>
      <w:r w:rsidRPr="005911E2">
        <w:t>numbers</w:t>
      </w:r>
      <w:r w:rsidRPr="005911E2">
        <w:rPr>
          <w:lang w:bidi="ar-SA"/>
        </w:rPr>
        <w:t xml:space="preserve"> completing approved </w:t>
      </w:r>
      <w:r w:rsidR="009619BA">
        <w:rPr>
          <w:lang w:bidi="ar-SA"/>
        </w:rPr>
        <w:t>m</w:t>
      </w:r>
      <w:r w:rsidRPr="005911E2">
        <w:rPr>
          <w:lang w:bidi="ar-SA"/>
        </w:rPr>
        <w:t xml:space="preserve">oney </w:t>
      </w:r>
      <w:r w:rsidR="009619BA">
        <w:rPr>
          <w:lang w:bidi="ar-SA"/>
        </w:rPr>
        <w:t>m</w:t>
      </w:r>
      <w:r w:rsidRPr="005911E2">
        <w:rPr>
          <w:lang w:bidi="ar-SA"/>
        </w:rPr>
        <w:t xml:space="preserve">anagement courses due to difficulties with referral process; </w:t>
      </w:r>
      <w:r w:rsidR="007D0AB3">
        <w:rPr>
          <w:lang w:bidi="ar-SA"/>
        </w:rPr>
        <w:t xml:space="preserve">the </w:t>
      </w:r>
      <w:r w:rsidRPr="005911E2">
        <w:rPr>
          <w:lang w:bidi="ar-SA"/>
        </w:rPr>
        <w:t xml:space="preserve">level of course material (too high level for many in remote </w:t>
      </w:r>
      <w:r w:rsidR="009619BA">
        <w:rPr>
          <w:lang w:bidi="ar-SA"/>
        </w:rPr>
        <w:t xml:space="preserve">areas </w:t>
      </w:r>
      <w:r w:rsidRPr="005911E2">
        <w:rPr>
          <w:lang w:bidi="ar-SA"/>
        </w:rPr>
        <w:t xml:space="preserve">and too low level for some </w:t>
      </w:r>
      <w:r w:rsidR="009619BA">
        <w:rPr>
          <w:lang w:bidi="ar-SA"/>
        </w:rPr>
        <w:t>i</w:t>
      </w:r>
      <w:r w:rsidRPr="005911E2">
        <w:rPr>
          <w:lang w:bidi="ar-SA"/>
        </w:rPr>
        <w:t>n cities)</w:t>
      </w:r>
      <w:r w:rsidR="009619BA">
        <w:rPr>
          <w:lang w:bidi="ar-SA"/>
        </w:rPr>
        <w:t>;</w:t>
      </w:r>
      <w:r w:rsidRPr="005911E2">
        <w:rPr>
          <w:lang w:bidi="ar-SA"/>
        </w:rPr>
        <w:t xml:space="preserve"> and </w:t>
      </w:r>
      <w:r w:rsidR="007D0AB3">
        <w:rPr>
          <w:lang w:bidi="ar-SA"/>
        </w:rPr>
        <w:t>as a result of the</w:t>
      </w:r>
      <w:r w:rsidR="007D0AB3" w:rsidRPr="005911E2">
        <w:rPr>
          <w:lang w:bidi="ar-SA"/>
        </w:rPr>
        <w:t xml:space="preserve"> </w:t>
      </w:r>
      <w:r w:rsidRPr="005911E2">
        <w:rPr>
          <w:lang w:bidi="ar-SA"/>
        </w:rPr>
        <w:t xml:space="preserve">course material being pitched to Indigenous </w:t>
      </w:r>
      <w:r w:rsidR="009619BA">
        <w:rPr>
          <w:lang w:bidi="ar-SA"/>
        </w:rPr>
        <w:t xml:space="preserve">people </w:t>
      </w:r>
      <w:r w:rsidRPr="005911E2">
        <w:rPr>
          <w:lang w:bidi="ar-SA"/>
        </w:rPr>
        <w:t xml:space="preserve">and not seen as accessible for non-Indigenous, including </w:t>
      </w:r>
      <w:r w:rsidR="009619BA">
        <w:rPr>
          <w:lang w:bidi="ar-SA"/>
        </w:rPr>
        <w:t xml:space="preserve">non-English speaking </w:t>
      </w:r>
      <w:r w:rsidRPr="005911E2">
        <w:rPr>
          <w:lang w:bidi="ar-SA"/>
        </w:rPr>
        <w:t>migrants</w:t>
      </w:r>
    </w:p>
    <w:p w:rsidR="00263D64" w:rsidRPr="005911E2" w:rsidRDefault="00263D64" w:rsidP="00051CDC">
      <w:pPr>
        <w:pStyle w:val="ListBullet"/>
        <w:rPr>
          <w:lang w:bidi="ar-SA"/>
        </w:rPr>
      </w:pPr>
      <w:r w:rsidRPr="005911E2">
        <w:rPr>
          <w:lang w:bidi="ar-SA"/>
        </w:rPr>
        <w:t xml:space="preserve">the difficulty in saving </w:t>
      </w:r>
      <w:r w:rsidR="009619BA">
        <w:rPr>
          <w:lang w:bidi="ar-SA"/>
        </w:rPr>
        <w:t xml:space="preserve">whilst living </w:t>
      </w:r>
      <w:r w:rsidRPr="005911E2">
        <w:rPr>
          <w:lang w:bidi="ar-SA"/>
        </w:rPr>
        <w:t xml:space="preserve">on </w:t>
      </w:r>
      <w:r w:rsidR="009619BA">
        <w:rPr>
          <w:lang w:bidi="ar-SA"/>
        </w:rPr>
        <w:t xml:space="preserve">a </w:t>
      </w:r>
      <w:r w:rsidRPr="005911E2">
        <w:rPr>
          <w:lang w:bidi="ar-SA"/>
        </w:rPr>
        <w:t>low income and having to save out of discretionary funds (non-income managed money)</w:t>
      </w:r>
    </w:p>
    <w:p w:rsidR="00263D64" w:rsidRPr="005911E2" w:rsidRDefault="00263D64" w:rsidP="00051CDC">
      <w:pPr>
        <w:pStyle w:val="ListBullet"/>
        <w:rPr>
          <w:lang w:bidi="ar-SA"/>
        </w:rPr>
      </w:pPr>
      <w:r w:rsidRPr="005911E2">
        <w:rPr>
          <w:lang w:bidi="ar-SA"/>
        </w:rPr>
        <w:t xml:space="preserve">the need to have another bank account in which to </w:t>
      </w:r>
      <w:r w:rsidR="00614538" w:rsidRPr="005911E2">
        <w:rPr>
          <w:lang w:bidi="ar-SA"/>
        </w:rPr>
        <w:t>make</w:t>
      </w:r>
      <w:r w:rsidR="00614538">
        <w:rPr>
          <w:lang w:bidi="ar-SA"/>
        </w:rPr>
        <w:t xml:space="preserve"> </w:t>
      </w:r>
      <w:r w:rsidRPr="005911E2">
        <w:rPr>
          <w:lang w:bidi="ar-SA"/>
        </w:rPr>
        <w:t>savings</w:t>
      </w:r>
    </w:p>
    <w:p w:rsidR="00263D64" w:rsidRPr="005911E2" w:rsidRDefault="00263D64" w:rsidP="00051CDC">
      <w:pPr>
        <w:pStyle w:val="ListBullet"/>
        <w:rPr>
          <w:lang w:bidi="ar-SA"/>
        </w:rPr>
      </w:pPr>
      <w:r w:rsidRPr="005911E2">
        <w:rPr>
          <w:lang w:bidi="ar-SA"/>
        </w:rPr>
        <w:t xml:space="preserve">subjecting Matched Savings Payments to </w:t>
      </w:r>
      <w:r w:rsidR="00F878E4">
        <w:rPr>
          <w:lang w:bidi="ar-SA"/>
        </w:rPr>
        <w:t>income management</w:t>
      </w:r>
      <w:r w:rsidRPr="005911E2">
        <w:rPr>
          <w:lang w:bidi="ar-SA"/>
        </w:rPr>
        <w:t xml:space="preserve"> is seen </w:t>
      </w:r>
      <w:r w:rsidR="00077699">
        <w:rPr>
          <w:lang w:bidi="ar-SA"/>
        </w:rPr>
        <w:t xml:space="preserve">by many </w:t>
      </w:r>
      <w:r w:rsidRPr="005911E2">
        <w:rPr>
          <w:lang w:bidi="ar-SA"/>
        </w:rPr>
        <w:t>as insulting.</w:t>
      </w:r>
    </w:p>
    <w:p w:rsidR="00263D64" w:rsidRPr="005911E2" w:rsidRDefault="00263D64" w:rsidP="00263D64">
      <w:pPr>
        <w:rPr>
          <w:lang w:eastAsia="en-AU" w:bidi="ar-SA"/>
        </w:rPr>
      </w:pPr>
      <w:r w:rsidRPr="005911E2">
        <w:rPr>
          <w:lang w:eastAsia="en-AU" w:bidi="ar-SA"/>
        </w:rPr>
        <w:t>In summary</w:t>
      </w:r>
      <w:r w:rsidR="009619BA">
        <w:rPr>
          <w:lang w:eastAsia="en-AU" w:bidi="ar-SA"/>
        </w:rPr>
        <w:t>,</w:t>
      </w:r>
      <w:r w:rsidRPr="005911E2">
        <w:rPr>
          <w:lang w:eastAsia="en-AU" w:bidi="ar-SA"/>
        </w:rPr>
        <w:t xml:space="preserve"> the picture which emerged from our examination of this area is that despite this being the one active strategy within </w:t>
      </w:r>
      <w:r w:rsidR="00077699">
        <w:rPr>
          <w:lang w:eastAsia="en-AU" w:bidi="ar-SA"/>
        </w:rPr>
        <w:t xml:space="preserve">the scope of the </w:t>
      </w:r>
      <w:r w:rsidR="00F878E4">
        <w:rPr>
          <w:lang w:eastAsia="en-AU" w:bidi="ar-SA"/>
        </w:rPr>
        <w:t>income management</w:t>
      </w:r>
      <w:r w:rsidR="00077699">
        <w:rPr>
          <w:lang w:eastAsia="en-AU" w:bidi="ar-SA"/>
        </w:rPr>
        <w:t xml:space="preserve"> initiative</w:t>
      </w:r>
      <w:r w:rsidRPr="005911E2">
        <w:rPr>
          <w:lang w:eastAsia="en-AU" w:bidi="ar-SA"/>
        </w:rPr>
        <w:t xml:space="preserve"> which is directed at building capacity there is a low level of awareness of the program amongst participants, and considerable concerns amongst both Centrelink staff and many financial counselling and </w:t>
      </w:r>
      <w:r w:rsidR="009619BA">
        <w:rPr>
          <w:lang w:eastAsia="en-AU" w:bidi="ar-SA"/>
        </w:rPr>
        <w:t>m</w:t>
      </w:r>
      <w:r w:rsidRPr="005911E2">
        <w:rPr>
          <w:lang w:eastAsia="en-AU" w:bidi="ar-SA"/>
        </w:rPr>
        <w:t xml:space="preserve">oney </w:t>
      </w:r>
      <w:r w:rsidR="009619BA">
        <w:rPr>
          <w:lang w:eastAsia="en-AU" w:bidi="ar-SA"/>
        </w:rPr>
        <w:t>m</w:t>
      </w:r>
      <w:r w:rsidRPr="005911E2">
        <w:rPr>
          <w:lang w:eastAsia="en-AU" w:bidi="ar-SA"/>
        </w:rPr>
        <w:t>anagement staff about the program that they were supposed to be referring people to and delivering.</w:t>
      </w:r>
    </w:p>
    <w:p w:rsidR="00263D64" w:rsidRPr="005911E2" w:rsidRDefault="00263D64" w:rsidP="00263D64">
      <w:pPr>
        <w:rPr>
          <w:lang w:eastAsia="en-AU" w:bidi="ar-SA"/>
        </w:rPr>
      </w:pPr>
      <w:r w:rsidRPr="005911E2">
        <w:rPr>
          <w:lang w:eastAsia="en-AU" w:bidi="ar-SA"/>
        </w:rPr>
        <w:t xml:space="preserve">This in turn is reflected, despite some recent ramping up, in very low levels of participation in courses, and </w:t>
      </w:r>
      <w:r w:rsidR="007D0AB3">
        <w:rPr>
          <w:lang w:eastAsia="en-AU" w:bidi="ar-SA"/>
        </w:rPr>
        <w:t>just a</w:t>
      </w:r>
      <w:r w:rsidRPr="005911E2">
        <w:rPr>
          <w:lang w:eastAsia="en-AU" w:bidi="ar-SA"/>
        </w:rPr>
        <w:t xml:space="preserve"> handful of people receiving a matching grant.</w:t>
      </w:r>
    </w:p>
    <w:p w:rsidR="00263D64" w:rsidRPr="005911E2" w:rsidRDefault="00263D64" w:rsidP="00263D64">
      <w:pPr>
        <w:rPr>
          <w:lang w:eastAsia="en-AU"/>
        </w:rPr>
      </w:pPr>
      <w:r w:rsidRPr="005911E2">
        <w:rPr>
          <w:lang w:eastAsia="en-AU"/>
        </w:rPr>
        <w:t>It is important to note that this aspect of NIM arises from financial education and savings programs which have been successful</w:t>
      </w:r>
      <w:r w:rsidR="009619BA">
        <w:rPr>
          <w:lang w:eastAsia="en-AU"/>
        </w:rPr>
        <w:t>ly</w:t>
      </w:r>
      <w:r w:rsidRPr="005911E2">
        <w:rPr>
          <w:lang w:eastAsia="en-AU"/>
        </w:rPr>
        <w:t xml:space="preserve"> run both in Australia and internationally (Lister, 2006; Shreiner </w:t>
      </w:r>
      <w:r w:rsidR="009619BA">
        <w:rPr>
          <w:lang w:eastAsia="en-AU"/>
        </w:rPr>
        <w:t>&amp;</w:t>
      </w:r>
      <w:r w:rsidR="009619BA" w:rsidRPr="005911E2">
        <w:rPr>
          <w:lang w:eastAsia="en-AU"/>
        </w:rPr>
        <w:t xml:space="preserve"> </w:t>
      </w:r>
      <w:r w:rsidRPr="005911E2">
        <w:rPr>
          <w:lang w:eastAsia="en-AU"/>
        </w:rPr>
        <w:t xml:space="preserve">Sherraden, 2007). </w:t>
      </w:r>
      <w:r w:rsidR="007D0AB3">
        <w:rPr>
          <w:lang w:eastAsia="en-AU"/>
        </w:rPr>
        <w:t>That is while</w:t>
      </w:r>
      <w:r w:rsidRPr="005911E2">
        <w:rPr>
          <w:lang w:eastAsia="en-AU"/>
        </w:rPr>
        <w:t xml:space="preserve"> a matched savings program </w:t>
      </w:r>
      <w:r w:rsidR="007D0AB3">
        <w:rPr>
          <w:lang w:eastAsia="en-AU"/>
        </w:rPr>
        <w:t>can be an effective program instrument</w:t>
      </w:r>
      <w:r w:rsidRPr="005911E2">
        <w:rPr>
          <w:lang w:eastAsia="en-AU"/>
        </w:rPr>
        <w:t xml:space="preserve">, various aspects of the design of the specific Matched Savings </w:t>
      </w:r>
      <w:r w:rsidR="009619BA">
        <w:rPr>
          <w:lang w:eastAsia="en-AU"/>
        </w:rPr>
        <w:t xml:space="preserve">Payment </w:t>
      </w:r>
      <w:r w:rsidRPr="005911E2">
        <w:rPr>
          <w:lang w:eastAsia="en-AU"/>
        </w:rPr>
        <w:t>operating in the</w:t>
      </w:r>
      <w:r w:rsidR="006435C8">
        <w:rPr>
          <w:lang w:eastAsia="en-AU"/>
        </w:rPr>
        <w:t xml:space="preserve"> Northern Territory </w:t>
      </w:r>
      <w:r w:rsidRPr="005911E2">
        <w:rPr>
          <w:lang w:eastAsia="en-AU"/>
        </w:rPr>
        <w:t xml:space="preserve">have meant that only very small numbers have been successful in receiving a matched savings payment. </w:t>
      </w:r>
    </w:p>
    <w:p w:rsidR="008861DE" w:rsidRPr="005911E2" w:rsidRDefault="008861DE" w:rsidP="00C0582B">
      <w:pPr>
        <w:pStyle w:val="chapterend"/>
      </w:pPr>
    </w:p>
    <w:p w:rsidR="008861DE" w:rsidRPr="005911E2" w:rsidRDefault="008861DE" w:rsidP="008861DE">
      <w:pPr>
        <w:pStyle w:val="BodyText"/>
        <w:ind w:left="0"/>
        <w:rPr>
          <w:lang w:eastAsia="en-US"/>
        </w:rPr>
        <w:sectPr w:rsidR="008861DE" w:rsidRPr="005911E2" w:rsidSect="00F357A2">
          <w:pgSz w:w="11906" w:h="16838" w:code="9"/>
          <w:pgMar w:top="1418" w:right="1797" w:bottom="1418" w:left="1230" w:header="567" w:footer="284" w:gutter="0"/>
          <w:cols w:space="708"/>
          <w:docGrid w:linePitch="360"/>
        </w:sectPr>
      </w:pPr>
    </w:p>
    <w:p w:rsidR="008861DE" w:rsidRPr="005911E2" w:rsidRDefault="008861DE" w:rsidP="00BD6DFD">
      <w:pPr>
        <w:pStyle w:val="Heading1"/>
      </w:pPr>
      <w:bookmarkStart w:id="645" w:name="_Toc321225138"/>
      <w:bookmarkStart w:id="646" w:name="_Ref321686340"/>
      <w:bookmarkStart w:id="647" w:name="_Toc321254481"/>
      <w:bookmarkStart w:id="648" w:name="_Toc328601506"/>
      <w:bookmarkStart w:id="649" w:name="_Toc329870387"/>
      <w:bookmarkStart w:id="650" w:name="_Toc335915773"/>
      <w:r w:rsidRPr="005911E2">
        <w:t>Exemptions</w:t>
      </w:r>
      <w:bookmarkEnd w:id="645"/>
      <w:bookmarkEnd w:id="646"/>
      <w:bookmarkEnd w:id="647"/>
      <w:bookmarkEnd w:id="648"/>
      <w:bookmarkEnd w:id="649"/>
      <w:bookmarkEnd w:id="650"/>
    </w:p>
    <w:p w:rsidR="008861DE" w:rsidRDefault="008861DE" w:rsidP="00AA1750">
      <w:r w:rsidRPr="005911E2">
        <w:t xml:space="preserve">As detailed in Chapter 2, the new arrangements for </w:t>
      </w:r>
      <w:r w:rsidR="00F878E4">
        <w:t>income management</w:t>
      </w:r>
      <w:r w:rsidRPr="005911E2">
        <w:t xml:space="preserve"> include provision for the granting of exemptions </w:t>
      </w:r>
      <w:r w:rsidR="00E74851">
        <w:t xml:space="preserve">from income management </w:t>
      </w:r>
      <w:r w:rsidRPr="005911E2">
        <w:t>for individuals who me</w:t>
      </w:r>
      <w:r w:rsidR="00666D1A">
        <w:t>e</w:t>
      </w:r>
      <w:r w:rsidRPr="005911E2">
        <w:t xml:space="preserve">t a set of criteria largely associated with their demonstrating that they </w:t>
      </w:r>
      <w:r w:rsidR="00666D1A">
        <w:t>a</w:t>
      </w:r>
      <w:r w:rsidRPr="005911E2">
        <w:t>re managing their finances and other activities in a responsible manner.</w:t>
      </w:r>
      <w:r w:rsidR="0074268A" w:rsidRPr="005911E2">
        <w:t xml:space="preserve"> </w:t>
      </w:r>
      <w:r w:rsidRPr="005911E2">
        <w:t xml:space="preserve">This </w:t>
      </w:r>
      <w:r w:rsidR="00666D1A">
        <w:t>i</w:t>
      </w:r>
      <w:r w:rsidRPr="005911E2">
        <w:t>s in contrast to the NTER IM arrangements</w:t>
      </w:r>
      <w:r w:rsidR="00666D1A">
        <w:t>,</w:t>
      </w:r>
      <w:r w:rsidRPr="005911E2">
        <w:t xml:space="preserve"> where exemptions were limited largely to those who were in declared areas but not part of designated communities, </w:t>
      </w:r>
      <w:r w:rsidR="00666D1A">
        <w:t>and</w:t>
      </w:r>
      <w:r w:rsidRPr="005911E2">
        <w:t xml:space="preserve"> a small number of discretionary exemptions.</w:t>
      </w:r>
    </w:p>
    <w:p w:rsidR="008A1431" w:rsidRPr="005911E2" w:rsidRDefault="00AA4880" w:rsidP="00AA1750">
      <w:r>
        <w:t>As previously noted, o</w:t>
      </w:r>
      <w:r w:rsidR="008A1431">
        <w:t>ne aspect of the exemption process, that of the Financial Vulnerability Exemption test, was the subject of a report by the Ombudsman in June 2012</w:t>
      </w:r>
      <w:r w:rsidR="00417B21">
        <w:t xml:space="preserve"> </w:t>
      </w:r>
      <w:r>
        <w:t>(</w:t>
      </w:r>
      <w:r w:rsidR="00417B21">
        <w:t xml:space="preserve">along with decision </w:t>
      </w:r>
      <w:r>
        <w:t xml:space="preserve">making </w:t>
      </w:r>
      <w:r w:rsidR="00417B21">
        <w:t xml:space="preserve">relating to </w:t>
      </w:r>
      <w:r w:rsidR="004D51A0">
        <w:t>income</w:t>
      </w:r>
      <w:r w:rsidR="00417B21">
        <w:t xml:space="preserve"> management for Vulnerable Welfare Payment Recipient</w:t>
      </w:r>
      <w:r>
        <w:t>s)</w:t>
      </w:r>
      <w:r w:rsidR="008A1431">
        <w:t xml:space="preserve"> (</w:t>
      </w:r>
      <w:r w:rsidR="00417B21">
        <w:t xml:space="preserve">Commonwealth </w:t>
      </w:r>
      <w:r w:rsidR="008A1431">
        <w:t>Ombudsman</w:t>
      </w:r>
      <w:r w:rsidR="00417B21">
        <w:t>,</w:t>
      </w:r>
      <w:r w:rsidR="008A1431">
        <w:t xml:space="preserve"> 2012</w:t>
      </w:r>
      <w:r w:rsidR="004D51A0">
        <w:t>a</w:t>
      </w:r>
      <w:r w:rsidR="008A1431">
        <w:t>).</w:t>
      </w:r>
      <w:r w:rsidR="00BB14C5">
        <w:t xml:space="preserve"> </w:t>
      </w:r>
      <w:r w:rsidR="008A1431">
        <w:t xml:space="preserve">This </w:t>
      </w:r>
      <w:r w:rsidR="00417B21">
        <w:t xml:space="preserve">report </w:t>
      </w:r>
      <w:r w:rsidR="008A1431">
        <w:t>include</w:t>
      </w:r>
      <w:r w:rsidR="00417B21">
        <w:t>d</w:t>
      </w:r>
      <w:r w:rsidR="008A1431">
        <w:t xml:space="preserve"> a number of adverse findings</w:t>
      </w:r>
      <w:r>
        <w:t>,</w:t>
      </w:r>
      <w:r w:rsidR="008A1431">
        <w:t xml:space="preserve"> although the Ombudsman noted</w:t>
      </w:r>
      <w:r>
        <w:t>:</w:t>
      </w:r>
      <w:r w:rsidR="008A1431">
        <w:t xml:space="preserve"> </w:t>
      </w:r>
      <w:r w:rsidR="00417B21">
        <w:t>‘</w:t>
      </w:r>
      <w:r w:rsidR="00417B21" w:rsidRPr="00E24340">
        <w:rPr>
          <w:i/>
        </w:rPr>
        <w:t>Since we first outlined our preliminary concerns to the agencies in September 2011, they have implemented a series of changes aimed at improving FV [Financial Vulnerability] and VWPR [</w:t>
      </w:r>
      <w:r w:rsidR="00DF7051" w:rsidRPr="00E24340">
        <w:rPr>
          <w:i/>
        </w:rPr>
        <w:t xml:space="preserve">Vulnerable Welfare Payment Recipient] </w:t>
      </w:r>
      <w:r w:rsidR="00417B21" w:rsidRPr="00E24340">
        <w:rPr>
          <w:i/>
        </w:rPr>
        <w:t>decisions and decision-making processes</w:t>
      </w:r>
      <w:r w:rsidR="00417B21">
        <w:t>’ (</w:t>
      </w:r>
      <w:r w:rsidR="00FA2BC6">
        <w:t>Commonwealth Ombudsman, 2012a</w:t>
      </w:r>
      <w:r w:rsidR="00F8413B">
        <w:t>,</w:t>
      </w:r>
      <w:r w:rsidR="00417B21">
        <w:t xml:space="preserve"> p</w:t>
      </w:r>
      <w:r w:rsidR="00F8413B">
        <w:t xml:space="preserve">. </w:t>
      </w:r>
      <w:r w:rsidR="00417B21">
        <w:t>45).</w:t>
      </w:r>
      <w:r w:rsidR="00BB14C5">
        <w:t xml:space="preserve"> </w:t>
      </w:r>
      <w:r w:rsidR="00417B21">
        <w:t>Any such changes would post-date the analysis provided in this chapter.</w:t>
      </w:r>
      <w:r w:rsidR="00BB14C5">
        <w:t xml:space="preserve"> </w:t>
      </w:r>
    </w:p>
    <w:p w:rsidR="008861DE" w:rsidRPr="005911E2" w:rsidRDefault="008861DE" w:rsidP="00616B0F">
      <w:pPr>
        <w:pStyle w:val="Heading2"/>
      </w:pPr>
      <w:bookmarkStart w:id="651" w:name="_Toc321225139"/>
      <w:bookmarkStart w:id="652" w:name="_Toc321254482"/>
      <w:bookmarkStart w:id="653" w:name="_Toc328601507"/>
      <w:bookmarkStart w:id="654" w:name="_Toc329870388"/>
      <w:bookmarkStart w:id="655" w:name="_Toc335915774"/>
      <w:r w:rsidRPr="005911E2">
        <w:t>Operation of exemptions</w:t>
      </w:r>
      <w:bookmarkEnd w:id="651"/>
      <w:bookmarkEnd w:id="652"/>
      <w:bookmarkEnd w:id="653"/>
      <w:bookmarkEnd w:id="654"/>
      <w:bookmarkEnd w:id="655"/>
    </w:p>
    <w:p w:rsidR="004443EA" w:rsidRPr="005911E2" w:rsidRDefault="004443EA" w:rsidP="004443EA">
      <w:pPr>
        <w:pStyle w:val="BodyText"/>
        <w:rPr>
          <w:lang w:bidi="ar-SA"/>
        </w:rPr>
      </w:pPr>
      <w:r w:rsidRPr="005911E2">
        <w:rPr>
          <w:lang w:bidi="ar-SA"/>
        </w:rPr>
        <w:t>This chapter is concerned both with the provision of exemptions and with appeals. Although these are different mechanisms</w:t>
      </w:r>
      <w:r w:rsidR="00666D1A">
        <w:rPr>
          <w:lang w:bidi="ar-SA"/>
        </w:rPr>
        <w:t>,</w:t>
      </w:r>
      <w:r w:rsidRPr="005911E2">
        <w:rPr>
          <w:lang w:bidi="ar-SA"/>
        </w:rPr>
        <w:t xml:space="preserve"> they both provide an avenue by which people can avoid being income managed.</w:t>
      </w:r>
      <w:r w:rsidR="0068093D">
        <w:rPr>
          <w:lang w:bidi="ar-SA"/>
        </w:rPr>
        <w:t xml:space="preserve"> Where an exemption is granted, as discussed in Section </w:t>
      </w:r>
      <w:r w:rsidR="00C7347D">
        <w:rPr>
          <w:lang w:bidi="ar-SA"/>
        </w:rPr>
        <w:fldChar w:fldCharType="begin"/>
      </w:r>
      <w:r w:rsidR="0068093D">
        <w:rPr>
          <w:lang w:bidi="ar-SA"/>
        </w:rPr>
        <w:instrText xml:space="preserve"> REF _Ref327976237 \r \h </w:instrText>
      </w:r>
      <w:r w:rsidR="00C7347D">
        <w:rPr>
          <w:lang w:bidi="ar-SA"/>
        </w:rPr>
      </w:r>
      <w:r w:rsidR="00C7347D">
        <w:rPr>
          <w:lang w:bidi="ar-SA"/>
        </w:rPr>
        <w:fldChar w:fldCharType="separate"/>
      </w:r>
      <w:r w:rsidR="007D7E45">
        <w:rPr>
          <w:lang w:bidi="ar-SA"/>
        </w:rPr>
        <w:t>2.4.1</w:t>
      </w:r>
      <w:r w:rsidR="00C7347D">
        <w:rPr>
          <w:lang w:bidi="ar-SA"/>
        </w:rPr>
        <w:fldChar w:fldCharType="end"/>
      </w:r>
      <w:r w:rsidR="0068093D">
        <w:rPr>
          <w:lang w:bidi="ar-SA"/>
        </w:rPr>
        <w:t xml:space="preserve"> it is usually for a 12 month period.</w:t>
      </w:r>
    </w:p>
    <w:p w:rsidR="008861DE" w:rsidRPr="005911E2" w:rsidRDefault="008861DE" w:rsidP="00BD6DFD">
      <w:pPr>
        <w:pStyle w:val="Heading3"/>
      </w:pPr>
      <w:r w:rsidRPr="005911E2">
        <w:t>Exemption criteria</w:t>
      </w:r>
    </w:p>
    <w:p w:rsidR="008861DE" w:rsidRPr="005911E2" w:rsidRDefault="008861DE" w:rsidP="00AA1750">
      <w:r w:rsidRPr="005911E2">
        <w:t xml:space="preserve">The grounds for granting an exemption under the Disengaged Youth, </w:t>
      </w:r>
      <w:r w:rsidR="00D3222D">
        <w:t>Long-Term</w:t>
      </w:r>
      <w:r w:rsidRPr="005911E2">
        <w:t xml:space="preserve"> Welfare Payment </w:t>
      </w:r>
      <w:r w:rsidR="00021FA7">
        <w:t>Recipient</w:t>
      </w:r>
      <w:r w:rsidR="00D3222D">
        <w:t>s</w:t>
      </w:r>
      <w:r w:rsidR="00021FA7" w:rsidRPr="005911E2">
        <w:t xml:space="preserve"> </w:t>
      </w:r>
      <w:r w:rsidR="00D412DE" w:rsidRPr="005911E2">
        <w:t xml:space="preserve">measures </w:t>
      </w:r>
      <w:r w:rsidRPr="005911E2">
        <w:t xml:space="preserve">are summarised in </w:t>
      </w:r>
      <w:r w:rsidR="00C7347D">
        <w:fldChar w:fldCharType="begin"/>
      </w:r>
      <w:r w:rsidR="007D0AB3">
        <w:instrText xml:space="preserve"> REF _Ref328924552 \h </w:instrText>
      </w:r>
      <w:r w:rsidR="00C7347D">
        <w:fldChar w:fldCharType="separate"/>
      </w:r>
      <w:r w:rsidR="007D7E45">
        <w:t xml:space="preserve">Figure </w:t>
      </w:r>
      <w:r w:rsidR="007D7E45">
        <w:rPr>
          <w:noProof/>
        </w:rPr>
        <w:t>8</w:t>
      </w:r>
      <w:r w:rsidR="007D7E45">
        <w:noBreakHyphen/>
      </w:r>
      <w:r w:rsidR="007D7E45">
        <w:rPr>
          <w:noProof/>
        </w:rPr>
        <w:t>1</w:t>
      </w:r>
      <w:r w:rsidR="00C7347D">
        <w:fldChar w:fldCharType="end"/>
      </w:r>
      <w:r w:rsidRPr="005911E2">
        <w:t>.</w:t>
      </w:r>
    </w:p>
    <w:p w:rsidR="006C27E5" w:rsidRPr="005911E2" w:rsidRDefault="006C27E5" w:rsidP="006C27E5">
      <w:r w:rsidRPr="005911E2">
        <w:t>Essentially these provisions only permit an exemption for those without children if they are in regular paid employment or studying full-time. For those with children, in addition to these grounds, evidence of good parenting practice provides a pathway.</w:t>
      </w:r>
    </w:p>
    <w:p w:rsidR="00E74851" w:rsidRPr="005911E2" w:rsidRDefault="00E74851" w:rsidP="00416FEC">
      <w:pPr>
        <w:pStyle w:val="Caption"/>
      </w:pPr>
      <w:bookmarkStart w:id="656" w:name="_Ref328924552"/>
      <w:bookmarkStart w:id="657" w:name="_Toc328601663"/>
      <w:bookmarkStart w:id="658" w:name="_Toc335915929"/>
      <w:r>
        <w:t xml:space="preserve">Figure </w:t>
      </w:r>
      <w:r w:rsidR="00C7347D">
        <w:fldChar w:fldCharType="begin"/>
      </w:r>
      <w:r>
        <w:instrText xml:space="preserve"> STYLEREF 1 \s </w:instrText>
      </w:r>
      <w:r w:rsidR="00C7347D">
        <w:fldChar w:fldCharType="separate"/>
      </w:r>
      <w:r w:rsidR="007D7E45">
        <w:rPr>
          <w:noProof/>
        </w:rPr>
        <w:t>8</w:t>
      </w:r>
      <w:r w:rsidR="00C7347D">
        <w:fldChar w:fldCharType="end"/>
      </w:r>
      <w:r>
        <w:noBreakHyphen/>
      </w:r>
      <w:r w:rsidR="00C7347D">
        <w:fldChar w:fldCharType="begin"/>
      </w:r>
      <w:r>
        <w:instrText xml:space="preserve"> SEQ Figure \* ARABIC \s 1 </w:instrText>
      </w:r>
      <w:r w:rsidR="00C7347D">
        <w:fldChar w:fldCharType="separate"/>
      </w:r>
      <w:r w:rsidR="007D7E45">
        <w:rPr>
          <w:noProof/>
        </w:rPr>
        <w:t>1</w:t>
      </w:r>
      <w:r w:rsidR="00C7347D">
        <w:fldChar w:fldCharType="end"/>
      </w:r>
      <w:bookmarkEnd w:id="656"/>
      <w:r w:rsidR="00691035">
        <w:tab/>
      </w:r>
      <w:r>
        <w:t>Grounds for exemption from income management</w:t>
      </w:r>
      <w:bookmarkEnd w:id="657"/>
      <w:bookmarkEnd w:id="658"/>
    </w:p>
    <w:tbl>
      <w:tblPr>
        <w:tblStyle w:val="TableGrid2"/>
        <w:tblW w:w="0" w:type="auto"/>
        <w:tblInd w:w="250" w:type="dxa"/>
        <w:tblLook w:val="04A0" w:firstRow="1" w:lastRow="0" w:firstColumn="1" w:lastColumn="0" w:noHBand="0" w:noVBand="1"/>
        <w:tblCaption w:val="Figure 8-1 Grounds for exemption from income management"/>
        <w:tblDescription w:val="Figure 8-1 Grounds for exemption from income management"/>
      </w:tblPr>
      <w:tblGrid>
        <w:gridCol w:w="8845"/>
      </w:tblGrid>
      <w:tr w:rsidR="008861DE" w:rsidRPr="00847CCC" w:rsidTr="009D15E2">
        <w:trPr>
          <w:tblHeader/>
        </w:trPr>
        <w:tc>
          <w:tcPr>
            <w:tcW w:w="8845" w:type="dxa"/>
          </w:tcPr>
          <w:p w:rsidR="00E74851" w:rsidRPr="00847CCC" w:rsidRDefault="00E74851" w:rsidP="00E74851">
            <w:pPr>
              <w:pStyle w:val="tablefootnotes"/>
              <w:rPr>
                <w:sz w:val="18"/>
                <w:szCs w:val="18"/>
              </w:rPr>
            </w:pPr>
          </w:p>
          <w:p w:rsidR="008861DE" w:rsidRPr="00847CCC" w:rsidRDefault="00901A4F" w:rsidP="008861DE">
            <w:pPr>
              <w:ind w:left="0"/>
              <w:jc w:val="left"/>
              <w:rPr>
                <w:b/>
                <w:sz w:val="18"/>
                <w:szCs w:val="18"/>
              </w:rPr>
            </w:pPr>
            <w:r w:rsidRPr="00847CCC">
              <w:rPr>
                <w:b/>
                <w:sz w:val="18"/>
                <w:szCs w:val="18"/>
              </w:rPr>
              <w:t>People with Children</w:t>
            </w:r>
          </w:p>
          <w:p w:rsidR="008861DE" w:rsidRPr="00847CCC" w:rsidRDefault="002C4832" w:rsidP="008861DE">
            <w:pPr>
              <w:ind w:left="0"/>
              <w:jc w:val="left"/>
              <w:rPr>
                <w:sz w:val="18"/>
                <w:szCs w:val="18"/>
              </w:rPr>
            </w:pPr>
            <w:r w:rsidRPr="00847CCC">
              <w:rPr>
                <w:sz w:val="18"/>
                <w:szCs w:val="18"/>
              </w:rPr>
              <w:t>‘</w:t>
            </w:r>
            <w:r w:rsidR="008861DE" w:rsidRPr="00847CCC">
              <w:rPr>
                <w:sz w:val="18"/>
                <w:szCs w:val="18"/>
              </w:rPr>
              <w:t xml:space="preserve">If you have school-aged children in your care you will need to show that each child is enrolled in and regularly attending school. Children cannot have more than five unexplained absences from school in each of the last two terms. </w:t>
            </w:r>
          </w:p>
          <w:p w:rsidR="008861DE" w:rsidRPr="00847CCC" w:rsidRDefault="008861DE" w:rsidP="008861DE">
            <w:pPr>
              <w:ind w:left="0"/>
              <w:jc w:val="left"/>
              <w:rPr>
                <w:sz w:val="18"/>
                <w:szCs w:val="18"/>
              </w:rPr>
            </w:pPr>
            <w:r w:rsidRPr="00847CCC">
              <w:rPr>
                <w:sz w:val="18"/>
                <w:szCs w:val="18"/>
              </w:rPr>
              <w:t xml:space="preserve">If your children are not enrolled in school, you must show that they are being home-schooled or provide evidence that they are exempt from attending school regularly. </w:t>
            </w:r>
          </w:p>
          <w:p w:rsidR="008861DE" w:rsidRPr="00847CCC" w:rsidRDefault="008861DE" w:rsidP="008861DE">
            <w:pPr>
              <w:ind w:left="0"/>
              <w:jc w:val="left"/>
              <w:rPr>
                <w:sz w:val="18"/>
                <w:szCs w:val="18"/>
              </w:rPr>
            </w:pPr>
            <w:r w:rsidRPr="00847CCC">
              <w:rPr>
                <w:sz w:val="18"/>
                <w:szCs w:val="18"/>
              </w:rPr>
              <w:t>If you have children under school age in your care you have to show that your children are participating in suitable health and social activities. Talk to Centrelink about what evidence you may need to provide as this will be different for everyone.</w:t>
            </w:r>
          </w:p>
          <w:p w:rsidR="008861DE" w:rsidRPr="00847CCC" w:rsidRDefault="008861DE" w:rsidP="008861DE">
            <w:pPr>
              <w:ind w:left="0"/>
              <w:jc w:val="left"/>
              <w:rPr>
                <w:sz w:val="18"/>
                <w:szCs w:val="18"/>
              </w:rPr>
            </w:pPr>
            <w:r w:rsidRPr="00847CCC">
              <w:rPr>
                <w:sz w:val="18"/>
                <w:szCs w:val="18"/>
              </w:rPr>
              <w:t xml:space="preserve">Centrelink will also look at your Centrelink record to see if you have been financially vulnerable in the last 12 months. Financially vulnerable means that you have had trouble managing your money or paying your bills. If you are assessed as being financially vulnerable you cannot get an exemption from </w:t>
            </w:r>
            <w:r w:rsidR="00FF6983" w:rsidRPr="00847CCC">
              <w:rPr>
                <w:sz w:val="18"/>
                <w:szCs w:val="18"/>
              </w:rPr>
              <w:t>i</w:t>
            </w:r>
            <w:r w:rsidRPr="00847CCC">
              <w:rPr>
                <w:sz w:val="18"/>
                <w:szCs w:val="18"/>
              </w:rPr>
              <w:t xml:space="preserve">ncome </w:t>
            </w:r>
            <w:r w:rsidR="00FF6983" w:rsidRPr="00847CCC">
              <w:rPr>
                <w:sz w:val="18"/>
                <w:szCs w:val="18"/>
              </w:rPr>
              <w:t>m</w:t>
            </w:r>
            <w:r w:rsidRPr="00847CCC">
              <w:rPr>
                <w:sz w:val="18"/>
                <w:szCs w:val="18"/>
              </w:rPr>
              <w:t>anagement.</w:t>
            </w:r>
            <w:r w:rsidR="002C4832" w:rsidRPr="00847CCC">
              <w:rPr>
                <w:sz w:val="18"/>
                <w:szCs w:val="18"/>
              </w:rPr>
              <w:t>’</w:t>
            </w:r>
          </w:p>
          <w:p w:rsidR="008861DE" w:rsidRPr="00847CCC" w:rsidRDefault="00901A4F" w:rsidP="008861DE">
            <w:pPr>
              <w:ind w:left="0"/>
              <w:jc w:val="left"/>
              <w:rPr>
                <w:b/>
                <w:sz w:val="18"/>
                <w:szCs w:val="18"/>
              </w:rPr>
            </w:pPr>
            <w:r w:rsidRPr="00847CCC">
              <w:rPr>
                <w:b/>
                <w:sz w:val="18"/>
                <w:szCs w:val="18"/>
              </w:rPr>
              <w:t>People without children</w:t>
            </w:r>
          </w:p>
          <w:p w:rsidR="008861DE" w:rsidRPr="00847CCC" w:rsidRDefault="002C4832" w:rsidP="008861DE">
            <w:pPr>
              <w:ind w:left="0"/>
              <w:jc w:val="left"/>
              <w:rPr>
                <w:sz w:val="18"/>
                <w:szCs w:val="18"/>
              </w:rPr>
            </w:pPr>
            <w:r w:rsidRPr="00847CCC">
              <w:rPr>
                <w:sz w:val="18"/>
                <w:szCs w:val="18"/>
              </w:rPr>
              <w:t>‘</w:t>
            </w:r>
            <w:r w:rsidR="008861DE" w:rsidRPr="00847CCC">
              <w:rPr>
                <w:sz w:val="18"/>
                <w:szCs w:val="18"/>
              </w:rPr>
              <w:t xml:space="preserve">If you do not have children in your care, to get an exemption from </w:t>
            </w:r>
            <w:r w:rsidR="00FF6983" w:rsidRPr="00847CCC">
              <w:rPr>
                <w:sz w:val="18"/>
                <w:szCs w:val="18"/>
              </w:rPr>
              <w:t>i</w:t>
            </w:r>
            <w:r w:rsidR="008861DE" w:rsidRPr="00847CCC">
              <w:rPr>
                <w:sz w:val="18"/>
                <w:szCs w:val="18"/>
              </w:rPr>
              <w:t xml:space="preserve">ncome </w:t>
            </w:r>
            <w:r w:rsidR="00FF6983" w:rsidRPr="00847CCC">
              <w:rPr>
                <w:sz w:val="18"/>
                <w:szCs w:val="18"/>
              </w:rPr>
              <w:t>m</w:t>
            </w:r>
            <w:r w:rsidR="008861DE" w:rsidRPr="00847CCC">
              <w:rPr>
                <w:sz w:val="18"/>
                <w:szCs w:val="18"/>
              </w:rPr>
              <w:t>anagement, you must:</w:t>
            </w:r>
          </w:p>
          <w:p w:rsidR="008861DE" w:rsidRPr="00847CCC" w:rsidRDefault="008861DE" w:rsidP="006A5F93">
            <w:pPr>
              <w:numPr>
                <w:ilvl w:val="0"/>
                <w:numId w:val="6"/>
              </w:numPr>
              <w:jc w:val="left"/>
              <w:rPr>
                <w:sz w:val="18"/>
                <w:szCs w:val="18"/>
              </w:rPr>
            </w:pPr>
            <w:r w:rsidRPr="00847CCC">
              <w:rPr>
                <w:sz w:val="18"/>
                <w:szCs w:val="18"/>
              </w:rPr>
              <w:t>be a full-time student</w:t>
            </w:r>
          </w:p>
          <w:p w:rsidR="008861DE" w:rsidRPr="00847CCC" w:rsidRDefault="008861DE" w:rsidP="006A5F93">
            <w:pPr>
              <w:numPr>
                <w:ilvl w:val="0"/>
                <w:numId w:val="6"/>
              </w:numPr>
              <w:jc w:val="left"/>
              <w:rPr>
                <w:sz w:val="18"/>
                <w:szCs w:val="18"/>
              </w:rPr>
            </w:pPr>
            <w:r w:rsidRPr="00847CCC">
              <w:rPr>
                <w:sz w:val="18"/>
                <w:szCs w:val="18"/>
              </w:rPr>
              <w:t xml:space="preserve">be an apprentice, or </w:t>
            </w:r>
          </w:p>
          <w:p w:rsidR="008861DE" w:rsidRPr="00847CCC" w:rsidRDefault="008861DE" w:rsidP="006A5F93">
            <w:pPr>
              <w:numPr>
                <w:ilvl w:val="0"/>
                <w:numId w:val="6"/>
              </w:numPr>
              <w:jc w:val="left"/>
              <w:rPr>
                <w:sz w:val="18"/>
                <w:szCs w:val="18"/>
              </w:rPr>
            </w:pPr>
            <w:r w:rsidRPr="00847CCC">
              <w:rPr>
                <w:sz w:val="18"/>
                <w:szCs w:val="18"/>
              </w:rPr>
              <w:t>have worked 15 hours or more per week, at or above the minimum wage, for at least 26 of the last 52 weeks.</w:t>
            </w:r>
            <w:r w:rsidR="002C4832" w:rsidRPr="00847CCC">
              <w:rPr>
                <w:sz w:val="18"/>
                <w:szCs w:val="18"/>
              </w:rPr>
              <w:t>’</w:t>
            </w:r>
          </w:p>
          <w:p w:rsidR="008861DE" w:rsidRPr="00847CCC" w:rsidRDefault="008861DE" w:rsidP="007D0AB3">
            <w:pPr>
              <w:ind w:left="0"/>
              <w:jc w:val="left"/>
              <w:rPr>
                <w:sz w:val="18"/>
                <w:szCs w:val="18"/>
              </w:rPr>
            </w:pPr>
            <w:r w:rsidRPr="00847CCC">
              <w:rPr>
                <w:sz w:val="18"/>
                <w:szCs w:val="18"/>
              </w:rPr>
              <w:t xml:space="preserve">Source: Centrelink Fact Sheet Income Management </w:t>
            </w:r>
            <w:r w:rsidR="00E24E33" w:rsidRPr="00847CCC">
              <w:rPr>
                <w:sz w:val="18"/>
                <w:szCs w:val="18"/>
              </w:rPr>
              <w:t>e</w:t>
            </w:r>
            <w:r w:rsidRPr="00847CCC">
              <w:rPr>
                <w:sz w:val="18"/>
                <w:szCs w:val="18"/>
              </w:rPr>
              <w:t>xemptions</w:t>
            </w:r>
            <w:r w:rsidR="00E74851" w:rsidRPr="00847CCC">
              <w:rPr>
                <w:sz w:val="18"/>
                <w:szCs w:val="18"/>
              </w:rPr>
              <w:t xml:space="preserve"> (Centrelink</w:t>
            </w:r>
            <w:r w:rsidR="00F8413B">
              <w:rPr>
                <w:sz w:val="18"/>
                <w:szCs w:val="18"/>
              </w:rPr>
              <w:t>,</w:t>
            </w:r>
            <w:r w:rsidR="00E74851" w:rsidRPr="00847CCC">
              <w:rPr>
                <w:sz w:val="18"/>
                <w:szCs w:val="18"/>
              </w:rPr>
              <w:t xml:space="preserve"> 2012a)</w:t>
            </w:r>
            <w:r w:rsidR="00AC72FE">
              <w:rPr>
                <w:sz w:val="18"/>
                <w:szCs w:val="18"/>
              </w:rPr>
              <w:t>.</w:t>
            </w:r>
            <w:r w:rsidR="00E74851" w:rsidRPr="00847CCC">
              <w:rPr>
                <w:sz w:val="18"/>
                <w:szCs w:val="18"/>
              </w:rPr>
              <w:t xml:space="preserve"> </w:t>
            </w:r>
          </w:p>
        </w:tc>
      </w:tr>
    </w:tbl>
    <w:p w:rsidR="00246ED6" w:rsidRDefault="00246ED6" w:rsidP="00D412DE">
      <w:pPr>
        <w:pStyle w:val="BodyText"/>
      </w:pPr>
    </w:p>
    <w:p w:rsidR="00DF7051" w:rsidRPr="005911E2" w:rsidRDefault="00DF7051" w:rsidP="00DF7051">
      <w:r w:rsidRPr="005911E2">
        <w:t xml:space="preserve">People dissatisfied with the assessment of their claim for exemption, or in the case of the Vulnerable Welfare </w:t>
      </w:r>
      <w:r w:rsidR="00D3222D">
        <w:t>Payment Recipients</w:t>
      </w:r>
      <w:r w:rsidRPr="005911E2">
        <w:t xml:space="preserve"> measure</w:t>
      </w:r>
      <w:r w:rsidR="007D0AB3">
        <w:t>,</w:t>
      </w:r>
      <w:r w:rsidRPr="005911E2">
        <w:t xml:space="preserve"> the decision to place them on </w:t>
      </w:r>
      <w:r>
        <w:t>income management,</w:t>
      </w:r>
      <w:r w:rsidRPr="005911E2">
        <w:rPr>
          <w:rStyle w:val="FootnoteReference"/>
        </w:rPr>
        <w:footnoteReference w:id="72"/>
      </w:r>
      <w:r w:rsidRPr="005911E2">
        <w:t xml:space="preserve"> a series of appeal mechanisms exist</w:t>
      </w:r>
      <w:r>
        <w:t>.</w:t>
      </w:r>
      <w:r w:rsidRPr="005911E2">
        <w:rPr>
          <w:rStyle w:val="FootnoteReference"/>
        </w:rPr>
        <w:footnoteReference w:id="73"/>
      </w:r>
      <w:r w:rsidRPr="005911E2">
        <w:t xml:space="preserve"> These include:</w:t>
      </w:r>
    </w:p>
    <w:p w:rsidR="00DF7051" w:rsidRPr="005911E2" w:rsidRDefault="00DF7051" w:rsidP="00DF7051">
      <w:pPr>
        <w:pStyle w:val="ListBullet"/>
      </w:pPr>
      <w:r w:rsidRPr="005911E2">
        <w:t>a right to a review of the decision by a Centrelink Authorised Review Officer</w:t>
      </w:r>
    </w:p>
    <w:p w:rsidR="00DF7051" w:rsidRPr="005911E2" w:rsidRDefault="00DF7051" w:rsidP="00DF7051">
      <w:pPr>
        <w:pStyle w:val="ListBullet"/>
      </w:pPr>
      <w:r w:rsidRPr="005911E2">
        <w:t xml:space="preserve">a formal right of appeal to the Social Security Appeals Tribunal </w:t>
      </w:r>
    </w:p>
    <w:p w:rsidR="00DF7051" w:rsidRPr="005911E2" w:rsidRDefault="00DF7051" w:rsidP="00DF7051">
      <w:pPr>
        <w:pStyle w:val="ListBullet"/>
      </w:pPr>
      <w:r w:rsidRPr="005911E2">
        <w:t xml:space="preserve">the opportunity to challenge a decision of the Social Security Appeals Tribunal in the </w:t>
      </w:r>
      <w:r>
        <w:t xml:space="preserve">Administrative Appeals Tribunal or </w:t>
      </w:r>
      <w:r w:rsidRPr="005911E2">
        <w:t>Federal Court.</w:t>
      </w:r>
    </w:p>
    <w:p w:rsidR="00DF7051" w:rsidRDefault="00DF7051" w:rsidP="00DF7051">
      <w:r w:rsidRPr="005911E2">
        <w:t xml:space="preserve">In the case of those subject to </w:t>
      </w:r>
      <w:r>
        <w:t>Child Protection Income Management</w:t>
      </w:r>
      <w:r w:rsidRPr="005911E2">
        <w:t>, exemptions do not exist</w:t>
      </w:r>
      <w:r>
        <w:t xml:space="preserve"> per se;</w:t>
      </w:r>
      <w:r w:rsidRPr="005911E2">
        <w:t xml:space="preserve"> however</w:t>
      </w:r>
      <w:r>
        <w:t>,</w:t>
      </w:r>
      <w:r w:rsidRPr="005911E2">
        <w:t xml:space="preserve"> a person can appeal the imposition of </w:t>
      </w:r>
      <w:r>
        <w:t>income management</w:t>
      </w:r>
      <w:r w:rsidRPr="005911E2">
        <w:t xml:space="preserve"> by making application to the child protection authority within the Northern Territory Department of </w:t>
      </w:r>
      <w:r>
        <w:t>Children</w:t>
      </w:r>
      <w:r w:rsidRPr="005911E2">
        <w:t xml:space="preserve"> and Families with regard to the decision by this agency to refer them for </w:t>
      </w:r>
      <w:r>
        <w:t>income management</w:t>
      </w:r>
      <w:r w:rsidRPr="005911E2">
        <w:t>.</w:t>
      </w:r>
    </w:p>
    <w:p w:rsidR="00D412DE" w:rsidRDefault="00FF6983" w:rsidP="00D412DE">
      <w:pPr>
        <w:pStyle w:val="BodyText"/>
      </w:pPr>
      <w:r>
        <w:t>There are no exemptions</w:t>
      </w:r>
      <w:r w:rsidR="00D412DE" w:rsidRPr="005911E2">
        <w:t xml:space="preserve"> </w:t>
      </w:r>
      <w:r>
        <w:t xml:space="preserve">for people on </w:t>
      </w:r>
      <w:r w:rsidR="002B5A5C">
        <w:t>Voluntary Income Management</w:t>
      </w:r>
      <w:r w:rsidR="00D412DE" w:rsidRPr="005911E2">
        <w:t xml:space="preserve"> </w:t>
      </w:r>
      <w:r>
        <w:t xml:space="preserve">as they </w:t>
      </w:r>
      <w:r w:rsidR="00D412DE" w:rsidRPr="005911E2">
        <w:t>have chosen</w:t>
      </w:r>
      <w:r w:rsidR="00D412DE" w:rsidRPr="005911E2">
        <w:rPr>
          <w:rStyle w:val="FootnoteReference"/>
        </w:rPr>
        <w:footnoteReference w:id="74"/>
      </w:r>
      <w:r w:rsidR="00D412DE" w:rsidRPr="005911E2">
        <w:t xml:space="preserve"> to go onto the program.</w:t>
      </w:r>
    </w:p>
    <w:p w:rsidR="00E172FE" w:rsidRPr="005911E2" w:rsidRDefault="00E172FE" w:rsidP="00D412DE">
      <w:pPr>
        <w:pStyle w:val="BodyText"/>
      </w:pPr>
      <w:r>
        <w:t xml:space="preserve">While the financial vulnerability test can be seen as being directly linked to actual </w:t>
      </w:r>
      <w:r w:rsidR="00AA4880">
        <w:t xml:space="preserve">management of income, </w:t>
      </w:r>
      <w:r>
        <w:t>the criteria relating to children and employment reflect the wider objective of ‘encouraging socially responsible behaviour</w:t>
      </w:r>
      <w:r w:rsidR="00604D11">
        <w:t>’</w:t>
      </w:r>
      <w:r>
        <w:t>. In this way access to exemptions requires much more than a person being able to demonstrate their ability to manage their finances in a responsible manner</w:t>
      </w:r>
      <w:r w:rsidR="00AA4880">
        <w:t>.</w:t>
      </w:r>
      <w:r>
        <w:t xml:space="preserve"> </w:t>
      </w:r>
      <w:r w:rsidR="00AA4880">
        <w:t>T</w:t>
      </w:r>
      <w:r>
        <w:t xml:space="preserve">he program can </w:t>
      </w:r>
      <w:r w:rsidR="00604D11">
        <w:t xml:space="preserve">thus </w:t>
      </w:r>
      <w:r>
        <w:t>be seen as effectively creating an imposition on people where they fail to behave in desired ways.</w:t>
      </w:r>
    </w:p>
    <w:p w:rsidR="008861DE" w:rsidRPr="005911E2" w:rsidRDefault="008861DE" w:rsidP="00BD6DFD">
      <w:pPr>
        <w:pStyle w:val="Heading3"/>
      </w:pPr>
      <w:r w:rsidRPr="005911E2">
        <w:t>Assessment process</w:t>
      </w:r>
    </w:p>
    <w:p w:rsidR="008861DE" w:rsidRPr="005911E2" w:rsidRDefault="008861DE" w:rsidP="00AA1750">
      <w:r w:rsidRPr="005911E2">
        <w:t xml:space="preserve">The assessment of exemptions is undertaken by a specialist team operating within the Darwin </w:t>
      </w:r>
      <w:r w:rsidR="00816DDA">
        <w:t>o</w:t>
      </w:r>
      <w:r w:rsidRPr="005911E2">
        <w:t>ffice of Centrelink.</w:t>
      </w:r>
      <w:r w:rsidR="0074268A" w:rsidRPr="005911E2">
        <w:t xml:space="preserve"> </w:t>
      </w:r>
      <w:r w:rsidRPr="005911E2">
        <w:t xml:space="preserve">One objective of this was to ensure consistency of approach in the assessment of claims. </w:t>
      </w:r>
      <w:r w:rsidR="00A15E66" w:rsidRPr="005911E2">
        <w:t xml:space="preserve">Centrelink staff interviewed for the evaluation had mixed views about the benefits or otherwise of a single centrally located team to assess exemptions. On the one hand, </w:t>
      </w:r>
      <w:r w:rsidRPr="005911E2">
        <w:t>the centralisati</w:t>
      </w:r>
      <w:r w:rsidR="00A15E66" w:rsidRPr="005911E2">
        <w:t>on of what was seen as complex</w:t>
      </w:r>
      <w:r w:rsidRPr="005911E2">
        <w:t xml:space="preserve"> decision making relieving local </w:t>
      </w:r>
      <w:r w:rsidR="00A15E66" w:rsidRPr="005911E2">
        <w:t xml:space="preserve">Centrelink staff of the responsibility of these assessments. However, it was </w:t>
      </w:r>
      <w:r w:rsidRPr="005911E2">
        <w:t>acknowledged that</w:t>
      </w:r>
      <w:r w:rsidR="00A15E66" w:rsidRPr="005911E2">
        <w:t xml:space="preserve"> the centralisation </w:t>
      </w:r>
      <w:r w:rsidRPr="005911E2">
        <w:t xml:space="preserve">meant that people applying for exemptions </w:t>
      </w:r>
      <w:r w:rsidR="00A15E66" w:rsidRPr="005911E2">
        <w:t xml:space="preserve">were largely </w:t>
      </w:r>
      <w:r w:rsidRPr="005911E2">
        <w:t xml:space="preserve">reliant </w:t>
      </w:r>
      <w:r w:rsidR="00A15E66" w:rsidRPr="005911E2">
        <w:t>on the use of the telephone, rather than face-to-face contact, to make their application for an exemption</w:t>
      </w:r>
      <w:r w:rsidRPr="005911E2">
        <w:t xml:space="preserve">. </w:t>
      </w:r>
    </w:p>
    <w:p w:rsidR="008861DE" w:rsidRPr="005911E2" w:rsidRDefault="008861DE" w:rsidP="00AA1750">
      <w:r w:rsidRPr="005911E2">
        <w:t>In the qualitative interviews</w:t>
      </w:r>
      <w:r w:rsidR="00A573E6" w:rsidRPr="005911E2">
        <w:t xml:space="preserve">, Centrelink staff </w:t>
      </w:r>
      <w:r w:rsidRPr="005911E2">
        <w:t>also reported that a number of difficulties were encountered in the initial implementation of the exemptions policies.</w:t>
      </w:r>
      <w:r w:rsidR="0074268A" w:rsidRPr="005911E2">
        <w:t xml:space="preserve"> </w:t>
      </w:r>
      <w:r w:rsidRPr="005911E2">
        <w:t xml:space="preserve">In large part these related to difficulties experienced by those subject to IM obtaining </w:t>
      </w:r>
      <w:r w:rsidR="00A573E6" w:rsidRPr="005911E2">
        <w:t xml:space="preserve">the </w:t>
      </w:r>
      <w:r w:rsidRPr="005911E2">
        <w:t>appropriate documentary evidence to substantiate their claims</w:t>
      </w:r>
      <w:r w:rsidR="00A573E6" w:rsidRPr="005911E2">
        <w:t xml:space="preserve"> for an exemption.</w:t>
      </w:r>
      <w:r w:rsidR="0074268A" w:rsidRPr="005911E2">
        <w:t xml:space="preserve"> </w:t>
      </w:r>
      <w:r w:rsidR="00A573E6" w:rsidRPr="005911E2">
        <w:t xml:space="preserve">In particular </w:t>
      </w:r>
      <w:r w:rsidRPr="005911E2">
        <w:t xml:space="preserve">it was initially expected that regular school reports provided to parents would contain sufficient information of children’s attendance at school, </w:t>
      </w:r>
      <w:r w:rsidR="007D0AB3">
        <w:t xml:space="preserve">but </w:t>
      </w:r>
      <w:r w:rsidRPr="005911E2">
        <w:t>this proved not to be the case.</w:t>
      </w:r>
      <w:r w:rsidR="0074268A" w:rsidRPr="005911E2">
        <w:t xml:space="preserve"> </w:t>
      </w:r>
      <w:r w:rsidRPr="005911E2">
        <w:t>As the policy now operates, Centrelink obtains attendance data directly from the</w:t>
      </w:r>
      <w:r w:rsidR="006435C8">
        <w:t xml:space="preserve"> Northern Territory </w:t>
      </w:r>
      <w:r w:rsidRPr="005911E2">
        <w:t>Department of Education and Training</w:t>
      </w:r>
      <w:r w:rsidR="004443EA" w:rsidRPr="005911E2">
        <w:t xml:space="preserve"> (DET) for those students who attend DET schools</w:t>
      </w:r>
      <w:r w:rsidRPr="005911E2">
        <w:t xml:space="preserve">. Where this information is used in the determination of </w:t>
      </w:r>
      <w:r w:rsidR="00A573E6" w:rsidRPr="005911E2">
        <w:t xml:space="preserve">exemption </w:t>
      </w:r>
      <w:r w:rsidRPr="005911E2">
        <w:t>claims</w:t>
      </w:r>
      <w:r w:rsidR="007D0AB3">
        <w:t>,</w:t>
      </w:r>
      <w:r w:rsidRPr="005911E2">
        <w:t xml:space="preserve"> these reports are copied to applica</w:t>
      </w:r>
      <w:r w:rsidR="00A573E6" w:rsidRPr="005911E2">
        <w:t>nts who, in the case of the information</w:t>
      </w:r>
      <w:r w:rsidRPr="005911E2">
        <w:t xml:space="preserve"> being used to deny an application, then have the opportunity to approach the Department to seek corrections to records if this is appropriate. </w:t>
      </w:r>
    </w:p>
    <w:p w:rsidR="008861DE" w:rsidRPr="005911E2" w:rsidRDefault="008861DE" w:rsidP="00AA1750">
      <w:r w:rsidRPr="005911E2">
        <w:t>The type of issue where such corrections might be sought are cases where a child may have been late in arriving at school one day</w:t>
      </w:r>
      <w:r w:rsidR="00692472" w:rsidRPr="005911E2">
        <w:t xml:space="preserve">, </w:t>
      </w:r>
      <w:r w:rsidRPr="005911E2">
        <w:t>and because of this</w:t>
      </w:r>
      <w:r w:rsidR="00692472" w:rsidRPr="005911E2">
        <w:t>,</w:t>
      </w:r>
      <w:r w:rsidRPr="005911E2">
        <w:t xml:space="preserve"> they may have missed ‘roll call’ and have been marked as being absent for the whole day.</w:t>
      </w:r>
    </w:p>
    <w:p w:rsidR="004443EA" w:rsidRPr="005911E2" w:rsidRDefault="004443EA" w:rsidP="00AA1750">
      <w:r w:rsidRPr="005911E2">
        <w:t>In the case of children who are attending non-DET schools parents still need to obtain attendance data directly from the school.</w:t>
      </w:r>
    </w:p>
    <w:p w:rsidR="008861DE" w:rsidRPr="005911E2" w:rsidRDefault="008861DE" w:rsidP="00AA1750">
      <w:r w:rsidRPr="005911E2">
        <w:t>A further issue has arisen with the provision of information on child health activities. Again in consultations it has been indicated that some health clinics have been less than cooperative in providing the documentation a parent may require to make an application for exemption.</w:t>
      </w:r>
      <w:r w:rsidR="0074268A" w:rsidRPr="005911E2">
        <w:t xml:space="preserve"> </w:t>
      </w:r>
      <w:r w:rsidRPr="005911E2">
        <w:t xml:space="preserve">This may have been in part simply an issue of these clinics </w:t>
      </w:r>
      <w:r w:rsidR="007D0AB3">
        <w:t>considering</w:t>
      </w:r>
      <w:r w:rsidR="007D0AB3" w:rsidRPr="005911E2">
        <w:t xml:space="preserve"> </w:t>
      </w:r>
      <w:r w:rsidRPr="005911E2">
        <w:t xml:space="preserve">this </w:t>
      </w:r>
      <w:r w:rsidR="007D0AB3">
        <w:t xml:space="preserve">as an </w:t>
      </w:r>
      <w:r w:rsidRPr="005911E2">
        <w:t xml:space="preserve">additional administrative burden (which they may view as not being a central element of their responsibility as health </w:t>
      </w:r>
      <w:r w:rsidR="00692472" w:rsidRPr="005911E2">
        <w:t xml:space="preserve">care providers) </w:t>
      </w:r>
      <w:r w:rsidR="00816DDA">
        <w:t xml:space="preserve">or considered </w:t>
      </w:r>
      <w:r w:rsidR="00692472" w:rsidRPr="005911E2">
        <w:t>a low priority.</w:t>
      </w:r>
      <w:r w:rsidRPr="005911E2">
        <w:t xml:space="preserve"> However</w:t>
      </w:r>
      <w:r w:rsidR="00816DDA">
        <w:t>,</w:t>
      </w:r>
      <w:r w:rsidRPr="005911E2">
        <w:t xml:space="preserve"> in at least one case </w:t>
      </w:r>
      <w:r w:rsidR="00816DDA">
        <w:t xml:space="preserve">it </w:t>
      </w:r>
      <w:r w:rsidRPr="005911E2">
        <w:t xml:space="preserve">would appear that the health clinic was concerned not to be seen as part of the machinery involved in the implementation of </w:t>
      </w:r>
      <w:r w:rsidR="00F878E4">
        <w:t>income management</w:t>
      </w:r>
      <w:r w:rsidRPr="005911E2">
        <w:t>.</w:t>
      </w:r>
    </w:p>
    <w:p w:rsidR="008861DE" w:rsidRPr="005911E2" w:rsidRDefault="008861DE" w:rsidP="00AA1750">
      <w:r w:rsidRPr="005911E2">
        <w:t>As indicated in the exemption criteria, after the person makes an application for exemption</w:t>
      </w:r>
      <w:r w:rsidR="00692472" w:rsidRPr="005911E2">
        <w:t>,</w:t>
      </w:r>
      <w:r w:rsidRPr="005911E2">
        <w:t xml:space="preserve"> the process of assessing this essentially involves two steps.</w:t>
      </w:r>
      <w:r w:rsidR="0074268A" w:rsidRPr="005911E2">
        <w:t xml:space="preserve"> </w:t>
      </w:r>
      <w:r w:rsidRPr="005911E2">
        <w:t>The first is whether or not a person meets the specific criteria under which they are seeking exemption – that is</w:t>
      </w:r>
      <w:r w:rsidR="007D0AB3">
        <w:t>,</w:t>
      </w:r>
      <w:r w:rsidRPr="005911E2">
        <w:t xml:space="preserve"> demonstrated responsible parenting or participation in education or employment.</w:t>
      </w:r>
      <w:r w:rsidR="0074268A" w:rsidRPr="005911E2">
        <w:t xml:space="preserve"> </w:t>
      </w:r>
      <w:r w:rsidRPr="005911E2">
        <w:t>The second</w:t>
      </w:r>
      <w:r w:rsidR="004443EA" w:rsidRPr="005911E2">
        <w:t>, which is applied to those with dependent children</w:t>
      </w:r>
      <w:r w:rsidR="00816DDA">
        <w:t>,</w:t>
      </w:r>
      <w:r w:rsidR="004443EA" w:rsidRPr="005911E2">
        <w:rPr>
          <w:rStyle w:val="FootnoteReference"/>
        </w:rPr>
        <w:footnoteReference w:id="75"/>
      </w:r>
      <w:r w:rsidRPr="005911E2">
        <w:t xml:space="preserve"> is an assessment of their financial stability.</w:t>
      </w:r>
    </w:p>
    <w:p w:rsidR="008861DE" w:rsidRPr="005911E2" w:rsidRDefault="008861DE" w:rsidP="00AA1750">
      <w:r w:rsidRPr="005911E2">
        <w:t>This test involves the person being able to show that they have had no indications of financial vulnerability during the 12 months prior to their application. The principles</w:t>
      </w:r>
      <w:r w:rsidR="00692472" w:rsidRPr="005911E2">
        <w:t xml:space="preserve"> underlying</w:t>
      </w:r>
      <w:r w:rsidRPr="005911E2">
        <w:t xml:space="preserve"> this test are that the person:</w:t>
      </w:r>
    </w:p>
    <w:p w:rsidR="008861DE" w:rsidRPr="005911E2" w:rsidRDefault="008861DE" w:rsidP="00051CDC">
      <w:pPr>
        <w:pStyle w:val="ListBullet"/>
      </w:pPr>
      <w:r w:rsidRPr="005911E2">
        <w:t>has been applying appropriate r</w:t>
      </w:r>
      <w:r w:rsidR="00A573E6" w:rsidRPr="005911E2">
        <w:t>esources to meet priority needs</w:t>
      </w:r>
    </w:p>
    <w:p w:rsidR="008861DE" w:rsidRPr="005911E2" w:rsidRDefault="00727B24" w:rsidP="00051CDC">
      <w:pPr>
        <w:pStyle w:val="ListBullet"/>
      </w:pPr>
      <w:r>
        <w:t xml:space="preserve">has </w:t>
      </w:r>
      <w:r w:rsidR="008861DE" w:rsidRPr="005911E2">
        <w:t>had stable payment patterns and budgeting practices</w:t>
      </w:r>
      <w:r>
        <w:t>,</w:t>
      </w:r>
      <w:r w:rsidR="008861DE" w:rsidRPr="005911E2">
        <w:t xml:space="preserve"> and is meeting priority needs from their income support</w:t>
      </w:r>
      <w:r w:rsidR="00A573E6" w:rsidRPr="005911E2">
        <w:t xml:space="preserve"> and family assistance payments</w:t>
      </w:r>
    </w:p>
    <w:p w:rsidR="008861DE" w:rsidRPr="005911E2" w:rsidRDefault="00727B24" w:rsidP="00051CDC">
      <w:pPr>
        <w:pStyle w:val="ListBullet"/>
      </w:pPr>
      <w:r>
        <w:t xml:space="preserve">has </w:t>
      </w:r>
      <w:r w:rsidR="008861DE" w:rsidRPr="005911E2">
        <w:t>had control over their money and was not subjec</w:t>
      </w:r>
      <w:r w:rsidR="00A573E6" w:rsidRPr="005911E2">
        <w:t>t to financial exploitation</w:t>
      </w:r>
    </w:p>
    <w:p w:rsidR="008861DE" w:rsidRPr="005911E2" w:rsidRDefault="008861DE" w:rsidP="00051CDC">
      <w:pPr>
        <w:pStyle w:val="ListBullet"/>
      </w:pPr>
      <w:r w:rsidRPr="005911E2">
        <w:t>did not regularly require urgent funds to pay for foreseeable costs, or did not frequently change their income support pay dates.</w:t>
      </w:r>
    </w:p>
    <w:p w:rsidR="008861DE" w:rsidRPr="005911E2" w:rsidRDefault="008861DE" w:rsidP="00AA1750">
      <w:r w:rsidRPr="005911E2">
        <w:t xml:space="preserve">Further details of the way in which the test operates are at </w:t>
      </w:r>
      <w:r w:rsidR="008476E4" w:rsidRPr="005911E2">
        <w:t>Appendix</w:t>
      </w:r>
      <w:r w:rsidR="00767227">
        <w:t> </w:t>
      </w:r>
      <w:r w:rsidR="008476E4" w:rsidRPr="005911E2">
        <w:t>F</w:t>
      </w:r>
      <w:r w:rsidR="003D2E17" w:rsidRPr="005911E2">
        <w:t>.</w:t>
      </w:r>
      <w:r w:rsidRPr="005911E2">
        <w:t xml:space="preserve"> In implementing the test Centrelink draws upon an array of information derived from the administration of </w:t>
      </w:r>
      <w:r w:rsidR="00F878E4">
        <w:t>income management</w:t>
      </w:r>
      <w:r w:rsidRPr="005911E2">
        <w:t xml:space="preserve">, including indicators such as the number of declined transactions on the person’s </w:t>
      </w:r>
      <w:r w:rsidR="00961FB9" w:rsidRPr="005911E2">
        <w:t>BasicsCard</w:t>
      </w:r>
      <w:r w:rsidR="00727B24">
        <w:t>;</w:t>
      </w:r>
      <w:r w:rsidRPr="005911E2">
        <w:t xml:space="preserve"> the number of replacement cards they have sought</w:t>
      </w:r>
      <w:r w:rsidR="00727B24">
        <w:t>;</w:t>
      </w:r>
      <w:r w:rsidRPr="005911E2">
        <w:t xml:space="preserve"> and whether they had sought </w:t>
      </w:r>
      <w:r w:rsidR="00C7244C">
        <w:t>early or urgent payments</w:t>
      </w:r>
      <w:r w:rsidRPr="005911E2">
        <w:t>.</w:t>
      </w:r>
    </w:p>
    <w:p w:rsidR="008861DE" w:rsidRPr="005911E2" w:rsidRDefault="008861DE" w:rsidP="00AA1750">
      <w:r w:rsidRPr="005911E2">
        <w:t>Where a young person receives Youth Allowance as a full-time student they are subject to automatic exemptions through the Centrelink administrative systems.</w:t>
      </w:r>
    </w:p>
    <w:p w:rsidR="008861DE" w:rsidRPr="005911E2" w:rsidRDefault="008861DE" w:rsidP="00AA1750">
      <w:r w:rsidRPr="005911E2">
        <w:t xml:space="preserve">People who have sought an exemption remain eligible to participate in </w:t>
      </w:r>
      <w:r w:rsidR="002B5A5C">
        <w:t>Voluntary Income Management</w:t>
      </w:r>
      <w:r w:rsidRPr="005911E2">
        <w:t>, and to benefit from the additional payment this program provides</w:t>
      </w:r>
      <w:r w:rsidR="005C2AF8" w:rsidRPr="005911E2">
        <w:t>.</w:t>
      </w:r>
      <w:r w:rsidRPr="005911E2">
        <w:rPr>
          <w:vertAlign w:val="superscript"/>
        </w:rPr>
        <w:footnoteReference w:id="76"/>
      </w:r>
      <w:r w:rsidRPr="005911E2">
        <w:t xml:space="preserve"> </w:t>
      </w:r>
    </w:p>
    <w:p w:rsidR="008861DE" w:rsidRPr="005911E2" w:rsidRDefault="008861DE" w:rsidP="00BD6DFD">
      <w:pPr>
        <w:pStyle w:val="Heading3"/>
      </w:pPr>
      <w:r w:rsidRPr="005911E2">
        <w:t>Perceptions of the operations of exemptions</w:t>
      </w:r>
    </w:p>
    <w:p w:rsidR="008861DE" w:rsidRPr="005911E2" w:rsidRDefault="008861DE" w:rsidP="00AA1750">
      <w:r w:rsidRPr="005911E2">
        <w:t xml:space="preserve">The attitudes of those subject to </w:t>
      </w:r>
      <w:r w:rsidR="00F878E4">
        <w:t>income management</w:t>
      </w:r>
      <w:r w:rsidRPr="005911E2">
        <w:t xml:space="preserve"> and of various intermediaries are considered in more detail in Chapters 10 and 11.</w:t>
      </w:r>
      <w:r w:rsidR="0074268A" w:rsidRPr="005911E2">
        <w:t xml:space="preserve"> </w:t>
      </w:r>
      <w:r w:rsidRPr="005911E2">
        <w:t xml:space="preserve">Some of the key features that emerge from this include generally positive feedback from Centrelink staff about the exemption process. Surveyed Centrelink staff mostly agreed that there were adequate opportunities for people to exempt themselves from </w:t>
      </w:r>
      <w:r w:rsidR="00F878E4">
        <w:t>income management</w:t>
      </w:r>
      <w:r w:rsidRPr="005911E2">
        <w:t xml:space="preserve"> where they</w:t>
      </w:r>
      <w:r w:rsidR="00A573E6" w:rsidRPr="005911E2">
        <w:t xml:space="preserve"> wished to, and that people </w:t>
      </w:r>
      <w:r w:rsidRPr="005911E2">
        <w:t xml:space="preserve">were aware of </w:t>
      </w:r>
      <w:r w:rsidR="00727B24">
        <w:t xml:space="preserve">the </w:t>
      </w:r>
      <w:r w:rsidRPr="005911E2">
        <w:t>appeal processes.</w:t>
      </w:r>
      <w:r w:rsidR="00B62B2D">
        <w:t xml:space="preserve"> </w:t>
      </w:r>
      <w:r w:rsidR="00E32A91" w:rsidRPr="005911E2">
        <w:t>In the survey, as discussed in Chapter 9, 54 per cent of staff mostly agreed with the statement that there were adequate opportunities for exemption, 26 per cent strongly agreed</w:t>
      </w:r>
      <w:r w:rsidR="00727B24">
        <w:t>,</w:t>
      </w:r>
      <w:r w:rsidR="00E32A91" w:rsidRPr="005911E2">
        <w:t xml:space="preserve"> and 19 per cent mostly disagreed. </w:t>
      </w:r>
      <w:r w:rsidR="00727B24">
        <w:t>A range of views were expressed i</w:t>
      </w:r>
      <w:r w:rsidRPr="005911E2">
        <w:t xml:space="preserve">n the qualitative interviews. The introduction of the exemption policy relative to the way in which the NTER </w:t>
      </w:r>
      <w:r w:rsidR="00727B24">
        <w:t xml:space="preserve">originally </w:t>
      </w:r>
      <w:r w:rsidRPr="005911E2">
        <w:t>operated was acknowledged.</w:t>
      </w:r>
    </w:p>
    <w:p w:rsidR="008861DE" w:rsidRPr="005911E2" w:rsidRDefault="008861DE" w:rsidP="00AA1750">
      <w:pPr>
        <w:pStyle w:val="miniquote"/>
      </w:pPr>
      <w:r w:rsidRPr="005911E2">
        <w:t xml:space="preserve">Exemptions are positive change as </w:t>
      </w:r>
      <w:r w:rsidR="004E1352">
        <w:t xml:space="preserve">they </w:t>
      </w:r>
      <w:r w:rsidRPr="005911E2">
        <w:t xml:space="preserve">allow people who fit criteria to get off </w:t>
      </w:r>
      <w:r w:rsidR="00F878E4">
        <w:t>income management</w:t>
      </w:r>
      <w:r w:rsidRPr="005911E2">
        <w:t>. Especially good for parents of young children.</w:t>
      </w:r>
    </w:p>
    <w:p w:rsidR="008861DE" w:rsidRPr="005911E2" w:rsidRDefault="008861DE" w:rsidP="00AA1750">
      <w:pPr>
        <w:pStyle w:val="mininame"/>
      </w:pPr>
      <w:r w:rsidRPr="005911E2">
        <w:t xml:space="preserve">Centrelink </w:t>
      </w:r>
      <w:r w:rsidR="00727B24">
        <w:t>Customer Service Adviser</w:t>
      </w:r>
      <w:r w:rsidRPr="005911E2">
        <w:t xml:space="preserve"> </w:t>
      </w:r>
    </w:p>
    <w:p w:rsidR="008861DE" w:rsidRPr="005911E2" w:rsidRDefault="008861DE" w:rsidP="00AA1750">
      <w:r w:rsidRPr="005911E2">
        <w:t>However the processes and criteria were often seen as being difficult to navigate.</w:t>
      </w:r>
    </w:p>
    <w:p w:rsidR="008861DE" w:rsidRPr="005911E2" w:rsidRDefault="008861DE" w:rsidP="00AA1750">
      <w:pPr>
        <w:pStyle w:val="miniquote"/>
        <w:rPr>
          <w:lang w:bidi="ar-SA"/>
        </w:rPr>
      </w:pPr>
      <w:r w:rsidRPr="005911E2">
        <w:rPr>
          <w:lang w:bidi="ar-SA"/>
        </w:rPr>
        <w:t>That once you tell them, if you cannot prove this and be very confident in what you’re saying and give them all the information, let them know - pardon me - if you don’t have this, this, this and this, you won’t get the exemption.</w:t>
      </w:r>
      <w:r w:rsidR="0074268A" w:rsidRPr="005911E2">
        <w:rPr>
          <w:lang w:bidi="ar-SA"/>
        </w:rPr>
        <w:t xml:space="preserve"> </w:t>
      </w:r>
      <w:r w:rsidRPr="005911E2">
        <w:rPr>
          <w:lang w:bidi="ar-SA"/>
        </w:rPr>
        <w:t>So therefore, do you think you can do that? If they’re like no, well then it’s compulsory, let’s put the exemption away now, you’re not eligible for it, let’s stick to compulsory because that’s what category you fall in.</w:t>
      </w:r>
    </w:p>
    <w:p w:rsidR="008861DE" w:rsidRPr="005911E2" w:rsidRDefault="008861DE" w:rsidP="00AA1750">
      <w:pPr>
        <w:pStyle w:val="mininame"/>
        <w:rPr>
          <w:lang w:bidi="ar-SA"/>
        </w:rPr>
      </w:pPr>
      <w:r w:rsidRPr="005911E2">
        <w:rPr>
          <w:lang w:bidi="ar-SA"/>
        </w:rPr>
        <w:t xml:space="preserve">Centrelink </w:t>
      </w:r>
      <w:r w:rsidR="00727B24">
        <w:rPr>
          <w:lang w:bidi="ar-SA"/>
        </w:rPr>
        <w:t>Customer Service Adviser</w:t>
      </w:r>
    </w:p>
    <w:p w:rsidR="008861DE" w:rsidRPr="005911E2" w:rsidRDefault="008861DE" w:rsidP="00AA1750">
      <w:pPr>
        <w:pStyle w:val="miniquote"/>
        <w:rPr>
          <w:lang w:bidi="ar-SA"/>
        </w:rPr>
      </w:pPr>
      <w:r w:rsidRPr="005911E2">
        <w:rPr>
          <w:lang w:bidi="ar-SA"/>
        </w:rPr>
        <w:t>I think exemptions are quite difficult to get. I’ve heard some conversations here about parents whose kids are at school and how difficult it is to get that proof and sometimes the absenteeism is recorded incorrectly.</w:t>
      </w:r>
      <w:r w:rsidR="0074268A" w:rsidRPr="005911E2">
        <w:rPr>
          <w:lang w:bidi="ar-SA"/>
        </w:rPr>
        <w:t xml:space="preserve"> </w:t>
      </w:r>
      <w:r w:rsidRPr="005911E2">
        <w:rPr>
          <w:lang w:bidi="ar-SA"/>
        </w:rPr>
        <w:t>So even though they’ve provided a note or a medical certificate, it’s recorded as unauthorised absence or whatever the schools call it, so that makes it harder for our customers to get exemptions.</w:t>
      </w:r>
    </w:p>
    <w:p w:rsidR="008861DE" w:rsidRPr="005911E2" w:rsidRDefault="008861DE" w:rsidP="00AA1750">
      <w:pPr>
        <w:pStyle w:val="mininame"/>
        <w:rPr>
          <w:lang w:bidi="ar-SA"/>
        </w:rPr>
      </w:pPr>
      <w:r w:rsidRPr="005911E2">
        <w:rPr>
          <w:lang w:bidi="ar-SA"/>
        </w:rPr>
        <w:t>Centrelink</w:t>
      </w:r>
      <w:r w:rsidR="00727B24">
        <w:rPr>
          <w:lang w:bidi="ar-SA"/>
        </w:rPr>
        <w:t xml:space="preserve"> Customer Service Adviser</w:t>
      </w:r>
    </w:p>
    <w:p w:rsidR="008861DE" w:rsidRPr="005911E2" w:rsidRDefault="008861DE" w:rsidP="00AA1750">
      <w:pPr>
        <w:pStyle w:val="miniquote"/>
      </w:pPr>
      <w:r w:rsidRPr="005911E2">
        <w:t xml:space="preserve">Well, you explain to them that you can get an exemption and that if they want one they need to do a - what's that course called, the </w:t>
      </w:r>
      <w:r w:rsidR="00727B24">
        <w:t>m</w:t>
      </w:r>
      <w:r w:rsidR="00553384" w:rsidRPr="005911E2">
        <w:t xml:space="preserve">oney </w:t>
      </w:r>
      <w:r w:rsidR="00727B24">
        <w:t>m</w:t>
      </w:r>
      <w:r w:rsidR="00553384" w:rsidRPr="005911E2">
        <w:t>anagement</w:t>
      </w:r>
      <w:r w:rsidRPr="005911E2">
        <w:t xml:space="preserve"> course and that sort of thing</w:t>
      </w:r>
      <w:r w:rsidR="0062266E" w:rsidRPr="005911E2">
        <w:t>.</w:t>
      </w:r>
      <w:r w:rsidRPr="005911E2">
        <w:rPr>
          <w:vertAlign w:val="superscript"/>
        </w:rPr>
        <w:footnoteReference w:id="77"/>
      </w:r>
      <w:r w:rsidRPr="005911E2">
        <w:t xml:space="preserve"> They just don’t go ahead with it normally: </w:t>
      </w:r>
      <w:r w:rsidR="00692472" w:rsidRPr="005911E2">
        <w:t>“O</w:t>
      </w:r>
      <w:r w:rsidRPr="005911E2">
        <w:t>h, I'll think about it</w:t>
      </w:r>
      <w:r w:rsidR="00692472" w:rsidRPr="005911E2">
        <w:t>”.</w:t>
      </w:r>
      <w:r w:rsidRPr="005911E2">
        <w:t xml:space="preserve"> So they tend to just go with it </w:t>
      </w:r>
      <w:r w:rsidR="00692472" w:rsidRPr="005911E2">
        <w:t xml:space="preserve">[remaining on IM] </w:t>
      </w:r>
      <w:r w:rsidRPr="005911E2">
        <w:t>because it seems like it's all too hard not to, I guess.</w:t>
      </w:r>
    </w:p>
    <w:p w:rsidR="008861DE" w:rsidRPr="005911E2" w:rsidRDefault="008861DE" w:rsidP="00AA1750">
      <w:pPr>
        <w:pStyle w:val="mininame"/>
      </w:pPr>
      <w:r w:rsidRPr="005911E2">
        <w:t>Centrelink</w:t>
      </w:r>
      <w:r w:rsidR="002F18E7" w:rsidRPr="002F18E7">
        <w:t xml:space="preserve"> Customer Service Adviser</w:t>
      </w:r>
    </w:p>
    <w:p w:rsidR="008861DE" w:rsidRPr="005911E2" w:rsidRDefault="008861DE" w:rsidP="00AA1750">
      <w:r w:rsidRPr="005911E2">
        <w:t xml:space="preserve">In the </w:t>
      </w:r>
      <w:r w:rsidR="00EE7970">
        <w:t xml:space="preserve">first wave of the LSNIM </w:t>
      </w:r>
      <w:r w:rsidRPr="005911E2">
        <w:t xml:space="preserve">survey of people being income managed a substantial group indicated that they had or were trying to get off IM. The main </w:t>
      </w:r>
      <w:r w:rsidR="00A97BF6" w:rsidRPr="005911E2">
        <w:t>motivations expressed by these people were</w:t>
      </w:r>
      <w:r w:rsidRPr="005911E2">
        <w:t xml:space="preserve"> a desire to control their own money and to exercise a freedom of choice in their spending.</w:t>
      </w:r>
    </w:p>
    <w:p w:rsidR="008861DE" w:rsidRPr="005911E2" w:rsidRDefault="008861DE" w:rsidP="00AA1750">
      <w:r w:rsidRPr="005911E2">
        <w:t>This survey also provided a range of views on the exemption process. For some it was positive.</w:t>
      </w:r>
    </w:p>
    <w:p w:rsidR="00366484" w:rsidRDefault="008861DE">
      <w:pPr>
        <w:pStyle w:val="miniquote"/>
        <w:keepNext w:val="0"/>
      </w:pPr>
      <w:r w:rsidRPr="005911E2">
        <w:t>Centrelink looked at my record and could see I managed my money and sent my kids to play group every day.</w:t>
      </w:r>
    </w:p>
    <w:p w:rsidR="008861DE" w:rsidRPr="005911E2" w:rsidRDefault="008861DE" w:rsidP="00AA1750">
      <w:pPr>
        <w:pStyle w:val="miniquote"/>
      </w:pPr>
      <w:r w:rsidRPr="005911E2">
        <w:t>I was given the exemption without any problem</w:t>
      </w:r>
    </w:p>
    <w:p w:rsidR="008861DE" w:rsidRPr="005911E2" w:rsidRDefault="00A56C1A" w:rsidP="00730B87">
      <w:pPr>
        <w:pStyle w:val="BodyText"/>
      </w:pPr>
      <w:r>
        <w:t>However, m</w:t>
      </w:r>
      <w:r w:rsidR="008861DE" w:rsidRPr="005911E2">
        <w:t>any felt that they were given little choice or information about exemptions.</w:t>
      </w:r>
    </w:p>
    <w:p w:rsidR="008861DE" w:rsidRPr="005911E2" w:rsidRDefault="008861DE" w:rsidP="00AA1750">
      <w:pPr>
        <w:pStyle w:val="miniquote"/>
      </w:pPr>
      <w:r w:rsidRPr="005911E2">
        <w:t xml:space="preserve">Told me once I'm on I'm </w:t>
      </w:r>
      <w:r w:rsidR="005911E2" w:rsidRPr="005911E2">
        <w:t>on,</w:t>
      </w:r>
      <w:r w:rsidRPr="005911E2">
        <w:t xml:space="preserve"> I have no chance</w:t>
      </w:r>
    </w:p>
    <w:p w:rsidR="008861DE" w:rsidRPr="005911E2" w:rsidRDefault="008861DE" w:rsidP="00AA1750">
      <w:pPr>
        <w:pStyle w:val="miniquote"/>
      </w:pPr>
      <w:r w:rsidRPr="005911E2">
        <w:t>The</w:t>
      </w:r>
      <w:r w:rsidR="00DA3012">
        <w:t>y said I couldn't ‘</w:t>
      </w:r>
      <w:r w:rsidRPr="005911E2">
        <w:t>cause everyone has to be</w:t>
      </w:r>
      <w:r w:rsidR="00A56C1A">
        <w:t xml:space="preserve"> </w:t>
      </w:r>
      <w:r w:rsidR="003075CB">
        <w:t>o</w:t>
      </w:r>
      <w:r w:rsidR="00A56C1A">
        <w:t>n</w:t>
      </w:r>
      <w:r w:rsidRPr="005911E2">
        <w:t xml:space="preserve"> it</w:t>
      </w:r>
    </w:p>
    <w:p w:rsidR="008861DE" w:rsidRPr="005911E2" w:rsidRDefault="008861DE" w:rsidP="00AA1750">
      <w:pPr>
        <w:pStyle w:val="miniquote"/>
      </w:pPr>
      <w:r w:rsidRPr="005911E2">
        <w:t>Don't really understand why they said no</w:t>
      </w:r>
    </w:p>
    <w:p w:rsidR="008861DE" w:rsidRPr="005911E2" w:rsidRDefault="008861DE" w:rsidP="00AA1750">
      <w:pPr>
        <w:pStyle w:val="miniquote"/>
      </w:pPr>
      <w:r w:rsidRPr="005911E2">
        <w:t>They told me I had to leave it like that so I could have income management for food</w:t>
      </w:r>
    </w:p>
    <w:p w:rsidR="008861DE" w:rsidRPr="005911E2" w:rsidRDefault="008861DE" w:rsidP="00AA1750">
      <w:r w:rsidRPr="005911E2">
        <w:t>For those applying for exemptions the process was frequently seen as onerous and complex.</w:t>
      </w:r>
    </w:p>
    <w:p w:rsidR="008861DE" w:rsidRPr="005911E2" w:rsidRDefault="008861DE" w:rsidP="00AA1750">
      <w:pPr>
        <w:pStyle w:val="miniquote"/>
      </w:pPr>
      <w:r w:rsidRPr="005911E2">
        <w:t>I had to show bank statements, letters stating my children's health records, and they</w:t>
      </w:r>
      <w:r w:rsidR="00692472" w:rsidRPr="005911E2">
        <w:t xml:space="preserve"> wanted me to do a course with Red C</w:t>
      </w:r>
      <w:r w:rsidRPr="005911E2">
        <w:t>ross. I feel this is so wrong</w:t>
      </w:r>
      <w:r w:rsidR="00A56C1A">
        <w:t>.</w:t>
      </w:r>
      <w:r w:rsidRPr="005911E2">
        <w:t xml:space="preserve"> I am educated and have never needed help managing my money.</w:t>
      </w:r>
    </w:p>
    <w:p w:rsidR="008861DE" w:rsidRPr="005911E2" w:rsidRDefault="008861DE" w:rsidP="00246ED6">
      <w:pPr>
        <w:pStyle w:val="miniquote"/>
        <w:keepNext w:val="0"/>
      </w:pPr>
      <w:r w:rsidRPr="005911E2">
        <w:t>I was told to speak to a social worker</w:t>
      </w:r>
      <w:r w:rsidR="00DA3012">
        <w:t>,</w:t>
      </w:r>
      <w:r w:rsidRPr="005911E2">
        <w:t xml:space="preserve"> which I was not happy about. I refuse to be treated like I am inadequate and unable to control my own life.</w:t>
      </w:r>
    </w:p>
    <w:p w:rsidR="008861DE" w:rsidRPr="005911E2" w:rsidRDefault="008861DE" w:rsidP="00246ED6">
      <w:pPr>
        <w:pStyle w:val="miniquote"/>
        <w:keepNext w:val="0"/>
      </w:pPr>
      <w:r w:rsidRPr="005911E2">
        <w:t>Had to dispute my child was going to school. They said she wasn't, I had to collect all the paperwork and it was hard.</w:t>
      </w:r>
    </w:p>
    <w:p w:rsidR="008861DE" w:rsidRPr="005911E2" w:rsidRDefault="008861DE" w:rsidP="00246ED6">
      <w:pPr>
        <w:pStyle w:val="miniquote"/>
        <w:keepNext w:val="0"/>
      </w:pPr>
      <w:r w:rsidRPr="005911E2">
        <w:t>It was too much going back and forth from the school and going to buses again. It's a day trip going back and forth to get the paper they want.</w:t>
      </w:r>
    </w:p>
    <w:p w:rsidR="008861DE" w:rsidRPr="005911E2" w:rsidRDefault="008861DE" w:rsidP="00AA1750">
      <w:pPr>
        <w:pStyle w:val="miniquote"/>
      </w:pPr>
      <w:r w:rsidRPr="005911E2">
        <w:t>Had to get to a Medicare office to get immuni</w:t>
      </w:r>
      <w:r w:rsidR="00A56C1A">
        <w:t>s</w:t>
      </w:r>
      <w:r w:rsidRPr="005911E2">
        <w:t>ation records which was t</w:t>
      </w:r>
      <w:r w:rsidR="00730B87" w:rsidRPr="005911E2">
        <w:t>o</w:t>
      </w:r>
      <w:r w:rsidRPr="005911E2">
        <w:t>o far.</w:t>
      </w:r>
    </w:p>
    <w:p w:rsidR="008861DE" w:rsidRPr="005911E2" w:rsidRDefault="008861DE" w:rsidP="00AA1750">
      <w:pPr>
        <w:pStyle w:val="miniquote"/>
      </w:pPr>
      <w:r w:rsidRPr="005911E2">
        <w:t>For the youngest son they wanted doctor’s report to get off it, and I had to go to Katherine so I thought stuff it.</w:t>
      </w:r>
    </w:p>
    <w:p w:rsidR="00730B87" w:rsidRPr="005911E2" w:rsidRDefault="00730B87" w:rsidP="00730B87">
      <w:pPr>
        <w:pStyle w:val="mininame"/>
      </w:pPr>
      <w:r w:rsidRPr="005911E2">
        <w:t>Responses to open ended questions in the LSNIM</w:t>
      </w:r>
    </w:p>
    <w:p w:rsidR="008861DE" w:rsidRPr="005911E2" w:rsidRDefault="008861DE" w:rsidP="00616B0F">
      <w:pPr>
        <w:pStyle w:val="Heading2"/>
      </w:pPr>
      <w:bookmarkStart w:id="659" w:name="_Toc321225140"/>
      <w:bookmarkStart w:id="660" w:name="_Toc321254483"/>
      <w:bookmarkStart w:id="661" w:name="_Toc328601508"/>
      <w:bookmarkStart w:id="662" w:name="_Toc329870389"/>
      <w:bookmarkStart w:id="663" w:name="_Toc335915775"/>
      <w:r w:rsidRPr="005911E2">
        <w:t>Data on exemptions</w:t>
      </w:r>
      <w:bookmarkEnd w:id="659"/>
      <w:bookmarkEnd w:id="660"/>
      <w:bookmarkEnd w:id="661"/>
      <w:bookmarkEnd w:id="662"/>
      <w:bookmarkEnd w:id="663"/>
    </w:p>
    <w:p w:rsidR="008861DE" w:rsidRPr="005911E2" w:rsidRDefault="008861DE" w:rsidP="00AA1750">
      <w:r w:rsidRPr="005911E2">
        <w:t xml:space="preserve">For this evaluation the main source of data are the ‘quarterly’ snapshots of people currently or previously on </w:t>
      </w:r>
      <w:r w:rsidR="00F878E4">
        <w:t>income management</w:t>
      </w:r>
      <w:r w:rsidRPr="005911E2">
        <w:t>, and complementary datasets on all income support recipients</w:t>
      </w:r>
      <w:r w:rsidR="005C2AF8" w:rsidRPr="005911E2">
        <w:t>.</w:t>
      </w:r>
      <w:r w:rsidRPr="005911E2">
        <w:rPr>
          <w:vertAlign w:val="superscript"/>
        </w:rPr>
        <w:footnoteReference w:id="78"/>
      </w:r>
      <w:r w:rsidR="005C2AF8" w:rsidRPr="005911E2">
        <w:t xml:space="preserve"> </w:t>
      </w:r>
      <w:r w:rsidRPr="005911E2">
        <w:t xml:space="preserve">While these contain considerable information on the individuals </w:t>
      </w:r>
      <w:r w:rsidR="00692472" w:rsidRPr="005911E2">
        <w:t>they</w:t>
      </w:r>
      <w:r w:rsidRPr="005911E2">
        <w:t xml:space="preserve"> also ha</w:t>
      </w:r>
      <w:r w:rsidR="00692472" w:rsidRPr="005911E2">
        <w:t>ve</w:t>
      </w:r>
      <w:r w:rsidRPr="005911E2">
        <w:t xml:space="preserve"> some limitations, in particular in terms of the more detailed pattern of application for exemptions and the outcomes of these.</w:t>
      </w:r>
      <w:r w:rsidR="0074268A" w:rsidRPr="005911E2">
        <w:t xml:space="preserve"> </w:t>
      </w:r>
      <w:r w:rsidRPr="005911E2">
        <w:t xml:space="preserve">This arises because the gaps between the snapshots are too great to track the process and factors </w:t>
      </w:r>
      <w:r w:rsidR="00730B87" w:rsidRPr="005911E2">
        <w:t>associated with th</w:t>
      </w:r>
      <w:r w:rsidR="00A56C1A">
        <w:t>em</w:t>
      </w:r>
      <w:r w:rsidR="00730B87" w:rsidRPr="005911E2">
        <w:t>. Hence it is not possible</w:t>
      </w:r>
      <w:r w:rsidR="00692472" w:rsidRPr="005911E2">
        <w:t>,</w:t>
      </w:r>
      <w:r w:rsidR="00730B87" w:rsidRPr="005911E2">
        <w:t xml:space="preserve"> at this stage</w:t>
      </w:r>
      <w:r w:rsidR="00692472" w:rsidRPr="005911E2">
        <w:t>,</w:t>
      </w:r>
      <w:r w:rsidR="00730B87" w:rsidRPr="005911E2">
        <w:t xml:space="preserve"> to consider issues such as the time it took for exemptions to be determined or the actual </w:t>
      </w:r>
      <w:r w:rsidRPr="005911E2">
        <w:t>duration for which people were on income support at the time of application</w:t>
      </w:r>
      <w:r w:rsidR="00730B87" w:rsidRPr="005911E2">
        <w:t>. Similarly</w:t>
      </w:r>
      <w:r w:rsidR="00A56C1A">
        <w:t>,</w:t>
      </w:r>
      <w:r w:rsidR="00730B87" w:rsidRPr="005911E2">
        <w:t xml:space="preserve"> </w:t>
      </w:r>
      <w:r w:rsidRPr="005911E2">
        <w:t>between the snapshots people may experience several changes in circumstances</w:t>
      </w:r>
      <w:r w:rsidR="00730B87" w:rsidRPr="005911E2">
        <w:t xml:space="preserve"> which are simply unobserved in the available data</w:t>
      </w:r>
      <w:r w:rsidRPr="005911E2">
        <w:t>.</w:t>
      </w:r>
    </w:p>
    <w:p w:rsidR="008861DE" w:rsidRPr="005911E2" w:rsidRDefault="008861DE" w:rsidP="00AA1750">
      <w:r w:rsidRPr="005911E2">
        <w:t xml:space="preserve">In addition, as the dataset contains all details of people who have ever been on </w:t>
      </w:r>
      <w:r w:rsidR="00F878E4">
        <w:t>income management</w:t>
      </w:r>
      <w:r w:rsidR="00730B87" w:rsidRPr="005911E2">
        <w:t>,</w:t>
      </w:r>
      <w:r w:rsidRPr="005911E2">
        <w:t xml:space="preserve"> there is a need to refine a meaningful population base with which to analyse the data.</w:t>
      </w:r>
      <w:r w:rsidR="0074268A" w:rsidRPr="005911E2">
        <w:t xml:space="preserve"> </w:t>
      </w:r>
      <w:r w:rsidRPr="005911E2">
        <w:t>This step is necessary as the data contains details</w:t>
      </w:r>
      <w:r w:rsidR="0062266E" w:rsidRPr="005911E2">
        <w:t xml:space="preserve"> on exemptions of people who have</w:t>
      </w:r>
      <w:r w:rsidRPr="005911E2">
        <w:t xml:space="preserve"> been subject to </w:t>
      </w:r>
      <w:r w:rsidR="00F878E4">
        <w:t>income management</w:t>
      </w:r>
      <w:r w:rsidRPr="005911E2">
        <w:t xml:space="preserve"> under the NTER</w:t>
      </w:r>
      <w:r w:rsidR="00A56C1A">
        <w:t>,</w:t>
      </w:r>
      <w:r w:rsidRPr="005911E2">
        <w:t xml:space="preserve"> and the records of those who, while having previously been granted an exemption, may not necessarily be currently within scope of </w:t>
      </w:r>
      <w:r w:rsidR="00F878E4">
        <w:t>income management</w:t>
      </w:r>
      <w:r w:rsidRPr="005911E2">
        <w:t>.</w:t>
      </w:r>
      <w:r w:rsidR="0074268A" w:rsidRPr="005911E2">
        <w:t xml:space="preserve"> </w:t>
      </w:r>
      <w:r w:rsidRPr="005911E2">
        <w:t>Further a number of ‘exemption’ codes are more of the nature of historical and technical records</w:t>
      </w:r>
      <w:r w:rsidR="004E1352">
        <w:t>,</w:t>
      </w:r>
      <w:r w:rsidRPr="005911E2">
        <w:t xml:space="preserve"> rather than recording current status. </w:t>
      </w:r>
    </w:p>
    <w:p w:rsidR="008861DE" w:rsidRPr="005911E2" w:rsidRDefault="008476E4" w:rsidP="00AA1750">
      <w:r w:rsidRPr="005911E2">
        <w:t xml:space="preserve">Table </w:t>
      </w:r>
      <w:r w:rsidRPr="005911E2">
        <w:rPr>
          <w:noProof/>
        </w:rPr>
        <w:t>8</w:t>
      </w:r>
      <w:r w:rsidRPr="005911E2">
        <w:rPr>
          <w:noProof/>
        </w:rPr>
        <w:noBreakHyphen/>
        <w:t>1</w:t>
      </w:r>
      <w:r w:rsidR="008861DE" w:rsidRPr="005911E2">
        <w:t xml:space="preserve"> illustrates the approach adopted.</w:t>
      </w:r>
    </w:p>
    <w:p w:rsidR="00136CEF" w:rsidRPr="005911E2" w:rsidRDefault="00136CEF" w:rsidP="00136CEF">
      <w:r w:rsidRPr="005911E2">
        <w:t>The initial focus was to establish the population to be considered. This was determined to include:</w:t>
      </w:r>
    </w:p>
    <w:p w:rsidR="00136CEF" w:rsidRPr="005911E2" w:rsidRDefault="00A56C1A" w:rsidP="00051CDC">
      <w:pPr>
        <w:pStyle w:val="ListBullet"/>
      </w:pPr>
      <w:r>
        <w:t>a</w:t>
      </w:r>
      <w:r w:rsidR="00136CEF" w:rsidRPr="005911E2">
        <w:t xml:space="preserve">ll persons currently on </w:t>
      </w:r>
      <w:r w:rsidR="00F878E4">
        <w:t>income management</w:t>
      </w:r>
      <w:r w:rsidR="00136CEF" w:rsidRPr="005911E2">
        <w:t xml:space="preserve"> (of all types)</w:t>
      </w:r>
      <w:r>
        <w:t>,</w:t>
      </w:r>
      <w:r w:rsidR="00692472" w:rsidRPr="005911E2">
        <w:rPr>
          <w:rStyle w:val="FootnoteReference"/>
        </w:rPr>
        <w:footnoteReference w:id="79"/>
      </w:r>
      <w:r w:rsidR="00136CEF" w:rsidRPr="005911E2">
        <w:t xml:space="preserve"> and</w:t>
      </w:r>
    </w:p>
    <w:p w:rsidR="00136CEF" w:rsidRPr="005911E2" w:rsidRDefault="00A56C1A" w:rsidP="00051CDC">
      <w:pPr>
        <w:pStyle w:val="ListBullet"/>
      </w:pPr>
      <w:r>
        <w:t>t</w:t>
      </w:r>
      <w:r w:rsidR="00136CEF" w:rsidRPr="005911E2">
        <w:t xml:space="preserve">hose with an exemption who are on income support payments which are potentially subject to </w:t>
      </w:r>
      <w:r w:rsidR="00F878E4">
        <w:t>income management</w:t>
      </w:r>
      <w:r w:rsidR="00136CEF" w:rsidRPr="005911E2">
        <w:t>.</w:t>
      </w:r>
    </w:p>
    <w:p w:rsidR="00136CEF" w:rsidRDefault="00901A4F" w:rsidP="00136CEF">
      <w:r w:rsidRPr="00F5755B">
        <w:t>This provides an approximation of the extent to which the population, which may currently be subject to income management, is impacted by the exemption policy. It is recognised that this approach has some limitations as it has not been possible to replicate the duration</w:t>
      </w:r>
      <w:r w:rsidR="004E1352">
        <w:t>-</w:t>
      </w:r>
      <w:r w:rsidRPr="00F5755B">
        <w:t>specific aspects of the income management provisions</w:t>
      </w:r>
      <w:r w:rsidRPr="00416FEC">
        <w:t>.</w:t>
      </w:r>
    </w:p>
    <w:p w:rsidR="00F5755B" w:rsidRPr="005911E2" w:rsidRDefault="00F5755B" w:rsidP="00F5755B">
      <w:r w:rsidRPr="005911E2">
        <w:t xml:space="preserve">The limitation of exclusions </w:t>
      </w:r>
      <w:r w:rsidR="00416FEC">
        <w:t xml:space="preserve">in this analysis </w:t>
      </w:r>
      <w:r w:rsidRPr="005911E2">
        <w:t xml:space="preserve">to </w:t>
      </w:r>
      <w:r>
        <w:t>people</w:t>
      </w:r>
      <w:r w:rsidRPr="005911E2">
        <w:t xml:space="preserve"> in these groups has been undertaken to allow the population incidence of exemptions to be examined. While these people represent only a portion of those with an exemption, to include these against the base population of those currently </w:t>
      </w:r>
      <w:r w:rsidR="005A58C3">
        <w:t>subject to</w:t>
      </w:r>
      <w:r w:rsidRPr="005911E2">
        <w:t xml:space="preserve"> </w:t>
      </w:r>
      <w:r>
        <w:t>income management</w:t>
      </w:r>
      <w:r w:rsidRPr="005911E2">
        <w:t xml:space="preserve"> would significantly bias results. Section 8.2.1 briefly considers the circumstances of those with exemptions who are not on payments currently within scope of </w:t>
      </w:r>
      <w:r>
        <w:t>income management</w:t>
      </w:r>
      <w:r w:rsidRPr="005911E2">
        <w:t xml:space="preserve">. Similarly only rejected applications </w:t>
      </w:r>
      <w:r w:rsidR="004E1352">
        <w:t>from</w:t>
      </w:r>
      <w:r w:rsidR="004E1352" w:rsidRPr="005911E2">
        <w:t xml:space="preserve"> </w:t>
      </w:r>
      <w:r w:rsidRPr="005911E2">
        <w:t xml:space="preserve">those currently on </w:t>
      </w:r>
      <w:r>
        <w:t>income management</w:t>
      </w:r>
      <w:r w:rsidRPr="005911E2">
        <w:t xml:space="preserve"> have been considered.</w:t>
      </w:r>
    </w:p>
    <w:p w:rsidR="00F5755B" w:rsidRDefault="00F5755B" w:rsidP="00F5755B">
      <w:pPr>
        <w:pStyle w:val="Heading3"/>
        <w:numPr>
          <w:ilvl w:val="0"/>
          <w:numId w:val="0"/>
        </w:numPr>
      </w:pPr>
      <w:r>
        <w:t xml:space="preserve">8.2.1 </w:t>
      </w:r>
      <w:r w:rsidRPr="005911E2">
        <w:t>Classification of exemptions</w:t>
      </w:r>
    </w:p>
    <w:p w:rsidR="00F5755B" w:rsidRDefault="00F5755B" w:rsidP="00F5755B">
      <w:r w:rsidRPr="005911E2">
        <w:t xml:space="preserve">Table </w:t>
      </w:r>
      <w:r w:rsidRPr="005911E2">
        <w:rPr>
          <w:noProof/>
        </w:rPr>
        <w:t>8</w:t>
      </w:r>
      <w:r w:rsidRPr="005911E2">
        <w:noBreakHyphen/>
      </w:r>
      <w:r w:rsidRPr="005911E2">
        <w:rPr>
          <w:noProof/>
        </w:rPr>
        <w:t>1</w:t>
      </w:r>
      <w:r w:rsidRPr="005911E2">
        <w:t xml:space="preserve"> </w:t>
      </w:r>
      <w:r w:rsidR="00847CCC">
        <w:t xml:space="preserve">reports </w:t>
      </w:r>
      <w:r w:rsidRPr="005911E2">
        <w:t>the grouping of exemption codes used in this analysis.</w:t>
      </w:r>
      <w:r w:rsidR="004E1352">
        <w:t xml:space="preserve"> These include: exemptions; rejection of applications; withdrawal of applications, and several codes which are considered to be ‘out of scope’ in this analysis, or concern administrative processes.</w:t>
      </w:r>
    </w:p>
    <w:p w:rsidR="008861DE" w:rsidRPr="005911E2" w:rsidRDefault="008861DE" w:rsidP="008861DE">
      <w:pPr>
        <w:pStyle w:val="tabfighead"/>
      </w:pPr>
      <w:bookmarkStart w:id="664" w:name="_Ref321077684"/>
      <w:bookmarkStart w:id="665" w:name="_Toc321430434"/>
      <w:bookmarkStart w:id="666" w:name="_Toc321254553"/>
      <w:bookmarkStart w:id="667" w:name="_Toc329051379"/>
      <w:bookmarkStart w:id="668" w:name="_Toc335915867"/>
      <w:r w:rsidRPr="005911E2">
        <w:t xml:space="preserve">Table </w:t>
      </w:r>
      <w:r w:rsidR="00C7347D" w:rsidRPr="005911E2">
        <w:fldChar w:fldCharType="begin"/>
      </w:r>
      <w:r w:rsidR="00EF6BC6" w:rsidRPr="005911E2">
        <w:instrText xml:space="preserve"> STYLEREF 1 \s </w:instrText>
      </w:r>
      <w:r w:rsidR="00C7347D" w:rsidRPr="005911E2">
        <w:fldChar w:fldCharType="separate"/>
      </w:r>
      <w:r w:rsidR="007D7E45">
        <w:rPr>
          <w:noProof/>
        </w:rPr>
        <w:t>8</w:t>
      </w:r>
      <w:r w:rsidR="00C7347D" w:rsidRPr="005911E2">
        <w:fldChar w:fldCharType="end"/>
      </w:r>
      <w:r w:rsidR="00EF6BC6" w:rsidRPr="005911E2">
        <w:noBreakHyphen/>
      </w:r>
      <w:r w:rsidR="00C7347D" w:rsidRPr="005911E2">
        <w:fldChar w:fldCharType="begin"/>
      </w:r>
      <w:r w:rsidR="00EF6BC6" w:rsidRPr="005911E2">
        <w:instrText xml:space="preserve"> SEQ Table \* ARABIC \s 1 </w:instrText>
      </w:r>
      <w:r w:rsidR="00C7347D" w:rsidRPr="005911E2">
        <w:fldChar w:fldCharType="separate"/>
      </w:r>
      <w:r w:rsidR="007D7E45">
        <w:rPr>
          <w:noProof/>
        </w:rPr>
        <w:t>1</w:t>
      </w:r>
      <w:r w:rsidR="00C7347D" w:rsidRPr="005911E2">
        <w:fldChar w:fldCharType="end"/>
      </w:r>
      <w:bookmarkEnd w:id="664"/>
      <w:r w:rsidRPr="005911E2">
        <w:tab/>
        <w:t>Detailed exemption codes of current potentially targeted income support recipients, October 2011</w:t>
      </w:r>
      <w:bookmarkEnd w:id="665"/>
      <w:bookmarkEnd w:id="666"/>
      <w:bookmarkEnd w:id="667"/>
      <w:bookmarkEnd w:id="668"/>
    </w:p>
    <w:tbl>
      <w:tblPr>
        <w:tblW w:w="7994" w:type="dxa"/>
        <w:tblInd w:w="1101" w:type="dxa"/>
        <w:tblLook w:val="04A0" w:firstRow="1" w:lastRow="0" w:firstColumn="1" w:lastColumn="0" w:noHBand="0" w:noVBand="1"/>
      </w:tblPr>
      <w:tblGrid>
        <w:gridCol w:w="850"/>
        <w:gridCol w:w="3260"/>
        <w:gridCol w:w="1134"/>
        <w:gridCol w:w="993"/>
        <w:gridCol w:w="992"/>
        <w:gridCol w:w="765"/>
      </w:tblGrid>
      <w:tr w:rsidR="00B06CAF" w:rsidRPr="00847CCC" w:rsidTr="00847CCC">
        <w:trPr>
          <w:trHeight w:val="288"/>
        </w:trPr>
        <w:tc>
          <w:tcPr>
            <w:tcW w:w="850" w:type="dxa"/>
            <w:tcBorders>
              <w:top w:val="single" w:sz="4" w:space="0" w:color="auto"/>
            </w:tcBorders>
            <w:noWrap/>
            <w:hideMark/>
          </w:tcPr>
          <w:p w:rsidR="008861DE"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Code</w:t>
            </w:r>
          </w:p>
        </w:tc>
        <w:tc>
          <w:tcPr>
            <w:tcW w:w="3260" w:type="dxa"/>
            <w:tcBorders>
              <w:top w:val="single" w:sz="4" w:space="0" w:color="auto"/>
            </w:tcBorders>
            <w:noWrap/>
            <w:hideMark/>
          </w:tcPr>
          <w:p w:rsidR="00930638" w:rsidRPr="00847CCC" w:rsidRDefault="008861DE" w:rsidP="00273B1F">
            <w:pPr>
              <w:keepNext/>
              <w:keepLines/>
              <w:spacing w:after="40" w:line="240" w:lineRule="auto"/>
              <w:ind w:left="0"/>
              <w:jc w:val="left"/>
              <w:rPr>
                <w:rFonts w:cs="Arial"/>
                <w:b/>
                <w:smallCaps/>
                <w:color w:val="000000"/>
                <w:spacing w:val="20"/>
                <w:sz w:val="16"/>
                <w:szCs w:val="16"/>
                <w:lang w:eastAsia="en-AU" w:bidi="ar-SA"/>
              </w:rPr>
            </w:pPr>
            <w:r w:rsidRPr="00847CCC">
              <w:rPr>
                <w:rFonts w:cs="Arial"/>
                <w:color w:val="000000"/>
                <w:sz w:val="16"/>
                <w:szCs w:val="16"/>
                <w:lang w:eastAsia="en-AU" w:bidi="ar-SA"/>
              </w:rPr>
              <w:t>Reason</w:t>
            </w:r>
          </w:p>
        </w:tc>
        <w:tc>
          <w:tcPr>
            <w:tcW w:w="2127" w:type="dxa"/>
            <w:gridSpan w:val="2"/>
            <w:tcBorders>
              <w:top w:val="single" w:sz="4" w:space="0" w:color="auto"/>
              <w:bottom w:val="single" w:sz="4" w:space="0" w:color="auto"/>
            </w:tcBorders>
            <w:noWrap/>
            <w:hideMark/>
          </w:tcPr>
          <w:p w:rsidR="00930638" w:rsidRPr="00847CCC" w:rsidRDefault="008861DE" w:rsidP="00273B1F">
            <w:pPr>
              <w:keepNext/>
              <w:keepLines/>
              <w:spacing w:after="40" w:line="240" w:lineRule="auto"/>
              <w:ind w:left="0"/>
              <w:jc w:val="left"/>
              <w:rPr>
                <w:rFonts w:cs="Arial"/>
                <w:b/>
                <w:smallCaps/>
                <w:color w:val="000000"/>
                <w:spacing w:val="20"/>
                <w:sz w:val="16"/>
                <w:szCs w:val="16"/>
                <w:lang w:eastAsia="en-AU" w:bidi="ar-SA"/>
              </w:rPr>
            </w:pPr>
            <w:r w:rsidRPr="00847CCC">
              <w:rPr>
                <w:rFonts w:cs="Arial"/>
                <w:color w:val="000000"/>
                <w:sz w:val="16"/>
                <w:szCs w:val="16"/>
                <w:lang w:eastAsia="en-AU" w:bidi="ar-SA"/>
              </w:rPr>
              <w:t>Persons on IM</w:t>
            </w:r>
            <w:r w:rsidR="00783DF8">
              <w:rPr>
                <w:rFonts w:cs="Arial"/>
                <w:color w:val="000000"/>
                <w:sz w:val="16"/>
                <w:szCs w:val="16"/>
                <w:lang w:eastAsia="en-AU" w:bidi="ar-SA"/>
              </w:rPr>
              <w:t>:</w:t>
            </w:r>
          </w:p>
        </w:tc>
        <w:tc>
          <w:tcPr>
            <w:tcW w:w="992" w:type="dxa"/>
            <w:vMerge w:val="restart"/>
            <w:tcBorders>
              <w:top w:val="single" w:sz="4" w:space="0" w:color="auto"/>
            </w:tcBorders>
            <w:noWrap/>
            <w:hideMark/>
          </w:tcPr>
          <w:p w:rsidR="00930638" w:rsidRPr="00847CCC" w:rsidRDefault="008861DE" w:rsidP="00273B1F">
            <w:pPr>
              <w:keepNext/>
              <w:keepLines/>
              <w:spacing w:after="40" w:line="240" w:lineRule="auto"/>
              <w:ind w:left="0"/>
              <w:jc w:val="right"/>
              <w:rPr>
                <w:rFonts w:cs="Arial"/>
                <w:b/>
                <w:smallCaps/>
                <w:color w:val="000000"/>
                <w:spacing w:val="20"/>
                <w:sz w:val="16"/>
                <w:szCs w:val="16"/>
                <w:lang w:eastAsia="en-AU" w:bidi="ar-SA"/>
              </w:rPr>
            </w:pPr>
            <w:r w:rsidRPr="00847CCC">
              <w:rPr>
                <w:rFonts w:cs="Arial"/>
                <w:color w:val="000000"/>
                <w:sz w:val="16"/>
                <w:szCs w:val="16"/>
                <w:lang w:eastAsia="en-AU" w:bidi="ar-SA"/>
              </w:rPr>
              <w:t>Others on potentially included Income Support (b)</w:t>
            </w:r>
          </w:p>
        </w:tc>
        <w:tc>
          <w:tcPr>
            <w:tcW w:w="765" w:type="dxa"/>
            <w:tcBorders>
              <w:top w:val="single" w:sz="4" w:space="0" w:color="auto"/>
            </w:tcBorders>
            <w:noWrap/>
            <w:hideMark/>
          </w:tcPr>
          <w:p w:rsidR="00930638" w:rsidRPr="00847CCC" w:rsidRDefault="008861DE" w:rsidP="00273B1F">
            <w:pPr>
              <w:keepNext/>
              <w:keepLines/>
              <w:spacing w:after="40" w:line="240" w:lineRule="auto"/>
              <w:ind w:left="0"/>
              <w:jc w:val="right"/>
              <w:rPr>
                <w:rFonts w:cs="Arial"/>
                <w:b/>
                <w:smallCaps/>
                <w:color w:val="000000"/>
                <w:spacing w:val="20"/>
                <w:sz w:val="16"/>
                <w:szCs w:val="16"/>
                <w:lang w:eastAsia="en-AU" w:bidi="ar-SA"/>
              </w:rPr>
            </w:pPr>
            <w:r w:rsidRPr="00847CCC">
              <w:rPr>
                <w:rFonts w:cs="Arial"/>
                <w:color w:val="000000"/>
                <w:sz w:val="16"/>
                <w:szCs w:val="16"/>
                <w:lang w:eastAsia="en-AU" w:bidi="ar-SA"/>
              </w:rPr>
              <w:t>Total</w:t>
            </w:r>
          </w:p>
        </w:tc>
      </w:tr>
      <w:tr w:rsidR="00B06CAF" w:rsidRPr="00847CCC" w:rsidTr="00847CCC">
        <w:trPr>
          <w:trHeight w:val="288"/>
        </w:trPr>
        <w:tc>
          <w:tcPr>
            <w:tcW w:w="850" w:type="dxa"/>
            <w:tcBorders>
              <w:bottom w:val="single" w:sz="4" w:space="0" w:color="auto"/>
            </w:tcBorders>
            <w:noWrap/>
            <w:hideMark/>
          </w:tcPr>
          <w:p w:rsidR="008861DE" w:rsidRPr="00847CCC" w:rsidRDefault="008861DE" w:rsidP="00273B1F">
            <w:pPr>
              <w:keepNext/>
              <w:keepLines/>
              <w:spacing w:after="40" w:line="240" w:lineRule="auto"/>
              <w:ind w:left="0"/>
              <w:jc w:val="left"/>
              <w:rPr>
                <w:rFonts w:cs="Arial"/>
                <w:color w:val="000000"/>
                <w:sz w:val="16"/>
                <w:szCs w:val="16"/>
                <w:lang w:eastAsia="en-AU" w:bidi="ar-SA"/>
              </w:rPr>
            </w:pPr>
          </w:p>
        </w:tc>
        <w:tc>
          <w:tcPr>
            <w:tcW w:w="3260" w:type="dxa"/>
            <w:tcBorders>
              <w:bottom w:val="single" w:sz="4" w:space="0" w:color="auto"/>
            </w:tcBorders>
            <w:noWrap/>
            <w:hideMark/>
          </w:tcPr>
          <w:p w:rsidR="00930638" w:rsidRPr="00847CCC" w:rsidRDefault="00930638" w:rsidP="00273B1F">
            <w:pPr>
              <w:keepNext/>
              <w:keepLines/>
              <w:spacing w:after="40" w:line="240" w:lineRule="auto"/>
              <w:ind w:left="0"/>
              <w:jc w:val="left"/>
              <w:rPr>
                <w:rFonts w:cs="Arial"/>
                <w:color w:val="000000"/>
                <w:sz w:val="16"/>
                <w:szCs w:val="16"/>
                <w:lang w:eastAsia="en-AU" w:bidi="ar-SA"/>
              </w:rPr>
            </w:pPr>
          </w:p>
        </w:tc>
        <w:tc>
          <w:tcPr>
            <w:tcW w:w="1134" w:type="dxa"/>
            <w:tcBorders>
              <w:top w:val="single" w:sz="4" w:space="0" w:color="auto"/>
              <w:bottom w:val="single" w:sz="4" w:space="0" w:color="auto"/>
            </w:tcBorders>
            <w:noWrap/>
            <w:hideMark/>
          </w:tcPr>
          <w:p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Compulsory (a)</w:t>
            </w:r>
          </w:p>
        </w:tc>
        <w:tc>
          <w:tcPr>
            <w:tcW w:w="993" w:type="dxa"/>
            <w:tcBorders>
              <w:top w:val="single" w:sz="4" w:space="0" w:color="auto"/>
              <w:bottom w:val="single" w:sz="4" w:space="0" w:color="auto"/>
            </w:tcBorders>
            <w:noWrap/>
            <w:hideMark/>
          </w:tcPr>
          <w:p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Voluntary</w:t>
            </w:r>
          </w:p>
        </w:tc>
        <w:tc>
          <w:tcPr>
            <w:tcW w:w="992" w:type="dxa"/>
            <w:vMerge/>
            <w:tcBorders>
              <w:bottom w:val="single" w:sz="4" w:space="0" w:color="auto"/>
            </w:tcBorders>
            <w:noWrap/>
            <w:hideMark/>
          </w:tcPr>
          <w:p w:rsidR="00930638" w:rsidRPr="00847CCC" w:rsidRDefault="00930638" w:rsidP="00273B1F">
            <w:pPr>
              <w:keepNext/>
              <w:keepLines/>
              <w:spacing w:after="40" w:line="240" w:lineRule="auto"/>
              <w:ind w:left="0"/>
              <w:jc w:val="left"/>
              <w:rPr>
                <w:rFonts w:cs="Arial"/>
                <w:color w:val="000000"/>
                <w:sz w:val="16"/>
                <w:szCs w:val="16"/>
                <w:lang w:eastAsia="en-AU" w:bidi="ar-SA"/>
              </w:rPr>
            </w:pPr>
          </w:p>
        </w:tc>
        <w:tc>
          <w:tcPr>
            <w:tcW w:w="765" w:type="dxa"/>
            <w:tcBorders>
              <w:bottom w:val="single" w:sz="4" w:space="0" w:color="auto"/>
            </w:tcBorders>
            <w:noWrap/>
            <w:hideMark/>
          </w:tcPr>
          <w:p w:rsidR="00930638" w:rsidRPr="00847CCC" w:rsidRDefault="00930638" w:rsidP="00273B1F">
            <w:pPr>
              <w:keepNext/>
              <w:keepLines/>
              <w:spacing w:after="40" w:line="240" w:lineRule="auto"/>
              <w:ind w:left="0"/>
              <w:jc w:val="left"/>
              <w:rPr>
                <w:rFonts w:cs="Arial"/>
                <w:color w:val="000000"/>
                <w:sz w:val="16"/>
                <w:szCs w:val="16"/>
                <w:lang w:eastAsia="en-AU" w:bidi="ar-SA"/>
              </w:rPr>
            </w:pPr>
          </w:p>
        </w:tc>
      </w:tr>
      <w:tr w:rsidR="006C33D2" w:rsidRPr="00847CCC" w:rsidTr="00847CCC">
        <w:trPr>
          <w:trHeight w:val="288"/>
        </w:trPr>
        <w:tc>
          <w:tcPr>
            <w:tcW w:w="4110" w:type="dxa"/>
            <w:gridSpan w:val="2"/>
            <w:tcBorders>
              <w:top w:val="single" w:sz="4" w:space="0" w:color="auto"/>
            </w:tcBorders>
            <w:shd w:val="clear" w:color="auto" w:fill="auto"/>
            <w:noWrap/>
            <w:hideMark/>
          </w:tcPr>
          <w:p w:rsidR="006C33D2" w:rsidRPr="00847CCC" w:rsidRDefault="006C33D2" w:rsidP="00273B1F">
            <w:pPr>
              <w:keepNext/>
              <w:keepLines/>
              <w:spacing w:after="40" w:line="240" w:lineRule="auto"/>
              <w:ind w:left="0"/>
              <w:jc w:val="left"/>
              <w:rPr>
                <w:sz w:val="16"/>
                <w:szCs w:val="16"/>
              </w:rPr>
            </w:pPr>
            <w:r w:rsidRPr="00847CCC">
              <w:rPr>
                <w:rFonts w:cs="Arial"/>
                <w:b/>
                <w:color w:val="000000"/>
                <w:sz w:val="16"/>
                <w:szCs w:val="16"/>
                <w:lang w:eastAsia="en-AU" w:bidi="ar-SA"/>
              </w:rPr>
              <w:t>Exempt</w:t>
            </w:r>
          </w:p>
        </w:tc>
        <w:tc>
          <w:tcPr>
            <w:tcW w:w="1134" w:type="dxa"/>
            <w:tcBorders>
              <w:top w:val="single" w:sz="4" w:space="0" w:color="auto"/>
            </w:tcBorders>
            <w:shd w:val="clear" w:color="auto" w:fill="auto"/>
            <w:noWrap/>
            <w:hideMark/>
          </w:tcPr>
          <w:p w:rsidR="006C33D2" w:rsidRPr="00847CCC" w:rsidRDefault="006C33D2" w:rsidP="00273B1F">
            <w:pPr>
              <w:keepNext/>
              <w:keepLines/>
              <w:spacing w:after="40" w:line="240" w:lineRule="auto"/>
              <w:ind w:left="0"/>
              <w:jc w:val="right"/>
              <w:rPr>
                <w:rFonts w:cs="Arial"/>
                <w:color w:val="000000"/>
                <w:sz w:val="16"/>
                <w:szCs w:val="16"/>
                <w:lang w:eastAsia="en-AU" w:bidi="ar-SA"/>
              </w:rPr>
            </w:pPr>
          </w:p>
        </w:tc>
        <w:tc>
          <w:tcPr>
            <w:tcW w:w="993" w:type="dxa"/>
            <w:tcBorders>
              <w:top w:val="single" w:sz="4" w:space="0" w:color="auto"/>
            </w:tcBorders>
            <w:shd w:val="clear" w:color="auto" w:fill="auto"/>
            <w:noWrap/>
            <w:hideMark/>
          </w:tcPr>
          <w:p w:rsidR="006C33D2" w:rsidRPr="00847CCC" w:rsidRDefault="006C33D2" w:rsidP="00273B1F">
            <w:pPr>
              <w:keepNext/>
              <w:keepLines/>
              <w:spacing w:after="40" w:line="240" w:lineRule="auto"/>
              <w:ind w:left="0"/>
              <w:jc w:val="right"/>
              <w:rPr>
                <w:rFonts w:cs="Arial"/>
                <w:color w:val="000000"/>
                <w:sz w:val="16"/>
                <w:szCs w:val="16"/>
                <w:lang w:eastAsia="en-AU" w:bidi="ar-SA"/>
              </w:rPr>
            </w:pPr>
          </w:p>
        </w:tc>
        <w:tc>
          <w:tcPr>
            <w:tcW w:w="992" w:type="dxa"/>
            <w:tcBorders>
              <w:top w:val="single" w:sz="4" w:space="0" w:color="auto"/>
            </w:tcBorders>
            <w:shd w:val="clear" w:color="auto" w:fill="auto"/>
            <w:noWrap/>
            <w:hideMark/>
          </w:tcPr>
          <w:p w:rsidR="006C33D2" w:rsidRPr="00847CCC" w:rsidRDefault="006C33D2" w:rsidP="00273B1F">
            <w:pPr>
              <w:keepNext/>
              <w:keepLines/>
              <w:spacing w:after="40" w:line="240" w:lineRule="auto"/>
              <w:ind w:left="0"/>
              <w:jc w:val="right"/>
              <w:rPr>
                <w:rFonts w:cs="Arial"/>
                <w:color w:val="000000"/>
                <w:sz w:val="16"/>
                <w:szCs w:val="16"/>
                <w:lang w:eastAsia="en-AU" w:bidi="ar-SA"/>
              </w:rPr>
            </w:pPr>
          </w:p>
        </w:tc>
        <w:tc>
          <w:tcPr>
            <w:tcW w:w="765" w:type="dxa"/>
            <w:tcBorders>
              <w:top w:val="single" w:sz="4" w:space="0" w:color="auto"/>
            </w:tcBorders>
            <w:shd w:val="clear" w:color="auto" w:fill="auto"/>
            <w:noWrap/>
            <w:hideMark/>
          </w:tcPr>
          <w:p w:rsidR="006C33D2" w:rsidRPr="00847CCC" w:rsidRDefault="006C33D2" w:rsidP="00273B1F">
            <w:pPr>
              <w:keepNext/>
              <w:keepLines/>
              <w:spacing w:after="40" w:line="240" w:lineRule="auto"/>
              <w:ind w:left="0"/>
              <w:jc w:val="right"/>
              <w:rPr>
                <w:rFonts w:cs="Arial"/>
                <w:color w:val="000000"/>
                <w:sz w:val="16"/>
                <w:szCs w:val="16"/>
                <w:lang w:eastAsia="en-AU" w:bidi="ar-SA"/>
              </w:rPr>
            </w:pPr>
          </w:p>
        </w:tc>
      </w:tr>
      <w:tr w:rsidR="00B06CAF" w:rsidRPr="00847CCC" w:rsidTr="00847CCC">
        <w:trPr>
          <w:trHeight w:val="288"/>
        </w:trPr>
        <w:tc>
          <w:tcPr>
            <w:tcW w:w="850" w:type="dxa"/>
            <w:noWrap/>
            <w:hideMark/>
          </w:tcPr>
          <w:p w:rsidR="008861DE"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CPA</w:t>
            </w:r>
          </w:p>
        </w:tc>
        <w:tc>
          <w:tcPr>
            <w:tcW w:w="3260" w:type="dxa"/>
            <w:noWrap/>
            <w:hideMark/>
          </w:tcPr>
          <w:p w:rsidR="00930638"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Participating in approved activity</w:t>
            </w:r>
          </w:p>
        </w:tc>
        <w:tc>
          <w:tcPr>
            <w:tcW w:w="1134" w:type="dxa"/>
            <w:noWrap/>
            <w:hideMark/>
          </w:tcPr>
          <w:p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0</w:t>
            </w:r>
          </w:p>
        </w:tc>
        <w:tc>
          <w:tcPr>
            <w:tcW w:w="993" w:type="dxa"/>
            <w:noWrap/>
            <w:hideMark/>
          </w:tcPr>
          <w:p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2</w:t>
            </w:r>
          </w:p>
        </w:tc>
        <w:tc>
          <w:tcPr>
            <w:tcW w:w="992" w:type="dxa"/>
            <w:noWrap/>
            <w:hideMark/>
          </w:tcPr>
          <w:p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35</w:t>
            </w:r>
          </w:p>
        </w:tc>
        <w:tc>
          <w:tcPr>
            <w:tcW w:w="765" w:type="dxa"/>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B06CAF" w:rsidRPr="00847CCC" w:rsidTr="00847CCC">
        <w:trPr>
          <w:trHeight w:val="288"/>
        </w:trPr>
        <w:tc>
          <w:tcPr>
            <w:tcW w:w="850" w:type="dxa"/>
            <w:noWrap/>
            <w:hideMark/>
          </w:tcPr>
          <w:p w:rsidR="008861DE"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DEP</w:t>
            </w:r>
          </w:p>
        </w:tc>
        <w:tc>
          <w:tcPr>
            <w:tcW w:w="3260" w:type="dxa"/>
            <w:noWrap/>
            <w:hideMark/>
          </w:tcPr>
          <w:p w:rsidR="00930638"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Child participating in approved activity</w:t>
            </w:r>
          </w:p>
        </w:tc>
        <w:tc>
          <w:tcPr>
            <w:tcW w:w="1134" w:type="dxa"/>
            <w:noWrap/>
            <w:hideMark/>
          </w:tcPr>
          <w:p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0</w:t>
            </w:r>
          </w:p>
        </w:tc>
        <w:tc>
          <w:tcPr>
            <w:tcW w:w="993" w:type="dxa"/>
            <w:noWrap/>
            <w:hideMark/>
          </w:tcPr>
          <w:p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4</w:t>
            </w:r>
          </w:p>
        </w:tc>
        <w:tc>
          <w:tcPr>
            <w:tcW w:w="992" w:type="dxa"/>
            <w:noWrap/>
            <w:hideMark/>
          </w:tcPr>
          <w:p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146</w:t>
            </w:r>
          </w:p>
        </w:tc>
        <w:tc>
          <w:tcPr>
            <w:tcW w:w="765" w:type="dxa"/>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B06CAF" w:rsidRPr="00847CCC" w:rsidTr="00847CCC">
        <w:trPr>
          <w:trHeight w:val="288"/>
        </w:trPr>
        <w:tc>
          <w:tcPr>
            <w:tcW w:w="850" w:type="dxa"/>
            <w:noWrap/>
            <w:hideMark/>
          </w:tcPr>
          <w:p w:rsidR="008861DE"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RPE</w:t>
            </w:r>
          </w:p>
        </w:tc>
        <w:tc>
          <w:tcPr>
            <w:tcW w:w="3260" w:type="dxa"/>
            <w:noWrap/>
            <w:hideMark/>
          </w:tcPr>
          <w:p w:rsidR="00930638"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In regular paid employment</w:t>
            </w:r>
          </w:p>
        </w:tc>
        <w:tc>
          <w:tcPr>
            <w:tcW w:w="1134" w:type="dxa"/>
            <w:noWrap/>
            <w:hideMark/>
          </w:tcPr>
          <w:p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0</w:t>
            </w:r>
          </w:p>
        </w:tc>
        <w:tc>
          <w:tcPr>
            <w:tcW w:w="993" w:type="dxa"/>
            <w:noWrap/>
            <w:hideMark/>
          </w:tcPr>
          <w:p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w:t>
            </w:r>
          </w:p>
        </w:tc>
        <w:tc>
          <w:tcPr>
            <w:tcW w:w="992" w:type="dxa"/>
            <w:noWrap/>
            <w:hideMark/>
          </w:tcPr>
          <w:p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42</w:t>
            </w:r>
          </w:p>
        </w:tc>
        <w:tc>
          <w:tcPr>
            <w:tcW w:w="765" w:type="dxa"/>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B06CAF" w:rsidRPr="00847CCC" w:rsidTr="00847CCC">
        <w:trPr>
          <w:trHeight w:val="288"/>
        </w:trPr>
        <w:tc>
          <w:tcPr>
            <w:tcW w:w="850" w:type="dxa"/>
            <w:noWrap/>
            <w:hideMark/>
          </w:tcPr>
          <w:p w:rsidR="008861DE"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HEM</w:t>
            </w:r>
          </w:p>
        </w:tc>
        <w:tc>
          <w:tcPr>
            <w:tcW w:w="3260" w:type="dxa"/>
            <w:noWrap/>
            <w:hideMark/>
          </w:tcPr>
          <w:p w:rsidR="00930638"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Health/Engagement activity met</w:t>
            </w:r>
          </w:p>
        </w:tc>
        <w:tc>
          <w:tcPr>
            <w:tcW w:w="1134" w:type="dxa"/>
            <w:noWrap/>
            <w:hideMark/>
          </w:tcPr>
          <w:p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0</w:t>
            </w:r>
          </w:p>
        </w:tc>
        <w:tc>
          <w:tcPr>
            <w:tcW w:w="993" w:type="dxa"/>
            <w:noWrap/>
            <w:hideMark/>
          </w:tcPr>
          <w:p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7</w:t>
            </w:r>
          </w:p>
        </w:tc>
        <w:tc>
          <w:tcPr>
            <w:tcW w:w="992" w:type="dxa"/>
            <w:noWrap/>
            <w:hideMark/>
          </w:tcPr>
          <w:p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1311</w:t>
            </w:r>
          </w:p>
        </w:tc>
        <w:tc>
          <w:tcPr>
            <w:tcW w:w="765" w:type="dxa"/>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B06CAF" w:rsidRPr="00847CCC" w:rsidTr="00847CCC">
        <w:trPr>
          <w:trHeight w:val="300"/>
        </w:trPr>
        <w:tc>
          <w:tcPr>
            <w:tcW w:w="850" w:type="dxa"/>
            <w:noWrap/>
            <w:hideMark/>
          </w:tcPr>
          <w:p w:rsidR="008861DE"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SPL</w:t>
            </w:r>
          </w:p>
        </w:tc>
        <w:tc>
          <w:tcPr>
            <w:tcW w:w="3260" w:type="dxa"/>
            <w:noWrap/>
            <w:hideMark/>
          </w:tcPr>
          <w:p w:rsidR="00930638"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Specified class exemption</w:t>
            </w:r>
          </w:p>
        </w:tc>
        <w:tc>
          <w:tcPr>
            <w:tcW w:w="1134" w:type="dxa"/>
            <w:noWrap/>
            <w:hideMark/>
          </w:tcPr>
          <w:p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0</w:t>
            </w:r>
          </w:p>
        </w:tc>
        <w:tc>
          <w:tcPr>
            <w:tcW w:w="993" w:type="dxa"/>
            <w:noWrap/>
            <w:hideMark/>
          </w:tcPr>
          <w:p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0</w:t>
            </w:r>
          </w:p>
        </w:tc>
        <w:tc>
          <w:tcPr>
            <w:tcW w:w="992" w:type="dxa"/>
            <w:noWrap/>
            <w:hideMark/>
          </w:tcPr>
          <w:p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2</w:t>
            </w:r>
          </w:p>
        </w:tc>
        <w:tc>
          <w:tcPr>
            <w:tcW w:w="765" w:type="dxa"/>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B06CAF" w:rsidRPr="00847CCC" w:rsidTr="00847CCC">
        <w:trPr>
          <w:trHeight w:val="300"/>
        </w:trPr>
        <w:tc>
          <w:tcPr>
            <w:tcW w:w="850" w:type="dxa"/>
            <w:tcBorders>
              <w:bottom w:val="single" w:sz="4" w:space="0" w:color="auto"/>
            </w:tcBorders>
            <w:noWrap/>
            <w:hideMark/>
          </w:tcPr>
          <w:p w:rsidR="008861DE" w:rsidRPr="00847CCC" w:rsidRDefault="008861DE" w:rsidP="00273B1F">
            <w:pPr>
              <w:keepNext/>
              <w:keepLines/>
              <w:spacing w:after="40" w:line="240" w:lineRule="auto"/>
              <w:ind w:left="0"/>
              <w:jc w:val="left"/>
              <w:rPr>
                <w:rFonts w:cs="Arial"/>
                <w:i/>
                <w:color w:val="000000"/>
                <w:sz w:val="16"/>
                <w:szCs w:val="16"/>
                <w:lang w:eastAsia="en-AU" w:bidi="ar-SA"/>
              </w:rPr>
            </w:pPr>
            <w:r w:rsidRPr="00847CCC">
              <w:rPr>
                <w:rFonts w:cs="Arial"/>
                <w:i/>
                <w:color w:val="000000"/>
                <w:sz w:val="16"/>
                <w:szCs w:val="16"/>
                <w:lang w:eastAsia="en-AU" w:bidi="ar-SA"/>
              </w:rPr>
              <w:t>Total</w:t>
            </w:r>
          </w:p>
        </w:tc>
        <w:tc>
          <w:tcPr>
            <w:tcW w:w="3260" w:type="dxa"/>
            <w:tcBorders>
              <w:bottom w:val="single" w:sz="4" w:space="0" w:color="auto"/>
            </w:tcBorders>
            <w:noWrap/>
            <w:hideMark/>
          </w:tcPr>
          <w:p w:rsidR="00930638" w:rsidRPr="00847CCC" w:rsidRDefault="00930638" w:rsidP="00273B1F">
            <w:pPr>
              <w:keepNext/>
              <w:keepLines/>
              <w:spacing w:after="40" w:line="240" w:lineRule="auto"/>
              <w:ind w:left="0"/>
              <w:jc w:val="left"/>
              <w:rPr>
                <w:rFonts w:cs="Arial"/>
                <w:i/>
                <w:color w:val="000000"/>
                <w:sz w:val="16"/>
                <w:szCs w:val="16"/>
                <w:lang w:eastAsia="en-AU" w:bidi="ar-SA"/>
              </w:rPr>
            </w:pPr>
          </w:p>
        </w:tc>
        <w:tc>
          <w:tcPr>
            <w:tcW w:w="1134" w:type="dxa"/>
            <w:tcBorders>
              <w:bottom w:val="single" w:sz="4" w:space="0" w:color="auto"/>
            </w:tcBorders>
            <w:noWrap/>
            <w:hideMark/>
          </w:tcPr>
          <w:p w:rsidR="00930638" w:rsidRPr="00847CCC" w:rsidRDefault="008861DE" w:rsidP="00273B1F">
            <w:pPr>
              <w:keepNext/>
              <w:keepLines/>
              <w:spacing w:after="40" w:line="240" w:lineRule="auto"/>
              <w:ind w:left="0"/>
              <w:jc w:val="right"/>
              <w:rPr>
                <w:rFonts w:cs="Arial"/>
                <w:i/>
                <w:color w:val="000000"/>
                <w:sz w:val="16"/>
                <w:szCs w:val="16"/>
                <w:lang w:eastAsia="en-AU" w:bidi="ar-SA"/>
              </w:rPr>
            </w:pPr>
            <w:r w:rsidRPr="00847CCC">
              <w:rPr>
                <w:rFonts w:cs="Arial"/>
                <w:i/>
                <w:color w:val="000000"/>
                <w:sz w:val="16"/>
                <w:szCs w:val="16"/>
                <w:lang w:eastAsia="en-AU" w:bidi="ar-SA"/>
              </w:rPr>
              <w:t>0</w:t>
            </w:r>
          </w:p>
        </w:tc>
        <w:tc>
          <w:tcPr>
            <w:tcW w:w="993" w:type="dxa"/>
            <w:tcBorders>
              <w:bottom w:val="single" w:sz="4" w:space="0" w:color="auto"/>
            </w:tcBorders>
            <w:noWrap/>
            <w:hideMark/>
          </w:tcPr>
          <w:p w:rsidR="00930638" w:rsidRPr="00847CCC" w:rsidRDefault="008861DE" w:rsidP="00273B1F">
            <w:pPr>
              <w:keepNext/>
              <w:keepLines/>
              <w:spacing w:after="40" w:line="240" w:lineRule="auto"/>
              <w:ind w:left="0"/>
              <w:jc w:val="right"/>
              <w:rPr>
                <w:rFonts w:cs="Arial"/>
                <w:i/>
                <w:color w:val="000000"/>
                <w:sz w:val="16"/>
                <w:szCs w:val="16"/>
                <w:lang w:eastAsia="en-AU" w:bidi="ar-SA"/>
              </w:rPr>
            </w:pPr>
            <w:r w:rsidRPr="00847CCC">
              <w:rPr>
                <w:rFonts w:cs="Arial"/>
                <w:i/>
                <w:color w:val="000000"/>
                <w:sz w:val="16"/>
                <w:szCs w:val="16"/>
                <w:lang w:eastAsia="en-AU" w:bidi="ar-SA"/>
              </w:rPr>
              <w:t>14</w:t>
            </w:r>
          </w:p>
        </w:tc>
        <w:tc>
          <w:tcPr>
            <w:tcW w:w="992" w:type="dxa"/>
            <w:tcBorders>
              <w:bottom w:val="single" w:sz="4" w:space="0" w:color="auto"/>
            </w:tcBorders>
            <w:noWrap/>
            <w:hideMark/>
          </w:tcPr>
          <w:p w:rsidR="00930638" w:rsidRPr="00847CCC" w:rsidRDefault="008861DE" w:rsidP="00273B1F">
            <w:pPr>
              <w:keepNext/>
              <w:keepLines/>
              <w:spacing w:after="40" w:line="240" w:lineRule="auto"/>
              <w:ind w:left="0"/>
              <w:jc w:val="right"/>
              <w:rPr>
                <w:rFonts w:cs="Arial"/>
                <w:i/>
                <w:color w:val="000000"/>
                <w:sz w:val="16"/>
                <w:szCs w:val="16"/>
                <w:lang w:eastAsia="en-AU" w:bidi="ar-SA"/>
              </w:rPr>
            </w:pPr>
            <w:r w:rsidRPr="00847CCC">
              <w:rPr>
                <w:rFonts w:cs="Arial"/>
                <w:i/>
                <w:color w:val="000000"/>
                <w:sz w:val="16"/>
                <w:szCs w:val="16"/>
                <w:lang w:eastAsia="en-AU" w:bidi="ar-SA"/>
              </w:rPr>
              <w:t>1</w:t>
            </w:r>
            <w:r w:rsidR="00F5755B" w:rsidRPr="00847CCC">
              <w:rPr>
                <w:rFonts w:cs="Arial"/>
                <w:i/>
                <w:color w:val="000000"/>
                <w:sz w:val="16"/>
                <w:szCs w:val="16"/>
                <w:lang w:eastAsia="en-AU" w:bidi="ar-SA"/>
              </w:rPr>
              <w:t> </w:t>
            </w:r>
            <w:r w:rsidRPr="00847CCC">
              <w:rPr>
                <w:rFonts w:cs="Arial"/>
                <w:i/>
                <w:color w:val="000000"/>
                <w:sz w:val="16"/>
                <w:szCs w:val="16"/>
                <w:lang w:eastAsia="en-AU" w:bidi="ar-SA"/>
              </w:rPr>
              <w:t>536</w:t>
            </w:r>
          </w:p>
        </w:tc>
        <w:tc>
          <w:tcPr>
            <w:tcW w:w="765" w:type="dxa"/>
            <w:tcBorders>
              <w:bottom w:val="single" w:sz="4" w:space="0" w:color="auto"/>
            </w:tcBorders>
            <w:noWrap/>
            <w:hideMark/>
          </w:tcPr>
          <w:p w:rsidR="00930638" w:rsidRPr="00847CCC" w:rsidRDefault="008861DE" w:rsidP="00273B1F">
            <w:pPr>
              <w:keepNext/>
              <w:keepLines/>
              <w:spacing w:after="40" w:line="240" w:lineRule="auto"/>
              <w:ind w:left="0"/>
              <w:jc w:val="right"/>
              <w:rPr>
                <w:rFonts w:cs="Arial"/>
                <w:i/>
                <w:color w:val="000000"/>
                <w:sz w:val="16"/>
                <w:szCs w:val="16"/>
                <w:lang w:eastAsia="en-AU" w:bidi="ar-SA"/>
              </w:rPr>
            </w:pPr>
            <w:r w:rsidRPr="00847CCC">
              <w:rPr>
                <w:rFonts w:cs="Arial"/>
                <w:i/>
                <w:color w:val="000000"/>
                <w:sz w:val="16"/>
                <w:szCs w:val="16"/>
                <w:lang w:eastAsia="en-AU" w:bidi="ar-SA"/>
              </w:rPr>
              <w:t>1</w:t>
            </w:r>
            <w:r w:rsidR="00F5755B" w:rsidRPr="00847CCC">
              <w:rPr>
                <w:rFonts w:cs="Arial"/>
                <w:i/>
                <w:color w:val="000000"/>
                <w:sz w:val="16"/>
                <w:szCs w:val="16"/>
                <w:lang w:eastAsia="en-AU" w:bidi="ar-SA"/>
              </w:rPr>
              <w:t> </w:t>
            </w:r>
            <w:r w:rsidRPr="00847CCC">
              <w:rPr>
                <w:rFonts w:cs="Arial"/>
                <w:i/>
                <w:color w:val="000000"/>
                <w:sz w:val="16"/>
                <w:szCs w:val="16"/>
                <w:lang w:eastAsia="en-AU" w:bidi="ar-SA"/>
              </w:rPr>
              <w:t>550</w:t>
            </w:r>
          </w:p>
        </w:tc>
      </w:tr>
      <w:tr w:rsidR="00B06CAF" w:rsidRPr="00847CCC" w:rsidTr="00847CCC">
        <w:trPr>
          <w:trHeight w:val="288"/>
        </w:trPr>
        <w:tc>
          <w:tcPr>
            <w:tcW w:w="4110" w:type="dxa"/>
            <w:gridSpan w:val="2"/>
            <w:tcBorders>
              <w:top w:val="single" w:sz="4" w:space="0" w:color="auto"/>
            </w:tcBorders>
            <w:noWrap/>
            <w:hideMark/>
          </w:tcPr>
          <w:p w:rsidR="008861DE" w:rsidRPr="00847CCC" w:rsidRDefault="008861DE" w:rsidP="00273B1F">
            <w:pPr>
              <w:keepNext/>
              <w:keepLines/>
              <w:spacing w:after="40" w:line="240" w:lineRule="auto"/>
              <w:ind w:left="0"/>
              <w:jc w:val="left"/>
              <w:rPr>
                <w:rFonts w:cs="Arial"/>
                <w:b/>
                <w:color w:val="000000"/>
                <w:sz w:val="16"/>
                <w:szCs w:val="16"/>
                <w:lang w:eastAsia="en-AU" w:bidi="ar-SA"/>
              </w:rPr>
            </w:pPr>
            <w:r w:rsidRPr="00847CCC">
              <w:rPr>
                <w:rFonts w:cs="Arial"/>
                <w:b/>
                <w:color w:val="000000"/>
                <w:sz w:val="16"/>
                <w:szCs w:val="16"/>
                <w:lang w:eastAsia="en-AU" w:bidi="ar-SA"/>
              </w:rPr>
              <w:t>Application rejected</w:t>
            </w:r>
          </w:p>
        </w:tc>
        <w:tc>
          <w:tcPr>
            <w:tcW w:w="1134" w:type="dxa"/>
            <w:tcBorders>
              <w:top w:val="single" w:sz="4" w:space="0" w:color="auto"/>
            </w:tcBorders>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c>
          <w:tcPr>
            <w:tcW w:w="993" w:type="dxa"/>
            <w:tcBorders>
              <w:top w:val="single" w:sz="4" w:space="0" w:color="auto"/>
            </w:tcBorders>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c>
          <w:tcPr>
            <w:tcW w:w="992" w:type="dxa"/>
            <w:tcBorders>
              <w:top w:val="single" w:sz="4" w:space="0" w:color="auto"/>
            </w:tcBorders>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c>
          <w:tcPr>
            <w:tcW w:w="765" w:type="dxa"/>
            <w:tcBorders>
              <w:top w:val="single" w:sz="4" w:space="0" w:color="auto"/>
            </w:tcBorders>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B06CAF" w:rsidRPr="00847CCC" w:rsidTr="00847CCC">
        <w:trPr>
          <w:trHeight w:val="288"/>
        </w:trPr>
        <w:tc>
          <w:tcPr>
            <w:tcW w:w="850" w:type="dxa"/>
            <w:noWrap/>
            <w:hideMark/>
          </w:tcPr>
          <w:p w:rsidR="00513BED" w:rsidRPr="00847CCC" w:rsidRDefault="00513BED"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CNA</w:t>
            </w:r>
          </w:p>
        </w:tc>
        <w:tc>
          <w:tcPr>
            <w:tcW w:w="3260" w:type="dxa"/>
            <w:noWrap/>
            <w:hideMark/>
          </w:tcPr>
          <w:p w:rsidR="00930638" w:rsidRPr="00847CCC" w:rsidRDefault="00513BED"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Not participating in approved activity</w:t>
            </w:r>
          </w:p>
        </w:tc>
        <w:tc>
          <w:tcPr>
            <w:tcW w:w="1134" w:type="dxa"/>
            <w:noWrap/>
            <w:hideMark/>
          </w:tcPr>
          <w:p w:rsidR="00930638" w:rsidRPr="00847CCC" w:rsidRDefault="00993FA6"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47</w:t>
            </w:r>
          </w:p>
        </w:tc>
        <w:tc>
          <w:tcPr>
            <w:tcW w:w="993" w:type="dxa"/>
            <w:noWrap/>
            <w:hideMark/>
          </w:tcPr>
          <w:p w:rsidR="00930638" w:rsidRPr="00847CCC" w:rsidRDefault="00513BED"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0</w:t>
            </w:r>
          </w:p>
        </w:tc>
        <w:tc>
          <w:tcPr>
            <w:tcW w:w="992" w:type="dxa"/>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c>
          <w:tcPr>
            <w:tcW w:w="765" w:type="dxa"/>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851FBD" w:rsidRPr="00847CCC" w:rsidTr="00847CCC">
        <w:trPr>
          <w:trHeight w:val="288"/>
        </w:trPr>
        <w:tc>
          <w:tcPr>
            <w:tcW w:w="850" w:type="dxa"/>
            <w:shd w:val="clear" w:color="auto" w:fill="auto"/>
            <w:noWrap/>
            <w:hideMark/>
          </w:tcPr>
          <w:p w:rsidR="00513BED" w:rsidRPr="00847CCC" w:rsidRDefault="00513BED"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NEP</w:t>
            </w:r>
          </w:p>
        </w:tc>
        <w:tc>
          <w:tcPr>
            <w:tcW w:w="3260" w:type="dxa"/>
            <w:shd w:val="clear" w:color="auto" w:fill="auto"/>
            <w:noWrap/>
            <w:hideMark/>
          </w:tcPr>
          <w:p w:rsidR="00930638" w:rsidRPr="00847CCC" w:rsidRDefault="00513BED"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No evidence provided</w:t>
            </w:r>
          </w:p>
        </w:tc>
        <w:tc>
          <w:tcPr>
            <w:tcW w:w="1134" w:type="dxa"/>
            <w:shd w:val="clear" w:color="auto" w:fill="auto"/>
            <w:noWrap/>
            <w:hideMark/>
          </w:tcPr>
          <w:p w:rsidR="00930638" w:rsidRPr="00847CCC" w:rsidRDefault="00993FA6"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415</w:t>
            </w:r>
          </w:p>
        </w:tc>
        <w:tc>
          <w:tcPr>
            <w:tcW w:w="993" w:type="dxa"/>
            <w:shd w:val="clear" w:color="auto" w:fill="auto"/>
            <w:noWrap/>
            <w:hideMark/>
          </w:tcPr>
          <w:p w:rsidR="00930638" w:rsidRPr="00847CCC" w:rsidRDefault="00513BED"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3</w:t>
            </w:r>
          </w:p>
        </w:tc>
        <w:tc>
          <w:tcPr>
            <w:tcW w:w="992" w:type="dxa"/>
            <w:shd w:val="clear" w:color="auto" w:fill="auto"/>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c>
          <w:tcPr>
            <w:tcW w:w="765" w:type="dxa"/>
            <w:shd w:val="clear" w:color="auto" w:fill="auto"/>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851FBD" w:rsidRPr="00847CCC" w:rsidTr="00847CCC">
        <w:trPr>
          <w:trHeight w:val="288"/>
        </w:trPr>
        <w:tc>
          <w:tcPr>
            <w:tcW w:w="850" w:type="dxa"/>
            <w:shd w:val="clear" w:color="auto" w:fill="auto"/>
            <w:noWrap/>
            <w:hideMark/>
          </w:tcPr>
          <w:p w:rsidR="00513BED" w:rsidRPr="00847CCC" w:rsidRDefault="00513BED"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NFS</w:t>
            </w:r>
          </w:p>
        </w:tc>
        <w:tc>
          <w:tcPr>
            <w:tcW w:w="3260" w:type="dxa"/>
            <w:shd w:val="clear" w:color="auto" w:fill="auto"/>
            <w:noWrap/>
            <w:hideMark/>
          </w:tcPr>
          <w:p w:rsidR="00930638" w:rsidRPr="00847CCC" w:rsidRDefault="00513BED"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Not financially stable</w:t>
            </w:r>
          </w:p>
        </w:tc>
        <w:tc>
          <w:tcPr>
            <w:tcW w:w="1134" w:type="dxa"/>
            <w:shd w:val="clear" w:color="auto" w:fill="auto"/>
            <w:noWrap/>
            <w:hideMark/>
          </w:tcPr>
          <w:p w:rsidR="00930638" w:rsidRPr="00847CCC" w:rsidRDefault="00993FA6"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136</w:t>
            </w:r>
          </w:p>
        </w:tc>
        <w:tc>
          <w:tcPr>
            <w:tcW w:w="993" w:type="dxa"/>
            <w:shd w:val="clear" w:color="auto" w:fill="auto"/>
            <w:noWrap/>
            <w:hideMark/>
          </w:tcPr>
          <w:p w:rsidR="00930638" w:rsidRPr="00847CCC" w:rsidRDefault="00513BED"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w:t>
            </w:r>
          </w:p>
        </w:tc>
        <w:tc>
          <w:tcPr>
            <w:tcW w:w="992" w:type="dxa"/>
            <w:shd w:val="clear" w:color="auto" w:fill="auto"/>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c>
          <w:tcPr>
            <w:tcW w:w="765" w:type="dxa"/>
            <w:shd w:val="clear" w:color="auto" w:fill="auto"/>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B06CAF" w:rsidRPr="00847CCC" w:rsidTr="00847CCC">
        <w:trPr>
          <w:trHeight w:val="288"/>
        </w:trPr>
        <w:tc>
          <w:tcPr>
            <w:tcW w:w="850" w:type="dxa"/>
            <w:noWrap/>
            <w:hideMark/>
          </w:tcPr>
          <w:p w:rsidR="00513BED" w:rsidRPr="00847CCC" w:rsidRDefault="00513BED"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NFT</w:t>
            </w:r>
          </w:p>
        </w:tc>
        <w:tc>
          <w:tcPr>
            <w:tcW w:w="3260" w:type="dxa"/>
            <w:noWrap/>
            <w:hideMark/>
          </w:tcPr>
          <w:p w:rsidR="00930638" w:rsidRPr="00847CCC" w:rsidRDefault="00513BED"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Not full-time student</w:t>
            </w:r>
          </w:p>
        </w:tc>
        <w:tc>
          <w:tcPr>
            <w:tcW w:w="1134" w:type="dxa"/>
            <w:noWrap/>
            <w:hideMark/>
          </w:tcPr>
          <w:p w:rsidR="00930638" w:rsidRPr="00847CCC" w:rsidRDefault="00993FA6"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7</w:t>
            </w:r>
          </w:p>
        </w:tc>
        <w:tc>
          <w:tcPr>
            <w:tcW w:w="993" w:type="dxa"/>
            <w:noWrap/>
            <w:hideMark/>
          </w:tcPr>
          <w:p w:rsidR="00930638" w:rsidRPr="00847CCC" w:rsidRDefault="00513BED"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w:t>
            </w:r>
          </w:p>
        </w:tc>
        <w:tc>
          <w:tcPr>
            <w:tcW w:w="992" w:type="dxa"/>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c>
          <w:tcPr>
            <w:tcW w:w="765" w:type="dxa"/>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B06CAF" w:rsidRPr="00847CCC" w:rsidTr="00847CCC">
        <w:trPr>
          <w:trHeight w:val="288"/>
        </w:trPr>
        <w:tc>
          <w:tcPr>
            <w:tcW w:w="850" w:type="dxa"/>
            <w:noWrap/>
            <w:hideMark/>
          </w:tcPr>
          <w:p w:rsidR="00513BED" w:rsidRPr="00847CCC" w:rsidRDefault="00513BED"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NRP</w:t>
            </w:r>
          </w:p>
        </w:tc>
        <w:tc>
          <w:tcPr>
            <w:tcW w:w="3260" w:type="dxa"/>
            <w:noWrap/>
            <w:hideMark/>
          </w:tcPr>
          <w:p w:rsidR="00930638" w:rsidRPr="00847CCC" w:rsidRDefault="00513BED"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Not in regular paid employment</w:t>
            </w:r>
          </w:p>
        </w:tc>
        <w:tc>
          <w:tcPr>
            <w:tcW w:w="1134" w:type="dxa"/>
            <w:noWrap/>
            <w:hideMark/>
          </w:tcPr>
          <w:p w:rsidR="00930638" w:rsidRPr="00847CCC" w:rsidRDefault="00993FA6"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60</w:t>
            </w:r>
          </w:p>
        </w:tc>
        <w:tc>
          <w:tcPr>
            <w:tcW w:w="993" w:type="dxa"/>
            <w:noWrap/>
            <w:hideMark/>
          </w:tcPr>
          <w:p w:rsidR="00930638" w:rsidRPr="00847CCC" w:rsidRDefault="00513BED"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0</w:t>
            </w:r>
          </w:p>
        </w:tc>
        <w:tc>
          <w:tcPr>
            <w:tcW w:w="992" w:type="dxa"/>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c>
          <w:tcPr>
            <w:tcW w:w="765" w:type="dxa"/>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851FBD" w:rsidRPr="00847CCC" w:rsidTr="00847CCC">
        <w:trPr>
          <w:trHeight w:val="288"/>
        </w:trPr>
        <w:tc>
          <w:tcPr>
            <w:tcW w:w="850" w:type="dxa"/>
            <w:shd w:val="clear" w:color="auto" w:fill="auto"/>
            <w:noWrap/>
            <w:hideMark/>
          </w:tcPr>
          <w:p w:rsidR="00513BED" w:rsidRPr="00847CCC" w:rsidRDefault="00513BED"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UAE</w:t>
            </w:r>
          </w:p>
        </w:tc>
        <w:tc>
          <w:tcPr>
            <w:tcW w:w="3260" w:type="dxa"/>
            <w:shd w:val="clear" w:color="auto" w:fill="auto"/>
            <w:noWrap/>
            <w:hideMark/>
          </w:tcPr>
          <w:p w:rsidR="00930638" w:rsidRPr="00847CCC" w:rsidRDefault="00513BED"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Unacceptable Evidence</w:t>
            </w:r>
          </w:p>
        </w:tc>
        <w:tc>
          <w:tcPr>
            <w:tcW w:w="1134" w:type="dxa"/>
            <w:shd w:val="clear" w:color="auto" w:fill="auto"/>
            <w:noWrap/>
            <w:hideMark/>
          </w:tcPr>
          <w:p w:rsidR="00930638" w:rsidRPr="00847CCC" w:rsidRDefault="00993FA6"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136</w:t>
            </w:r>
          </w:p>
        </w:tc>
        <w:tc>
          <w:tcPr>
            <w:tcW w:w="993" w:type="dxa"/>
            <w:shd w:val="clear" w:color="auto" w:fill="auto"/>
            <w:noWrap/>
            <w:hideMark/>
          </w:tcPr>
          <w:p w:rsidR="00930638" w:rsidRPr="00847CCC" w:rsidRDefault="00513BED"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0</w:t>
            </w:r>
          </w:p>
        </w:tc>
        <w:tc>
          <w:tcPr>
            <w:tcW w:w="992" w:type="dxa"/>
            <w:shd w:val="clear" w:color="auto" w:fill="auto"/>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c>
          <w:tcPr>
            <w:tcW w:w="765" w:type="dxa"/>
            <w:shd w:val="clear" w:color="auto" w:fill="auto"/>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B06CAF" w:rsidRPr="00847CCC" w:rsidTr="00847CCC">
        <w:trPr>
          <w:trHeight w:val="288"/>
        </w:trPr>
        <w:tc>
          <w:tcPr>
            <w:tcW w:w="850" w:type="dxa"/>
            <w:noWrap/>
            <w:hideMark/>
          </w:tcPr>
          <w:p w:rsidR="00513BED" w:rsidRPr="00847CCC" w:rsidRDefault="00513BED"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NSP</w:t>
            </w:r>
          </w:p>
        </w:tc>
        <w:tc>
          <w:tcPr>
            <w:tcW w:w="3260" w:type="dxa"/>
            <w:noWrap/>
            <w:hideMark/>
          </w:tcPr>
          <w:p w:rsidR="00930638" w:rsidRPr="00847CCC" w:rsidRDefault="00513BED"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Does not meet specified class exemption</w:t>
            </w:r>
          </w:p>
        </w:tc>
        <w:tc>
          <w:tcPr>
            <w:tcW w:w="1134" w:type="dxa"/>
            <w:noWrap/>
            <w:hideMark/>
          </w:tcPr>
          <w:p w:rsidR="00930638" w:rsidRPr="00847CCC" w:rsidRDefault="00993FA6"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w:t>
            </w:r>
          </w:p>
        </w:tc>
        <w:tc>
          <w:tcPr>
            <w:tcW w:w="993" w:type="dxa"/>
            <w:noWrap/>
            <w:hideMark/>
          </w:tcPr>
          <w:p w:rsidR="00930638" w:rsidRPr="00847CCC" w:rsidRDefault="00513BED"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0</w:t>
            </w:r>
          </w:p>
        </w:tc>
        <w:tc>
          <w:tcPr>
            <w:tcW w:w="992" w:type="dxa"/>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c>
          <w:tcPr>
            <w:tcW w:w="765" w:type="dxa"/>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851FBD" w:rsidRPr="00847CCC" w:rsidTr="00847CCC">
        <w:trPr>
          <w:trHeight w:val="288"/>
        </w:trPr>
        <w:tc>
          <w:tcPr>
            <w:tcW w:w="850" w:type="dxa"/>
            <w:shd w:val="clear" w:color="auto" w:fill="auto"/>
            <w:noWrap/>
            <w:hideMark/>
          </w:tcPr>
          <w:p w:rsidR="00513BED" w:rsidRPr="00847CCC" w:rsidRDefault="00513BED"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HEN</w:t>
            </w:r>
          </w:p>
        </w:tc>
        <w:tc>
          <w:tcPr>
            <w:tcW w:w="3260" w:type="dxa"/>
            <w:shd w:val="clear" w:color="auto" w:fill="auto"/>
            <w:noWrap/>
            <w:hideMark/>
          </w:tcPr>
          <w:p w:rsidR="00930638" w:rsidRPr="00847CCC" w:rsidRDefault="00513BED"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Health and engagement activity not met</w:t>
            </w:r>
          </w:p>
        </w:tc>
        <w:tc>
          <w:tcPr>
            <w:tcW w:w="1134" w:type="dxa"/>
            <w:shd w:val="clear" w:color="auto" w:fill="auto"/>
            <w:noWrap/>
            <w:hideMark/>
          </w:tcPr>
          <w:p w:rsidR="00930638" w:rsidRPr="00847CCC" w:rsidRDefault="00993FA6"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350</w:t>
            </w:r>
          </w:p>
        </w:tc>
        <w:tc>
          <w:tcPr>
            <w:tcW w:w="993" w:type="dxa"/>
            <w:shd w:val="clear" w:color="auto" w:fill="auto"/>
            <w:noWrap/>
            <w:hideMark/>
          </w:tcPr>
          <w:p w:rsidR="00930638" w:rsidRPr="00847CCC" w:rsidRDefault="00513BED"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w:t>
            </w:r>
          </w:p>
        </w:tc>
        <w:tc>
          <w:tcPr>
            <w:tcW w:w="992" w:type="dxa"/>
            <w:shd w:val="clear" w:color="auto" w:fill="auto"/>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c>
          <w:tcPr>
            <w:tcW w:w="765" w:type="dxa"/>
            <w:shd w:val="clear" w:color="auto" w:fill="auto"/>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B06CAF" w:rsidRPr="00847CCC" w:rsidTr="00847CCC">
        <w:trPr>
          <w:trHeight w:val="288"/>
        </w:trPr>
        <w:tc>
          <w:tcPr>
            <w:tcW w:w="850" w:type="dxa"/>
            <w:tcBorders>
              <w:bottom w:val="single" w:sz="4" w:space="0" w:color="auto"/>
            </w:tcBorders>
            <w:noWrap/>
            <w:hideMark/>
          </w:tcPr>
          <w:p w:rsidR="00513BED" w:rsidRPr="00847CCC" w:rsidRDefault="00513BED" w:rsidP="00273B1F">
            <w:pPr>
              <w:keepNext/>
              <w:keepLines/>
              <w:spacing w:after="40" w:line="240" w:lineRule="auto"/>
              <w:ind w:left="0"/>
              <w:jc w:val="left"/>
              <w:rPr>
                <w:rFonts w:cs="Arial"/>
                <w:i/>
                <w:color w:val="000000"/>
                <w:sz w:val="16"/>
                <w:szCs w:val="16"/>
                <w:lang w:eastAsia="en-AU" w:bidi="ar-SA"/>
              </w:rPr>
            </w:pPr>
            <w:r w:rsidRPr="00847CCC">
              <w:rPr>
                <w:rFonts w:cs="Arial"/>
                <w:i/>
                <w:color w:val="000000"/>
                <w:sz w:val="16"/>
                <w:szCs w:val="16"/>
                <w:lang w:eastAsia="en-AU" w:bidi="ar-SA"/>
              </w:rPr>
              <w:t>Total</w:t>
            </w:r>
          </w:p>
        </w:tc>
        <w:tc>
          <w:tcPr>
            <w:tcW w:w="3260" w:type="dxa"/>
            <w:tcBorders>
              <w:bottom w:val="single" w:sz="4" w:space="0" w:color="auto"/>
            </w:tcBorders>
            <w:noWrap/>
            <w:hideMark/>
          </w:tcPr>
          <w:p w:rsidR="00930638" w:rsidRPr="00847CCC" w:rsidRDefault="00930638" w:rsidP="00273B1F">
            <w:pPr>
              <w:keepNext/>
              <w:keepLines/>
              <w:spacing w:after="40" w:line="240" w:lineRule="auto"/>
              <w:ind w:left="0"/>
              <w:jc w:val="left"/>
              <w:rPr>
                <w:rFonts w:cs="Arial"/>
                <w:i/>
                <w:color w:val="000000"/>
                <w:sz w:val="16"/>
                <w:szCs w:val="16"/>
                <w:lang w:eastAsia="en-AU" w:bidi="ar-SA"/>
              </w:rPr>
            </w:pPr>
          </w:p>
        </w:tc>
        <w:tc>
          <w:tcPr>
            <w:tcW w:w="1134" w:type="dxa"/>
            <w:tcBorders>
              <w:bottom w:val="single" w:sz="4" w:space="0" w:color="auto"/>
            </w:tcBorders>
            <w:noWrap/>
            <w:hideMark/>
          </w:tcPr>
          <w:p w:rsidR="00930638" w:rsidRPr="00847CCC" w:rsidRDefault="00993FA6" w:rsidP="00273B1F">
            <w:pPr>
              <w:keepNext/>
              <w:keepLines/>
              <w:spacing w:after="40" w:line="240" w:lineRule="auto"/>
              <w:ind w:left="0"/>
              <w:jc w:val="right"/>
              <w:rPr>
                <w:rFonts w:cs="Arial"/>
                <w:i/>
                <w:color w:val="000000"/>
                <w:sz w:val="16"/>
                <w:szCs w:val="16"/>
                <w:lang w:eastAsia="en-AU" w:bidi="ar-SA"/>
              </w:rPr>
            </w:pPr>
            <w:r w:rsidRPr="00847CCC">
              <w:rPr>
                <w:rFonts w:cs="Arial"/>
                <w:i/>
                <w:color w:val="000000"/>
                <w:sz w:val="16"/>
                <w:szCs w:val="16"/>
                <w:lang w:eastAsia="en-AU" w:bidi="ar-SA"/>
              </w:rPr>
              <w:t>1</w:t>
            </w:r>
            <w:r w:rsidR="00F5755B" w:rsidRPr="00847CCC">
              <w:rPr>
                <w:rFonts w:cs="Arial"/>
                <w:i/>
                <w:color w:val="000000"/>
                <w:sz w:val="16"/>
                <w:szCs w:val="16"/>
                <w:lang w:eastAsia="en-AU" w:bidi="ar-SA"/>
              </w:rPr>
              <w:t> </w:t>
            </w:r>
            <w:r w:rsidRPr="00847CCC">
              <w:rPr>
                <w:rFonts w:cs="Arial"/>
                <w:i/>
                <w:color w:val="000000"/>
                <w:sz w:val="16"/>
                <w:szCs w:val="16"/>
                <w:lang w:eastAsia="en-AU" w:bidi="ar-SA"/>
              </w:rPr>
              <w:t>152</w:t>
            </w:r>
          </w:p>
        </w:tc>
        <w:tc>
          <w:tcPr>
            <w:tcW w:w="993" w:type="dxa"/>
            <w:tcBorders>
              <w:bottom w:val="single" w:sz="4" w:space="0" w:color="auto"/>
            </w:tcBorders>
            <w:noWrap/>
            <w:hideMark/>
          </w:tcPr>
          <w:p w:rsidR="00930638" w:rsidRPr="00847CCC" w:rsidRDefault="00513BED" w:rsidP="00273B1F">
            <w:pPr>
              <w:keepNext/>
              <w:keepLines/>
              <w:spacing w:after="40" w:line="240" w:lineRule="auto"/>
              <w:ind w:left="0"/>
              <w:jc w:val="right"/>
              <w:rPr>
                <w:rFonts w:cs="Arial"/>
                <w:i/>
                <w:color w:val="000000"/>
                <w:sz w:val="16"/>
                <w:szCs w:val="16"/>
                <w:lang w:eastAsia="en-AU" w:bidi="ar-SA"/>
              </w:rPr>
            </w:pPr>
            <w:r w:rsidRPr="00847CCC">
              <w:rPr>
                <w:rFonts w:cs="Arial"/>
                <w:i/>
                <w:color w:val="000000"/>
                <w:sz w:val="16"/>
                <w:szCs w:val="16"/>
                <w:lang w:eastAsia="en-AU" w:bidi="ar-SA"/>
              </w:rPr>
              <w:t>6</w:t>
            </w:r>
          </w:p>
        </w:tc>
        <w:tc>
          <w:tcPr>
            <w:tcW w:w="992" w:type="dxa"/>
            <w:tcBorders>
              <w:bottom w:val="single" w:sz="4" w:space="0" w:color="auto"/>
            </w:tcBorders>
            <w:noWrap/>
            <w:hideMark/>
          </w:tcPr>
          <w:p w:rsidR="00930638" w:rsidRPr="00847CCC" w:rsidRDefault="00930638" w:rsidP="00273B1F">
            <w:pPr>
              <w:keepNext/>
              <w:keepLines/>
              <w:spacing w:after="40" w:line="240" w:lineRule="auto"/>
              <w:ind w:left="0"/>
              <w:jc w:val="right"/>
              <w:rPr>
                <w:rFonts w:cs="Arial"/>
                <w:i/>
                <w:color w:val="000000"/>
                <w:sz w:val="16"/>
                <w:szCs w:val="16"/>
                <w:lang w:eastAsia="en-AU" w:bidi="ar-SA"/>
              </w:rPr>
            </w:pPr>
          </w:p>
        </w:tc>
        <w:tc>
          <w:tcPr>
            <w:tcW w:w="765" w:type="dxa"/>
            <w:tcBorders>
              <w:bottom w:val="single" w:sz="4" w:space="0" w:color="auto"/>
            </w:tcBorders>
            <w:noWrap/>
            <w:hideMark/>
          </w:tcPr>
          <w:p w:rsidR="00930638" w:rsidRPr="00847CCC" w:rsidRDefault="00513BED" w:rsidP="00273B1F">
            <w:pPr>
              <w:keepNext/>
              <w:keepLines/>
              <w:spacing w:after="40" w:line="240" w:lineRule="auto"/>
              <w:ind w:left="0"/>
              <w:jc w:val="right"/>
              <w:rPr>
                <w:rFonts w:cs="Arial"/>
                <w:i/>
                <w:color w:val="000000"/>
                <w:sz w:val="16"/>
                <w:szCs w:val="16"/>
                <w:lang w:eastAsia="en-AU" w:bidi="ar-SA"/>
              </w:rPr>
            </w:pPr>
            <w:r w:rsidRPr="00847CCC">
              <w:rPr>
                <w:rFonts w:cs="Arial"/>
                <w:i/>
                <w:color w:val="000000"/>
                <w:sz w:val="16"/>
                <w:szCs w:val="16"/>
                <w:lang w:eastAsia="en-AU" w:bidi="ar-SA"/>
              </w:rPr>
              <w:t>1</w:t>
            </w:r>
            <w:r w:rsidR="00F5755B" w:rsidRPr="00847CCC">
              <w:rPr>
                <w:rFonts w:cs="Arial"/>
                <w:i/>
                <w:color w:val="000000"/>
                <w:sz w:val="16"/>
                <w:szCs w:val="16"/>
                <w:lang w:eastAsia="en-AU" w:bidi="ar-SA"/>
              </w:rPr>
              <w:t> </w:t>
            </w:r>
            <w:r w:rsidRPr="00847CCC">
              <w:rPr>
                <w:rFonts w:cs="Arial"/>
                <w:i/>
                <w:color w:val="000000"/>
                <w:sz w:val="16"/>
                <w:szCs w:val="16"/>
                <w:lang w:eastAsia="en-AU" w:bidi="ar-SA"/>
              </w:rPr>
              <w:t>158</w:t>
            </w:r>
          </w:p>
        </w:tc>
      </w:tr>
      <w:tr w:rsidR="00B06CAF" w:rsidRPr="00847CCC" w:rsidTr="00847CCC">
        <w:trPr>
          <w:trHeight w:val="288"/>
        </w:trPr>
        <w:tc>
          <w:tcPr>
            <w:tcW w:w="4110" w:type="dxa"/>
            <w:gridSpan w:val="2"/>
            <w:tcBorders>
              <w:top w:val="single" w:sz="4" w:space="0" w:color="auto"/>
            </w:tcBorders>
            <w:noWrap/>
            <w:hideMark/>
          </w:tcPr>
          <w:p w:rsidR="008861DE" w:rsidRPr="00847CCC" w:rsidRDefault="008861DE" w:rsidP="00273B1F">
            <w:pPr>
              <w:keepNext/>
              <w:keepLines/>
              <w:spacing w:after="40" w:line="240" w:lineRule="auto"/>
              <w:ind w:left="0"/>
              <w:jc w:val="left"/>
              <w:rPr>
                <w:rFonts w:cs="Arial"/>
                <w:b/>
                <w:color w:val="000000"/>
                <w:sz w:val="16"/>
                <w:szCs w:val="16"/>
                <w:lang w:eastAsia="en-AU" w:bidi="ar-SA"/>
              </w:rPr>
            </w:pPr>
            <w:r w:rsidRPr="00847CCC">
              <w:rPr>
                <w:rFonts w:cs="Arial"/>
                <w:b/>
                <w:color w:val="000000"/>
                <w:sz w:val="16"/>
                <w:szCs w:val="16"/>
                <w:lang w:eastAsia="en-AU" w:bidi="ar-SA"/>
              </w:rPr>
              <w:t xml:space="preserve">Application for exemption withdrawn </w:t>
            </w:r>
          </w:p>
        </w:tc>
        <w:tc>
          <w:tcPr>
            <w:tcW w:w="1134" w:type="dxa"/>
            <w:tcBorders>
              <w:top w:val="single" w:sz="4" w:space="0" w:color="auto"/>
            </w:tcBorders>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c>
          <w:tcPr>
            <w:tcW w:w="993" w:type="dxa"/>
            <w:tcBorders>
              <w:top w:val="single" w:sz="4" w:space="0" w:color="auto"/>
            </w:tcBorders>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c>
          <w:tcPr>
            <w:tcW w:w="992" w:type="dxa"/>
            <w:tcBorders>
              <w:top w:val="single" w:sz="4" w:space="0" w:color="auto"/>
            </w:tcBorders>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c>
          <w:tcPr>
            <w:tcW w:w="765" w:type="dxa"/>
            <w:tcBorders>
              <w:top w:val="single" w:sz="4" w:space="0" w:color="auto"/>
            </w:tcBorders>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B06CAF" w:rsidRPr="00847CCC" w:rsidTr="00847CCC">
        <w:trPr>
          <w:trHeight w:val="288"/>
        </w:trPr>
        <w:tc>
          <w:tcPr>
            <w:tcW w:w="850" w:type="dxa"/>
            <w:tcBorders>
              <w:bottom w:val="single" w:sz="4" w:space="0" w:color="auto"/>
            </w:tcBorders>
            <w:noWrap/>
            <w:hideMark/>
          </w:tcPr>
          <w:p w:rsidR="008861DE"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WCR</w:t>
            </w:r>
          </w:p>
        </w:tc>
        <w:tc>
          <w:tcPr>
            <w:tcW w:w="3260" w:type="dxa"/>
            <w:tcBorders>
              <w:bottom w:val="single" w:sz="4" w:space="0" w:color="auto"/>
            </w:tcBorders>
            <w:noWrap/>
            <w:hideMark/>
          </w:tcPr>
          <w:p w:rsidR="00930638"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Withdrawn by request</w:t>
            </w:r>
          </w:p>
        </w:tc>
        <w:tc>
          <w:tcPr>
            <w:tcW w:w="1134" w:type="dxa"/>
            <w:tcBorders>
              <w:bottom w:val="single" w:sz="4" w:space="0" w:color="auto"/>
            </w:tcBorders>
            <w:noWrap/>
            <w:hideMark/>
          </w:tcPr>
          <w:p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77</w:t>
            </w:r>
          </w:p>
        </w:tc>
        <w:tc>
          <w:tcPr>
            <w:tcW w:w="993" w:type="dxa"/>
            <w:tcBorders>
              <w:bottom w:val="single" w:sz="4" w:space="0" w:color="auto"/>
            </w:tcBorders>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c>
          <w:tcPr>
            <w:tcW w:w="992" w:type="dxa"/>
            <w:tcBorders>
              <w:bottom w:val="single" w:sz="4" w:space="0" w:color="auto"/>
            </w:tcBorders>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c>
          <w:tcPr>
            <w:tcW w:w="765" w:type="dxa"/>
            <w:tcBorders>
              <w:bottom w:val="single" w:sz="4" w:space="0" w:color="auto"/>
            </w:tcBorders>
            <w:noWrap/>
            <w:hideMark/>
          </w:tcPr>
          <w:p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77</w:t>
            </w:r>
          </w:p>
        </w:tc>
      </w:tr>
      <w:tr w:rsidR="00B06CAF" w:rsidRPr="00847CCC" w:rsidTr="00847CCC">
        <w:trPr>
          <w:trHeight w:val="288"/>
        </w:trPr>
        <w:tc>
          <w:tcPr>
            <w:tcW w:w="4110" w:type="dxa"/>
            <w:gridSpan w:val="2"/>
            <w:tcBorders>
              <w:top w:val="single" w:sz="4" w:space="0" w:color="auto"/>
            </w:tcBorders>
            <w:noWrap/>
            <w:hideMark/>
          </w:tcPr>
          <w:p w:rsidR="008861DE" w:rsidRPr="00847CCC" w:rsidRDefault="008861DE" w:rsidP="00273B1F">
            <w:pPr>
              <w:keepNext/>
              <w:keepLines/>
              <w:spacing w:after="40" w:line="240" w:lineRule="auto"/>
              <w:ind w:left="0"/>
              <w:jc w:val="left"/>
              <w:rPr>
                <w:rFonts w:cs="Arial"/>
                <w:b/>
                <w:color w:val="000000"/>
                <w:sz w:val="16"/>
                <w:szCs w:val="16"/>
                <w:lang w:eastAsia="en-AU" w:bidi="ar-SA"/>
              </w:rPr>
            </w:pPr>
            <w:r w:rsidRPr="00847CCC">
              <w:rPr>
                <w:rFonts w:cs="Arial"/>
                <w:b/>
                <w:color w:val="000000"/>
                <w:sz w:val="16"/>
                <w:szCs w:val="16"/>
                <w:lang w:eastAsia="en-AU" w:bidi="ar-SA"/>
              </w:rPr>
              <w:t>Out of Scope</w:t>
            </w:r>
          </w:p>
        </w:tc>
        <w:tc>
          <w:tcPr>
            <w:tcW w:w="1134" w:type="dxa"/>
            <w:tcBorders>
              <w:top w:val="single" w:sz="4" w:space="0" w:color="auto"/>
            </w:tcBorders>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c>
          <w:tcPr>
            <w:tcW w:w="993" w:type="dxa"/>
            <w:tcBorders>
              <w:top w:val="single" w:sz="4" w:space="0" w:color="auto"/>
            </w:tcBorders>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c>
          <w:tcPr>
            <w:tcW w:w="992" w:type="dxa"/>
            <w:tcBorders>
              <w:top w:val="single" w:sz="4" w:space="0" w:color="auto"/>
            </w:tcBorders>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c>
          <w:tcPr>
            <w:tcW w:w="765" w:type="dxa"/>
            <w:tcBorders>
              <w:top w:val="single" w:sz="4" w:space="0" w:color="auto"/>
            </w:tcBorders>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B06CAF" w:rsidRPr="00847CCC" w:rsidTr="00847CCC">
        <w:trPr>
          <w:trHeight w:val="288"/>
        </w:trPr>
        <w:tc>
          <w:tcPr>
            <w:tcW w:w="850" w:type="dxa"/>
            <w:noWrap/>
            <w:hideMark/>
          </w:tcPr>
          <w:p w:rsidR="008861DE"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NLE</w:t>
            </w:r>
          </w:p>
        </w:tc>
        <w:tc>
          <w:tcPr>
            <w:tcW w:w="3260" w:type="dxa"/>
            <w:noWrap/>
            <w:hideMark/>
          </w:tcPr>
          <w:p w:rsidR="00930638"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No longer eligible</w:t>
            </w:r>
          </w:p>
        </w:tc>
        <w:tc>
          <w:tcPr>
            <w:tcW w:w="1134" w:type="dxa"/>
            <w:noWrap/>
            <w:hideMark/>
          </w:tcPr>
          <w:p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6</w:t>
            </w:r>
          </w:p>
        </w:tc>
        <w:tc>
          <w:tcPr>
            <w:tcW w:w="993" w:type="dxa"/>
            <w:noWrap/>
            <w:hideMark/>
          </w:tcPr>
          <w:p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0</w:t>
            </w:r>
          </w:p>
        </w:tc>
        <w:tc>
          <w:tcPr>
            <w:tcW w:w="992" w:type="dxa"/>
            <w:noWrap/>
            <w:hideMark/>
          </w:tcPr>
          <w:p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10</w:t>
            </w:r>
          </w:p>
        </w:tc>
        <w:tc>
          <w:tcPr>
            <w:tcW w:w="765" w:type="dxa"/>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B06CAF" w:rsidRPr="00847CCC" w:rsidTr="00847CCC">
        <w:trPr>
          <w:trHeight w:val="288"/>
        </w:trPr>
        <w:tc>
          <w:tcPr>
            <w:tcW w:w="850" w:type="dxa"/>
            <w:noWrap/>
            <w:hideMark/>
          </w:tcPr>
          <w:p w:rsidR="008861DE"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AFT</w:t>
            </w:r>
          </w:p>
        </w:tc>
        <w:tc>
          <w:tcPr>
            <w:tcW w:w="3260" w:type="dxa"/>
            <w:noWrap/>
            <w:hideMark/>
          </w:tcPr>
          <w:p w:rsidR="00930638"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Full-time student (auto)</w:t>
            </w:r>
          </w:p>
        </w:tc>
        <w:tc>
          <w:tcPr>
            <w:tcW w:w="1134" w:type="dxa"/>
            <w:noWrap/>
            <w:hideMark/>
          </w:tcPr>
          <w:p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0</w:t>
            </w:r>
          </w:p>
        </w:tc>
        <w:tc>
          <w:tcPr>
            <w:tcW w:w="993" w:type="dxa"/>
            <w:noWrap/>
            <w:hideMark/>
          </w:tcPr>
          <w:p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w:t>
            </w:r>
          </w:p>
        </w:tc>
        <w:tc>
          <w:tcPr>
            <w:tcW w:w="992" w:type="dxa"/>
            <w:noWrap/>
            <w:hideMark/>
          </w:tcPr>
          <w:p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681</w:t>
            </w:r>
          </w:p>
        </w:tc>
        <w:tc>
          <w:tcPr>
            <w:tcW w:w="765" w:type="dxa"/>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B06CAF" w:rsidRPr="00847CCC" w:rsidTr="00847CCC">
        <w:trPr>
          <w:trHeight w:val="288"/>
        </w:trPr>
        <w:tc>
          <w:tcPr>
            <w:tcW w:w="850" w:type="dxa"/>
            <w:noWrap/>
            <w:hideMark/>
          </w:tcPr>
          <w:p w:rsidR="008861DE"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APP</w:t>
            </w:r>
          </w:p>
        </w:tc>
        <w:tc>
          <w:tcPr>
            <w:tcW w:w="3260" w:type="dxa"/>
            <w:noWrap/>
            <w:hideMark/>
          </w:tcPr>
          <w:p w:rsidR="00930638"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New Apprentice (auto)</w:t>
            </w:r>
          </w:p>
        </w:tc>
        <w:tc>
          <w:tcPr>
            <w:tcW w:w="1134" w:type="dxa"/>
            <w:noWrap/>
            <w:hideMark/>
          </w:tcPr>
          <w:p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0</w:t>
            </w:r>
          </w:p>
        </w:tc>
        <w:tc>
          <w:tcPr>
            <w:tcW w:w="993" w:type="dxa"/>
            <w:noWrap/>
            <w:hideMark/>
          </w:tcPr>
          <w:p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0</w:t>
            </w:r>
          </w:p>
        </w:tc>
        <w:tc>
          <w:tcPr>
            <w:tcW w:w="992" w:type="dxa"/>
            <w:noWrap/>
            <w:hideMark/>
          </w:tcPr>
          <w:p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6</w:t>
            </w:r>
          </w:p>
        </w:tc>
        <w:tc>
          <w:tcPr>
            <w:tcW w:w="765" w:type="dxa"/>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B06CAF" w:rsidRPr="00847CCC" w:rsidTr="00847CCC">
        <w:trPr>
          <w:trHeight w:val="288"/>
        </w:trPr>
        <w:tc>
          <w:tcPr>
            <w:tcW w:w="850" w:type="dxa"/>
            <w:noWrap/>
            <w:hideMark/>
          </w:tcPr>
          <w:p w:rsidR="008861DE"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FTS</w:t>
            </w:r>
          </w:p>
        </w:tc>
        <w:tc>
          <w:tcPr>
            <w:tcW w:w="3260" w:type="dxa"/>
            <w:noWrap/>
            <w:hideMark/>
          </w:tcPr>
          <w:p w:rsidR="00930638"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Full-time student</w:t>
            </w:r>
            <w:r w:rsidR="0074268A" w:rsidRPr="00847CCC">
              <w:rPr>
                <w:rFonts w:cs="Arial"/>
                <w:color w:val="000000"/>
                <w:sz w:val="16"/>
                <w:szCs w:val="16"/>
                <w:lang w:eastAsia="en-AU" w:bidi="ar-SA"/>
              </w:rPr>
              <w:t xml:space="preserve"> </w:t>
            </w:r>
          </w:p>
        </w:tc>
        <w:tc>
          <w:tcPr>
            <w:tcW w:w="1134" w:type="dxa"/>
            <w:noWrap/>
            <w:hideMark/>
          </w:tcPr>
          <w:p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0</w:t>
            </w:r>
          </w:p>
        </w:tc>
        <w:tc>
          <w:tcPr>
            <w:tcW w:w="993" w:type="dxa"/>
            <w:noWrap/>
            <w:hideMark/>
          </w:tcPr>
          <w:p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0</w:t>
            </w:r>
          </w:p>
        </w:tc>
        <w:tc>
          <w:tcPr>
            <w:tcW w:w="992" w:type="dxa"/>
            <w:noWrap/>
            <w:hideMark/>
          </w:tcPr>
          <w:p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21</w:t>
            </w:r>
          </w:p>
        </w:tc>
        <w:tc>
          <w:tcPr>
            <w:tcW w:w="765" w:type="dxa"/>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B06CAF" w:rsidRPr="00847CCC" w:rsidTr="00847CCC">
        <w:trPr>
          <w:trHeight w:val="288"/>
        </w:trPr>
        <w:tc>
          <w:tcPr>
            <w:tcW w:w="850" w:type="dxa"/>
            <w:tcBorders>
              <w:bottom w:val="single" w:sz="4" w:space="0" w:color="auto"/>
            </w:tcBorders>
            <w:noWrap/>
            <w:hideMark/>
          </w:tcPr>
          <w:p w:rsidR="008861DE" w:rsidRPr="00847CCC" w:rsidRDefault="008861DE" w:rsidP="00273B1F">
            <w:pPr>
              <w:keepNext/>
              <w:keepLines/>
              <w:spacing w:after="40" w:line="240" w:lineRule="auto"/>
              <w:ind w:left="0"/>
              <w:jc w:val="left"/>
              <w:rPr>
                <w:rFonts w:cs="Arial"/>
                <w:i/>
                <w:color w:val="000000"/>
                <w:sz w:val="16"/>
                <w:szCs w:val="16"/>
                <w:lang w:eastAsia="en-AU" w:bidi="ar-SA"/>
              </w:rPr>
            </w:pPr>
            <w:r w:rsidRPr="00847CCC">
              <w:rPr>
                <w:rFonts w:cs="Arial"/>
                <w:i/>
                <w:color w:val="000000"/>
                <w:sz w:val="16"/>
                <w:szCs w:val="16"/>
                <w:lang w:eastAsia="en-AU" w:bidi="ar-SA"/>
              </w:rPr>
              <w:t>Total</w:t>
            </w:r>
          </w:p>
        </w:tc>
        <w:tc>
          <w:tcPr>
            <w:tcW w:w="3260" w:type="dxa"/>
            <w:tcBorders>
              <w:bottom w:val="single" w:sz="4" w:space="0" w:color="auto"/>
            </w:tcBorders>
            <w:noWrap/>
            <w:hideMark/>
          </w:tcPr>
          <w:p w:rsidR="00930638" w:rsidRPr="00847CCC" w:rsidRDefault="00930638" w:rsidP="00273B1F">
            <w:pPr>
              <w:keepNext/>
              <w:keepLines/>
              <w:spacing w:after="40" w:line="240" w:lineRule="auto"/>
              <w:ind w:left="0"/>
              <w:jc w:val="left"/>
              <w:rPr>
                <w:rFonts w:cs="Arial"/>
                <w:i/>
                <w:color w:val="000000"/>
                <w:sz w:val="16"/>
                <w:szCs w:val="16"/>
                <w:lang w:eastAsia="en-AU" w:bidi="ar-SA"/>
              </w:rPr>
            </w:pPr>
          </w:p>
        </w:tc>
        <w:tc>
          <w:tcPr>
            <w:tcW w:w="1134" w:type="dxa"/>
            <w:tcBorders>
              <w:bottom w:val="single" w:sz="4" w:space="0" w:color="auto"/>
            </w:tcBorders>
            <w:noWrap/>
            <w:hideMark/>
          </w:tcPr>
          <w:p w:rsidR="00930638" w:rsidRPr="00847CCC" w:rsidRDefault="008861DE" w:rsidP="00273B1F">
            <w:pPr>
              <w:keepNext/>
              <w:keepLines/>
              <w:spacing w:after="40" w:line="240" w:lineRule="auto"/>
              <w:ind w:left="0"/>
              <w:jc w:val="right"/>
              <w:rPr>
                <w:rFonts w:cs="Arial"/>
                <w:i/>
                <w:color w:val="000000"/>
                <w:sz w:val="16"/>
                <w:szCs w:val="16"/>
                <w:lang w:eastAsia="en-AU" w:bidi="ar-SA"/>
              </w:rPr>
            </w:pPr>
            <w:r w:rsidRPr="00847CCC">
              <w:rPr>
                <w:rFonts w:cs="Arial"/>
                <w:i/>
                <w:color w:val="000000"/>
                <w:sz w:val="16"/>
                <w:szCs w:val="16"/>
                <w:lang w:eastAsia="en-AU" w:bidi="ar-SA"/>
              </w:rPr>
              <w:t>6</w:t>
            </w:r>
          </w:p>
        </w:tc>
        <w:tc>
          <w:tcPr>
            <w:tcW w:w="993" w:type="dxa"/>
            <w:tcBorders>
              <w:bottom w:val="single" w:sz="4" w:space="0" w:color="auto"/>
            </w:tcBorders>
            <w:noWrap/>
            <w:hideMark/>
          </w:tcPr>
          <w:p w:rsidR="00930638" w:rsidRPr="00847CCC" w:rsidRDefault="008861DE" w:rsidP="00273B1F">
            <w:pPr>
              <w:keepNext/>
              <w:keepLines/>
              <w:spacing w:after="40" w:line="240" w:lineRule="auto"/>
              <w:ind w:left="0"/>
              <w:jc w:val="right"/>
              <w:rPr>
                <w:rFonts w:cs="Arial"/>
                <w:i/>
                <w:color w:val="000000"/>
                <w:sz w:val="16"/>
                <w:szCs w:val="16"/>
                <w:lang w:eastAsia="en-AU" w:bidi="ar-SA"/>
              </w:rPr>
            </w:pPr>
            <w:r w:rsidRPr="00847CCC">
              <w:rPr>
                <w:rFonts w:cs="Arial"/>
                <w:i/>
                <w:color w:val="000000"/>
                <w:sz w:val="16"/>
                <w:szCs w:val="16"/>
                <w:lang w:eastAsia="en-AU" w:bidi="ar-SA"/>
              </w:rPr>
              <w:t>1</w:t>
            </w:r>
          </w:p>
        </w:tc>
        <w:tc>
          <w:tcPr>
            <w:tcW w:w="992" w:type="dxa"/>
            <w:tcBorders>
              <w:bottom w:val="single" w:sz="4" w:space="0" w:color="auto"/>
            </w:tcBorders>
            <w:noWrap/>
            <w:hideMark/>
          </w:tcPr>
          <w:p w:rsidR="00930638" w:rsidRPr="00847CCC" w:rsidRDefault="008861DE" w:rsidP="00273B1F">
            <w:pPr>
              <w:keepNext/>
              <w:keepLines/>
              <w:spacing w:after="40" w:line="240" w:lineRule="auto"/>
              <w:ind w:left="0"/>
              <w:jc w:val="right"/>
              <w:rPr>
                <w:rFonts w:cs="Arial"/>
                <w:i/>
                <w:color w:val="000000"/>
                <w:sz w:val="16"/>
                <w:szCs w:val="16"/>
                <w:lang w:eastAsia="en-AU" w:bidi="ar-SA"/>
              </w:rPr>
            </w:pPr>
            <w:r w:rsidRPr="00847CCC">
              <w:rPr>
                <w:rFonts w:cs="Arial"/>
                <w:i/>
                <w:color w:val="000000"/>
                <w:sz w:val="16"/>
                <w:szCs w:val="16"/>
                <w:lang w:eastAsia="en-AU" w:bidi="ar-SA"/>
              </w:rPr>
              <w:t>718</w:t>
            </w:r>
          </w:p>
        </w:tc>
        <w:tc>
          <w:tcPr>
            <w:tcW w:w="765" w:type="dxa"/>
            <w:tcBorders>
              <w:bottom w:val="single" w:sz="4" w:space="0" w:color="auto"/>
            </w:tcBorders>
            <w:noWrap/>
            <w:hideMark/>
          </w:tcPr>
          <w:p w:rsidR="00930638" w:rsidRPr="00847CCC" w:rsidRDefault="008861DE" w:rsidP="00273B1F">
            <w:pPr>
              <w:keepNext/>
              <w:keepLines/>
              <w:spacing w:after="40" w:line="240" w:lineRule="auto"/>
              <w:ind w:left="0"/>
              <w:jc w:val="right"/>
              <w:rPr>
                <w:rFonts w:cs="Arial"/>
                <w:i/>
                <w:color w:val="000000"/>
                <w:sz w:val="16"/>
                <w:szCs w:val="16"/>
                <w:lang w:eastAsia="en-AU" w:bidi="ar-SA"/>
              </w:rPr>
            </w:pPr>
            <w:r w:rsidRPr="00847CCC">
              <w:rPr>
                <w:rFonts w:cs="Arial"/>
                <w:i/>
                <w:color w:val="000000"/>
                <w:sz w:val="16"/>
                <w:szCs w:val="16"/>
                <w:lang w:eastAsia="en-AU" w:bidi="ar-SA"/>
              </w:rPr>
              <w:t>725</w:t>
            </w:r>
          </w:p>
        </w:tc>
      </w:tr>
      <w:tr w:rsidR="00B06CAF" w:rsidRPr="00847CCC" w:rsidTr="00847CCC">
        <w:trPr>
          <w:trHeight w:val="288"/>
        </w:trPr>
        <w:tc>
          <w:tcPr>
            <w:tcW w:w="4110" w:type="dxa"/>
            <w:gridSpan w:val="2"/>
            <w:tcBorders>
              <w:top w:val="single" w:sz="4" w:space="0" w:color="auto"/>
            </w:tcBorders>
            <w:noWrap/>
            <w:hideMark/>
          </w:tcPr>
          <w:p w:rsidR="008861DE" w:rsidRPr="00847CCC" w:rsidRDefault="008861DE" w:rsidP="00273B1F">
            <w:pPr>
              <w:keepNext/>
              <w:keepLines/>
              <w:spacing w:after="40" w:line="240" w:lineRule="auto"/>
              <w:ind w:left="0"/>
              <w:jc w:val="left"/>
              <w:rPr>
                <w:rFonts w:cs="Arial"/>
                <w:b/>
                <w:color w:val="000000"/>
                <w:sz w:val="16"/>
                <w:szCs w:val="16"/>
                <w:lang w:eastAsia="en-AU" w:bidi="ar-SA"/>
              </w:rPr>
            </w:pPr>
            <w:r w:rsidRPr="00847CCC">
              <w:rPr>
                <w:rFonts w:cs="Arial"/>
                <w:color w:val="000000"/>
                <w:sz w:val="16"/>
                <w:szCs w:val="16"/>
                <w:lang w:eastAsia="en-AU" w:bidi="ar-SA"/>
              </w:rPr>
              <w:t xml:space="preserve"> </w:t>
            </w:r>
            <w:r w:rsidRPr="00847CCC">
              <w:rPr>
                <w:rFonts w:cs="Arial"/>
                <w:b/>
                <w:color w:val="000000"/>
                <w:sz w:val="16"/>
                <w:szCs w:val="16"/>
                <w:lang w:eastAsia="en-AU" w:bidi="ar-SA"/>
              </w:rPr>
              <w:t>Administrative codes</w:t>
            </w:r>
          </w:p>
        </w:tc>
        <w:tc>
          <w:tcPr>
            <w:tcW w:w="1134" w:type="dxa"/>
            <w:tcBorders>
              <w:top w:val="single" w:sz="4" w:space="0" w:color="auto"/>
            </w:tcBorders>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c>
          <w:tcPr>
            <w:tcW w:w="993" w:type="dxa"/>
            <w:tcBorders>
              <w:top w:val="single" w:sz="4" w:space="0" w:color="auto"/>
            </w:tcBorders>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c>
          <w:tcPr>
            <w:tcW w:w="992" w:type="dxa"/>
            <w:tcBorders>
              <w:top w:val="single" w:sz="4" w:space="0" w:color="auto"/>
            </w:tcBorders>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c>
          <w:tcPr>
            <w:tcW w:w="765" w:type="dxa"/>
            <w:tcBorders>
              <w:top w:val="single" w:sz="4" w:space="0" w:color="auto"/>
            </w:tcBorders>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B06CAF" w:rsidRPr="00847CCC" w:rsidTr="00847CCC">
        <w:trPr>
          <w:trHeight w:val="288"/>
        </w:trPr>
        <w:tc>
          <w:tcPr>
            <w:tcW w:w="850" w:type="dxa"/>
            <w:noWrap/>
            <w:hideMark/>
          </w:tcPr>
          <w:p w:rsidR="008861DE"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WAE</w:t>
            </w:r>
          </w:p>
        </w:tc>
        <w:tc>
          <w:tcPr>
            <w:tcW w:w="3260" w:type="dxa"/>
            <w:noWrap/>
            <w:hideMark/>
          </w:tcPr>
          <w:p w:rsidR="00930638"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Exemption process started in error</w:t>
            </w:r>
          </w:p>
        </w:tc>
        <w:tc>
          <w:tcPr>
            <w:tcW w:w="1134" w:type="dxa"/>
            <w:noWrap/>
            <w:hideMark/>
          </w:tcPr>
          <w:p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11</w:t>
            </w:r>
          </w:p>
        </w:tc>
        <w:tc>
          <w:tcPr>
            <w:tcW w:w="993" w:type="dxa"/>
            <w:noWrap/>
            <w:hideMark/>
          </w:tcPr>
          <w:p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w:t>
            </w:r>
          </w:p>
        </w:tc>
        <w:tc>
          <w:tcPr>
            <w:tcW w:w="992" w:type="dxa"/>
            <w:noWrap/>
            <w:hideMark/>
          </w:tcPr>
          <w:p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7</w:t>
            </w:r>
          </w:p>
        </w:tc>
        <w:tc>
          <w:tcPr>
            <w:tcW w:w="765" w:type="dxa"/>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B06CAF" w:rsidRPr="00847CCC" w:rsidTr="00847CCC">
        <w:trPr>
          <w:trHeight w:val="288"/>
        </w:trPr>
        <w:tc>
          <w:tcPr>
            <w:tcW w:w="850" w:type="dxa"/>
            <w:noWrap/>
            <w:hideMark/>
          </w:tcPr>
          <w:p w:rsidR="008861DE"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AER</w:t>
            </w:r>
          </w:p>
        </w:tc>
        <w:tc>
          <w:tcPr>
            <w:tcW w:w="3260" w:type="dxa"/>
            <w:noWrap/>
            <w:hideMark/>
          </w:tcPr>
          <w:p w:rsidR="00930638"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 xml:space="preserve">Administrative error </w:t>
            </w:r>
          </w:p>
        </w:tc>
        <w:tc>
          <w:tcPr>
            <w:tcW w:w="1134" w:type="dxa"/>
            <w:noWrap/>
            <w:hideMark/>
          </w:tcPr>
          <w:p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0</w:t>
            </w:r>
          </w:p>
        </w:tc>
        <w:tc>
          <w:tcPr>
            <w:tcW w:w="993" w:type="dxa"/>
            <w:noWrap/>
            <w:hideMark/>
          </w:tcPr>
          <w:p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0</w:t>
            </w:r>
          </w:p>
        </w:tc>
        <w:tc>
          <w:tcPr>
            <w:tcW w:w="992" w:type="dxa"/>
            <w:noWrap/>
            <w:hideMark/>
          </w:tcPr>
          <w:p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w:t>
            </w:r>
          </w:p>
        </w:tc>
        <w:tc>
          <w:tcPr>
            <w:tcW w:w="765" w:type="dxa"/>
            <w:noWrap/>
            <w:hideMark/>
          </w:tcPr>
          <w:p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B06CAF" w:rsidRPr="00847CCC" w:rsidTr="00847CCC">
        <w:trPr>
          <w:trHeight w:val="288"/>
        </w:trPr>
        <w:tc>
          <w:tcPr>
            <w:tcW w:w="850" w:type="dxa"/>
            <w:tcBorders>
              <w:bottom w:val="single" w:sz="4" w:space="0" w:color="auto"/>
            </w:tcBorders>
            <w:noWrap/>
            <w:hideMark/>
          </w:tcPr>
          <w:p w:rsidR="008861DE" w:rsidRPr="00847CCC" w:rsidRDefault="008861DE" w:rsidP="00273B1F">
            <w:pPr>
              <w:keepNext/>
              <w:keepLines/>
              <w:spacing w:after="40" w:line="240" w:lineRule="auto"/>
              <w:ind w:left="0"/>
              <w:jc w:val="left"/>
              <w:rPr>
                <w:rFonts w:cs="Arial"/>
                <w:i/>
                <w:color w:val="000000"/>
                <w:sz w:val="16"/>
                <w:szCs w:val="16"/>
                <w:lang w:eastAsia="en-AU" w:bidi="ar-SA"/>
              </w:rPr>
            </w:pPr>
            <w:r w:rsidRPr="00847CCC">
              <w:rPr>
                <w:rFonts w:cs="Arial"/>
                <w:i/>
                <w:color w:val="000000"/>
                <w:sz w:val="16"/>
                <w:szCs w:val="16"/>
                <w:lang w:eastAsia="en-AU" w:bidi="ar-SA"/>
              </w:rPr>
              <w:t>Total</w:t>
            </w:r>
          </w:p>
        </w:tc>
        <w:tc>
          <w:tcPr>
            <w:tcW w:w="3260" w:type="dxa"/>
            <w:tcBorders>
              <w:bottom w:val="single" w:sz="4" w:space="0" w:color="auto"/>
            </w:tcBorders>
            <w:noWrap/>
            <w:hideMark/>
          </w:tcPr>
          <w:p w:rsidR="00930638" w:rsidRPr="00847CCC" w:rsidRDefault="00930638" w:rsidP="00273B1F">
            <w:pPr>
              <w:keepNext/>
              <w:keepLines/>
              <w:spacing w:after="40" w:line="240" w:lineRule="auto"/>
              <w:ind w:left="0"/>
              <w:jc w:val="left"/>
              <w:rPr>
                <w:rFonts w:cs="Arial"/>
                <w:i/>
                <w:color w:val="000000"/>
                <w:sz w:val="16"/>
                <w:szCs w:val="16"/>
                <w:lang w:eastAsia="en-AU" w:bidi="ar-SA"/>
              </w:rPr>
            </w:pPr>
          </w:p>
        </w:tc>
        <w:tc>
          <w:tcPr>
            <w:tcW w:w="1134" w:type="dxa"/>
            <w:tcBorders>
              <w:bottom w:val="single" w:sz="4" w:space="0" w:color="auto"/>
            </w:tcBorders>
            <w:noWrap/>
            <w:hideMark/>
          </w:tcPr>
          <w:p w:rsidR="00930638" w:rsidRPr="00847CCC" w:rsidRDefault="00136CEF" w:rsidP="00273B1F">
            <w:pPr>
              <w:keepNext/>
              <w:keepLines/>
              <w:spacing w:after="40" w:line="240" w:lineRule="auto"/>
              <w:ind w:left="0"/>
              <w:jc w:val="right"/>
              <w:rPr>
                <w:rFonts w:cs="Arial"/>
                <w:i/>
                <w:color w:val="000000"/>
                <w:sz w:val="16"/>
                <w:szCs w:val="16"/>
                <w:lang w:eastAsia="en-AU" w:bidi="ar-SA"/>
              </w:rPr>
            </w:pPr>
            <w:r w:rsidRPr="00847CCC">
              <w:rPr>
                <w:rFonts w:cs="Arial"/>
                <w:i/>
                <w:color w:val="000000"/>
                <w:sz w:val="16"/>
                <w:szCs w:val="16"/>
                <w:lang w:eastAsia="en-AU" w:bidi="ar-SA"/>
              </w:rPr>
              <w:t>11</w:t>
            </w:r>
          </w:p>
        </w:tc>
        <w:tc>
          <w:tcPr>
            <w:tcW w:w="993" w:type="dxa"/>
            <w:tcBorders>
              <w:bottom w:val="single" w:sz="4" w:space="0" w:color="auto"/>
            </w:tcBorders>
            <w:noWrap/>
            <w:hideMark/>
          </w:tcPr>
          <w:p w:rsidR="00930638" w:rsidRPr="00847CCC" w:rsidRDefault="00136CEF" w:rsidP="00273B1F">
            <w:pPr>
              <w:keepNext/>
              <w:keepLines/>
              <w:spacing w:after="40" w:line="240" w:lineRule="auto"/>
              <w:ind w:left="0"/>
              <w:jc w:val="right"/>
              <w:rPr>
                <w:rFonts w:cs="Arial"/>
                <w:i/>
                <w:color w:val="000000"/>
                <w:sz w:val="16"/>
                <w:szCs w:val="16"/>
                <w:lang w:eastAsia="en-AU" w:bidi="ar-SA"/>
              </w:rPr>
            </w:pPr>
            <w:r w:rsidRPr="00847CCC">
              <w:rPr>
                <w:rFonts w:cs="Arial"/>
                <w:i/>
                <w:color w:val="000000"/>
                <w:sz w:val="16"/>
                <w:szCs w:val="16"/>
                <w:lang w:eastAsia="en-AU" w:bidi="ar-SA"/>
              </w:rPr>
              <w:t>1</w:t>
            </w:r>
          </w:p>
        </w:tc>
        <w:tc>
          <w:tcPr>
            <w:tcW w:w="992" w:type="dxa"/>
            <w:tcBorders>
              <w:bottom w:val="single" w:sz="4" w:space="0" w:color="auto"/>
            </w:tcBorders>
            <w:noWrap/>
            <w:hideMark/>
          </w:tcPr>
          <w:p w:rsidR="00930638" w:rsidRPr="00847CCC" w:rsidRDefault="00136CEF" w:rsidP="00273B1F">
            <w:pPr>
              <w:keepNext/>
              <w:keepLines/>
              <w:spacing w:after="40" w:line="240" w:lineRule="auto"/>
              <w:ind w:left="0"/>
              <w:jc w:val="right"/>
              <w:rPr>
                <w:rFonts w:cs="Arial"/>
                <w:i/>
                <w:color w:val="000000"/>
                <w:sz w:val="16"/>
                <w:szCs w:val="16"/>
                <w:lang w:eastAsia="en-AU" w:bidi="ar-SA"/>
              </w:rPr>
            </w:pPr>
            <w:r w:rsidRPr="00847CCC">
              <w:rPr>
                <w:rFonts w:cs="Arial"/>
                <w:i/>
                <w:color w:val="000000"/>
                <w:sz w:val="16"/>
                <w:szCs w:val="16"/>
                <w:lang w:eastAsia="en-AU" w:bidi="ar-SA"/>
              </w:rPr>
              <w:t>8</w:t>
            </w:r>
          </w:p>
        </w:tc>
        <w:tc>
          <w:tcPr>
            <w:tcW w:w="765" w:type="dxa"/>
            <w:tcBorders>
              <w:bottom w:val="single" w:sz="4" w:space="0" w:color="auto"/>
            </w:tcBorders>
            <w:noWrap/>
            <w:hideMark/>
          </w:tcPr>
          <w:p w:rsidR="00930638" w:rsidRPr="00847CCC" w:rsidRDefault="008861DE" w:rsidP="00273B1F">
            <w:pPr>
              <w:keepNext/>
              <w:keepLines/>
              <w:spacing w:after="40" w:line="240" w:lineRule="auto"/>
              <w:ind w:left="0"/>
              <w:jc w:val="right"/>
              <w:rPr>
                <w:rFonts w:cs="Arial"/>
                <w:i/>
                <w:color w:val="000000"/>
                <w:sz w:val="16"/>
                <w:szCs w:val="16"/>
                <w:lang w:eastAsia="en-AU" w:bidi="ar-SA"/>
              </w:rPr>
            </w:pPr>
            <w:r w:rsidRPr="00847CCC">
              <w:rPr>
                <w:rFonts w:cs="Arial"/>
                <w:i/>
                <w:color w:val="000000"/>
                <w:sz w:val="16"/>
                <w:szCs w:val="16"/>
                <w:lang w:eastAsia="en-AU" w:bidi="ar-SA"/>
              </w:rPr>
              <w:t>745</w:t>
            </w:r>
          </w:p>
        </w:tc>
      </w:tr>
      <w:tr w:rsidR="00851FBD" w:rsidRPr="00847CCC" w:rsidTr="00847CCC">
        <w:trPr>
          <w:trHeight w:val="288"/>
        </w:trPr>
        <w:tc>
          <w:tcPr>
            <w:tcW w:w="4110" w:type="dxa"/>
            <w:gridSpan w:val="2"/>
            <w:tcBorders>
              <w:top w:val="single" w:sz="4" w:space="0" w:color="auto"/>
              <w:bottom w:val="single" w:sz="4" w:space="0" w:color="auto"/>
            </w:tcBorders>
            <w:shd w:val="clear" w:color="auto" w:fill="auto"/>
            <w:noWrap/>
            <w:hideMark/>
          </w:tcPr>
          <w:p w:rsidR="008861DE" w:rsidRPr="00847CCC" w:rsidRDefault="008861DE" w:rsidP="00273B1F">
            <w:pPr>
              <w:keepNext/>
              <w:keepLines/>
              <w:spacing w:after="40" w:line="240" w:lineRule="auto"/>
              <w:ind w:left="0"/>
              <w:jc w:val="left"/>
              <w:rPr>
                <w:rFonts w:cs="Arial"/>
                <w:b/>
                <w:color w:val="000000"/>
                <w:sz w:val="16"/>
                <w:szCs w:val="16"/>
                <w:lang w:eastAsia="en-AU" w:bidi="ar-SA"/>
              </w:rPr>
            </w:pPr>
            <w:r w:rsidRPr="00847CCC">
              <w:rPr>
                <w:rFonts w:cs="Arial"/>
                <w:b/>
                <w:color w:val="000000"/>
                <w:sz w:val="16"/>
                <w:szCs w:val="16"/>
                <w:lang w:eastAsia="en-AU" w:bidi="ar-SA"/>
              </w:rPr>
              <w:t>Total all codes</w:t>
            </w:r>
          </w:p>
        </w:tc>
        <w:tc>
          <w:tcPr>
            <w:tcW w:w="1134" w:type="dxa"/>
            <w:tcBorders>
              <w:top w:val="single" w:sz="4" w:space="0" w:color="auto"/>
              <w:bottom w:val="single" w:sz="4" w:space="0" w:color="auto"/>
            </w:tcBorders>
            <w:shd w:val="clear" w:color="auto" w:fill="auto"/>
            <w:noWrap/>
            <w:hideMark/>
          </w:tcPr>
          <w:p w:rsidR="008861DE" w:rsidRPr="00847CCC" w:rsidRDefault="00136CEF" w:rsidP="00273B1F">
            <w:pPr>
              <w:keepNext/>
              <w:keepLines/>
              <w:spacing w:after="40" w:line="240" w:lineRule="auto"/>
              <w:ind w:left="0"/>
              <w:jc w:val="right"/>
              <w:rPr>
                <w:rFonts w:cs="Arial"/>
                <w:b/>
                <w:color w:val="000000"/>
                <w:sz w:val="16"/>
                <w:szCs w:val="16"/>
                <w:lang w:eastAsia="en-AU" w:bidi="ar-SA"/>
              </w:rPr>
            </w:pPr>
            <w:r w:rsidRPr="00847CCC">
              <w:rPr>
                <w:rFonts w:cs="Arial"/>
                <w:b/>
                <w:color w:val="000000"/>
                <w:sz w:val="16"/>
                <w:szCs w:val="16"/>
                <w:lang w:eastAsia="en-AU" w:bidi="ar-SA"/>
              </w:rPr>
              <w:t>1</w:t>
            </w:r>
            <w:r w:rsidR="00F5755B" w:rsidRPr="00847CCC">
              <w:rPr>
                <w:rFonts w:cs="Arial"/>
                <w:b/>
                <w:color w:val="000000"/>
                <w:sz w:val="16"/>
                <w:szCs w:val="16"/>
                <w:lang w:eastAsia="en-AU" w:bidi="ar-SA"/>
              </w:rPr>
              <w:t> </w:t>
            </w:r>
            <w:r w:rsidR="00513BED" w:rsidRPr="00847CCC">
              <w:rPr>
                <w:rFonts w:cs="Arial"/>
                <w:b/>
                <w:color w:val="000000"/>
                <w:sz w:val="16"/>
                <w:szCs w:val="16"/>
                <w:lang w:eastAsia="en-AU" w:bidi="ar-SA"/>
              </w:rPr>
              <w:t>246</w:t>
            </w:r>
          </w:p>
        </w:tc>
        <w:tc>
          <w:tcPr>
            <w:tcW w:w="993" w:type="dxa"/>
            <w:tcBorders>
              <w:top w:val="single" w:sz="4" w:space="0" w:color="auto"/>
              <w:bottom w:val="single" w:sz="4" w:space="0" w:color="auto"/>
            </w:tcBorders>
            <w:shd w:val="clear" w:color="auto" w:fill="auto"/>
            <w:noWrap/>
            <w:hideMark/>
          </w:tcPr>
          <w:p w:rsidR="00930638" w:rsidRPr="00847CCC" w:rsidRDefault="00136CEF" w:rsidP="00273B1F">
            <w:pPr>
              <w:keepNext/>
              <w:keepLines/>
              <w:spacing w:after="40" w:line="240" w:lineRule="auto"/>
              <w:ind w:left="0"/>
              <w:jc w:val="right"/>
              <w:rPr>
                <w:rFonts w:cs="Arial"/>
                <w:b/>
                <w:color w:val="000000"/>
                <w:sz w:val="16"/>
                <w:szCs w:val="16"/>
                <w:lang w:eastAsia="en-AU" w:bidi="ar-SA"/>
              </w:rPr>
            </w:pPr>
            <w:r w:rsidRPr="00847CCC">
              <w:rPr>
                <w:rFonts w:cs="Arial"/>
                <w:b/>
                <w:color w:val="000000"/>
                <w:sz w:val="16"/>
                <w:szCs w:val="16"/>
                <w:lang w:eastAsia="en-AU" w:bidi="ar-SA"/>
              </w:rPr>
              <w:t>22</w:t>
            </w:r>
          </w:p>
        </w:tc>
        <w:tc>
          <w:tcPr>
            <w:tcW w:w="992" w:type="dxa"/>
            <w:tcBorders>
              <w:top w:val="single" w:sz="4" w:space="0" w:color="auto"/>
              <w:bottom w:val="single" w:sz="4" w:space="0" w:color="auto"/>
            </w:tcBorders>
            <w:shd w:val="clear" w:color="auto" w:fill="auto"/>
            <w:noWrap/>
            <w:hideMark/>
          </w:tcPr>
          <w:p w:rsidR="00930638" w:rsidRPr="00847CCC" w:rsidRDefault="00136CEF" w:rsidP="00273B1F">
            <w:pPr>
              <w:keepNext/>
              <w:keepLines/>
              <w:spacing w:after="40" w:line="240" w:lineRule="auto"/>
              <w:ind w:left="0"/>
              <w:jc w:val="right"/>
              <w:rPr>
                <w:rFonts w:cs="Arial"/>
                <w:b/>
                <w:color w:val="000000"/>
                <w:sz w:val="16"/>
                <w:szCs w:val="16"/>
                <w:lang w:eastAsia="en-AU" w:bidi="ar-SA"/>
              </w:rPr>
            </w:pPr>
            <w:r w:rsidRPr="00847CCC">
              <w:rPr>
                <w:rFonts w:cs="Arial"/>
                <w:b/>
                <w:color w:val="000000"/>
                <w:sz w:val="16"/>
                <w:szCs w:val="16"/>
                <w:lang w:eastAsia="en-AU" w:bidi="ar-SA"/>
              </w:rPr>
              <w:t>2</w:t>
            </w:r>
            <w:r w:rsidR="00F5755B" w:rsidRPr="00847CCC">
              <w:rPr>
                <w:rFonts w:cs="Arial"/>
                <w:b/>
                <w:color w:val="000000"/>
                <w:sz w:val="16"/>
                <w:szCs w:val="16"/>
                <w:lang w:eastAsia="en-AU" w:bidi="ar-SA"/>
              </w:rPr>
              <w:t> </w:t>
            </w:r>
            <w:r w:rsidRPr="00847CCC">
              <w:rPr>
                <w:rFonts w:cs="Arial"/>
                <w:b/>
                <w:color w:val="000000"/>
                <w:sz w:val="16"/>
                <w:szCs w:val="16"/>
                <w:lang w:eastAsia="en-AU" w:bidi="ar-SA"/>
              </w:rPr>
              <w:t>262</w:t>
            </w:r>
          </w:p>
        </w:tc>
        <w:tc>
          <w:tcPr>
            <w:tcW w:w="765" w:type="dxa"/>
            <w:tcBorders>
              <w:top w:val="single" w:sz="4" w:space="0" w:color="auto"/>
              <w:bottom w:val="single" w:sz="4" w:space="0" w:color="auto"/>
            </w:tcBorders>
            <w:shd w:val="clear" w:color="auto" w:fill="auto"/>
            <w:noWrap/>
            <w:hideMark/>
          </w:tcPr>
          <w:p w:rsidR="00930638" w:rsidRPr="00847CCC" w:rsidRDefault="00136CEF" w:rsidP="00273B1F">
            <w:pPr>
              <w:keepNext/>
              <w:keepLines/>
              <w:spacing w:after="40" w:line="240" w:lineRule="auto"/>
              <w:ind w:left="0"/>
              <w:jc w:val="right"/>
              <w:rPr>
                <w:rFonts w:cs="Arial"/>
                <w:b/>
                <w:color w:val="000000"/>
                <w:sz w:val="16"/>
                <w:szCs w:val="16"/>
                <w:lang w:eastAsia="en-AU" w:bidi="ar-SA"/>
              </w:rPr>
            </w:pPr>
            <w:r w:rsidRPr="00847CCC">
              <w:rPr>
                <w:rFonts w:cs="Arial"/>
                <w:b/>
                <w:color w:val="000000"/>
                <w:sz w:val="16"/>
                <w:szCs w:val="16"/>
                <w:lang w:eastAsia="en-AU" w:bidi="ar-SA"/>
              </w:rPr>
              <w:t>3</w:t>
            </w:r>
            <w:r w:rsidR="00F5755B" w:rsidRPr="00847CCC">
              <w:rPr>
                <w:rFonts w:cs="Arial"/>
                <w:b/>
                <w:color w:val="000000"/>
                <w:sz w:val="16"/>
                <w:szCs w:val="16"/>
                <w:lang w:eastAsia="en-AU" w:bidi="ar-SA"/>
              </w:rPr>
              <w:t> </w:t>
            </w:r>
            <w:r w:rsidRPr="00847CCC">
              <w:rPr>
                <w:rFonts w:cs="Arial"/>
                <w:b/>
                <w:color w:val="000000"/>
                <w:sz w:val="16"/>
                <w:szCs w:val="16"/>
                <w:lang w:eastAsia="en-AU" w:bidi="ar-SA"/>
              </w:rPr>
              <w:t>53</w:t>
            </w:r>
            <w:r w:rsidR="00513BED" w:rsidRPr="00847CCC">
              <w:rPr>
                <w:rFonts w:cs="Arial"/>
                <w:b/>
                <w:color w:val="000000"/>
                <w:sz w:val="16"/>
                <w:szCs w:val="16"/>
                <w:lang w:eastAsia="en-AU" w:bidi="ar-SA"/>
              </w:rPr>
              <w:t>0</w:t>
            </w:r>
          </w:p>
        </w:tc>
      </w:tr>
    </w:tbl>
    <w:p w:rsidR="00FF16A3" w:rsidRDefault="00FF16A3" w:rsidP="00F5755B">
      <w:pPr>
        <w:pStyle w:val="tablefootnotes"/>
      </w:pPr>
      <w:r>
        <w:t>Notes:</w:t>
      </w:r>
    </w:p>
    <w:p w:rsidR="00F5755B" w:rsidRPr="00F5755B" w:rsidRDefault="00F5755B" w:rsidP="00F5755B">
      <w:pPr>
        <w:pStyle w:val="tablefootnotes"/>
      </w:pPr>
      <w:r w:rsidRPr="00F5755B">
        <w:t xml:space="preserve">(a) </w:t>
      </w:r>
      <w:r>
        <w:tab/>
      </w:r>
      <w:r w:rsidRPr="00F5755B">
        <w:t xml:space="preserve">Includes Compulsory Income Management under both the Disengaged Youth and Long-term Welfare </w:t>
      </w:r>
      <w:r w:rsidR="00D3222D">
        <w:t>Payment Recipients</w:t>
      </w:r>
      <w:r w:rsidRPr="00F5755B">
        <w:t xml:space="preserve"> Measures, Child Protection and Vulnerable persons measures</w:t>
      </w:r>
      <w:r w:rsidR="00847CCC">
        <w:t>.</w:t>
      </w:r>
    </w:p>
    <w:p w:rsidR="00FF16A3" w:rsidRDefault="00F5755B" w:rsidP="00F5755B">
      <w:pPr>
        <w:pStyle w:val="tablefootnotes"/>
      </w:pPr>
      <w:r w:rsidRPr="00F5755B">
        <w:t>(b)</w:t>
      </w:r>
      <w:r>
        <w:tab/>
      </w:r>
      <w:r w:rsidRPr="00F5755B">
        <w:t>Persons on Youth Allowance, Newstart</w:t>
      </w:r>
      <w:r w:rsidR="009D040F">
        <w:t xml:space="preserve"> Allowance</w:t>
      </w:r>
      <w:r w:rsidRPr="00F5755B">
        <w:t>, Parenting Payment and Special Benefit</w:t>
      </w:r>
      <w:r w:rsidR="00847CCC">
        <w:t>.</w:t>
      </w:r>
    </w:p>
    <w:p w:rsidR="008861DE" w:rsidRPr="005911E2" w:rsidRDefault="008861DE" w:rsidP="00F5755B">
      <w:pPr>
        <w:pStyle w:val="tablefootnotes"/>
      </w:pPr>
      <w:r w:rsidRPr="005911E2">
        <w:t xml:space="preserve">Source: </w:t>
      </w:r>
      <w:r w:rsidR="00F5755B">
        <w:tab/>
      </w:r>
      <w:r w:rsidRPr="005911E2">
        <w:t xml:space="preserve">Derived from Centrelink </w:t>
      </w:r>
      <w:r w:rsidR="00F878E4">
        <w:t>income management</w:t>
      </w:r>
      <w:r w:rsidRPr="005911E2">
        <w:t xml:space="preserve"> &amp; IS/FTB datasets</w:t>
      </w:r>
      <w:r w:rsidR="00847CCC">
        <w:t>.</w:t>
      </w:r>
    </w:p>
    <w:p w:rsidR="00366484" w:rsidRDefault="00366484" w:rsidP="004E1352">
      <w:pPr>
        <w:pStyle w:val="tablefootnotes"/>
      </w:pPr>
    </w:p>
    <w:p w:rsidR="00847CCC" w:rsidRPr="005911E2" w:rsidRDefault="00847CCC" w:rsidP="00847CCC">
      <w:pPr>
        <w:pStyle w:val="Heading4"/>
      </w:pPr>
      <w:r w:rsidRPr="005911E2">
        <w:t>Exemptions</w:t>
      </w:r>
    </w:p>
    <w:p w:rsidR="00847CCC" w:rsidRPr="005911E2" w:rsidRDefault="00847CCC" w:rsidP="00847CCC">
      <w:r w:rsidRPr="005911E2">
        <w:t xml:space="preserve">Five exemption codes have been classified as representing an actual exemption from </w:t>
      </w:r>
      <w:r>
        <w:t>income management</w:t>
      </w:r>
      <w:r w:rsidRPr="005911E2">
        <w:t xml:space="preserve">. These are: </w:t>
      </w:r>
    </w:p>
    <w:p w:rsidR="00847CCC" w:rsidRPr="005911E2" w:rsidRDefault="00847CCC" w:rsidP="00847CCC">
      <w:pPr>
        <w:pStyle w:val="ListBullet"/>
      </w:pPr>
      <w:r w:rsidRPr="005911E2">
        <w:t>participating in approved activity</w:t>
      </w:r>
    </w:p>
    <w:p w:rsidR="00847CCC" w:rsidRPr="005911E2" w:rsidRDefault="00847CCC" w:rsidP="00847CCC">
      <w:pPr>
        <w:pStyle w:val="ListBullet"/>
      </w:pPr>
      <w:r w:rsidRPr="005911E2">
        <w:t>having children participating in an approved activity</w:t>
      </w:r>
    </w:p>
    <w:p w:rsidR="00847CCC" w:rsidRPr="005911E2" w:rsidRDefault="00847CCC" w:rsidP="00847CCC">
      <w:pPr>
        <w:pStyle w:val="ListBullet"/>
      </w:pPr>
      <w:r w:rsidRPr="005911E2">
        <w:t>being in regular paid employment</w:t>
      </w:r>
    </w:p>
    <w:p w:rsidR="00847CCC" w:rsidRPr="005911E2" w:rsidRDefault="00847CCC" w:rsidP="00847CCC">
      <w:pPr>
        <w:pStyle w:val="ListBullet"/>
      </w:pPr>
      <w:r w:rsidRPr="005911E2">
        <w:t>having the health and</w:t>
      </w:r>
      <w:r>
        <w:t>/</w:t>
      </w:r>
      <w:r w:rsidRPr="005911E2">
        <w:t xml:space="preserve">or engagement activity of children met </w:t>
      </w:r>
    </w:p>
    <w:p w:rsidR="00847CCC" w:rsidRPr="005911E2" w:rsidRDefault="00847CCC" w:rsidP="00847CCC">
      <w:pPr>
        <w:pStyle w:val="ListBullet"/>
      </w:pPr>
      <w:r w:rsidRPr="005911E2">
        <w:t xml:space="preserve">having received a </w:t>
      </w:r>
      <w:r>
        <w:t>‘</w:t>
      </w:r>
      <w:r w:rsidRPr="005911E2">
        <w:t>Specified class exemption</w:t>
      </w:r>
      <w:r>
        <w:t>’</w:t>
      </w:r>
      <w:r w:rsidRPr="005911E2">
        <w:t>.</w:t>
      </w:r>
    </w:p>
    <w:p w:rsidR="00847CCC" w:rsidRPr="005911E2" w:rsidRDefault="00847CCC" w:rsidP="00847CCC">
      <w:r w:rsidRPr="005911E2">
        <w:t xml:space="preserve">Currently two </w:t>
      </w:r>
      <w:r>
        <w:t>’</w:t>
      </w:r>
      <w:r w:rsidRPr="005911E2">
        <w:t>specified class exemptions</w:t>
      </w:r>
      <w:r>
        <w:t>’</w:t>
      </w:r>
      <w:r w:rsidRPr="005911E2">
        <w:t xml:space="preserve"> exist. The first is for Special Benefit recipients who do not have an activity tested Special Benefit Payment, are aged 16 years or older, and are not the principal carer of a child under 6 years of age. The second is for </w:t>
      </w:r>
      <w:r>
        <w:t xml:space="preserve">people </w:t>
      </w:r>
      <w:r w:rsidRPr="005911E2">
        <w:t xml:space="preserve">who commenced participation </w:t>
      </w:r>
      <w:r>
        <w:t xml:space="preserve">in </w:t>
      </w:r>
      <w:r w:rsidRPr="005911E2">
        <w:t>C</w:t>
      </w:r>
      <w:r>
        <w:t xml:space="preserve">ommunity </w:t>
      </w:r>
      <w:r w:rsidRPr="005911E2">
        <w:t>D</w:t>
      </w:r>
      <w:r>
        <w:t xml:space="preserve">evelopment </w:t>
      </w:r>
      <w:r w:rsidRPr="005911E2">
        <w:t>E</w:t>
      </w:r>
      <w:r>
        <w:t xml:space="preserve">mployment </w:t>
      </w:r>
      <w:r w:rsidRPr="005911E2">
        <w:t>P</w:t>
      </w:r>
      <w:r>
        <w:t>rojects</w:t>
      </w:r>
      <w:r w:rsidRPr="005911E2">
        <w:t xml:space="preserve"> prior to 1 July 2009 and would otherwise have been subject to the Disengaged Youth and Long-term Welfare </w:t>
      </w:r>
      <w:r>
        <w:t>Payment Recipients</w:t>
      </w:r>
      <w:r w:rsidRPr="005911E2">
        <w:t xml:space="preserve"> Measures</w:t>
      </w:r>
      <w:r>
        <w:t xml:space="preserve"> </w:t>
      </w:r>
      <w:r w:rsidRPr="005911E2">
        <w:t>(Australian Government</w:t>
      </w:r>
      <w:r>
        <w:t>,</w:t>
      </w:r>
      <w:r w:rsidRPr="005911E2">
        <w:t xml:space="preserve"> 2012</w:t>
      </w:r>
      <w:r w:rsidR="00F8413B">
        <w:t>,</w:t>
      </w:r>
      <w:r>
        <w:t xml:space="preserve"> Section 11.1.14.80</w:t>
      </w:r>
      <w:r w:rsidRPr="005911E2">
        <w:t>)</w:t>
      </w:r>
      <w:r>
        <w:t>.</w:t>
      </w:r>
    </w:p>
    <w:p w:rsidR="00847CCC" w:rsidRPr="005911E2" w:rsidRDefault="00847CCC" w:rsidP="00847CCC">
      <w:r w:rsidRPr="005911E2">
        <w:t xml:space="preserve">Most exemptions </w:t>
      </w:r>
      <w:r>
        <w:t>(</w:t>
      </w:r>
      <w:r w:rsidRPr="005911E2">
        <w:t>85 per cent</w:t>
      </w:r>
      <w:r>
        <w:t>)</w:t>
      </w:r>
      <w:r w:rsidRPr="005911E2">
        <w:t xml:space="preserve"> have been granted under the ‘Health/ Engagement activity met’ code. As discussed below there seems to be some change in the practice of coding over time – but this code</w:t>
      </w:r>
      <w:r>
        <w:t>,</w:t>
      </w:r>
      <w:r w:rsidRPr="005911E2">
        <w:t xml:space="preserve"> along with the participation in approved activity and child participation in approved activity</w:t>
      </w:r>
      <w:r>
        <w:t>,</w:t>
      </w:r>
      <w:r w:rsidRPr="005911E2">
        <w:t xml:space="preserve"> all represent cases of responsible parenting and account for 97 per cent of exemptions.</w:t>
      </w:r>
    </w:p>
    <w:p w:rsidR="00847CCC" w:rsidRPr="005911E2" w:rsidRDefault="00847CCC" w:rsidP="00847CCC">
      <w:r w:rsidRPr="005911E2">
        <w:t xml:space="preserve">One group </w:t>
      </w:r>
      <w:r w:rsidR="00DA3012">
        <w:t xml:space="preserve">excluded from </w:t>
      </w:r>
      <w:r w:rsidRPr="005911E2">
        <w:t>th</w:t>
      </w:r>
      <w:r w:rsidR="00766188">
        <w:t>is study of</w:t>
      </w:r>
      <w:r w:rsidRPr="005911E2">
        <w:t xml:space="preserve"> exemptions are full-time students. For the reasons discussed below these have been treated as being out of scope for the purpose of this analysis.</w:t>
      </w:r>
    </w:p>
    <w:p w:rsidR="004E1352" w:rsidRPr="005911E2" w:rsidRDefault="004E1352" w:rsidP="004E1352">
      <w:r w:rsidRPr="005911E2">
        <w:t xml:space="preserve">As shown in the table a small proportion (0.9 per cent) of people with current exemptions, despite having gained an exemption from compulsory </w:t>
      </w:r>
      <w:r>
        <w:t>income management</w:t>
      </w:r>
      <w:r w:rsidRPr="005911E2">
        <w:t xml:space="preserve">, are currently on </w:t>
      </w:r>
      <w:r>
        <w:t>Voluntary Income Management</w:t>
      </w:r>
      <w:r w:rsidRPr="005911E2">
        <w:t>. This, as noted above, is consistent with program guidelines and may be as a result of people choosing this strategy to obtain the additional payment made to those on the voluntary initiative.</w:t>
      </w:r>
    </w:p>
    <w:p w:rsidR="008861DE" w:rsidRPr="005911E2" w:rsidRDefault="008861DE" w:rsidP="007B4471">
      <w:pPr>
        <w:pStyle w:val="Heading4"/>
      </w:pPr>
      <w:r w:rsidRPr="005911E2">
        <w:t>Rejected applications</w:t>
      </w:r>
    </w:p>
    <w:p w:rsidR="008861DE" w:rsidRPr="005911E2" w:rsidRDefault="008861DE" w:rsidP="00AA1750">
      <w:r w:rsidRPr="005911E2">
        <w:t xml:space="preserve">The Centrelink dataset contains </w:t>
      </w:r>
      <w:r w:rsidR="00034D16">
        <w:t>eight</w:t>
      </w:r>
      <w:r w:rsidRPr="005911E2">
        <w:t xml:space="preserve"> codes for the rejection of an application for exemption. The most frequently cited reason</w:t>
      </w:r>
      <w:r w:rsidR="00321196">
        <w:t xml:space="preserve"> recorded in October 2011 for those subject to </w:t>
      </w:r>
      <w:r w:rsidR="004808B3">
        <w:t>Compulsory Income Management</w:t>
      </w:r>
      <w:r w:rsidR="00321196">
        <w:t xml:space="preserve"> was</w:t>
      </w:r>
      <w:r w:rsidRPr="005911E2">
        <w:t xml:space="preserve"> a failure to provide evidence (36.0 per cent), health and engagement activity not met (30.</w:t>
      </w:r>
      <w:r w:rsidR="00321196">
        <w:t>4</w:t>
      </w:r>
      <w:r w:rsidRPr="005911E2">
        <w:t xml:space="preserve"> per cent), unacceptable evidence (</w:t>
      </w:r>
      <w:r w:rsidR="00321196">
        <w:t xml:space="preserve">11.8 </w:t>
      </w:r>
      <w:r w:rsidRPr="005911E2">
        <w:t>per cent)</w:t>
      </w:r>
      <w:r w:rsidR="00034D16">
        <w:t>,</w:t>
      </w:r>
      <w:r w:rsidRPr="005911E2">
        <w:t xml:space="preserve"> and not being financially stable (11.8 per cent).</w:t>
      </w:r>
    </w:p>
    <w:p w:rsidR="008861DE" w:rsidRPr="005911E2" w:rsidRDefault="008861DE" w:rsidP="00AA1750">
      <w:r w:rsidRPr="005911E2">
        <w:t>Again</w:t>
      </w:r>
      <w:r w:rsidR="00692472" w:rsidRPr="005911E2">
        <w:t>,</w:t>
      </w:r>
      <w:r w:rsidRPr="005911E2">
        <w:t xml:space="preserve"> as shown in </w:t>
      </w:r>
      <w:r w:rsidR="00C7347D">
        <w:rPr>
          <w:noProof/>
        </w:rPr>
        <w:fldChar w:fldCharType="begin"/>
      </w:r>
      <w:r w:rsidR="00321196">
        <w:rPr>
          <w:noProof/>
        </w:rPr>
        <w:instrText xml:space="preserve"> REF _Ref321077684 \h </w:instrText>
      </w:r>
      <w:r w:rsidR="00C7347D">
        <w:rPr>
          <w:noProof/>
        </w:rPr>
      </w:r>
      <w:r w:rsidR="00C7347D">
        <w:rPr>
          <w:noProof/>
        </w:rPr>
        <w:fldChar w:fldCharType="separate"/>
      </w:r>
      <w:r w:rsidR="007D7E45" w:rsidRPr="005911E2">
        <w:t xml:space="preserve">Table </w:t>
      </w:r>
      <w:r w:rsidR="007D7E45">
        <w:rPr>
          <w:noProof/>
        </w:rPr>
        <w:t>8</w:t>
      </w:r>
      <w:r w:rsidR="007D7E45" w:rsidRPr="005911E2">
        <w:noBreakHyphen/>
      </w:r>
      <w:r w:rsidR="007D7E45">
        <w:rPr>
          <w:noProof/>
        </w:rPr>
        <w:t>1</w:t>
      </w:r>
      <w:r w:rsidR="00C7347D">
        <w:rPr>
          <w:noProof/>
        </w:rPr>
        <w:fldChar w:fldCharType="end"/>
      </w:r>
      <w:r w:rsidR="00692472" w:rsidRPr="005911E2">
        <w:rPr>
          <w:noProof/>
        </w:rPr>
        <w:t>,</w:t>
      </w:r>
      <w:r w:rsidR="003D2E17" w:rsidRPr="005911E2">
        <w:t xml:space="preserve"> </w:t>
      </w:r>
      <w:r w:rsidRPr="005911E2">
        <w:t xml:space="preserve">there are a small group of people apparently on </w:t>
      </w:r>
      <w:r w:rsidR="002B5A5C">
        <w:t>Voluntary Income Management</w:t>
      </w:r>
      <w:r w:rsidRPr="005911E2">
        <w:t xml:space="preserve"> who have a rejected application for exemption.</w:t>
      </w:r>
      <w:r w:rsidR="0074268A" w:rsidRPr="005911E2">
        <w:t xml:space="preserve"> </w:t>
      </w:r>
      <w:r w:rsidRPr="005911E2">
        <w:t>These codes, along with a number of people on the child protection and vulnerable measures are likely to be a residual classification from the time the person was on CIM, but where they have changed the form of income support they are on.</w:t>
      </w:r>
      <w:r w:rsidR="0074268A" w:rsidRPr="005911E2">
        <w:t xml:space="preserve"> </w:t>
      </w:r>
      <w:r w:rsidRPr="005911E2">
        <w:t>Given the small number of cases they have been included in analysis.</w:t>
      </w:r>
    </w:p>
    <w:p w:rsidR="008861DE" w:rsidRPr="005911E2" w:rsidRDefault="008861DE" w:rsidP="007B4471">
      <w:pPr>
        <w:pStyle w:val="Heading4"/>
      </w:pPr>
      <w:r w:rsidRPr="005911E2">
        <w:t>Withdrawal of application for exemption</w:t>
      </w:r>
    </w:p>
    <w:p w:rsidR="008861DE" w:rsidRPr="005911E2" w:rsidRDefault="008861DE" w:rsidP="00AA1750">
      <w:r w:rsidRPr="005911E2">
        <w:t xml:space="preserve">A number of individuals who make application for an exemption withdraw this prior to an assessment being made. Detailed information on </w:t>
      </w:r>
      <w:r w:rsidR="00692472" w:rsidRPr="005911E2">
        <w:t>the reasons for this occurring</w:t>
      </w:r>
      <w:r w:rsidRPr="005911E2">
        <w:t xml:space="preserve"> is not available</w:t>
      </w:r>
      <w:r w:rsidR="004E1352">
        <w:t>,</w:t>
      </w:r>
      <w:r w:rsidRPr="005911E2">
        <w:t xml:space="preserve"> however it may include some cases where</w:t>
      </w:r>
      <w:r w:rsidR="00692472" w:rsidRPr="005911E2">
        <w:t>,</w:t>
      </w:r>
      <w:r w:rsidRPr="005911E2">
        <w:t xml:space="preserve"> after having </w:t>
      </w:r>
      <w:r w:rsidR="00692472" w:rsidRPr="005911E2">
        <w:t>made</w:t>
      </w:r>
      <w:r w:rsidRPr="005911E2">
        <w:t xml:space="preserve"> an application for exemption</w:t>
      </w:r>
      <w:r w:rsidR="00692472" w:rsidRPr="005911E2">
        <w:t>,</w:t>
      </w:r>
      <w:r w:rsidRPr="005911E2">
        <w:t xml:space="preserve"> a person may be given some feedback on the extent of </w:t>
      </w:r>
      <w:r w:rsidR="00F5755B">
        <w:t>non-</w:t>
      </w:r>
      <w:r w:rsidRPr="005911E2">
        <w:t>compliance</w:t>
      </w:r>
      <w:r w:rsidR="00F5755B">
        <w:t>,</w:t>
      </w:r>
      <w:r w:rsidRPr="005911E2">
        <w:t xml:space="preserve"> for example the number of lost </w:t>
      </w:r>
      <w:r w:rsidR="00961FB9" w:rsidRPr="005911E2">
        <w:t>BasicsCard</w:t>
      </w:r>
      <w:r w:rsidRPr="005911E2">
        <w:t>s, or may find themselves unable to obtain appropriate evidence to back up their claim.</w:t>
      </w:r>
    </w:p>
    <w:p w:rsidR="008861DE" w:rsidRPr="005911E2" w:rsidRDefault="008861DE" w:rsidP="007B4471">
      <w:pPr>
        <w:pStyle w:val="Heading4"/>
      </w:pPr>
      <w:r w:rsidRPr="005911E2">
        <w:t>Out of Scope</w:t>
      </w:r>
    </w:p>
    <w:p w:rsidR="008861DE" w:rsidRPr="005911E2" w:rsidRDefault="008861DE" w:rsidP="00AA1750">
      <w:r w:rsidRPr="005911E2">
        <w:t>The main group considered to be out of scope for this analysis of exemptions are those who are full-time students.</w:t>
      </w:r>
      <w:r w:rsidR="0074268A" w:rsidRPr="005911E2">
        <w:t xml:space="preserve"> </w:t>
      </w:r>
      <w:r w:rsidRPr="005911E2">
        <w:t xml:space="preserve">While these are a genuine exemption from </w:t>
      </w:r>
      <w:r w:rsidR="00F878E4">
        <w:t>income management</w:t>
      </w:r>
      <w:r w:rsidR="00692472" w:rsidRPr="005911E2">
        <w:t>,</w:t>
      </w:r>
      <w:r w:rsidRPr="005911E2">
        <w:t xml:space="preserve"> to include them in </w:t>
      </w:r>
      <w:r w:rsidR="00034D16">
        <w:t xml:space="preserve">this </w:t>
      </w:r>
      <w:r w:rsidRPr="005911E2">
        <w:t>analysis would introduce considerable bias in estimating the impact of the exemption policy for different groups.</w:t>
      </w:r>
    </w:p>
    <w:p w:rsidR="008861DE" w:rsidRPr="005911E2" w:rsidRDefault="008861DE" w:rsidP="00AA1750">
      <w:r w:rsidRPr="005911E2">
        <w:t>The reason for this lies in the role of the ABSTUDY payment as a form of income support for Indigenous students.</w:t>
      </w:r>
      <w:r w:rsidR="00692472" w:rsidRPr="005911E2">
        <w:t xml:space="preserve"> The purpose of ABSTUDY is to </w:t>
      </w:r>
      <w:r w:rsidR="00034D16">
        <w:t>‘</w:t>
      </w:r>
      <w:r w:rsidRPr="00E24340">
        <w:rPr>
          <w:i/>
        </w:rPr>
        <w:t>address the particular educational disadvantages faced by Aboriginal and Torres Strait Islander people by improving educational outcomes to a level commensurate with the Australian population in general. ABSTUDY policy aims to encourage eligible Indigenous students to take full advantage of available educational opportunities and improve their employment opportunities</w:t>
      </w:r>
      <w:r w:rsidR="00034D16">
        <w:t>’</w:t>
      </w:r>
      <w:r w:rsidR="004E1352">
        <w:t xml:space="preserve"> </w:t>
      </w:r>
      <w:r w:rsidRPr="005911E2">
        <w:t>(DEEWR</w:t>
      </w:r>
      <w:r w:rsidR="00034D16">
        <w:t>,</w:t>
      </w:r>
      <w:r w:rsidRPr="005911E2">
        <w:t xml:space="preserve"> 2012</w:t>
      </w:r>
      <w:r w:rsidR="009125CF">
        <w:t>a</w:t>
      </w:r>
      <w:r w:rsidRPr="005911E2">
        <w:t>)</w:t>
      </w:r>
      <w:r w:rsidR="004E1352">
        <w:t>.</w:t>
      </w:r>
      <w:r w:rsidR="00950933">
        <w:t xml:space="preserve"> N</w:t>
      </w:r>
      <w:r w:rsidRPr="005911E2">
        <w:t>on-Indigenous students are eligible for Youth Allowance Payments.</w:t>
      </w:r>
      <w:r w:rsidR="0074268A" w:rsidRPr="005911E2">
        <w:t xml:space="preserve"> </w:t>
      </w:r>
      <w:r w:rsidRPr="005911E2">
        <w:t xml:space="preserve">As ABSTUDY does not fall within scope of the disengaged youth element of </w:t>
      </w:r>
      <w:r w:rsidR="00F878E4">
        <w:t>income management</w:t>
      </w:r>
      <w:r w:rsidRPr="005911E2">
        <w:t xml:space="preserve">, because unlike Youth Allowance it is only available to students and not the unemployed, it is not a trigger payment for </w:t>
      </w:r>
      <w:r w:rsidR="00F878E4">
        <w:t>income management</w:t>
      </w:r>
      <w:r w:rsidRPr="005911E2">
        <w:t xml:space="preserve"> (although potentially a person on ABSTUDY may be subject to </w:t>
      </w:r>
      <w:r w:rsidR="00034D16">
        <w:t xml:space="preserve">either </w:t>
      </w:r>
      <w:r w:rsidRPr="005911E2">
        <w:t xml:space="preserve">the vulnerable </w:t>
      </w:r>
      <w:r w:rsidR="00034D16">
        <w:t xml:space="preserve">or </w:t>
      </w:r>
      <w:r w:rsidRPr="005911E2">
        <w:t>child protection measures).</w:t>
      </w:r>
    </w:p>
    <w:p w:rsidR="008861DE" w:rsidRPr="005911E2" w:rsidRDefault="008861DE" w:rsidP="00AA1750">
      <w:r w:rsidRPr="005911E2">
        <w:t xml:space="preserve">A consequence of this is that including full-time study in the main analysis of exemptions would be to treat non-Indigenous full-time students and apprentices as having gained exemptions, while ignoring Indigenous full-time students and apprentices. </w:t>
      </w:r>
      <w:r w:rsidR="00034D16">
        <w:t>T</w:t>
      </w:r>
      <w:r w:rsidRPr="005911E2">
        <w:t xml:space="preserve">his would introduce a marked bias and make it appear as if such exemptions </w:t>
      </w:r>
      <w:r w:rsidR="00034D16">
        <w:t xml:space="preserve">were provided </w:t>
      </w:r>
      <w:r w:rsidRPr="005911E2">
        <w:t>to non-Indigenous students only.</w:t>
      </w:r>
      <w:r w:rsidR="00E6399E">
        <w:rPr>
          <w:rStyle w:val="FootnoteReference"/>
        </w:rPr>
        <w:footnoteReference w:id="80"/>
      </w:r>
    </w:p>
    <w:p w:rsidR="008861DE" w:rsidRPr="005911E2" w:rsidRDefault="008861DE" w:rsidP="00AA1750">
      <w:r w:rsidRPr="005911E2">
        <w:t>A small number of people are also classified in th</w:t>
      </w:r>
      <w:r w:rsidR="00034D16">
        <w:t>e</w:t>
      </w:r>
      <w:r w:rsidRPr="005911E2">
        <w:t xml:space="preserve"> ‘out of scope’ group because they were deemed to be ‘</w:t>
      </w:r>
      <w:r w:rsidR="00034D16">
        <w:t>n</w:t>
      </w:r>
      <w:r w:rsidRPr="005911E2">
        <w:t xml:space="preserve">o longer eligible’. As illustrated, while some of these appear to be subject to </w:t>
      </w:r>
      <w:r w:rsidR="00F878E4">
        <w:t>income management</w:t>
      </w:r>
      <w:r w:rsidRPr="005911E2">
        <w:t>, others are not.</w:t>
      </w:r>
      <w:r w:rsidR="0074268A" w:rsidRPr="005911E2">
        <w:t xml:space="preserve"> </w:t>
      </w:r>
      <w:r w:rsidRPr="005911E2">
        <w:t>One reason for this result is that this code may</w:t>
      </w:r>
      <w:r w:rsidR="004E1352">
        <w:t>,</w:t>
      </w:r>
      <w:r w:rsidRPr="005911E2">
        <w:t xml:space="preserve"> for example</w:t>
      </w:r>
      <w:r w:rsidR="004E1352">
        <w:t>,</w:t>
      </w:r>
      <w:r w:rsidRPr="005911E2">
        <w:t xml:space="preserve"> indicate where people change </w:t>
      </w:r>
      <w:r w:rsidR="00FB32BA">
        <w:t xml:space="preserve">the type of </w:t>
      </w:r>
      <w:r w:rsidR="0031584C">
        <w:t>income</w:t>
      </w:r>
      <w:r w:rsidR="00FB32BA">
        <w:t xml:space="preserve"> support they are on </w:t>
      </w:r>
      <w:r w:rsidRPr="005911E2">
        <w:t xml:space="preserve">and move from being subject to </w:t>
      </w:r>
      <w:r w:rsidR="00F878E4">
        <w:t>income management</w:t>
      </w:r>
      <w:r w:rsidRPr="005911E2">
        <w:t xml:space="preserve"> to not being so, or a person may have this code still on their record but have since moved back into </w:t>
      </w:r>
      <w:r w:rsidR="00F878E4">
        <w:t>income management</w:t>
      </w:r>
      <w:r w:rsidRPr="005911E2">
        <w:t>.</w:t>
      </w:r>
    </w:p>
    <w:p w:rsidR="008861DE" w:rsidRPr="005911E2" w:rsidRDefault="008861DE" w:rsidP="007B4471">
      <w:pPr>
        <w:pStyle w:val="Heading4"/>
      </w:pPr>
      <w:r w:rsidRPr="005911E2">
        <w:t>Administrative error codes</w:t>
      </w:r>
    </w:p>
    <w:p w:rsidR="008861DE" w:rsidRPr="005911E2" w:rsidRDefault="008861DE" w:rsidP="00AA1750">
      <w:r w:rsidRPr="005911E2">
        <w:t xml:space="preserve">The final </w:t>
      </w:r>
      <w:r w:rsidR="00F34C94" w:rsidRPr="005911E2">
        <w:t>set of codes essentially relates to administrative errors and is</w:t>
      </w:r>
      <w:r w:rsidRPr="005911E2">
        <w:t xml:space="preserve"> ignored in this analysis.</w:t>
      </w:r>
    </w:p>
    <w:p w:rsidR="008861DE" w:rsidRPr="005911E2" w:rsidRDefault="008861DE" w:rsidP="00BD6DFD">
      <w:pPr>
        <w:pStyle w:val="Heading3"/>
      </w:pPr>
      <w:r w:rsidRPr="005911E2">
        <w:t>Persons with rejections and exemptions no longer in receipt of eligible income support</w:t>
      </w:r>
    </w:p>
    <w:p w:rsidR="008861DE" w:rsidRPr="005911E2" w:rsidRDefault="00D154B7" w:rsidP="00D154B7">
      <w:r>
        <w:t xml:space="preserve">The focus of the discussion in this </w:t>
      </w:r>
      <w:r w:rsidR="004E1352">
        <w:t xml:space="preserve">analysis </w:t>
      </w:r>
      <w:r>
        <w:t xml:space="preserve">is on the current </w:t>
      </w:r>
      <w:r w:rsidR="004E1352">
        <w:t xml:space="preserve">status </w:t>
      </w:r>
      <w:r>
        <w:t>of individuals subject to</w:t>
      </w:r>
      <w:r w:rsidR="004E1352">
        <w:t>,</w:t>
      </w:r>
      <w:r>
        <w:t xml:space="preserve"> or currently exempt from</w:t>
      </w:r>
      <w:r w:rsidR="004E1352">
        <w:t>,</w:t>
      </w:r>
      <w:r>
        <w:t xml:space="preserve"> </w:t>
      </w:r>
      <w:r w:rsidR="00F878E4">
        <w:t>income management</w:t>
      </w:r>
      <w:r>
        <w:t>.</w:t>
      </w:r>
      <w:r w:rsidR="00B62B2D">
        <w:t xml:space="preserve"> </w:t>
      </w:r>
      <w:r>
        <w:t xml:space="preserve">In taking this approach </w:t>
      </w:r>
      <w:r w:rsidR="004E1352">
        <w:t>it</w:t>
      </w:r>
      <w:r>
        <w:t xml:space="preserve"> consider</w:t>
      </w:r>
      <w:r w:rsidR="004E1352">
        <w:t>s</w:t>
      </w:r>
      <w:r>
        <w:t xml:space="preserve"> the ‘stock’ of exemptions at a point in time</w:t>
      </w:r>
      <w:r w:rsidR="00614538">
        <w:t xml:space="preserve">. </w:t>
      </w:r>
      <w:r>
        <w:t>While as shown in this section</w:t>
      </w:r>
      <w:r w:rsidR="004E1352">
        <w:t>,</w:t>
      </w:r>
      <w:r>
        <w:t xml:space="preserve"> </w:t>
      </w:r>
      <w:r w:rsidR="004E1352">
        <w:t xml:space="preserve">using this approach, </w:t>
      </w:r>
      <w:r>
        <w:t>there were 1</w:t>
      </w:r>
      <w:r w:rsidR="00FB32BA">
        <w:t> </w:t>
      </w:r>
      <w:r>
        <w:t>550 people with exemptions in October 2011</w:t>
      </w:r>
      <w:r w:rsidR="008416A3">
        <w:t>;</w:t>
      </w:r>
      <w:r w:rsidR="009F4DDE">
        <w:rPr>
          <w:rStyle w:val="FootnoteReference"/>
        </w:rPr>
        <w:footnoteReference w:id="81"/>
      </w:r>
      <w:r>
        <w:t xml:space="preserve"> </w:t>
      </w:r>
      <w:r w:rsidR="009F4DDE">
        <w:t>i</w:t>
      </w:r>
      <w:r>
        <w:t>t is estimated from the quarterly data, that there have been 2</w:t>
      </w:r>
      <w:r w:rsidR="00FB32BA">
        <w:t> </w:t>
      </w:r>
      <w:r>
        <w:t>034 people who have had an exemption at one time or another</w:t>
      </w:r>
      <w:r w:rsidR="004E1352">
        <w:t xml:space="preserve"> up until this date</w:t>
      </w:r>
      <w:r w:rsidR="008416A3">
        <w:t>.</w:t>
      </w:r>
      <w:r w:rsidR="001B06DB">
        <w:rPr>
          <w:rStyle w:val="FootnoteReference"/>
        </w:rPr>
        <w:footnoteReference w:id="82"/>
      </w:r>
      <w:r w:rsidR="00B62B2D">
        <w:t xml:space="preserve"> </w:t>
      </w:r>
      <w:r>
        <w:t>That is</w:t>
      </w:r>
      <w:r w:rsidR="004E1352">
        <w:t>,</w:t>
      </w:r>
      <w:r>
        <w:t xml:space="preserve"> there are 484 people who have had an exemption but are either no longer exempt or are no</w:t>
      </w:r>
      <w:r w:rsidR="008416A3">
        <w:t xml:space="preserve"> longer</w:t>
      </w:r>
      <w:r>
        <w:t xml:space="preserve"> on a trigger payment. Only limited analysis of this group has been undertaken.</w:t>
      </w:r>
      <w:r w:rsidR="00B62B2D">
        <w:t xml:space="preserve"> </w:t>
      </w:r>
      <w:r>
        <w:t xml:space="preserve">Most </w:t>
      </w:r>
      <w:r w:rsidR="006C33D2">
        <w:t>(</w:t>
      </w:r>
      <w:r>
        <w:t>437</w:t>
      </w:r>
      <w:r w:rsidR="006C33D2">
        <w:t>)</w:t>
      </w:r>
      <w:r>
        <w:t xml:space="preserve"> are no longer on </w:t>
      </w:r>
      <w:r w:rsidR="004808B3">
        <w:t>Compulsory Income Management</w:t>
      </w:r>
      <w:r>
        <w:t xml:space="preserve"> trigger </w:t>
      </w:r>
      <w:r w:rsidR="006C33D2">
        <w:t>payments</w:t>
      </w:r>
      <w:r>
        <w:t xml:space="preserve"> or </w:t>
      </w:r>
      <w:r w:rsidR="001B06DB">
        <w:t>not on</w:t>
      </w:r>
      <w:r>
        <w:t xml:space="preserve"> income support</w:t>
      </w:r>
      <w:r w:rsidR="001B06DB">
        <w:t xml:space="preserve"> at all</w:t>
      </w:r>
      <w:r>
        <w:t xml:space="preserve">. Some 38 </w:t>
      </w:r>
      <w:r w:rsidR="001B06DB">
        <w:t xml:space="preserve">appear to have returned to </w:t>
      </w:r>
      <w:r w:rsidR="003075CB">
        <w:t>c</w:t>
      </w:r>
      <w:r w:rsidR="004808B3">
        <w:t xml:space="preserve">ompulsory </w:t>
      </w:r>
      <w:r w:rsidR="003075CB">
        <w:t>i</w:t>
      </w:r>
      <w:r w:rsidR="004808B3">
        <w:t xml:space="preserve">ncome </w:t>
      </w:r>
      <w:r w:rsidR="003075CB">
        <w:t>m</w:t>
      </w:r>
      <w:r w:rsidR="004808B3">
        <w:t>anagement</w:t>
      </w:r>
      <w:r w:rsidR="00614538">
        <w:t xml:space="preserve">. </w:t>
      </w:r>
    </w:p>
    <w:p w:rsidR="001C6DE3" w:rsidRDefault="009F4DDE" w:rsidP="00AA1750">
      <w:r>
        <w:t>This dynamic also affects records of people having had their application for exemption rejected.</w:t>
      </w:r>
      <w:r w:rsidR="00B62B2D">
        <w:t xml:space="preserve"> </w:t>
      </w:r>
      <w:r>
        <w:t>The data indicates that of the 1</w:t>
      </w:r>
      <w:r w:rsidR="0031584C">
        <w:t> </w:t>
      </w:r>
      <w:r>
        <w:t>550 people currently with an exemption</w:t>
      </w:r>
      <w:r w:rsidR="00C90B12">
        <w:t>,</w:t>
      </w:r>
      <w:r>
        <w:t xml:space="preserve"> there are 84 who had previously had an application for exemption rejected.</w:t>
      </w:r>
      <w:r w:rsidR="00B62B2D">
        <w:t xml:space="preserve"> </w:t>
      </w:r>
      <w:r>
        <w:t xml:space="preserve">There are also 167 people who have had an application rejected who are either not on an </w:t>
      </w:r>
      <w:r w:rsidR="00F878E4">
        <w:t>income management</w:t>
      </w:r>
      <w:r>
        <w:t xml:space="preserve"> trigger payment or not in receipt of income support.</w:t>
      </w:r>
    </w:p>
    <w:p w:rsidR="008861DE" w:rsidRPr="005911E2" w:rsidRDefault="008861DE" w:rsidP="00AA1750">
      <w:r w:rsidRPr="005911E2">
        <w:t xml:space="preserve">A question for further analysis is the relationship between the receipt or rejection of an application for an exemption </w:t>
      </w:r>
      <w:r w:rsidR="004E1352">
        <w:t>and</w:t>
      </w:r>
      <w:r w:rsidR="004E1352" w:rsidRPr="005911E2">
        <w:t xml:space="preserve"> </w:t>
      </w:r>
      <w:r w:rsidRPr="005911E2">
        <w:t xml:space="preserve">people’s </w:t>
      </w:r>
      <w:r w:rsidR="004E1352">
        <w:t>patterns of income support receipt</w:t>
      </w:r>
      <w:r w:rsidRPr="005911E2">
        <w:t>, including the likelihood of moving to another payment or off payment entirely.</w:t>
      </w:r>
      <w:r w:rsidR="0074268A" w:rsidRPr="005911E2">
        <w:t xml:space="preserve"> </w:t>
      </w:r>
      <w:r w:rsidRPr="005911E2">
        <w:t>This will however require more detailed data which enables these changes to be tracked more consistently</w:t>
      </w:r>
      <w:r w:rsidR="00C90B12">
        <w:t>,</w:t>
      </w:r>
      <w:r w:rsidR="001C6DE3">
        <w:t xml:space="preserve"> and is an issue which will be considered in subsequent reports.</w:t>
      </w:r>
    </w:p>
    <w:p w:rsidR="008861DE" w:rsidRPr="005911E2" w:rsidRDefault="008861DE" w:rsidP="00616B0F">
      <w:pPr>
        <w:pStyle w:val="Heading2"/>
      </w:pPr>
      <w:bookmarkStart w:id="669" w:name="_Toc321225141"/>
      <w:bookmarkStart w:id="670" w:name="_Toc321254484"/>
      <w:bookmarkStart w:id="671" w:name="_Toc328601509"/>
      <w:bookmarkStart w:id="672" w:name="_Toc329870390"/>
      <w:bookmarkStart w:id="673" w:name="_Toc335915776"/>
      <w:r w:rsidRPr="005911E2">
        <w:t>The rollout of NIM and exemptions</w:t>
      </w:r>
      <w:bookmarkEnd w:id="669"/>
      <w:bookmarkEnd w:id="670"/>
      <w:bookmarkEnd w:id="671"/>
      <w:bookmarkEnd w:id="672"/>
      <w:bookmarkEnd w:id="673"/>
      <w:r w:rsidRPr="005911E2">
        <w:t xml:space="preserve"> </w:t>
      </w:r>
    </w:p>
    <w:p w:rsidR="008861DE" w:rsidRPr="005911E2" w:rsidRDefault="008861DE" w:rsidP="00AA1750">
      <w:r w:rsidRPr="005911E2">
        <w:t>At the time of the first snapshot of data for NIM</w:t>
      </w:r>
      <w:r w:rsidR="00981071">
        <w:t xml:space="preserve"> in</w:t>
      </w:r>
      <w:r w:rsidRPr="005911E2">
        <w:t xml:space="preserve"> July 2010, there were 16</w:t>
      </w:r>
      <w:r w:rsidR="00981071">
        <w:t xml:space="preserve"> </w:t>
      </w:r>
      <w:r w:rsidRPr="005911E2">
        <w:t xml:space="preserve">733 people subject to </w:t>
      </w:r>
      <w:r w:rsidR="00F878E4">
        <w:t>income management</w:t>
      </w:r>
      <w:r w:rsidRPr="005911E2">
        <w:t xml:space="preserve">, almost all of whom were under the NTER IM measure. </w:t>
      </w:r>
      <w:r w:rsidR="00944CB4">
        <w:t xml:space="preserve">A further </w:t>
      </w:r>
      <w:r w:rsidRPr="005911E2">
        <w:t>145 had an exemption.</w:t>
      </w:r>
    </w:p>
    <w:p w:rsidR="008861DE" w:rsidRPr="005911E2" w:rsidRDefault="008476E4" w:rsidP="00AA1750">
      <w:r w:rsidRPr="005911E2">
        <w:t xml:space="preserve">Table </w:t>
      </w:r>
      <w:r w:rsidRPr="005911E2">
        <w:rPr>
          <w:noProof/>
        </w:rPr>
        <w:t>8</w:t>
      </w:r>
      <w:r w:rsidRPr="005911E2">
        <w:rPr>
          <w:noProof/>
        </w:rPr>
        <w:noBreakHyphen/>
        <w:t>2</w:t>
      </w:r>
      <w:r w:rsidR="008861DE" w:rsidRPr="005911E2">
        <w:t xml:space="preserve"> documents the pattern of the rollout of the program and the extent to which people gained exemptions, with more details on the grounds for granting and rejecting exemptions being provided in </w:t>
      </w:r>
      <w:r w:rsidRPr="005911E2">
        <w:t xml:space="preserve">Table </w:t>
      </w:r>
      <w:r w:rsidRPr="005911E2">
        <w:rPr>
          <w:noProof/>
        </w:rPr>
        <w:t>8</w:t>
      </w:r>
      <w:r w:rsidRPr="005911E2">
        <w:rPr>
          <w:noProof/>
        </w:rPr>
        <w:noBreakHyphen/>
        <w:t>3</w:t>
      </w:r>
      <w:r w:rsidR="008861DE" w:rsidRPr="005911E2">
        <w:t xml:space="preserve"> and </w:t>
      </w:r>
      <w:r w:rsidRPr="005911E2">
        <w:t xml:space="preserve">Table </w:t>
      </w:r>
      <w:r w:rsidRPr="005911E2">
        <w:rPr>
          <w:noProof/>
        </w:rPr>
        <w:t>8</w:t>
      </w:r>
      <w:r w:rsidRPr="005911E2">
        <w:rPr>
          <w:noProof/>
        </w:rPr>
        <w:noBreakHyphen/>
        <w:t>4</w:t>
      </w:r>
      <w:r w:rsidR="008861DE" w:rsidRPr="005911E2">
        <w:t>.</w:t>
      </w:r>
      <w:r w:rsidR="0074268A" w:rsidRPr="005911E2">
        <w:t xml:space="preserve"> </w:t>
      </w:r>
      <w:r w:rsidR="008861DE" w:rsidRPr="005911E2">
        <w:t>T</w:t>
      </w:r>
      <w:r w:rsidR="00981071">
        <w:t xml:space="preserve">able 8-3 </w:t>
      </w:r>
      <w:r w:rsidR="008861DE" w:rsidRPr="005911E2">
        <w:t xml:space="preserve">presents a snapshot of the potential </w:t>
      </w:r>
      <w:r w:rsidR="00F878E4">
        <w:t>income management</w:t>
      </w:r>
      <w:r w:rsidR="008861DE" w:rsidRPr="005911E2">
        <w:t xml:space="preserve"> population at each of the data points.</w:t>
      </w:r>
      <w:r w:rsidR="0074268A" w:rsidRPr="005911E2">
        <w:t xml:space="preserve"> </w:t>
      </w:r>
      <w:r w:rsidR="008861DE" w:rsidRPr="005911E2">
        <w:t>Caution need</w:t>
      </w:r>
      <w:r w:rsidR="00B012E2" w:rsidRPr="005911E2">
        <w:t>s</w:t>
      </w:r>
      <w:r w:rsidR="008861DE" w:rsidRPr="005911E2">
        <w:t xml:space="preserve"> to be exercised in interpreting the quarter to quarter changes</w:t>
      </w:r>
      <w:r w:rsidR="00981071">
        <w:t>,</w:t>
      </w:r>
      <w:r w:rsidR="008861DE" w:rsidRPr="005911E2">
        <w:t xml:space="preserve"> as these do not simply reflect the activity over the quarter</w:t>
      </w:r>
      <w:r w:rsidR="00981071">
        <w:t>;</w:t>
      </w:r>
      <w:r w:rsidR="008861DE" w:rsidRPr="005911E2">
        <w:t xml:space="preserve"> they are the sum of both additional applications and decisions on exemptions, and the effect of new people being subject to </w:t>
      </w:r>
      <w:r w:rsidR="00F878E4">
        <w:t>income management</w:t>
      </w:r>
      <w:r w:rsidR="00981071">
        <w:t>,</w:t>
      </w:r>
      <w:r w:rsidR="008861DE" w:rsidRPr="005911E2">
        <w:t xml:space="preserve"> and of some existing people either exiting the income support system or moving onto payments not subject to </w:t>
      </w:r>
      <w:r w:rsidR="00F878E4">
        <w:t>income management</w:t>
      </w:r>
      <w:r w:rsidR="008861DE" w:rsidRPr="005911E2">
        <w:t>. That is</w:t>
      </w:r>
      <w:r w:rsidR="004E1352">
        <w:t>,</w:t>
      </w:r>
      <w:r w:rsidR="008861DE" w:rsidRPr="005911E2">
        <w:t xml:space="preserve"> the changes also reflect change</w:t>
      </w:r>
      <w:r w:rsidR="00FB32BA">
        <w:t>s</w:t>
      </w:r>
      <w:r w:rsidR="008861DE" w:rsidRPr="005911E2">
        <w:t xml:space="preserve"> in the population in receipt of income support, and the characteristics of these, and hence whether or not they</w:t>
      </w:r>
      <w:r w:rsidR="00AA1750" w:rsidRPr="005911E2">
        <w:t xml:space="preserve"> are subject to </w:t>
      </w:r>
      <w:r w:rsidR="00F878E4">
        <w:t>income management</w:t>
      </w:r>
      <w:r w:rsidR="00AA1750" w:rsidRPr="005911E2">
        <w:t>.</w:t>
      </w:r>
    </w:p>
    <w:p w:rsidR="00246ED6" w:rsidRPr="005911E2" w:rsidRDefault="00246ED6" w:rsidP="00246ED6">
      <w:r w:rsidRPr="005911E2">
        <w:t>As shown in Table 8</w:t>
      </w:r>
      <w:r w:rsidRPr="005911E2">
        <w:noBreakHyphen/>
        <w:t>2</w:t>
      </w:r>
      <w:r w:rsidR="00981071">
        <w:t>,</w:t>
      </w:r>
      <w:r w:rsidRPr="005911E2">
        <w:t xml:space="preserve"> both applications for</w:t>
      </w:r>
      <w:r w:rsidR="004E1352">
        <w:t>,</w:t>
      </w:r>
      <w:r w:rsidRPr="005911E2">
        <w:t xml:space="preserve"> and decisions on</w:t>
      </w:r>
      <w:r w:rsidR="004E1352">
        <w:t>,</w:t>
      </w:r>
      <w:r w:rsidRPr="005911E2">
        <w:t xml:space="preserve"> exemptions tended to lag the rollout of the program. While, as detailed in Chapter 4, the rol</w:t>
      </w:r>
      <w:r w:rsidR="004E1352">
        <w:t>l</w:t>
      </w:r>
      <w:r w:rsidRPr="005911E2">
        <w:t xml:space="preserve">out of the </w:t>
      </w:r>
      <w:r w:rsidR="00981071">
        <w:t>NIM</w:t>
      </w:r>
      <w:r w:rsidRPr="005911E2">
        <w:t xml:space="preserve"> arrangements was substantially in place by October 2010 and virtually complete by February 2011, it was not until July 2011 that there appears to be some stability in the number of applications for, and granting of</w:t>
      </w:r>
      <w:r w:rsidR="004E1352">
        <w:t>,</w:t>
      </w:r>
      <w:r w:rsidRPr="005911E2">
        <w:t xml:space="preserve"> exemptions.</w:t>
      </w:r>
    </w:p>
    <w:p w:rsidR="008861DE" w:rsidRPr="005911E2" w:rsidRDefault="008861DE" w:rsidP="00AA1750">
      <w:pPr>
        <w:pStyle w:val="tabfighead"/>
      </w:pPr>
      <w:bookmarkStart w:id="674" w:name="_Ref321246493"/>
      <w:bookmarkStart w:id="675" w:name="_Ref320943898"/>
      <w:bookmarkStart w:id="676" w:name="_Ref320943885"/>
      <w:bookmarkStart w:id="677" w:name="_Toc321430435"/>
      <w:bookmarkStart w:id="678" w:name="_Toc321254554"/>
      <w:bookmarkStart w:id="679" w:name="_Toc328601602"/>
      <w:bookmarkStart w:id="680" w:name="_Toc329051380"/>
      <w:bookmarkStart w:id="681" w:name="_Toc335915868"/>
      <w:r w:rsidRPr="005911E2">
        <w:t xml:space="preserve">Table </w:t>
      </w:r>
      <w:r w:rsidR="00C7347D" w:rsidRPr="005911E2">
        <w:fldChar w:fldCharType="begin"/>
      </w:r>
      <w:r w:rsidR="00EF6BC6" w:rsidRPr="005911E2">
        <w:instrText xml:space="preserve"> STYLEREF 1 \s </w:instrText>
      </w:r>
      <w:r w:rsidR="00C7347D" w:rsidRPr="005911E2">
        <w:fldChar w:fldCharType="separate"/>
      </w:r>
      <w:r w:rsidR="007D7E45">
        <w:rPr>
          <w:noProof/>
        </w:rPr>
        <w:t>8</w:t>
      </w:r>
      <w:r w:rsidR="00C7347D" w:rsidRPr="005911E2">
        <w:fldChar w:fldCharType="end"/>
      </w:r>
      <w:r w:rsidR="00EF6BC6" w:rsidRPr="005911E2">
        <w:noBreakHyphen/>
      </w:r>
      <w:r w:rsidR="00C7347D" w:rsidRPr="005911E2">
        <w:fldChar w:fldCharType="begin"/>
      </w:r>
      <w:r w:rsidR="00EF6BC6" w:rsidRPr="005911E2">
        <w:instrText xml:space="preserve"> SEQ Table \* ARABIC \s 1 </w:instrText>
      </w:r>
      <w:r w:rsidR="00C7347D" w:rsidRPr="005911E2">
        <w:fldChar w:fldCharType="separate"/>
      </w:r>
      <w:r w:rsidR="007D7E45">
        <w:rPr>
          <w:noProof/>
        </w:rPr>
        <w:t>2</w:t>
      </w:r>
      <w:r w:rsidR="00C7347D" w:rsidRPr="005911E2">
        <w:fldChar w:fldCharType="end"/>
      </w:r>
      <w:bookmarkEnd w:id="674"/>
      <w:bookmarkEnd w:id="675"/>
      <w:r w:rsidRPr="005911E2">
        <w:t xml:space="preserve"> </w:t>
      </w:r>
      <w:r w:rsidR="00AA1750" w:rsidRPr="005911E2">
        <w:tab/>
      </w:r>
      <w:r w:rsidRPr="005911E2">
        <w:t xml:space="preserve">Rollout of </w:t>
      </w:r>
      <w:r w:rsidR="00F878E4">
        <w:t>income management</w:t>
      </w:r>
      <w:r w:rsidRPr="005911E2">
        <w:t xml:space="preserve"> – exemptions, October 2010 to October 2011</w:t>
      </w:r>
      <w:bookmarkEnd w:id="676"/>
      <w:bookmarkEnd w:id="677"/>
      <w:bookmarkEnd w:id="678"/>
      <w:bookmarkEnd w:id="679"/>
      <w:bookmarkEnd w:id="680"/>
      <w:bookmarkEnd w:id="681"/>
      <w:r w:rsidRPr="005911E2">
        <w:t xml:space="preserve"> </w:t>
      </w:r>
    </w:p>
    <w:tbl>
      <w:tblPr>
        <w:tblW w:w="6804" w:type="dxa"/>
        <w:tblInd w:w="1951" w:type="dxa"/>
        <w:tblLayout w:type="fixed"/>
        <w:tblLook w:val="0000" w:firstRow="0" w:lastRow="0" w:firstColumn="0" w:lastColumn="0" w:noHBand="0" w:noVBand="0"/>
      </w:tblPr>
      <w:tblGrid>
        <w:gridCol w:w="3260"/>
        <w:gridCol w:w="851"/>
        <w:gridCol w:w="993"/>
        <w:gridCol w:w="850"/>
        <w:gridCol w:w="850"/>
      </w:tblGrid>
      <w:tr w:rsidR="00246ED6" w:rsidRPr="00847CCC" w:rsidTr="00AC72FE">
        <w:trPr>
          <w:trHeight w:val="290"/>
        </w:trPr>
        <w:tc>
          <w:tcPr>
            <w:tcW w:w="3260" w:type="dxa"/>
            <w:tcBorders>
              <w:top w:val="single" w:sz="4" w:space="0" w:color="auto"/>
              <w:left w:val="nil"/>
              <w:bottom w:val="single" w:sz="4" w:space="0" w:color="auto"/>
              <w:right w:val="nil"/>
            </w:tcBorders>
          </w:tcPr>
          <w:p w:rsidR="00246ED6" w:rsidRPr="00847CCC" w:rsidRDefault="00246ED6" w:rsidP="00246ED6">
            <w:pPr>
              <w:pStyle w:val="braytabletext"/>
              <w:rPr>
                <w:szCs w:val="16"/>
              </w:rPr>
            </w:pPr>
          </w:p>
        </w:tc>
        <w:tc>
          <w:tcPr>
            <w:tcW w:w="851" w:type="dxa"/>
            <w:tcBorders>
              <w:top w:val="single" w:sz="4" w:space="0" w:color="auto"/>
              <w:left w:val="nil"/>
              <w:bottom w:val="single" w:sz="4" w:space="0" w:color="auto"/>
              <w:right w:val="nil"/>
            </w:tcBorders>
          </w:tcPr>
          <w:p w:rsidR="00246ED6" w:rsidRPr="00847CCC" w:rsidRDefault="00246ED6" w:rsidP="00246ED6">
            <w:pPr>
              <w:pStyle w:val="braytabletext"/>
              <w:jc w:val="right"/>
              <w:rPr>
                <w:szCs w:val="16"/>
              </w:rPr>
            </w:pPr>
            <w:r w:rsidRPr="00847CCC">
              <w:rPr>
                <w:szCs w:val="16"/>
              </w:rPr>
              <w:t>October 2010</w:t>
            </w:r>
          </w:p>
        </w:tc>
        <w:tc>
          <w:tcPr>
            <w:tcW w:w="993" w:type="dxa"/>
            <w:tcBorders>
              <w:top w:val="single" w:sz="4" w:space="0" w:color="auto"/>
              <w:left w:val="nil"/>
              <w:bottom w:val="single" w:sz="4" w:space="0" w:color="auto"/>
              <w:right w:val="nil"/>
            </w:tcBorders>
          </w:tcPr>
          <w:p w:rsidR="00246ED6" w:rsidRPr="00847CCC" w:rsidRDefault="00246ED6" w:rsidP="00246ED6">
            <w:pPr>
              <w:pStyle w:val="braytabletext"/>
              <w:jc w:val="right"/>
              <w:rPr>
                <w:szCs w:val="16"/>
              </w:rPr>
            </w:pPr>
            <w:r w:rsidRPr="00847CCC">
              <w:rPr>
                <w:szCs w:val="16"/>
              </w:rPr>
              <w:t>February 2011</w:t>
            </w:r>
          </w:p>
        </w:tc>
        <w:tc>
          <w:tcPr>
            <w:tcW w:w="850" w:type="dxa"/>
            <w:tcBorders>
              <w:top w:val="single" w:sz="4" w:space="0" w:color="auto"/>
              <w:left w:val="nil"/>
              <w:bottom w:val="single" w:sz="4" w:space="0" w:color="auto"/>
              <w:right w:val="nil"/>
            </w:tcBorders>
          </w:tcPr>
          <w:p w:rsidR="00246ED6" w:rsidRPr="00847CCC" w:rsidRDefault="00246ED6" w:rsidP="00246ED6">
            <w:pPr>
              <w:pStyle w:val="braytabletext"/>
              <w:jc w:val="right"/>
              <w:rPr>
                <w:szCs w:val="16"/>
              </w:rPr>
            </w:pPr>
            <w:r w:rsidRPr="00847CCC">
              <w:rPr>
                <w:szCs w:val="16"/>
              </w:rPr>
              <w:t>July 2011</w:t>
            </w:r>
          </w:p>
        </w:tc>
        <w:tc>
          <w:tcPr>
            <w:tcW w:w="850" w:type="dxa"/>
            <w:tcBorders>
              <w:top w:val="single" w:sz="4" w:space="0" w:color="auto"/>
              <w:left w:val="nil"/>
              <w:bottom w:val="single" w:sz="4" w:space="0" w:color="auto"/>
              <w:right w:val="nil"/>
            </w:tcBorders>
          </w:tcPr>
          <w:p w:rsidR="00246ED6" w:rsidRPr="00847CCC" w:rsidRDefault="00246ED6" w:rsidP="00246ED6">
            <w:pPr>
              <w:pStyle w:val="braytabletext"/>
              <w:jc w:val="right"/>
              <w:rPr>
                <w:szCs w:val="16"/>
              </w:rPr>
            </w:pPr>
            <w:r w:rsidRPr="00847CCC">
              <w:rPr>
                <w:szCs w:val="16"/>
              </w:rPr>
              <w:t>October 2011</w:t>
            </w:r>
          </w:p>
        </w:tc>
      </w:tr>
      <w:tr w:rsidR="00246ED6" w:rsidRPr="00847CCC" w:rsidTr="00AC72FE">
        <w:trPr>
          <w:trHeight w:val="290"/>
        </w:trPr>
        <w:tc>
          <w:tcPr>
            <w:tcW w:w="3260" w:type="dxa"/>
            <w:tcBorders>
              <w:top w:val="single" w:sz="4" w:space="0" w:color="auto"/>
              <w:left w:val="nil"/>
              <w:right w:val="nil"/>
            </w:tcBorders>
          </w:tcPr>
          <w:p w:rsidR="00246ED6" w:rsidRPr="00847CCC" w:rsidRDefault="00246ED6" w:rsidP="00246ED6">
            <w:pPr>
              <w:pStyle w:val="braytabletext"/>
              <w:rPr>
                <w:szCs w:val="16"/>
              </w:rPr>
            </w:pPr>
            <w:r w:rsidRPr="00847CCC">
              <w:rPr>
                <w:szCs w:val="16"/>
              </w:rPr>
              <w:t>VIM (excluding exempt)</w:t>
            </w:r>
          </w:p>
        </w:tc>
        <w:tc>
          <w:tcPr>
            <w:tcW w:w="851" w:type="dxa"/>
            <w:tcBorders>
              <w:top w:val="single" w:sz="4" w:space="0" w:color="auto"/>
              <w:left w:val="nil"/>
              <w:right w:val="nil"/>
            </w:tcBorders>
          </w:tcPr>
          <w:p w:rsidR="00246ED6" w:rsidRPr="00847CCC" w:rsidRDefault="00246ED6" w:rsidP="0089552E">
            <w:pPr>
              <w:pStyle w:val="braytabletext"/>
              <w:jc w:val="right"/>
              <w:rPr>
                <w:szCs w:val="16"/>
              </w:rPr>
            </w:pPr>
            <w:r w:rsidRPr="00847CCC">
              <w:rPr>
                <w:szCs w:val="16"/>
              </w:rPr>
              <w:t>3</w:t>
            </w:r>
            <w:r w:rsidR="00BB14C5" w:rsidRPr="00847CCC">
              <w:rPr>
                <w:szCs w:val="16"/>
              </w:rPr>
              <w:t xml:space="preserve"> </w:t>
            </w:r>
            <w:r w:rsidRPr="00847CCC">
              <w:rPr>
                <w:szCs w:val="16"/>
              </w:rPr>
              <w:t>840</w:t>
            </w:r>
          </w:p>
        </w:tc>
        <w:tc>
          <w:tcPr>
            <w:tcW w:w="993" w:type="dxa"/>
            <w:tcBorders>
              <w:top w:val="single" w:sz="4" w:space="0" w:color="auto"/>
              <w:left w:val="nil"/>
              <w:right w:val="nil"/>
            </w:tcBorders>
          </w:tcPr>
          <w:p w:rsidR="00246ED6" w:rsidRPr="00847CCC" w:rsidRDefault="00246ED6" w:rsidP="0089552E">
            <w:pPr>
              <w:pStyle w:val="braytabletext"/>
              <w:jc w:val="right"/>
              <w:rPr>
                <w:szCs w:val="16"/>
              </w:rPr>
            </w:pPr>
            <w:r w:rsidRPr="00847CCC">
              <w:rPr>
                <w:szCs w:val="16"/>
              </w:rPr>
              <w:t>4</w:t>
            </w:r>
            <w:r w:rsidR="00AE2F2D" w:rsidRPr="00847CCC">
              <w:rPr>
                <w:szCs w:val="16"/>
              </w:rPr>
              <w:t> </w:t>
            </w:r>
            <w:r w:rsidRPr="00847CCC">
              <w:rPr>
                <w:szCs w:val="16"/>
              </w:rPr>
              <w:t>558</w:t>
            </w:r>
          </w:p>
        </w:tc>
        <w:tc>
          <w:tcPr>
            <w:tcW w:w="850" w:type="dxa"/>
            <w:tcBorders>
              <w:top w:val="single" w:sz="4" w:space="0" w:color="auto"/>
              <w:left w:val="nil"/>
              <w:right w:val="nil"/>
            </w:tcBorders>
          </w:tcPr>
          <w:p w:rsidR="00246ED6" w:rsidRPr="00847CCC" w:rsidRDefault="00246ED6" w:rsidP="0089552E">
            <w:pPr>
              <w:pStyle w:val="braytabletext"/>
              <w:jc w:val="right"/>
              <w:rPr>
                <w:szCs w:val="16"/>
              </w:rPr>
            </w:pPr>
            <w:r w:rsidRPr="00847CCC">
              <w:rPr>
                <w:szCs w:val="16"/>
              </w:rPr>
              <w:t>4</w:t>
            </w:r>
            <w:r w:rsidR="00AE2F2D" w:rsidRPr="00847CCC">
              <w:rPr>
                <w:szCs w:val="16"/>
              </w:rPr>
              <w:t> </w:t>
            </w:r>
            <w:r w:rsidRPr="00847CCC">
              <w:rPr>
                <w:szCs w:val="16"/>
              </w:rPr>
              <w:t>267</w:t>
            </w:r>
          </w:p>
        </w:tc>
        <w:tc>
          <w:tcPr>
            <w:tcW w:w="850" w:type="dxa"/>
            <w:tcBorders>
              <w:top w:val="single" w:sz="4" w:space="0" w:color="auto"/>
              <w:left w:val="nil"/>
              <w:right w:val="nil"/>
            </w:tcBorders>
          </w:tcPr>
          <w:p w:rsidR="00246ED6" w:rsidRPr="00847CCC" w:rsidRDefault="00246ED6" w:rsidP="0089552E">
            <w:pPr>
              <w:pStyle w:val="braytabletext"/>
              <w:jc w:val="right"/>
              <w:rPr>
                <w:szCs w:val="16"/>
              </w:rPr>
            </w:pPr>
            <w:r w:rsidRPr="00847CCC">
              <w:rPr>
                <w:szCs w:val="16"/>
              </w:rPr>
              <w:t>4</w:t>
            </w:r>
            <w:r w:rsidR="00AE2F2D" w:rsidRPr="00847CCC">
              <w:rPr>
                <w:szCs w:val="16"/>
              </w:rPr>
              <w:t> </w:t>
            </w:r>
            <w:r w:rsidRPr="00847CCC">
              <w:rPr>
                <w:szCs w:val="16"/>
              </w:rPr>
              <w:t>214</w:t>
            </w:r>
          </w:p>
        </w:tc>
      </w:tr>
      <w:tr w:rsidR="00246ED6" w:rsidRPr="00847CCC" w:rsidTr="00AC72FE">
        <w:trPr>
          <w:trHeight w:val="290"/>
        </w:trPr>
        <w:tc>
          <w:tcPr>
            <w:tcW w:w="3260" w:type="dxa"/>
            <w:tcBorders>
              <w:left w:val="nil"/>
              <w:right w:val="nil"/>
            </w:tcBorders>
          </w:tcPr>
          <w:p w:rsidR="00246ED6" w:rsidRPr="00847CCC" w:rsidRDefault="00246ED6" w:rsidP="00246ED6">
            <w:pPr>
              <w:pStyle w:val="braytabletext"/>
              <w:rPr>
                <w:szCs w:val="16"/>
              </w:rPr>
            </w:pPr>
            <w:r w:rsidRPr="00847CCC">
              <w:rPr>
                <w:szCs w:val="16"/>
              </w:rPr>
              <w:t>CPIM &amp; VULIM</w:t>
            </w:r>
          </w:p>
        </w:tc>
        <w:tc>
          <w:tcPr>
            <w:tcW w:w="851" w:type="dxa"/>
            <w:tcBorders>
              <w:left w:val="nil"/>
              <w:right w:val="nil"/>
            </w:tcBorders>
          </w:tcPr>
          <w:p w:rsidR="00246ED6" w:rsidRPr="00847CCC" w:rsidRDefault="00246ED6" w:rsidP="00246ED6">
            <w:pPr>
              <w:pStyle w:val="braytabletext"/>
              <w:jc w:val="right"/>
              <w:rPr>
                <w:szCs w:val="16"/>
              </w:rPr>
            </w:pPr>
            <w:r w:rsidRPr="00847CCC">
              <w:rPr>
                <w:szCs w:val="16"/>
              </w:rPr>
              <w:t>20</w:t>
            </w:r>
          </w:p>
        </w:tc>
        <w:tc>
          <w:tcPr>
            <w:tcW w:w="993" w:type="dxa"/>
            <w:tcBorders>
              <w:left w:val="nil"/>
              <w:right w:val="nil"/>
            </w:tcBorders>
          </w:tcPr>
          <w:p w:rsidR="00246ED6" w:rsidRPr="00847CCC" w:rsidRDefault="00246ED6" w:rsidP="00246ED6">
            <w:pPr>
              <w:pStyle w:val="braytabletext"/>
              <w:jc w:val="right"/>
              <w:rPr>
                <w:szCs w:val="16"/>
              </w:rPr>
            </w:pPr>
            <w:r w:rsidRPr="00847CCC">
              <w:rPr>
                <w:szCs w:val="16"/>
              </w:rPr>
              <w:t>214</w:t>
            </w:r>
          </w:p>
        </w:tc>
        <w:tc>
          <w:tcPr>
            <w:tcW w:w="850" w:type="dxa"/>
            <w:tcBorders>
              <w:left w:val="nil"/>
              <w:right w:val="nil"/>
            </w:tcBorders>
          </w:tcPr>
          <w:p w:rsidR="00246ED6" w:rsidRPr="00847CCC" w:rsidRDefault="00246ED6" w:rsidP="00246ED6">
            <w:pPr>
              <w:pStyle w:val="braytabletext"/>
              <w:jc w:val="right"/>
              <w:rPr>
                <w:szCs w:val="16"/>
              </w:rPr>
            </w:pPr>
            <w:r w:rsidRPr="00847CCC">
              <w:rPr>
                <w:szCs w:val="16"/>
              </w:rPr>
              <w:t>296</w:t>
            </w:r>
          </w:p>
        </w:tc>
        <w:tc>
          <w:tcPr>
            <w:tcW w:w="850" w:type="dxa"/>
            <w:tcBorders>
              <w:left w:val="nil"/>
              <w:right w:val="nil"/>
            </w:tcBorders>
          </w:tcPr>
          <w:p w:rsidR="00246ED6" w:rsidRPr="00847CCC" w:rsidRDefault="00246ED6" w:rsidP="00246ED6">
            <w:pPr>
              <w:pStyle w:val="braytabletext"/>
              <w:jc w:val="right"/>
              <w:rPr>
                <w:szCs w:val="16"/>
              </w:rPr>
            </w:pPr>
            <w:r w:rsidRPr="00847CCC">
              <w:rPr>
                <w:szCs w:val="16"/>
              </w:rPr>
              <w:t>245</w:t>
            </w:r>
          </w:p>
        </w:tc>
      </w:tr>
      <w:tr w:rsidR="00246ED6" w:rsidRPr="00847CCC" w:rsidTr="00AC72FE">
        <w:trPr>
          <w:trHeight w:val="290"/>
        </w:trPr>
        <w:tc>
          <w:tcPr>
            <w:tcW w:w="3260" w:type="dxa"/>
            <w:tcBorders>
              <w:left w:val="nil"/>
              <w:right w:val="nil"/>
            </w:tcBorders>
          </w:tcPr>
          <w:p w:rsidR="00246ED6" w:rsidRPr="00847CCC" w:rsidRDefault="00246ED6" w:rsidP="00246ED6">
            <w:pPr>
              <w:pStyle w:val="braytabletext"/>
              <w:rPr>
                <w:i/>
                <w:szCs w:val="16"/>
              </w:rPr>
            </w:pPr>
            <w:r w:rsidRPr="00847CCC">
              <w:rPr>
                <w:i/>
                <w:szCs w:val="16"/>
              </w:rPr>
              <w:t>Potential compulsory with exemption)</w:t>
            </w:r>
          </w:p>
        </w:tc>
        <w:tc>
          <w:tcPr>
            <w:tcW w:w="851" w:type="dxa"/>
            <w:tcBorders>
              <w:left w:val="nil"/>
              <w:right w:val="nil"/>
            </w:tcBorders>
          </w:tcPr>
          <w:p w:rsidR="00246ED6" w:rsidRPr="00847CCC" w:rsidRDefault="00246ED6" w:rsidP="00246ED6">
            <w:pPr>
              <w:pStyle w:val="braytabletext"/>
              <w:jc w:val="right"/>
              <w:rPr>
                <w:szCs w:val="16"/>
              </w:rPr>
            </w:pPr>
          </w:p>
        </w:tc>
        <w:tc>
          <w:tcPr>
            <w:tcW w:w="993" w:type="dxa"/>
            <w:tcBorders>
              <w:left w:val="nil"/>
              <w:right w:val="nil"/>
            </w:tcBorders>
          </w:tcPr>
          <w:p w:rsidR="00246ED6" w:rsidRPr="00847CCC" w:rsidRDefault="00246ED6" w:rsidP="00246ED6">
            <w:pPr>
              <w:pStyle w:val="braytabletext"/>
              <w:jc w:val="right"/>
              <w:rPr>
                <w:szCs w:val="16"/>
              </w:rPr>
            </w:pPr>
          </w:p>
        </w:tc>
        <w:tc>
          <w:tcPr>
            <w:tcW w:w="850" w:type="dxa"/>
            <w:tcBorders>
              <w:left w:val="nil"/>
              <w:right w:val="nil"/>
            </w:tcBorders>
          </w:tcPr>
          <w:p w:rsidR="00246ED6" w:rsidRPr="00847CCC" w:rsidRDefault="00246ED6" w:rsidP="00246ED6">
            <w:pPr>
              <w:pStyle w:val="braytabletext"/>
              <w:jc w:val="right"/>
              <w:rPr>
                <w:szCs w:val="16"/>
              </w:rPr>
            </w:pPr>
          </w:p>
        </w:tc>
        <w:tc>
          <w:tcPr>
            <w:tcW w:w="850" w:type="dxa"/>
            <w:tcBorders>
              <w:left w:val="nil"/>
              <w:right w:val="nil"/>
            </w:tcBorders>
          </w:tcPr>
          <w:p w:rsidR="00246ED6" w:rsidRPr="00847CCC" w:rsidRDefault="00246ED6" w:rsidP="00246ED6">
            <w:pPr>
              <w:pStyle w:val="braytabletext"/>
              <w:jc w:val="right"/>
              <w:rPr>
                <w:szCs w:val="16"/>
              </w:rPr>
            </w:pPr>
          </w:p>
        </w:tc>
      </w:tr>
      <w:tr w:rsidR="00246ED6" w:rsidRPr="00847CCC" w:rsidTr="00AC72FE">
        <w:trPr>
          <w:trHeight w:val="290"/>
        </w:trPr>
        <w:tc>
          <w:tcPr>
            <w:tcW w:w="3260" w:type="dxa"/>
            <w:tcBorders>
              <w:left w:val="nil"/>
              <w:right w:val="nil"/>
            </w:tcBorders>
          </w:tcPr>
          <w:p w:rsidR="00246ED6" w:rsidRPr="00847CCC" w:rsidRDefault="00246ED6" w:rsidP="003075CB">
            <w:pPr>
              <w:pStyle w:val="braytabletext"/>
              <w:rPr>
                <w:szCs w:val="16"/>
              </w:rPr>
            </w:pPr>
            <w:r w:rsidRPr="00847CCC">
              <w:rPr>
                <w:szCs w:val="16"/>
              </w:rPr>
              <w:t xml:space="preserve">CIM no </w:t>
            </w:r>
            <w:r w:rsidR="003075CB" w:rsidRPr="00847CCC">
              <w:rPr>
                <w:szCs w:val="16"/>
              </w:rPr>
              <w:t xml:space="preserve">application </w:t>
            </w:r>
            <w:r w:rsidRPr="00847CCC">
              <w:rPr>
                <w:szCs w:val="16"/>
              </w:rPr>
              <w:t>for exemption</w:t>
            </w:r>
          </w:p>
        </w:tc>
        <w:tc>
          <w:tcPr>
            <w:tcW w:w="851" w:type="dxa"/>
            <w:tcBorders>
              <w:left w:val="nil"/>
              <w:right w:val="nil"/>
            </w:tcBorders>
          </w:tcPr>
          <w:p w:rsidR="00246ED6" w:rsidRPr="00847CCC" w:rsidRDefault="00246ED6" w:rsidP="0089552E">
            <w:pPr>
              <w:pStyle w:val="braytabletext"/>
              <w:jc w:val="right"/>
              <w:rPr>
                <w:szCs w:val="16"/>
              </w:rPr>
            </w:pPr>
            <w:r w:rsidRPr="00847CCC">
              <w:rPr>
                <w:szCs w:val="16"/>
              </w:rPr>
              <w:t>10</w:t>
            </w:r>
            <w:r w:rsidR="00AE2F2D" w:rsidRPr="00847CCC">
              <w:rPr>
                <w:szCs w:val="16"/>
              </w:rPr>
              <w:t> </w:t>
            </w:r>
            <w:r w:rsidRPr="00847CCC">
              <w:rPr>
                <w:szCs w:val="16"/>
              </w:rPr>
              <w:t>920</w:t>
            </w:r>
          </w:p>
        </w:tc>
        <w:tc>
          <w:tcPr>
            <w:tcW w:w="993" w:type="dxa"/>
            <w:tcBorders>
              <w:left w:val="nil"/>
              <w:right w:val="nil"/>
            </w:tcBorders>
          </w:tcPr>
          <w:p w:rsidR="00246ED6" w:rsidRPr="00847CCC" w:rsidRDefault="00246ED6" w:rsidP="0089552E">
            <w:pPr>
              <w:pStyle w:val="braytabletext"/>
              <w:jc w:val="right"/>
              <w:rPr>
                <w:szCs w:val="16"/>
              </w:rPr>
            </w:pPr>
            <w:r w:rsidRPr="00847CCC">
              <w:rPr>
                <w:szCs w:val="16"/>
              </w:rPr>
              <w:t>10</w:t>
            </w:r>
            <w:r w:rsidR="00AE2F2D" w:rsidRPr="00847CCC">
              <w:rPr>
                <w:szCs w:val="16"/>
              </w:rPr>
              <w:t> </w:t>
            </w:r>
            <w:r w:rsidRPr="00847CCC">
              <w:rPr>
                <w:szCs w:val="16"/>
              </w:rPr>
              <w:t>396</w:t>
            </w:r>
          </w:p>
        </w:tc>
        <w:tc>
          <w:tcPr>
            <w:tcW w:w="850" w:type="dxa"/>
            <w:tcBorders>
              <w:left w:val="nil"/>
              <w:right w:val="nil"/>
            </w:tcBorders>
          </w:tcPr>
          <w:p w:rsidR="00246ED6" w:rsidRPr="00847CCC" w:rsidRDefault="00246ED6" w:rsidP="0089552E">
            <w:pPr>
              <w:pStyle w:val="braytabletext"/>
              <w:jc w:val="right"/>
              <w:rPr>
                <w:szCs w:val="16"/>
              </w:rPr>
            </w:pPr>
            <w:r w:rsidRPr="00847CCC">
              <w:rPr>
                <w:szCs w:val="16"/>
              </w:rPr>
              <w:t>10</w:t>
            </w:r>
            <w:r w:rsidR="00AE2F2D" w:rsidRPr="00847CCC">
              <w:rPr>
                <w:szCs w:val="16"/>
              </w:rPr>
              <w:t> </w:t>
            </w:r>
            <w:r w:rsidRPr="00847CCC">
              <w:rPr>
                <w:szCs w:val="16"/>
              </w:rPr>
              <w:t>895</w:t>
            </w:r>
          </w:p>
        </w:tc>
        <w:tc>
          <w:tcPr>
            <w:tcW w:w="850" w:type="dxa"/>
            <w:tcBorders>
              <w:left w:val="nil"/>
              <w:right w:val="nil"/>
            </w:tcBorders>
          </w:tcPr>
          <w:p w:rsidR="00246ED6" w:rsidRPr="00847CCC" w:rsidRDefault="00246ED6" w:rsidP="0089552E">
            <w:pPr>
              <w:pStyle w:val="braytabletext"/>
              <w:jc w:val="right"/>
              <w:rPr>
                <w:szCs w:val="16"/>
              </w:rPr>
            </w:pPr>
            <w:r w:rsidRPr="00847CCC">
              <w:rPr>
                <w:szCs w:val="16"/>
              </w:rPr>
              <w:t>11</w:t>
            </w:r>
            <w:r w:rsidR="00AE2F2D" w:rsidRPr="00847CCC">
              <w:rPr>
                <w:szCs w:val="16"/>
              </w:rPr>
              <w:t> </w:t>
            </w:r>
            <w:r w:rsidRPr="00847CCC">
              <w:rPr>
                <w:szCs w:val="16"/>
              </w:rPr>
              <w:t>422</w:t>
            </w:r>
          </w:p>
        </w:tc>
      </w:tr>
      <w:tr w:rsidR="00246ED6" w:rsidRPr="00847CCC" w:rsidTr="00AC72FE">
        <w:trPr>
          <w:trHeight w:val="290"/>
        </w:trPr>
        <w:tc>
          <w:tcPr>
            <w:tcW w:w="3260" w:type="dxa"/>
            <w:tcBorders>
              <w:left w:val="nil"/>
              <w:right w:val="nil"/>
            </w:tcBorders>
          </w:tcPr>
          <w:p w:rsidR="00246ED6" w:rsidRPr="00847CCC" w:rsidRDefault="00246ED6" w:rsidP="00246ED6">
            <w:pPr>
              <w:pStyle w:val="braytabletext"/>
              <w:rPr>
                <w:szCs w:val="16"/>
              </w:rPr>
            </w:pPr>
            <w:r w:rsidRPr="00847CCC">
              <w:rPr>
                <w:szCs w:val="16"/>
              </w:rPr>
              <w:t>CIM exemption rejected</w:t>
            </w:r>
          </w:p>
        </w:tc>
        <w:tc>
          <w:tcPr>
            <w:tcW w:w="851" w:type="dxa"/>
            <w:tcBorders>
              <w:left w:val="nil"/>
              <w:right w:val="nil"/>
            </w:tcBorders>
          </w:tcPr>
          <w:p w:rsidR="00246ED6" w:rsidRPr="00847CCC" w:rsidRDefault="00246ED6" w:rsidP="00246ED6">
            <w:pPr>
              <w:pStyle w:val="braytabletext"/>
              <w:jc w:val="right"/>
              <w:rPr>
                <w:szCs w:val="16"/>
              </w:rPr>
            </w:pPr>
            <w:r w:rsidRPr="00847CCC">
              <w:rPr>
                <w:szCs w:val="16"/>
              </w:rPr>
              <w:t>349</w:t>
            </w:r>
          </w:p>
        </w:tc>
        <w:tc>
          <w:tcPr>
            <w:tcW w:w="993" w:type="dxa"/>
            <w:tcBorders>
              <w:left w:val="nil"/>
              <w:right w:val="nil"/>
            </w:tcBorders>
          </w:tcPr>
          <w:p w:rsidR="00246ED6" w:rsidRPr="00847CCC" w:rsidRDefault="00246ED6" w:rsidP="00246ED6">
            <w:pPr>
              <w:pStyle w:val="braytabletext"/>
              <w:jc w:val="right"/>
              <w:rPr>
                <w:szCs w:val="16"/>
              </w:rPr>
            </w:pPr>
            <w:r w:rsidRPr="00847CCC">
              <w:rPr>
                <w:szCs w:val="16"/>
              </w:rPr>
              <w:t>658</w:t>
            </w:r>
          </w:p>
        </w:tc>
        <w:tc>
          <w:tcPr>
            <w:tcW w:w="850" w:type="dxa"/>
            <w:tcBorders>
              <w:left w:val="nil"/>
              <w:right w:val="nil"/>
            </w:tcBorders>
          </w:tcPr>
          <w:p w:rsidR="00246ED6" w:rsidRPr="00847CCC" w:rsidRDefault="00246ED6" w:rsidP="0089552E">
            <w:pPr>
              <w:pStyle w:val="braytabletext"/>
              <w:jc w:val="right"/>
              <w:rPr>
                <w:szCs w:val="16"/>
              </w:rPr>
            </w:pPr>
            <w:r w:rsidRPr="00847CCC">
              <w:rPr>
                <w:szCs w:val="16"/>
              </w:rPr>
              <w:t>1</w:t>
            </w:r>
            <w:r w:rsidR="00AE2F2D" w:rsidRPr="00847CCC">
              <w:rPr>
                <w:szCs w:val="16"/>
              </w:rPr>
              <w:t> </w:t>
            </w:r>
            <w:r w:rsidRPr="00847CCC">
              <w:rPr>
                <w:szCs w:val="16"/>
              </w:rPr>
              <w:t>152</w:t>
            </w:r>
          </w:p>
        </w:tc>
        <w:tc>
          <w:tcPr>
            <w:tcW w:w="850" w:type="dxa"/>
            <w:tcBorders>
              <w:left w:val="nil"/>
              <w:right w:val="nil"/>
            </w:tcBorders>
          </w:tcPr>
          <w:p w:rsidR="00246ED6" w:rsidRPr="00847CCC" w:rsidRDefault="00246ED6" w:rsidP="0089552E">
            <w:pPr>
              <w:pStyle w:val="braytabletext"/>
              <w:jc w:val="right"/>
              <w:rPr>
                <w:szCs w:val="16"/>
              </w:rPr>
            </w:pPr>
            <w:r w:rsidRPr="00847CCC">
              <w:rPr>
                <w:szCs w:val="16"/>
              </w:rPr>
              <w:t>1</w:t>
            </w:r>
            <w:r w:rsidR="00AE2F2D" w:rsidRPr="00847CCC">
              <w:rPr>
                <w:szCs w:val="16"/>
              </w:rPr>
              <w:t> </w:t>
            </w:r>
            <w:r w:rsidRPr="00847CCC">
              <w:rPr>
                <w:szCs w:val="16"/>
              </w:rPr>
              <w:t>152</w:t>
            </w:r>
          </w:p>
        </w:tc>
      </w:tr>
      <w:tr w:rsidR="00246ED6" w:rsidRPr="00847CCC" w:rsidTr="00AC72FE">
        <w:trPr>
          <w:trHeight w:val="290"/>
        </w:trPr>
        <w:tc>
          <w:tcPr>
            <w:tcW w:w="3260" w:type="dxa"/>
            <w:tcBorders>
              <w:left w:val="nil"/>
              <w:right w:val="nil"/>
            </w:tcBorders>
          </w:tcPr>
          <w:p w:rsidR="00246ED6" w:rsidRPr="00847CCC" w:rsidRDefault="00246ED6" w:rsidP="00357105">
            <w:pPr>
              <w:pStyle w:val="braytabletext"/>
              <w:rPr>
                <w:szCs w:val="16"/>
              </w:rPr>
            </w:pPr>
            <w:r w:rsidRPr="00847CCC">
              <w:rPr>
                <w:szCs w:val="16"/>
              </w:rPr>
              <w:t xml:space="preserve">CIM </w:t>
            </w:r>
            <w:r w:rsidR="006C33D2" w:rsidRPr="00847CCC">
              <w:rPr>
                <w:szCs w:val="16"/>
              </w:rPr>
              <w:t>applic</w:t>
            </w:r>
            <w:r w:rsidR="00357105" w:rsidRPr="00847CCC">
              <w:rPr>
                <w:szCs w:val="16"/>
              </w:rPr>
              <w:t>a</w:t>
            </w:r>
            <w:r w:rsidR="003075CB" w:rsidRPr="00847CCC">
              <w:rPr>
                <w:szCs w:val="16"/>
              </w:rPr>
              <w:t>tion</w:t>
            </w:r>
            <w:r w:rsidR="006C33D2" w:rsidRPr="00847CCC">
              <w:rPr>
                <w:szCs w:val="16"/>
              </w:rPr>
              <w:t xml:space="preserve"> for</w:t>
            </w:r>
            <w:r w:rsidRPr="00847CCC">
              <w:rPr>
                <w:szCs w:val="16"/>
              </w:rPr>
              <w:t xml:space="preserve"> exempt</w:t>
            </w:r>
            <w:r w:rsidR="00357105" w:rsidRPr="00847CCC">
              <w:rPr>
                <w:szCs w:val="16"/>
              </w:rPr>
              <w:t>ion</w:t>
            </w:r>
            <w:r w:rsidRPr="00847CCC">
              <w:rPr>
                <w:szCs w:val="16"/>
              </w:rPr>
              <w:t xml:space="preserve"> withdrawn</w:t>
            </w:r>
          </w:p>
        </w:tc>
        <w:tc>
          <w:tcPr>
            <w:tcW w:w="851" w:type="dxa"/>
            <w:tcBorders>
              <w:left w:val="nil"/>
              <w:right w:val="nil"/>
            </w:tcBorders>
          </w:tcPr>
          <w:p w:rsidR="00246ED6" w:rsidRPr="00847CCC" w:rsidRDefault="00246ED6" w:rsidP="00246ED6">
            <w:pPr>
              <w:pStyle w:val="braytabletext"/>
              <w:jc w:val="right"/>
              <w:rPr>
                <w:szCs w:val="16"/>
              </w:rPr>
            </w:pPr>
            <w:r w:rsidRPr="00847CCC">
              <w:rPr>
                <w:szCs w:val="16"/>
              </w:rPr>
              <w:t>25</w:t>
            </w:r>
          </w:p>
        </w:tc>
        <w:tc>
          <w:tcPr>
            <w:tcW w:w="993" w:type="dxa"/>
            <w:tcBorders>
              <w:left w:val="nil"/>
              <w:right w:val="nil"/>
            </w:tcBorders>
          </w:tcPr>
          <w:p w:rsidR="00246ED6" w:rsidRPr="00847CCC" w:rsidRDefault="00246ED6" w:rsidP="00246ED6">
            <w:pPr>
              <w:pStyle w:val="braytabletext"/>
              <w:jc w:val="right"/>
              <w:rPr>
                <w:szCs w:val="16"/>
              </w:rPr>
            </w:pPr>
            <w:r w:rsidRPr="00847CCC">
              <w:rPr>
                <w:szCs w:val="16"/>
              </w:rPr>
              <w:t>40</w:t>
            </w:r>
          </w:p>
        </w:tc>
        <w:tc>
          <w:tcPr>
            <w:tcW w:w="850" w:type="dxa"/>
            <w:tcBorders>
              <w:left w:val="nil"/>
              <w:right w:val="nil"/>
            </w:tcBorders>
          </w:tcPr>
          <w:p w:rsidR="00246ED6" w:rsidRPr="00847CCC" w:rsidRDefault="00246ED6" w:rsidP="00246ED6">
            <w:pPr>
              <w:pStyle w:val="braytabletext"/>
              <w:jc w:val="right"/>
              <w:rPr>
                <w:szCs w:val="16"/>
              </w:rPr>
            </w:pPr>
            <w:r w:rsidRPr="00847CCC">
              <w:rPr>
                <w:szCs w:val="16"/>
              </w:rPr>
              <w:t>72</w:t>
            </w:r>
          </w:p>
        </w:tc>
        <w:tc>
          <w:tcPr>
            <w:tcW w:w="850" w:type="dxa"/>
            <w:tcBorders>
              <w:left w:val="nil"/>
              <w:right w:val="nil"/>
            </w:tcBorders>
          </w:tcPr>
          <w:p w:rsidR="00246ED6" w:rsidRPr="00847CCC" w:rsidRDefault="00246ED6" w:rsidP="00246ED6">
            <w:pPr>
              <w:pStyle w:val="braytabletext"/>
              <w:jc w:val="right"/>
              <w:rPr>
                <w:szCs w:val="16"/>
              </w:rPr>
            </w:pPr>
            <w:r w:rsidRPr="00847CCC">
              <w:rPr>
                <w:szCs w:val="16"/>
              </w:rPr>
              <w:t>77</w:t>
            </w:r>
          </w:p>
        </w:tc>
      </w:tr>
      <w:tr w:rsidR="00246ED6" w:rsidRPr="00847CCC" w:rsidTr="00AC72FE">
        <w:trPr>
          <w:trHeight w:val="290"/>
        </w:trPr>
        <w:tc>
          <w:tcPr>
            <w:tcW w:w="3260" w:type="dxa"/>
            <w:tcBorders>
              <w:left w:val="nil"/>
              <w:right w:val="nil"/>
            </w:tcBorders>
          </w:tcPr>
          <w:p w:rsidR="00246ED6" w:rsidRPr="00847CCC" w:rsidRDefault="00246ED6" w:rsidP="00246ED6">
            <w:pPr>
              <w:pStyle w:val="braytabletext"/>
              <w:rPr>
                <w:szCs w:val="16"/>
              </w:rPr>
            </w:pPr>
            <w:r w:rsidRPr="00847CCC">
              <w:rPr>
                <w:szCs w:val="16"/>
              </w:rPr>
              <w:t>On VIM</w:t>
            </w:r>
            <w:r w:rsidR="003075CB" w:rsidRPr="00847CCC">
              <w:rPr>
                <w:szCs w:val="16"/>
              </w:rPr>
              <w:t>,</w:t>
            </w:r>
            <w:r w:rsidRPr="00847CCC">
              <w:rPr>
                <w:szCs w:val="16"/>
              </w:rPr>
              <w:t xml:space="preserve"> has exemption</w:t>
            </w:r>
          </w:p>
        </w:tc>
        <w:tc>
          <w:tcPr>
            <w:tcW w:w="851" w:type="dxa"/>
            <w:tcBorders>
              <w:left w:val="nil"/>
              <w:right w:val="nil"/>
            </w:tcBorders>
          </w:tcPr>
          <w:p w:rsidR="00246ED6" w:rsidRPr="00847CCC" w:rsidRDefault="00246ED6" w:rsidP="00246ED6">
            <w:pPr>
              <w:pStyle w:val="braytabletext"/>
              <w:jc w:val="right"/>
              <w:rPr>
                <w:szCs w:val="16"/>
              </w:rPr>
            </w:pPr>
            <w:r w:rsidRPr="00847CCC">
              <w:rPr>
                <w:szCs w:val="16"/>
              </w:rPr>
              <w:t>5</w:t>
            </w:r>
          </w:p>
        </w:tc>
        <w:tc>
          <w:tcPr>
            <w:tcW w:w="993" w:type="dxa"/>
            <w:tcBorders>
              <w:left w:val="nil"/>
              <w:right w:val="nil"/>
            </w:tcBorders>
          </w:tcPr>
          <w:p w:rsidR="00246ED6" w:rsidRPr="00847CCC" w:rsidRDefault="00246ED6" w:rsidP="00246ED6">
            <w:pPr>
              <w:pStyle w:val="braytabletext"/>
              <w:jc w:val="right"/>
              <w:rPr>
                <w:szCs w:val="16"/>
              </w:rPr>
            </w:pPr>
            <w:r w:rsidRPr="00847CCC">
              <w:rPr>
                <w:szCs w:val="16"/>
              </w:rPr>
              <w:t>11</w:t>
            </w:r>
          </w:p>
        </w:tc>
        <w:tc>
          <w:tcPr>
            <w:tcW w:w="850" w:type="dxa"/>
            <w:tcBorders>
              <w:left w:val="nil"/>
              <w:right w:val="nil"/>
            </w:tcBorders>
          </w:tcPr>
          <w:p w:rsidR="00246ED6" w:rsidRPr="00847CCC" w:rsidRDefault="00246ED6" w:rsidP="00246ED6">
            <w:pPr>
              <w:pStyle w:val="braytabletext"/>
              <w:jc w:val="right"/>
              <w:rPr>
                <w:szCs w:val="16"/>
              </w:rPr>
            </w:pPr>
            <w:r w:rsidRPr="00847CCC">
              <w:rPr>
                <w:szCs w:val="16"/>
              </w:rPr>
              <w:t>19</w:t>
            </w:r>
          </w:p>
        </w:tc>
        <w:tc>
          <w:tcPr>
            <w:tcW w:w="850" w:type="dxa"/>
            <w:tcBorders>
              <w:left w:val="nil"/>
              <w:right w:val="nil"/>
            </w:tcBorders>
          </w:tcPr>
          <w:p w:rsidR="00246ED6" w:rsidRPr="00847CCC" w:rsidRDefault="00246ED6" w:rsidP="00246ED6">
            <w:pPr>
              <w:pStyle w:val="braytabletext"/>
              <w:jc w:val="right"/>
              <w:rPr>
                <w:szCs w:val="16"/>
              </w:rPr>
            </w:pPr>
            <w:r w:rsidRPr="00847CCC">
              <w:rPr>
                <w:szCs w:val="16"/>
              </w:rPr>
              <w:t>14</w:t>
            </w:r>
          </w:p>
        </w:tc>
      </w:tr>
      <w:tr w:rsidR="00246ED6" w:rsidRPr="00847CCC" w:rsidTr="00AC72FE">
        <w:trPr>
          <w:trHeight w:val="290"/>
        </w:trPr>
        <w:tc>
          <w:tcPr>
            <w:tcW w:w="3260" w:type="dxa"/>
            <w:tcBorders>
              <w:left w:val="nil"/>
              <w:right w:val="nil"/>
            </w:tcBorders>
          </w:tcPr>
          <w:p w:rsidR="00246ED6" w:rsidRPr="00587AD8" w:rsidRDefault="00246ED6" w:rsidP="00246ED6">
            <w:pPr>
              <w:pStyle w:val="braytabletext"/>
              <w:rPr>
                <w:i/>
                <w:szCs w:val="16"/>
              </w:rPr>
            </w:pPr>
            <w:r w:rsidRPr="00587AD8">
              <w:rPr>
                <w:i/>
                <w:szCs w:val="16"/>
              </w:rPr>
              <w:t>Total</w:t>
            </w:r>
          </w:p>
        </w:tc>
        <w:tc>
          <w:tcPr>
            <w:tcW w:w="851" w:type="dxa"/>
            <w:tcBorders>
              <w:left w:val="nil"/>
              <w:right w:val="nil"/>
            </w:tcBorders>
          </w:tcPr>
          <w:p w:rsidR="00246ED6" w:rsidRPr="00587AD8" w:rsidRDefault="00246ED6" w:rsidP="0089552E">
            <w:pPr>
              <w:pStyle w:val="braytabletext"/>
              <w:jc w:val="right"/>
              <w:rPr>
                <w:i/>
                <w:szCs w:val="16"/>
              </w:rPr>
            </w:pPr>
            <w:r w:rsidRPr="00587AD8">
              <w:rPr>
                <w:i/>
                <w:szCs w:val="16"/>
              </w:rPr>
              <w:t>11</w:t>
            </w:r>
            <w:r w:rsidR="00AE2F2D" w:rsidRPr="00587AD8">
              <w:rPr>
                <w:i/>
                <w:szCs w:val="16"/>
              </w:rPr>
              <w:t> </w:t>
            </w:r>
            <w:r w:rsidRPr="00587AD8">
              <w:rPr>
                <w:i/>
                <w:szCs w:val="16"/>
              </w:rPr>
              <w:t>299</w:t>
            </w:r>
          </w:p>
        </w:tc>
        <w:tc>
          <w:tcPr>
            <w:tcW w:w="993" w:type="dxa"/>
            <w:tcBorders>
              <w:left w:val="nil"/>
              <w:right w:val="nil"/>
            </w:tcBorders>
          </w:tcPr>
          <w:p w:rsidR="00246ED6" w:rsidRPr="00587AD8" w:rsidRDefault="00246ED6" w:rsidP="0089552E">
            <w:pPr>
              <w:pStyle w:val="braytabletext"/>
              <w:jc w:val="right"/>
              <w:rPr>
                <w:i/>
                <w:szCs w:val="16"/>
              </w:rPr>
            </w:pPr>
            <w:r w:rsidRPr="00587AD8">
              <w:rPr>
                <w:i/>
                <w:szCs w:val="16"/>
              </w:rPr>
              <w:t>11</w:t>
            </w:r>
            <w:r w:rsidR="00AE2F2D" w:rsidRPr="00587AD8">
              <w:rPr>
                <w:i/>
                <w:szCs w:val="16"/>
              </w:rPr>
              <w:t> </w:t>
            </w:r>
            <w:r w:rsidRPr="00587AD8">
              <w:rPr>
                <w:i/>
                <w:szCs w:val="16"/>
              </w:rPr>
              <w:t>105</w:t>
            </w:r>
          </w:p>
        </w:tc>
        <w:tc>
          <w:tcPr>
            <w:tcW w:w="850" w:type="dxa"/>
            <w:tcBorders>
              <w:left w:val="nil"/>
              <w:right w:val="nil"/>
            </w:tcBorders>
          </w:tcPr>
          <w:p w:rsidR="00246ED6" w:rsidRPr="00587AD8" w:rsidRDefault="00246ED6" w:rsidP="0089552E">
            <w:pPr>
              <w:pStyle w:val="braytabletext"/>
              <w:jc w:val="right"/>
              <w:rPr>
                <w:i/>
                <w:szCs w:val="16"/>
              </w:rPr>
            </w:pPr>
            <w:r w:rsidRPr="00587AD8">
              <w:rPr>
                <w:i/>
                <w:szCs w:val="16"/>
              </w:rPr>
              <w:t>12</w:t>
            </w:r>
            <w:r w:rsidR="00AE2F2D" w:rsidRPr="00587AD8">
              <w:rPr>
                <w:i/>
                <w:szCs w:val="16"/>
              </w:rPr>
              <w:t> </w:t>
            </w:r>
            <w:r w:rsidRPr="00587AD8">
              <w:rPr>
                <w:i/>
                <w:szCs w:val="16"/>
              </w:rPr>
              <w:t>138</w:t>
            </w:r>
          </w:p>
        </w:tc>
        <w:tc>
          <w:tcPr>
            <w:tcW w:w="850" w:type="dxa"/>
            <w:tcBorders>
              <w:left w:val="nil"/>
              <w:right w:val="nil"/>
            </w:tcBorders>
          </w:tcPr>
          <w:p w:rsidR="00246ED6" w:rsidRPr="00587AD8" w:rsidRDefault="00246ED6" w:rsidP="0089552E">
            <w:pPr>
              <w:pStyle w:val="braytabletext"/>
              <w:jc w:val="right"/>
              <w:rPr>
                <w:i/>
                <w:szCs w:val="16"/>
              </w:rPr>
            </w:pPr>
            <w:r w:rsidRPr="00587AD8">
              <w:rPr>
                <w:i/>
                <w:szCs w:val="16"/>
              </w:rPr>
              <w:t>12</w:t>
            </w:r>
            <w:r w:rsidR="00AE2F2D" w:rsidRPr="00587AD8">
              <w:rPr>
                <w:i/>
                <w:szCs w:val="16"/>
              </w:rPr>
              <w:t> </w:t>
            </w:r>
            <w:r w:rsidRPr="00587AD8">
              <w:rPr>
                <w:i/>
                <w:szCs w:val="16"/>
              </w:rPr>
              <w:t>665</w:t>
            </w:r>
          </w:p>
        </w:tc>
      </w:tr>
      <w:tr w:rsidR="00246ED6" w:rsidRPr="00847CCC" w:rsidTr="00AC72FE">
        <w:trPr>
          <w:trHeight w:val="290"/>
        </w:trPr>
        <w:tc>
          <w:tcPr>
            <w:tcW w:w="3260" w:type="dxa"/>
            <w:tcBorders>
              <w:left w:val="nil"/>
              <w:right w:val="nil"/>
            </w:tcBorders>
          </w:tcPr>
          <w:p w:rsidR="00246ED6" w:rsidRPr="00847CCC" w:rsidRDefault="00246ED6" w:rsidP="00246ED6">
            <w:pPr>
              <w:pStyle w:val="braytabletext"/>
              <w:rPr>
                <w:szCs w:val="16"/>
              </w:rPr>
            </w:pPr>
            <w:r w:rsidRPr="00847CCC">
              <w:rPr>
                <w:szCs w:val="16"/>
              </w:rPr>
              <w:t>Not on CIM because of exemption</w:t>
            </w:r>
          </w:p>
        </w:tc>
        <w:tc>
          <w:tcPr>
            <w:tcW w:w="851" w:type="dxa"/>
            <w:tcBorders>
              <w:left w:val="nil"/>
              <w:right w:val="nil"/>
            </w:tcBorders>
          </w:tcPr>
          <w:p w:rsidR="00246ED6" w:rsidRPr="00847CCC" w:rsidRDefault="00246ED6" w:rsidP="00246ED6">
            <w:pPr>
              <w:pStyle w:val="braytabletext"/>
              <w:jc w:val="right"/>
              <w:rPr>
                <w:szCs w:val="16"/>
              </w:rPr>
            </w:pPr>
            <w:r w:rsidRPr="00847CCC">
              <w:rPr>
                <w:szCs w:val="16"/>
              </w:rPr>
              <w:t>255</w:t>
            </w:r>
          </w:p>
        </w:tc>
        <w:tc>
          <w:tcPr>
            <w:tcW w:w="993" w:type="dxa"/>
            <w:tcBorders>
              <w:left w:val="nil"/>
              <w:right w:val="nil"/>
            </w:tcBorders>
          </w:tcPr>
          <w:p w:rsidR="00246ED6" w:rsidRPr="00847CCC" w:rsidRDefault="00246ED6" w:rsidP="00246ED6">
            <w:pPr>
              <w:pStyle w:val="braytabletext"/>
              <w:jc w:val="right"/>
              <w:rPr>
                <w:szCs w:val="16"/>
              </w:rPr>
            </w:pPr>
            <w:r w:rsidRPr="00847CCC">
              <w:rPr>
                <w:szCs w:val="16"/>
              </w:rPr>
              <w:t>859</w:t>
            </w:r>
          </w:p>
        </w:tc>
        <w:tc>
          <w:tcPr>
            <w:tcW w:w="850" w:type="dxa"/>
            <w:tcBorders>
              <w:left w:val="nil"/>
              <w:right w:val="nil"/>
            </w:tcBorders>
          </w:tcPr>
          <w:p w:rsidR="00246ED6" w:rsidRPr="00847CCC" w:rsidRDefault="00246ED6" w:rsidP="0089552E">
            <w:pPr>
              <w:pStyle w:val="braytabletext"/>
              <w:jc w:val="right"/>
              <w:rPr>
                <w:szCs w:val="16"/>
              </w:rPr>
            </w:pPr>
            <w:r w:rsidRPr="00847CCC">
              <w:rPr>
                <w:szCs w:val="16"/>
              </w:rPr>
              <w:t>1</w:t>
            </w:r>
            <w:r w:rsidR="00AE2F2D" w:rsidRPr="00847CCC">
              <w:rPr>
                <w:szCs w:val="16"/>
              </w:rPr>
              <w:t> </w:t>
            </w:r>
            <w:r w:rsidRPr="00847CCC">
              <w:rPr>
                <w:szCs w:val="16"/>
              </w:rPr>
              <w:t>523</w:t>
            </w:r>
          </w:p>
        </w:tc>
        <w:tc>
          <w:tcPr>
            <w:tcW w:w="850" w:type="dxa"/>
            <w:tcBorders>
              <w:left w:val="nil"/>
              <w:right w:val="nil"/>
            </w:tcBorders>
          </w:tcPr>
          <w:p w:rsidR="00246ED6" w:rsidRPr="00847CCC" w:rsidRDefault="00246ED6" w:rsidP="0089552E">
            <w:pPr>
              <w:pStyle w:val="braytabletext"/>
              <w:jc w:val="right"/>
              <w:rPr>
                <w:szCs w:val="16"/>
              </w:rPr>
            </w:pPr>
            <w:r w:rsidRPr="00847CCC">
              <w:rPr>
                <w:szCs w:val="16"/>
              </w:rPr>
              <w:t>1</w:t>
            </w:r>
            <w:r w:rsidR="00AE2F2D" w:rsidRPr="00847CCC">
              <w:rPr>
                <w:szCs w:val="16"/>
              </w:rPr>
              <w:t> </w:t>
            </w:r>
            <w:r w:rsidRPr="00847CCC">
              <w:rPr>
                <w:szCs w:val="16"/>
              </w:rPr>
              <w:t>536</w:t>
            </w:r>
          </w:p>
        </w:tc>
      </w:tr>
      <w:tr w:rsidR="00246ED6" w:rsidRPr="00847CCC" w:rsidTr="00AC72FE">
        <w:trPr>
          <w:trHeight w:val="290"/>
        </w:trPr>
        <w:tc>
          <w:tcPr>
            <w:tcW w:w="3260" w:type="dxa"/>
            <w:tcBorders>
              <w:left w:val="nil"/>
              <w:bottom w:val="single" w:sz="4" w:space="0" w:color="auto"/>
              <w:right w:val="nil"/>
            </w:tcBorders>
          </w:tcPr>
          <w:p w:rsidR="00246ED6" w:rsidRPr="00847CCC" w:rsidRDefault="00246ED6" w:rsidP="00246ED6">
            <w:pPr>
              <w:pStyle w:val="braytabletext"/>
              <w:rPr>
                <w:szCs w:val="16"/>
              </w:rPr>
            </w:pPr>
            <w:r w:rsidRPr="00847CCC">
              <w:rPr>
                <w:szCs w:val="16"/>
              </w:rPr>
              <w:t>Total compulsory incl. exemption</w:t>
            </w:r>
          </w:p>
        </w:tc>
        <w:tc>
          <w:tcPr>
            <w:tcW w:w="851" w:type="dxa"/>
            <w:tcBorders>
              <w:left w:val="nil"/>
              <w:bottom w:val="single" w:sz="4" w:space="0" w:color="auto"/>
              <w:right w:val="nil"/>
            </w:tcBorders>
          </w:tcPr>
          <w:p w:rsidR="00246ED6" w:rsidRPr="00847CCC" w:rsidRDefault="00246ED6" w:rsidP="0089552E">
            <w:pPr>
              <w:pStyle w:val="braytabletext"/>
              <w:jc w:val="right"/>
              <w:rPr>
                <w:szCs w:val="16"/>
              </w:rPr>
            </w:pPr>
            <w:r w:rsidRPr="00847CCC">
              <w:rPr>
                <w:szCs w:val="16"/>
              </w:rPr>
              <w:t>11</w:t>
            </w:r>
            <w:r w:rsidR="00AE2F2D" w:rsidRPr="00847CCC">
              <w:rPr>
                <w:szCs w:val="16"/>
              </w:rPr>
              <w:t> </w:t>
            </w:r>
            <w:r w:rsidRPr="00847CCC">
              <w:rPr>
                <w:szCs w:val="16"/>
              </w:rPr>
              <w:t>554</w:t>
            </w:r>
          </w:p>
        </w:tc>
        <w:tc>
          <w:tcPr>
            <w:tcW w:w="993" w:type="dxa"/>
            <w:tcBorders>
              <w:left w:val="nil"/>
              <w:bottom w:val="single" w:sz="4" w:space="0" w:color="auto"/>
              <w:right w:val="nil"/>
            </w:tcBorders>
          </w:tcPr>
          <w:p w:rsidR="00246ED6" w:rsidRPr="00847CCC" w:rsidRDefault="00246ED6" w:rsidP="0089552E">
            <w:pPr>
              <w:pStyle w:val="braytabletext"/>
              <w:jc w:val="right"/>
              <w:rPr>
                <w:szCs w:val="16"/>
              </w:rPr>
            </w:pPr>
            <w:r w:rsidRPr="00847CCC">
              <w:rPr>
                <w:szCs w:val="16"/>
              </w:rPr>
              <w:t>11</w:t>
            </w:r>
            <w:r w:rsidR="00AE2F2D" w:rsidRPr="00847CCC">
              <w:rPr>
                <w:szCs w:val="16"/>
              </w:rPr>
              <w:t> </w:t>
            </w:r>
            <w:r w:rsidRPr="00847CCC">
              <w:rPr>
                <w:szCs w:val="16"/>
              </w:rPr>
              <w:t>964</w:t>
            </w:r>
          </w:p>
        </w:tc>
        <w:tc>
          <w:tcPr>
            <w:tcW w:w="850" w:type="dxa"/>
            <w:tcBorders>
              <w:left w:val="nil"/>
              <w:bottom w:val="single" w:sz="4" w:space="0" w:color="auto"/>
              <w:right w:val="nil"/>
            </w:tcBorders>
          </w:tcPr>
          <w:p w:rsidR="00246ED6" w:rsidRPr="00847CCC" w:rsidRDefault="00246ED6" w:rsidP="0089552E">
            <w:pPr>
              <w:pStyle w:val="braytabletext"/>
              <w:jc w:val="right"/>
              <w:rPr>
                <w:szCs w:val="16"/>
              </w:rPr>
            </w:pPr>
            <w:r w:rsidRPr="00847CCC">
              <w:rPr>
                <w:szCs w:val="16"/>
              </w:rPr>
              <w:t>13</w:t>
            </w:r>
            <w:r w:rsidR="00AE2F2D" w:rsidRPr="00847CCC">
              <w:rPr>
                <w:szCs w:val="16"/>
              </w:rPr>
              <w:t> </w:t>
            </w:r>
            <w:r w:rsidRPr="00847CCC">
              <w:rPr>
                <w:szCs w:val="16"/>
              </w:rPr>
              <w:t>661</w:t>
            </w:r>
          </w:p>
        </w:tc>
        <w:tc>
          <w:tcPr>
            <w:tcW w:w="850" w:type="dxa"/>
            <w:tcBorders>
              <w:left w:val="nil"/>
              <w:bottom w:val="single" w:sz="4" w:space="0" w:color="auto"/>
              <w:right w:val="nil"/>
            </w:tcBorders>
          </w:tcPr>
          <w:p w:rsidR="00246ED6" w:rsidRPr="00847CCC" w:rsidRDefault="00246ED6" w:rsidP="0089552E">
            <w:pPr>
              <w:pStyle w:val="braytabletext"/>
              <w:jc w:val="right"/>
              <w:rPr>
                <w:szCs w:val="16"/>
              </w:rPr>
            </w:pPr>
            <w:r w:rsidRPr="00847CCC">
              <w:rPr>
                <w:szCs w:val="16"/>
              </w:rPr>
              <w:t>14</w:t>
            </w:r>
            <w:r w:rsidR="00AE2F2D" w:rsidRPr="00847CCC">
              <w:rPr>
                <w:szCs w:val="16"/>
              </w:rPr>
              <w:t> </w:t>
            </w:r>
            <w:r w:rsidRPr="00847CCC">
              <w:rPr>
                <w:szCs w:val="16"/>
              </w:rPr>
              <w:t>201</w:t>
            </w:r>
          </w:p>
        </w:tc>
      </w:tr>
      <w:tr w:rsidR="00246ED6" w:rsidRPr="00847CCC" w:rsidTr="00AC72FE">
        <w:trPr>
          <w:trHeight w:val="290"/>
        </w:trPr>
        <w:tc>
          <w:tcPr>
            <w:tcW w:w="3260" w:type="dxa"/>
            <w:tcBorders>
              <w:top w:val="single" w:sz="4" w:space="0" w:color="auto"/>
              <w:left w:val="nil"/>
              <w:right w:val="nil"/>
            </w:tcBorders>
          </w:tcPr>
          <w:p w:rsidR="00246ED6" w:rsidRPr="00847CCC" w:rsidRDefault="00246ED6" w:rsidP="00246ED6">
            <w:pPr>
              <w:pStyle w:val="braytabletext"/>
              <w:rPr>
                <w:szCs w:val="16"/>
              </w:rPr>
            </w:pPr>
          </w:p>
        </w:tc>
        <w:tc>
          <w:tcPr>
            <w:tcW w:w="851" w:type="dxa"/>
            <w:tcBorders>
              <w:top w:val="single" w:sz="4" w:space="0" w:color="auto"/>
              <w:left w:val="nil"/>
              <w:right w:val="nil"/>
            </w:tcBorders>
          </w:tcPr>
          <w:p w:rsidR="00246ED6" w:rsidRPr="00847CCC" w:rsidRDefault="00246ED6" w:rsidP="00246ED6">
            <w:pPr>
              <w:pStyle w:val="braytabletext"/>
              <w:jc w:val="right"/>
              <w:rPr>
                <w:szCs w:val="16"/>
              </w:rPr>
            </w:pPr>
          </w:p>
        </w:tc>
        <w:tc>
          <w:tcPr>
            <w:tcW w:w="993" w:type="dxa"/>
            <w:tcBorders>
              <w:top w:val="single" w:sz="4" w:space="0" w:color="auto"/>
              <w:left w:val="nil"/>
              <w:right w:val="nil"/>
            </w:tcBorders>
          </w:tcPr>
          <w:p w:rsidR="00246ED6" w:rsidRPr="00847CCC" w:rsidRDefault="00246ED6" w:rsidP="00246ED6">
            <w:pPr>
              <w:pStyle w:val="braytabletext"/>
              <w:jc w:val="right"/>
              <w:rPr>
                <w:szCs w:val="16"/>
              </w:rPr>
            </w:pPr>
          </w:p>
        </w:tc>
        <w:tc>
          <w:tcPr>
            <w:tcW w:w="850" w:type="dxa"/>
            <w:tcBorders>
              <w:top w:val="single" w:sz="4" w:space="0" w:color="auto"/>
              <w:left w:val="nil"/>
              <w:right w:val="nil"/>
            </w:tcBorders>
          </w:tcPr>
          <w:p w:rsidR="00246ED6" w:rsidRPr="00847CCC" w:rsidRDefault="00246ED6" w:rsidP="00246ED6">
            <w:pPr>
              <w:pStyle w:val="braytabletext"/>
              <w:jc w:val="right"/>
              <w:rPr>
                <w:szCs w:val="16"/>
              </w:rPr>
            </w:pPr>
          </w:p>
        </w:tc>
        <w:tc>
          <w:tcPr>
            <w:tcW w:w="850" w:type="dxa"/>
            <w:tcBorders>
              <w:top w:val="single" w:sz="4" w:space="0" w:color="auto"/>
              <w:left w:val="nil"/>
              <w:right w:val="nil"/>
            </w:tcBorders>
          </w:tcPr>
          <w:p w:rsidR="00246ED6" w:rsidRPr="00847CCC" w:rsidRDefault="00246ED6" w:rsidP="00246ED6">
            <w:pPr>
              <w:pStyle w:val="braytabletext"/>
              <w:jc w:val="right"/>
              <w:rPr>
                <w:szCs w:val="16"/>
              </w:rPr>
            </w:pPr>
          </w:p>
        </w:tc>
      </w:tr>
      <w:tr w:rsidR="00513BED" w:rsidRPr="00847CCC" w:rsidTr="00AC72FE">
        <w:trPr>
          <w:trHeight w:val="290"/>
        </w:trPr>
        <w:tc>
          <w:tcPr>
            <w:tcW w:w="3260" w:type="dxa"/>
          </w:tcPr>
          <w:p w:rsidR="00513BED" w:rsidRPr="00847CCC" w:rsidRDefault="0031584C" w:rsidP="00246ED6">
            <w:pPr>
              <w:pStyle w:val="braytabletext"/>
              <w:rPr>
                <w:szCs w:val="16"/>
              </w:rPr>
            </w:pPr>
            <w:r w:rsidRPr="00847CCC">
              <w:rPr>
                <w:szCs w:val="16"/>
              </w:rPr>
              <w:t>Per cent</w:t>
            </w:r>
            <w:r w:rsidR="00513BED" w:rsidRPr="00847CCC">
              <w:rPr>
                <w:szCs w:val="16"/>
              </w:rPr>
              <w:t xml:space="preserve"> with exemption</w:t>
            </w:r>
          </w:p>
        </w:tc>
        <w:tc>
          <w:tcPr>
            <w:tcW w:w="851" w:type="dxa"/>
            <w:vAlign w:val="bottom"/>
          </w:tcPr>
          <w:p w:rsidR="00513BED" w:rsidRPr="00847CCC" w:rsidRDefault="00993FA6" w:rsidP="00246ED6">
            <w:pPr>
              <w:pStyle w:val="braytabletext"/>
              <w:jc w:val="right"/>
              <w:rPr>
                <w:szCs w:val="16"/>
              </w:rPr>
            </w:pPr>
            <w:r w:rsidRPr="00847CCC">
              <w:rPr>
                <w:szCs w:val="16"/>
              </w:rPr>
              <w:t>2.3</w:t>
            </w:r>
          </w:p>
        </w:tc>
        <w:tc>
          <w:tcPr>
            <w:tcW w:w="993" w:type="dxa"/>
            <w:vAlign w:val="bottom"/>
          </w:tcPr>
          <w:p w:rsidR="00513BED" w:rsidRPr="00847CCC" w:rsidRDefault="00993FA6" w:rsidP="00246ED6">
            <w:pPr>
              <w:pStyle w:val="braytabletext"/>
              <w:jc w:val="right"/>
              <w:rPr>
                <w:szCs w:val="16"/>
              </w:rPr>
            </w:pPr>
            <w:r w:rsidRPr="00847CCC">
              <w:rPr>
                <w:szCs w:val="16"/>
              </w:rPr>
              <w:t>7.3</w:t>
            </w:r>
          </w:p>
        </w:tc>
        <w:tc>
          <w:tcPr>
            <w:tcW w:w="850" w:type="dxa"/>
            <w:vAlign w:val="bottom"/>
          </w:tcPr>
          <w:p w:rsidR="00513BED" w:rsidRPr="00847CCC" w:rsidRDefault="00993FA6" w:rsidP="00246ED6">
            <w:pPr>
              <w:pStyle w:val="braytabletext"/>
              <w:jc w:val="right"/>
              <w:rPr>
                <w:szCs w:val="16"/>
              </w:rPr>
            </w:pPr>
            <w:r w:rsidRPr="00847CCC">
              <w:rPr>
                <w:szCs w:val="16"/>
              </w:rPr>
              <w:t>11.3</w:t>
            </w:r>
          </w:p>
        </w:tc>
        <w:tc>
          <w:tcPr>
            <w:tcW w:w="850" w:type="dxa"/>
            <w:vAlign w:val="bottom"/>
          </w:tcPr>
          <w:p w:rsidR="00513BED" w:rsidRPr="00847CCC" w:rsidRDefault="00993FA6" w:rsidP="00246ED6">
            <w:pPr>
              <w:pStyle w:val="braytabletext"/>
              <w:jc w:val="right"/>
              <w:rPr>
                <w:szCs w:val="16"/>
              </w:rPr>
            </w:pPr>
            <w:r w:rsidRPr="00847CCC">
              <w:rPr>
                <w:szCs w:val="16"/>
              </w:rPr>
              <w:t>10.9</w:t>
            </w:r>
          </w:p>
        </w:tc>
      </w:tr>
      <w:tr w:rsidR="00513BED" w:rsidRPr="00847CCC" w:rsidTr="00AC72FE">
        <w:trPr>
          <w:trHeight w:val="290"/>
        </w:trPr>
        <w:tc>
          <w:tcPr>
            <w:tcW w:w="3260" w:type="dxa"/>
          </w:tcPr>
          <w:p w:rsidR="00513BED" w:rsidRPr="00847CCC" w:rsidRDefault="0031584C" w:rsidP="00246ED6">
            <w:pPr>
              <w:pStyle w:val="braytabletext"/>
              <w:rPr>
                <w:szCs w:val="16"/>
              </w:rPr>
            </w:pPr>
            <w:r w:rsidRPr="00847CCC">
              <w:rPr>
                <w:szCs w:val="16"/>
              </w:rPr>
              <w:t>Per cent</w:t>
            </w:r>
            <w:r w:rsidR="00513BED" w:rsidRPr="00847CCC">
              <w:rPr>
                <w:szCs w:val="16"/>
              </w:rPr>
              <w:t xml:space="preserve"> applied for exemption</w:t>
            </w:r>
          </w:p>
        </w:tc>
        <w:tc>
          <w:tcPr>
            <w:tcW w:w="851" w:type="dxa"/>
            <w:vAlign w:val="bottom"/>
          </w:tcPr>
          <w:p w:rsidR="00513BED" w:rsidRPr="00847CCC" w:rsidRDefault="00993FA6" w:rsidP="00246ED6">
            <w:pPr>
              <w:pStyle w:val="braytabletext"/>
              <w:jc w:val="right"/>
              <w:rPr>
                <w:szCs w:val="16"/>
              </w:rPr>
            </w:pPr>
            <w:r w:rsidRPr="00847CCC">
              <w:rPr>
                <w:szCs w:val="16"/>
              </w:rPr>
              <w:t>5.5</w:t>
            </w:r>
          </w:p>
        </w:tc>
        <w:tc>
          <w:tcPr>
            <w:tcW w:w="993" w:type="dxa"/>
            <w:vAlign w:val="bottom"/>
          </w:tcPr>
          <w:p w:rsidR="00513BED" w:rsidRPr="00847CCC" w:rsidRDefault="00993FA6" w:rsidP="00246ED6">
            <w:pPr>
              <w:pStyle w:val="braytabletext"/>
              <w:jc w:val="right"/>
              <w:rPr>
                <w:szCs w:val="16"/>
              </w:rPr>
            </w:pPr>
            <w:r w:rsidRPr="00847CCC">
              <w:rPr>
                <w:szCs w:val="16"/>
              </w:rPr>
              <w:t>13.1</w:t>
            </w:r>
          </w:p>
        </w:tc>
        <w:tc>
          <w:tcPr>
            <w:tcW w:w="850" w:type="dxa"/>
            <w:vAlign w:val="bottom"/>
          </w:tcPr>
          <w:p w:rsidR="00513BED" w:rsidRPr="00847CCC" w:rsidRDefault="00993FA6" w:rsidP="00246ED6">
            <w:pPr>
              <w:pStyle w:val="braytabletext"/>
              <w:jc w:val="right"/>
              <w:rPr>
                <w:szCs w:val="16"/>
              </w:rPr>
            </w:pPr>
            <w:r w:rsidRPr="00847CCC">
              <w:rPr>
                <w:szCs w:val="16"/>
              </w:rPr>
              <w:t>20.3</w:t>
            </w:r>
          </w:p>
        </w:tc>
        <w:tc>
          <w:tcPr>
            <w:tcW w:w="850" w:type="dxa"/>
            <w:vAlign w:val="bottom"/>
          </w:tcPr>
          <w:p w:rsidR="00513BED" w:rsidRPr="00847CCC" w:rsidRDefault="00993FA6" w:rsidP="00246ED6">
            <w:pPr>
              <w:pStyle w:val="braytabletext"/>
              <w:jc w:val="right"/>
              <w:rPr>
                <w:szCs w:val="16"/>
              </w:rPr>
            </w:pPr>
            <w:r w:rsidRPr="00847CCC">
              <w:rPr>
                <w:szCs w:val="16"/>
              </w:rPr>
              <w:t>19.6</w:t>
            </w:r>
          </w:p>
        </w:tc>
      </w:tr>
      <w:tr w:rsidR="00513BED" w:rsidRPr="00847CCC" w:rsidTr="00AC72FE">
        <w:trPr>
          <w:trHeight w:val="290"/>
        </w:trPr>
        <w:tc>
          <w:tcPr>
            <w:tcW w:w="3260" w:type="dxa"/>
          </w:tcPr>
          <w:p w:rsidR="00513BED" w:rsidRPr="00847CCC" w:rsidRDefault="0031584C" w:rsidP="00246ED6">
            <w:pPr>
              <w:pStyle w:val="braytabletext"/>
              <w:rPr>
                <w:szCs w:val="16"/>
              </w:rPr>
            </w:pPr>
            <w:r w:rsidRPr="00847CCC">
              <w:rPr>
                <w:szCs w:val="16"/>
              </w:rPr>
              <w:t>Per cent</w:t>
            </w:r>
            <w:r w:rsidR="00513BED" w:rsidRPr="00847CCC">
              <w:rPr>
                <w:szCs w:val="16"/>
              </w:rPr>
              <w:t xml:space="preserve"> successful</w:t>
            </w:r>
          </w:p>
        </w:tc>
        <w:tc>
          <w:tcPr>
            <w:tcW w:w="851" w:type="dxa"/>
            <w:vAlign w:val="bottom"/>
          </w:tcPr>
          <w:p w:rsidR="00513BED" w:rsidRPr="00847CCC" w:rsidRDefault="00993FA6" w:rsidP="00246ED6">
            <w:pPr>
              <w:pStyle w:val="braytabletext"/>
              <w:jc w:val="right"/>
              <w:rPr>
                <w:szCs w:val="16"/>
              </w:rPr>
            </w:pPr>
            <w:r w:rsidRPr="00847CCC">
              <w:rPr>
                <w:szCs w:val="16"/>
              </w:rPr>
              <w:t>41.0</w:t>
            </w:r>
          </w:p>
        </w:tc>
        <w:tc>
          <w:tcPr>
            <w:tcW w:w="993" w:type="dxa"/>
            <w:vAlign w:val="bottom"/>
          </w:tcPr>
          <w:p w:rsidR="00513BED" w:rsidRPr="00847CCC" w:rsidRDefault="00993FA6" w:rsidP="00246ED6">
            <w:pPr>
              <w:pStyle w:val="braytabletext"/>
              <w:jc w:val="right"/>
              <w:rPr>
                <w:szCs w:val="16"/>
              </w:rPr>
            </w:pPr>
            <w:r w:rsidRPr="00847CCC">
              <w:rPr>
                <w:szCs w:val="16"/>
              </w:rPr>
              <w:t>55.5</w:t>
            </w:r>
          </w:p>
        </w:tc>
        <w:tc>
          <w:tcPr>
            <w:tcW w:w="850" w:type="dxa"/>
            <w:vAlign w:val="bottom"/>
          </w:tcPr>
          <w:p w:rsidR="00513BED" w:rsidRPr="00847CCC" w:rsidRDefault="00993FA6" w:rsidP="00246ED6">
            <w:pPr>
              <w:pStyle w:val="braytabletext"/>
              <w:jc w:val="right"/>
              <w:rPr>
                <w:szCs w:val="16"/>
              </w:rPr>
            </w:pPr>
            <w:r w:rsidRPr="00847CCC">
              <w:rPr>
                <w:szCs w:val="16"/>
              </w:rPr>
              <w:t>55.6</w:t>
            </w:r>
          </w:p>
        </w:tc>
        <w:tc>
          <w:tcPr>
            <w:tcW w:w="850" w:type="dxa"/>
            <w:vAlign w:val="bottom"/>
          </w:tcPr>
          <w:p w:rsidR="00513BED" w:rsidRPr="00847CCC" w:rsidRDefault="00993FA6" w:rsidP="00246ED6">
            <w:pPr>
              <w:pStyle w:val="braytabletext"/>
              <w:jc w:val="right"/>
              <w:rPr>
                <w:szCs w:val="16"/>
              </w:rPr>
            </w:pPr>
            <w:r w:rsidRPr="00847CCC">
              <w:rPr>
                <w:szCs w:val="16"/>
              </w:rPr>
              <w:t>55.8</w:t>
            </w:r>
          </w:p>
        </w:tc>
      </w:tr>
      <w:tr w:rsidR="00513BED" w:rsidRPr="00847CCC" w:rsidTr="00AC72FE">
        <w:trPr>
          <w:trHeight w:val="290"/>
        </w:trPr>
        <w:tc>
          <w:tcPr>
            <w:tcW w:w="3260" w:type="dxa"/>
            <w:tcBorders>
              <w:bottom w:val="single" w:sz="4" w:space="0" w:color="auto"/>
            </w:tcBorders>
          </w:tcPr>
          <w:p w:rsidR="00513BED" w:rsidRPr="00847CCC" w:rsidRDefault="0031584C" w:rsidP="00246ED6">
            <w:pPr>
              <w:pStyle w:val="braytabletext"/>
              <w:rPr>
                <w:szCs w:val="16"/>
              </w:rPr>
            </w:pPr>
            <w:r w:rsidRPr="00847CCC">
              <w:rPr>
                <w:szCs w:val="16"/>
              </w:rPr>
              <w:t>Per cent</w:t>
            </w:r>
            <w:r w:rsidR="00513BED" w:rsidRPr="00847CCC">
              <w:rPr>
                <w:szCs w:val="16"/>
              </w:rPr>
              <w:t xml:space="preserve"> not withdrawn successful</w:t>
            </w:r>
          </w:p>
        </w:tc>
        <w:tc>
          <w:tcPr>
            <w:tcW w:w="851" w:type="dxa"/>
            <w:tcBorders>
              <w:bottom w:val="single" w:sz="4" w:space="0" w:color="auto"/>
            </w:tcBorders>
            <w:vAlign w:val="bottom"/>
          </w:tcPr>
          <w:p w:rsidR="00513BED" w:rsidRPr="00847CCC" w:rsidRDefault="00993FA6" w:rsidP="00246ED6">
            <w:pPr>
              <w:pStyle w:val="braytabletext"/>
              <w:jc w:val="right"/>
              <w:rPr>
                <w:szCs w:val="16"/>
              </w:rPr>
            </w:pPr>
            <w:r w:rsidRPr="00847CCC">
              <w:rPr>
                <w:szCs w:val="16"/>
              </w:rPr>
              <w:t>42.7</w:t>
            </w:r>
          </w:p>
        </w:tc>
        <w:tc>
          <w:tcPr>
            <w:tcW w:w="993" w:type="dxa"/>
            <w:tcBorders>
              <w:bottom w:val="single" w:sz="4" w:space="0" w:color="auto"/>
            </w:tcBorders>
            <w:vAlign w:val="bottom"/>
          </w:tcPr>
          <w:p w:rsidR="00513BED" w:rsidRPr="00847CCC" w:rsidRDefault="00993FA6" w:rsidP="00246ED6">
            <w:pPr>
              <w:pStyle w:val="braytabletext"/>
              <w:jc w:val="right"/>
              <w:rPr>
                <w:szCs w:val="16"/>
              </w:rPr>
            </w:pPr>
            <w:r w:rsidRPr="00847CCC">
              <w:rPr>
                <w:szCs w:val="16"/>
              </w:rPr>
              <w:t>56.9</w:t>
            </w:r>
          </w:p>
        </w:tc>
        <w:tc>
          <w:tcPr>
            <w:tcW w:w="850" w:type="dxa"/>
            <w:tcBorders>
              <w:bottom w:val="single" w:sz="4" w:space="0" w:color="auto"/>
            </w:tcBorders>
            <w:vAlign w:val="bottom"/>
          </w:tcPr>
          <w:p w:rsidR="00513BED" w:rsidRPr="00847CCC" w:rsidRDefault="00993FA6" w:rsidP="00246ED6">
            <w:pPr>
              <w:pStyle w:val="braytabletext"/>
              <w:jc w:val="right"/>
              <w:rPr>
                <w:szCs w:val="16"/>
              </w:rPr>
            </w:pPr>
            <w:r w:rsidRPr="00847CCC">
              <w:rPr>
                <w:szCs w:val="16"/>
              </w:rPr>
              <w:t>57.1</w:t>
            </w:r>
          </w:p>
        </w:tc>
        <w:tc>
          <w:tcPr>
            <w:tcW w:w="850" w:type="dxa"/>
            <w:tcBorders>
              <w:bottom w:val="single" w:sz="4" w:space="0" w:color="auto"/>
            </w:tcBorders>
            <w:vAlign w:val="bottom"/>
          </w:tcPr>
          <w:p w:rsidR="00513BED" w:rsidRPr="00847CCC" w:rsidRDefault="00993FA6" w:rsidP="00246ED6">
            <w:pPr>
              <w:pStyle w:val="braytabletext"/>
              <w:jc w:val="right"/>
              <w:rPr>
                <w:szCs w:val="16"/>
              </w:rPr>
            </w:pPr>
            <w:r w:rsidRPr="00847CCC">
              <w:rPr>
                <w:szCs w:val="16"/>
              </w:rPr>
              <w:t>57.4</w:t>
            </w:r>
          </w:p>
        </w:tc>
      </w:tr>
    </w:tbl>
    <w:p w:rsidR="008861DE" w:rsidRPr="005911E2" w:rsidRDefault="008861DE" w:rsidP="00CF78DB">
      <w:pPr>
        <w:pStyle w:val="tablefootnotes"/>
      </w:pPr>
      <w:r w:rsidRPr="005911E2">
        <w:t xml:space="preserve">Source: </w:t>
      </w:r>
      <w:r w:rsidR="00AE2F2D">
        <w:tab/>
      </w:r>
      <w:r w:rsidRPr="005911E2">
        <w:t xml:space="preserve">Derived from Centrelink </w:t>
      </w:r>
      <w:r w:rsidR="00F878E4">
        <w:t>income management</w:t>
      </w:r>
      <w:r w:rsidRPr="005911E2">
        <w:t xml:space="preserve"> &amp; IS/FTB datasets</w:t>
      </w:r>
      <w:r w:rsidR="00273B1F">
        <w:t>.</w:t>
      </w:r>
    </w:p>
    <w:p w:rsidR="00501297" w:rsidRPr="005911E2" w:rsidRDefault="00501297" w:rsidP="00CF78DB">
      <w:pPr>
        <w:pStyle w:val="tablefootnotes"/>
      </w:pPr>
    </w:p>
    <w:p w:rsidR="008861DE" w:rsidRPr="005911E2" w:rsidRDefault="008861DE" w:rsidP="00AA1750">
      <w:r w:rsidRPr="005911E2">
        <w:t>In July and October 2011 a much more stable picture emerges with around 1</w:t>
      </w:r>
      <w:r w:rsidR="00AE2F2D">
        <w:t> </w:t>
      </w:r>
      <w:r w:rsidR="00501297" w:rsidRPr="005911E2">
        <w:t>500</w:t>
      </w:r>
      <w:r w:rsidRPr="005911E2">
        <w:t xml:space="preserve"> of the</w:t>
      </w:r>
      <w:r w:rsidR="00321196">
        <w:t xml:space="preserve"> 14</w:t>
      </w:r>
      <w:r w:rsidR="00AE2F2D">
        <w:t> </w:t>
      </w:r>
      <w:r w:rsidRPr="005911E2">
        <w:t xml:space="preserve">000 people potentially subject to </w:t>
      </w:r>
      <w:r w:rsidR="00692472" w:rsidRPr="005911E2">
        <w:t xml:space="preserve">compulsory forms of </w:t>
      </w:r>
      <w:r w:rsidR="00F878E4">
        <w:t>income management</w:t>
      </w:r>
      <w:r w:rsidRPr="005911E2">
        <w:t xml:space="preserve"> having an exemption – some </w:t>
      </w:r>
      <w:r w:rsidR="00501297" w:rsidRPr="005911E2">
        <w:t>11</w:t>
      </w:r>
      <w:r w:rsidRPr="005911E2">
        <w:t xml:space="preserve"> per</w:t>
      </w:r>
      <w:r w:rsidR="00501297" w:rsidRPr="005911E2">
        <w:t xml:space="preserve"> </w:t>
      </w:r>
      <w:r w:rsidRPr="005911E2">
        <w:t xml:space="preserve">cent of the group, and around </w:t>
      </w:r>
      <w:r w:rsidR="00501297" w:rsidRPr="005911E2">
        <w:t>20</w:t>
      </w:r>
      <w:r w:rsidRPr="005911E2">
        <w:t xml:space="preserve"> per cent having made an application for an exemption</w:t>
      </w:r>
      <w:r w:rsidR="00FA5A6B">
        <w:t>.</w:t>
      </w:r>
      <w:r w:rsidR="00D65F34">
        <w:rPr>
          <w:rStyle w:val="FootnoteReference"/>
        </w:rPr>
        <w:footnoteReference w:id="83"/>
      </w:r>
    </w:p>
    <w:p w:rsidR="008861DE" w:rsidRDefault="006F14AA" w:rsidP="00AA1750">
      <w:r w:rsidRPr="005911E2">
        <w:t xml:space="preserve">Table </w:t>
      </w:r>
      <w:r w:rsidRPr="005911E2">
        <w:rPr>
          <w:noProof/>
        </w:rPr>
        <w:t>8</w:t>
      </w:r>
      <w:r w:rsidRPr="005911E2">
        <w:noBreakHyphen/>
      </w:r>
      <w:r w:rsidRPr="005911E2">
        <w:rPr>
          <w:noProof/>
        </w:rPr>
        <w:t>3</w:t>
      </w:r>
      <w:r w:rsidR="00721A9A" w:rsidRPr="005911E2">
        <w:t xml:space="preserve"> </w:t>
      </w:r>
      <w:r w:rsidR="008861DE" w:rsidRPr="005911E2">
        <w:t xml:space="preserve">shows, for those currently not subject </w:t>
      </w:r>
      <w:r w:rsidR="00CD2E36">
        <w:t xml:space="preserve">to </w:t>
      </w:r>
      <w:r w:rsidR="004808B3">
        <w:t>Compulsory Income Management</w:t>
      </w:r>
      <w:r w:rsidR="008861DE" w:rsidRPr="005911E2">
        <w:t xml:space="preserve"> because of an exemption</w:t>
      </w:r>
      <w:r w:rsidR="001F6CF5" w:rsidRPr="005911E2">
        <w:t>,</w:t>
      </w:r>
      <w:r w:rsidR="008861DE" w:rsidRPr="005911E2">
        <w:t xml:space="preserve"> the grounds on which exemptions have been granted.</w:t>
      </w:r>
    </w:p>
    <w:p w:rsidR="00847CCC" w:rsidRPr="005911E2" w:rsidRDefault="00847CCC" w:rsidP="00847CCC">
      <w:r w:rsidRPr="005911E2">
        <w:t xml:space="preserve">The first part of the table presents the exemptions under the NTER which were in place in July 2010. The main </w:t>
      </w:r>
      <w:r>
        <w:t>grounds on which an exemption was provided</w:t>
      </w:r>
      <w:r w:rsidRPr="005911E2">
        <w:t>, accounting for 44.1 per cent of exemptions</w:t>
      </w:r>
      <w:r>
        <w:t>,</w:t>
      </w:r>
      <w:r w:rsidRPr="005911E2">
        <w:t xml:space="preserve"> was that the person was only temporarily in the community. The second most common reason was the granting of discretionary exemption (20.7 per cent of exemptions)</w:t>
      </w:r>
      <w:r>
        <w:t>.</w:t>
      </w:r>
      <w:r w:rsidRPr="005911E2">
        <w:rPr>
          <w:rStyle w:val="FootnoteReference"/>
        </w:rPr>
        <w:footnoteReference w:id="84"/>
      </w:r>
      <w:r w:rsidRPr="005911E2">
        <w:t xml:space="preserve"> By October 2010, while there were still people on the NTER IM program, no records showed an exemption code against this program component.</w:t>
      </w:r>
    </w:p>
    <w:p w:rsidR="008861DE" w:rsidRPr="005911E2" w:rsidRDefault="008861DE" w:rsidP="00AA1750">
      <w:pPr>
        <w:pStyle w:val="tabfighead"/>
      </w:pPr>
      <w:bookmarkStart w:id="682" w:name="_Ref320943944"/>
      <w:bookmarkStart w:id="683" w:name="_Ref320944170"/>
      <w:bookmarkStart w:id="684" w:name="_Toc321430436"/>
      <w:bookmarkStart w:id="685" w:name="_Toc321254555"/>
      <w:bookmarkStart w:id="686" w:name="_Toc328601603"/>
      <w:bookmarkStart w:id="687" w:name="_Toc329051381"/>
      <w:bookmarkStart w:id="688" w:name="_Toc335915869"/>
      <w:r w:rsidRPr="005911E2">
        <w:t xml:space="preserve">Table </w:t>
      </w:r>
      <w:r w:rsidR="00C7347D" w:rsidRPr="005911E2">
        <w:fldChar w:fldCharType="begin"/>
      </w:r>
      <w:r w:rsidR="00EF6BC6" w:rsidRPr="005911E2">
        <w:instrText xml:space="preserve"> STYLEREF 1 \s </w:instrText>
      </w:r>
      <w:r w:rsidR="00C7347D" w:rsidRPr="005911E2">
        <w:fldChar w:fldCharType="separate"/>
      </w:r>
      <w:r w:rsidR="007D7E45">
        <w:rPr>
          <w:noProof/>
        </w:rPr>
        <w:t>8</w:t>
      </w:r>
      <w:r w:rsidR="00C7347D" w:rsidRPr="005911E2">
        <w:fldChar w:fldCharType="end"/>
      </w:r>
      <w:r w:rsidR="00EF6BC6" w:rsidRPr="005911E2">
        <w:noBreakHyphen/>
      </w:r>
      <w:r w:rsidR="00C7347D" w:rsidRPr="005911E2">
        <w:fldChar w:fldCharType="begin"/>
      </w:r>
      <w:r w:rsidR="00EF6BC6" w:rsidRPr="005911E2">
        <w:instrText xml:space="preserve"> SEQ Table \* ARABIC \s 1 </w:instrText>
      </w:r>
      <w:r w:rsidR="00C7347D" w:rsidRPr="005911E2">
        <w:fldChar w:fldCharType="separate"/>
      </w:r>
      <w:r w:rsidR="007D7E45">
        <w:rPr>
          <w:noProof/>
        </w:rPr>
        <w:t>3</w:t>
      </w:r>
      <w:r w:rsidR="00C7347D" w:rsidRPr="005911E2">
        <w:fldChar w:fldCharType="end"/>
      </w:r>
      <w:bookmarkEnd w:id="682"/>
      <w:r w:rsidRPr="005911E2">
        <w:t xml:space="preserve"> </w:t>
      </w:r>
      <w:r w:rsidR="00AA1750" w:rsidRPr="005911E2">
        <w:tab/>
      </w:r>
      <w:r w:rsidRPr="005911E2">
        <w:t xml:space="preserve">Persons not on </w:t>
      </w:r>
      <w:r w:rsidR="004808B3">
        <w:t>Compulsory Income Management</w:t>
      </w:r>
      <w:r w:rsidRPr="005911E2">
        <w:t xml:space="preserve"> because of an exemption, reason for exemption, July 2010 to October 2011</w:t>
      </w:r>
      <w:bookmarkEnd w:id="683"/>
      <w:bookmarkEnd w:id="684"/>
      <w:bookmarkEnd w:id="685"/>
      <w:bookmarkEnd w:id="686"/>
      <w:bookmarkEnd w:id="687"/>
      <w:bookmarkEnd w:id="688"/>
    </w:p>
    <w:tbl>
      <w:tblPr>
        <w:tblW w:w="7511" w:type="dxa"/>
        <w:jc w:val="right"/>
        <w:tblInd w:w="1389" w:type="dxa"/>
        <w:tblLook w:val="04A0" w:firstRow="1" w:lastRow="0" w:firstColumn="1" w:lastColumn="0" w:noHBand="0" w:noVBand="1"/>
      </w:tblPr>
      <w:tblGrid>
        <w:gridCol w:w="3260"/>
        <w:gridCol w:w="786"/>
        <w:gridCol w:w="857"/>
        <w:gridCol w:w="981"/>
        <w:gridCol w:w="720"/>
        <w:gridCol w:w="907"/>
      </w:tblGrid>
      <w:tr w:rsidR="008861DE" w:rsidRPr="00847CCC" w:rsidTr="00783DF8">
        <w:trPr>
          <w:trHeight w:val="288"/>
          <w:jc w:val="right"/>
        </w:trPr>
        <w:tc>
          <w:tcPr>
            <w:tcW w:w="3260" w:type="dxa"/>
            <w:tcBorders>
              <w:top w:val="single" w:sz="4" w:space="0" w:color="auto"/>
              <w:left w:val="nil"/>
              <w:bottom w:val="single" w:sz="4" w:space="0" w:color="auto"/>
              <w:right w:val="nil"/>
            </w:tcBorders>
            <w:shd w:val="clear" w:color="auto" w:fill="auto"/>
            <w:noWrap/>
            <w:vAlign w:val="bottom"/>
            <w:hideMark/>
          </w:tcPr>
          <w:p w:rsidR="008861DE" w:rsidRPr="00847CCC" w:rsidRDefault="008861DE" w:rsidP="008861DE">
            <w:pPr>
              <w:keepNext/>
              <w:keepLines/>
              <w:spacing w:after="0" w:line="240" w:lineRule="auto"/>
              <w:ind w:left="0"/>
              <w:jc w:val="left"/>
              <w:rPr>
                <w:rFonts w:cs="Arial"/>
                <w:color w:val="000000"/>
                <w:sz w:val="16"/>
                <w:szCs w:val="16"/>
                <w:lang w:eastAsia="en-AU" w:bidi="ar-SA"/>
              </w:rPr>
            </w:pPr>
          </w:p>
        </w:tc>
        <w:tc>
          <w:tcPr>
            <w:tcW w:w="786" w:type="dxa"/>
            <w:tcBorders>
              <w:top w:val="single" w:sz="4" w:space="0" w:color="auto"/>
              <w:left w:val="nil"/>
              <w:bottom w:val="single" w:sz="4" w:space="0" w:color="auto"/>
              <w:right w:val="nil"/>
            </w:tcBorders>
            <w:shd w:val="clear" w:color="auto" w:fill="auto"/>
            <w:noWrap/>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July</w:t>
            </w:r>
            <w:r w:rsidRPr="00847CCC">
              <w:rPr>
                <w:rFonts w:cs="Arial"/>
                <w:color w:val="000000"/>
                <w:sz w:val="16"/>
                <w:szCs w:val="16"/>
                <w:lang w:eastAsia="en-AU" w:bidi="ar-SA"/>
              </w:rPr>
              <w:br/>
              <w:t xml:space="preserve"> 2010</w:t>
            </w:r>
          </w:p>
        </w:tc>
        <w:tc>
          <w:tcPr>
            <w:tcW w:w="857" w:type="dxa"/>
            <w:tcBorders>
              <w:top w:val="single" w:sz="4" w:space="0" w:color="auto"/>
              <w:left w:val="nil"/>
              <w:bottom w:val="single" w:sz="4" w:space="0" w:color="auto"/>
              <w:right w:val="nil"/>
            </w:tcBorders>
            <w:shd w:val="clear" w:color="auto" w:fill="auto"/>
            <w:noWrap/>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October 2010</w:t>
            </w:r>
          </w:p>
        </w:tc>
        <w:tc>
          <w:tcPr>
            <w:tcW w:w="981" w:type="dxa"/>
            <w:tcBorders>
              <w:top w:val="single" w:sz="4" w:space="0" w:color="auto"/>
              <w:left w:val="nil"/>
              <w:bottom w:val="single" w:sz="4" w:space="0" w:color="auto"/>
              <w:right w:val="nil"/>
            </w:tcBorders>
            <w:shd w:val="clear" w:color="auto" w:fill="auto"/>
            <w:noWrap/>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February</w:t>
            </w:r>
            <w:r w:rsidRPr="00847CCC">
              <w:rPr>
                <w:rFonts w:cs="Arial"/>
                <w:color w:val="000000"/>
                <w:sz w:val="16"/>
                <w:szCs w:val="16"/>
                <w:lang w:eastAsia="en-AU" w:bidi="ar-SA"/>
              </w:rPr>
              <w:br/>
              <w:t>2011</w:t>
            </w:r>
          </w:p>
        </w:tc>
        <w:tc>
          <w:tcPr>
            <w:tcW w:w="720" w:type="dxa"/>
            <w:tcBorders>
              <w:top w:val="single" w:sz="4" w:space="0" w:color="auto"/>
              <w:left w:val="nil"/>
              <w:bottom w:val="single" w:sz="4" w:space="0" w:color="auto"/>
              <w:right w:val="nil"/>
            </w:tcBorders>
            <w:shd w:val="clear" w:color="auto" w:fill="auto"/>
            <w:noWrap/>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July 2011</w:t>
            </w:r>
          </w:p>
        </w:tc>
        <w:tc>
          <w:tcPr>
            <w:tcW w:w="907" w:type="dxa"/>
            <w:tcBorders>
              <w:top w:val="single" w:sz="4" w:space="0" w:color="auto"/>
              <w:left w:val="nil"/>
              <w:bottom w:val="single" w:sz="4" w:space="0" w:color="auto"/>
              <w:right w:val="nil"/>
            </w:tcBorders>
            <w:shd w:val="clear" w:color="auto" w:fill="auto"/>
            <w:noWrap/>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October 2011</w:t>
            </w:r>
          </w:p>
        </w:tc>
      </w:tr>
      <w:tr w:rsidR="00783DF8" w:rsidRPr="00847CCC" w:rsidTr="00783DF8">
        <w:trPr>
          <w:trHeight w:val="288"/>
          <w:jc w:val="right"/>
        </w:trPr>
        <w:tc>
          <w:tcPr>
            <w:tcW w:w="3260" w:type="dxa"/>
            <w:tcBorders>
              <w:top w:val="single" w:sz="4" w:space="0" w:color="auto"/>
              <w:left w:val="nil"/>
              <w:bottom w:val="single" w:sz="4" w:space="0" w:color="auto"/>
              <w:right w:val="nil"/>
            </w:tcBorders>
            <w:shd w:val="clear" w:color="auto" w:fill="auto"/>
            <w:noWrap/>
            <w:vAlign w:val="bottom"/>
            <w:hideMark/>
          </w:tcPr>
          <w:p w:rsidR="00783DF8" w:rsidRPr="00847CCC" w:rsidRDefault="00783DF8" w:rsidP="008861DE">
            <w:pPr>
              <w:keepNext/>
              <w:keepLines/>
              <w:spacing w:after="0" w:line="240" w:lineRule="auto"/>
              <w:ind w:left="0"/>
              <w:jc w:val="left"/>
              <w:rPr>
                <w:rFonts w:cs="Arial"/>
                <w:color w:val="000000"/>
                <w:sz w:val="16"/>
                <w:szCs w:val="16"/>
                <w:lang w:eastAsia="en-AU" w:bidi="ar-SA"/>
              </w:rPr>
            </w:pPr>
          </w:p>
        </w:tc>
        <w:tc>
          <w:tcPr>
            <w:tcW w:w="4251" w:type="dxa"/>
            <w:gridSpan w:val="5"/>
            <w:tcBorders>
              <w:top w:val="single" w:sz="4" w:space="0" w:color="auto"/>
              <w:left w:val="nil"/>
              <w:bottom w:val="single" w:sz="4" w:space="0" w:color="auto"/>
              <w:right w:val="nil"/>
            </w:tcBorders>
            <w:shd w:val="clear" w:color="auto" w:fill="auto"/>
            <w:noWrap/>
            <w:vAlign w:val="center"/>
            <w:hideMark/>
          </w:tcPr>
          <w:p w:rsidR="00783DF8" w:rsidRPr="00847CCC" w:rsidRDefault="00783DF8" w:rsidP="00783DF8">
            <w:pPr>
              <w:keepNext/>
              <w:keepLines/>
              <w:spacing w:after="0" w:line="240" w:lineRule="auto"/>
              <w:ind w:left="0"/>
              <w:jc w:val="center"/>
              <w:rPr>
                <w:rFonts w:cs="Arial"/>
                <w:color w:val="000000"/>
                <w:sz w:val="16"/>
                <w:szCs w:val="16"/>
                <w:lang w:eastAsia="en-AU" w:bidi="ar-SA"/>
              </w:rPr>
            </w:pPr>
            <w:r w:rsidRPr="00847CCC">
              <w:rPr>
                <w:rFonts w:cs="Arial"/>
                <w:color w:val="000000"/>
                <w:sz w:val="16"/>
                <w:szCs w:val="16"/>
                <w:lang w:eastAsia="en-AU" w:bidi="ar-SA"/>
              </w:rPr>
              <w:t>Number</w:t>
            </w:r>
          </w:p>
        </w:tc>
      </w:tr>
      <w:tr w:rsidR="008861DE" w:rsidRPr="00847CCC" w:rsidTr="00783DF8">
        <w:trPr>
          <w:trHeight w:val="288"/>
          <w:jc w:val="right"/>
        </w:trPr>
        <w:tc>
          <w:tcPr>
            <w:tcW w:w="3260" w:type="dxa"/>
            <w:tcBorders>
              <w:top w:val="single" w:sz="4" w:space="0" w:color="auto"/>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Little connection to community</w:t>
            </w:r>
          </w:p>
        </w:tc>
        <w:tc>
          <w:tcPr>
            <w:tcW w:w="786" w:type="dxa"/>
            <w:tcBorders>
              <w:top w:val="single" w:sz="4" w:space="0" w:color="auto"/>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27</w:t>
            </w:r>
          </w:p>
        </w:tc>
        <w:tc>
          <w:tcPr>
            <w:tcW w:w="857" w:type="dxa"/>
            <w:tcBorders>
              <w:top w:val="single" w:sz="4" w:space="0" w:color="auto"/>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81" w:type="dxa"/>
            <w:tcBorders>
              <w:top w:val="single" w:sz="4" w:space="0" w:color="auto"/>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720" w:type="dxa"/>
            <w:tcBorders>
              <w:top w:val="single" w:sz="4" w:space="0" w:color="auto"/>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07" w:type="dxa"/>
            <w:tcBorders>
              <w:top w:val="single" w:sz="4" w:space="0" w:color="auto"/>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r>
      <w:tr w:rsidR="008861DE" w:rsidRPr="00847CCC" w:rsidTr="00783DF8">
        <w:trPr>
          <w:trHeight w:val="288"/>
          <w:jc w:val="right"/>
        </w:trPr>
        <w:tc>
          <w:tcPr>
            <w:tcW w:w="3260"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Not a member of the community</w:t>
            </w:r>
          </w:p>
        </w:tc>
        <w:tc>
          <w:tcPr>
            <w:tcW w:w="786"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23</w:t>
            </w:r>
          </w:p>
        </w:tc>
        <w:tc>
          <w:tcPr>
            <w:tcW w:w="857"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81"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720"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07"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r>
      <w:tr w:rsidR="008861DE" w:rsidRPr="00847CCC" w:rsidTr="00783DF8">
        <w:trPr>
          <w:trHeight w:val="288"/>
          <w:jc w:val="right"/>
        </w:trPr>
        <w:tc>
          <w:tcPr>
            <w:tcW w:w="3260"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Ministerial exemption</w:t>
            </w:r>
          </w:p>
        </w:tc>
        <w:tc>
          <w:tcPr>
            <w:tcW w:w="786" w:type="dxa"/>
            <w:tcBorders>
              <w:top w:val="nil"/>
              <w:left w:val="nil"/>
              <w:bottom w:val="nil"/>
              <w:right w:val="nil"/>
            </w:tcBorders>
            <w:shd w:val="clear" w:color="auto" w:fill="auto"/>
            <w:noWrap/>
            <w:vAlign w:val="bottom"/>
            <w:hideMark/>
          </w:tcPr>
          <w:p w:rsidR="008861DE" w:rsidRPr="00847CCC" w:rsidRDefault="00C56AA3"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w:t>
            </w:r>
          </w:p>
        </w:tc>
        <w:tc>
          <w:tcPr>
            <w:tcW w:w="857"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81"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720"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07"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r>
      <w:tr w:rsidR="008861DE" w:rsidRPr="00847CCC" w:rsidTr="00783DF8">
        <w:trPr>
          <w:trHeight w:val="288"/>
          <w:jc w:val="right"/>
        </w:trPr>
        <w:tc>
          <w:tcPr>
            <w:tcW w:w="3260"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Discretionary exemption</w:t>
            </w:r>
          </w:p>
        </w:tc>
        <w:tc>
          <w:tcPr>
            <w:tcW w:w="786"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30</w:t>
            </w:r>
          </w:p>
        </w:tc>
        <w:tc>
          <w:tcPr>
            <w:tcW w:w="857"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81"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720"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07"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r>
      <w:tr w:rsidR="008861DE" w:rsidRPr="00847CCC" w:rsidTr="00783DF8">
        <w:trPr>
          <w:trHeight w:val="288"/>
          <w:jc w:val="right"/>
        </w:trPr>
        <w:tc>
          <w:tcPr>
            <w:tcW w:w="3260"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Temporarily in community</w:t>
            </w:r>
          </w:p>
        </w:tc>
        <w:tc>
          <w:tcPr>
            <w:tcW w:w="786"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64</w:t>
            </w:r>
          </w:p>
        </w:tc>
        <w:tc>
          <w:tcPr>
            <w:tcW w:w="857"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81"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720"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07"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r>
      <w:tr w:rsidR="008861DE" w:rsidRPr="00847CCC" w:rsidTr="00783DF8">
        <w:trPr>
          <w:trHeight w:val="288"/>
          <w:jc w:val="right"/>
        </w:trPr>
        <w:tc>
          <w:tcPr>
            <w:tcW w:w="3260"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Participating in approved activity</w:t>
            </w:r>
          </w:p>
        </w:tc>
        <w:tc>
          <w:tcPr>
            <w:tcW w:w="786"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857"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30</w:t>
            </w:r>
          </w:p>
        </w:tc>
        <w:tc>
          <w:tcPr>
            <w:tcW w:w="981"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68</w:t>
            </w:r>
          </w:p>
        </w:tc>
        <w:tc>
          <w:tcPr>
            <w:tcW w:w="720"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60</w:t>
            </w:r>
          </w:p>
        </w:tc>
        <w:tc>
          <w:tcPr>
            <w:tcW w:w="907"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35</w:t>
            </w:r>
          </w:p>
        </w:tc>
      </w:tr>
      <w:tr w:rsidR="008861DE" w:rsidRPr="00847CCC" w:rsidTr="00783DF8">
        <w:trPr>
          <w:trHeight w:val="288"/>
          <w:jc w:val="right"/>
        </w:trPr>
        <w:tc>
          <w:tcPr>
            <w:tcW w:w="3260" w:type="dxa"/>
            <w:tcBorders>
              <w:top w:val="nil"/>
              <w:left w:val="nil"/>
              <w:bottom w:val="nil"/>
              <w:right w:val="nil"/>
            </w:tcBorders>
            <w:shd w:val="clear" w:color="auto" w:fill="auto"/>
            <w:noWrap/>
            <w:vAlign w:val="bottom"/>
            <w:hideMark/>
          </w:tcPr>
          <w:p w:rsidR="008861DE" w:rsidRPr="00847CCC" w:rsidRDefault="008861DE" w:rsidP="00CD2E36">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 xml:space="preserve">Child </w:t>
            </w:r>
            <w:r w:rsidR="00CD2E36" w:rsidRPr="00847CCC">
              <w:rPr>
                <w:rFonts w:cs="Arial"/>
                <w:color w:val="000000"/>
                <w:sz w:val="16"/>
                <w:szCs w:val="16"/>
                <w:lang w:eastAsia="en-AU" w:bidi="ar-SA"/>
              </w:rPr>
              <w:t>p</w:t>
            </w:r>
            <w:r w:rsidRPr="00847CCC">
              <w:rPr>
                <w:rFonts w:cs="Arial"/>
                <w:color w:val="000000"/>
                <w:sz w:val="16"/>
                <w:szCs w:val="16"/>
                <w:lang w:eastAsia="en-AU" w:bidi="ar-SA"/>
              </w:rPr>
              <w:t>articipating in approved activity</w:t>
            </w:r>
          </w:p>
        </w:tc>
        <w:tc>
          <w:tcPr>
            <w:tcW w:w="786"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857"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220</w:t>
            </w:r>
          </w:p>
        </w:tc>
        <w:tc>
          <w:tcPr>
            <w:tcW w:w="981"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446</w:t>
            </w:r>
          </w:p>
        </w:tc>
        <w:tc>
          <w:tcPr>
            <w:tcW w:w="720"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299</w:t>
            </w:r>
          </w:p>
        </w:tc>
        <w:tc>
          <w:tcPr>
            <w:tcW w:w="907"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146</w:t>
            </w:r>
          </w:p>
        </w:tc>
      </w:tr>
      <w:tr w:rsidR="008861DE" w:rsidRPr="00847CCC" w:rsidTr="00783DF8">
        <w:trPr>
          <w:trHeight w:val="288"/>
          <w:jc w:val="right"/>
        </w:trPr>
        <w:tc>
          <w:tcPr>
            <w:tcW w:w="3260"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Health and/or engagement activities met</w:t>
            </w:r>
          </w:p>
        </w:tc>
        <w:tc>
          <w:tcPr>
            <w:tcW w:w="786"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857" w:type="dxa"/>
            <w:tcBorders>
              <w:top w:val="nil"/>
              <w:left w:val="nil"/>
              <w:bottom w:val="nil"/>
              <w:right w:val="nil"/>
            </w:tcBorders>
            <w:shd w:val="clear" w:color="auto" w:fill="auto"/>
            <w:noWrap/>
            <w:vAlign w:val="bottom"/>
            <w:hideMark/>
          </w:tcPr>
          <w:p w:rsidR="008861DE" w:rsidRPr="00847CCC" w:rsidRDefault="00730B87"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w:t>
            </w:r>
          </w:p>
        </w:tc>
        <w:tc>
          <w:tcPr>
            <w:tcW w:w="981"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323</w:t>
            </w:r>
          </w:p>
        </w:tc>
        <w:tc>
          <w:tcPr>
            <w:tcW w:w="720" w:type="dxa"/>
            <w:tcBorders>
              <w:top w:val="nil"/>
              <w:left w:val="nil"/>
              <w:bottom w:val="nil"/>
              <w:right w:val="nil"/>
            </w:tcBorders>
            <w:shd w:val="clear" w:color="auto" w:fill="auto"/>
            <w:noWrap/>
            <w:vAlign w:val="bottom"/>
            <w:hideMark/>
          </w:tcPr>
          <w:p w:rsidR="008861DE" w:rsidRPr="00847CCC" w:rsidRDefault="008861DE" w:rsidP="000238F6">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w:t>
            </w:r>
            <w:r w:rsidR="00267BF5" w:rsidRPr="00847CCC">
              <w:rPr>
                <w:rFonts w:cs="Arial"/>
                <w:color w:val="000000"/>
                <w:sz w:val="16"/>
                <w:szCs w:val="16"/>
                <w:lang w:eastAsia="en-AU" w:bidi="ar-SA"/>
              </w:rPr>
              <w:t> </w:t>
            </w:r>
            <w:r w:rsidRPr="00847CCC">
              <w:rPr>
                <w:rFonts w:cs="Arial"/>
                <w:color w:val="000000"/>
                <w:sz w:val="16"/>
                <w:szCs w:val="16"/>
                <w:lang w:eastAsia="en-AU" w:bidi="ar-SA"/>
              </w:rPr>
              <w:t>114</w:t>
            </w:r>
          </w:p>
        </w:tc>
        <w:tc>
          <w:tcPr>
            <w:tcW w:w="907" w:type="dxa"/>
            <w:tcBorders>
              <w:top w:val="nil"/>
              <w:left w:val="nil"/>
              <w:bottom w:val="nil"/>
              <w:right w:val="nil"/>
            </w:tcBorders>
            <w:shd w:val="clear" w:color="auto" w:fill="auto"/>
            <w:noWrap/>
            <w:vAlign w:val="bottom"/>
            <w:hideMark/>
          </w:tcPr>
          <w:p w:rsidR="008861DE" w:rsidRPr="00847CCC" w:rsidRDefault="008861DE" w:rsidP="000238F6">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w:t>
            </w:r>
            <w:r w:rsidR="00267BF5" w:rsidRPr="00847CCC">
              <w:rPr>
                <w:rFonts w:cs="Arial"/>
                <w:color w:val="000000"/>
                <w:sz w:val="16"/>
                <w:szCs w:val="16"/>
                <w:lang w:eastAsia="en-AU" w:bidi="ar-SA"/>
              </w:rPr>
              <w:t> </w:t>
            </w:r>
            <w:r w:rsidRPr="00847CCC">
              <w:rPr>
                <w:rFonts w:cs="Arial"/>
                <w:color w:val="000000"/>
                <w:sz w:val="16"/>
                <w:szCs w:val="16"/>
                <w:lang w:eastAsia="en-AU" w:bidi="ar-SA"/>
              </w:rPr>
              <w:t>311</w:t>
            </w:r>
          </w:p>
        </w:tc>
      </w:tr>
      <w:tr w:rsidR="008861DE" w:rsidRPr="00847CCC" w:rsidTr="00783DF8">
        <w:trPr>
          <w:trHeight w:val="288"/>
          <w:jc w:val="right"/>
        </w:trPr>
        <w:tc>
          <w:tcPr>
            <w:tcW w:w="3260"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In regular paid employment</w:t>
            </w:r>
          </w:p>
        </w:tc>
        <w:tc>
          <w:tcPr>
            <w:tcW w:w="786"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857"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5</w:t>
            </w:r>
          </w:p>
        </w:tc>
        <w:tc>
          <w:tcPr>
            <w:tcW w:w="981"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20</w:t>
            </w:r>
          </w:p>
        </w:tc>
        <w:tc>
          <w:tcPr>
            <w:tcW w:w="720"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47</w:t>
            </w:r>
          </w:p>
        </w:tc>
        <w:tc>
          <w:tcPr>
            <w:tcW w:w="907"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42</w:t>
            </w:r>
          </w:p>
        </w:tc>
      </w:tr>
      <w:tr w:rsidR="008861DE" w:rsidRPr="00847CCC" w:rsidTr="00783DF8">
        <w:trPr>
          <w:trHeight w:val="288"/>
          <w:jc w:val="right"/>
        </w:trPr>
        <w:tc>
          <w:tcPr>
            <w:tcW w:w="3260"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Specified class exemption</w:t>
            </w:r>
          </w:p>
        </w:tc>
        <w:tc>
          <w:tcPr>
            <w:tcW w:w="786"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857" w:type="dxa"/>
            <w:tcBorders>
              <w:top w:val="nil"/>
              <w:left w:val="nil"/>
              <w:bottom w:val="nil"/>
              <w:right w:val="nil"/>
            </w:tcBorders>
            <w:shd w:val="clear" w:color="auto" w:fill="auto"/>
            <w:noWrap/>
            <w:vAlign w:val="bottom"/>
            <w:hideMark/>
          </w:tcPr>
          <w:p w:rsidR="008861DE" w:rsidRPr="00847CCC" w:rsidRDefault="00730B87"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w:t>
            </w:r>
          </w:p>
        </w:tc>
        <w:tc>
          <w:tcPr>
            <w:tcW w:w="981" w:type="dxa"/>
            <w:tcBorders>
              <w:top w:val="nil"/>
              <w:left w:val="nil"/>
              <w:bottom w:val="nil"/>
              <w:right w:val="nil"/>
            </w:tcBorders>
            <w:shd w:val="clear" w:color="auto" w:fill="auto"/>
            <w:noWrap/>
            <w:vAlign w:val="bottom"/>
            <w:hideMark/>
          </w:tcPr>
          <w:p w:rsidR="008861DE" w:rsidRPr="00847CCC" w:rsidRDefault="00C56AA3"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w:t>
            </w:r>
          </w:p>
        </w:tc>
        <w:tc>
          <w:tcPr>
            <w:tcW w:w="720" w:type="dxa"/>
            <w:tcBorders>
              <w:top w:val="nil"/>
              <w:left w:val="nil"/>
              <w:bottom w:val="nil"/>
              <w:right w:val="nil"/>
            </w:tcBorders>
            <w:shd w:val="clear" w:color="auto" w:fill="auto"/>
            <w:noWrap/>
            <w:vAlign w:val="bottom"/>
            <w:hideMark/>
          </w:tcPr>
          <w:p w:rsidR="008861DE" w:rsidRPr="00847CCC" w:rsidRDefault="00C56AA3"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w:t>
            </w:r>
          </w:p>
        </w:tc>
        <w:tc>
          <w:tcPr>
            <w:tcW w:w="907" w:type="dxa"/>
            <w:tcBorders>
              <w:top w:val="nil"/>
              <w:left w:val="nil"/>
              <w:bottom w:val="nil"/>
              <w:right w:val="nil"/>
            </w:tcBorders>
            <w:shd w:val="clear" w:color="auto" w:fill="auto"/>
            <w:noWrap/>
            <w:vAlign w:val="bottom"/>
            <w:hideMark/>
          </w:tcPr>
          <w:p w:rsidR="008861DE" w:rsidRPr="00847CCC" w:rsidRDefault="00C56AA3"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w:t>
            </w:r>
          </w:p>
        </w:tc>
      </w:tr>
      <w:tr w:rsidR="008861DE" w:rsidRPr="00847CCC" w:rsidTr="00783DF8">
        <w:trPr>
          <w:trHeight w:val="173"/>
          <w:jc w:val="right"/>
        </w:trPr>
        <w:tc>
          <w:tcPr>
            <w:tcW w:w="3260"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left"/>
              <w:rPr>
                <w:rFonts w:cs="Arial"/>
                <w:color w:val="000000"/>
                <w:sz w:val="16"/>
                <w:szCs w:val="16"/>
                <w:lang w:eastAsia="en-AU" w:bidi="ar-SA"/>
              </w:rPr>
            </w:pPr>
          </w:p>
        </w:tc>
        <w:tc>
          <w:tcPr>
            <w:tcW w:w="786"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857"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81"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720"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07"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r>
      <w:tr w:rsidR="008861DE" w:rsidRPr="00847CCC" w:rsidTr="00783DF8">
        <w:trPr>
          <w:trHeight w:val="288"/>
          <w:jc w:val="right"/>
        </w:trPr>
        <w:tc>
          <w:tcPr>
            <w:tcW w:w="3260" w:type="dxa"/>
            <w:tcBorders>
              <w:top w:val="nil"/>
              <w:left w:val="nil"/>
              <w:bottom w:val="single" w:sz="4" w:space="0" w:color="auto"/>
              <w:right w:val="nil"/>
            </w:tcBorders>
            <w:shd w:val="clear" w:color="auto" w:fill="auto"/>
            <w:noWrap/>
            <w:vAlign w:val="bottom"/>
            <w:hideMark/>
          </w:tcPr>
          <w:p w:rsidR="008861DE" w:rsidRPr="00847CCC" w:rsidRDefault="008861DE"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Total</w:t>
            </w:r>
          </w:p>
        </w:tc>
        <w:tc>
          <w:tcPr>
            <w:tcW w:w="786" w:type="dxa"/>
            <w:tcBorders>
              <w:top w:val="nil"/>
              <w:left w:val="nil"/>
              <w:bottom w:val="single" w:sz="4" w:space="0" w:color="auto"/>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145</w:t>
            </w:r>
          </w:p>
        </w:tc>
        <w:tc>
          <w:tcPr>
            <w:tcW w:w="857" w:type="dxa"/>
            <w:tcBorders>
              <w:top w:val="nil"/>
              <w:left w:val="nil"/>
              <w:bottom w:val="single" w:sz="4" w:space="0" w:color="auto"/>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255</w:t>
            </w:r>
          </w:p>
        </w:tc>
        <w:tc>
          <w:tcPr>
            <w:tcW w:w="981" w:type="dxa"/>
            <w:tcBorders>
              <w:top w:val="nil"/>
              <w:left w:val="nil"/>
              <w:bottom w:val="single" w:sz="4" w:space="0" w:color="auto"/>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859</w:t>
            </w:r>
          </w:p>
        </w:tc>
        <w:tc>
          <w:tcPr>
            <w:tcW w:w="720" w:type="dxa"/>
            <w:tcBorders>
              <w:top w:val="nil"/>
              <w:left w:val="nil"/>
              <w:bottom w:val="single" w:sz="4" w:space="0" w:color="auto"/>
              <w:right w:val="nil"/>
            </w:tcBorders>
            <w:shd w:val="clear" w:color="auto" w:fill="auto"/>
            <w:noWrap/>
            <w:vAlign w:val="bottom"/>
            <w:hideMark/>
          </w:tcPr>
          <w:p w:rsidR="008861DE" w:rsidRPr="00847CCC" w:rsidRDefault="008861DE" w:rsidP="000238F6">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w:t>
            </w:r>
            <w:r w:rsidR="00267BF5" w:rsidRPr="00847CCC">
              <w:rPr>
                <w:rFonts w:cs="Arial"/>
                <w:color w:val="000000"/>
                <w:sz w:val="16"/>
                <w:szCs w:val="16"/>
                <w:lang w:eastAsia="en-AU" w:bidi="ar-SA"/>
              </w:rPr>
              <w:t> </w:t>
            </w:r>
            <w:r w:rsidRPr="00847CCC">
              <w:rPr>
                <w:rFonts w:cs="Arial"/>
                <w:color w:val="000000"/>
                <w:sz w:val="16"/>
                <w:szCs w:val="16"/>
                <w:lang w:eastAsia="en-AU" w:bidi="ar-SA"/>
              </w:rPr>
              <w:t>523</w:t>
            </w:r>
          </w:p>
        </w:tc>
        <w:tc>
          <w:tcPr>
            <w:tcW w:w="907" w:type="dxa"/>
            <w:tcBorders>
              <w:top w:val="nil"/>
              <w:left w:val="nil"/>
              <w:bottom w:val="single" w:sz="4" w:space="0" w:color="auto"/>
              <w:right w:val="nil"/>
            </w:tcBorders>
            <w:shd w:val="clear" w:color="auto" w:fill="auto"/>
            <w:noWrap/>
            <w:vAlign w:val="bottom"/>
            <w:hideMark/>
          </w:tcPr>
          <w:p w:rsidR="008861DE" w:rsidRPr="00847CCC" w:rsidRDefault="008861DE" w:rsidP="000238F6">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w:t>
            </w:r>
            <w:r w:rsidR="00267BF5" w:rsidRPr="00847CCC">
              <w:rPr>
                <w:rFonts w:cs="Arial"/>
                <w:color w:val="000000"/>
                <w:sz w:val="16"/>
                <w:szCs w:val="16"/>
                <w:lang w:eastAsia="en-AU" w:bidi="ar-SA"/>
              </w:rPr>
              <w:t> </w:t>
            </w:r>
            <w:r w:rsidRPr="00847CCC">
              <w:rPr>
                <w:rFonts w:cs="Arial"/>
                <w:color w:val="000000"/>
                <w:sz w:val="16"/>
                <w:szCs w:val="16"/>
                <w:lang w:eastAsia="en-AU" w:bidi="ar-SA"/>
              </w:rPr>
              <w:t>536</w:t>
            </w:r>
          </w:p>
        </w:tc>
      </w:tr>
      <w:tr w:rsidR="008861DE" w:rsidRPr="00847CCC" w:rsidTr="00783DF8">
        <w:trPr>
          <w:trHeight w:val="288"/>
          <w:jc w:val="right"/>
        </w:trPr>
        <w:tc>
          <w:tcPr>
            <w:tcW w:w="3260" w:type="dxa"/>
            <w:tcBorders>
              <w:top w:val="single" w:sz="4" w:space="0" w:color="auto"/>
              <w:left w:val="nil"/>
              <w:bottom w:val="single" w:sz="4" w:space="0" w:color="auto"/>
              <w:right w:val="nil"/>
            </w:tcBorders>
            <w:shd w:val="clear" w:color="auto" w:fill="auto"/>
            <w:noWrap/>
            <w:vAlign w:val="bottom"/>
            <w:hideMark/>
          </w:tcPr>
          <w:p w:rsidR="008861DE" w:rsidRPr="00847CCC" w:rsidRDefault="008861DE" w:rsidP="008861DE">
            <w:pPr>
              <w:keepNext/>
              <w:keepLines/>
              <w:spacing w:after="0" w:line="240" w:lineRule="auto"/>
              <w:ind w:left="0"/>
              <w:jc w:val="left"/>
              <w:rPr>
                <w:rFonts w:cs="Arial"/>
                <w:color w:val="000000"/>
                <w:sz w:val="16"/>
                <w:szCs w:val="16"/>
                <w:lang w:eastAsia="en-AU" w:bidi="ar-SA"/>
              </w:rPr>
            </w:pPr>
          </w:p>
        </w:tc>
        <w:tc>
          <w:tcPr>
            <w:tcW w:w="4251" w:type="dxa"/>
            <w:gridSpan w:val="5"/>
            <w:tcBorders>
              <w:top w:val="single" w:sz="4" w:space="0" w:color="auto"/>
              <w:left w:val="nil"/>
              <w:bottom w:val="single" w:sz="4" w:space="0" w:color="auto"/>
              <w:right w:val="nil"/>
            </w:tcBorders>
            <w:shd w:val="clear" w:color="auto" w:fill="auto"/>
            <w:noWrap/>
            <w:vAlign w:val="center"/>
            <w:hideMark/>
          </w:tcPr>
          <w:p w:rsidR="008861DE" w:rsidRPr="00847CCC" w:rsidRDefault="008861DE" w:rsidP="00783DF8">
            <w:pPr>
              <w:keepNext/>
              <w:keepLines/>
              <w:spacing w:after="0" w:line="240" w:lineRule="auto"/>
              <w:ind w:left="0"/>
              <w:jc w:val="center"/>
              <w:rPr>
                <w:rFonts w:cs="Arial"/>
                <w:color w:val="000000"/>
                <w:sz w:val="16"/>
                <w:szCs w:val="16"/>
                <w:lang w:eastAsia="en-AU" w:bidi="ar-SA"/>
              </w:rPr>
            </w:pPr>
            <w:r w:rsidRPr="00847CCC">
              <w:rPr>
                <w:rFonts w:cs="Arial"/>
                <w:color w:val="000000"/>
                <w:sz w:val="16"/>
                <w:szCs w:val="16"/>
                <w:lang w:eastAsia="en-AU" w:bidi="ar-SA"/>
              </w:rPr>
              <w:t>Composition (per cent)</w:t>
            </w:r>
          </w:p>
        </w:tc>
      </w:tr>
      <w:tr w:rsidR="008861DE" w:rsidRPr="00847CCC" w:rsidTr="00783DF8">
        <w:trPr>
          <w:trHeight w:val="288"/>
          <w:jc w:val="right"/>
        </w:trPr>
        <w:tc>
          <w:tcPr>
            <w:tcW w:w="3260" w:type="dxa"/>
            <w:tcBorders>
              <w:top w:val="single" w:sz="4" w:space="0" w:color="auto"/>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Little connection to community</w:t>
            </w:r>
          </w:p>
        </w:tc>
        <w:tc>
          <w:tcPr>
            <w:tcW w:w="786" w:type="dxa"/>
            <w:tcBorders>
              <w:top w:val="single" w:sz="4" w:space="0" w:color="auto"/>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18.6</w:t>
            </w:r>
          </w:p>
        </w:tc>
        <w:tc>
          <w:tcPr>
            <w:tcW w:w="857" w:type="dxa"/>
            <w:tcBorders>
              <w:top w:val="single" w:sz="4" w:space="0" w:color="auto"/>
              <w:left w:val="nil"/>
              <w:bottom w:val="nil"/>
              <w:right w:val="nil"/>
            </w:tcBorders>
            <w:shd w:val="clear" w:color="auto" w:fill="auto"/>
            <w:noWrap/>
            <w:vAlign w:val="bottom"/>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81" w:type="dxa"/>
            <w:tcBorders>
              <w:top w:val="single" w:sz="4" w:space="0" w:color="auto"/>
              <w:left w:val="nil"/>
              <w:bottom w:val="nil"/>
              <w:right w:val="nil"/>
            </w:tcBorders>
            <w:shd w:val="clear" w:color="auto" w:fill="auto"/>
            <w:noWrap/>
            <w:vAlign w:val="bottom"/>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720" w:type="dxa"/>
            <w:tcBorders>
              <w:top w:val="single" w:sz="4" w:space="0" w:color="auto"/>
              <w:left w:val="nil"/>
              <w:bottom w:val="nil"/>
              <w:right w:val="nil"/>
            </w:tcBorders>
            <w:shd w:val="clear" w:color="auto" w:fill="auto"/>
            <w:noWrap/>
            <w:vAlign w:val="bottom"/>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07" w:type="dxa"/>
            <w:tcBorders>
              <w:top w:val="single" w:sz="4" w:space="0" w:color="auto"/>
              <w:left w:val="nil"/>
              <w:bottom w:val="nil"/>
              <w:right w:val="nil"/>
            </w:tcBorders>
            <w:shd w:val="clear" w:color="auto" w:fill="auto"/>
            <w:noWrap/>
            <w:vAlign w:val="bottom"/>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r>
      <w:tr w:rsidR="008861DE" w:rsidRPr="00847CCC" w:rsidTr="00783DF8">
        <w:trPr>
          <w:trHeight w:val="288"/>
          <w:jc w:val="right"/>
        </w:trPr>
        <w:tc>
          <w:tcPr>
            <w:tcW w:w="3260"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Not a member of the community</w:t>
            </w:r>
          </w:p>
        </w:tc>
        <w:tc>
          <w:tcPr>
            <w:tcW w:w="786"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15.9</w:t>
            </w:r>
          </w:p>
        </w:tc>
        <w:tc>
          <w:tcPr>
            <w:tcW w:w="857" w:type="dxa"/>
            <w:tcBorders>
              <w:top w:val="nil"/>
              <w:left w:val="nil"/>
              <w:bottom w:val="nil"/>
              <w:right w:val="nil"/>
            </w:tcBorders>
            <w:shd w:val="clear" w:color="auto" w:fill="auto"/>
            <w:noWrap/>
            <w:vAlign w:val="bottom"/>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81" w:type="dxa"/>
            <w:tcBorders>
              <w:top w:val="nil"/>
              <w:left w:val="nil"/>
              <w:bottom w:val="nil"/>
              <w:right w:val="nil"/>
            </w:tcBorders>
            <w:shd w:val="clear" w:color="auto" w:fill="auto"/>
            <w:noWrap/>
            <w:vAlign w:val="bottom"/>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720" w:type="dxa"/>
            <w:tcBorders>
              <w:top w:val="nil"/>
              <w:left w:val="nil"/>
              <w:bottom w:val="nil"/>
              <w:right w:val="nil"/>
            </w:tcBorders>
            <w:shd w:val="clear" w:color="auto" w:fill="auto"/>
            <w:noWrap/>
            <w:vAlign w:val="bottom"/>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07" w:type="dxa"/>
            <w:tcBorders>
              <w:top w:val="nil"/>
              <w:left w:val="nil"/>
              <w:bottom w:val="nil"/>
              <w:right w:val="nil"/>
            </w:tcBorders>
            <w:shd w:val="clear" w:color="auto" w:fill="auto"/>
            <w:noWrap/>
            <w:vAlign w:val="bottom"/>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r>
      <w:tr w:rsidR="008861DE" w:rsidRPr="00847CCC" w:rsidTr="00783DF8">
        <w:trPr>
          <w:trHeight w:val="288"/>
          <w:jc w:val="right"/>
        </w:trPr>
        <w:tc>
          <w:tcPr>
            <w:tcW w:w="3260"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Ministerial exemption</w:t>
            </w:r>
          </w:p>
        </w:tc>
        <w:tc>
          <w:tcPr>
            <w:tcW w:w="786"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0.7</w:t>
            </w:r>
          </w:p>
        </w:tc>
        <w:tc>
          <w:tcPr>
            <w:tcW w:w="857" w:type="dxa"/>
            <w:tcBorders>
              <w:top w:val="nil"/>
              <w:left w:val="nil"/>
              <w:bottom w:val="nil"/>
              <w:right w:val="nil"/>
            </w:tcBorders>
            <w:shd w:val="clear" w:color="auto" w:fill="auto"/>
            <w:noWrap/>
            <w:vAlign w:val="bottom"/>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81" w:type="dxa"/>
            <w:tcBorders>
              <w:top w:val="nil"/>
              <w:left w:val="nil"/>
              <w:bottom w:val="nil"/>
              <w:right w:val="nil"/>
            </w:tcBorders>
            <w:shd w:val="clear" w:color="auto" w:fill="auto"/>
            <w:noWrap/>
            <w:vAlign w:val="bottom"/>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720" w:type="dxa"/>
            <w:tcBorders>
              <w:top w:val="nil"/>
              <w:left w:val="nil"/>
              <w:bottom w:val="nil"/>
              <w:right w:val="nil"/>
            </w:tcBorders>
            <w:shd w:val="clear" w:color="auto" w:fill="auto"/>
            <w:noWrap/>
            <w:vAlign w:val="bottom"/>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07" w:type="dxa"/>
            <w:tcBorders>
              <w:top w:val="nil"/>
              <w:left w:val="nil"/>
              <w:bottom w:val="nil"/>
              <w:right w:val="nil"/>
            </w:tcBorders>
            <w:shd w:val="clear" w:color="auto" w:fill="auto"/>
            <w:noWrap/>
            <w:vAlign w:val="bottom"/>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r>
      <w:tr w:rsidR="008861DE" w:rsidRPr="00847CCC" w:rsidTr="00783DF8">
        <w:trPr>
          <w:trHeight w:val="288"/>
          <w:jc w:val="right"/>
        </w:trPr>
        <w:tc>
          <w:tcPr>
            <w:tcW w:w="3260"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Discretionary exemption</w:t>
            </w:r>
          </w:p>
        </w:tc>
        <w:tc>
          <w:tcPr>
            <w:tcW w:w="786"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20.7</w:t>
            </w:r>
          </w:p>
        </w:tc>
        <w:tc>
          <w:tcPr>
            <w:tcW w:w="857" w:type="dxa"/>
            <w:tcBorders>
              <w:top w:val="nil"/>
              <w:left w:val="nil"/>
              <w:bottom w:val="nil"/>
              <w:right w:val="nil"/>
            </w:tcBorders>
            <w:shd w:val="clear" w:color="auto" w:fill="auto"/>
            <w:noWrap/>
            <w:vAlign w:val="bottom"/>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81" w:type="dxa"/>
            <w:tcBorders>
              <w:top w:val="nil"/>
              <w:left w:val="nil"/>
              <w:bottom w:val="nil"/>
              <w:right w:val="nil"/>
            </w:tcBorders>
            <w:shd w:val="clear" w:color="auto" w:fill="auto"/>
            <w:noWrap/>
            <w:vAlign w:val="bottom"/>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720" w:type="dxa"/>
            <w:tcBorders>
              <w:top w:val="nil"/>
              <w:left w:val="nil"/>
              <w:bottom w:val="nil"/>
              <w:right w:val="nil"/>
            </w:tcBorders>
            <w:shd w:val="clear" w:color="auto" w:fill="auto"/>
            <w:noWrap/>
            <w:vAlign w:val="bottom"/>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07" w:type="dxa"/>
            <w:tcBorders>
              <w:top w:val="nil"/>
              <w:left w:val="nil"/>
              <w:bottom w:val="nil"/>
              <w:right w:val="nil"/>
            </w:tcBorders>
            <w:shd w:val="clear" w:color="auto" w:fill="auto"/>
            <w:noWrap/>
            <w:vAlign w:val="bottom"/>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r>
      <w:tr w:rsidR="008861DE" w:rsidRPr="00847CCC" w:rsidTr="00783DF8">
        <w:trPr>
          <w:trHeight w:val="288"/>
          <w:jc w:val="right"/>
        </w:trPr>
        <w:tc>
          <w:tcPr>
            <w:tcW w:w="3260"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Temporarily in community</w:t>
            </w:r>
          </w:p>
        </w:tc>
        <w:tc>
          <w:tcPr>
            <w:tcW w:w="786"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44.1</w:t>
            </w:r>
          </w:p>
        </w:tc>
        <w:tc>
          <w:tcPr>
            <w:tcW w:w="857" w:type="dxa"/>
            <w:tcBorders>
              <w:top w:val="nil"/>
              <w:left w:val="nil"/>
              <w:bottom w:val="nil"/>
              <w:right w:val="nil"/>
            </w:tcBorders>
            <w:shd w:val="clear" w:color="auto" w:fill="auto"/>
            <w:noWrap/>
            <w:vAlign w:val="bottom"/>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81" w:type="dxa"/>
            <w:tcBorders>
              <w:top w:val="nil"/>
              <w:left w:val="nil"/>
              <w:bottom w:val="nil"/>
              <w:right w:val="nil"/>
            </w:tcBorders>
            <w:shd w:val="clear" w:color="auto" w:fill="auto"/>
            <w:noWrap/>
            <w:vAlign w:val="bottom"/>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720" w:type="dxa"/>
            <w:tcBorders>
              <w:top w:val="nil"/>
              <w:left w:val="nil"/>
              <w:bottom w:val="nil"/>
              <w:right w:val="nil"/>
            </w:tcBorders>
            <w:shd w:val="clear" w:color="auto" w:fill="auto"/>
            <w:noWrap/>
            <w:vAlign w:val="bottom"/>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07" w:type="dxa"/>
            <w:tcBorders>
              <w:top w:val="nil"/>
              <w:left w:val="nil"/>
              <w:bottom w:val="nil"/>
              <w:right w:val="nil"/>
            </w:tcBorders>
            <w:shd w:val="clear" w:color="auto" w:fill="auto"/>
            <w:noWrap/>
            <w:vAlign w:val="bottom"/>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r>
      <w:tr w:rsidR="008861DE" w:rsidRPr="00847CCC" w:rsidTr="00783DF8">
        <w:trPr>
          <w:trHeight w:val="288"/>
          <w:jc w:val="right"/>
        </w:trPr>
        <w:tc>
          <w:tcPr>
            <w:tcW w:w="3260"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Participating in approved activity</w:t>
            </w:r>
          </w:p>
        </w:tc>
        <w:tc>
          <w:tcPr>
            <w:tcW w:w="786"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857"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11.8</w:t>
            </w:r>
          </w:p>
        </w:tc>
        <w:tc>
          <w:tcPr>
            <w:tcW w:w="981"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7.9</w:t>
            </w:r>
          </w:p>
        </w:tc>
        <w:tc>
          <w:tcPr>
            <w:tcW w:w="720"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3.9</w:t>
            </w:r>
          </w:p>
        </w:tc>
        <w:tc>
          <w:tcPr>
            <w:tcW w:w="907"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2.3</w:t>
            </w:r>
          </w:p>
        </w:tc>
      </w:tr>
      <w:tr w:rsidR="008861DE" w:rsidRPr="00847CCC" w:rsidTr="00783DF8">
        <w:trPr>
          <w:trHeight w:val="288"/>
          <w:jc w:val="right"/>
        </w:trPr>
        <w:tc>
          <w:tcPr>
            <w:tcW w:w="3260" w:type="dxa"/>
            <w:tcBorders>
              <w:top w:val="nil"/>
              <w:left w:val="nil"/>
              <w:bottom w:val="nil"/>
              <w:right w:val="nil"/>
            </w:tcBorders>
            <w:shd w:val="clear" w:color="auto" w:fill="auto"/>
            <w:noWrap/>
            <w:vAlign w:val="bottom"/>
            <w:hideMark/>
          </w:tcPr>
          <w:p w:rsidR="008861DE" w:rsidRPr="00847CCC" w:rsidRDefault="008861DE" w:rsidP="00CD2E36">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 xml:space="preserve">Child </w:t>
            </w:r>
            <w:r w:rsidR="00CD2E36" w:rsidRPr="00847CCC">
              <w:rPr>
                <w:rFonts w:cs="Arial"/>
                <w:color w:val="000000"/>
                <w:sz w:val="16"/>
                <w:szCs w:val="16"/>
                <w:lang w:eastAsia="en-AU" w:bidi="ar-SA"/>
              </w:rPr>
              <w:t>p</w:t>
            </w:r>
            <w:r w:rsidRPr="00847CCC">
              <w:rPr>
                <w:rFonts w:cs="Arial"/>
                <w:color w:val="000000"/>
                <w:sz w:val="16"/>
                <w:szCs w:val="16"/>
                <w:lang w:eastAsia="en-AU" w:bidi="ar-SA"/>
              </w:rPr>
              <w:t>articipating in approved activity</w:t>
            </w:r>
          </w:p>
        </w:tc>
        <w:tc>
          <w:tcPr>
            <w:tcW w:w="786"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857"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86.3</w:t>
            </w:r>
          </w:p>
        </w:tc>
        <w:tc>
          <w:tcPr>
            <w:tcW w:w="981"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51.9</w:t>
            </w:r>
          </w:p>
        </w:tc>
        <w:tc>
          <w:tcPr>
            <w:tcW w:w="720"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19.6</w:t>
            </w:r>
          </w:p>
        </w:tc>
        <w:tc>
          <w:tcPr>
            <w:tcW w:w="907"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9.5</w:t>
            </w:r>
          </w:p>
        </w:tc>
      </w:tr>
      <w:tr w:rsidR="008861DE" w:rsidRPr="00847CCC" w:rsidTr="00783DF8">
        <w:trPr>
          <w:trHeight w:val="288"/>
          <w:jc w:val="right"/>
        </w:trPr>
        <w:tc>
          <w:tcPr>
            <w:tcW w:w="3260"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Health and/or engagement activities met</w:t>
            </w:r>
          </w:p>
        </w:tc>
        <w:tc>
          <w:tcPr>
            <w:tcW w:w="786"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857"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0.0</w:t>
            </w:r>
          </w:p>
        </w:tc>
        <w:tc>
          <w:tcPr>
            <w:tcW w:w="981"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37.6</w:t>
            </w:r>
          </w:p>
        </w:tc>
        <w:tc>
          <w:tcPr>
            <w:tcW w:w="720"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73.1</w:t>
            </w:r>
          </w:p>
        </w:tc>
        <w:tc>
          <w:tcPr>
            <w:tcW w:w="907"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85.4</w:t>
            </w:r>
          </w:p>
        </w:tc>
      </w:tr>
      <w:tr w:rsidR="008861DE" w:rsidRPr="00847CCC" w:rsidTr="00783DF8">
        <w:trPr>
          <w:trHeight w:val="288"/>
          <w:jc w:val="right"/>
        </w:trPr>
        <w:tc>
          <w:tcPr>
            <w:tcW w:w="3260"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In regular paid employment</w:t>
            </w:r>
          </w:p>
        </w:tc>
        <w:tc>
          <w:tcPr>
            <w:tcW w:w="786"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857"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2.0</w:t>
            </w:r>
          </w:p>
        </w:tc>
        <w:tc>
          <w:tcPr>
            <w:tcW w:w="981"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2.3</w:t>
            </w:r>
          </w:p>
        </w:tc>
        <w:tc>
          <w:tcPr>
            <w:tcW w:w="720"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3.1</w:t>
            </w:r>
          </w:p>
        </w:tc>
        <w:tc>
          <w:tcPr>
            <w:tcW w:w="907"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2.7</w:t>
            </w:r>
          </w:p>
        </w:tc>
      </w:tr>
      <w:tr w:rsidR="008861DE" w:rsidRPr="00847CCC" w:rsidTr="00783DF8">
        <w:trPr>
          <w:trHeight w:val="288"/>
          <w:jc w:val="right"/>
        </w:trPr>
        <w:tc>
          <w:tcPr>
            <w:tcW w:w="3260"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Specified class exemption</w:t>
            </w:r>
          </w:p>
        </w:tc>
        <w:tc>
          <w:tcPr>
            <w:tcW w:w="786"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857"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0.0</w:t>
            </w:r>
          </w:p>
        </w:tc>
        <w:tc>
          <w:tcPr>
            <w:tcW w:w="981"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0.2</w:t>
            </w:r>
          </w:p>
        </w:tc>
        <w:tc>
          <w:tcPr>
            <w:tcW w:w="720"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0.2</w:t>
            </w:r>
          </w:p>
        </w:tc>
        <w:tc>
          <w:tcPr>
            <w:tcW w:w="907" w:type="dxa"/>
            <w:tcBorders>
              <w:top w:val="nil"/>
              <w:left w:val="nil"/>
              <w:bottom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0.1</w:t>
            </w:r>
          </w:p>
        </w:tc>
      </w:tr>
      <w:tr w:rsidR="008861DE" w:rsidRPr="00847CCC" w:rsidTr="00783DF8">
        <w:trPr>
          <w:trHeight w:val="113"/>
          <w:jc w:val="right"/>
        </w:trPr>
        <w:tc>
          <w:tcPr>
            <w:tcW w:w="3260" w:type="dxa"/>
            <w:tcBorders>
              <w:top w:val="nil"/>
              <w:left w:val="nil"/>
              <w:right w:val="nil"/>
            </w:tcBorders>
            <w:shd w:val="clear" w:color="auto" w:fill="auto"/>
            <w:noWrap/>
            <w:vAlign w:val="bottom"/>
            <w:hideMark/>
          </w:tcPr>
          <w:p w:rsidR="008861DE" w:rsidRPr="00847CCC" w:rsidRDefault="008861DE" w:rsidP="008861DE">
            <w:pPr>
              <w:keepNext/>
              <w:keepLines/>
              <w:spacing w:after="0" w:line="240" w:lineRule="auto"/>
              <w:ind w:left="0"/>
              <w:jc w:val="left"/>
              <w:rPr>
                <w:rFonts w:cs="Arial"/>
                <w:color w:val="000000"/>
                <w:sz w:val="16"/>
                <w:szCs w:val="16"/>
                <w:lang w:eastAsia="en-AU" w:bidi="ar-SA"/>
              </w:rPr>
            </w:pPr>
          </w:p>
        </w:tc>
        <w:tc>
          <w:tcPr>
            <w:tcW w:w="786" w:type="dxa"/>
            <w:tcBorders>
              <w:top w:val="nil"/>
              <w:left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857" w:type="dxa"/>
            <w:tcBorders>
              <w:top w:val="nil"/>
              <w:left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81" w:type="dxa"/>
            <w:tcBorders>
              <w:top w:val="nil"/>
              <w:left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720" w:type="dxa"/>
            <w:tcBorders>
              <w:top w:val="nil"/>
              <w:left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07" w:type="dxa"/>
            <w:tcBorders>
              <w:top w:val="nil"/>
              <w:left w:val="nil"/>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p>
        </w:tc>
      </w:tr>
      <w:tr w:rsidR="008861DE" w:rsidRPr="00847CCC" w:rsidTr="00783DF8">
        <w:trPr>
          <w:trHeight w:val="288"/>
          <w:jc w:val="right"/>
        </w:trPr>
        <w:tc>
          <w:tcPr>
            <w:tcW w:w="3260" w:type="dxa"/>
            <w:tcBorders>
              <w:top w:val="nil"/>
              <w:left w:val="nil"/>
              <w:bottom w:val="single" w:sz="4" w:space="0" w:color="auto"/>
              <w:right w:val="nil"/>
            </w:tcBorders>
            <w:shd w:val="clear" w:color="auto" w:fill="auto"/>
            <w:noWrap/>
            <w:vAlign w:val="bottom"/>
            <w:hideMark/>
          </w:tcPr>
          <w:p w:rsidR="008861DE" w:rsidRPr="00847CCC" w:rsidRDefault="008861DE"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Total</w:t>
            </w:r>
          </w:p>
        </w:tc>
        <w:tc>
          <w:tcPr>
            <w:tcW w:w="786" w:type="dxa"/>
            <w:tcBorders>
              <w:top w:val="nil"/>
              <w:left w:val="nil"/>
              <w:bottom w:val="single" w:sz="4" w:space="0" w:color="auto"/>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100.0</w:t>
            </w:r>
          </w:p>
        </w:tc>
        <w:tc>
          <w:tcPr>
            <w:tcW w:w="857" w:type="dxa"/>
            <w:tcBorders>
              <w:top w:val="nil"/>
              <w:left w:val="nil"/>
              <w:bottom w:val="single" w:sz="4" w:space="0" w:color="auto"/>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100.0</w:t>
            </w:r>
          </w:p>
        </w:tc>
        <w:tc>
          <w:tcPr>
            <w:tcW w:w="981" w:type="dxa"/>
            <w:tcBorders>
              <w:top w:val="nil"/>
              <w:left w:val="nil"/>
              <w:bottom w:val="single" w:sz="4" w:space="0" w:color="auto"/>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100.0</w:t>
            </w:r>
          </w:p>
        </w:tc>
        <w:tc>
          <w:tcPr>
            <w:tcW w:w="720" w:type="dxa"/>
            <w:tcBorders>
              <w:top w:val="nil"/>
              <w:left w:val="nil"/>
              <w:bottom w:val="single" w:sz="4" w:space="0" w:color="auto"/>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100.0</w:t>
            </w:r>
          </w:p>
        </w:tc>
        <w:tc>
          <w:tcPr>
            <w:tcW w:w="907" w:type="dxa"/>
            <w:tcBorders>
              <w:top w:val="nil"/>
              <w:left w:val="nil"/>
              <w:bottom w:val="single" w:sz="4" w:space="0" w:color="auto"/>
              <w:right w:val="nil"/>
            </w:tcBorders>
            <w:shd w:val="clear" w:color="auto" w:fill="auto"/>
            <w:noWrap/>
            <w:vAlign w:val="bottom"/>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100.0</w:t>
            </w:r>
          </w:p>
        </w:tc>
      </w:tr>
    </w:tbl>
    <w:p w:rsidR="00C56AA3" w:rsidRDefault="00C56AA3" w:rsidP="00CF78DB">
      <w:pPr>
        <w:pStyle w:val="tablefootnotes"/>
      </w:pPr>
      <w:r>
        <w:t>Note:</w:t>
      </w:r>
      <w:r>
        <w:tab/>
        <w:t>*</w:t>
      </w:r>
      <w:r w:rsidR="00AC72FE">
        <w:t>= L</w:t>
      </w:r>
      <w:r>
        <w:t>ess than five</w:t>
      </w:r>
      <w:r w:rsidR="00587AD8">
        <w:t xml:space="preserve"> persons</w:t>
      </w:r>
      <w:r w:rsidR="00847CCC">
        <w:t>.</w:t>
      </w:r>
      <w:r w:rsidR="002636B4">
        <w:t xml:space="preserve"> (Data in this table has not been able to be fully perturbed.)</w:t>
      </w:r>
    </w:p>
    <w:p w:rsidR="008861DE" w:rsidRPr="005911E2" w:rsidRDefault="008861DE" w:rsidP="00CF78DB">
      <w:pPr>
        <w:pStyle w:val="tablefootnotes"/>
      </w:pPr>
      <w:r w:rsidRPr="005911E2">
        <w:t xml:space="preserve">Source: </w:t>
      </w:r>
      <w:r w:rsidR="00273B1F">
        <w:tab/>
      </w:r>
      <w:r w:rsidRPr="005911E2">
        <w:t xml:space="preserve">Derived from Centrelink </w:t>
      </w:r>
      <w:r w:rsidR="00F878E4">
        <w:t>income management</w:t>
      </w:r>
      <w:r w:rsidRPr="005911E2">
        <w:t xml:space="preserve"> &amp; IS/FTB datasets</w:t>
      </w:r>
      <w:r w:rsidR="00847CCC">
        <w:t>.</w:t>
      </w:r>
    </w:p>
    <w:p w:rsidR="00721A9A" w:rsidRPr="005911E2" w:rsidRDefault="00721A9A" w:rsidP="00CF78DB">
      <w:pPr>
        <w:pStyle w:val="tablefootnotes"/>
      </w:pPr>
    </w:p>
    <w:p w:rsidR="008861DE" w:rsidRPr="005911E2" w:rsidRDefault="008861DE" w:rsidP="00AA1750">
      <w:r w:rsidRPr="005911E2">
        <w:t xml:space="preserve">In terms of the grounds on which exemptions </w:t>
      </w:r>
      <w:r w:rsidR="00E04125">
        <w:t>were</w:t>
      </w:r>
      <w:r w:rsidRPr="005911E2">
        <w:t xml:space="preserve"> granted, as noted above</w:t>
      </w:r>
      <w:r w:rsidR="00267BF5">
        <w:t>,</w:t>
      </w:r>
      <w:r w:rsidRPr="005911E2">
        <w:t xml:space="preserve"> the three codes relating to children’s activities are largely synonymous and have accounted for most of the successful applications</w:t>
      </w:r>
      <w:r w:rsidR="00CD2E36" w:rsidRPr="00CD2E36">
        <w:t xml:space="preserve"> </w:t>
      </w:r>
      <w:r w:rsidR="00CD2E36" w:rsidRPr="005911E2">
        <w:t>across the period</w:t>
      </w:r>
      <w:r w:rsidRPr="005911E2">
        <w:t>.</w:t>
      </w:r>
      <w:r w:rsidR="0074268A" w:rsidRPr="005911E2">
        <w:t xml:space="preserve"> </w:t>
      </w:r>
      <w:r w:rsidRPr="005911E2">
        <w:t>There does however appear to have been a change in the way in which these exemptions have been coded.</w:t>
      </w:r>
    </w:p>
    <w:p w:rsidR="008861DE" w:rsidRPr="005911E2" w:rsidRDefault="008861DE" w:rsidP="00AA1750">
      <w:r w:rsidRPr="005911E2">
        <w:t>Exemptions for being in regular employment have been small across the history of rollout and maturation of the program – being the grounds for exemption in just two to three per cent of cases.</w:t>
      </w:r>
    </w:p>
    <w:p w:rsidR="00721A9A" w:rsidRPr="005911E2" w:rsidRDefault="00721A9A" w:rsidP="00721A9A">
      <w:r w:rsidRPr="005911E2">
        <w:t xml:space="preserve">While there are some marked trends </w:t>
      </w:r>
      <w:r w:rsidR="00267BF5">
        <w:t xml:space="preserve">over time </w:t>
      </w:r>
      <w:r w:rsidRPr="005911E2">
        <w:t xml:space="preserve">in </w:t>
      </w:r>
      <w:r w:rsidR="00441478">
        <w:t xml:space="preserve">the </w:t>
      </w:r>
      <w:r w:rsidRPr="005911E2">
        <w:t xml:space="preserve">reasons </w:t>
      </w:r>
      <w:r w:rsidR="00441478">
        <w:t>why</w:t>
      </w:r>
      <w:r w:rsidRPr="005911E2">
        <w:t xml:space="preserve"> applications for exemption </w:t>
      </w:r>
      <w:r w:rsidR="00441478">
        <w:t>are rejected (</w:t>
      </w:r>
      <w:r w:rsidRPr="005911E2">
        <w:t xml:space="preserve">see </w:t>
      </w:r>
      <w:r w:rsidR="006F14AA" w:rsidRPr="005911E2">
        <w:t xml:space="preserve">Table </w:t>
      </w:r>
      <w:r w:rsidR="006F14AA" w:rsidRPr="005911E2">
        <w:rPr>
          <w:noProof/>
        </w:rPr>
        <w:t>8</w:t>
      </w:r>
      <w:r w:rsidR="006F14AA" w:rsidRPr="005911E2">
        <w:noBreakHyphen/>
      </w:r>
      <w:r w:rsidR="006F14AA" w:rsidRPr="005911E2">
        <w:rPr>
          <w:noProof/>
        </w:rPr>
        <w:t>4</w:t>
      </w:r>
      <w:r w:rsidR="00441478">
        <w:rPr>
          <w:noProof/>
        </w:rPr>
        <w:t>)</w:t>
      </w:r>
      <w:r w:rsidRPr="005911E2">
        <w:t xml:space="preserve">, </w:t>
      </w:r>
      <w:r w:rsidR="00441478">
        <w:t xml:space="preserve">there is </w:t>
      </w:r>
      <w:r w:rsidRPr="005911E2">
        <w:t xml:space="preserve">an issue </w:t>
      </w:r>
      <w:r w:rsidR="00267BF5">
        <w:t>in interpreting this</w:t>
      </w:r>
      <w:r w:rsidR="00E04125">
        <w:t>,</w:t>
      </w:r>
      <w:r w:rsidR="00267BF5">
        <w:t xml:space="preserve"> given patterns in the </w:t>
      </w:r>
      <w:r w:rsidRPr="005911E2">
        <w:t>use of different codes with substantially similar meanings</w:t>
      </w:r>
      <w:r w:rsidR="001F6CF5" w:rsidRPr="005911E2">
        <w:t>. This,</w:t>
      </w:r>
      <w:r w:rsidRPr="005911E2">
        <w:t xml:space="preserve"> in particular</w:t>
      </w:r>
      <w:r w:rsidR="001F6CF5" w:rsidRPr="005911E2">
        <w:t>, concerns the codes relating to</w:t>
      </w:r>
      <w:r w:rsidRPr="005911E2">
        <w:t xml:space="preserve"> the extent to which children </w:t>
      </w:r>
      <w:r w:rsidR="001F6CF5" w:rsidRPr="005911E2">
        <w:t>‘</w:t>
      </w:r>
      <w:r w:rsidRPr="005911E2">
        <w:t>were not participating in approved activities</w:t>
      </w:r>
      <w:r w:rsidR="001F6CF5" w:rsidRPr="005911E2">
        <w:t>’</w:t>
      </w:r>
      <w:r w:rsidRPr="005911E2">
        <w:t xml:space="preserve"> and </w:t>
      </w:r>
      <w:r w:rsidR="001F6CF5" w:rsidRPr="005911E2">
        <w:t>‘</w:t>
      </w:r>
      <w:r w:rsidRPr="005911E2">
        <w:t>health and engagement activities were not met</w:t>
      </w:r>
      <w:r w:rsidR="001F6CF5" w:rsidRPr="005911E2">
        <w:t>’</w:t>
      </w:r>
      <w:r w:rsidRPr="005911E2">
        <w:t>, with this latter code being used with greater frequency.</w:t>
      </w:r>
    </w:p>
    <w:p w:rsidR="00721A9A" w:rsidRPr="005911E2" w:rsidRDefault="000E062E" w:rsidP="00721A9A">
      <w:r>
        <w:t xml:space="preserve">There has also been a decrease </w:t>
      </w:r>
      <w:r w:rsidR="00721A9A" w:rsidRPr="005911E2">
        <w:t xml:space="preserve">in the proportion of applications being </w:t>
      </w:r>
      <w:r w:rsidR="00267BF5">
        <w:t xml:space="preserve">recorded as </w:t>
      </w:r>
      <w:r w:rsidR="00721A9A" w:rsidRPr="005911E2">
        <w:t>rejected because the person failed the financial stability test</w:t>
      </w:r>
      <w:r>
        <w:t>; i</w:t>
      </w:r>
      <w:r w:rsidR="00721A9A" w:rsidRPr="005911E2">
        <w:t xml:space="preserve">n October 2010 this accounted for a third of all rejections but by October 2011 it had fallen to just under twelve per cent. Again it is not clear </w:t>
      </w:r>
      <w:r w:rsidR="00E04125">
        <w:t xml:space="preserve">as to </w:t>
      </w:r>
      <w:r w:rsidR="00D765F5" w:rsidRPr="005911E2">
        <w:t>the extent to which</w:t>
      </w:r>
      <w:r w:rsidR="00721A9A" w:rsidRPr="005911E2">
        <w:t xml:space="preserve"> this is driven by a change in the characteristics of those applying for an exemption, or a tendency to use the grounds for application – that is exemption because of child health and participation – as the coding of the rejection.</w:t>
      </w:r>
      <w:r w:rsidR="00721A9A" w:rsidRPr="005911E2">
        <w:rPr>
          <w:rStyle w:val="FootnoteReference"/>
        </w:rPr>
        <w:footnoteReference w:id="85"/>
      </w:r>
    </w:p>
    <w:p w:rsidR="008861DE" w:rsidRPr="005911E2" w:rsidRDefault="008861DE" w:rsidP="00AA1750">
      <w:pPr>
        <w:pStyle w:val="tabfighead"/>
      </w:pPr>
      <w:bookmarkStart w:id="689" w:name="_Ref320943952"/>
      <w:bookmarkStart w:id="690" w:name="_Toc321430437"/>
      <w:bookmarkStart w:id="691" w:name="_Toc321254556"/>
      <w:bookmarkStart w:id="692" w:name="_Toc328601604"/>
      <w:bookmarkStart w:id="693" w:name="_Toc329051382"/>
      <w:bookmarkStart w:id="694" w:name="_Toc335915870"/>
      <w:r w:rsidRPr="005911E2">
        <w:t xml:space="preserve">Table </w:t>
      </w:r>
      <w:r w:rsidR="00C7347D" w:rsidRPr="005911E2">
        <w:fldChar w:fldCharType="begin"/>
      </w:r>
      <w:r w:rsidR="00EF6BC6" w:rsidRPr="005911E2">
        <w:instrText xml:space="preserve"> STYLEREF 1 \s </w:instrText>
      </w:r>
      <w:r w:rsidR="00C7347D" w:rsidRPr="005911E2">
        <w:fldChar w:fldCharType="separate"/>
      </w:r>
      <w:r w:rsidR="007D7E45">
        <w:rPr>
          <w:noProof/>
        </w:rPr>
        <w:t>8</w:t>
      </w:r>
      <w:r w:rsidR="00C7347D" w:rsidRPr="005911E2">
        <w:fldChar w:fldCharType="end"/>
      </w:r>
      <w:r w:rsidR="00EF6BC6" w:rsidRPr="005911E2">
        <w:noBreakHyphen/>
      </w:r>
      <w:r w:rsidR="00C7347D" w:rsidRPr="005911E2">
        <w:fldChar w:fldCharType="begin"/>
      </w:r>
      <w:r w:rsidR="00EF6BC6" w:rsidRPr="005911E2">
        <w:instrText xml:space="preserve"> SEQ Table \* ARABIC \s 1 </w:instrText>
      </w:r>
      <w:r w:rsidR="00C7347D" w:rsidRPr="005911E2">
        <w:fldChar w:fldCharType="separate"/>
      </w:r>
      <w:r w:rsidR="007D7E45">
        <w:rPr>
          <w:noProof/>
        </w:rPr>
        <w:t>4</w:t>
      </w:r>
      <w:r w:rsidR="00C7347D" w:rsidRPr="005911E2">
        <w:fldChar w:fldCharType="end"/>
      </w:r>
      <w:bookmarkEnd w:id="689"/>
      <w:r w:rsidRPr="005911E2">
        <w:tab/>
      </w:r>
      <w:r w:rsidR="00F86003" w:rsidRPr="005911E2">
        <w:t xml:space="preserve">Persons on </w:t>
      </w:r>
      <w:r w:rsidR="004808B3">
        <w:t>Compulsory Income Management</w:t>
      </w:r>
      <w:r w:rsidR="00F86003" w:rsidRPr="005911E2">
        <w:t>, r</w:t>
      </w:r>
      <w:r w:rsidRPr="005911E2">
        <w:t>easons for rejection of application for exemption, October 2010 to October 2011</w:t>
      </w:r>
      <w:bookmarkEnd w:id="690"/>
      <w:bookmarkEnd w:id="691"/>
      <w:bookmarkEnd w:id="692"/>
      <w:bookmarkEnd w:id="693"/>
      <w:bookmarkEnd w:id="694"/>
    </w:p>
    <w:tbl>
      <w:tblPr>
        <w:tblW w:w="7088" w:type="dxa"/>
        <w:jc w:val="right"/>
        <w:tblInd w:w="431" w:type="dxa"/>
        <w:tblLook w:val="04A0" w:firstRow="1" w:lastRow="0" w:firstColumn="1" w:lastColumn="0" w:noHBand="0" w:noVBand="1"/>
      </w:tblPr>
      <w:tblGrid>
        <w:gridCol w:w="3402"/>
        <w:gridCol w:w="847"/>
        <w:gridCol w:w="960"/>
        <w:gridCol w:w="887"/>
        <w:gridCol w:w="992"/>
      </w:tblGrid>
      <w:tr w:rsidR="008861DE" w:rsidRPr="00847CCC" w:rsidTr="00587AD8">
        <w:trPr>
          <w:trHeight w:val="288"/>
          <w:jc w:val="right"/>
        </w:trPr>
        <w:tc>
          <w:tcPr>
            <w:tcW w:w="3402" w:type="dxa"/>
            <w:tcBorders>
              <w:top w:val="single" w:sz="4" w:space="0" w:color="auto"/>
              <w:bottom w:val="single" w:sz="4" w:space="0" w:color="auto"/>
            </w:tcBorders>
            <w:shd w:val="clear" w:color="auto" w:fill="auto"/>
            <w:noWrap/>
            <w:hideMark/>
          </w:tcPr>
          <w:p w:rsidR="008861DE" w:rsidRPr="00847CCC" w:rsidRDefault="008861DE" w:rsidP="008861DE">
            <w:pPr>
              <w:keepNext/>
              <w:keepLines/>
              <w:spacing w:after="0" w:line="240" w:lineRule="auto"/>
              <w:ind w:left="0"/>
              <w:jc w:val="left"/>
              <w:rPr>
                <w:rFonts w:cs="Arial"/>
                <w:color w:val="000000"/>
                <w:sz w:val="16"/>
                <w:szCs w:val="16"/>
                <w:lang w:eastAsia="en-AU" w:bidi="ar-SA"/>
              </w:rPr>
            </w:pPr>
          </w:p>
        </w:tc>
        <w:tc>
          <w:tcPr>
            <w:tcW w:w="847" w:type="dxa"/>
            <w:tcBorders>
              <w:top w:val="single" w:sz="4" w:space="0" w:color="auto"/>
              <w:bottom w:val="single" w:sz="4" w:space="0" w:color="auto"/>
            </w:tcBorders>
            <w:shd w:val="clear" w:color="auto" w:fill="auto"/>
            <w:noWrap/>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October 2010</w:t>
            </w:r>
          </w:p>
        </w:tc>
        <w:tc>
          <w:tcPr>
            <w:tcW w:w="960" w:type="dxa"/>
            <w:tcBorders>
              <w:top w:val="single" w:sz="4" w:space="0" w:color="auto"/>
              <w:bottom w:val="single" w:sz="4" w:space="0" w:color="auto"/>
            </w:tcBorders>
            <w:shd w:val="clear" w:color="auto" w:fill="auto"/>
            <w:noWrap/>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February 2011</w:t>
            </w:r>
          </w:p>
        </w:tc>
        <w:tc>
          <w:tcPr>
            <w:tcW w:w="887" w:type="dxa"/>
            <w:tcBorders>
              <w:top w:val="single" w:sz="4" w:space="0" w:color="auto"/>
              <w:bottom w:val="single" w:sz="4" w:space="0" w:color="auto"/>
            </w:tcBorders>
            <w:shd w:val="clear" w:color="auto" w:fill="auto"/>
            <w:noWrap/>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July</w:t>
            </w:r>
            <w:r w:rsidR="00267BF5" w:rsidRPr="00847CCC">
              <w:rPr>
                <w:rFonts w:cs="Arial"/>
                <w:color w:val="000000"/>
                <w:sz w:val="16"/>
                <w:szCs w:val="16"/>
                <w:lang w:eastAsia="en-AU" w:bidi="ar-SA"/>
              </w:rPr>
              <w:br/>
            </w:r>
            <w:r w:rsidRPr="00847CCC">
              <w:rPr>
                <w:rFonts w:cs="Arial"/>
                <w:color w:val="000000"/>
                <w:sz w:val="16"/>
                <w:szCs w:val="16"/>
                <w:lang w:eastAsia="en-AU" w:bidi="ar-SA"/>
              </w:rPr>
              <w:t xml:space="preserve"> 2011</w:t>
            </w:r>
          </w:p>
        </w:tc>
        <w:tc>
          <w:tcPr>
            <w:tcW w:w="992" w:type="dxa"/>
            <w:tcBorders>
              <w:top w:val="single" w:sz="4" w:space="0" w:color="auto"/>
              <w:bottom w:val="single" w:sz="4" w:space="0" w:color="auto"/>
            </w:tcBorders>
            <w:shd w:val="clear" w:color="auto" w:fill="auto"/>
            <w:noWrap/>
            <w:hideMark/>
          </w:tcPr>
          <w:p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October 2011</w:t>
            </w:r>
          </w:p>
        </w:tc>
      </w:tr>
      <w:tr w:rsidR="000E062E" w:rsidRPr="00847CCC" w:rsidTr="00783DF8">
        <w:trPr>
          <w:trHeight w:val="288"/>
          <w:jc w:val="right"/>
        </w:trPr>
        <w:tc>
          <w:tcPr>
            <w:tcW w:w="3402" w:type="dxa"/>
            <w:tcBorders>
              <w:top w:val="single" w:sz="4" w:space="0" w:color="auto"/>
              <w:bottom w:val="single" w:sz="4" w:space="0" w:color="auto"/>
            </w:tcBorders>
            <w:shd w:val="clear" w:color="auto" w:fill="auto"/>
            <w:noWrap/>
          </w:tcPr>
          <w:p w:rsidR="000E062E" w:rsidRPr="00847CCC" w:rsidRDefault="000E062E" w:rsidP="008861DE">
            <w:pPr>
              <w:keepNext/>
              <w:keepLines/>
              <w:spacing w:after="0" w:line="240" w:lineRule="auto"/>
              <w:ind w:left="0"/>
              <w:jc w:val="left"/>
              <w:rPr>
                <w:rFonts w:cs="Arial"/>
                <w:color w:val="000000"/>
                <w:sz w:val="16"/>
                <w:szCs w:val="16"/>
                <w:lang w:eastAsia="en-AU" w:bidi="ar-SA"/>
              </w:rPr>
            </w:pPr>
          </w:p>
        </w:tc>
        <w:tc>
          <w:tcPr>
            <w:tcW w:w="3686" w:type="dxa"/>
            <w:gridSpan w:val="4"/>
            <w:tcBorders>
              <w:top w:val="single" w:sz="4" w:space="0" w:color="auto"/>
              <w:bottom w:val="single" w:sz="4" w:space="0" w:color="auto"/>
            </w:tcBorders>
            <w:shd w:val="clear" w:color="auto" w:fill="auto"/>
            <w:noWrap/>
            <w:vAlign w:val="center"/>
          </w:tcPr>
          <w:p w:rsidR="00E81107" w:rsidRPr="00847CCC" w:rsidRDefault="000E062E" w:rsidP="00783DF8">
            <w:pPr>
              <w:keepNext/>
              <w:keepLines/>
              <w:spacing w:after="0" w:line="240" w:lineRule="auto"/>
              <w:ind w:left="0"/>
              <w:jc w:val="center"/>
              <w:rPr>
                <w:rFonts w:cs="Arial"/>
                <w:color w:val="000000"/>
                <w:sz w:val="16"/>
                <w:szCs w:val="16"/>
                <w:lang w:eastAsia="en-AU" w:bidi="ar-SA"/>
              </w:rPr>
            </w:pPr>
            <w:r w:rsidRPr="00847CCC">
              <w:rPr>
                <w:rFonts w:cs="Arial"/>
                <w:color w:val="000000"/>
                <w:sz w:val="16"/>
                <w:szCs w:val="16"/>
                <w:lang w:eastAsia="en-AU" w:bidi="ar-SA"/>
              </w:rPr>
              <w:t>Number</w:t>
            </w:r>
          </w:p>
        </w:tc>
      </w:tr>
      <w:tr w:rsidR="00513BED" w:rsidRPr="00847CCC" w:rsidTr="00587AD8">
        <w:trPr>
          <w:trHeight w:val="288"/>
          <w:jc w:val="right"/>
        </w:trPr>
        <w:tc>
          <w:tcPr>
            <w:tcW w:w="3402" w:type="dxa"/>
            <w:tcBorders>
              <w:top w:val="single" w:sz="4" w:space="0" w:color="auto"/>
            </w:tcBorders>
            <w:shd w:val="clear" w:color="auto" w:fill="auto"/>
            <w:noWrap/>
            <w:hideMark/>
          </w:tcPr>
          <w:p w:rsidR="00513BED" w:rsidRPr="00847CCC" w:rsidRDefault="00513BED"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Not participating in approved activity</w:t>
            </w:r>
          </w:p>
        </w:tc>
        <w:tc>
          <w:tcPr>
            <w:tcW w:w="847" w:type="dxa"/>
            <w:tcBorders>
              <w:top w:val="single" w:sz="4" w:space="0" w:color="auto"/>
            </w:tcBorders>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47</w:t>
            </w:r>
          </w:p>
        </w:tc>
        <w:tc>
          <w:tcPr>
            <w:tcW w:w="960" w:type="dxa"/>
            <w:tcBorders>
              <w:top w:val="single" w:sz="4" w:space="0" w:color="auto"/>
            </w:tcBorders>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59</w:t>
            </w:r>
          </w:p>
        </w:tc>
        <w:tc>
          <w:tcPr>
            <w:tcW w:w="887" w:type="dxa"/>
            <w:tcBorders>
              <w:top w:val="single" w:sz="4" w:space="0" w:color="auto"/>
            </w:tcBorders>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50</w:t>
            </w:r>
          </w:p>
        </w:tc>
        <w:tc>
          <w:tcPr>
            <w:tcW w:w="992" w:type="dxa"/>
            <w:tcBorders>
              <w:top w:val="single" w:sz="4" w:space="0" w:color="auto"/>
            </w:tcBorders>
            <w:shd w:val="clear" w:color="auto" w:fill="auto"/>
            <w:noWrap/>
            <w:hideMark/>
          </w:tcPr>
          <w:p w:rsidR="00513BED" w:rsidRPr="00847CCC" w:rsidRDefault="00993FA6"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47</w:t>
            </w:r>
          </w:p>
        </w:tc>
      </w:tr>
      <w:tr w:rsidR="00513BED" w:rsidRPr="00847CCC" w:rsidTr="00587AD8">
        <w:trPr>
          <w:trHeight w:val="288"/>
          <w:jc w:val="right"/>
        </w:trPr>
        <w:tc>
          <w:tcPr>
            <w:tcW w:w="3402" w:type="dxa"/>
            <w:shd w:val="clear" w:color="auto" w:fill="auto"/>
            <w:noWrap/>
            <w:hideMark/>
          </w:tcPr>
          <w:p w:rsidR="00513BED" w:rsidRPr="00847CCC" w:rsidRDefault="00513BED"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Health or engagement activities not met</w:t>
            </w:r>
          </w:p>
        </w:tc>
        <w:tc>
          <w:tcPr>
            <w:tcW w:w="847" w:type="dxa"/>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w:t>
            </w:r>
          </w:p>
        </w:tc>
        <w:tc>
          <w:tcPr>
            <w:tcW w:w="960" w:type="dxa"/>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95</w:t>
            </w:r>
          </w:p>
        </w:tc>
        <w:tc>
          <w:tcPr>
            <w:tcW w:w="887" w:type="dxa"/>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335</w:t>
            </w:r>
          </w:p>
        </w:tc>
        <w:tc>
          <w:tcPr>
            <w:tcW w:w="992" w:type="dxa"/>
            <w:shd w:val="clear" w:color="auto" w:fill="auto"/>
            <w:noWrap/>
            <w:hideMark/>
          </w:tcPr>
          <w:p w:rsidR="00513BED" w:rsidRPr="00847CCC" w:rsidRDefault="00993FA6" w:rsidP="00F86003">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350</w:t>
            </w:r>
          </w:p>
        </w:tc>
      </w:tr>
      <w:tr w:rsidR="00513BED" w:rsidRPr="00847CCC" w:rsidTr="00587AD8">
        <w:trPr>
          <w:trHeight w:val="288"/>
          <w:jc w:val="right"/>
        </w:trPr>
        <w:tc>
          <w:tcPr>
            <w:tcW w:w="3402" w:type="dxa"/>
            <w:shd w:val="clear" w:color="auto" w:fill="auto"/>
            <w:noWrap/>
            <w:hideMark/>
          </w:tcPr>
          <w:p w:rsidR="00513BED" w:rsidRPr="00847CCC" w:rsidRDefault="00513BED"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No evidence provided</w:t>
            </w:r>
          </w:p>
        </w:tc>
        <w:tc>
          <w:tcPr>
            <w:tcW w:w="847" w:type="dxa"/>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123</w:t>
            </w:r>
          </w:p>
        </w:tc>
        <w:tc>
          <w:tcPr>
            <w:tcW w:w="960" w:type="dxa"/>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226</w:t>
            </w:r>
          </w:p>
        </w:tc>
        <w:tc>
          <w:tcPr>
            <w:tcW w:w="887" w:type="dxa"/>
            <w:shd w:val="clear" w:color="auto" w:fill="auto"/>
            <w:noWrap/>
            <w:hideMark/>
          </w:tcPr>
          <w:p w:rsidR="00513BED" w:rsidRPr="00847CCC" w:rsidRDefault="00513BED" w:rsidP="00F86003">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423</w:t>
            </w:r>
          </w:p>
        </w:tc>
        <w:tc>
          <w:tcPr>
            <w:tcW w:w="992" w:type="dxa"/>
            <w:shd w:val="clear" w:color="auto" w:fill="auto"/>
            <w:noWrap/>
            <w:hideMark/>
          </w:tcPr>
          <w:p w:rsidR="00513BED" w:rsidRPr="00847CCC" w:rsidRDefault="00993FA6" w:rsidP="00F86003">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415</w:t>
            </w:r>
          </w:p>
        </w:tc>
      </w:tr>
      <w:tr w:rsidR="00513BED" w:rsidRPr="00847CCC" w:rsidTr="00587AD8">
        <w:trPr>
          <w:trHeight w:val="288"/>
          <w:jc w:val="right"/>
        </w:trPr>
        <w:tc>
          <w:tcPr>
            <w:tcW w:w="3402" w:type="dxa"/>
            <w:shd w:val="clear" w:color="auto" w:fill="auto"/>
            <w:noWrap/>
            <w:hideMark/>
          </w:tcPr>
          <w:p w:rsidR="00513BED" w:rsidRPr="00847CCC" w:rsidRDefault="00513BED"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Not financially stable</w:t>
            </w:r>
          </w:p>
        </w:tc>
        <w:tc>
          <w:tcPr>
            <w:tcW w:w="847" w:type="dxa"/>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118</w:t>
            </w:r>
          </w:p>
        </w:tc>
        <w:tc>
          <w:tcPr>
            <w:tcW w:w="960" w:type="dxa"/>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162</w:t>
            </w:r>
          </w:p>
        </w:tc>
        <w:tc>
          <w:tcPr>
            <w:tcW w:w="887" w:type="dxa"/>
            <w:shd w:val="clear" w:color="auto" w:fill="auto"/>
            <w:noWrap/>
            <w:hideMark/>
          </w:tcPr>
          <w:p w:rsidR="00513BED" w:rsidRPr="00847CCC" w:rsidRDefault="00513BED" w:rsidP="00F86003">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151</w:t>
            </w:r>
          </w:p>
        </w:tc>
        <w:tc>
          <w:tcPr>
            <w:tcW w:w="992" w:type="dxa"/>
            <w:shd w:val="clear" w:color="auto" w:fill="auto"/>
            <w:noWrap/>
            <w:hideMark/>
          </w:tcPr>
          <w:p w:rsidR="00513BED" w:rsidRPr="00847CCC" w:rsidRDefault="00993FA6"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136</w:t>
            </w:r>
          </w:p>
        </w:tc>
      </w:tr>
      <w:tr w:rsidR="00513BED" w:rsidRPr="00847CCC" w:rsidTr="00587AD8">
        <w:trPr>
          <w:trHeight w:val="288"/>
          <w:jc w:val="right"/>
        </w:trPr>
        <w:tc>
          <w:tcPr>
            <w:tcW w:w="3402" w:type="dxa"/>
            <w:shd w:val="clear" w:color="auto" w:fill="auto"/>
            <w:noWrap/>
            <w:hideMark/>
          </w:tcPr>
          <w:p w:rsidR="00513BED" w:rsidRPr="00847CCC" w:rsidRDefault="00513BED"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Not a full-time student</w:t>
            </w:r>
          </w:p>
        </w:tc>
        <w:tc>
          <w:tcPr>
            <w:tcW w:w="847" w:type="dxa"/>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8</w:t>
            </w:r>
          </w:p>
        </w:tc>
        <w:tc>
          <w:tcPr>
            <w:tcW w:w="960" w:type="dxa"/>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6</w:t>
            </w:r>
          </w:p>
        </w:tc>
        <w:tc>
          <w:tcPr>
            <w:tcW w:w="887" w:type="dxa"/>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9</w:t>
            </w:r>
          </w:p>
        </w:tc>
        <w:tc>
          <w:tcPr>
            <w:tcW w:w="992" w:type="dxa"/>
            <w:shd w:val="clear" w:color="auto" w:fill="auto"/>
            <w:noWrap/>
            <w:hideMark/>
          </w:tcPr>
          <w:p w:rsidR="00513BED" w:rsidRPr="00847CCC" w:rsidRDefault="00993FA6"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7</w:t>
            </w:r>
          </w:p>
        </w:tc>
      </w:tr>
      <w:tr w:rsidR="00513BED" w:rsidRPr="00847CCC" w:rsidTr="00587AD8">
        <w:trPr>
          <w:trHeight w:val="288"/>
          <w:jc w:val="right"/>
        </w:trPr>
        <w:tc>
          <w:tcPr>
            <w:tcW w:w="3402" w:type="dxa"/>
            <w:shd w:val="clear" w:color="auto" w:fill="auto"/>
            <w:noWrap/>
            <w:hideMark/>
          </w:tcPr>
          <w:p w:rsidR="00513BED" w:rsidRPr="00847CCC" w:rsidRDefault="00513BED"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Not in regular paid employment</w:t>
            </w:r>
          </w:p>
        </w:tc>
        <w:tc>
          <w:tcPr>
            <w:tcW w:w="847" w:type="dxa"/>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25</w:t>
            </w:r>
          </w:p>
        </w:tc>
        <w:tc>
          <w:tcPr>
            <w:tcW w:w="960" w:type="dxa"/>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41</w:t>
            </w:r>
          </w:p>
        </w:tc>
        <w:tc>
          <w:tcPr>
            <w:tcW w:w="887" w:type="dxa"/>
            <w:shd w:val="clear" w:color="auto" w:fill="auto"/>
            <w:noWrap/>
            <w:hideMark/>
          </w:tcPr>
          <w:p w:rsidR="00513BED" w:rsidRPr="00847CCC" w:rsidRDefault="00513BED" w:rsidP="00C56AA3">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6</w:t>
            </w:r>
            <w:r w:rsidR="00C56AA3" w:rsidRPr="00847CCC">
              <w:rPr>
                <w:rFonts w:cs="Arial"/>
                <w:color w:val="000000"/>
                <w:sz w:val="16"/>
                <w:szCs w:val="16"/>
                <w:lang w:eastAsia="en-AU" w:bidi="ar-SA"/>
              </w:rPr>
              <w:t>7</w:t>
            </w:r>
          </w:p>
        </w:tc>
        <w:tc>
          <w:tcPr>
            <w:tcW w:w="992" w:type="dxa"/>
            <w:shd w:val="clear" w:color="auto" w:fill="auto"/>
            <w:noWrap/>
            <w:hideMark/>
          </w:tcPr>
          <w:p w:rsidR="00513BED" w:rsidRPr="00847CCC" w:rsidRDefault="00C56AA3" w:rsidP="00C56AA3">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59</w:t>
            </w:r>
          </w:p>
        </w:tc>
      </w:tr>
      <w:tr w:rsidR="00513BED" w:rsidRPr="00847CCC" w:rsidTr="00587AD8">
        <w:trPr>
          <w:trHeight w:val="288"/>
          <w:jc w:val="right"/>
        </w:trPr>
        <w:tc>
          <w:tcPr>
            <w:tcW w:w="3402" w:type="dxa"/>
            <w:shd w:val="clear" w:color="auto" w:fill="auto"/>
            <w:noWrap/>
            <w:hideMark/>
          </w:tcPr>
          <w:p w:rsidR="00513BED" w:rsidRPr="00847CCC" w:rsidRDefault="00513BED"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Does not meet specified class exemption</w:t>
            </w:r>
          </w:p>
        </w:tc>
        <w:tc>
          <w:tcPr>
            <w:tcW w:w="847" w:type="dxa"/>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0</w:t>
            </w:r>
          </w:p>
        </w:tc>
        <w:tc>
          <w:tcPr>
            <w:tcW w:w="960" w:type="dxa"/>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0</w:t>
            </w:r>
          </w:p>
        </w:tc>
        <w:tc>
          <w:tcPr>
            <w:tcW w:w="887" w:type="dxa"/>
            <w:shd w:val="clear" w:color="auto" w:fill="auto"/>
            <w:noWrap/>
            <w:hideMark/>
          </w:tcPr>
          <w:p w:rsidR="00513BED" w:rsidRPr="00847CCC" w:rsidRDefault="00C56AA3"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w:t>
            </w:r>
          </w:p>
        </w:tc>
        <w:tc>
          <w:tcPr>
            <w:tcW w:w="992" w:type="dxa"/>
            <w:shd w:val="clear" w:color="auto" w:fill="auto"/>
            <w:noWrap/>
            <w:hideMark/>
          </w:tcPr>
          <w:p w:rsidR="00513BED" w:rsidRPr="00847CCC" w:rsidRDefault="00C56AA3"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2</w:t>
            </w:r>
          </w:p>
        </w:tc>
      </w:tr>
      <w:tr w:rsidR="00513BED" w:rsidRPr="00847CCC" w:rsidTr="00587AD8">
        <w:trPr>
          <w:trHeight w:val="288"/>
          <w:jc w:val="right"/>
        </w:trPr>
        <w:tc>
          <w:tcPr>
            <w:tcW w:w="3402" w:type="dxa"/>
            <w:shd w:val="clear" w:color="auto" w:fill="auto"/>
            <w:noWrap/>
            <w:hideMark/>
          </w:tcPr>
          <w:p w:rsidR="00513BED" w:rsidRPr="00847CCC" w:rsidRDefault="00513BED"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Unacceptable evidence</w:t>
            </w:r>
          </w:p>
        </w:tc>
        <w:tc>
          <w:tcPr>
            <w:tcW w:w="847" w:type="dxa"/>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28</w:t>
            </w:r>
          </w:p>
        </w:tc>
        <w:tc>
          <w:tcPr>
            <w:tcW w:w="960" w:type="dxa"/>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69</w:t>
            </w:r>
          </w:p>
        </w:tc>
        <w:tc>
          <w:tcPr>
            <w:tcW w:w="887" w:type="dxa"/>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123</w:t>
            </w:r>
          </w:p>
        </w:tc>
        <w:tc>
          <w:tcPr>
            <w:tcW w:w="992" w:type="dxa"/>
            <w:shd w:val="clear" w:color="auto" w:fill="auto"/>
            <w:noWrap/>
            <w:hideMark/>
          </w:tcPr>
          <w:p w:rsidR="00513BED" w:rsidRPr="00847CCC" w:rsidRDefault="00993FA6"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136</w:t>
            </w:r>
          </w:p>
        </w:tc>
      </w:tr>
      <w:tr w:rsidR="00513BED" w:rsidRPr="00847CCC" w:rsidTr="00587AD8">
        <w:trPr>
          <w:trHeight w:val="288"/>
          <w:jc w:val="right"/>
        </w:trPr>
        <w:tc>
          <w:tcPr>
            <w:tcW w:w="3402" w:type="dxa"/>
            <w:shd w:val="clear" w:color="auto" w:fill="auto"/>
            <w:noWrap/>
            <w:hideMark/>
          </w:tcPr>
          <w:p w:rsidR="00513BED" w:rsidRPr="00847CCC" w:rsidRDefault="00513BED" w:rsidP="008861DE">
            <w:pPr>
              <w:keepNext/>
              <w:keepLines/>
              <w:spacing w:after="0" w:line="240" w:lineRule="auto"/>
              <w:ind w:left="0"/>
              <w:jc w:val="left"/>
              <w:rPr>
                <w:rFonts w:cs="Arial"/>
                <w:color w:val="000000"/>
                <w:sz w:val="16"/>
                <w:szCs w:val="16"/>
                <w:lang w:eastAsia="en-AU" w:bidi="ar-SA"/>
              </w:rPr>
            </w:pPr>
          </w:p>
        </w:tc>
        <w:tc>
          <w:tcPr>
            <w:tcW w:w="847" w:type="dxa"/>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p>
        </w:tc>
        <w:tc>
          <w:tcPr>
            <w:tcW w:w="960" w:type="dxa"/>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p>
        </w:tc>
        <w:tc>
          <w:tcPr>
            <w:tcW w:w="887" w:type="dxa"/>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p>
        </w:tc>
        <w:tc>
          <w:tcPr>
            <w:tcW w:w="992" w:type="dxa"/>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p>
        </w:tc>
      </w:tr>
      <w:tr w:rsidR="00513BED" w:rsidRPr="00847CCC" w:rsidTr="00587AD8">
        <w:trPr>
          <w:trHeight w:val="288"/>
          <w:jc w:val="right"/>
        </w:trPr>
        <w:tc>
          <w:tcPr>
            <w:tcW w:w="3402" w:type="dxa"/>
            <w:tcBorders>
              <w:bottom w:val="single" w:sz="4" w:space="0" w:color="auto"/>
            </w:tcBorders>
            <w:shd w:val="clear" w:color="auto" w:fill="auto"/>
            <w:noWrap/>
            <w:hideMark/>
          </w:tcPr>
          <w:p w:rsidR="00513BED" w:rsidRPr="00847CCC" w:rsidRDefault="00513BED"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Total</w:t>
            </w:r>
          </w:p>
        </w:tc>
        <w:tc>
          <w:tcPr>
            <w:tcW w:w="847" w:type="dxa"/>
            <w:tcBorders>
              <w:bottom w:val="single" w:sz="4" w:space="0" w:color="auto"/>
            </w:tcBorders>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349</w:t>
            </w:r>
          </w:p>
        </w:tc>
        <w:tc>
          <w:tcPr>
            <w:tcW w:w="960" w:type="dxa"/>
            <w:tcBorders>
              <w:bottom w:val="single" w:sz="4" w:space="0" w:color="auto"/>
            </w:tcBorders>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658</w:t>
            </w:r>
          </w:p>
        </w:tc>
        <w:tc>
          <w:tcPr>
            <w:tcW w:w="887" w:type="dxa"/>
            <w:tcBorders>
              <w:bottom w:val="single" w:sz="4" w:space="0" w:color="auto"/>
            </w:tcBorders>
            <w:shd w:val="clear" w:color="auto" w:fill="auto"/>
            <w:noWrap/>
            <w:hideMark/>
          </w:tcPr>
          <w:p w:rsidR="00513BED" w:rsidRPr="00847CCC" w:rsidRDefault="00513BED" w:rsidP="000238F6">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w:t>
            </w:r>
            <w:r w:rsidR="00267BF5" w:rsidRPr="00847CCC">
              <w:rPr>
                <w:rFonts w:cs="Arial"/>
                <w:color w:val="000000"/>
                <w:sz w:val="16"/>
                <w:szCs w:val="16"/>
                <w:lang w:eastAsia="en-AU" w:bidi="ar-SA"/>
              </w:rPr>
              <w:t> </w:t>
            </w:r>
            <w:r w:rsidRPr="00847CCC">
              <w:rPr>
                <w:rFonts w:cs="Arial"/>
                <w:color w:val="000000"/>
                <w:sz w:val="16"/>
                <w:szCs w:val="16"/>
                <w:lang w:eastAsia="en-AU" w:bidi="ar-SA"/>
              </w:rPr>
              <w:t>159</w:t>
            </w:r>
          </w:p>
        </w:tc>
        <w:tc>
          <w:tcPr>
            <w:tcW w:w="992" w:type="dxa"/>
            <w:tcBorders>
              <w:bottom w:val="single" w:sz="4" w:space="0" w:color="auto"/>
            </w:tcBorders>
            <w:shd w:val="clear" w:color="auto" w:fill="auto"/>
            <w:noWrap/>
            <w:hideMark/>
          </w:tcPr>
          <w:p w:rsidR="00513BED" w:rsidRPr="00847CCC" w:rsidRDefault="00993FA6" w:rsidP="000238F6">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w:t>
            </w:r>
            <w:r w:rsidR="00267BF5" w:rsidRPr="00847CCC">
              <w:rPr>
                <w:rFonts w:cs="Arial"/>
                <w:color w:val="000000"/>
                <w:sz w:val="16"/>
                <w:szCs w:val="16"/>
                <w:lang w:eastAsia="en-AU" w:bidi="ar-SA"/>
              </w:rPr>
              <w:t> </w:t>
            </w:r>
            <w:r w:rsidRPr="00847CCC">
              <w:rPr>
                <w:rFonts w:cs="Arial"/>
                <w:color w:val="000000"/>
                <w:sz w:val="16"/>
                <w:szCs w:val="16"/>
                <w:lang w:eastAsia="en-AU" w:bidi="ar-SA"/>
              </w:rPr>
              <w:t>152</w:t>
            </w:r>
          </w:p>
        </w:tc>
      </w:tr>
      <w:tr w:rsidR="008861DE" w:rsidRPr="00847CCC" w:rsidTr="00783DF8">
        <w:trPr>
          <w:trHeight w:val="288"/>
          <w:jc w:val="right"/>
        </w:trPr>
        <w:tc>
          <w:tcPr>
            <w:tcW w:w="3402" w:type="dxa"/>
            <w:tcBorders>
              <w:top w:val="single" w:sz="4" w:space="0" w:color="auto"/>
              <w:bottom w:val="single" w:sz="4" w:space="0" w:color="auto"/>
            </w:tcBorders>
            <w:shd w:val="clear" w:color="auto" w:fill="auto"/>
            <w:noWrap/>
            <w:hideMark/>
          </w:tcPr>
          <w:p w:rsidR="000E062E" w:rsidRPr="00847CCC" w:rsidRDefault="000E062E" w:rsidP="008861DE">
            <w:pPr>
              <w:keepNext/>
              <w:keepLines/>
              <w:spacing w:after="0" w:line="240" w:lineRule="auto"/>
              <w:ind w:left="0"/>
              <w:jc w:val="left"/>
              <w:rPr>
                <w:rFonts w:cs="Arial"/>
                <w:color w:val="000000"/>
                <w:sz w:val="16"/>
                <w:szCs w:val="16"/>
                <w:lang w:eastAsia="en-AU" w:bidi="ar-SA"/>
              </w:rPr>
            </w:pPr>
          </w:p>
        </w:tc>
        <w:tc>
          <w:tcPr>
            <w:tcW w:w="3686" w:type="dxa"/>
            <w:gridSpan w:val="4"/>
            <w:tcBorders>
              <w:top w:val="single" w:sz="4" w:space="0" w:color="auto"/>
              <w:bottom w:val="single" w:sz="4" w:space="0" w:color="auto"/>
            </w:tcBorders>
            <w:shd w:val="clear" w:color="auto" w:fill="auto"/>
            <w:noWrap/>
            <w:vAlign w:val="center"/>
            <w:hideMark/>
          </w:tcPr>
          <w:p w:rsidR="00E81107" w:rsidRPr="00847CCC" w:rsidRDefault="008861DE" w:rsidP="00783DF8">
            <w:pPr>
              <w:keepNext/>
              <w:keepLines/>
              <w:spacing w:after="0" w:line="240" w:lineRule="auto"/>
              <w:ind w:left="0"/>
              <w:jc w:val="center"/>
              <w:rPr>
                <w:rFonts w:cs="Arial"/>
                <w:color w:val="000000"/>
                <w:sz w:val="16"/>
                <w:szCs w:val="16"/>
                <w:lang w:eastAsia="en-AU" w:bidi="ar-SA"/>
              </w:rPr>
            </w:pPr>
            <w:r w:rsidRPr="00847CCC">
              <w:rPr>
                <w:rFonts w:cs="Arial"/>
                <w:color w:val="000000"/>
                <w:sz w:val="16"/>
                <w:szCs w:val="16"/>
                <w:lang w:eastAsia="en-AU" w:bidi="ar-SA"/>
              </w:rPr>
              <w:t>Composition (per cent)</w:t>
            </w:r>
          </w:p>
        </w:tc>
      </w:tr>
      <w:tr w:rsidR="00513BED" w:rsidRPr="00847CCC" w:rsidTr="00587AD8">
        <w:trPr>
          <w:trHeight w:val="288"/>
          <w:jc w:val="right"/>
        </w:trPr>
        <w:tc>
          <w:tcPr>
            <w:tcW w:w="3402" w:type="dxa"/>
            <w:tcBorders>
              <w:top w:val="single" w:sz="4" w:space="0" w:color="auto"/>
            </w:tcBorders>
            <w:shd w:val="clear" w:color="auto" w:fill="auto"/>
            <w:noWrap/>
            <w:hideMark/>
          </w:tcPr>
          <w:p w:rsidR="00513BED" w:rsidRPr="00847CCC" w:rsidRDefault="00513BED"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Not participating in approved activity</w:t>
            </w:r>
          </w:p>
        </w:tc>
        <w:tc>
          <w:tcPr>
            <w:tcW w:w="847" w:type="dxa"/>
            <w:tcBorders>
              <w:top w:val="single" w:sz="4" w:space="0" w:color="auto"/>
            </w:tcBorders>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13.5</w:t>
            </w:r>
          </w:p>
        </w:tc>
        <w:tc>
          <w:tcPr>
            <w:tcW w:w="960" w:type="dxa"/>
            <w:tcBorders>
              <w:top w:val="single" w:sz="4" w:space="0" w:color="auto"/>
            </w:tcBorders>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9.0</w:t>
            </w:r>
          </w:p>
        </w:tc>
        <w:tc>
          <w:tcPr>
            <w:tcW w:w="887" w:type="dxa"/>
            <w:tcBorders>
              <w:top w:val="single" w:sz="4" w:space="0" w:color="auto"/>
            </w:tcBorders>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4.3</w:t>
            </w:r>
          </w:p>
        </w:tc>
        <w:tc>
          <w:tcPr>
            <w:tcW w:w="992" w:type="dxa"/>
            <w:tcBorders>
              <w:top w:val="single" w:sz="4" w:space="0" w:color="auto"/>
            </w:tcBorders>
            <w:shd w:val="clear" w:color="auto" w:fill="auto"/>
            <w:noWrap/>
            <w:hideMark/>
          </w:tcPr>
          <w:p w:rsidR="00513BED" w:rsidRPr="00847CCC" w:rsidRDefault="00993FA6"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4.1</w:t>
            </w:r>
          </w:p>
        </w:tc>
      </w:tr>
      <w:tr w:rsidR="00513BED" w:rsidRPr="00847CCC" w:rsidTr="00587AD8">
        <w:trPr>
          <w:trHeight w:val="288"/>
          <w:jc w:val="right"/>
        </w:trPr>
        <w:tc>
          <w:tcPr>
            <w:tcW w:w="3402" w:type="dxa"/>
            <w:shd w:val="clear" w:color="auto" w:fill="auto"/>
            <w:noWrap/>
            <w:hideMark/>
          </w:tcPr>
          <w:p w:rsidR="00513BED" w:rsidRPr="00847CCC" w:rsidRDefault="00513BED"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Health or engagement activities not met</w:t>
            </w:r>
          </w:p>
        </w:tc>
        <w:tc>
          <w:tcPr>
            <w:tcW w:w="847" w:type="dxa"/>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0.0</w:t>
            </w:r>
          </w:p>
        </w:tc>
        <w:tc>
          <w:tcPr>
            <w:tcW w:w="960" w:type="dxa"/>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14.4</w:t>
            </w:r>
          </w:p>
        </w:tc>
        <w:tc>
          <w:tcPr>
            <w:tcW w:w="887" w:type="dxa"/>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28.9</w:t>
            </w:r>
          </w:p>
        </w:tc>
        <w:tc>
          <w:tcPr>
            <w:tcW w:w="992" w:type="dxa"/>
            <w:shd w:val="clear" w:color="auto" w:fill="auto"/>
            <w:noWrap/>
            <w:hideMark/>
          </w:tcPr>
          <w:p w:rsidR="00513BED" w:rsidRPr="00847CCC" w:rsidRDefault="00993FA6"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30.4</w:t>
            </w:r>
          </w:p>
        </w:tc>
      </w:tr>
      <w:tr w:rsidR="00513BED" w:rsidRPr="00847CCC" w:rsidTr="00587AD8">
        <w:trPr>
          <w:trHeight w:val="288"/>
          <w:jc w:val="right"/>
        </w:trPr>
        <w:tc>
          <w:tcPr>
            <w:tcW w:w="3402" w:type="dxa"/>
            <w:shd w:val="clear" w:color="auto" w:fill="auto"/>
            <w:noWrap/>
            <w:hideMark/>
          </w:tcPr>
          <w:p w:rsidR="00513BED" w:rsidRPr="00847CCC" w:rsidRDefault="00513BED"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No evidence provided</w:t>
            </w:r>
          </w:p>
        </w:tc>
        <w:tc>
          <w:tcPr>
            <w:tcW w:w="847" w:type="dxa"/>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35.2</w:t>
            </w:r>
          </w:p>
        </w:tc>
        <w:tc>
          <w:tcPr>
            <w:tcW w:w="960" w:type="dxa"/>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34.3</w:t>
            </w:r>
          </w:p>
        </w:tc>
        <w:tc>
          <w:tcPr>
            <w:tcW w:w="887" w:type="dxa"/>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36.5</w:t>
            </w:r>
          </w:p>
        </w:tc>
        <w:tc>
          <w:tcPr>
            <w:tcW w:w="992" w:type="dxa"/>
            <w:shd w:val="clear" w:color="auto" w:fill="auto"/>
            <w:noWrap/>
            <w:hideMark/>
          </w:tcPr>
          <w:p w:rsidR="00513BED" w:rsidRPr="00847CCC" w:rsidRDefault="00993FA6"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36.0</w:t>
            </w:r>
          </w:p>
        </w:tc>
      </w:tr>
      <w:tr w:rsidR="00513BED" w:rsidRPr="00847CCC" w:rsidTr="00587AD8">
        <w:trPr>
          <w:trHeight w:val="288"/>
          <w:jc w:val="right"/>
        </w:trPr>
        <w:tc>
          <w:tcPr>
            <w:tcW w:w="3402" w:type="dxa"/>
            <w:shd w:val="clear" w:color="auto" w:fill="auto"/>
            <w:noWrap/>
            <w:hideMark/>
          </w:tcPr>
          <w:p w:rsidR="00513BED" w:rsidRPr="00847CCC" w:rsidRDefault="00513BED"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Not financially stable</w:t>
            </w:r>
          </w:p>
        </w:tc>
        <w:tc>
          <w:tcPr>
            <w:tcW w:w="847" w:type="dxa"/>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33.8</w:t>
            </w:r>
          </w:p>
        </w:tc>
        <w:tc>
          <w:tcPr>
            <w:tcW w:w="960" w:type="dxa"/>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24.6</w:t>
            </w:r>
          </w:p>
        </w:tc>
        <w:tc>
          <w:tcPr>
            <w:tcW w:w="887" w:type="dxa"/>
            <w:shd w:val="clear" w:color="auto" w:fill="auto"/>
            <w:noWrap/>
            <w:hideMark/>
          </w:tcPr>
          <w:p w:rsidR="00513BED" w:rsidRPr="00847CCC" w:rsidRDefault="00513BED" w:rsidP="00F86003">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13.0</w:t>
            </w:r>
          </w:p>
        </w:tc>
        <w:tc>
          <w:tcPr>
            <w:tcW w:w="992" w:type="dxa"/>
            <w:shd w:val="clear" w:color="auto" w:fill="auto"/>
            <w:noWrap/>
            <w:hideMark/>
          </w:tcPr>
          <w:p w:rsidR="00513BED" w:rsidRPr="00847CCC" w:rsidRDefault="00993FA6"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11.8</w:t>
            </w:r>
          </w:p>
        </w:tc>
      </w:tr>
      <w:tr w:rsidR="00513BED" w:rsidRPr="00847CCC" w:rsidTr="00587AD8">
        <w:trPr>
          <w:trHeight w:val="288"/>
          <w:jc w:val="right"/>
        </w:trPr>
        <w:tc>
          <w:tcPr>
            <w:tcW w:w="3402" w:type="dxa"/>
            <w:shd w:val="clear" w:color="auto" w:fill="auto"/>
            <w:noWrap/>
            <w:hideMark/>
          </w:tcPr>
          <w:p w:rsidR="00513BED" w:rsidRPr="00847CCC" w:rsidRDefault="00513BED"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Not a full-time student</w:t>
            </w:r>
          </w:p>
        </w:tc>
        <w:tc>
          <w:tcPr>
            <w:tcW w:w="847" w:type="dxa"/>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2.3</w:t>
            </w:r>
          </w:p>
        </w:tc>
        <w:tc>
          <w:tcPr>
            <w:tcW w:w="960" w:type="dxa"/>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0.9</w:t>
            </w:r>
          </w:p>
        </w:tc>
        <w:tc>
          <w:tcPr>
            <w:tcW w:w="887" w:type="dxa"/>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0.8</w:t>
            </w:r>
          </w:p>
        </w:tc>
        <w:tc>
          <w:tcPr>
            <w:tcW w:w="992" w:type="dxa"/>
            <w:shd w:val="clear" w:color="auto" w:fill="auto"/>
            <w:noWrap/>
            <w:hideMark/>
          </w:tcPr>
          <w:p w:rsidR="00513BED" w:rsidRPr="00847CCC" w:rsidRDefault="00993FA6"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0.6</w:t>
            </w:r>
          </w:p>
        </w:tc>
      </w:tr>
      <w:tr w:rsidR="00513BED" w:rsidRPr="00847CCC" w:rsidTr="00587AD8">
        <w:trPr>
          <w:trHeight w:val="288"/>
          <w:jc w:val="right"/>
        </w:trPr>
        <w:tc>
          <w:tcPr>
            <w:tcW w:w="3402" w:type="dxa"/>
            <w:shd w:val="clear" w:color="auto" w:fill="auto"/>
            <w:noWrap/>
            <w:hideMark/>
          </w:tcPr>
          <w:p w:rsidR="00513BED" w:rsidRPr="00847CCC" w:rsidRDefault="00513BED"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Not in regular paid employment</w:t>
            </w:r>
          </w:p>
        </w:tc>
        <w:tc>
          <w:tcPr>
            <w:tcW w:w="847" w:type="dxa"/>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7.2</w:t>
            </w:r>
          </w:p>
        </w:tc>
        <w:tc>
          <w:tcPr>
            <w:tcW w:w="960" w:type="dxa"/>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6.2</w:t>
            </w:r>
          </w:p>
        </w:tc>
        <w:tc>
          <w:tcPr>
            <w:tcW w:w="887" w:type="dxa"/>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5.7</w:t>
            </w:r>
          </w:p>
        </w:tc>
        <w:tc>
          <w:tcPr>
            <w:tcW w:w="992" w:type="dxa"/>
            <w:shd w:val="clear" w:color="auto" w:fill="auto"/>
            <w:noWrap/>
            <w:hideMark/>
          </w:tcPr>
          <w:p w:rsidR="00513BED" w:rsidRPr="00847CCC" w:rsidRDefault="00993FA6"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5.2</w:t>
            </w:r>
          </w:p>
        </w:tc>
      </w:tr>
      <w:tr w:rsidR="00513BED" w:rsidRPr="00847CCC" w:rsidTr="00587AD8">
        <w:trPr>
          <w:trHeight w:val="288"/>
          <w:jc w:val="right"/>
        </w:trPr>
        <w:tc>
          <w:tcPr>
            <w:tcW w:w="3402" w:type="dxa"/>
            <w:shd w:val="clear" w:color="auto" w:fill="auto"/>
            <w:noWrap/>
            <w:hideMark/>
          </w:tcPr>
          <w:p w:rsidR="00513BED" w:rsidRPr="00847CCC" w:rsidRDefault="00513BED"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Does not meet specified class exemption</w:t>
            </w:r>
          </w:p>
        </w:tc>
        <w:tc>
          <w:tcPr>
            <w:tcW w:w="847" w:type="dxa"/>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0.0</w:t>
            </w:r>
          </w:p>
        </w:tc>
        <w:tc>
          <w:tcPr>
            <w:tcW w:w="960" w:type="dxa"/>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0.0</w:t>
            </w:r>
          </w:p>
        </w:tc>
        <w:tc>
          <w:tcPr>
            <w:tcW w:w="887" w:type="dxa"/>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0.2</w:t>
            </w:r>
          </w:p>
        </w:tc>
        <w:tc>
          <w:tcPr>
            <w:tcW w:w="992" w:type="dxa"/>
            <w:shd w:val="clear" w:color="auto" w:fill="auto"/>
            <w:noWrap/>
            <w:hideMark/>
          </w:tcPr>
          <w:p w:rsidR="00513BED" w:rsidRPr="00847CCC" w:rsidRDefault="00993FA6"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0.1</w:t>
            </w:r>
          </w:p>
        </w:tc>
      </w:tr>
      <w:tr w:rsidR="00513BED" w:rsidRPr="00847CCC" w:rsidTr="00587AD8">
        <w:trPr>
          <w:trHeight w:val="288"/>
          <w:jc w:val="right"/>
        </w:trPr>
        <w:tc>
          <w:tcPr>
            <w:tcW w:w="3402" w:type="dxa"/>
            <w:shd w:val="clear" w:color="auto" w:fill="auto"/>
            <w:noWrap/>
            <w:hideMark/>
          </w:tcPr>
          <w:p w:rsidR="00513BED" w:rsidRPr="00847CCC" w:rsidRDefault="00513BED"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Unacceptable evidence</w:t>
            </w:r>
          </w:p>
        </w:tc>
        <w:tc>
          <w:tcPr>
            <w:tcW w:w="847" w:type="dxa"/>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8.0</w:t>
            </w:r>
          </w:p>
        </w:tc>
        <w:tc>
          <w:tcPr>
            <w:tcW w:w="960" w:type="dxa"/>
            <w:shd w:val="clear" w:color="auto" w:fill="auto"/>
            <w:noWrap/>
            <w:hideMark/>
          </w:tcPr>
          <w:p w:rsidR="00513BED" w:rsidRPr="00847CCC" w:rsidRDefault="00513BED" w:rsidP="00F86003">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10.5</w:t>
            </w:r>
          </w:p>
        </w:tc>
        <w:tc>
          <w:tcPr>
            <w:tcW w:w="887" w:type="dxa"/>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10.6</w:t>
            </w:r>
          </w:p>
        </w:tc>
        <w:tc>
          <w:tcPr>
            <w:tcW w:w="992" w:type="dxa"/>
            <w:shd w:val="clear" w:color="auto" w:fill="auto"/>
            <w:noWrap/>
            <w:hideMark/>
          </w:tcPr>
          <w:p w:rsidR="00513BED" w:rsidRPr="00847CCC" w:rsidRDefault="00993FA6"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11.8</w:t>
            </w:r>
          </w:p>
        </w:tc>
      </w:tr>
      <w:tr w:rsidR="00513BED" w:rsidRPr="00847CCC" w:rsidTr="00587AD8">
        <w:trPr>
          <w:trHeight w:val="288"/>
          <w:jc w:val="right"/>
        </w:trPr>
        <w:tc>
          <w:tcPr>
            <w:tcW w:w="3402" w:type="dxa"/>
            <w:shd w:val="clear" w:color="auto" w:fill="auto"/>
            <w:noWrap/>
            <w:hideMark/>
          </w:tcPr>
          <w:p w:rsidR="00513BED" w:rsidRPr="00847CCC" w:rsidRDefault="00513BED" w:rsidP="008861DE">
            <w:pPr>
              <w:keepNext/>
              <w:keepLines/>
              <w:spacing w:after="0" w:line="240" w:lineRule="auto"/>
              <w:ind w:left="0"/>
              <w:jc w:val="left"/>
              <w:rPr>
                <w:rFonts w:cs="Arial"/>
                <w:color w:val="000000"/>
                <w:sz w:val="16"/>
                <w:szCs w:val="16"/>
                <w:lang w:eastAsia="en-AU" w:bidi="ar-SA"/>
              </w:rPr>
            </w:pPr>
          </w:p>
        </w:tc>
        <w:tc>
          <w:tcPr>
            <w:tcW w:w="847" w:type="dxa"/>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p>
        </w:tc>
        <w:tc>
          <w:tcPr>
            <w:tcW w:w="960" w:type="dxa"/>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p>
        </w:tc>
        <w:tc>
          <w:tcPr>
            <w:tcW w:w="887" w:type="dxa"/>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p>
        </w:tc>
        <w:tc>
          <w:tcPr>
            <w:tcW w:w="992" w:type="dxa"/>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p>
        </w:tc>
      </w:tr>
      <w:tr w:rsidR="00513BED" w:rsidRPr="00847CCC" w:rsidTr="00587AD8">
        <w:trPr>
          <w:trHeight w:val="288"/>
          <w:jc w:val="right"/>
        </w:trPr>
        <w:tc>
          <w:tcPr>
            <w:tcW w:w="3402" w:type="dxa"/>
            <w:tcBorders>
              <w:bottom w:val="single" w:sz="4" w:space="0" w:color="auto"/>
            </w:tcBorders>
            <w:shd w:val="clear" w:color="auto" w:fill="auto"/>
            <w:noWrap/>
            <w:hideMark/>
          </w:tcPr>
          <w:p w:rsidR="00513BED" w:rsidRPr="00847CCC" w:rsidRDefault="00513BED"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Total</w:t>
            </w:r>
          </w:p>
        </w:tc>
        <w:tc>
          <w:tcPr>
            <w:tcW w:w="847" w:type="dxa"/>
            <w:tcBorders>
              <w:bottom w:val="single" w:sz="4" w:space="0" w:color="auto"/>
            </w:tcBorders>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100.0</w:t>
            </w:r>
          </w:p>
        </w:tc>
        <w:tc>
          <w:tcPr>
            <w:tcW w:w="960" w:type="dxa"/>
            <w:tcBorders>
              <w:bottom w:val="single" w:sz="4" w:space="0" w:color="auto"/>
            </w:tcBorders>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100.0</w:t>
            </w:r>
          </w:p>
        </w:tc>
        <w:tc>
          <w:tcPr>
            <w:tcW w:w="887" w:type="dxa"/>
            <w:tcBorders>
              <w:bottom w:val="single" w:sz="4" w:space="0" w:color="auto"/>
            </w:tcBorders>
            <w:shd w:val="clear" w:color="auto" w:fill="auto"/>
            <w:noWrap/>
            <w:hideMark/>
          </w:tcPr>
          <w:p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100.0</w:t>
            </w:r>
          </w:p>
        </w:tc>
        <w:tc>
          <w:tcPr>
            <w:tcW w:w="992" w:type="dxa"/>
            <w:tcBorders>
              <w:bottom w:val="single" w:sz="4" w:space="0" w:color="auto"/>
            </w:tcBorders>
            <w:shd w:val="clear" w:color="auto" w:fill="auto"/>
            <w:noWrap/>
            <w:hideMark/>
          </w:tcPr>
          <w:p w:rsidR="00513BED" w:rsidRPr="00847CCC" w:rsidRDefault="00993FA6"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100.0</w:t>
            </w:r>
          </w:p>
        </w:tc>
      </w:tr>
    </w:tbl>
    <w:p w:rsidR="000E062E" w:rsidRDefault="00267BF5" w:rsidP="00CF78DB">
      <w:pPr>
        <w:pStyle w:val="tablefootnotes"/>
      </w:pPr>
      <w:r>
        <w:t>Note:</w:t>
      </w:r>
      <w:r>
        <w:tab/>
      </w:r>
      <w:r w:rsidRPr="00267BF5">
        <w:t>The population for each column is those who were on income management at that date and who had received at least one rejection of exemption in the past. The table shows the most recent reason for rejection.</w:t>
      </w:r>
    </w:p>
    <w:p w:rsidR="008861DE" w:rsidRPr="005911E2" w:rsidRDefault="008861DE" w:rsidP="00CF78DB">
      <w:pPr>
        <w:pStyle w:val="tablefootnotes"/>
      </w:pPr>
      <w:r w:rsidRPr="005911E2">
        <w:t xml:space="preserve">Source: </w:t>
      </w:r>
      <w:r w:rsidR="005320C5" w:rsidRPr="005911E2">
        <w:tab/>
      </w:r>
      <w:r w:rsidRPr="005911E2">
        <w:t xml:space="preserve">Derived from Centrelink </w:t>
      </w:r>
      <w:r w:rsidR="00F878E4">
        <w:t>income management</w:t>
      </w:r>
      <w:r w:rsidRPr="005911E2">
        <w:t xml:space="preserve"> &amp; IS/FTB datasets. </w:t>
      </w:r>
    </w:p>
    <w:p w:rsidR="008861DE" w:rsidRPr="005911E2" w:rsidRDefault="008861DE" w:rsidP="00CF78DB">
      <w:pPr>
        <w:pStyle w:val="tablefootnotes"/>
      </w:pPr>
    </w:p>
    <w:p w:rsidR="008861DE" w:rsidRPr="005911E2" w:rsidRDefault="008861DE" w:rsidP="00AA1750">
      <w:r w:rsidRPr="005911E2">
        <w:t>The proportion of exemptions rejected because of a lack of evidence or because of unacceptable evidence has remained in the mid 40s over most of the period.</w:t>
      </w:r>
    </w:p>
    <w:p w:rsidR="008861DE" w:rsidRPr="005911E2" w:rsidRDefault="008861DE" w:rsidP="00616B0F">
      <w:pPr>
        <w:pStyle w:val="Heading2"/>
      </w:pPr>
      <w:bookmarkStart w:id="695" w:name="_Toc321225142"/>
      <w:bookmarkStart w:id="696" w:name="_Toc321254485"/>
      <w:bookmarkStart w:id="697" w:name="_Toc328601510"/>
      <w:bookmarkStart w:id="698" w:name="_Toc329870391"/>
      <w:bookmarkStart w:id="699" w:name="_Toc335915777"/>
      <w:r w:rsidRPr="005911E2">
        <w:t>Who obtains exemptions</w:t>
      </w:r>
      <w:bookmarkEnd w:id="695"/>
      <w:bookmarkEnd w:id="696"/>
      <w:bookmarkEnd w:id="697"/>
      <w:bookmarkEnd w:id="698"/>
      <w:bookmarkEnd w:id="699"/>
    </w:p>
    <w:p w:rsidR="008861DE" w:rsidRPr="005911E2" w:rsidRDefault="008861DE" w:rsidP="00AA1750">
      <w:r w:rsidRPr="005911E2">
        <w:t>The following section considers the characteristics of those who have sought and obtained exemptions</w:t>
      </w:r>
      <w:r w:rsidR="001F6CF5" w:rsidRPr="005911E2">
        <w:t>.</w:t>
      </w:r>
    </w:p>
    <w:p w:rsidR="008861DE" w:rsidRPr="005911E2" w:rsidRDefault="008861DE" w:rsidP="00BD6DFD">
      <w:pPr>
        <w:pStyle w:val="Heading3"/>
      </w:pPr>
      <w:r w:rsidRPr="005911E2">
        <w:t>By program initiative</w:t>
      </w:r>
    </w:p>
    <w:p w:rsidR="008861DE" w:rsidRPr="005911E2" w:rsidRDefault="008861DE" w:rsidP="00AA1750">
      <w:r w:rsidRPr="005911E2">
        <w:t xml:space="preserve">Those persons subject to the Disengaged Youth initiative were more likely to have sought and been successful in gaining an exemption from </w:t>
      </w:r>
      <w:r w:rsidR="00F878E4">
        <w:t>income management</w:t>
      </w:r>
      <w:r w:rsidRPr="005911E2">
        <w:t xml:space="preserve">. </w:t>
      </w:r>
    </w:p>
    <w:p w:rsidR="008861DE" w:rsidRPr="005911E2" w:rsidRDefault="008861DE" w:rsidP="00AA1750">
      <w:r w:rsidRPr="005911E2">
        <w:t xml:space="preserve">As illustrated in </w:t>
      </w:r>
      <w:r w:rsidR="008476E4" w:rsidRPr="005911E2">
        <w:t>Table 8</w:t>
      </w:r>
      <w:r w:rsidR="008476E4" w:rsidRPr="005911E2">
        <w:noBreakHyphen/>
        <w:t>5</w:t>
      </w:r>
      <w:r w:rsidRPr="005911E2">
        <w:t xml:space="preserve">, of the population on </w:t>
      </w:r>
      <w:r w:rsidR="00F878E4">
        <w:t>income management</w:t>
      </w:r>
      <w:r w:rsidR="003075CB">
        <w:t xml:space="preserve"> or with an exemption</w:t>
      </w:r>
      <w:r w:rsidRPr="005911E2">
        <w:t xml:space="preserve"> in October 2011, 9.</w:t>
      </w:r>
      <w:r w:rsidR="00D765F5" w:rsidRPr="005911E2">
        <w:t>6</w:t>
      </w:r>
      <w:r w:rsidRPr="005911E2">
        <w:t xml:space="preserve"> per cent of disengaged youth have exemptions, in comparison to </w:t>
      </w:r>
      <w:r w:rsidR="00D765F5" w:rsidRPr="005911E2">
        <w:t xml:space="preserve">11.5 </w:t>
      </w:r>
      <w:r w:rsidRPr="005911E2">
        <w:t xml:space="preserve">per cent of those who are </w:t>
      </w:r>
      <w:r w:rsidR="00E04125">
        <w:t xml:space="preserve">subject to the </w:t>
      </w:r>
      <w:r w:rsidR="00D3222D">
        <w:t>Long-Term</w:t>
      </w:r>
      <w:r w:rsidRPr="005911E2">
        <w:t xml:space="preserve"> Welfare</w:t>
      </w:r>
      <w:r w:rsidR="00D3222D">
        <w:t xml:space="preserve"> Payment Recipients measure</w:t>
      </w:r>
      <w:r w:rsidRPr="005911E2">
        <w:t>.</w:t>
      </w:r>
    </w:p>
    <w:p w:rsidR="008861DE" w:rsidRPr="005911E2" w:rsidRDefault="008861DE" w:rsidP="00AA1750">
      <w:pPr>
        <w:pStyle w:val="tabfighead"/>
      </w:pPr>
      <w:bookmarkStart w:id="700" w:name="_Ref321078454"/>
      <w:bookmarkStart w:id="701" w:name="_Toc321430438"/>
      <w:bookmarkStart w:id="702" w:name="_Toc321254557"/>
      <w:bookmarkStart w:id="703" w:name="_Toc328601605"/>
      <w:bookmarkStart w:id="704" w:name="_Toc329051383"/>
      <w:bookmarkStart w:id="705" w:name="_Toc335915871"/>
      <w:r w:rsidRPr="005911E2">
        <w:t xml:space="preserve">Table </w:t>
      </w:r>
      <w:r w:rsidR="00C7347D" w:rsidRPr="005911E2">
        <w:fldChar w:fldCharType="begin"/>
      </w:r>
      <w:r w:rsidR="00EF6BC6" w:rsidRPr="005911E2">
        <w:instrText xml:space="preserve"> STYLEREF 1 \s </w:instrText>
      </w:r>
      <w:r w:rsidR="00C7347D" w:rsidRPr="005911E2">
        <w:fldChar w:fldCharType="separate"/>
      </w:r>
      <w:r w:rsidR="007D7E45">
        <w:rPr>
          <w:noProof/>
        </w:rPr>
        <w:t>8</w:t>
      </w:r>
      <w:r w:rsidR="00C7347D" w:rsidRPr="005911E2">
        <w:fldChar w:fldCharType="end"/>
      </w:r>
      <w:r w:rsidR="00EF6BC6" w:rsidRPr="005911E2">
        <w:noBreakHyphen/>
      </w:r>
      <w:r w:rsidR="00C7347D" w:rsidRPr="005911E2">
        <w:fldChar w:fldCharType="begin"/>
      </w:r>
      <w:r w:rsidR="00EF6BC6" w:rsidRPr="005911E2">
        <w:instrText xml:space="preserve"> SEQ Table \* ARABIC \s 1 </w:instrText>
      </w:r>
      <w:r w:rsidR="00C7347D" w:rsidRPr="005911E2">
        <w:fldChar w:fldCharType="separate"/>
      </w:r>
      <w:r w:rsidR="007D7E45">
        <w:rPr>
          <w:noProof/>
        </w:rPr>
        <w:t>5</w:t>
      </w:r>
      <w:r w:rsidR="00C7347D" w:rsidRPr="005911E2">
        <w:fldChar w:fldCharType="end"/>
      </w:r>
      <w:bookmarkEnd w:id="700"/>
      <w:r w:rsidRPr="005911E2">
        <w:tab/>
        <w:t>Applications for and granting of exemptions by initiative type, October 2011</w:t>
      </w:r>
      <w:bookmarkEnd w:id="701"/>
      <w:bookmarkEnd w:id="702"/>
      <w:bookmarkEnd w:id="703"/>
      <w:bookmarkEnd w:id="704"/>
      <w:bookmarkEnd w:id="705"/>
    </w:p>
    <w:tbl>
      <w:tblPr>
        <w:tblW w:w="0" w:type="auto"/>
        <w:tblInd w:w="1803" w:type="dxa"/>
        <w:tblLayout w:type="fixed"/>
        <w:tblLook w:val="0000" w:firstRow="0" w:lastRow="0" w:firstColumn="0" w:lastColumn="0" w:noHBand="0" w:noVBand="0"/>
      </w:tblPr>
      <w:tblGrid>
        <w:gridCol w:w="3267"/>
        <w:gridCol w:w="1134"/>
        <w:gridCol w:w="1275"/>
        <w:gridCol w:w="851"/>
      </w:tblGrid>
      <w:tr w:rsidR="00D765F5" w:rsidRPr="00847CCC" w:rsidTr="00AC72FE">
        <w:trPr>
          <w:trHeight w:val="290"/>
        </w:trPr>
        <w:tc>
          <w:tcPr>
            <w:tcW w:w="3267" w:type="dxa"/>
            <w:tcBorders>
              <w:top w:val="single" w:sz="4" w:space="0" w:color="auto"/>
              <w:left w:val="nil"/>
              <w:bottom w:val="single" w:sz="4" w:space="0" w:color="auto"/>
              <w:right w:val="nil"/>
            </w:tcBorders>
          </w:tcPr>
          <w:p w:rsidR="00D765F5" w:rsidRPr="00847CCC" w:rsidRDefault="00D765F5" w:rsidP="00587AD8">
            <w:pPr>
              <w:pStyle w:val="braytabletext"/>
              <w:rPr>
                <w:szCs w:val="16"/>
              </w:rPr>
            </w:pPr>
          </w:p>
        </w:tc>
        <w:tc>
          <w:tcPr>
            <w:tcW w:w="1134" w:type="dxa"/>
            <w:tcBorders>
              <w:top w:val="single" w:sz="4" w:space="0" w:color="auto"/>
              <w:left w:val="nil"/>
              <w:bottom w:val="single" w:sz="4" w:space="0" w:color="auto"/>
              <w:right w:val="nil"/>
            </w:tcBorders>
          </w:tcPr>
          <w:p w:rsidR="00D765F5" w:rsidRPr="00847CCC" w:rsidRDefault="00D765F5" w:rsidP="00D765F5">
            <w:pPr>
              <w:pStyle w:val="braytabletext"/>
              <w:jc w:val="right"/>
              <w:rPr>
                <w:szCs w:val="16"/>
              </w:rPr>
            </w:pPr>
            <w:r w:rsidRPr="00847CCC">
              <w:rPr>
                <w:szCs w:val="16"/>
              </w:rPr>
              <w:t>Disengaged Youth</w:t>
            </w:r>
          </w:p>
        </w:tc>
        <w:tc>
          <w:tcPr>
            <w:tcW w:w="1275" w:type="dxa"/>
            <w:tcBorders>
              <w:top w:val="single" w:sz="4" w:space="0" w:color="auto"/>
              <w:left w:val="nil"/>
              <w:bottom w:val="single" w:sz="4" w:space="0" w:color="auto"/>
              <w:right w:val="nil"/>
            </w:tcBorders>
          </w:tcPr>
          <w:p w:rsidR="00D765F5" w:rsidRPr="00847CCC" w:rsidRDefault="00D3222D" w:rsidP="00D3222D">
            <w:pPr>
              <w:pStyle w:val="braytabletext"/>
              <w:jc w:val="right"/>
              <w:rPr>
                <w:szCs w:val="16"/>
              </w:rPr>
            </w:pPr>
            <w:r w:rsidRPr="00847CCC">
              <w:rPr>
                <w:szCs w:val="16"/>
              </w:rPr>
              <w:t>Long-Term</w:t>
            </w:r>
            <w:r w:rsidR="00D765F5" w:rsidRPr="00847CCC">
              <w:rPr>
                <w:szCs w:val="16"/>
              </w:rPr>
              <w:t xml:space="preserve"> Welfare </w:t>
            </w:r>
            <w:r w:rsidRPr="00847CCC">
              <w:rPr>
                <w:szCs w:val="16"/>
              </w:rPr>
              <w:t>Payment Recipient</w:t>
            </w:r>
          </w:p>
        </w:tc>
        <w:tc>
          <w:tcPr>
            <w:tcW w:w="851" w:type="dxa"/>
            <w:tcBorders>
              <w:top w:val="single" w:sz="4" w:space="0" w:color="auto"/>
              <w:left w:val="nil"/>
              <w:bottom w:val="single" w:sz="4" w:space="0" w:color="auto"/>
              <w:right w:val="nil"/>
            </w:tcBorders>
          </w:tcPr>
          <w:p w:rsidR="00D765F5" w:rsidRPr="00847CCC" w:rsidRDefault="00D765F5" w:rsidP="00267BF5">
            <w:pPr>
              <w:pStyle w:val="braytabletext"/>
              <w:jc w:val="right"/>
              <w:rPr>
                <w:szCs w:val="16"/>
              </w:rPr>
            </w:pPr>
            <w:r w:rsidRPr="00847CCC">
              <w:rPr>
                <w:szCs w:val="16"/>
              </w:rPr>
              <w:t xml:space="preserve">Total </w:t>
            </w:r>
          </w:p>
        </w:tc>
      </w:tr>
      <w:tr w:rsidR="00D765F5" w:rsidRPr="00847CCC" w:rsidTr="00AC72FE">
        <w:trPr>
          <w:trHeight w:val="290"/>
        </w:trPr>
        <w:tc>
          <w:tcPr>
            <w:tcW w:w="3267" w:type="dxa"/>
            <w:tcBorders>
              <w:top w:val="single" w:sz="4" w:space="0" w:color="auto"/>
              <w:left w:val="nil"/>
              <w:bottom w:val="nil"/>
              <w:right w:val="nil"/>
            </w:tcBorders>
          </w:tcPr>
          <w:p w:rsidR="00D765F5" w:rsidRPr="00847CCC" w:rsidRDefault="00D765F5" w:rsidP="00D765F5">
            <w:pPr>
              <w:pStyle w:val="braytabletext"/>
              <w:rPr>
                <w:szCs w:val="16"/>
              </w:rPr>
            </w:pPr>
            <w:r w:rsidRPr="00847CCC">
              <w:rPr>
                <w:szCs w:val="16"/>
              </w:rPr>
              <w:t>Potential compulsory</w:t>
            </w:r>
          </w:p>
        </w:tc>
        <w:tc>
          <w:tcPr>
            <w:tcW w:w="1134" w:type="dxa"/>
            <w:tcBorders>
              <w:top w:val="single" w:sz="4" w:space="0" w:color="auto"/>
              <w:left w:val="nil"/>
              <w:bottom w:val="nil"/>
              <w:right w:val="nil"/>
            </w:tcBorders>
          </w:tcPr>
          <w:p w:rsidR="00D765F5" w:rsidRPr="00847CCC" w:rsidRDefault="00D765F5" w:rsidP="00D765F5">
            <w:pPr>
              <w:pStyle w:val="braytabletext"/>
              <w:jc w:val="right"/>
              <w:rPr>
                <w:szCs w:val="16"/>
              </w:rPr>
            </w:pPr>
          </w:p>
        </w:tc>
        <w:tc>
          <w:tcPr>
            <w:tcW w:w="1275" w:type="dxa"/>
            <w:tcBorders>
              <w:top w:val="single" w:sz="4" w:space="0" w:color="auto"/>
              <w:left w:val="nil"/>
              <w:bottom w:val="nil"/>
              <w:right w:val="nil"/>
            </w:tcBorders>
          </w:tcPr>
          <w:p w:rsidR="00D765F5" w:rsidRPr="00847CCC" w:rsidRDefault="00D765F5" w:rsidP="00D765F5">
            <w:pPr>
              <w:pStyle w:val="braytabletext"/>
              <w:jc w:val="right"/>
              <w:rPr>
                <w:szCs w:val="16"/>
              </w:rPr>
            </w:pPr>
          </w:p>
        </w:tc>
        <w:tc>
          <w:tcPr>
            <w:tcW w:w="851" w:type="dxa"/>
            <w:tcBorders>
              <w:top w:val="single" w:sz="4" w:space="0" w:color="auto"/>
              <w:left w:val="nil"/>
              <w:bottom w:val="nil"/>
              <w:right w:val="nil"/>
            </w:tcBorders>
          </w:tcPr>
          <w:p w:rsidR="00D765F5" w:rsidRPr="00847CCC" w:rsidRDefault="00D765F5" w:rsidP="00D765F5">
            <w:pPr>
              <w:pStyle w:val="braytabletext"/>
              <w:jc w:val="right"/>
              <w:rPr>
                <w:szCs w:val="16"/>
              </w:rPr>
            </w:pPr>
          </w:p>
        </w:tc>
      </w:tr>
      <w:tr w:rsidR="008C0374" w:rsidRPr="00847CCC" w:rsidTr="00AC72FE">
        <w:trPr>
          <w:trHeight w:val="290"/>
        </w:trPr>
        <w:tc>
          <w:tcPr>
            <w:tcW w:w="3267" w:type="dxa"/>
          </w:tcPr>
          <w:p w:rsidR="008C0374" w:rsidRPr="00847CCC" w:rsidRDefault="008C0374" w:rsidP="00357105">
            <w:pPr>
              <w:pStyle w:val="braytabletext"/>
              <w:rPr>
                <w:szCs w:val="16"/>
              </w:rPr>
            </w:pPr>
            <w:r w:rsidRPr="00847CCC">
              <w:rPr>
                <w:szCs w:val="16"/>
              </w:rPr>
              <w:t>CIM no applic</w:t>
            </w:r>
            <w:r w:rsidR="00357105" w:rsidRPr="00847CCC">
              <w:rPr>
                <w:szCs w:val="16"/>
              </w:rPr>
              <w:t>ation</w:t>
            </w:r>
            <w:r w:rsidRPr="00847CCC">
              <w:rPr>
                <w:szCs w:val="16"/>
              </w:rPr>
              <w:t xml:space="preserve"> for exemption</w:t>
            </w:r>
          </w:p>
        </w:tc>
        <w:tc>
          <w:tcPr>
            <w:tcW w:w="1134" w:type="dxa"/>
            <w:vAlign w:val="bottom"/>
          </w:tcPr>
          <w:p w:rsidR="008C0374" w:rsidRPr="00847CCC" w:rsidRDefault="00993FA6" w:rsidP="000238F6">
            <w:pPr>
              <w:pStyle w:val="braytabletext"/>
              <w:jc w:val="right"/>
              <w:rPr>
                <w:szCs w:val="16"/>
              </w:rPr>
            </w:pPr>
            <w:r w:rsidRPr="00847CCC">
              <w:rPr>
                <w:szCs w:val="16"/>
              </w:rPr>
              <w:t>3</w:t>
            </w:r>
            <w:r w:rsidR="00267BF5" w:rsidRPr="00847CCC">
              <w:rPr>
                <w:szCs w:val="16"/>
              </w:rPr>
              <w:t> </w:t>
            </w:r>
            <w:r w:rsidRPr="00847CCC">
              <w:rPr>
                <w:szCs w:val="16"/>
              </w:rPr>
              <w:t>880</w:t>
            </w:r>
          </w:p>
        </w:tc>
        <w:tc>
          <w:tcPr>
            <w:tcW w:w="1275" w:type="dxa"/>
            <w:vAlign w:val="bottom"/>
          </w:tcPr>
          <w:p w:rsidR="008C0374" w:rsidRPr="00847CCC" w:rsidRDefault="00993FA6" w:rsidP="000238F6">
            <w:pPr>
              <w:pStyle w:val="braytabletext"/>
              <w:jc w:val="right"/>
              <w:rPr>
                <w:szCs w:val="16"/>
              </w:rPr>
            </w:pPr>
            <w:r w:rsidRPr="00847CCC">
              <w:rPr>
                <w:szCs w:val="16"/>
              </w:rPr>
              <w:t>7</w:t>
            </w:r>
            <w:r w:rsidR="00267BF5" w:rsidRPr="00847CCC">
              <w:rPr>
                <w:szCs w:val="16"/>
              </w:rPr>
              <w:t> </w:t>
            </w:r>
            <w:r w:rsidRPr="00847CCC">
              <w:rPr>
                <w:szCs w:val="16"/>
              </w:rPr>
              <w:t>542</w:t>
            </w:r>
          </w:p>
        </w:tc>
        <w:tc>
          <w:tcPr>
            <w:tcW w:w="851" w:type="dxa"/>
            <w:vAlign w:val="bottom"/>
          </w:tcPr>
          <w:p w:rsidR="008C0374" w:rsidRPr="00847CCC" w:rsidRDefault="00993FA6" w:rsidP="000238F6">
            <w:pPr>
              <w:pStyle w:val="braytabletext"/>
              <w:jc w:val="right"/>
              <w:rPr>
                <w:szCs w:val="16"/>
              </w:rPr>
            </w:pPr>
            <w:r w:rsidRPr="00847CCC">
              <w:rPr>
                <w:szCs w:val="16"/>
              </w:rPr>
              <w:t>11</w:t>
            </w:r>
            <w:r w:rsidR="00267BF5" w:rsidRPr="00847CCC">
              <w:rPr>
                <w:szCs w:val="16"/>
              </w:rPr>
              <w:t> </w:t>
            </w:r>
            <w:r w:rsidRPr="00847CCC">
              <w:rPr>
                <w:szCs w:val="16"/>
              </w:rPr>
              <w:t>422</w:t>
            </w:r>
          </w:p>
        </w:tc>
      </w:tr>
      <w:tr w:rsidR="008C0374" w:rsidRPr="00847CCC" w:rsidTr="00AC72FE">
        <w:trPr>
          <w:trHeight w:val="290"/>
        </w:trPr>
        <w:tc>
          <w:tcPr>
            <w:tcW w:w="3267" w:type="dxa"/>
          </w:tcPr>
          <w:p w:rsidR="008C0374" w:rsidRPr="00847CCC" w:rsidRDefault="008C0374" w:rsidP="00D765F5">
            <w:pPr>
              <w:pStyle w:val="braytabletext"/>
              <w:rPr>
                <w:szCs w:val="16"/>
              </w:rPr>
            </w:pPr>
            <w:r w:rsidRPr="00847CCC">
              <w:rPr>
                <w:szCs w:val="16"/>
              </w:rPr>
              <w:t>CIM exemption rejected</w:t>
            </w:r>
          </w:p>
        </w:tc>
        <w:tc>
          <w:tcPr>
            <w:tcW w:w="1134" w:type="dxa"/>
            <w:vAlign w:val="bottom"/>
          </w:tcPr>
          <w:p w:rsidR="008C0374" w:rsidRPr="00847CCC" w:rsidRDefault="00993FA6" w:rsidP="00D765F5">
            <w:pPr>
              <w:pStyle w:val="braytabletext"/>
              <w:jc w:val="right"/>
              <w:rPr>
                <w:szCs w:val="16"/>
              </w:rPr>
            </w:pPr>
            <w:r w:rsidRPr="00847CCC">
              <w:rPr>
                <w:szCs w:val="16"/>
              </w:rPr>
              <w:t>222</w:t>
            </w:r>
          </w:p>
        </w:tc>
        <w:tc>
          <w:tcPr>
            <w:tcW w:w="1275" w:type="dxa"/>
            <w:vAlign w:val="bottom"/>
          </w:tcPr>
          <w:p w:rsidR="008C0374" w:rsidRPr="00847CCC" w:rsidRDefault="00993FA6" w:rsidP="00D765F5">
            <w:pPr>
              <w:pStyle w:val="braytabletext"/>
              <w:jc w:val="right"/>
              <w:rPr>
                <w:szCs w:val="16"/>
              </w:rPr>
            </w:pPr>
            <w:r w:rsidRPr="00847CCC">
              <w:rPr>
                <w:szCs w:val="16"/>
              </w:rPr>
              <w:t>930</w:t>
            </w:r>
          </w:p>
        </w:tc>
        <w:tc>
          <w:tcPr>
            <w:tcW w:w="851" w:type="dxa"/>
            <w:vAlign w:val="bottom"/>
          </w:tcPr>
          <w:p w:rsidR="008C0374" w:rsidRPr="00847CCC" w:rsidRDefault="00993FA6" w:rsidP="000238F6">
            <w:pPr>
              <w:pStyle w:val="braytabletext"/>
              <w:jc w:val="right"/>
              <w:rPr>
                <w:szCs w:val="16"/>
              </w:rPr>
            </w:pPr>
            <w:r w:rsidRPr="00847CCC">
              <w:rPr>
                <w:szCs w:val="16"/>
              </w:rPr>
              <w:t>1</w:t>
            </w:r>
            <w:r w:rsidR="00267BF5" w:rsidRPr="00847CCC">
              <w:rPr>
                <w:szCs w:val="16"/>
              </w:rPr>
              <w:t> </w:t>
            </w:r>
            <w:r w:rsidRPr="00847CCC">
              <w:rPr>
                <w:szCs w:val="16"/>
              </w:rPr>
              <w:t>152</w:t>
            </w:r>
          </w:p>
        </w:tc>
      </w:tr>
      <w:tr w:rsidR="008C0374" w:rsidRPr="00847CCC" w:rsidTr="00AC72FE">
        <w:trPr>
          <w:trHeight w:val="290"/>
        </w:trPr>
        <w:tc>
          <w:tcPr>
            <w:tcW w:w="3267" w:type="dxa"/>
          </w:tcPr>
          <w:p w:rsidR="008C0374" w:rsidRPr="00847CCC" w:rsidRDefault="008C0374" w:rsidP="00357105">
            <w:pPr>
              <w:pStyle w:val="braytabletext"/>
              <w:rPr>
                <w:szCs w:val="16"/>
              </w:rPr>
            </w:pPr>
            <w:r w:rsidRPr="00847CCC">
              <w:rPr>
                <w:szCs w:val="16"/>
              </w:rPr>
              <w:t>CIM applic</w:t>
            </w:r>
            <w:r w:rsidR="00357105" w:rsidRPr="00847CCC">
              <w:rPr>
                <w:szCs w:val="16"/>
              </w:rPr>
              <w:t>ation</w:t>
            </w:r>
            <w:r w:rsidRPr="00847CCC">
              <w:rPr>
                <w:szCs w:val="16"/>
              </w:rPr>
              <w:t xml:space="preserve"> for exempt</w:t>
            </w:r>
            <w:r w:rsidR="00357105" w:rsidRPr="00847CCC">
              <w:rPr>
                <w:szCs w:val="16"/>
              </w:rPr>
              <w:t>ion</w:t>
            </w:r>
            <w:r w:rsidRPr="00847CCC">
              <w:rPr>
                <w:szCs w:val="16"/>
              </w:rPr>
              <w:t xml:space="preserve"> withdrawn</w:t>
            </w:r>
          </w:p>
        </w:tc>
        <w:tc>
          <w:tcPr>
            <w:tcW w:w="1134" w:type="dxa"/>
            <w:vAlign w:val="bottom"/>
          </w:tcPr>
          <w:p w:rsidR="008C0374" w:rsidRPr="00847CCC" w:rsidRDefault="00C56AA3" w:rsidP="00D765F5">
            <w:pPr>
              <w:pStyle w:val="braytabletext"/>
              <w:jc w:val="right"/>
              <w:rPr>
                <w:szCs w:val="16"/>
              </w:rPr>
            </w:pPr>
            <w:r w:rsidRPr="00847CCC">
              <w:rPr>
                <w:szCs w:val="16"/>
              </w:rPr>
              <w:t>6</w:t>
            </w:r>
          </w:p>
        </w:tc>
        <w:tc>
          <w:tcPr>
            <w:tcW w:w="1275" w:type="dxa"/>
            <w:vAlign w:val="bottom"/>
          </w:tcPr>
          <w:p w:rsidR="008C0374" w:rsidRPr="00847CCC" w:rsidRDefault="00C56AA3" w:rsidP="00D765F5">
            <w:pPr>
              <w:pStyle w:val="braytabletext"/>
              <w:jc w:val="right"/>
              <w:rPr>
                <w:szCs w:val="16"/>
              </w:rPr>
            </w:pPr>
            <w:r w:rsidRPr="00847CCC">
              <w:rPr>
                <w:szCs w:val="16"/>
              </w:rPr>
              <w:t>71</w:t>
            </w:r>
          </w:p>
        </w:tc>
        <w:tc>
          <w:tcPr>
            <w:tcW w:w="851" w:type="dxa"/>
            <w:vAlign w:val="bottom"/>
          </w:tcPr>
          <w:p w:rsidR="008C0374" w:rsidRPr="00847CCC" w:rsidRDefault="00993FA6" w:rsidP="00D765F5">
            <w:pPr>
              <w:pStyle w:val="braytabletext"/>
              <w:jc w:val="right"/>
              <w:rPr>
                <w:szCs w:val="16"/>
              </w:rPr>
            </w:pPr>
            <w:r w:rsidRPr="00847CCC">
              <w:rPr>
                <w:szCs w:val="16"/>
              </w:rPr>
              <w:t>77</w:t>
            </w:r>
          </w:p>
        </w:tc>
      </w:tr>
      <w:tr w:rsidR="008C0374" w:rsidRPr="00847CCC" w:rsidTr="00AC72FE">
        <w:trPr>
          <w:trHeight w:val="290"/>
        </w:trPr>
        <w:tc>
          <w:tcPr>
            <w:tcW w:w="3267" w:type="dxa"/>
          </w:tcPr>
          <w:p w:rsidR="008C0374" w:rsidRPr="00847CCC" w:rsidRDefault="008C0374" w:rsidP="00D765F5">
            <w:pPr>
              <w:pStyle w:val="braytabletext"/>
              <w:rPr>
                <w:szCs w:val="16"/>
              </w:rPr>
            </w:pPr>
            <w:r w:rsidRPr="00847CCC">
              <w:rPr>
                <w:szCs w:val="16"/>
              </w:rPr>
              <w:t>On VIM has exemption</w:t>
            </w:r>
          </w:p>
        </w:tc>
        <w:tc>
          <w:tcPr>
            <w:tcW w:w="1134" w:type="dxa"/>
            <w:vAlign w:val="bottom"/>
          </w:tcPr>
          <w:p w:rsidR="008C0374" w:rsidRPr="00847CCC" w:rsidRDefault="00C56AA3" w:rsidP="00D765F5">
            <w:pPr>
              <w:pStyle w:val="braytabletext"/>
              <w:jc w:val="right"/>
              <w:rPr>
                <w:szCs w:val="16"/>
              </w:rPr>
            </w:pPr>
            <w:r w:rsidRPr="00847CCC">
              <w:rPr>
                <w:szCs w:val="16"/>
              </w:rPr>
              <w:t>5</w:t>
            </w:r>
          </w:p>
        </w:tc>
        <w:tc>
          <w:tcPr>
            <w:tcW w:w="1275" w:type="dxa"/>
            <w:vAlign w:val="bottom"/>
          </w:tcPr>
          <w:p w:rsidR="008C0374" w:rsidRPr="00847CCC" w:rsidRDefault="00C56AA3" w:rsidP="00D765F5">
            <w:pPr>
              <w:pStyle w:val="braytabletext"/>
              <w:jc w:val="right"/>
              <w:rPr>
                <w:szCs w:val="16"/>
              </w:rPr>
            </w:pPr>
            <w:r w:rsidRPr="00847CCC">
              <w:rPr>
                <w:szCs w:val="16"/>
              </w:rPr>
              <w:t>9</w:t>
            </w:r>
          </w:p>
        </w:tc>
        <w:tc>
          <w:tcPr>
            <w:tcW w:w="851" w:type="dxa"/>
            <w:vAlign w:val="bottom"/>
          </w:tcPr>
          <w:p w:rsidR="008C0374" w:rsidRPr="00847CCC" w:rsidRDefault="00993FA6" w:rsidP="00D765F5">
            <w:pPr>
              <w:pStyle w:val="braytabletext"/>
              <w:jc w:val="right"/>
              <w:rPr>
                <w:szCs w:val="16"/>
              </w:rPr>
            </w:pPr>
            <w:r w:rsidRPr="00847CCC">
              <w:rPr>
                <w:szCs w:val="16"/>
              </w:rPr>
              <w:t>14</w:t>
            </w:r>
          </w:p>
        </w:tc>
      </w:tr>
      <w:tr w:rsidR="008C0374" w:rsidRPr="00847CCC" w:rsidTr="00AC72FE">
        <w:trPr>
          <w:trHeight w:val="290"/>
        </w:trPr>
        <w:tc>
          <w:tcPr>
            <w:tcW w:w="3267" w:type="dxa"/>
          </w:tcPr>
          <w:p w:rsidR="008C0374" w:rsidRPr="00587AD8" w:rsidRDefault="008C0374" w:rsidP="00D765F5">
            <w:pPr>
              <w:pStyle w:val="braytabletext"/>
              <w:rPr>
                <w:i/>
                <w:szCs w:val="16"/>
              </w:rPr>
            </w:pPr>
            <w:r w:rsidRPr="00587AD8">
              <w:rPr>
                <w:i/>
                <w:szCs w:val="16"/>
              </w:rPr>
              <w:t>Total</w:t>
            </w:r>
          </w:p>
        </w:tc>
        <w:tc>
          <w:tcPr>
            <w:tcW w:w="1134" w:type="dxa"/>
            <w:vAlign w:val="bottom"/>
          </w:tcPr>
          <w:p w:rsidR="008C0374" w:rsidRPr="00587AD8" w:rsidRDefault="00993FA6" w:rsidP="000238F6">
            <w:pPr>
              <w:pStyle w:val="braytabletext"/>
              <w:jc w:val="right"/>
              <w:rPr>
                <w:i/>
                <w:szCs w:val="16"/>
              </w:rPr>
            </w:pPr>
            <w:r w:rsidRPr="00587AD8">
              <w:rPr>
                <w:i/>
                <w:szCs w:val="16"/>
              </w:rPr>
              <w:t>4</w:t>
            </w:r>
            <w:r w:rsidR="00267BF5" w:rsidRPr="00587AD8">
              <w:rPr>
                <w:i/>
                <w:szCs w:val="16"/>
              </w:rPr>
              <w:t> </w:t>
            </w:r>
            <w:r w:rsidRPr="00587AD8">
              <w:rPr>
                <w:i/>
                <w:szCs w:val="16"/>
              </w:rPr>
              <w:t>113</w:t>
            </w:r>
          </w:p>
        </w:tc>
        <w:tc>
          <w:tcPr>
            <w:tcW w:w="1275" w:type="dxa"/>
            <w:vAlign w:val="bottom"/>
          </w:tcPr>
          <w:p w:rsidR="008C0374" w:rsidRPr="00587AD8" w:rsidRDefault="00993FA6" w:rsidP="000238F6">
            <w:pPr>
              <w:pStyle w:val="braytabletext"/>
              <w:jc w:val="right"/>
              <w:rPr>
                <w:i/>
                <w:szCs w:val="16"/>
              </w:rPr>
            </w:pPr>
            <w:r w:rsidRPr="00587AD8">
              <w:rPr>
                <w:i/>
                <w:szCs w:val="16"/>
              </w:rPr>
              <w:t>8</w:t>
            </w:r>
            <w:r w:rsidR="00267BF5" w:rsidRPr="00587AD8">
              <w:rPr>
                <w:i/>
                <w:szCs w:val="16"/>
              </w:rPr>
              <w:t> </w:t>
            </w:r>
            <w:r w:rsidRPr="00587AD8">
              <w:rPr>
                <w:i/>
                <w:szCs w:val="16"/>
              </w:rPr>
              <w:t>552</w:t>
            </w:r>
          </w:p>
        </w:tc>
        <w:tc>
          <w:tcPr>
            <w:tcW w:w="851" w:type="dxa"/>
            <w:vAlign w:val="bottom"/>
          </w:tcPr>
          <w:p w:rsidR="008C0374" w:rsidRPr="00587AD8" w:rsidRDefault="00993FA6" w:rsidP="000238F6">
            <w:pPr>
              <w:pStyle w:val="braytabletext"/>
              <w:jc w:val="right"/>
              <w:rPr>
                <w:i/>
                <w:szCs w:val="16"/>
              </w:rPr>
            </w:pPr>
            <w:r w:rsidRPr="00587AD8">
              <w:rPr>
                <w:i/>
                <w:szCs w:val="16"/>
              </w:rPr>
              <w:t>12</w:t>
            </w:r>
            <w:r w:rsidR="00267BF5" w:rsidRPr="00587AD8">
              <w:rPr>
                <w:i/>
                <w:szCs w:val="16"/>
              </w:rPr>
              <w:t> </w:t>
            </w:r>
            <w:r w:rsidRPr="00587AD8">
              <w:rPr>
                <w:i/>
                <w:szCs w:val="16"/>
              </w:rPr>
              <w:t>665</w:t>
            </w:r>
          </w:p>
        </w:tc>
      </w:tr>
      <w:tr w:rsidR="008C0374" w:rsidRPr="00847CCC" w:rsidTr="00AC72FE">
        <w:trPr>
          <w:trHeight w:val="290"/>
        </w:trPr>
        <w:tc>
          <w:tcPr>
            <w:tcW w:w="3267" w:type="dxa"/>
          </w:tcPr>
          <w:p w:rsidR="008C0374" w:rsidRPr="00847CCC" w:rsidRDefault="008C0374" w:rsidP="00D765F5">
            <w:pPr>
              <w:pStyle w:val="braytabletext"/>
              <w:rPr>
                <w:szCs w:val="16"/>
              </w:rPr>
            </w:pPr>
            <w:r w:rsidRPr="00847CCC">
              <w:rPr>
                <w:szCs w:val="16"/>
              </w:rPr>
              <w:t>Not on CIM because of exemption</w:t>
            </w:r>
          </w:p>
        </w:tc>
        <w:tc>
          <w:tcPr>
            <w:tcW w:w="1134" w:type="dxa"/>
            <w:vAlign w:val="bottom"/>
          </w:tcPr>
          <w:p w:rsidR="008C0374" w:rsidRPr="00847CCC" w:rsidRDefault="00993FA6" w:rsidP="00D765F5">
            <w:pPr>
              <w:pStyle w:val="braytabletext"/>
              <w:jc w:val="right"/>
              <w:rPr>
                <w:szCs w:val="16"/>
              </w:rPr>
            </w:pPr>
            <w:r w:rsidRPr="00847CCC">
              <w:rPr>
                <w:szCs w:val="16"/>
              </w:rPr>
              <w:t>433</w:t>
            </w:r>
          </w:p>
        </w:tc>
        <w:tc>
          <w:tcPr>
            <w:tcW w:w="1275" w:type="dxa"/>
            <w:vAlign w:val="bottom"/>
          </w:tcPr>
          <w:p w:rsidR="008C0374" w:rsidRPr="00847CCC" w:rsidRDefault="00993FA6" w:rsidP="000238F6">
            <w:pPr>
              <w:pStyle w:val="braytabletext"/>
              <w:jc w:val="right"/>
              <w:rPr>
                <w:szCs w:val="16"/>
              </w:rPr>
            </w:pPr>
            <w:r w:rsidRPr="00847CCC">
              <w:rPr>
                <w:szCs w:val="16"/>
              </w:rPr>
              <w:t>1</w:t>
            </w:r>
            <w:r w:rsidR="00267BF5" w:rsidRPr="00847CCC">
              <w:rPr>
                <w:szCs w:val="16"/>
              </w:rPr>
              <w:t> </w:t>
            </w:r>
            <w:r w:rsidRPr="00847CCC">
              <w:rPr>
                <w:szCs w:val="16"/>
              </w:rPr>
              <w:t>103</w:t>
            </w:r>
          </w:p>
        </w:tc>
        <w:tc>
          <w:tcPr>
            <w:tcW w:w="851" w:type="dxa"/>
            <w:vAlign w:val="bottom"/>
          </w:tcPr>
          <w:p w:rsidR="008C0374" w:rsidRPr="00847CCC" w:rsidRDefault="00993FA6" w:rsidP="000238F6">
            <w:pPr>
              <w:pStyle w:val="braytabletext"/>
              <w:jc w:val="right"/>
              <w:rPr>
                <w:szCs w:val="16"/>
              </w:rPr>
            </w:pPr>
            <w:r w:rsidRPr="00847CCC">
              <w:rPr>
                <w:szCs w:val="16"/>
              </w:rPr>
              <w:t>1</w:t>
            </w:r>
            <w:r w:rsidR="00267BF5" w:rsidRPr="00847CCC">
              <w:rPr>
                <w:szCs w:val="16"/>
              </w:rPr>
              <w:t> </w:t>
            </w:r>
            <w:r w:rsidRPr="00847CCC">
              <w:rPr>
                <w:szCs w:val="16"/>
              </w:rPr>
              <w:t>536</w:t>
            </w:r>
          </w:p>
        </w:tc>
      </w:tr>
      <w:tr w:rsidR="008C0374" w:rsidRPr="00847CCC" w:rsidTr="00AC72FE">
        <w:trPr>
          <w:trHeight w:val="290"/>
        </w:trPr>
        <w:tc>
          <w:tcPr>
            <w:tcW w:w="3267" w:type="dxa"/>
          </w:tcPr>
          <w:p w:rsidR="008C0374" w:rsidRPr="00847CCC" w:rsidRDefault="008C0374" w:rsidP="000E062E">
            <w:pPr>
              <w:pStyle w:val="braytabletext"/>
              <w:rPr>
                <w:szCs w:val="16"/>
              </w:rPr>
            </w:pPr>
            <w:r w:rsidRPr="00847CCC">
              <w:rPr>
                <w:szCs w:val="16"/>
              </w:rPr>
              <w:t>Total compulsory incl</w:t>
            </w:r>
            <w:r w:rsidR="000E062E" w:rsidRPr="00847CCC">
              <w:rPr>
                <w:szCs w:val="16"/>
              </w:rPr>
              <w:t>uding</w:t>
            </w:r>
            <w:r w:rsidRPr="00847CCC">
              <w:rPr>
                <w:szCs w:val="16"/>
              </w:rPr>
              <w:t xml:space="preserve"> exemption</w:t>
            </w:r>
          </w:p>
        </w:tc>
        <w:tc>
          <w:tcPr>
            <w:tcW w:w="1134" w:type="dxa"/>
            <w:vAlign w:val="bottom"/>
          </w:tcPr>
          <w:p w:rsidR="008C0374" w:rsidRPr="00847CCC" w:rsidRDefault="00993FA6" w:rsidP="000238F6">
            <w:pPr>
              <w:pStyle w:val="braytabletext"/>
              <w:jc w:val="right"/>
              <w:rPr>
                <w:szCs w:val="16"/>
              </w:rPr>
            </w:pPr>
            <w:r w:rsidRPr="00847CCC">
              <w:rPr>
                <w:szCs w:val="16"/>
              </w:rPr>
              <w:t>4</w:t>
            </w:r>
            <w:r w:rsidR="00267BF5" w:rsidRPr="00847CCC">
              <w:rPr>
                <w:szCs w:val="16"/>
              </w:rPr>
              <w:t> </w:t>
            </w:r>
            <w:r w:rsidRPr="00847CCC">
              <w:rPr>
                <w:szCs w:val="16"/>
              </w:rPr>
              <w:t>546</w:t>
            </w:r>
          </w:p>
        </w:tc>
        <w:tc>
          <w:tcPr>
            <w:tcW w:w="1275" w:type="dxa"/>
            <w:vAlign w:val="bottom"/>
          </w:tcPr>
          <w:p w:rsidR="008C0374" w:rsidRPr="00847CCC" w:rsidRDefault="00993FA6" w:rsidP="000238F6">
            <w:pPr>
              <w:pStyle w:val="braytabletext"/>
              <w:jc w:val="right"/>
              <w:rPr>
                <w:szCs w:val="16"/>
              </w:rPr>
            </w:pPr>
            <w:r w:rsidRPr="00847CCC">
              <w:rPr>
                <w:szCs w:val="16"/>
              </w:rPr>
              <w:t>9</w:t>
            </w:r>
            <w:r w:rsidR="00267BF5" w:rsidRPr="00847CCC">
              <w:rPr>
                <w:szCs w:val="16"/>
              </w:rPr>
              <w:t> </w:t>
            </w:r>
            <w:r w:rsidRPr="00847CCC">
              <w:rPr>
                <w:szCs w:val="16"/>
              </w:rPr>
              <w:t>655</w:t>
            </w:r>
          </w:p>
        </w:tc>
        <w:tc>
          <w:tcPr>
            <w:tcW w:w="851" w:type="dxa"/>
            <w:vAlign w:val="bottom"/>
          </w:tcPr>
          <w:p w:rsidR="008C0374" w:rsidRPr="00847CCC" w:rsidRDefault="00993FA6" w:rsidP="000238F6">
            <w:pPr>
              <w:pStyle w:val="braytabletext"/>
              <w:jc w:val="right"/>
              <w:rPr>
                <w:szCs w:val="16"/>
              </w:rPr>
            </w:pPr>
            <w:r w:rsidRPr="00847CCC">
              <w:rPr>
                <w:szCs w:val="16"/>
              </w:rPr>
              <w:t>14</w:t>
            </w:r>
            <w:r w:rsidR="00267BF5" w:rsidRPr="00847CCC">
              <w:rPr>
                <w:szCs w:val="16"/>
              </w:rPr>
              <w:t> </w:t>
            </w:r>
            <w:r w:rsidRPr="00847CCC">
              <w:rPr>
                <w:szCs w:val="16"/>
              </w:rPr>
              <w:t>201</w:t>
            </w:r>
          </w:p>
        </w:tc>
      </w:tr>
      <w:tr w:rsidR="00186FE2" w:rsidRPr="00847CCC" w:rsidTr="00783DF8">
        <w:trPr>
          <w:trHeight w:val="290"/>
        </w:trPr>
        <w:tc>
          <w:tcPr>
            <w:tcW w:w="3267" w:type="dxa"/>
            <w:tcBorders>
              <w:top w:val="single" w:sz="4" w:space="0" w:color="auto"/>
              <w:left w:val="nil"/>
              <w:bottom w:val="nil"/>
              <w:right w:val="nil"/>
            </w:tcBorders>
          </w:tcPr>
          <w:p w:rsidR="00186FE2" w:rsidRPr="00847CCC" w:rsidRDefault="00186FE2" w:rsidP="00D765F5">
            <w:pPr>
              <w:pStyle w:val="braytabletext"/>
              <w:rPr>
                <w:szCs w:val="16"/>
              </w:rPr>
            </w:pPr>
          </w:p>
        </w:tc>
        <w:tc>
          <w:tcPr>
            <w:tcW w:w="3260" w:type="dxa"/>
            <w:gridSpan w:val="3"/>
            <w:tcBorders>
              <w:top w:val="single" w:sz="4" w:space="0" w:color="auto"/>
              <w:left w:val="nil"/>
              <w:bottom w:val="nil"/>
              <w:right w:val="nil"/>
            </w:tcBorders>
            <w:vAlign w:val="center"/>
          </w:tcPr>
          <w:p w:rsidR="00186FE2" w:rsidRPr="00847CCC" w:rsidRDefault="00186FE2" w:rsidP="00783DF8">
            <w:pPr>
              <w:pStyle w:val="braytabletext"/>
              <w:jc w:val="center"/>
              <w:rPr>
                <w:szCs w:val="16"/>
              </w:rPr>
            </w:pPr>
            <w:r w:rsidRPr="00847CCC">
              <w:rPr>
                <w:szCs w:val="16"/>
              </w:rPr>
              <w:t>- % -</w:t>
            </w:r>
          </w:p>
        </w:tc>
      </w:tr>
      <w:tr w:rsidR="008C0374" w:rsidRPr="00847CCC" w:rsidTr="00AC72FE">
        <w:trPr>
          <w:trHeight w:val="290"/>
        </w:trPr>
        <w:tc>
          <w:tcPr>
            <w:tcW w:w="3267" w:type="dxa"/>
          </w:tcPr>
          <w:p w:rsidR="008C0374" w:rsidRPr="00847CCC" w:rsidRDefault="008C0374" w:rsidP="00D765F5">
            <w:pPr>
              <w:pStyle w:val="braytabletext"/>
              <w:rPr>
                <w:szCs w:val="16"/>
              </w:rPr>
            </w:pPr>
            <w:r w:rsidRPr="00847CCC">
              <w:rPr>
                <w:szCs w:val="16"/>
              </w:rPr>
              <w:t>Per cent with exemption</w:t>
            </w:r>
          </w:p>
        </w:tc>
        <w:tc>
          <w:tcPr>
            <w:tcW w:w="1134" w:type="dxa"/>
            <w:vAlign w:val="bottom"/>
          </w:tcPr>
          <w:p w:rsidR="008C0374" w:rsidRPr="00847CCC" w:rsidRDefault="00993FA6" w:rsidP="00D765F5">
            <w:pPr>
              <w:pStyle w:val="braytabletext"/>
              <w:jc w:val="right"/>
              <w:rPr>
                <w:szCs w:val="16"/>
              </w:rPr>
            </w:pPr>
            <w:r w:rsidRPr="00847CCC">
              <w:rPr>
                <w:szCs w:val="16"/>
              </w:rPr>
              <w:t>9.6</w:t>
            </w:r>
          </w:p>
        </w:tc>
        <w:tc>
          <w:tcPr>
            <w:tcW w:w="1275" w:type="dxa"/>
            <w:vAlign w:val="bottom"/>
          </w:tcPr>
          <w:p w:rsidR="008C0374" w:rsidRPr="00847CCC" w:rsidRDefault="00993FA6" w:rsidP="00D765F5">
            <w:pPr>
              <w:pStyle w:val="braytabletext"/>
              <w:jc w:val="right"/>
              <w:rPr>
                <w:szCs w:val="16"/>
              </w:rPr>
            </w:pPr>
            <w:r w:rsidRPr="00847CCC">
              <w:rPr>
                <w:szCs w:val="16"/>
              </w:rPr>
              <w:t>11.5</w:t>
            </w:r>
          </w:p>
        </w:tc>
        <w:tc>
          <w:tcPr>
            <w:tcW w:w="851" w:type="dxa"/>
            <w:vAlign w:val="bottom"/>
          </w:tcPr>
          <w:p w:rsidR="008C0374" w:rsidRPr="00847CCC" w:rsidRDefault="00993FA6" w:rsidP="00F03B03">
            <w:pPr>
              <w:pStyle w:val="braytabletext"/>
              <w:jc w:val="right"/>
              <w:rPr>
                <w:szCs w:val="16"/>
              </w:rPr>
            </w:pPr>
            <w:r w:rsidRPr="00847CCC">
              <w:rPr>
                <w:szCs w:val="16"/>
              </w:rPr>
              <w:t>10.9</w:t>
            </w:r>
          </w:p>
        </w:tc>
      </w:tr>
      <w:tr w:rsidR="008C0374" w:rsidRPr="00847CCC" w:rsidTr="00AC72FE">
        <w:trPr>
          <w:trHeight w:val="290"/>
        </w:trPr>
        <w:tc>
          <w:tcPr>
            <w:tcW w:w="3267" w:type="dxa"/>
          </w:tcPr>
          <w:p w:rsidR="008C0374" w:rsidRPr="00847CCC" w:rsidRDefault="008C0374" w:rsidP="00D765F5">
            <w:pPr>
              <w:pStyle w:val="braytabletext"/>
              <w:rPr>
                <w:szCs w:val="16"/>
              </w:rPr>
            </w:pPr>
            <w:r w:rsidRPr="00847CCC">
              <w:rPr>
                <w:szCs w:val="16"/>
              </w:rPr>
              <w:t>Per cent applied for exemption</w:t>
            </w:r>
          </w:p>
        </w:tc>
        <w:tc>
          <w:tcPr>
            <w:tcW w:w="1134" w:type="dxa"/>
            <w:vAlign w:val="bottom"/>
          </w:tcPr>
          <w:p w:rsidR="008C0374" w:rsidRPr="00847CCC" w:rsidRDefault="00993FA6" w:rsidP="006C0F84">
            <w:pPr>
              <w:pStyle w:val="braytabletext"/>
              <w:jc w:val="right"/>
              <w:rPr>
                <w:szCs w:val="16"/>
              </w:rPr>
            </w:pPr>
            <w:r w:rsidRPr="00847CCC">
              <w:rPr>
                <w:szCs w:val="16"/>
              </w:rPr>
              <w:t>14.7</w:t>
            </w:r>
          </w:p>
        </w:tc>
        <w:tc>
          <w:tcPr>
            <w:tcW w:w="1275" w:type="dxa"/>
            <w:vAlign w:val="bottom"/>
          </w:tcPr>
          <w:p w:rsidR="008C0374" w:rsidRPr="00847CCC" w:rsidRDefault="00993FA6" w:rsidP="00D765F5">
            <w:pPr>
              <w:pStyle w:val="braytabletext"/>
              <w:jc w:val="right"/>
              <w:rPr>
                <w:szCs w:val="16"/>
              </w:rPr>
            </w:pPr>
            <w:r w:rsidRPr="00847CCC">
              <w:rPr>
                <w:szCs w:val="16"/>
              </w:rPr>
              <w:t>21.9</w:t>
            </w:r>
          </w:p>
        </w:tc>
        <w:tc>
          <w:tcPr>
            <w:tcW w:w="851" w:type="dxa"/>
            <w:vAlign w:val="bottom"/>
          </w:tcPr>
          <w:p w:rsidR="008C0374" w:rsidRPr="00847CCC" w:rsidRDefault="00993FA6" w:rsidP="00F03B03">
            <w:pPr>
              <w:pStyle w:val="braytabletext"/>
              <w:jc w:val="right"/>
              <w:rPr>
                <w:szCs w:val="16"/>
              </w:rPr>
            </w:pPr>
            <w:r w:rsidRPr="00847CCC">
              <w:rPr>
                <w:szCs w:val="16"/>
              </w:rPr>
              <w:t>19.6</w:t>
            </w:r>
          </w:p>
        </w:tc>
      </w:tr>
      <w:tr w:rsidR="008C0374" w:rsidRPr="00847CCC" w:rsidTr="00AC72FE">
        <w:trPr>
          <w:trHeight w:val="290"/>
        </w:trPr>
        <w:tc>
          <w:tcPr>
            <w:tcW w:w="3267" w:type="dxa"/>
          </w:tcPr>
          <w:p w:rsidR="008C0374" w:rsidRPr="00847CCC" w:rsidRDefault="008C0374" w:rsidP="00D765F5">
            <w:pPr>
              <w:pStyle w:val="braytabletext"/>
              <w:rPr>
                <w:szCs w:val="16"/>
              </w:rPr>
            </w:pPr>
            <w:r w:rsidRPr="00847CCC">
              <w:rPr>
                <w:szCs w:val="16"/>
              </w:rPr>
              <w:t>Per cent successful</w:t>
            </w:r>
          </w:p>
        </w:tc>
        <w:tc>
          <w:tcPr>
            <w:tcW w:w="1134" w:type="dxa"/>
            <w:vAlign w:val="bottom"/>
          </w:tcPr>
          <w:p w:rsidR="008C0374" w:rsidRPr="00847CCC" w:rsidRDefault="00993FA6" w:rsidP="00D765F5">
            <w:pPr>
              <w:pStyle w:val="braytabletext"/>
              <w:jc w:val="right"/>
              <w:rPr>
                <w:szCs w:val="16"/>
              </w:rPr>
            </w:pPr>
            <w:r w:rsidRPr="00847CCC">
              <w:rPr>
                <w:szCs w:val="16"/>
              </w:rPr>
              <w:t>65.6</w:t>
            </w:r>
          </w:p>
        </w:tc>
        <w:tc>
          <w:tcPr>
            <w:tcW w:w="1275" w:type="dxa"/>
            <w:vAlign w:val="bottom"/>
          </w:tcPr>
          <w:p w:rsidR="008C0374" w:rsidRPr="00847CCC" w:rsidRDefault="00993FA6" w:rsidP="00D765F5">
            <w:pPr>
              <w:pStyle w:val="braytabletext"/>
              <w:jc w:val="right"/>
              <w:rPr>
                <w:szCs w:val="16"/>
              </w:rPr>
            </w:pPr>
            <w:r w:rsidRPr="00847CCC">
              <w:rPr>
                <w:szCs w:val="16"/>
              </w:rPr>
              <w:t>52.7</w:t>
            </w:r>
          </w:p>
        </w:tc>
        <w:tc>
          <w:tcPr>
            <w:tcW w:w="851" w:type="dxa"/>
            <w:vAlign w:val="bottom"/>
          </w:tcPr>
          <w:p w:rsidR="008C0374" w:rsidRPr="00847CCC" w:rsidRDefault="00993FA6" w:rsidP="00D765F5">
            <w:pPr>
              <w:pStyle w:val="braytabletext"/>
              <w:jc w:val="right"/>
              <w:rPr>
                <w:szCs w:val="16"/>
              </w:rPr>
            </w:pPr>
            <w:r w:rsidRPr="00847CCC">
              <w:rPr>
                <w:szCs w:val="16"/>
              </w:rPr>
              <w:t>55.8</w:t>
            </w:r>
          </w:p>
        </w:tc>
      </w:tr>
      <w:tr w:rsidR="008C0374" w:rsidRPr="00847CCC" w:rsidTr="00AC72FE">
        <w:trPr>
          <w:trHeight w:val="290"/>
        </w:trPr>
        <w:tc>
          <w:tcPr>
            <w:tcW w:w="3267" w:type="dxa"/>
            <w:tcBorders>
              <w:bottom w:val="single" w:sz="4" w:space="0" w:color="auto"/>
            </w:tcBorders>
          </w:tcPr>
          <w:p w:rsidR="008C0374" w:rsidRPr="00847CCC" w:rsidRDefault="008C0374" w:rsidP="00D765F5">
            <w:pPr>
              <w:pStyle w:val="braytabletext"/>
              <w:rPr>
                <w:szCs w:val="16"/>
              </w:rPr>
            </w:pPr>
            <w:r w:rsidRPr="00847CCC">
              <w:rPr>
                <w:szCs w:val="16"/>
              </w:rPr>
              <w:t>Per cent not withdrawn successful</w:t>
            </w:r>
          </w:p>
        </w:tc>
        <w:tc>
          <w:tcPr>
            <w:tcW w:w="1134" w:type="dxa"/>
            <w:tcBorders>
              <w:bottom w:val="single" w:sz="4" w:space="0" w:color="auto"/>
            </w:tcBorders>
            <w:vAlign w:val="bottom"/>
          </w:tcPr>
          <w:p w:rsidR="008C0374" w:rsidRPr="00847CCC" w:rsidRDefault="00993FA6" w:rsidP="00D765F5">
            <w:pPr>
              <w:pStyle w:val="braytabletext"/>
              <w:jc w:val="right"/>
              <w:rPr>
                <w:szCs w:val="16"/>
              </w:rPr>
            </w:pPr>
            <w:r w:rsidRPr="00847CCC">
              <w:rPr>
                <w:szCs w:val="16"/>
              </w:rPr>
              <w:t>66.3</w:t>
            </w:r>
          </w:p>
        </w:tc>
        <w:tc>
          <w:tcPr>
            <w:tcW w:w="1275" w:type="dxa"/>
            <w:tcBorders>
              <w:bottom w:val="single" w:sz="4" w:space="0" w:color="auto"/>
            </w:tcBorders>
            <w:vAlign w:val="bottom"/>
          </w:tcPr>
          <w:p w:rsidR="008C0374" w:rsidRPr="00847CCC" w:rsidRDefault="00993FA6" w:rsidP="00D765F5">
            <w:pPr>
              <w:pStyle w:val="braytabletext"/>
              <w:jc w:val="right"/>
              <w:rPr>
                <w:szCs w:val="16"/>
              </w:rPr>
            </w:pPr>
            <w:r w:rsidRPr="00847CCC">
              <w:rPr>
                <w:szCs w:val="16"/>
              </w:rPr>
              <w:t>54.5</w:t>
            </w:r>
          </w:p>
        </w:tc>
        <w:tc>
          <w:tcPr>
            <w:tcW w:w="851" w:type="dxa"/>
            <w:tcBorders>
              <w:bottom w:val="single" w:sz="4" w:space="0" w:color="auto"/>
            </w:tcBorders>
            <w:vAlign w:val="bottom"/>
          </w:tcPr>
          <w:p w:rsidR="008C0374" w:rsidRPr="00847CCC" w:rsidRDefault="00993FA6" w:rsidP="00D765F5">
            <w:pPr>
              <w:pStyle w:val="braytabletext"/>
              <w:jc w:val="right"/>
              <w:rPr>
                <w:szCs w:val="16"/>
              </w:rPr>
            </w:pPr>
            <w:r w:rsidRPr="00847CCC">
              <w:rPr>
                <w:szCs w:val="16"/>
              </w:rPr>
              <w:t>57.4</w:t>
            </w:r>
          </w:p>
        </w:tc>
      </w:tr>
    </w:tbl>
    <w:p w:rsidR="008861DE" w:rsidRPr="005911E2" w:rsidRDefault="008861DE" w:rsidP="00CF78DB">
      <w:pPr>
        <w:pStyle w:val="tablefootnotes"/>
      </w:pPr>
      <w:r w:rsidRPr="005911E2">
        <w:t xml:space="preserve">Source: </w:t>
      </w:r>
      <w:r w:rsidR="005320C5" w:rsidRPr="005911E2">
        <w:tab/>
      </w:r>
      <w:r w:rsidRPr="005911E2">
        <w:t xml:space="preserve">Derived from Centrelink </w:t>
      </w:r>
      <w:r w:rsidR="00F878E4">
        <w:t>income management</w:t>
      </w:r>
      <w:r w:rsidRPr="005911E2">
        <w:t xml:space="preserve"> &amp; IS/FTB datasets</w:t>
      </w:r>
      <w:r w:rsidR="00273B1F">
        <w:t>.</w:t>
      </w:r>
    </w:p>
    <w:p w:rsidR="008861DE" w:rsidRPr="005911E2" w:rsidRDefault="008861DE" w:rsidP="00CF78DB">
      <w:pPr>
        <w:pStyle w:val="tablefootnotes"/>
      </w:pPr>
    </w:p>
    <w:p w:rsidR="008861DE" w:rsidRPr="005911E2" w:rsidRDefault="008861DE" w:rsidP="00AA1750">
      <w:r w:rsidRPr="005911E2">
        <w:t>This pattern is seen within the data in terms of the rate of appl</w:t>
      </w:r>
      <w:r w:rsidR="00D765F5" w:rsidRPr="005911E2">
        <w:t>ication for exemption where 14.</w:t>
      </w:r>
      <w:r w:rsidR="00F03B03" w:rsidRPr="005911E2">
        <w:t>7</w:t>
      </w:r>
      <w:r w:rsidRPr="005911E2">
        <w:t xml:space="preserve"> per cent of Disengaged Youth have made an application, compared with </w:t>
      </w:r>
      <w:r w:rsidR="00D765F5" w:rsidRPr="005911E2">
        <w:t>21.9</w:t>
      </w:r>
      <w:r w:rsidRPr="005911E2">
        <w:t xml:space="preserve"> per cent of those on the </w:t>
      </w:r>
      <w:r w:rsidR="00D3222D">
        <w:t>Long-Term</w:t>
      </w:r>
      <w:r w:rsidRPr="005911E2">
        <w:t xml:space="preserve"> Welfare </w:t>
      </w:r>
      <w:r w:rsidR="00D3222D">
        <w:t>Payment Recipients</w:t>
      </w:r>
      <w:r w:rsidR="00D3222D" w:rsidRPr="005911E2">
        <w:t xml:space="preserve"> </w:t>
      </w:r>
      <w:r w:rsidRPr="005911E2">
        <w:t>initiative</w:t>
      </w:r>
      <w:r w:rsidR="00D765F5" w:rsidRPr="005911E2">
        <w:t>. Disengaged Youth are</w:t>
      </w:r>
      <w:r w:rsidR="00950933">
        <w:t>, however,</w:t>
      </w:r>
      <w:r w:rsidR="00D765F5" w:rsidRPr="005911E2">
        <w:t xml:space="preserve"> more likely to have success</w:t>
      </w:r>
      <w:r w:rsidR="00950933">
        <w:t xml:space="preserve"> in obtaining an exemption</w:t>
      </w:r>
      <w:r w:rsidRPr="005911E2">
        <w:t>,</w:t>
      </w:r>
      <w:r w:rsidR="00D765F5" w:rsidRPr="005911E2">
        <w:t xml:space="preserve"> with</w:t>
      </w:r>
      <w:r w:rsidRPr="005911E2">
        <w:t xml:space="preserve"> the rate of suc</w:t>
      </w:r>
      <w:r w:rsidR="00D765F5" w:rsidRPr="005911E2">
        <w:t xml:space="preserve">cess of applications </w:t>
      </w:r>
      <w:r w:rsidR="00950933">
        <w:t xml:space="preserve">by people on these measures </w:t>
      </w:r>
      <w:r w:rsidR="00D765F5" w:rsidRPr="005911E2">
        <w:t>being 65.</w:t>
      </w:r>
      <w:r w:rsidR="00F03B03" w:rsidRPr="005911E2">
        <w:t>6</w:t>
      </w:r>
      <w:r w:rsidR="00D765F5" w:rsidRPr="005911E2">
        <w:t xml:space="preserve"> per cent and </w:t>
      </w:r>
      <w:r w:rsidR="00F03B03" w:rsidRPr="005911E2">
        <w:t>52.7</w:t>
      </w:r>
      <w:r w:rsidRPr="005911E2">
        <w:t xml:space="preserve"> per cent respectively.</w:t>
      </w:r>
    </w:p>
    <w:p w:rsidR="008861DE" w:rsidRPr="005911E2" w:rsidRDefault="008861DE" w:rsidP="00AA1750">
      <w:r w:rsidRPr="005911E2">
        <w:t xml:space="preserve">Those on the </w:t>
      </w:r>
      <w:r w:rsidR="00D3222D">
        <w:t>Long-Term</w:t>
      </w:r>
      <w:r w:rsidRPr="005911E2">
        <w:t xml:space="preserve"> Welfare</w:t>
      </w:r>
      <w:r w:rsidR="00D3222D">
        <w:t xml:space="preserve"> Payment Recipients</w:t>
      </w:r>
      <w:r w:rsidRPr="005911E2">
        <w:t xml:space="preserve"> measure were twice as likely</w:t>
      </w:r>
      <w:r w:rsidR="001F6CF5" w:rsidRPr="005911E2">
        <w:t xml:space="preserve"> as Disengaged Youth</w:t>
      </w:r>
      <w:r w:rsidRPr="005911E2">
        <w:t xml:space="preserve"> to have gained an exemption because of being in regular employment.</w:t>
      </w:r>
      <w:r w:rsidR="0074268A" w:rsidRPr="005911E2">
        <w:t xml:space="preserve"> </w:t>
      </w:r>
      <w:r w:rsidRPr="005911E2">
        <w:t xml:space="preserve">However, even amongst this group, exemptions on this ground only accounted for 3.3 per cent of </w:t>
      </w:r>
      <w:r w:rsidR="00B44975">
        <w:t xml:space="preserve">all </w:t>
      </w:r>
      <w:r w:rsidRPr="005911E2">
        <w:t>exemptions.</w:t>
      </w:r>
    </w:p>
    <w:p w:rsidR="008861DE" w:rsidRPr="005911E2" w:rsidRDefault="008861DE" w:rsidP="00AA1750">
      <w:r w:rsidRPr="005911E2">
        <w:t xml:space="preserve">The difficulty </w:t>
      </w:r>
      <w:r w:rsidR="00B44975">
        <w:t xml:space="preserve">in gaining an exemption </w:t>
      </w:r>
      <w:r w:rsidRPr="005911E2">
        <w:t xml:space="preserve">for those on the </w:t>
      </w:r>
      <w:r w:rsidR="001F6CF5" w:rsidRPr="005911E2">
        <w:t xml:space="preserve">Disengaged Youth and </w:t>
      </w:r>
      <w:r w:rsidR="00D3222D">
        <w:t>Long-Term</w:t>
      </w:r>
      <w:r w:rsidRPr="005911E2">
        <w:t xml:space="preserve"> Welfare </w:t>
      </w:r>
      <w:r w:rsidR="00D3222D">
        <w:t>Payment Recipients</w:t>
      </w:r>
      <w:r w:rsidR="00D3222D" w:rsidRPr="005911E2">
        <w:t xml:space="preserve"> </w:t>
      </w:r>
      <w:r w:rsidRPr="005911E2">
        <w:t>measure</w:t>
      </w:r>
      <w:r w:rsidR="001F6CF5" w:rsidRPr="005911E2">
        <w:t>s</w:t>
      </w:r>
      <w:r w:rsidR="00B44975">
        <w:t>,</w:t>
      </w:r>
      <w:r w:rsidR="001F6CF5" w:rsidRPr="005911E2">
        <w:t xml:space="preserve"> who do not have children</w:t>
      </w:r>
      <w:r w:rsidR="00B44975">
        <w:t>,</w:t>
      </w:r>
      <w:r w:rsidRPr="005911E2">
        <w:t xml:space="preserve"> was raised by a number of Centrelink staff in the qualitative interviews. </w:t>
      </w:r>
    </w:p>
    <w:p w:rsidR="008861DE" w:rsidRPr="005911E2" w:rsidRDefault="008861DE" w:rsidP="00AA1750">
      <w:pPr>
        <w:pStyle w:val="miniquote"/>
      </w:pPr>
      <w:r w:rsidRPr="005911E2">
        <w:t xml:space="preserve">Customers may be fulfilling their participation obligations to Centrelink and their Job Service providers through voluntary work, training, regular employment (less than 15 hours p/w) and yet they are still not eligible for an exemption. For example, a 56 year old </w:t>
      </w:r>
      <w:r w:rsidR="006C33D2" w:rsidRPr="005911E2">
        <w:t>lady</w:t>
      </w:r>
      <w:r w:rsidRPr="005911E2">
        <w:t xml:space="preserve"> is meeting her participation obligation by completing 15 hours per week, yet she does not meet the exemption criteria. Understandably so, this lady was very upset. Her own words were, “I’ve raised 7 children, I contribute to my local community and I don’t spend money on alcohol, cigarettes or drugs, and now I’m being income managed. I feel violated…”</w:t>
      </w:r>
    </w:p>
    <w:p w:rsidR="008861DE" w:rsidRPr="005911E2" w:rsidRDefault="008861DE" w:rsidP="00AA1750">
      <w:pPr>
        <w:pStyle w:val="mininame"/>
      </w:pPr>
      <w:r w:rsidRPr="005911E2">
        <w:t>Centrelink C</w:t>
      </w:r>
      <w:r w:rsidR="00B44975">
        <w:t>ustomer Service Adviser</w:t>
      </w:r>
    </w:p>
    <w:p w:rsidR="008861DE" w:rsidRPr="005911E2" w:rsidRDefault="008861DE" w:rsidP="00AA1750">
      <w:pPr>
        <w:pStyle w:val="miniquote"/>
        <w:rPr>
          <w:lang w:bidi="ar-SA"/>
        </w:rPr>
      </w:pPr>
      <w:r w:rsidRPr="005911E2">
        <w:rPr>
          <w:lang w:bidi="ar-SA"/>
        </w:rPr>
        <w:t xml:space="preserve">So yeah it's - sometimes customers find it a bit hard to fit into those criteria... I think </w:t>
      </w:r>
      <w:r w:rsidR="00D3222D">
        <w:rPr>
          <w:lang w:bidi="ar-SA"/>
        </w:rPr>
        <w:t>long-term</w:t>
      </w:r>
      <w:r w:rsidRPr="005911E2">
        <w:rPr>
          <w:lang w:bidi="ar-SA"/>
        </w:rPr>
        <w:t xml:space="preserve"> welfare recipients because I mean if you've been on income support for that period I think it's 26 weeks out of the last 52 weeks or something - non-consecutive and for those customers I believe the exemption criteria they have to have worked so much in the past six months or whatever. I think we find that people who are on income support for that long it's unlikely that they've worked that much.</w:t>
      </w:r>
      <w:r w:rsidR="0074268A" w:rsidRPr="005911E2">
        <w:rPr>
          <w:lang w:bidi="ar-SA"/>
        </w:rPr>
        <w:t xml:space="preserve"> </w:t>
      </w:r>
      <w:r w:rsidRPr="005911E2">
        <w:rPr>
          <w:lang w:bidi="ar-SA"/>
        </w:rPr>
        <w:t>So yeah it's one of the more difficult ones to get exemptions for.</w:t>
      </w:r>
    </w:p>
    <w:p w:rsidR="008861DE" w:rsidRPr="005911E2" w:rsidRDefault="008861DE" w:rsidP="00AA1750">
      <w:pPr>
        <w:pStyle w:val="mininame"/>
        <w:rPr>
          <w:lang w:bidi="ar-SA"/>
        </w:rPr>
      </w:pPr>
      <w:r w:rsidRPr="005911E2">
        <w:rPr>
          <w:lang w:bidi="ar-SA"/>
        </w:rPr>
        <w:t xml:space="preserve">Centrelink </w:t>
      </w:r>
      <w:r w:rsidR="00B44975" w:rsidRPr="005911E2">
        <w:t>C</w:t>
      </w:r>
      <w:r w:rsidR="00B44975">
        <w:t>ustomer Service Adviser</w:t>
      </w:r>
    </w:p>
    <w:p w:rsidR="008861DE" w:rsidRPr="005911E2" w:rsidRDefault="008861DE" w:rsidP="00AA1750">
      <w:r w:rsidRPr="005911E2">
        <w:t xml:space="preserve">Some went as far as saying they believed that the conditions for being exempted from </w:t>
      </w:r>
      <w:r w:rsidR="004808B3">
        <w:t>Compulsory Income Management</w:t>
      </w:r>
      <w:r w:rsidRPr="005911E2">
        <w:t xml:space="preserve"> for </w:t>
      </w:r>
      <w:r w:rsidR="00D3222D">
        <w:t>long-term</w:t>
      </w:r>
      <w:r w:rsidRPr="005911E2">
        <w:t xml:space="preserve"> welfare recipients had been developed to encourage people to move off income support by finding work. </w:t>
      </w:r>
    </w:p>
    <w:p w:rsidR="008861DE" w:rsidRPr="005911E2" w:rsidRDefault="008861DE" w:rsidP="00AA1750">
      <w:pPr>
        <w:pStyle w:val="miniquote"/>
        <w:rPr>
          <w:lang w:bidi="ar-SA"/>
        </w:rPr>
      </w:pPr>
      <w:r w:rsidRPr="005911E2">
        <w:rPr>
          <w:lang w:bidi="ar-SA"/>
        </w:rPr>
        <w:t>The New</w:t>
      </w:r>
      <w:r w:rsidR="00944CB4">
        <w:rPr>
          <w:lang w:bidi="ar-SA"/>
        </w:rPr>
        <w:t>s</w:t>
      </w:r>
      <w:r w:rsidRPr="005911E2">
        <w:rPr>
          <w:lang w:bidi="ar-SA"/>
        </w:rPr>
        <w:t>tart one is based on work and earning from employment.</w:t>
      </w:r>
      <w:r w:rsidR="0074268A" w:rsidRPr="005911E2">
        <w:rPr>
          <w:lang w:bidi="ar-SA"/>
        </w:rPr>
        <w:t xml:space="preserve"> </w:t>
      </w:r>
      <w:r w:rsidRPr="005911E2">
        <w:rPr>
          <w:lang w:bidi="ar-SA"/>
        </w:rPr>
        <w:t>It's quite - I don't think it's any secret, that's the stick.</w:t>
      </w:r>
      <w:r w:rsidR="0074268A" w:rsidRPr="005911E2">
        <w:rPr>
          <w:lang w:bidi="ar-SA"/>
        </w:rPr>
        <w:t xml:space="preserve"> </w:t>
      </w:r>
      <w:r w:rsidRPr="005911E2">
        <w:rPr>
          <w:lang w:bidi="ar-SA"/>
        </w:rPr>
        <w:t xml:space="preserve">Look if you work, if you get part time work and work at a certain level for a certain period of time you'll be off </w:t>
      </w:r>
      <w:r w:rsidR="00B44975">
        <w:rPr>
          <w:lang w:bidi="ar-SA"/>
        </w:rPr>
        <w:t>i</w:t>
      </w:r>
      <w:r w:rsidRPr="005911E2">
        <w:rPr>
          <w:lang w:bidi="ar-SA"/>
        </w:rPr>
        <w:t xml:space="preserve">ncome </w:t>
      </w:r>
      <w:r w:rsidR="00B44975">
        <w:rPr>
          <w:lang w:bidi="ar-SA"/>
        </w:rPr>
        <w:t>m</w:t>
      </w:r>
      <w:r w:rsidRPr="005911E2">
        <w:rPr>
          <w:lang w:bidi="ar-SA"/>
        </w:rPr>
        <w:t>anagement. It's quite a good encouragement to get in the workforce.</w:t>
      </w:r>
      <w:r w:rsidR="0074268A" w:rsidRPr="005911E2">
        <w:rPr>
          <w:lang w:bidi="ar-SA"/>
        </w:rPr>
        <w:t xml:space="preserve"> </w:t>
      </w:r>
      <w:r w:rsidRPr="005911E2">
        <w:rPr>
          <w:lang w:bidi="ar-SA"/>
        </w:rPr>
        <w:t>If they're worried about the stigmatism, that's a great sign.</w:t>
      </w:r>
      <w:r w:rsidR="0074268A" w:rsidRPr="005911E2">
        <w:rPr>
          <w:lang w:bidi="ar-SA"/>
        </w:rPr>
        <w:t xml:space="preserve"> </w:t>
      </w:r>
      <w:r w:rsidRPr="005911E2">
        <w:rPr>
          <w:lang w:bidi="ar-SA"/>
        </w:rPr>
        <w:t xml:space="preserve">It shows they've still got pride in </w:t>
      </w:r>
      <w:r w:rsidR="006C33D2" w:rsidRPr="005911E2">
        <w:rPr>
          <w:lang w:bidi="ar-SA"/>
        </w:rPr>
        <w:t>themselves;</w:t>
      </w:r>
      <w:r w:rsidRPr="005911E2">
        <w:rPr>
          <w:lang w:bidi="ar-SA"/>
        </w:rPr>
        <w:t xml:space="preserve"> they've still got that drive to make themselves better</w:t>
      </w:r>
      <w:r w:rsidR="0031584C">
        <w:rPr>
          <w:lang w:bidi="ar-SA"/>
        </w:rPr>
        <w:t>,</w:t>
      </w:r>
      <w:r w:rsidRPr="005911E2">
        <w:rPr>
          <w:lang w:bidi="ar-SA"/>
        </w:rPr>
        <w:t xml:space="preserve"> which is excellent.</w:t>
      </w:r>
      <w:r w:rsidR="0074268A" w:rsidRPr="005911E2">
        <w:rPr>
          <w:lang w:bidi="ar-SA"/>
        </w:rPr>
        <w:t xml:space="preserve"> </w:t>
      </w:r>
      <w:r w:rsidRPr="005911E2">
        <w:rPr>
          <w:lang w:bidi="ar-SA"/>
        </w:rPr>
        <w:t>Somebody who's just completely unfazed by it would worry me.</w:t>
      </w:r>
    </w:p>
    <w:p w:rsidR="008861DE" w:rsidRPr="005911E2" w:rsidRDefault="008861DE" w:rsidP="00AA1750">
      <w:pPr>
        <w:pStyle w:val="mininame"/>
        <w:rPr>
          <w:lang w:bidi="ar-SA"/>
        </w:rPr>
      </w:pPr>
      <w:r w:rsidRPr="005911E2">
        <w:rPr>
          <w:lang w:bidi="ar-SA"/>
        </w:rPr>
        <w:t xml:space="preserve">Centrelink </w:t>
      </w:r>
      <w:r w:rsidR="00B44975" w:rsidRPr="005911E2">
        <w:t>C</w:t>
      </w:r>
      <w:r w:rsidR="00B44975">
        <w:t>ustomer Service Adviser</w:t>
      </w:r>
    </w:p>
    <w:p w:rsidR="008861DE" w:rsidRPr="005911E2" w:rsidRDefault="008861DE" w:rsidP="00BD6DFD">
      <w:pPr>
        <w:pStyle w:val="Heading3"/>
      </w:pPr>
      <w:r w:rsidRPr="005911E2">
        <w:t>Type of income support</w:t>
      </w:r>
    </w:p>
    <w:p w:rsidR="008861DE" w:rsidRDefault="008861DE" w:rsidP="00AA1750">
      <w:r w:rsidRPr="005911E2">
        <w:t>The role of child</w:t>
      </w:r>
      <w:r w:rsidR="00E04125">
        <w:t>-</w:t>
      </w:r>
      <w:r w:rsidRPr="005911E2">
        <w:t xml:space="preserve">related exemptions becomes more apparent when the payment types of individuals </w:t>
      </w:r>
      <w:r w:rsidR="001F6CF5" w:rsidRPr="005911E2">
        <w:t xml:space="preserve">subject to </w:t>
      </w:r>
      <w:r w:rsidR="00F878E4">
        <w:t>income management</w:t>
      </w:r>
      <w:r w:rsidR="001F6CF5" w:rsidRPr="005911E2">
        <w:t xml:space="preserve"> are considered in</w:t>
      </w:r>
      <w:r w:rsidRPr="005911E2">
        <w:t xml:space="preserve"> </w:t>
      </w:r>
      <w:r w:rsidR="008476E4" w:rsidRPr="005911E2">
        <w:t>Table 8</w:t>
      </w:r>
      <w:r w:rsidR="008476E4" w:rsidRPr="005911E2">
        <w:noBreakHyphen/>
        <w:t>6</w:t>
      </w:r>
      <w:r w:rsidR="00E04125">
        <w:t>.</w:t>
      </w:r>
    </w:p>
    <w:p w:rsidR="00847CCC" w:rsidRDefault="00847CCC" w:rsidP="00847CCC">
      <w:r w:rsidRPr="005911E2">
        <w:t>The 1</w:t>
      </w:r>
      <w:r>
        <w:t> </w:t>
      </w:r>
      <w:r w:rsidRPr="005911E2">
        <w:t xml:space="preserve">142 people on Parenting Payment Single with exemptions who are currently not on </w:t>
      </w:r>
      <w:r>
        <w:t>income management</w:t>
      </w:r>
      <w:r w:rsidRPr="005911E2">
        <w:t xml:space="preserve"> because of this, account for 74.3 per cent of all persons with exemptions not on </w:t>
      </w:r>
      <w:r>
        <w:t>income management</w:t>
      </w:r>
      <w:r w:rsidRPr="005911E2">
        <w:t>. A further 17.6 per cent of people in this group are on Parenting Payment Partnered and 7.9 per cent on Newstart</w:t>
      </w:r>
      <w:r>
        <w:t xml:space="preserve"> Allowance</w:t>
      </w:r>
      <w:r w:rsidRPr="005911E2">
        <w:t>.</w:t>
      </w:r>
    </w:p>
    <w:p w:rsidR="00847CCC" w:rsidRPr="005911E2" w:rsidRDefault="00847CCC" w:rsidP="00847CCC">
      <w:r w:rsidRPr="005911E2">
        <w:t>Overall</w:t>
      </w:r>
      <w:r>
        <w:t>,</w:t>
      </w:r>
      <w:r w:rsidRPr="005911E2">
        <w:t xml:space="preserve"> 33.6 per cent of people on Parenting Payment Single who would otherwise be subject to </w:t>
      </w:r>
      <w:r>
        <w:t>Compulsory Income Management</w:t>
      </w:r>
      <w:r w:rsidRPr="005911E2">
        <w:t xml:space="preserve"> have obtained an exemption. This represents a 66.4 per cent success rate for the 50.6 per cent of the group who have made an application for exemption.</w:t>
      </w:r>
    </w:p>
    <w:p w:rsidR="008861DE" w:rsidRPr="005911E2" w:rsidRDefault="008861DE" w:rsidP="00AA1750">
      <w:pPr>
        <w:pStyle w:val="tabfighead"/>
      </w:pPr>
      <w:bookmarkStart w:id="706" w:name="_Ref321078503"/>
      <w:bookmarkStart w:id="707" w:name="_Toc321430439"/>
      <w:bookmarkStart w:id="708" w:name="_Toc321254558"/>
      <w:bookmarkStart w:id="709" w:name="_Toc328601606"/>
      <w:bookmarkStart w:id="710" w:name="_Toc329051384"/>
      <w:bookmarkStart w:id="711" w:name="_Toc335915872"/>
      <w:r w:rsidRPr="005911E2">
        <w:t xml:space="preserve">Table </w:t>
      </w:r>
      <w:r w:rsidR="00C7347D" w:rsidRPr="005911E2">
        <w:fldChar w:fldCharType="begin"/>
      </w:r>
      <w:r w:rsidR="00EF6BC6" w:rsidRPr="005911E2">
        <w:instrText xml:space="preserve"> STYLEREF 1 \s </w:instrText>
      </w:r>
      <w:r w:rsidR="00C7347D" w:rsidRPr="005911E2">
        <w:fldChar w:fldCharType="separate"/>
      </w:r>
      <w:r w:rsidR="007D7E45">
        <w:rPr>
          <w:noProof/>
        </w:rPr>
        <w:t>8</w:t>
      </w:r>
      <w:r w:rsidR="00C7347D" w:rsidRPr="005911E2">
        <w:fldChar w:fldCharType="end"/>
      </w:r>
      <w:r w:rsidR="00EF6BC6" w:rsidRPr="005911E2">
        <w:noBreakHyphen/>
      </w:r>
      <w:r w:rsidR="00C7347D" w:rsidRPr="005911E2">
        <w:fldChar w:fldCharType="begin"/>
      </w:r>
      <w:r w:rsidR="00EF6BC6" w:rsidRPr="005911E2">
        <w:instrText xml:space="preserve"> SEQ Table \* ARABIC \s 1 </w:instrText>
      </w:r>
      <w:r w:rsidR="00C7347D" w:rsidRPr="005911E2">
        <w:fldChar w:fldCharType="separate"/>
      </w:r>
      <w:r w:rsidR="007D7E45">
        <w:rPr>
          <w:noProof/>
        </w:rPr>
        <w:t>6</w:t>
      </w:r>
      <w:r w:rsidR="00C7347D" w:rsidRPr="005911E2">
        <w:fldChar w:fldCharType="end"/>
      </w:r>
      <w:bookmarkEnd w:id="706"/>
      <w:r w:rsidRPr="005911E2">
        <w:tab/>
        <w:t>Applications for and granting of exemptions by payment type, October 2011</w:t>
      </w:r>
      <w:bookmarkEnd w:id="707"/>
      <w:bookmarkEnd w:id="708"/>
      <w:bookmarkEnd w:id="709"/>
      <w:bookmarkEnd w:id="710"/>
      <w:bookmarkEnd w:id="711"/>
    </w:p>
    <w:tbl>
      <w:tblPr>
        <w:tblW w:w="4676" w:type="pct"/>
        <w:jc w:val="right"/>
        <w:tblLayout w:type="fixed"/>
        <w:tblLook w:val="0000" w:firstRow="0" w:lastRow="0" w:firstColumn="0" w:lastColumn="0" w:noHBand="0" w:noVBand="0"/>
      </w:tblPr>
      <w:tblGrid>
        <w:gridCol w:w="3119"/>
        <w:gridCol w:w="976"/>
        <w:gridCol w:w="1007"/>
        <w:gridCol w:w="995"/>
        <w:gridCol w:w="847"/>
        <w:gridCol w:w="711"/>
        <w:gridCol w:w="851"/>
      </w:tblGrid>
      <w:tr w:rsidR="00186FE2" w:rsidRPr="00847CCC" w:rsidTr="00AC72FE">
        <w:trPr>
          <w:trHeight w:val="759"/>
          <w:jc w:val="right"/>
        </w:trPr>
        <w:tc>
          <w:tcPr>
            <w:tcW w:w="1833" w:type="pct"/>
            <w:tcBorders>
              <w:top w:val="single" w:sz="4" w:space="0" w:color="auto"/>
              <w:left w:val="nil"/>
              <w:bottom w:val="single" w:sz="4" w:space="0" w:color="auto"/>
              <w:right w:val="nil"/>
            </w:tcBorders>
          </w:tcPr>
          <w:p w:rsidR="00186FE2" w:rsidRPr="00847CCC" w:rsidRDefault="00186FE2" w:rsidP="00186FE2">
            <w:pPr>
              <w:pStyle w:val="braytabletext"/>
              <w:rPr>
                <w:szCs w:val="16"/>
              </w:rPr>
            </w:pPr>
          </w:p>
        </w:tc>
        <w:tc>
          <w:tcPr>
            <w:tcW w:w="574" w:type="pct"/>
            <w:tcBorders>
              <w:top w:val="single" w:sz="4" w:space="0" w:color="auto"/>
              <w:left w:val="nil"/>
              <w:bottom w:val="single" w:sz="4" w:space="0" w:color="auto"/>
              <w:right w:val="nil"/>
            </w:tcBorders>
          </w:tcPr>
          <w:p w:rsidR="00186FE2" w:rsidRPr="00847CCC" w:rsidRDefault="00186FE2" w:rsidP="006C33D2">
            <w:pPr>
              <w:pStyle w:val="braytabletext"/>
              <w:jc w:val="right"/>
              <w:rPr>
                <w:szCs w:val="16"/>
              </w:rPr>
            </w:pPr>
            <w:r w:rsidRPr="00847CCC">
              <w:rPr>
                <w:szCs w:val="16"/>
              </w:rPr>
              <w:t>Newstart Allow</w:t>
            </w:r>
            <w:r w:rsidR="00B44975" w:rsidRPr="00847CCC">
              <w:rPr>
                <w:szCs w:val="16"/>
              </w:rPr>
              <w:t>-</w:t>
            </w:r>
            <w:r w:rsidRPr="00847CCC">
              <w:rPr>
                <w:szCs w:val="16"/>
              </w:rPr>
              <w:t>ance</w:t>
            </w:r>
          </w:p>
        </w:tc>
        <w:tc>
          <w:tcPr>
            <w:tcW w:w="592" w:type="pct"/>
            <w:tcBorders>
              <w:top w:val="single" w:sz="4" w:space="0" w:color="auto"/>
              <w:left w:val="nil"/>
              <w:bottom w:val="single" w:sz="4" w:space="0" w:color="auto"/>
              <w:right w:val="nil"/>
            </w:tcBorders>
          </w:tcPr>
          <w:p w:rsidR="00186FE2" w:rsidRPr="00847CCC" w:rsidRDefault="00186FE2" w:rsidP="00186FE2">
            <w:pPr>
              <w:pStyle w:val="braytabletext"/>
              <w:jc w:val="right"/>
              <w:rPr>
                <w:szCs w:val="16"/>
              </w:rPr>
            </w:pPr>
            <w:r w:rsidRPr="00847CCC">
              <w:rPr>
                <w:szCs w:val="16"/>
              </w:rPr>
              <w:t>Parenting Payment Partnered</w:t>
            </w:r>
          </w:p>
        </w:tc>
        <w:tc>
          <w:tcPr>
            <w:tcW w:w="585" w:type="pct"/>
            <w:tcBorders>
              <w:top w:val="single" w:sz="4" w:space="0" w:color="auto"/>
              <w:left w:val="nil"/>
              <w:bottom w:val="single" w:sz="4" w:space="0" w:color="auto"/>
              <w:right w:val="nil"/>
            </w:tcBorders>
          </w:tcPr>
          <w:p w:rsidR="00186FE2" w:rsidRPr="00847CCC" w:rsidRDefault="00186FE2" w:rsidP="00186FE2">
            <w:pPr>
              <w:pStyle w:val="braytabletext"/>
              <w:jc w:val="right"/>
              <w:rPr>
                <w:szCs w:val="16"/>
              </w:rPr>
            </w:pPr>
            <w:r w:rsidRPr="00847CCC">
              <w:rPr>
                <w:szCs w:val="16"/>
              </w:rPr>
              <w:t>Parenting Payment Single</w:t>
            </w:r>
          </w:p>
        </w:tc>
        <w:tc>
          <w:tcPr>
            <w:tcW w:w="498" w:type="pct"/>
            <w:tcBorders>
              <w:top w:val="single" w:sz="4" w:space="0" w:color="auto"/>
              <w:left w:val="nil"/>
              <w:bottom w:val="single" w:sz="4" w:space="0" w:color="auto"/>
              <w:right w:val="nil"/>
            </w:tcBorders>
          </w:tcPr>
          <w:p w:rsidR="00186FE2" w:rsidRPr="00847CCC" w:rsidRDefault="00186FE2" w:rsidP="006C33D2">
            <w:pPr>
              <w:pStyle w:val="braytabletext"/>
              <w:jc w:val="right"/>
              <w:rPr>
                <w:szCs w:val="16"/>
              </w:rPr>
            </w:pPr>
            <w:r w:rsidRPr="00847CCC">
              <w:rPr>
                <w:szCs w:val="16"/>
              </w:rPr>
              <w:t>Youth Allow</w:t>
            </w:r>
            <w:r w:rsidR="00B44975" w:rsidRPr="00847CCC">
              <w:rPr>
                <w:szCs w:val="16"/>
              </w:rPr>
              <w:t>-</w:t>
            </w:r>
            <w:r w:rsidRPr="00847CCC">
              <w:rPr>
                <w:szCs w:val="16"/>
              </w:rPr>
              <w:t>ance</w:t>
            </w:r>
          </w:p>
        </w:tc>
        <w:tc>
          <w:tcPr>
            <w:tcW w:w="418" w:type="pct"/>
            <w:tcBorders>
              <w:top w:val="single" w:sz="4" w:space="0" w:color="auto"/>
              <w:left w:val="nil"/>
              <w:bottom w:val="single" w:sz="4" w:space="0" w:color="auto"/>
              <w:right w:val="nil"/>
            </w:tcBorders>
          </w:tcPr>
          <w:p w:rsidR="00186FE2" w:rsidRPr="00847CCC" w:rsidRDefault="00186FE2" w:rsidP="00186FE2">
            <w:pPr>
              <w:pStyle w:val="braytabletext"/>
              <w:jc w:val="right"/>
              <w:rPr>
                <w:szCs w:val="16"/>
              </w:rPr>
            </w:pPr>
            <w:r w:rsidRPr="00847CCC">
              <w:rPr>
                <w:szCs w:val="16"/>
              </w:rPr>
              <w:t>Other</w:t>
            </w:r>
          </w:p>
        </w:tc>
        <w:tc>
          <w:tcPr>
            <w:tcW w:w="500" w:type="pct"/>
            <w:tcBorders>
              <w:top w:val="single" w:sz="4" w:space="0" w:color="auto"/>
              <w:left w:val="nil"/>
              <w:bottom w:val="single" w:sz="4" w:space="0" w:color="auto"/>
              <w:right w:val="nil"/>
            </w:tcBorders>
          </w:tcPr>
          <w:p w:rsidR="00186FE2" w:rsidRPr="00847CCC" w:rsidRDefault="00186FE2" w:rsidP="00186FE2">
            <w:pPr>
              <w:pStyle w:val="braytabletext"/>
              <w:jc w:val="right"/>
              <w:rPr>
                <w:szCs w:val="16"/>
              </w:rPr>
            </w:pPr>
            <w:r w:rsidRPr="00847CCC">
              <w:rPr>
                <w:szCs w:val="16"/>
              </w:rPr>
              <w:t>Total</w:t>
            </w:r>
          </w:p>
        </w:tc>
      </w:tr>
      <w:tr w:rsidR="00186FE2" w:rsidRPr="00847CCC" w:rsidTr="00AC72FE">
        <w:trPr>
          <w:trHeight w:val="290"/>
          <w:jc w:val="right"/>
        </w:trPr>
        <w:tc>
          <w:tcPr>
            <w:tcW w:w="1833" w:type="pct"/>
            <w:tcBorders>
              <w:top w:val="single" w:sz="4" w:space="0" w:color="auto"/>
              <w:left w:val="nil"/>
              <w:bottom w:val="nil"/>
              <w:right w:val="nil"/>
            </w:tcBorders>
          </w:tcPr>
          <w:p w:rsidR="00186FE2" w:rsidRPr="00847CCC" w:rsidRDefault="00186FE2" w:rsidP="00186FE2">
            <w:pPr>
              <w:pStyle w:val="braytabletext"/>
              <w:rPr>
                <w:szCs w:val="16"/>
              </w:rPr>
            </w:pPr>
            <w:r w:rsidRPr="00847CCC">
              <w:rPr>
                <w:szCs w:val="16"/>
              </w:rPr>
              <w:t>Potential compulsory</w:t>
            </w:r>
          </w:p>
        </w:tc>
        <w:tc>
          <w:tcPr>
            <w:tcW w:w="574" w:type="pct"/>
            <w:tcBorders>
              <w:top w:val="single" w:sz="4" w:space="0" w:color="auto"/>
              <w:left w:val="nil"/>
              <w:bottom w:val="nil"/>
              <w:right w:val="nil"/>
            </w:tcBorders>
          </w:tcPr>
          <w:p w:rsidR="00186FE2" w:rsidRPr="00847CCC" w:rsidRDefault="00186FE2" w:rsidP="00186FE2">
            <w:pPr>
              <w:pStyle w:val="braytabletext"/>
              <w:jc w:val="right"/>
              <w:rPr>
                <w:szCs w:val="16"/>
              </w:rPr>
            </w:pPr>
          </w:p>
        </w:tc>
        <w:tc>
          <w:tcPr>
            <w:tcW w:w="592" w:type="pct"/>
            <w:tcBorders>
              <w:top w:val="single" w:sz="4" w:space="0" w:color="auto"/>
              <w:left w:val="nil"/>
              <w:bottom w:val="nil"/>
              <w:right w:val="nil"/>
            </w:tcBorders>
          </w:tcPr>
          <w:p w:rsidR="00186FE2" w:rsidRPr="00847CCC" w:rsidRDefault="00186FE2" w:rsidP="00186FE2">
            <w:pPr>
              <w:pStyle w:val="braytabletext"/>
              <w:jc w:val="right"/>
              <w:rPr>
                <w:szCs w:val="16"/>
              </w:rPr>
            </w:pPr>
          </w:p>
        </w:tc>
        <w:tc>
          <w:tcPr>
            <w:tcW w:w="585" w:type="pct"/>
            <w:tcBorders>
              <w:top w:val="single" w:sz="4" w:space="0" w:color="auto"/>
              <w:left w:val="nil"/>
              <w:bottom w:val="nil"/>
              <w:right w:val="nil"/>
            </w:tcBorders>
          </w:tcPr>
          <w:p w:rsidR="00186FE2" w:rsidRPr="00847CCC" w:rsidRDefault="00186FE2" w:rsidP="00186FE2">
            <w:pPr>
              <w:pStyle w:val="braytabletext"/>
              <w:jc w:val="right"/>
              <w:rPr>
                <w:szCs w:val="16"/>
              </w:rPr>
            </w:pPr>
          </w:p>
        </w:tc>
        <w:tc>
          <w:tcPr>
            <w:tcW w:w="498" w:type="pct"/>
            <w:tcBorders>
              <w:top w:val="single" w:sz="4" w:space="0" w:color="auto"/>
              <w:left w:val="nil"/>
              <w:bottom w:val="nil"/>
              <w:right w:val="nil"/>
            </w:tcBorders>
          </w:tcPr>
          <w:p w:rsidR="00186FE2" w:rsidRPr="00847CCC" w:rsidRDefault="00186FE2" w:rsidP="00186FE2">
            <w:pPr>
              <w:pStyle w:val="braytabletext"/>
              <w:jc w:val="right"/>
              <w:rPr>
                <w:szCs w:val="16"/>
              </w:rPr>
            </w:pPr>
          </w:p>
        </w:tc>
        <w:tc>
          <w:tcPr>
            <w:tcW w:w="418" w:type="pct"/>
            <w:tcBorders>
              <w:top w:val="single" w:sz="4" w:space="0" w:color="auto"/>
              <w:left w:val="nil"/>
              <w:bottom w:val="nil"/>
              <w:right w:val="nil"/>
            </w:tcBorders>
          </w:tcPr>
          <w:p w:rsidR="00186FE2" w:rsidRPr="00847CCC" w:rsidRDefault="00186FE2" w:rsidP="00186FE2">
            <w:pPr>
              <w:pStyle w:val="braytabletext"/>
              <w:jc w:val="right"/>
              <w:rPr>
                <w:szCs w:val="16"/>
              </w:rPr>
            </w:pPr>
          </w:p>
        </w:tc>
        <w:tc>
          <w:tcPr>
            <w:tcW w:w="500" w:type="pct"/>
            <w:tcBorders>
              <w:top w:val="single" w:sz="4" w:space="0" w:color="auto"/>
              <w:left w:val="nil"/>
              <w:bottom w:val="nil"/>
              <w:right w:val="nil"/>
            </w:tcBorders>
          </w:tcPr>
          <w:p w:rsidR="00186FE2" w:rsidRPr="00847CCC" w:rsidRDefault="00186FE2" w:rsidP="00186FE2">
            <w:pPr>
              <w:pStyle w:val="braytabletext"/>
              <w:jc w:val="right"/>
              <w:rPr>
                <w:szCs w:val="16"/>
              </w:rPr>
            </w:pPr>
          </w:p>
        </w:tc>
      </w:tr>
      <w:tr w:rsidR="00F03B03" w:rsidRPr="00847CCC" w:rsidTr="00AC72FE">
        <w:trPr>
          <w:trHeight w:val="290"/>
          <w:jc w:val="right"/>
        </w:trPr>
        <w:tc>
          <w:tcPr>
            <w:tcW w:w="1833" w:type="pct"/>
            <w:tcBorders>
              <w:top w:val="nil"/>
              <w:left w:val="nil"/>
              <w:bottom w:val="nil"/>
              <w:right w:val="nil"/>
            </w:tcBorders>
          </w:tcPr>
          <w:p w:rsidR="00F03B03" w:rsidRPr="00847CCC" w:rsidRDefault="00F03B03" w:rsidP="00357105">
            <w:pPr>
              <w:pStyle w:val="braytabletext"/>
              <w:rPr>
                <w:szCs w:val="16"/>
              </w:rPr>
            </w:pPr>
            <w:r w:rsidRPr="00847CCC">
              <w:rPr>
                <w:szCs w:val="16"/>
              </w:rPr>
              <w:t>CIM no applic</w:t>
            </w:r>
            <w:r w:rsidR="00357105" w:rsidRPr="00847CCC">
              <w:rPr>
                <w:szCs w:val="16"/>
              </w:rPr>
              <w:t>ation</w:t>
            </w:r>
            <w:r w:rsidRPr="00847CCC">
              <w:rPr>
                <w:szCs w:val="16"/>
              </w:rPr>
              <w:t xml:space="preserve"> for exemption</w:t>
            </w:r>
          </w:p>
        </w:tc>
        <w:tc>
          <w:tcPr>
            <w:tcW w:w="574" w:type="pct"/>
            <w:tcBorders>
              <w:top w:val="nil"/>
              <w:left w:val="nil"/>
              <w:bottom w:val="nil"/>
              <w:right w:val="nil"/>
            </w:tcBorders>
          </w:tcPr>
          <w:p w:rsidR="00F03B03" w:rsidRPr="00847CCC" w:rsidRDefault="00F03B03" w:rsidP="00B44975">
            <w:pPr>
              <w:pStyle w:val="braytabletext"/>
              <w:jc w:val="right"/>
              <w:rPr>
                <w:szCs w:val="16"/>
              </w:rPr>
            </w:pPr>
            <w:r w:rsidRPr="00847CCC">
              <w:rPr>
                <w:szCs w:val="16"/>
              </w:rPr>
              <w:t>6</w:t>
            </w:r>
            <w:r w:rsidR="00267BF5" w:rsidRPr="00847CCC">
              <w:rPr>
                <w:szCs w:val="16"/>
              </w:rPr>
              <w:t> </w:t>
            </w:r>
            <w:r w:rsidRPr="00847CCC">
              <w:rPr>
                <w:szCs w:val="16"/>
              </w:rPr>
              <w:t>636</w:t>
            </w:r>
          </w:p>
        </w:tc>
        <w:tc>
          <w:tcPr>
            <w:tcW w:w="592" w:type="pct"/>
            <w:tcBorders>
              <w:top w:val="nil"/>
              <w:left w:val="nil"/>
              <w:bottom w:val="nil"/>
              <w:right w:val="nil"/>
            </w:tcBorders>
          </w:tcPr>
          <w:p w:rsidR="00F03B03" w:rsidRPr="00847CCC" w:rsidRDefault="00F03B03" w:rsidP="00B44975">
            <w:pPr>
              <w:pStyle w:val="braytabletext"/>
              <w:jc w:val="right"/>
              <w:rPr>
                <w:szCs w:val="16"/>
              </w:rPr>
            </w:pPr>
            <w:r w:rsidRPr="00847CCC">
              <w:rPr>
                <w:szCs w:val="16"/>
              </w:rPr>
              <w:t>1</w:t>
            </w:r>
            <w:r w:rsidR="00267BF5" w:rsidRPr="00847CCC">
              <w:rPr>
                <w:szCs w:val="16"/>
              </w:rPr>
              <w:t> </w:t>
            </w:r>
            <w:r w:rsidRPr="00847CCC">
              <w:rPr>
                <w:szCs w:val="16"/>
              </w:rPr>
              <w:t>812</w:t>
            </w:r>
          </w:p>
        </w:tc>
        <w:tc>
          <w:tcPr>
            <w:tcW w:w="585" w:type="pct"/>
            <w:tcBorders>
              <w:top w:val="nil"/>
              <w:left w:val="nil"/>
              <w:bottom w:val="nil"/>
              <w:right w:val="nil"/>
            </w:tcBorders>
          </w:tcPr>
          <w:p w:rsidR="00F03B03" w:rsidRPr="00847CCC" w:rsidRDefault="00F03B03" w:rsidP="00B44975">
            <w:pPr>
              <w:pStyle w:val="braytabletext"/>
              <w:jc w:val="right"/>
              <w:rPr>
                <w:szCs w:val="16"/>
              </w:rPr>
            </w:pPr>
            <w:r w:rsidRPr="00847CCC">
              <w:rPr>
                <w:szCs w:val="16"/>
              </w:rPr>
              <w:t>1</w:t>
            </w:r>
            <w:r w:rsidR="00267BF5" w:rsidRPr="00847CCC">
              <w:rPr>
                <w:szCs w:val="16"/>
              </w:rPr>
              <w:t> </w:t>
            </w:r>
            <w:r w:rsidRPr="00847CCC">
              <w:rPr>
                <w:szCs w:val="16"/>
              </w:rPr>
              <w:t>687</w:t>
            </w:r>
          </w:p>
        </w:tc>
        <w:tc>
          <w:tcPr>
            <w:tcW w:w="498" w:type="pct"/>
            <w:tcBorders>
              <w:top w:val="nil"/>
              <w:left w:val="nil"/>
              <w:bottom w:val="nil"/>
              <w:right w:val="nil"/>
            </w:tcBorders>
          </w:tcPr>
          <w:p w:rsidR="00F03B03" w:rsidRPr="00847CCC" w:rsidRDefault="00F03B03" w:rsidP="00B44975">
            <w:pPr>
              <w:pStyle w:val="braytabletext"/>
              <w:jc w:val="right"/>
              <w:rPr>
                <w:szCs w:val="16"/>
              </w:rPr>
            </w:pPr>
            <w:r w:rsidRPr="00847CCC">
              <w:rPr>
                <w:szCs w:val="16"/>
              </w:rPr>
              <w:t>1</w:t>
            </w:r>
            <w:r w:rsidR="00267BF5" w:rsidRPr="00847CCC">
              <w:rPr>
                <w:szCs w:val="16"/>
              </w:rPr>
              <w:t> </w:t>
            </w:r>
            <w:r w:rsidRPr="00847CCC">
              <w:rPr>
                <w:szCs w:val="16"/>
              </w:rPr>
              <w:t>278</w:t>
            </w:r>
          </w:p>
        </w:tc>
        <w:tc>
          <w:tcPr>
            <w:tcW w:w="418" w:type="pct"/>
            <w:tcBorders>
              <w:top w:val="nil"/>
              <w:left w:val="nil"/>
              <w:bottom w:val="nil"/>
              <w:right w:val="nil"/>
            </w:tcBorders>
          </w:tcPr>
          <w:p w:rsidR="00F03B03" w:rsidRPr="00847CCC" w:rsidRDefault="00F03B03" w:rsidP="00F03B03">
            <w:pPr>
              <w:pStyle w:val="braytabletext"/>
              <w:jc w:val="right"/>
              <w:rPr>
                <w:szCs w:val="16"/>
              </w:rPr>
            </w:pPr>
            <w:r w:rsidRPr="00847CCC">
              <w:rPr>
                <w:szCs w:val="16"/>
              </w:rPr>
              <w:t>9</w:t>
            </w:r>
          </w:p>
        </w:tc>
        <w:tc>
          <w:tcPr>
            <w:tcW w:w="500" w:type="pct"/>
            <w:tcBorders>
              <w:top w:val="nil"/>
              <w:left w:val="nil"/>
              <w:bottom w:val="nil"/>
              <w:right w:val="nil"/>
            </w:tcBorders>
          </w:tcPr>
          <w:p w:rsidR="00F03B03" w:rsidRPr="00847CCC" w:rsidRDefault="00F03B03" w:rsidP="00B44975">
            <w:pPr>
              <w:pStyle w:val="braytabletext"/>
              <w:jc w:val="right"/>
              <w:rPr>
                <w:szCs w:val="16"/>
              </w:rPr>
            </w:pPr>
            <w:r w:rsidRPr="00847CCC">
              <w:rPr>
                <w:szCs w:val="16"/>
              </w:rPr>
              <w:t>11</w:t>
            </w:r>
            <w:r w:rsidR="00267BF5" w:rsidRPr="00847CCC">
              <w:rPr>
                <w:szCs w:val="16"/>
              </w:rPr>
              <w:t> </w:t>
            </w:r>
            <w:r w:rsidRPr="00847CCC">
              <w:rPr>
                <w:szCs w:val="16"/>
              </w:rPr>
              <w:t>422</w:t>
            </w:r>
          </w:p>
        </w:tc>
      </w:tr>
      <w:tr w:rsidR="00F03B03" w:rsidRPr="00847CCC" w:rsidTr="00AC72FE">
        <w:trPr>
          <w:trHeight w:val="290"/>
          <w:jc w:val="right"/>
        </w:trPr>
        <w:tc>
          <w:tcPr>
            <w:tcW w:w="1833" w:type="pct"/>
            <w:tcBorders>
              <w:top w:val="nil"/>
              <w:left w:val="nil"/>
              <w:bottom w:val="nil"/>
              <w:right w:val="nil"/>
            </w:tcBorders>
          </w:tcPr>
          <w:p w:rsidR="00F03B03" w:rsidRPr="00847CCC" w:rsidRDefault="00F03B03" w:rsidP="00186FE2">
            <w:pPr>
              <w:pStyle w:val="braytabletext"/>
              <w:rPr>
                <w:szCs w:val="16"/>
              </w:rPr>
            </w:pPr>
            <w:r w:rsidRPr="00847CCC">
              <w:rPr>
                <w:szCs w:val="16"/>
              </w:rPr>
              <w:t>CIM exemption rejected</w:t>
            </w:r>
          </w:p>
        </w:tc>
        <w:tc>
          <w:tcPr>
            <w:tcW w:w="574" w:type="pct"/>
            <w:tcBorders>
              <w:top w:val="nil"/>
              <w:left w:val="nil"/>
              <w:bottom w:val="nil"/>
              <w:right w:val="nil"/>
            </w:tcBorders>
          </w:tcPr>
          <w:p w:rsidR="00F03B03" w:rsidRPr="00847CCC" w:rsidRDefault="00F03B03" w:rsidP="00F03B03">
            <w:pPr>
              <w:pStyle w:val="braytabletext"/>
              <w:jc w:val="right"/>
              <w:rPr>
                <w:szCs w:val="16"/>
              </w:rPr>
            </w:pPr>
            <w:r w:rsidRPr="00847CCC">
              <w:rPr>
                <w:szCs w:val="16"/>
              </w:rPr>
              <w:t>206</w:t>
            </w:r>
          </w:p>
        </w:tc>
        <w:tc>
          <w:tcPr>
            <w:tcW w:w="592" w:type="pct"/>
            <w:tcBorders>
              <w:top w:val="nil"/>
              <w:left w:val="nil"/>
              <w:bottom w:val="nil"/>
              <w:right w:val="nil"/>
            </w:tcBorders>
          </w:tcPr>
          <w:p w:rsidR="00F03B03" w:rsidRPr="00847CCC" w:rsidRDefault="00F03B03" w:rsidP="00F03B03">
            <w:pPr>
              <w:pStyle w:val="braytabletext"/>
              <w:jc w:val="right"/>
              <w:rPr>
                <w:szCs w:val="16"/>
              </w:rPr>
            </w:pPr>
            <w:r w:rsidRPr="00847CCC">
              <w:rPr>
                <w:szCs w:val="16"/>
              </w:rPr>
              <w:t>402</w:t>
            </w:r>
          </w:p>
        </w:tc>
        <w:tc>
          <w:tcPr>
            <w:tcW w:w="585" w:type="pct"/>
            <w:tcBorders>
              <w:top w:val="nil"/>
              <w:left w:val="nil"/>
              <w:bottom w:val="nil"/>
              <w:right w:val="nil"/>
            </w:tcBorders>
          </w:tcPr>
          <w:p w:rsidR="00F03B03" w:rsidRPr="00847CCC" w:rsidRDefault="00F03B03" w:rsidP="00F03B03">
            <w:pPr>
              <w:pStyle w:val="braytabletext"/>
              <w:jc w:val="right"/>
              <w:rPr>
                <w:szCs w:val="16"/>
              </w:rPr>
            </w:pPr>
            <w:r w:rsidRPr="00847CCC">
              <w:rPr>
                <w:szCs w:val="16"/>
              </w:rPr>
              <w:t>538</w:t>
            </w:r>
          </w:p>
        </w:tc>
        <w:tc>
          <w:tcPr>
            <w:tcW w:w="498" w:type="pct"/>
            <w:tcBorders>
              <w:top w:val="nil"/>
              <w:left w:val="nil"/>
              <w:bottom w:val="nil"/>
              <w:right w:val="nil"/>
            </w:tcBorders>
          </w:tcPr>
          <w:p w:rsidR="00F03B03" w:rsidRPr="00847CCC" w:rsidRDefault="00C56AA3" w:rsidP="00F03B03">
            <w:pPr>
              <w:pStyle w:val="braytabletext"/>
              <w:jc w:val="right"/>
              <w:rPr>
                <w:szCs w:val="16"/>
              </w:rPr>
            </w:pPr>
            <w:r w:rsidRPr="00847CCC">
              <w:rPr>
                <w:szCs w:val="16"/>
              </w:rPr>
              <w:t>6</w:t>
            </w:r>
          </w:p>
        </w:tc>
        <w:tc>
          <w:tcPr>
            <w:tcW w:w="418" w:type="pct"/>
            <w:tcBorders>
              <w:top w:val="nil"/>
              <w:left w:val="nil"/>
              <w:bottom w:val="nil"/>
              <w:right w:val="nil"/>
            </w:tcBorders>
          </w:tcPr>
          <w:p w:rsidR="00F03B03" w:rsidRPr="00847CCC" w:rsidRDefault="00C56AA3" w:rsidP="00F03B03">
            <w:pPr>
              <w:pStyle w:val="braytabletext"/>
              <w:jc w:val="right"/>
              <w:rPr>
                <w:szCs w:val="16"/>
              </w:rPr>
            </w:pPr>
            <w:r w:rsidRPr="00847CCC">
              <w:rPr>
                <w:szCs w:val="16"/>
              </w:rPr>
              <w:t>0</w:t>
            </w:r>
          </w:p>
        </w:tc>
        <w:tc>
          <w:tcPr>
            <w:tcW w:w="500" w:type="pct"/>
            <w:tcBorders>
              <w:top w:val="nil"/>
              <w:left w:val="nil"/>
              <w:bottom w:val="nil"/>
              <w:right w:val="nil"/>
            </w:tcBorders>
          </w:tcPr>
          <w:p w:rsidR="00F03B03" w:rsidRPr="00847CCC" w:rsidRDefault="00F03B03" w:rsidP="00B44975">
            <w:pPr>
              <w:pStyle w:val="braytabletext"/>
              <w:jc w:val="right"/>
              <w:rPr>
                <w:szCs w:val="16"/>
              </w:rPr>
            </w:pPr>
            <w:r w:rsidRPr="00847CCC">
              <w:rPr>
                <w:szCs w:val="16"/>
              </w:rPr>
              <w:t>1</w:t>
            </w:r>
            <w:r w:rsidR="00267BF5" w:rsidRPr="00847CCC">
              <w:rPr>
                <w:szCs w:val="16"/>
              </w:rPr>
              <w:t> </w:t>
            </w:r>
            <w:r w:rsidRPr="00847CCC">
              <w:rPr>
                <w:szCs w:val="16"/>
              </w:rPr>
              <w:t>152</w:t>
            </w:r>
          </w:p>
        </w:tc>
      </w:tr>
      <w:tr w:rsidR="00F03B03" w:rsidRPr="00847CCC" w:rsidTr="00AC72FE">
        <w:trPr>
          <w:trHeight w:val="290"/>
          <w:jc w:val="right"/>
        </w:trPr>
        <w:tc>
          <w:tcPr>
            <w:tcW w:w="1833" w:type="pct"/>
            <w:tcBorders>
              <w:top w:val="nil"/>
              <w:left w:val="nil"/>
              <w:bottom w:val="nil"/>
              <w:right w:val="nil"/>
            </w:tcBorders>
          </w:tcPr>
          <w:p w:rsidR="00F03B03" w:rsidRPr="00847CCC" w:rsidRDefault="00F03B03" w:rsidP="00357105">
            <w:pPr>
              <w:pStyle w:val="braytabletext"/>
              <w:rPr>
                <w:szCs w:val="16"/>
              </w:rPr>
            </w:pPr>
            <w:r w:rsidRPr="00847CCC">
              <w:rPr>
                <w:szCs w:val="16"/>
              </w:rPr>
              <w:t>CIM applic</w:t>
            </w:r>
            <w:r w:rsidR="00357105" w:rsidRPr="00847CCC">
              <w:rPr>
                <w:szCs w:val="16"/>
              </w:rPr>
              <w:t>ation</w:t>
            </w:r>
            <w:r w:rsidRPr="00847CCC">
              <w:rPr>
                <w:szCs w:val="16"/>
              </w:rPr>
              <w:t xml:space="preserve"> for exempt</w:t>
            </w:r>
            <w:r w:rsidR="00357105" w:rsidRPr="00847CCC">
              <w:rPr>
                <w:szCs w:val="16"/>
              </w:rPr>
              <w:t xml:space="preserve">ion </w:t>
            </w:r>
            <w:r w:rsidRPr="00847CCC">
              <w:rPr>
                <w:szCs w:val="16"/>
              </w:rPr>
              <w:t>withdrawn</w:t>
            </w:r>
          </w:p>
        </w:tc>
        <w:tc>
          <w:tcPr>
            <w:tcW w:w="574" w:type="pct"/>
            <w:tcBorders>
              <w:top w:val="nil"/>
              <w:left w:val="nil"/>
              <w:bottom w:val="nil"/>
              <w:right w:val="nil"/>
            </w:tcBorders>
          </w:tcPr>
          <w:p w:rsidR="00F03B03" w:rsidRPr="00847CCC" w:rsidRDefault="00C56AA3" w:rsidP="00F03B03">
            <w:pPr>
              <w:pStyle w:val="braytabletext"/>
              <w:jc w:val="right"/>
              <w:rPr>
                <w:szCs w:val="16"/>
              </w:rPr>
            </w:pPr>
            <w:r w:rsidRPr="00847CCC">
              <w:rPr>
                <w:szCs w:val="16"/>
              </w:rPr>
              <w:t>4</w:t>
            </w:r>
          </w:p>
        </w:tc>
        <w:tc>
          <w:tcPr>
            <w:tcW w:w="592" w:type="pct"/>
            <w:tcBorders>
              <w:top w:val="nil"/>
              <w:left w:val="nil"/>
              <w:bottom w:val="nil"/>
              <w:right w:val="nil"/>
            </w:tcBorders>
          </w:tcPr>
          <w:p w:rsidR="00F03B03" w:rsidRPr="00847CCC" w:rsidRDefault="00C56AA3" w:rsidP="00F03B03">
            <w:pPr>
              <w:pStyle w:val="braytabletext"/>
              <w:jc w:val="right"/>
              <w:rPr>
                <w:szCs w:val="16"/>
              </w:rPr>
            </w:pPr>
            <w:r w:rsidRPr="00847CCC">
              <w:rPr>
                <w:szCs w:val="16"/>
              </w:rPr>
              <w:t>29</w:t>
            </w:r>
          </w:p>
        </w:tc>
        <w:tc>
          <w:tcPr>
            <w:tcW w:w="585" w:type="pct"/>
            <w:tcBorders>
              <w:top w:val="nil"/>
              <w:left w:val="nil"/>
              <w:bottom w:val="nil"/>
              <w:right w:val="nil"/>
            </w:tcBorders>
          </w:tcPr>
          <w:p w:rsidR="00F03B03" w:rsidRPr="00847CCC" w:rsidRDefault="00F03B03" w:rsidP="00F03B03">
            <w:pPr>
              <w:pStyle w:val="braytabletext"/>
              <w:jc w:val="right"/>
              <w:rPr>
                <w:szCs w:val="16"/>
              </w:rPr>
            </w:pPr>
            <w:r w:rsidRPr="00847CCC">
              <w:rPr>
                <w:szCs w:val="16"/>
              </w:rPr>
              <w:t>43</w:t>
            </w:r>
          </w:p>
        </w:tc>
        <w:tc>
          <w:tcPr>
            <w:tcW w:w="498" w:type="pct"/>
            <w:tcBorders>
              <w:top w:val="nil"/>
              <w:left w:val="nil"/>
              <w:bottom w:val="nil"/>
              <w:right w:val="nil"/>
            </w:tcBorders>
          </w:tcPr>
          <w:p w:rsidR="00F03B03" w:rsidRPr="00847CCC" w:rsidRDefault="00C56AA3" w:rsidP="00F03B03">
            <w:pPr>
              <w:pStyle w:val="braytabletext"/>
              <w:jc w:val="right"/>
              <w:rPr>
                <w:szCs w:val="16"/>
              </w:rPr>
            </w:pPr>
            <w:r w:rsidRPr="00847CCC">
              <w:rPr>
                <w:szCs w:val="16"/>
              </w:rPr>
              <w:t>0</w:t>
            </w:r>
          </w:p>
        </w:tc>
        <w:tc>
          <w:tcPr>
            <w:tcW w:w="418" w:type="pct"/>
            <w:tcBorders>
              <w:top w:val="nil"/>
              <w:left w:val="nil"/>
              <w:bottom w:val="nil"/>
              <w:right w:val="nil"/>
            </w:tcBorders>
          </w:tcPr>
          <w:p w:rsidR="00F03B03" w:rsidRPr="00847CCC" w:rsidRDefault="00C56AA3" w:rsidP="00F03B03">
            <w:pPr>
              <w:pStyle w:val="braytabletext"/>
              <w:jc w:val="right"/>
              <w:rPr>
                <w:szCs w:val="16"/>
              </w:rPr>
            </w:pPr>
            <w:r w:rsidRPr="00847CCC">
              <w:rPr>
                <w:szCs w:val="16"/>
              </w:rPr>
              <w:t>1</w:t>
            </w:r>
          </w:p>
        </w:tc>
        <w:tc>
          <w:tcPr>
            <w:tcW w:w="500" w:type="pct"/>
            <w:tcBorders>
              <w:top w:val="nil"/>
              <w:left w:val="nil"/>
              <w:bottom w:val="nil"/>
              <w:right w:val="nil"/>
            </w:tcBorders>
          </w:tcPr>
          <w:p w:rsidR="00F03B03" w:rsidRPr="00847CCC" w:rsidRDefault="00F03B03" w:rsidP="00F03B03">
            <w:pPr>
              <w:pStyle w:val="braytabletext"/>
              <w:jc w:val="right"/>
              <w:rPr>
                <w:szCs w:val="16"/>
              </w:rPr>
            </w:pPr>
            <w:r w:rsidRPr="00847CCC">
              <w:rPr>
                <w:szCs w:val="16"/>
              </w:rPr>
              <w:t>77</w:t>
            </w:r>
          </w:p>
        </w:tc>
      </w:tr>
      <w:tr w:rsidR="00F03B03" w:rsidRPr="00847CCC" w:rsidTr="00AC72FE">
        <w:trPr>
          <w:trHeight w:val="290"/>
          <w:jc w:val="right"/>
        </w:trPr>
        <w:tc>
          <w:tcPr>
            <w:tcW w:w="1833" w:type="pct"/>
            <w:tcBorders>
              <w:top w:val="nil"/>
              <w:left w:val="nil"/>
              <w:bottom w:val="nil"/>
              <w:right w:val="nil"/>
            </w:tcBorders>
          </w:tcPr>
          <w:p w:rsidR="00F03B03" w:rsidRPr="00847CCC" w:rsidRDefault="00F03B03" w:rsidP="00186FE2">
            <w:pPr>
              <w:pStyle w:val="braytabletext"/>
              <w:rPr>
                <w:szCs w:val="16"/>
              </w:rPr>
            </w:pPr>
            <w:r w:rsidRPr="00847CCC">
              <w:rPr>
                <w:szCs w:val="16"/>
              </w:rPr>
              <w:t>On VIM has exemption</w:t>
            </w:r>
          </w:p>
        </w:tc>
        <w:tc>
          <w:tcPr>
            <w:tcW w:w="574" w:type="pct"/>
            <w:tcBorders>
              <w:top w:val="nil"/>
              <w:left w:val="nil"/>
              <w:bottom w:val="nil"/>
              <w:right w:val="nil"/>
            </w:tcBorders>
          </w:tcPr>
          <w:p w:rsidR="00F03B03" w:rsidRPr="00847CCC" w:rsidRDefault="00C56AA3" w:rsidP="00F03B03">
            <w:pPr>
              <w:pStyle w:val="braytabletext"/>
              <w:jc w:val="right"/>
              <w:rPr>
                <w:szCs w:val="16"/>
              </w:rPr>
            </w:pPr>
            <w:r w:rsidRPr="00847CCC">
              <w:rPr>
                <w:szCs w:val="16"/>
              </w:rPr>
              <w:t>3</w:t>
            </w:r>
          </w:p>
        </w:tc>
        <w:tc>
          <w:tcPr>
            <w:tcW w:w="592" w:type="pct"/>
            <w:tcBorders>
              <w:top w:val="nil"/>
              <w:left w:val="nil"/>
              <w:bottom w:val="nil"/>
              <w:right w:val="nil"/>
            </w:tcBorders>
          </w:tcPr>
          <w:p w:rsidR="00F03B03" w:rsidRPr="00847CCC" w:rsidRDefault="00C56AA3" w:rsidP="00F03B03">
            <w:pPr>
              <w:pStyle w:val="braytabletext"/>
              <w:jc w:val="right"/>
              <w:rPr>
                <w:szCs w:val="16"/>
              </w:rPr>
            </w:pPr>
            <w:r w:rsidRPr="00847CCC">
              <w:rPr>
                <w:szCs w:val="16"/>
              </w:rPr>
              <w:t>3</w:t>
            </w:r>
          </w:p>
        </w:tc>
        <w:tc>
          <w:tcPr>
            <w:tcW w:w="585" w:type="pct"/>
            <w:tcBorders>
              <w:top w:val="nil"/>
              <w:left w:val="nil"/>
              <w:bottom w:val="nil"/>
              <w:right w:val="nil"/>
            </w:tcBorders>
          </w:tcPr>
          <w:p w:rsidR="00F03B03" w:rsidRPr="00847CCC" w:rsidRDefault="00F03B03" w:rsidP="00F03B03">
            <w:pPr>
              <w:pStyle w:val="braytabletext"/>
              <w:jc w:val="right"/>
              <w:rPr>
                <w:szCs w:val="16"/>
              </w:rPr>
            </w:pPr>
            <w:r w:rsidRPr="00847CCC">
              <w:rPr>
                <w:szCs w:val="16"/>
              </w:rPr>
              <w:t>8</w:t>
            </w:r>
          </w:p>
        </w:tc>
        <w:tc>
          <w:tcPr>
            <w:tcW w:w="498" w:type="pct"/>
            <w:tcBorders>
              <w:top w:val="nil"/>
              <w:left w:val="nil"/>
              <w:bottom w:val="nil"/>
              <w:right w:val="nil"/>
            </w:tcBorders>
          </w:tcPr>
          <w:p w:rsidR="00F03B03" w:rsidRPr="00847CCC" w:rsidRDefault="00F03B03" w:rsidP="00F03B03">
            <w:pPr>
              <w:pStyle w:val="braytabletext"/>
              <w:jc w:val="right"/>
              <w:rPr>
                <w:szCs w:val="16"/>
              </w:rPr>
            </w:pPr>
            <w:r w:rsidRPr="00847CCC">
              <w:rPr>
                <w:szCs w:val="16"/>
              </w:rPr>
              <w:t>0</w:t>
            </w:r>
          </w:p>
        </w:tc>
        <w:tc>
          <w:tcPr>
            <w:tcW w:w="418" w:type="pct"/>
            <w:tcBorders>
              <w:top w:val="nil"/>
              <w:left w:val="nil"/>
              <w:bottom w:val="nil"/>
              <w:right w:val="nil"/>
            </w:tcBorders>
          </w:tcPr>
          <w:p w:rsidR="00F03B03" w:rsidRPr="00847CCC" w:rsidRDefault="00F03B03" w:rsidP="00F03B03">
            <w:pPr>
              <w:pStyle w:val="braytabletext"/>
              <w:jc w:val="right"/>
              <w:rPr>
                <w:szCs w:val="16"/>
              </w:rPr>
            </w:pPr>
            <w:r w:rsidRPr="00847CCC">
              <w:rPr>
                <w:szCs w:val="16"/>
              </w:rPr>
              <w:t>0</w:t>
            </w:r>
          </w:p>
        </w:tc>
        <w:tc>
          <w:tcPr>
            <w:tcW w:w="500" w:type="pct"/>
            <w:tcBorders>
              <w:top w:val="nil"/>
              <w:left w:val="nil"/>
              <w:bottom w:val="nil"/>
              <w:right w:val="nil"/>
            </w:tcBorders>
          </w:tcPr>
          <w:p w:rsidR="00F03B03" w:rsidRPr="00847CCC" w:rsidRDefault="00F03B03" w:rsidP="00F03B03">
            <w:pPr>
              <w:pStyle w:val="braytabletext"/>
              <w:jc w:val="right"/>
              <w:rPr>
                <w:szCs w:val="16"/>
              </w:rPr>
            </w:pPr>
            <w:r w:rsidRPr="00847CCC">
              <w:rPr>
                <w:szCs w:val="16"/>
              </w:rPr>
              <w:t>14</w:t>
            </w:r>
          </w:p>
        </w:tc>
      </w:tr>
      <w:tr w:rsidR="00F03B03" w:rsidRPr="00847CCC" w:rsidTr="00AC72FE">
        <w:trPr>
          <w:trHeight w:val="290"/>
          <w:jc w:val="right"/>
        </w:trPr>
        <w:tc>
          <w:tcPr>
            <w:tcW w:w="1833" w:type="pct"/>
            <w:tcBorders>
              <w:top w:val="nil"/>
              <w:left w:val="nil"/>
              <w:bottom w:val="nil"/>
              <w:right w:val="nil"/>
            </w:tcBorders>
          </w:tcPr>
          <w:p w:rsidR="00F03B03" w:rsidRPr="00587AD8" w:rsidRDefault="00F03B03" w:rsidP="00186FE2">
            <w:pPr>
              <w:pStyle w:val="braytabletext"/>
              <w:rPr>
                <w:i/>
                <w:szCs w:val="16"/>
              </w:rPr>
            </w:pPr>
            <w:r w:rsidRPr="00587AD8">
              <w:rPr>
                <w:i/>
                <w:szCs w:val="16"/>
              </w:rPr>
              <w:t>Total</w:t>
            </w:r>
          </w:p>
        </w:tc>
        <w:tc>
          <w:tcPr>
            <w:tcW w:w="574" w:type="pct"/>
            <w:tcBorders>
              <w:top w:val="nil"/>
              <w:left w:val="nil"/>
              <w:bottom w:val="nil"/>
              <w:right w:val="nil"/>
            </w:tcBorders>
          </w:tcPr>
          <w:p w:rsidR="00F03B03" w:rsidRPr="00587AD8" w:rsidRDefault="00F03B03" w:rsidP="00B44975">
            <w:pPr>
              <w:pStyle w:val="braytabletext"/>
              <w:jc w:val="right"/>
              <w:rPr>
                <w:i/>
                <w:szCs w:val="16"/>
              </w:rPr>
            </w:pPr>
            <w:r w:rsidRPr="00587AD8">
              <w:rPr>
                <w:i/>
                <w:szCs w:val="16"/>
              </w:rPr>
              <w:t>6</w:t>
            </w:r>
            <w:r w:rsidR="00267BF5" w:rsidRPr="00587AD8">
              <w:rPr>
                <w:i/>
                <w:szCs w:val="16"/>
              </w:rPr>
              <w:t> </w:t>
            </w:r>
            <w:r w:rsidRPr="00587AD8">
              <w:rPr>
                <w:i/>
                <w:szCs w:val="16"/>
              </w:rPr>
              <w:t>849</w:t>
            </w:r>
          </w:p>
        </w:tc>
        <w:tc>
          <w:tcPr>
            <w:tcW w:w="592" w:type="pct"/>
            <w:tcBorders>
              <w:top w:val="nil"/>
              <w:left w:val="nil"/>
              <w:bottom w:val="nil"/>
              <w:right w:val="nil"/>
            </w:tcBorders>
          </w:tcPr>
          <w:p w:rsidR="00F03B03" w:rsidRPr="00587AD8" w:rsidRDefault="00F03B03" w:rsidP="00B44975">
            <w:pPr>
              <w:pStyle w:val="braytabletext"/>
              <w:jc w:val="right"/>
              <w:rPr>
                <w:i/>
                <w:szCs w:val="16"/>
              </w:rPr>
            </w:pPr>
            <w:r w:rsidRPr="00587AD8">
              <w:rPr>
                <w:i/>
                <w:szCs w:val="16"/>
              </w:rPr>
              <w:t>2</w:t>
            </w:r>
            <w:r w:rsidR="00267BF5" w:rsidRPr="00587AD8">
              <w:rPr>
                <w:i/>
                <w:szCs w:val="16"/>
              </w:rPr>
              <w:t> </w:t>
            </w:r>
            <w:r w:rsidRPr="00587AD8">
              <w:rPr>
                <w:i/>
                <w:szCs w:val="16"/>
              </w:rPr>
              <w:t>246</w:t>
            </w:r>
          </w:p>
        </w:tc>
        <w:tc>
          <w:tcPr>
            <w:tcW w:w="585" w:type="pct"/>
            <w:tcBorders>
              <w:top w:val="nil"/>
              <w:left w:val="nil"/>
              <w:bottom w:val="nil"/>
              <w:right w:val="nil"/>
            </w:tcBorders>
          </w:tcPr>
          <w:p w:rsidR="00F03B03" w:rsidRPr="00587AD8" w:rsidRDefault="00F03B03" w:rsidP="00B44975">
            <w:pPr>
              <w:pStyle w:val="braytabletext"/>
              <w:jc w:val="right"/>
              <w:rPr>
                <w:i/>
                <w:szCs w:val="16"/>
              </w:rPr>
            </w:pPr>
            <w:r w:rsidRPr="00587AD8">
              <w:rPr>
                <w:i/>
                <w:szCs w:val="16"/>
              </w:rPr>
              <w:t>2</w:t>
            </w:r>
            <w:r w:rsidR="00267BF5" w:rsidRPr="00587AD8">
              <w:rPr>
                <w:i/>
                <w:szCs w:val="16"/>
              </w:rPr>
              <w:t> </w:t>
            </w:r>
            <w:r w:rsidRPr="00587AD8">
              <w:rPr>
                <w:i/>
                <w:szCs w:val="16"/>
              </w:rPr>
              <w:t>276</w:t>
            </w:r>
          </w:p>
        </w:tc>
        <w:tc>
          <w:tcPr>
            <w:tcW w:w="498" w:type="pct"/>
            <w:tcBorders>
              <w:top w:val="nil"/>
              <w:left w:val="nil"/>
              <w:bottom w:val="nil"/>
              <w:right w:val="nil"/>
            </w:tcBorders>
          </w:tcPr>
          <w:p w:rsidR="00F03B03" w:rsidRPr="00587AD8" w:rsidRDefault="00F03B03" w:rsidP="00B44975">
            <w:pPr>
              <w:pStyle w:val="braytabletext"/>
              <w:jc w:val="right"/>
              <w:rPr>
                <w:i/>
                <w:szCs w:val="16"/>
              </w:rPr>
            </w:pPr>
            <w:r w:rsidRPr="00587AD8">
              <w:rPr>
                <w:i/>
                <w:szCs w:val="16"/>
              </w:rPr>
              <w:t>1</w:t>
            </w:r>
            <w:r w:rsidR="00267BF5" w:rsidRPr="00587AD8">
              <w:rPr>
                <w:i/>
                <w:szCs w:val="16"/>
              </w:rPr>
              <w:t> </w:t>
            </w:r>
            <w:r w:rsidRPr="00587AD8">
              <w:rPr>
                <w:i/>
                <w:szCs w:val="16"/>
              </w:rPr>
              <w:t>284</w:t>
            </w:r>
          </w:p>
        </w:tc>
        <w:tc>
          <w:tcPr>
            <w:tcW w:w="418" w:type="pct"/>
            <w:tcBorders>
              <w:top w:val="nil"/>
              <w:left w:val="nil"/>
              <w:bottom w:val="nil"/>
              <w:right w:val="nil"/>
            </w:tcBorders>
          </w:tcPr>
          <w:p w:rsidR="00F03B03" w:rsidRPr="00587AD8" w:rsidRDefault="00F03B03" w:rsidP="00F03B03">
            <w:pPr>
              <w:pStyle w:val="braytabletext"/>
              <w:jc w:val="right"/>
              <w:rPr>
                <w:i/>
                <w:szCs w:val="16"/>
              </w:rPr>
            </w:pPr>
            <w:r w:rsidRPr="00587AD8">
              <w:rPr>
                <w:i/>
                <w:szCs w:val="16"/>
              </w:rPr>
              <w:t>10</w:t>
            </w:r>
          </w:p>
        </w:tc>
        <w:tc>
          <w:tcPr>
            <w:tcW w:w="500" w:type="pct"/>
            <w:tcBorders>
              <w:top w:val="nil"/>
              <w:left w:val="nil"/>
              <w:bottom w:val="nil"/>
              <w:right w:val="nil"/>
            </w:tcBorders>
          </w:tcPr>
          <w:p w:rsidR="00F03B03" w:rsidRPr="00587AD8" w:rsidRDefault="00F03B03" w:rsidP="00B44975">
            <w:pPr>
              <w:pStyle w:val="braytabletext"/>
              <w:jc w:val="right"/>
              <w:rPr>
                <w:i/>
                <w:szCs w:val="16"/>
              </w:rPr>
            </w:pPr>
            <w:r w:rsidRPr="00587AD8">
              <w:rPr>
                <w:i/>
                <w:szCs w:val="16"/>
              </w:rPr>
              <w:t>12</w:t>
            </w:r>
            <w:r w:rsidR="00267BF5" w:rsidRPr="00587AD8">
              <w:rPr>
                <w:i/>
                <w:szCs w:val="16"/>
              </w:rPr>
              <w:t> </w:t>
            </w:r>
            <w:r w:rsidRPr="00587AD8">
              <w:rPr>
                <w:i/>
                <w:szCs w:val="16"/>
              </w:rPr>
              <w:t>665</w:t>
            </w:r>
          </w:p>
        </w:tc>
      </w:tr>
      <w:tr w:rsidR="00F03B03" w:rsidRPr="00847CCC" w:rsidTr="00AC72FE">
        <w:trPr>
          <w:trHeight w:val="290"/>
          <w:jc w:val="right"/>
        </w:trPr>
        <w:tc>
          <w:tcPr>
            <w:tcW w:w="1833" w:type="pct"/>
            <w:tcBorders>
              <w:top w:val="nil"/>
              <w:left w:val="nil"/>
              <w:bottom w:val="nil"/>
              <w:right w:val="nil"/>
            </w:tcBorders>
          </w:tcPr>
          <w:p w:rsidR="00F03B03" w:rsidRPr="00847CCC" w:rsidRDefault="00F03B03" w:rsidP="00186FE2">
            <w:pPr>
              <w:pStyle w:val="braytabletext"/>
              <w:rPr>
                <w:szCs w:val="16"/>
              </w:rPr>
            </w:pPr>
            <w:r w:rsidRPr="00847CCC">
              <w:rPr>
                <w:szCs w:val="16"/>
              </w:rPr>
              <w:t>Not on CIM because of exemption</w:t>
            </w:r>
          </w:p>
        </w:tc>
        <w:tc>
          <w:tcPr>
            <w:tcW w:w="574" w:type="pct"/>
            <w:tcBorders>
              <w:top w:val="nil"/>
              <w:left w:val="nil"/>
              <w:bottom w:val="nil"/>
              <w:right w:val="nil"/>
            </w:tcBorders>
          </w:tcPr>
          <w:p w:rsidR="00F03B03" w:rsidRPr="00847CCC" w:rsidRDefault="00F03B03" w:rsidP="00F03B03">
            <w:pPr>
              <w:pStyle w:val="braytabletext"/>
              <w:jc w:val="right"/>
              <w:rPr>
                <w:szCs w:val="16"/>
              </w:rPr>
            </w:pPr>
            <w:r w:rsidRPr="00847CCC">
              <w:rPr>
                <w:szCs w:val="16"/>
              </w:rPr>
              <w:t>121</w:t>
            </w:r>
          </w:p>
        </w:tc>
        <w:tc>
          <w:tcPr>
            <w:tcW w:w="592" w:type="pct"/>
            <w:tcBorders>
              <w:top w:val="nil"/>
              <w:left w:val="nil"/>
              <w:bottom w:val="nil"/>
              <w:right w:val="nil"/>
            </w:tcBorders>
          </w:tcPr>
          <w:p w:rsidR="00F03B03" w:rsidRPr="00847CCC" w:rsidRDefault="00F03B03" w:rsidP="00F03B03">
            <w:pPr>
              <w:pStyle w:val="braytabletext"/>
              <w:jc w:val="right"/>
              <w:rPr>
                <w:szCs w:val="16"/>
              </w:rPr>
            </w:pPr>
            <w:r w:rsidRPr="00847CCC">
              <w:rPr>
                <w:szCs w:val="16"/>
              </w:rPr>
              <w:t>270</w:t>
            </w:r>
          </w:p>
        </w:tc>
        <w:tc>
          <w:tcPr>
            <w:tcW w:w="585" w:type="pct"/>
            <w:tcBorders>
              <w:top w:val="nil"/>
              <w:left w:val="nil"/>
              <w:bottom w:val="nil"/>
              <w:right w:val="nil"/>
            </w:tcBorders>
          </w:tcPr>
          <w:p w:rsidR="00F03B03" w:rsidRPr="00847CCC" w:rsidRDefault="00F03B03" w:rsidP="00B44975">
            <w:pPr>
              <w:pStyle w:val="braytabletext"/>
              <w:jc w:val="right"/>
              <w:rPr>
                <w:szCs w:val="16"/>
              </w:rPr>
            </w:pPr>
            <w:r w:rsidRPr="00847CCC">
              <w:rPr>
                <w:szCs w:val="16"/>
              </w:rPr>
              <w:t>1</w:t>
            </w:r>
            <w:r w:rsidR="00267BF5" w:rsidRPr="00847CCC">
              <w:rPr>
                <w:szCs w:val="16"/>
              </w:rPr>
              <w:t> </w:t>
            </w:r>
            <w:r w:rsidRPr="00847CCC">
              <w:rPr>
                <w:szCs w:val="16"/>
              </w:rPr>
              <w:t>142</w:t>
            </w:r>
          </w:p>
        </w:tc>
        <w:tc>
          <w:tcPr>
            <w:tcW w:w="498" w:type="pct"/>
            <w:tcBorders>
              <w:top w:val="nil"/>
              <w:left w:val="nil"/>
              <w:bottom w:val="nil"/>
              <w:right w:val="nil"/>
            </w:tcBorders>
          </w:tcPr>
          <w:p w:rsidR="00F03B03" w:rsidRPr="00847CCC" w:rsidRDefault="00F03B03" w:rsidP="00F03B03">
            <w:pPr>
              <w:pStyle w:val="braytabletext"/>
              <w:jc w:val="right"/>
              <w:rPr>
                <w:szCs w:val="16"/>
              </w:rPr>
            </w:pPr>
            <w:r w:rsidRPr="00847CCC">
              <w:rPr>
                <w:szCs w:val="16"/>
              </w:rPr>
              <w:t>3</w:t>
            </w:r>
          </w:p>
        </w:tc>
        <w:tc>
          <w:tcPr>
            <w:tcW w:w="418" w:type="pct"/>
            <w:tcBorders>
              <w:top w:val="nil"/>
              <w:left w:val="nil"/>
              <w:bottom w:val="nil"/>
              <w:right w:val="nil"/>
            </w:tcBorders>
          </w:tcPr>
          <w:p w:rsidR="00F03B03" w:rsidRPr="00847CCC" w:rsidRDefault="00F03B03" w:rsidP="00F03B03">
            <w:pPr>
              <w:pStyle w:val="braytabletext"/>
              <w:jc w:val="right"/>
              <w:rPr>
                <w:szCs w:val="16"/>
              </w:rPr>
            </w:pPr>
            <w:r w:rsidRPr="00847CCC">
              <w:rPr>
                <w:szCs w:val="16"/>
              </w:rPr>
              <w:t>0</w:t>
            </w:r>
          </w:p>
        </w:tc>
        <w:tc>
          <w:tcPr>
            <w:tcW w:w="500" w:type="pct"/>
            <w:tcBorders>
              <w:top w:val="nil"/>
              <w:left w:val="nil"/>
              <w:bottom w:val="nil"/>
              <w:right w:val="nil"/>
            </w:tcBorders>
          </w:tcPr>
          <w:p w:rsidR="00F03B03" w:rsidRPr="00847CCC" w:rsidRDefault="00F03B03" w:rsidP="00B44975">
            <w:pPr>
              <w:pStyle w:val="braytabletext"/>
              <w:jc w:val="right"/>
              <w:rPr>
                <w:szCs w:val="16"/>
              </w:rPr>
            </w:pPr>
            <w:r w:rsidRPr="00847CCC">
              <w:rPr>
                <w:szCs w:val="16"/>
              </w:rPr>
              <w:t>1</w:t>
            </w:r>
            <w:r w:rsidR="00267BF5" w:rsidRPr="00847CCC">
              <w:rPr>
                <w:szCs w:val="16"/>
              </w:rPr>
              <w:t> </w:t>
            </w:r>
            <w:r w:rsidRPr="00847CCC">
              <w:rPr>
                <w:szCs w:val="16"/>
              </w:rPr>
              <w:t>536</w:t>
            </w:r>
          </w:p>
        </w:tc>
      </w:tr>
      <w:tr w:rsidR="00F03B03" w:rsidRPr="00847CCC" w:rsidTr="00AC72FE">
        <w:trPr>
          <w:trHeight w:val="290"/>
          <w:jc w:val="right"/>
        </w:trPr>
        <w:tc>
          <w:tcPr>
            <w:tcW w:w="1833" w:type="pct"/>
            <w:tcBorders>
              <w:top w:val="nil"/>
              <w:left w:val="nil"/>
              <w:bottom w:val="single" w:sz="4" w:space="0" w:color="auto"/>
              <w:right w:val="nil"/>
            </w:tcBorders>
          </w:tcPr>
          <w:p w:rsidR="00F03B03" w:rsidRPr="00847CCC" w:rsidRDefault="00F03B03" w:rsidP="00357105">
            <w:pPr>
              <w:pStyle w:val="braytabletext"/>
              <w:rPr>
                <w:szCs w:val="16"/>
              </w:rPr>
            </w:pPr>
            <w:r w:rsidRPr="00847CCC">
              <w:rPr>
                <w:szCs w:val="16"/>
              </w:rPr>
              <w:t>Total compulsory incl</w:t>
            </w:r>
            <w:r w:rsidR="00357105" w:rsidRPr="00847CCC">
              <w:rPr>
                <w:szCs w:val="16"/>
              </w:rPr>
              <w:t>uding</w:t>
            </w:r>
            <w:r w:rsidRPr="00847CCC">
              <w:rPr>
                <w:szCs w:val="16"/>
              </w:rPr>
              <w:t xml:space="preserve"> exemption</w:t>
            </w:r>
          </w:p>
        </w:tc>
        <w:tc>
          <w:tcPr>
            <w:tcW w:w="574" w:type="pct"/>
            <w:tcBorders>
              <w:top w:val="nil"/>
              <w:left w:val="nil"/>
              <w:bottom w:val="single" w:sz="4" w:space="0" w:color="auto"/>
              <w:right w:val="nil"/>
            </w:tcBorders>
          </w:tcPr>
          <w:p w:rsidR="00F03B03" w:rsidRPr="00847CCC" w:rsidRDefault="00F03B03" w:rsidP="00B44975">
            <w:pPr>
              <w:pStyle w:val="braytabletext"/>
              <w:jc w:val="right"/>
              <w:rPr>
                <w:szCs w:val="16"/>
              </w:rPr>
            </w:pPr>
            <w:r w:rsidRPr="00847CCC">
              <w:rPr>
                <w:szCs w:val="16"/>
              </w:rPr>
              <w:t>6</w:t>
            </w:r>
            <w:r w:rsidR="00267BF5" w:rsidRPr="00847CCC">
              <w:rPr>
                <w:szCs w:val="16"/>
              </w:rPr>
              <w:t> </w:t>
            </w:r>
            <w:r w:rsidRPr="00847CCC">
              <w:rPr>
                <w:szCs w:val="16"/>
              </w:rPr>
              <w:t>970</w:t>
            </w:r>
          </w:p>
        </w:tc>
        <w:tc>
          <w:tcPr>
            <w:tcW w:w="592" w:type="pct"/>
            <w:tcBorders>
              <w:top w:val="nil"/>
              <w:left w:val="nil"/>
              <w:bottom w:val="single" w:sz="4" w:space="0" w:color="auto"/>
              <w:right w:val="nil"/>
            </w:tcBorders>
          </w:tcPr>
          <w:p w:rsidR="00F03B03" w:rsidRPr="00847CCC" w:rsidRDefault="00F03B03" w:rsidP="00F03B03">
            <w:pPr>
              <w:pStyle w:val="braytabletext"/>
              <w:jc w:val="right"/>
              <w:rPr>
                <w:szCs w:val="16"/>
              </w:rPr>
            </w:pPr>
            <w:r w:rsidRPr="00847CCC">
              <w:rPr>
                <w:szCs w:val="16"/>
              </w:rPr>
              <w:t>2</w:t>
            </w:r>
            <w:r w:rsidR="00267BF5" w:rsidRPr="00847CCC">
              <w:rPr>
                <w:szCs w:val="16"/>
              </w:rPr>
              <w:t> </w:t>
            </w:r>
            <w:r w:rsidRPr="00847CCC">
              <w:rPr>
                <w:szCs w:val="16"/>
              </w:rPr>
              <w:t>,516</w:t>
            </w:r>
          </w:p>
        </w:tc>
        <w:tc>
          <w:tcPr>
            <w:tcW w:w="585" w:type="pct"/>
            <w:tcBorders>
              <w:top w:val="nil"/>
              <w:left w:val="nil"/>
              <w:bottom w:val="single" w:sz="4" w:space="0" w:color="auto"/>
              <w:right w:val="nil"/>
            </w:tcBorders>
          </w:tcPr>
          <w:p w:rsidR="00F03B03" w:rsidRPr="00847CCC" w:rsidRDefault="00F03B03" w:rsidP="00B44975">
            <w:pPr>
              <w:pStyle w:val="braytabletext"/>
              <w:jc w:val="right"/>
              <w:rPr>
                <w:szCs w:val="16"/>
              </w:rPr>
            </w:pPr>
            <w:r w:rsidRPr="00847CCC">
              <w:rPr>
                <w:szCs w:val="16"/>
              </w:rPr>
              <w:t>3</w:t>
            </w:r>
            <w:r w:rsidR="00267BF5" w:rsidRPr="00847CCC">
              <w:rPr>
                <w:szCs w:val="16"/>
              </w:rPr>
              <w:t> </w:t>
            </w:r>
            <w:r w:rsidRPr="00847CCC">
              <w:rPr>
                <w:szCs w:val="16"/>
              </w:rPr>
              <w:t>418</w:t>
            </w:r>
          </w:p>
        </w:tc>
        <w:tc>
          <w:tcPr>
            <w:tcW w:w="498" w:type="pct"/>
            <w:tcBorders>
              <w:top w:val="nil"/>
              <w:left w:val="nil"/>
              <w:bottom w:val="single" w:sz="4" w:space="0" w:color="auto"/>
              <w:right w:val="nil"/>
            </w:tcBorders>
          </w:tcPr>
          <w:p w:rsidR="00F03B03" w:rsidRPr="00847CCC" w:rsidRDefault="00F03B03" w:rsidP="00B44975">
            <w:pPr>
              <w:pStyle w:val="braytabletext"/>
              <w:jc w:val="right"/>
              <w:rPr>
                <w:szCs w:val="16"/>
              </w:rPr>
            </w:pPr>
            <w:r w:rsidRPr="00847CCC">
              <w:rPr>
                <w:szCs w:val="16"/>
              </w:rPr>
              <w:t>1</w:t>
            </w:r>
            <w:r w:rsidR="00267BF5" w:rsidRPr="00847CCC">
              <w:rPr>
                <w:szCs w:val="16"/>
              </w:rPr>
              <w:t> </w:t>
            </w:r>
            <w:r w:rsidRPr="00847CCC">
              <w:rPr>
                <w:szCs w:val="16"/>
              </w:rPr>
              <w:t>287</w:t>
            </w:r>
          </w:p>
        </w:tc>
        <w:tc>
          <w:tcPr>
            <w:tcW w:w="418" w:type="pct"/>
            <w:tcBorders>
              <w:top w:val="nil"/>
              <w:left w:val="nil"/>
              <w:bottom w:val="single" w:sz="4" w:space="0" w:color="auto"/>
              <w:right w:val="nil"/>
            </w:tcBorders>
          </w:tcPr>
          <w:p w:rsidR="00F03B03" w:rsidRPr="00847CCC" w:rsidRDefault="00F03B03" w:rsidP="00F03B03">
            <w:pPr>
              <w:pStyle w:val="braytabletext"/>
              <w:jc w:val="right"/>
              <w:rPr>
                <w:szCs w:val="16"/>
              </w:rPr>
            </w:pPr>
            <w:r w:rsidRPr="00847CCC">
              <w:rPr>
                <w:szCs w:val="16"/>
              </w:rPr>
              <w:t>10</w:t>
            </w:r>
          </w:p>
        </w:tc>
        <w:tc>
          <w:tcPr>
            <w:tcW w:w="500" w:type="pct"/>
            <w:tcBorders>
              <w:top w:val="nil"/>
              <w:left w:val="nil"/>
              <w:bottom w:val="single" w:sz="4" w:space="0" w:color="auto"/>
              <w:right w:val="nil"/>
            </w:tcBorders>
          </w:tcPr>
          <w:p w:rsidR="00F03B03" w:rsidRPr="00847CCC" w:rsidRDefault="00F03B03" w:rsidP="00B44975">
            <w:pPr>
              <w:pStyle w:val="braytabletext"/>
              <w:jc w:val="right"/>
              <w:rPr>
                <w:szCs w:val="16"/>
              </w:rPr>
            </w:pPr>
            <w:r w:rsidRPr="00847CCC">
              <w:rPr>
                <w:szCs w:val="16"/>
              </w:rPr>
              <w:t>14</w:t>
            </w:r>
            <w:r w:rsidR="00267BF5" w:rsidRPr="00847CCC">
              <w:rPr>
                <w:szCs w:val="16"/>
              </w:rPr>
              <w:t> </w:t>
            </w:r>
            <w:r w:rsidRPr="00847CCC">
              <w:rPr>
                <w:szCs w:val="16"/>
              </w:rPr>
              <w:t>201</w:t>
            </w:r>
          </w:p>
        </w:tc>
      </w:tr>
      <w:tr w:rsidR="00186FE2" w:rsidRPr="00847CCC" w:rsidTr="00783DF8">
        <w:trPr>
          <w:trHeight w:val="290"/>
          <w:jc w:val="right"/>
        </w:trPr>
        <w:tc>
          <w:tcPr>
            <w:tcW w:w="1833" w:type="pct"/>
            <w:tcBorders>
              <w:top w:val="single" w:sz="4" w:space="0" w:color="auto"/>
              <w:left w:val="nil"/>
              <w:bottom w:val="nil"/>
              <w:right w:val="nil"/>
            </w:tcBorders>
          </w:tcPr>
          <w:p w:rsidR="00186FE2" w:rsidRPr="00847CCC" w:rsidRDefault="00186FE2" w:rsidP="00186FE2">
            <w:pPr>
              <w:pStyle w:val="braytabletext"/>
              <w:rPr>
                <w:szCs w:val="16"/>
              </w:rPr>
            </w:pPr>
          </w:p>
        </w:tc>
        <w:tc>
          <w:tcPr>
            <w:tcW w:w="3167" w:type="pct"/>
            <w:gridSpan w:val="6"/>
            <w:tcBorders>
              <w:top w:val="single" w:sz="4" w:space="0" w:color="auto"/>
              <w:left w:val="nil"/>
              <w:bottom w:val="nil"/>
              <w:right w:val="nil"/>
            </w:tcBorders>
            <w:vAlign w:val="center"/>
          </w:tcPr>
          <w:p w:rsidR="00186FE2" w:rsidRPr="00847CCC" w:rsidRDefault="00186FE2" w:rsidP="00783DF8">
            <w:pPr>
              <w:pStyle w:val="braytabletext"/>
              <w:jc w:val="center"/>
              <w:rPr>
                <w:szCs w:val="16"/>
              </w:rPr>
            </w:pPr>
            <w:r w:rsidRPr="00847CCC">
              <w:rPr>
                <w:szCs w:val="16"/>
              </w:rPr>
              <w:t>- % -</w:t>
            </w:r>
          </w:p>
        </w:tc>
      </w:tr>
      <w:tr w:rsidR="00F03B03" w:rsidRPr="00847CCC" w:rsidTr="00AC72FE">
        <w:trPr>
          <w:trHeight w:val="290"/>
          <w:jc w:val="right"/>
        </w:trPr>
        <w:tc>
          <w:tcPr>
            <w:tcW w:w="1833" w:type="pct"/>
            <w:tcBorders>
              <w:top w:val="nil"/>
              <w:left w:val="nil"/>
              <w:bottom w:val="nil"/>
              <w:right w:val="nil"/>
            </w:tcBorders>
          </w:tcPr>
          <w:p w:rsidR="00F03B03" w:rsidRPr="00847CCC" w:rsidRDefault="00F03B03" w:rsidP="00186FE2">
            <w:pPr>
              <w:pStyle w:val="braytabletext"/>
              <w:rPr>
                <w:szCs w:val="16"/>
              </w:rPr>
            </w:pPr>
            <w:r w:rsidRPr="00847CCC">
              <w:rPr>
                <w:szCs w:val="16"/>
              </w:rPr>
              <w:t>Per cent with exemption</w:t>
            </w:r>
          </w:p>
        </w:tc>
        <w:tc>
          <w:tcPr>
            <w:tcW w:w="574" w:type="pct"/>
            <w:tcBorders>
              <w:top w:val="nil"/>
              <w:left w:val="nil"/>
              <w:bottom w:val="nil"/>
              <w:right w:val="nil"/>
            </w:tcBorders>
          </w:tcPr>
          <w:p w:rsidR="00F03B03" w:rsidRPr="00847CCC" w:rsidRDefault="00F03B03" w:rsidP="00F03B03">
            <w:pPr>
              <w:pStyle w:val="braytabletext"/>
              <w:jc w:val="right"/>
              <w:rPr>
                <w:szCs w:val="16"/>
              </w:rPr>
            </w:pPr>
            <w:r w:rsidRPr="00847CCC">
              <w:rPr>
                <w:szCs w:val="16"/>
              </w:rPr>
              <w:t>1.8</w:t>
            </w:r>
          </w:p>
        </w:tc>
        <w:tc>
          <w:tcPr>
            <w:tcW w:w="592" w:type="pct"/>
            <w:tcBorders>
              <w:top w:val="nil"/>
              <w:left w:val="nil"/>
              <w:bottom w:val="nil"/>
              <w:right w:val="nil"/>
            </w:tcBorders>
          </w:tcPr>
          <w:p w:rsidR="00F03B03" w:rsidRPr="00847CCC" w:rsidRDefault="00F03B03" w:rsidP="00F03B03">
            <w:pPr>
              <w:pStyle w:val="braytabletext"/>
              <w:jc w:val="right"/>
              <w:rPr>
                <w:szCs w:val="16"/>
              </w:rPr>
            </w:pPr>
            <w:r w:rsidRPr="00847CCC">
              <w:rPr>
                <w:szCs w:val="16"/>
              </w:rPr>
              <w:t>10.9</w:t>
            </w:r>
          </w:p>
        </w:tc>
        <w:tc>
          <w:tcPr>
            <w:tcW w:w="585" w:type="pct"/>
            <w:tcBorders>
              <w:top w:val="nil"/>
              <w:left w:val="nil"/>
              <w:bottom w:val="nil"/>
              <w:right w:val="nil"/>
            </w:tcBorders>
          </w:tcPr>
          <w:p w:rsidR="00F03B03" w:rsidRPr="00847CCC" w:rsidRDefault="00F03B03" w:rsidP="00F03B03">
            <w:pPr>
              <w:pStyle w:val="braytabletext"/>
              <w:jc w:val="right"/>
              <w:rPr>
                <w:szCs w:val="16"/>
              </w:rPr>
            </w:pPr>
            <w:r w:rsidRPr="00847CCC">
              <w:rPr>
                <w:szCs w:val="16"/>
              </w:rPr>
              <w:t>33.6</w:t>
            </w:r>
          </w:p>
        </w:tc>
        <w:tc>
          <w:tcPr>
            <w:tcW w:w="498" w:type="pct"/>
            <w:tcBorders>
              <w:top w:val="nil"/>
              <w:left w:val="nil"/>
              <w:bottom w:val="nil"/>
              <w:right w:val="nil"/>
            </w:tcBorders>
          </w:tcPr>
          <w:p w:rsidR="00F03B03" w:rsidRPr="00847CCC" w:rsidRDefault="00F03B03" w:rsidP="00F03B03">
            <w:pPr>
              <w:pStyle w:val="braytabletext"/>
              <w:jc w:val="right"/>
              <w:rPr>
                <w:szCs w:val="16"/>
              </w:rPr>
            </w:pPr>
            <w:r w:rsidRPr="00847CCC">
              <w:rPr>
                <w:szCs w:val="16"/>
              </w:rPr>
              <w:t>0.2</w:t>
            </w:r>
          </w:p>
        </w:tc>
        <w:tc>
          <w:tcPr>
            <w:tcW w:w="418" w:type="pct"/>
            <w:tcBorders>
              <w:top w:val="nil"/>
              <w:left w:val="nil"/>
              <w:bottom w:val="nil"/>
              <w:right w:val="nil"/>
            </w:tcBorders>
          </w:tcPr>
          <w:p w:rsidR="00F03B03" w:rsidRPr="00847CCC" w:rsidRDefault="00F03B03" w:rsidP="00F03B03">
            <w:pPr>
              <w:pStyle w:val="braytabletext"/>
              <w:jc w:val="right"/>
              <w:rPr>
                <w:szCs w:val="16"/>
              </w:rPr>
            </w:pPr>
            <w:r w:rsidRPr="00847CCC">
              <w:rPr>
                <w:szCs w:val="16"/>
              </w:rPr>
              <w:t>0.0</w:t>
            </w:r>
          </w:p>
        </w:tc>
        <w:tc>
          <w:tcPr>
            <w:tcW w:w="500" w:type="pct"/>
            <w:tcBorders>
              <w:top w:val="nil"/>
              <w:left w:val="nil"/>
              <w:bottom w:val="nil"/>
              <w:right w:val="nil"/>
            </w:tcBorders>
          </w:tcPr>
          <w:p w:rsidR="00F03B03" w:rsidRPr="00847CCC" w:rsidRDefault="00F03B03" w:rsidP="00F03B03">
            <w:pPr>
              <w:pStyle w:val="braytabletext"/>
              <w:jc w:val="right"/>
              <w:rPr>
                <w:szCs w:val="16"/>
              </w:rPr>
            </w:pPr>
            <w:r w:rsidRPr="00847CCC">
              <w:rPr>
                <w:szCs w:val="16"/>
              </w:rPr>
              <w:t>10.9</w:t>
            </w:r>
          </w:p>
        </w:tc>
      </w:tr>
      <w:tr w:rsidR="00F03B03" w:rsidRPr="00847CCC" w:rsidTr="00AC72FE">
        <w:trPr>
          <w:trHeight w:val="290"/>
          <w:jc w:val="right"/>
        </w:trPr>
        <w:tc>
          <w:tcPr>
            <w:tcW w:w="1833" w:type="pct"/>
            <w:tcBorders>
              <w:top w:val="nil"/>
              <w:left w:val="nil"/>
              <w:bottom w:val="nil"/>
              <w:right w:val="nil"/>
            </w:tcBorders>
          </w:tcPr>
          <w:p w:rsidR="00F03B03" w:rsidRPr="00847CCC" w:rsidRDefault="00F03B03" w:rsidP="00186FE2">
            <w:pPr>
              <w:pStyle w:val="braytabletext"/>
              <w:rPr>
                <w:szCs w:val="16"/>
              </w:rPr>
            </w:pPr>
            <w:r w:rsidRPr="00847CCC">
              <w:rPr>
                <w:szCs w:val="16"/>
              </w:rPr>
              <w:t>Per cent applied for exemption</w:t>
            </w:r>
          </w:p>
        </w:tc>
        <w:tc>
          <w:tcPr>
            <w:tcW w:w="574" w:type="pct"/>
            <w:tcBorders>
              <w:top w:val="nil"/>
              <w:left w:val="nil"/>
              <w:bottom w:val="nil"/>
              <w:right w:val="nil"/>
            </w:tcBorders>
          </w:tcPr>
          <w:p w:rsidR="00F03B03" w:rsidRPr="00847CCC" w:rsidRDefault="00F03B03" w:rsidP="00F03B03">
            <w:pPr>
              <w:pStyle w:val="braytabletext"/>
              <w:jc w:val="right"/>
              <w:rPr>
                <w:szCs w:val="16"/>
              </w:rPr>
            </w:pPr>
            <w:r w:rsidRPr="00847CCC">
              <w:rPr>
                <w:szCs w:val="16"/>
              </w:rPr>
              <w:t>4.8</w:t>
            </w:r>
          </w:p>
        </w:tc>
        <w:tc>
          <w:tcPr>
            <w:tcW w:w="592" w:type="pct"/>
            <w:tcBorders>
              <w:top w:val="nil"/>
              <w:left w:val="nil"/>
              <w:bottom w:val="nil"/>
              <w:right w:val="nil"/>
            </w:tcBorders>
          </w:tcPr>
          <w:p w:rsidR="00F03B03" w:rsidRPr="00847CCC" w:rsidRDefault="00F03B03" w:rsidP="00F03B03">
            <w:pPr>
              <w:pStyle w:val="braytabletext"/>
              <w:jc w:val="right"/>
              <w:rPr>
                <w:szCs w:val="16"/>
              </w:rPr>
            </w:pPr>
            <w:r w:rsidRPr="00847CCC">
              <w:rPr>
                <w:szCs w:val="16"/>
              </w:rPr>
              <w:t>28.0</w:t>
            </w:r>
          </w:p>
        </w:tc>
        <w:tc>
          <w:tcPr>
            <w:tcW w:w="585" w:type="pct"/>
            <w:tcBorders>
              <w:top w:val="nil"/>
              <w:left w:val="nil"/>
              <w:bottom w:val="nil"/>
              <w:right w:val="nil"/>
            </w:tcBorders>
          </w:tcPr>
          <w:p w:rsidR="00F03B03" w:rsidRPr="00847CCC" w:rsidRDefault="00F03B03" w:rsidP="00F03B03">
            <w:pPr>
              <w:pStyle w:val="braytabletext"/>
              <w:jc w:val="right"/>
              <w:rPr>
                <w:szCs w:val="16"/>
              </w:rPr>
            </w:pPr>
            <w:r w:rsidRPr="00847CCC">
              <w:rPr>
                <w:szCs w:val="16"/>
              </w:rPr>
              <w:t>50.6</w:t>
            </w:r>
          </w:p>
        </w:tc>
        <w:tc>
          <w:tcPr>
            <w:tcW w:w="498" w:type="pct"/>
            <w:tcBorders>
              <w:top w:val="nil"/>
              <w:left w:val="nil"/>
              <w:bottom w:val="nil"/>
              <w:right w:val="nil"/>
            </w:tcBorders>
          </w:tcPr>
          <w:p w:rsidR="00F03B03" w:rsidRPr="00847CCC" w:rsidRDefault="00F03B03" w:rsidP="00F03B03">
            <w:pPr>
              <w:pStyle w:val="braytabletext"/>
              <w:jc w:val="right"/>
              <w:rPr>
                <w:szCs w:val="16"/>
              </w:rPr>
            </w:pPr>
            <w:r w:rsidRPr="00847CCC">
              <w:rPr>
                <w:szCs w:val="16"/>
              </w:rPr>
              <w:t>0.7</w:t>
            </w:r>
          </w:p>
        </w:tc>
        <w:tc>
          <w:tcPr>
            <w:tcW w:w="418" w:type="pct"/>
            <w:tcBorders>
              <w:top w:val="nil"/>
              <w:left w:val="nil"/>
              <w:bottom w:val="nil"/>
              <w:right w:val="nil"/>
            </w:tcBorders>
          </w:tcPr>
          <w:p w:rsidR="00F03B03" w:rsidRPr="00847CCC" w:rsidRDefault="00F03B03" w:rsidP="00F03B03">
            <w:pPr>
              <w:pStyle w:val="braytabletext"/>
              <w:jc w:val="right"/>
              <w:rPr>
                <w:szCs w:val="16"/>
              </w:rPr>
            </w:pPr>
            <w:r w:rsidRPr="00847CCC">
              <w:rPr>
                <w:szCs w:val="16"/>
              </w:rPr>
              <w:t>10.0</w:t>
            </w:r>
          </w:p>
        </w:tc>
        <w:tc>
          <w:tcPr>
            <w:tcW w:w="500" w:type="pct"/>
            <w:tcBorders>
              <w:top w:val="nil"/>
              <w:left w:val="nil"/>
              <w:bottom w:val="nil"/>
              <w:right w:val="nil"/>
            </w:tcBorders>
          </w:tcPr>
          <w:p w:rsidR="00F03B03" w:rsidRPr="00847CCC" w:rsidRDefault="00F03B03" w:rsidP="00F03B03">
            <w:pPr>
              <w:pStyle w:val="braytabletext"/>
              <w:jc w:val="right"/>
              <w:rPr>
                <w:szCs w:val="16"/>
              </w:rPr>
            </w:pPr>
            <w:r w:rsidRPr="00847CCC">
              <w:rPr>
                <w:szCs w:val="16"/>
              </w:rPr>
              <w:t>19.6</w:t>
            </w:r>
          </w:p>
        </w:tc>
      </w:tr>
      <w:tr w:rsidR="00F03B03" w:rsidRPr="00847CCC" w:rsidTr="00AC72FE">
        <w:trPr>
          <w:trHeight w:val="290"/>
          <w:jc w:val="right"/>
        </w:trPr>
        <w:tc>
          <w:tcPr>
            <w:tcW w:w="1833" w:type="pct"/>
            <w:tcBorders>
              <w:top w:val="nil"/>
              <w:left w:val="nil"/>
              <w:right w:val="nil"/>
            </w:tcBorders>
          </w:tcPr>
          <w:p w:rsidR="00F03B03" w:rsidRPr="00847CCC" w:rsidRDefault="00F03B03" w:rsidP="00186FE2">
            <w:pPr>
              <w:pStyle w:val="braytabletext"/>
              <w:rPr>
                <w:szCs w:val="16"/>
              </w:rPr>
            </w:pPr>
            <w:r w:rsidRPr="00847CCC">
              <w:rPr>
                <w:szCs w:val="16"/>
              </w:rPr>
              <w:t>Per cent successful</w:t>
            </w:r>
          </w:p>
        </w:tc>
        <w:tc>
          <w:tcPr>
            <w:tcW w:w="574" w:type="pct"/>
            <w:tcBorders>
              <w:top w:val="nil"/>
              <w:left w:val="nil"/>
              <w:right w:val="nil"/>
            </w:tcBorders>
          </w:tcPr>
          <w:p w:rsidR="00F03B03" w:rsidRPr="00847CCC" w:rsidRDefault="00F03B03" w:rsidP="00F03B03">
            <w:pPr>
              <w:pStyle w:val="braytabletext"/>
              <w:jc w:val="right"/>
              <w:rPr>
                <w:szCs w:val="16"/>
              </w:rPr>
            </w:pPr>
            <w:r w:rsidRPr="00847CCC">
              <w:rPr>
                <w:szCs w:val="16"/>
              </w:rPr>
              <w:t>36.5</w:t>
            </w:r>
          </w:p>
        </w:tc>
        <w:tc>
          <w:tcPr>
            <w:tcW w:w="592" w:type="pct"/>
            <w:tcBorders>
              <w:top w:val="nil"/>
              <w:left w:val="nil"/>
              <w:right w:val="nil"/>
            </w:tcBorders>
          </w:tcPr>
          <w:p w:rsidR="00F03B03" w:rsidRPr="00847CCC" w:rsidRDefault="00F03B03" w:rsidP="00F03B03">
            <w:pPr>
              <w:pStyle w:val="braytabletext"/>
              <w:jc w:val="right"/>
              <w:rPr>
                <w:szCs w:val="16"/>
              </w:rPr>
            </w:pPr>
            <w:r w:rsidRPr="00847CCC">
              <w:rPr>
                <w:szCs w:val="16"/>
              </w:rPr>
              <w:t>39.1</w:t>
            </w:r>
          </w:p>
        </w:tc>
        <w:tc>
          <w:tcPr>
            <w:tcW w:w="585" w:type="pct"/>
            <w:tcBorders>
              <w:top w:val="nil"/>
              <w:left w:val="nil"/>
              <w:right w:val="nil"/>
            </w:tcBorders>
          </w:tcPr>
          <w:p w:rsidR="00F03B03" w:rsidRPr="00847CCC" w:rsidRDefault="00F03B03" w:rsidP="00F03B03">
            <w:pPr>
              <w:pStyle w:val="braytabletext"/>
              <w:jc w:val="right"/>
              <w:rPr>
                <w:szCs w:val="16"/>
              </w:rPr>
            </w:pPr>
            <w:r w:rsidRPr="00847CCC">
              <w:rPr>
                <w:szCs w:val="16"/>
              </w:rPr>
              <w:t>66.4</w:t>
            </w:r>
          </w:p>
        </w:tc>
        <w:tc>
          <w:tcPr>
            <w:tcW w:w="498" w:type="pct"/>
            <w:tcBorders>
              <w:top w:val="nil"/>
              <w:left w:val="nil"/>
              <w:right w:val="nil"/>
            </w:tcBorders>
          </w:tcPr>
          <w:p w:rsidR="00F03B03" w:rsidRPr="00847CCC" w:rsidRDefault="00F03B03" w:rsidP="00F03B03">
            <w:pPr>
              <w:pStyle w:val="braytabletext"/>
              <w:jc w:val="right"/>
              <w:rPr>
                <w:szCs w:val="16"/>
              </w:rPr>
            </w:pPr>
            <w:r w:rsidRPr="00847CCC">
              <w:rPr>
                <w:szCs w:val="16"/>
              </w:rPr>
              <w:t>33.3</w:t>
            </w:r>
          </w:p>
        </w:tc>
        <w:tc>
          <w:tcPr>
            <w:tcW w:w="418" w:type="pct"/>
            <w:tcBorders>
              <w:top w:val="nil"/>
              <w:left w:val="nil"/>
              <w:right w:val="nil"/>
            </w:tcBorders>
          </w:tcPr>
          <w:p w:rsidR="00F03B03" w:rsidRPr="00847CCC" w:rsidRDefault="00F03B03" w:rsidP="00F03B03">
            <w:pPr>
              <w:pStyle w:val="braytabletext"/>
              <w:jc w:val="right"/>
              <w:rPr>
                <w:szCs w:val="16"/>
              </w:rPr>
            </w:pPr>
            <w:r w:rsidRPr="00847CCC">
              <w:rPr>
                <w:szCs w:val="16"/>
              </w:rPr>
              <w:t>0.0</w:t>
            </w:r>
          </w:p>
        </w:tc>
        <w:tc>
          <w:tcPr>
            <w:tcW w:w="500" w:type="pct"/>
            <w:tcBorders>
              <w:top w:val="nil"/>
              <w:left w:val="nil"/>
              <w:right w:val="nil"/>
            </w:tcBorders>
          </w:tcPr>
          <w:p w:rsidR="00F03B03" w:rsidRPr="00847CCC" w:rsidRDefault="00F03B03" w:rsidP="00F03B03">
            <w:pPr>
              <w:pStyle w:val="braytabletext"/>
              <w:jc w:val="right"/>
              <w:rPr>
                <w:szCs w:val="16"/>
              </w:rPr>
            </w:pPr>
            <w:r w:rsidRPr="00847CCC">
              <w:rPr>
                <w:szCs w:val="16"/>
              </w:rPr>
              <w:t>55.8</w:t>
            </w:r>
          </w:p>
        </w:tc>
      </w:tr>
      <w:tr w:rsidR="00F03B03" w:rsidRPr="00847CCC" w:rsidTr="00AC72FE">
        <w:trPr>
          <w:trHeight w:val="290"/>
          <w:jc w:val="right"/>
        </w:trPr>
        <w:tc>
          <w:tcPr>
            <w:tcW w:w="1833" w:type="pct"/>
            <w:tcBorders>
              <w:top w:val="nil"/>
              <w:left w:val="nil"/>
              <w:bottom w:val="single" w:sz="4" w:space="0" w:color="auto"/>
              <w:right w:val="nil"/>
            </w:tcBorders>
          </w:tcPr>
          <w:p w:rsidR="00F03B03" w:rsidRPr="00847CCC" w:rsidRDefault="00F03B03" w:rsidP="00186FE2">
            <w:pPr>
              <w:pStyle w:val="braytabletext"/>
              <w:rPr>
                <w:szCs w:val="16"/>
              </w:rPr>
            </w:pPr>
            <w:r w:rsidRPr="00847CCC">
              <w:rPr>
                <w:szCs w:val="16"/>
              </w:rPr>
              <w:t>Per cent not withdrawn successful</w:t>
            </w:r>
          </w:p>
        </w:tc>
        <w:tc>
          <w:tcPr>
            <w:tcW w:w="574" w:type="pct"/>
            <w:tcBorders>
              <w:top w:val="nil"/>
              <w:left w:val="nil"/>
              <w:bottom w:val="single" w:sz="4" w:space="0" w:color="auto"/>
              <w:right w:val="nil"/>
            </w:tcBorders>
          </w:tcPr>
          <w:p w:rsidR="00F03B03" w:rsidRPr="00847CCC" w:rsidRDefault="00F03B03" w:rsidP="00F03B03">
            <w:pPr>
              <w:pStyle w:val="braytabletext"/>
              <w:jc w:val="right"/>
              <w:rPr>
                <w:szCs w:val="16"/>
              </w:rPr>
            </w:pPr>
            <w:r w:rsidRPr="00847CCC">
              <w:rPr>
                <w:szCs w:val="16"/>
              </w:rPr>
              <w:t>37.2</w:t>
            </w:r>
          </w:p>
        </w:tc>
        <w:tc>
          <w:tcPr>
            <w:tcW w:w="592" w:type="pct"/>
            <w:tcBorders>
              <w:top w:val="nil"/>
              <w:left w:val="nil"/>
              <w:bottom w:val="single" w:sz="4" w:space="0" w:color="auto"/>
              <w:right w:val="nil"/>
            </w:tcBorders>
          </w:tcPr>
          <w:p w:rsidR="00F03B03" w:rsidRPr="00847CCC" w:rsidRDefault="00F03B03" w:rsidP="00F03B03">
            <w:pPr>
              <w:pStyle w:val="braytabletext"/>
              <w:jc w:val="right"/>
              <w:rPr>
                <w:szCs w:val="16"/>
              </w:rPr>
            </w:pPr>
            <w:r w:rsidRPr="00847CCC">
              <w:rPr>
                <w:szCs w:val="16"/>
              </w:rPr>
              <w:t>40.6</w:t>
            </w:r>
          </w:p>
        </w:tc>
        <w:tc>
          <w:tcPr>
            <w:tcW w:w="585" w:type="pct"/>
            <w:tcBorders>
              <w:top w:val="nil"/>
              <w:left w:val="nil"/>
              <w:bottom w:val="single" w:sz="4" w:space="0" w:color="auto"/>
              <w:right w:val="nil"/>
            </w:tcBorders>
          </w:tcPr>
          <w:p w:rsidR="00F03B03" w:rsidRPr="00847CCC" w:rsidRDefault="00F03B03" w:rsidP="00F03B03">
            <w:pPr>
              <w:pStyle w:val="braytabletext"/>
              <w:jc w:val="right"/>
              <w:rPr>
                <w:szCs w:val="16"/>
              </w:rPr>
            </w:pPr>
            <w:r w:rsidRPr="00847CCC">
              <w:rPr>
                <w:szCs w:val="16"/>
              </w:rPr>
              <w:t>68.1</w:t>
            </w:r>
          </w:p>
        </w:tc>
        <w:tc>
          <w:tcPr>
            <w:tcW w:w="498" w:type="pct"/>
            <w:tcBorders>
              <w:top w:val="nil"/>
              <w:left w:val="nil"/>
              <w:bottom w:val="single" w:sz="4" w:space="0" w:color="auto"/>
              <w:right w:val="nil"/>
            </w:tcBorders>
          </w:tcPr>
          <w:p w:rsidR="00F03B03" w:rsidRPr="00847CCC" w:rsidRDefault="00F03B03" w:rsidP="00F03B03">
            <w:pPr>
              <w:pStyle w:val="braytabletext"/>
              <w:jc w:val="right"/>
              <w:rPr>
                <w:szCs w:val="16"/>
              </w:rPr>
            </w:pPr>
            <w:r w:rsidRPr="00847CCC">
              <w:rPr>
                <w:szCs w:val="16"/>
              </w:rPr>
              <w:t>37.5</w:t>
            </w:r>
          </w:p>
        </w:tc>
        <w:tc>
          <w:tcPr>
            <w:tcW w:w="418" w:type="pct"/>
            <w:tcBorders>
              <w:top w:val="nil"/>
              <w:left w:val="nil"/>
              <w:bottom w:val="single" w:sz="4" w:space="0" w:color="auto"/>
              <w:right w:val="nil"/>
            </w:tcBorders>
          </w:tcPr>
          <w:p w:rsidR="00F03B03" w:rsidRPr="00847CCC" w:rsidRDefault="00F03B03" w:rsidP="00F03B03">
            <w:pPr>
              <w:pStyle w:val="braytabletext"/>
              <w:jc w:val="right"/>
              <w:rPr>
                <w:szCs w:val="16"/>
              </w:rPr>
            </w:pPr>
            <w:r w:rsidRPr="00847CCC">
              <w:rPr>
                <w:szCs w:val="16"/>
              </w:rPr>
              <w:t>0.0</w:t>
            </w:r>
          </w:p>
        </w:tc>
        <w:tc>
          <w:tcPr>
            <w:tcW w:w="500" w:type="pct"/>
            <w:tcBorders>
              <w:top w:val="nil"/>
              <w:left w:val="nil"/>
              <w:bottom w:val="single" w:sz="4" w:space="0" w:color="auto"/>
              <w:right w:val="nil"/>
            </w:tcBorders>
          </w:tcPr>
          <w:p w:rsidR="00F03B03" w:rsidRPr="00847CCC" w:rsidRDefault="00F03B03" w:rsidP="00F03B03">
            <w:pPr>
              <w:pStyle w:val="braytabletext"/>
              <w:jc w:val="right"/>
              <w:rPr>
                <w:szCs w:val="16"/>
              </w:rPr>
            </w:pPr>
            <w:r w:rsidRPr="00847CCC">
              <w:rPr>
                <w:szCs w:val="16"/>
              </w:rPr>
              <w:t>57.4</w:t>
            </w:r>
          </w:p>
        </w:tc>
      </w:tr>
    </w:tbl>
    <w:p w:rsidR="008861DE" w:rsidRPr="005911E2" w:rsidRDefault="008861DE" w:rsidP="00CF78DB">
      <w:pPr>
        <w:pStyle w:val="tablefootnotes"/>
      </w:pPr>
      <w:r w:rsidRPr="005911E2">
        <w:t xml:space="preserve">Source: </w:t>
      </w:r>
      <w:r w:rsidR="005320C5" w:rsidRPr="005911E2">
        <w:tab/>
      </w:r>
      <w:r w:rsidRPr="005911E2">
        <w:t xml:space="preserve">Derived from Centrelink </w:t>
      </w:r>
      <w:r w:rsidR="00F878E4">
        <w:t>income management</w:t>
      </w:r>
      <w:r w:rsidRPr="005911E2">
        <w:t xml:space="preserve"> &amp; IS/FTB datasets</w:t>
      </w:r>
      <w:r w:rsidR="00847CCC">
        <w:t>.</w:t>
      </w:r>
    </w:p>
    <w:p w:rsidR="008861DE" w:rsidRPr="005911E2" w:rsidRDefault="008861DE" w:rsidP="008861DE">
      <w:pPr>
        <w:spacing w:after="0" w:line="240" w:lineRule="auto"/>
        <w:ind w:left="0"/>
        <w:jc w:val="left"/>
      </w:pPr>
    </w:p>
    <w:p w:rsidR="008861DE" w:rsidRPr="005911E2" w:rsidRDefault="006C33D2" w:rsidP="00AA1750">
      <w:r>
        <w:t>T</w:t>
      </w:r>
      <w:r w:rsidR="008861DE" w:rsidRPr="005911E2">
        <w:t>he rate of application and success of those on ot</w:t>
      </w:r>
      <w:r>
        <w:t>her payments is much lower</w:t>
      </w:r>
      <w:r w:rsidR="003075CB">
        <w:t>. O</w:t>
      </w:r>
      <w:r w:rsidR="008861DE" w:rsidRPr="005911E2">
        <w:t xml:space="preserve">f those on Parenting Payment Partnered </w:t>
      </w:r>
      <w:r w:rsidR="003075CB">
        <w:t xml:space="preserve">in October 2011, and </w:t>
      </w:r>
      <w:r w:rsidR="008861DE" w:rsidRPr="005911E2">
        <w:t xml:space="preserve">who would be subject to </w:t>
      </w:r>
      <w:r w:rsidR="00F878E4">
        <w:t>income management</w:t>
      </w:r>
      <w:r w:rsidR="008861DE" w:rsidRPr="005911E2">
        <w:t xml:space="preserve"> due to their duration on </w:t>
      </w:r>
      <w:r>
        <w:t xml:space="preserve">this </w:t>
      </w:r>
      <w:r w:rsidRPr="005911E2">
        <w:t>payment</w:t>
      </w:r>
      <w:r w:rsidR="00E04125">
        <w:t>,</w:t>
      </w:r>
      <w:r w:rsidR="008861DE" w:rsidRPr="005911E2">
        <w:t xml:space="preserve"> </w:t>
      </w:r>
      <w:r w:rsidR="003075CB">
        <w:t xml:space="preserve">28.0 per cent </w:t>
      </w:r>
      <w:r w:rsidR="008861DE" w:rsidRPr="005911E2">
        <w:t>have made an application for exemption, with 39.</w:t>
      </w:r>
      <w:r w:rsidR="00F03B03" w:rsidRPr="005911E2">
        <w:t>1</w:t>
      </w:r>
      <w:r w:rsidR="008861DE" w:rsidRPr="005911E2">
        <w:t xml:space="preserve"> per cent being successful.</w:t>
      </w:r>
      <w:r w:rsidR="0074268A" w:rsidRPr="005911E2">
        <w:t xml:space="preserve"> </w:t>
      </w:r>
      <w:r w:rsidR="008861DE" w:rsidRPr="005911E2">
        <w:t>Amongst those on Newstart</w:t>
      </w:r>
      <w:r w:rsidR="009D040F">
        <w:t xml:space="preserve"> Allowance</w:t>
      </w:r>
      <w:r w:rsidR="008861DE" w:rsidRPr="005911E2">
        <w:t xml:space="preserve"> the rate of</w:t>
      </w:r>
      <w:r w:rsidR="00186FE2" w:rsidRPr="005911E2">
        <w:t xml:space="preserve"> application is </w:t>
      </w:r>
      <w:r w:rsidR="003075CB">
        <w:t>even</w:t>
      </w:r>
      <w:r w:rsidR="003075CB" w:rsidRPr="005911E2">
        <w:t xml:space="preserve"> </w:t>
      </w:r>
      <w:r w:rsidR="00186FE2" w:rsidRPr="005911E2">
        <w:t xml:space="preserve">lower </w:t>
      </w:r>
      <w:r w:rsidR="00E04125">
        <w:t>(</w:t>
      </w:r>
      <w:r w:rsidR="00186FE2" w:rsidRPr="005911E2">
        <w:t>4.8</w:t>
      </w:r>
      <w:r w:rsidR="008861DE" w:rsidRPr="005911E2">
        <w:t xml:space="preserve"> per cent</w:t>
      </w:r>
      <w:r w:rsidR="00E04125">
        <w:t>)</w:t>
      </w:r>
      <w:r w:rsidR="008861DE" w:rsidRPr="005911E2">
        <w:t xml:space="preserve"> but the success rate of 36.</w:t>
      </w:r>
      <w:r w:rsidR="004F29F9" w:rsidRPr="005911E2">
        <w:t>5</w:t>
      </w:r>
      <w:r w:rsidR="008861DE" w:rsidRPr="005911E2">
        <w:t xml:space="preserve"> per cent is </w:t>
      </w:r>
      <w:r w:rsidR="005320C5" w:rsidRPr="005911E2">
        <w:t>not much below the</w:t>
      </w:r>
      <w:r w:rsidR="008861DE" w:rsidRPr="005911E2">
        <w:t xml:space="preserve"> level </w:t>
      </w:r>
      <w:r w:rsidR="005320C5" w:rsidRPr="005911E2">
        <w:t>of</w:t>
      </w:r>
      <w:r w:rsidR="008861DE" w:rsidRPr="005911E2">
        <w:t xml:space="preserve"> those on Parenting Payment Partnered.</w:t>
      </w:r>
    </w:p>
    <w:p w:rsidR="008861DE" w:rsidRPr="005911E2" w:rsidRDefault="008861DE" w:rsidP="00AA1750">
      <w:r w:rsidRPr="005911E2">
        <w:t xml:space="preserve">With regard to those on Youth Allowance it is to be noted that, as detailed before, this analysis excludes those who have been granted exemptions as a result of being </w:t>
      </w:r>
      <w:r w:rsidR="00E04125">
        <w:t xml:space="preserve">a </w:t>
      </w:r>
      <w:r w:rsidRPr="005911E2">
        <w:t xml:space="preserve">full-time student or </w:t>
      </w:r>
      <w:r w:rsidR="00E04125">
        <w:t xml:space="preserve">an </w:t>
      </w:r>
      <w:r w:rsidRPr="005911E2">
        <w:t>apprentice.</w:t>
      </w:r>
    </w:p>
    <w:p w:rsidR="008861DE" w:rsidRPr="005911E2" w:rsidRDefault="008861DE" w:rsidP="00BD6DFD">
      <w:pPr>
        <w:pStyle w:val="Heading3"/>
      </w:pPr>
      <w:r w:rsidRPr="005911E2">
        <w:t>Country of Birth and migration status</w:t>
      </w:r>
    </w:p>
    <w:p w:rsidR="008861DE" w:rsidRDefault="008476E4" w:rsidP="00AA1750">
      <w:r w:rsidRPr="005911E2">
        <w:t>Table 8</w:t>
      </w:r>
      <w:r w:rsidRPr="005911E2">
        <w:noBreakHyphen/>
        <w:t>7</w:t>
      </w:r>
      <w:r w:rsidR="00AA1750" w:rsidRPr="005911E2">
        <w:t xml:space="preserve"> </w:t>
      </w:r>
      <w:r w:rsidR="008861DE" w:rsidRPr="005911E2">
        <w:t>illustrates the extent to which people access exemptions by broad classification of country of birth. Of particular note in the table are the differences between the Indigenous and non-Indigenous Australian born populations.</w:t>
      </w:r>
    </w:p>
    <w:p w:rsidR="00847CCC" w:rsidRDefault="00847CCC" w:rsidP="00847CCC">
      <w:r w:rsidRPr="005911E2">
        <w:t>Whereas 50.1 per cent of non-Indigenous Australians (by birth) applied for an exemption and 81.2 per cent were successful</w:t>
      </w:r>
      <w:r>
        <w:t>,</w:t>
      </w:r>
      <w:r w:rsidRPr="005911E2">
        <w:t xml:space="preserve"> just 13.2 per cent of Indigenous Australians made an application </w:t>
      </w:r>
      <w:r>
        <w:t>with</w:t>
      </w:r>
      <w:r w:rsidRPr="005911E2">
        <w:t xml:space="preserve"> a success rate of a 36.5 per cent. This is examined further later in this chapter.</w:t>
      </w:r>
    </w:p>
    <w:p w:rsidR="00847CCC" w:rsidRPr="005911E2" w:rsidRDefault="00847CCC" w:rsidP="00847CCC">
      <w:r w:rsidRPr="005911E2">
        <w:t>Looking at those who were born outside of Australia</w:t>
      </w:r>
      <w:r>
        <w:t>,</w:t>
      </w:r>
      <w:r w:rsidRPr="005911E2">
        <w:t xml:space="preserve"> the overwhelming majority were born in non-English </w:t>
      </w:r>
      <w:r>
        <w:t>s</w:t>
      </w:r>
      <w:r w:rsidRPr="005911E2">
        <w:t xml:space="preserve">peaking countries. This group had the highest rate of applications for exemptions </w:t>
      </w:r>
      <w:r>
        <w:t>(</w:t>
      </w:r>
      <w:r w:rsidRPr="005911E2">
        <w:t>57.7</w:t>
      </w:r>
      <w:r>
        <w:t> </w:t>
      </w:r>
      <w:r w:rsidRPr="005911E2">
        <w:t>per cent</w:t>
      </w:r>
      <w:r>
        <w:t>)</w:t>
      </w:r>
      <w:r w:rsidRPr="005911E2">
        <w:t xml:space="preserve"> and the second highest rate of success </w:t>
      </w:r>
      <w:r>
        <w:t>(</w:t>
      </w:r>
      <w:r w:rsidRPr="005911E2">
        <w:t>77.4 per cent</w:t>
      </w:r>
      <w:r>
        <w:t>)</w:t>
      </w:r>
      <w:r w:rsidRPr="005911E2">
        <w:t xml:space="preserve">. Those born in English </w:t>
      </w:r>
      <w:r>
        <w:t>s</w:t>
      </w:r>
      <w:r w:rsidRPr="005911E2">
        <w:t>peaking countries applied for exemptions at much the same rate as the non-Indigenous Australian born population and had a success rate slightly below these.</w:t>
      </w:r>
    </w:p>
    <w:p w:rsidR="008861DE" w:rsidRPr="005911E2" w:rsidRDefault="008861DE" w:rsidP="00AA1750">
      <w:pPr>
        <w:pStyle w:val="tabfighead"/>
      </w:pPr>
      <w:bookmarkStart w:id="712" w:name="_Ref321078560"/>
      <w:bookmarkStart w:id="713" w:name="_Toc321430440"/>
      <w:bookmarkStart w:id="714" w:name="_Toc321254559"/>
      <w:bookmarkStart w:id="715" w:name="_Toc328601607"/>
      <w:bookmarkStart w:id="716" w:name="_Toc329051385"/>
      <w:bookmarkStart w:id="717" w:name="_Toc335915873"/>
      <w:r w:rsidRPr="005911E2">
        <w:t xml:space="preserve">Table </w:t>
      </w:r>
      <w:r w:rsidR="00C7347D" w:rsidRPr="005911E2">
        <w:fldChar w:fldCharType="begin"/>
      </w:r>
      <w:r w:rsidR="00EF6BC6" w:rsidRPr="005911E2">
        <w:instrText xml:space="preserve"> STYLEREF 1 \s </w:instrText>
      </w:r>
      <w:r w:rsidR="00C7347D" w:rsidRPr="005911E2">
        <w:fldChar w:fldCharType="separate"/>
      </w:r>
      <w:r w:rsidR="007D7E45">
        <w:rPr>
          <w:noProof/>
        </w:rPr>
        <w:t>8</w:t>
      </w:r>
      <w:r w:rsidR="00C7347D" w:rsidRPr="005911E2">
        <w:fldChar w:fldCharType="end"/>
      </w:r>
      <w:r w:rsidR="00EF6BC6" w:rsidRPr="005911E2">
        <w:noBreakHyphen/>
      </w:r>
      <w:r w:rsidR="00C7347D" w:rsidRPr="005911E2">
        <w:fldChar w:fldCharType="begin"/>
      </w:r>
      <w:r w:rsidR="00EF6BC6" w:rsidRPr="005911E2">
        <w:instrText xml:space="preserve"> SEQ Table \* ARABIC \s 1 </w:instrText>
      </w:r>
      <w:r w:rsidR="00C7347D" w:rsidRPr="005911E2">
        <w:fldChar w:fldCharType="separate"/>
      </w:r>
      <w:r w:rsidR="007D7E45">
        <w:rPr>
          <w:noProof/>
        </w:rPr>
        <w:t>7</w:t>
      </w:r>
      <w:r w:rsidR="00C7347D" w:rsidRPr="005911E2">
        <w:fldChar w:fldCharType="end"/>
      </w:r>
      <w:bookmarkEnd w:id="712"/>
      <w:r w:rsidRPr="005911E2">
        <w:tab/>
        <w:t>Applications for and granting of exemptions by broad country of birth, October 2011</w:t>
      </w:r>
      <w:bookmarkEnd w:id="713"/>
      <w:bookmarkEnd w:id="714"/>
      <w:bookmarkEnd w:id="715"/>
      <w:bookmarkEnd w:id="716"/>
      <w:bookmarkEnd w:id="717"/>
    </w:p>
    <w:tbl>
      <w:tblPr>
        <w:tblW w:w="4317" w:type="pct"/>
        <w:jc w:val="right"/>
        <w:tblLayout w:type="fixed"/>
        <w:tblLook w:val="0000" w:firstRow="0" w:lastRow="0" w:firstColumn="0" w:lastColumn="0" w:noHBand="0" w:noVBand="0"/>
      </w:tblPr>
      <w:tblGrid>
        <w:gridCol w:w="3121"/>
        <w:gridCol w:w="1132"/>
        <w:gridCol w:w="1051"/>
        <w:gridCol w:w="848"/>
        <w:gridCol w:w="848"/>
        <w:gridCol w:w="853"/>
      </w:tblGrid>
      <w:tr w:rsidR="00267BF5" w:rsidRPr="00847CCC" w:rsidTr="00AC72FE">
        <w:trPr>
          <w:trHeight w:val="405"/>
          <w:jc w:val="right"/>
        </w:trPr>
        <w:tc>
          <w:tcPr>
            <w:tcW w:w="1987" w:type="pct"/>
            <w:vMerge w:val="restart"/>
            <w:tcBorders>
              <w:top w:val="single" w:sz="4" w:space="0" w:color="auto"/>
              <w:left w:val="nil"/>
              <w:right w:val="nil"/>
            </w:tcBorders>
          </w:tcPr>
          <w:p w:rsidR="00267BF5" w:rsidRPr="00847CCC" w:rsidRDefault="00267BF5" w:rsidP="005320C5">
            <w:pPr>
              <w:pStyle w:val="braytabletext"/>
              <w:rPr>
                <w:szCs w:val="16"/>
              </w:rPr>
            </w:pPr>
          </w:p>
        </w:tc>
        <w:tc>
          <w:tcPr>
            <w:tcW w:w="721" w:type="pct"/>
            <w:vMerge w:val="restart"/>
            <w:tcBorders>
              <w:top w:val="single" w:sz="4" w:space="0" w:color="auto"/>
              <w:left w:val="nil"/>
              <w:right w:val="nil"/>
            </w:tcBorders>
          </w:tcPr>
          <w:p w:rsidR="00267BF5" w:rsidRPr="00847CCC" w:rsidRDefault="00267BF5" w:rsidP="00C04728">
            <w:pPr>
              <w:pStyle w:val="braytabletext"/>
              <w:jc w:val="right"/>
              <w:rPr>
                <w:szCs w:val="16"/>
              </w:rPr>
            </w:pPr>
            <w:r w:rsidRPr="00847CCC">
              <w:rPr>
                <w:szCs w:val="16"/>
              </w:rPr>
              <w:t>Australian born non-Indigenous</w:t>
            </w:r>
          </w:p>
        </w:tc>
        <w:tc>
          <w:tcPr>
            <w:tcW w:w="669" w:type="pct"/>
            <w:vMerge w:val="restart"/>
            <w:tcBorders>
              <w:top w:val="single" w:sz="4" w:space="0" w:color="auto"/>
              <w:left w:val="nil"/>
              <w:right w:val="nil"/>
            </w:tcBorders>
          </w:tcPr>
          <w:p w:rsidR="00267BF5" w:rsidRPr="00847CCC" w:rsidRDefault="00267BF5" w:rsidP="005320C5">
            <w:pPr>
              <w:pStyle w:val="braytabletext"/>
              <w:jc w:val="right"/>
              <w:rPr>
                <w:szCs w:val="16"/>
              </w:rPr>
            </w:pPr>
            <w:r w:rsidRPr="00847CCC">
              <w:rPr>
                <w:szCs w:val="16"/>
              </w:rPr>
              <w:t>Indigenous</w:t>
            </w:r>
          </w:p>
        </w:tc>
        <w:tc>
          <w:tcPr>
            <w:tcW w:w="1080" w:type="pct"/>
            <w:gridSpan w:val="2"/>
            <w:tcBorders>
              <w:top w:val="single" w:sz="4" w:space="0" w:color="auto"/>
              <w:left w:val="nil"/>
              <w:right w:val="nil"/>
            </w:tcBorders>
          </w:tcPr>
          <w:p w:rsidR="00267BF5" w:rsidRPr="00847CCC" w:rsidRDefault="00267BF5" w:rsidP="00783DF8">
            <w:pPr>
              <w:pStyle w:val="braytabletext"/>
              <w:rPr>
                <w:szCs w:val="16"/>
              </w:rPr>
            </w:pPr>
            <w:r w:rsidRPr="00847CCC">
              <w:rPr>
                <w:szCs w:val="16"/>
              </w:rPr>
              <w:t>Born overseas</w:t>
            </w:r>
            <w:r w:rsidR="00783DF8">
              <w:rPr>
                <w:szCs w:val="16"/>
              </w:rPr>
              <w:t>:</w:t>
            </w:r>
          </w:p>
        </w:tc>
        <w:tc>
          <w:tcPr>
            <w:tcW w:w="544" w:type="pct"/>
            <w:vMerge w:val="restart"/>
            <w:tcBorders>
              <w:top w:val="single" w:sz="4" w:space="0" w:color="auto"/>
              <w:left w:val="nil"/>
              <w:right w:val="nil"/>
            </w:tcBorders>
          </w:tcPr>
          <w:p w:rsidR="00267BF5" w:rsidRPr="00847CCC" w:rsidRDefault="00267BF5" w:rsidP="005320C5">
            <w:pPr>
              <w:pStyle w:val="braytabletext"/>
              <w:jc w:val="right"/>
              <w:rPr>
                <w:szCs w:val="16"/>
              </w:rPr>
            </w:pPr>
            <w:r w:rsidRPr="00847CCC">
              <w:rPr>
                <w:szCs w:val="16"/>
              </w:rPr>
              <w:t>Total (b)</w:t>
            </w:r>
          </w:p>
        </w:tc>
      </w:tr>
      <w:tr w:rsidR="00267BF5" w:rsidRPr="00847CCC" w:rsidTr="00AC72FE">
        <w:trPr>
          <w:trHeight w:val="184"/>
          <w:jc w:val="right"/>
        </w:trPr>
        <w:tc>
          <w:tcPr>
            <w:tcW w:w="1987" w:type="pct"/>
            <w:vMerge/>
            <w:tcBorders>
              <w:left w:val="nil"/>
              <w:right w:val="nil"/>
            </w:tcBorders>
          </w:tcPr>
          <w:p w:rsidR="00267BF5" w:rsidRPr="00847CCC" w:rsidRDefault="00267BF5" w:rsidP="005320C5">
            <w:pPr>
              <w:pStyle w:val="braytabletext"/>
              <w:rPr>
                <w:szCs w:val="16"/>
              </w:rPr>
            </w:pPr>
          </w:p>
        </w:tc>
        <w:tc>
          <w:tcPr>
            <w:tcW w:w="721" w:type="pct"/>
            <w:vMerge/>
            <w:tcBorders>
              <w:left w:val="nil"/>
              <w:right w:val="nil"/>
            </w:tcBorders>
          </w:tcPr>
          <w:p w:rsidR="00267BF5" w:rsidRPr="00847CCC" w:rsidRDefault="00267BF5" w:rsidP="001F6CF5">
            <w:pPr>
              <w:pStyle w:val="braytabletext"/>
              <w:rPr>
                <w:szCs w:val="16"/>
              </w:rPr>
            </w:pPr>
          </w:p>
        </w:tc>
        <w:tc>
          <w:tcPr>
            <w:tcW w:w="669" w:type="pct"/>
            <w:vMerge/>
            <w:tcBorders>
              <w:left w:val="nil"/>
              <w:right w:val="nil"/>
            </w:tcBorders>
          </w:tcPr>
          <w:p w:rsidR="00267BF5" w:rsidRPr="00847CCC" w:rsidRDefault="00267BF5" w:rsidP="005320C5">
            <w:pPr>
              <w:pStyle w:val="braytabletext"/>
              <w:jc w:val="right"/>
              <w:rPr>
                <w:szCs w:val="16"/>
              </w:rPr>
            </w:pPr>
          </w:p>
        </w:tc>
        <w:tc>
          <w:tcPr>
            <w:tcW w:w="540" w:type="pct"/>
            <w:tcBorders>
              <w:top w:val="single" w:sz="4" w:space="0" w:color="auto"/>
              <w:left w:val="nil"/>
              <w:right w:val="nil"/>
            </w:tcBorders>
          </w:tcPr>
          <w:p w:rsidR="00267BF5" w:rsidRPr="00847CCC" w:rsidRDefault="00267BF5" w:rsidP="005320C5">
            <w:pPr>
              <w:pStyle w:val="braytabletext"/>
              <w:jc w:val="right"/>
              <w:rPr>
                <w:szCs w:val="16"/>
              </w:rPr>
            </w:pPr>
            <w:r w:rsidRPr="00847CCC">
              <w:rPr>
                <w:szCs w:val="16"/>
              </w:rPr>
              <w:t>ESB(a)</w:t>
            </w:r>
          </w:p>
        </w:tc>
        <w:tc>
          <w:tcPr>
            <w:tcW w:w="540" w:type="pct"/>
            <w:tcBorders>
              <w:top w:val="single" w:sz="4" w:space="0" w:color="auto"/>
              <w:left w:val="nil"/>
              <w:right w:val="nil"/>
            </w:tcBorders>
          </w:tcPr>
          <w:p w:rsidR="00267BF5" w:rsidRPr="00847CCC" w:rsidRDefault="00267BF5" w:rsidP="005320C5">
            <w:pPr>
              <w:pStyle w:val="braytabletext"/>
              <w:jc w:val="right"/>
              <w:rPr>
                <w:szCs w:val="16"/>
              </w:rPr>
            </w:pPr>
            <w:r w:rsidRPr="00847CCC">
              <w:rPr>
                <w:szCs w:val="16"/>
              </w:rPr>
              <w:t>NESB</w:t>
            </w:r>
          </w:p>
        </w:tc>
        <w:tc>
          <w:tcPr>
            <w:tcW w:w="544" w:type="pct"/>
            <w:vMerge/>
            <w:tcBorders>
              <w:left w:val="nil"/>
              <w:right w:val="nil"/>
            </w:tcBorders>
          </w:tcPr>
          <w:p w:rsidR="00267BF5" w:rsidRPr="00847CCC" w:rsidRDefault="00267BF5" w:rsidP="005320C5">
            <w:pPr>
              <w:pStyle w:val="braytabletext"/>
              <w:jc w:val="right"/>
              <w:rPr>
                <w:szCs w:val="16"/>
              </w:rPr>
            </w:pPr>
          </w:p>
        </w:tc>
      </w:tr>
      <w:tr w:rsidR="007D0D9B" w:rsidRPr="00847CCC" w:rsidTr="00AC72FE">
        <w:trPr>
          <w:trHeight w:val="290"/>
          <w:jc w:val="right"/>
        </w:trPr>
        <w:tc>
          <w:tcPr>
            <w:tcW w:w="1987" w:type="pct"/>
            <w:tcBorders>
              <w:top w:val="single" w:sz="4" w:space="0" w:color="auto"/>
              <w:left w:val="nil"/>
              <w:bottom w:val="nil"/>
              <w:right w:val="nil"/>
            </w:tcBorders>
          </w:tcPr>
          <w:p w:rsidR="007D0D9B" w:rsidRPr="00847CCC" w:rsidRDefault="007D0D9B" w:rsidP="005320C5">
            <w:pPr>
              <w:pStyle w:val="braytabletext"/>
              <w:rPr>
                <w:szCs w:val="16"/>
              </w:rPr>
            </w:pPr>
            <w:r w:rsidRPr="00847CCC">
              <w:rPr>
                <w:szCs w:val="16"/>
              </w:rPr>
              <w:t>Potential compulsory</w:t>
            </w:r>
          </w:p>
        </w:tc>
        <w:tc>
          <w:tcPr>
            <w:tcW w:w="721" w:type="pct"/>
            <w:tcBorders>
              <w:top w:val="single" w:sz="4" w:space="0" w:color="auto"/>
              <w:left w:val="nil"/>
              <w:bottom w:val="nil"/>
              <w:right w:val="nil"/>
            </w:tcBorders>
          </w:tcPr>
          <w:p w:rsidR="007D0D9B" w:rsidRPr="00847CCC" w:rsidRDefault="007D0D9B" w:rsidP="005320C5">
            <w:pPr>
              <w:pStyle w:val="braytabletext"/>
              <w:jc w:val="right"/>
              <w:rPr>
                <w:szCs w:val="16"/>
              </w:rPr>
            </w:pPr>
          </w:p>
        </w:tc>
        <w:tc>
          <w:tcPr>
            <w:tcW w:w="669" w:type="pct"/>
            <w:tcBorders>
              <w:top w:val="single" w:sz="4" w:space="0" w:color="auto"/>
              <w:left w:val="nil"/>
              <w:bottom w:val="nil"/>
              <w:right w:val="nil"/>
            </w:tcBorders>
          </w:tcPr>
          <w:p w:rsidR="007D0D9B" w:rsidRPr="00847CCC" w:rsidRDefault="007D0D9B" w:rsidP="005320C5">
            <w:pPr>
              <w:pStyle w:val="braytabletext"/>
              <w:jc w:val="right"/>
              <w:rPr>
                <w:szCs w:val="16"/>
              </w:rPr>
            </w:pPr>
          </w:p>
        </w:tc>
        <w:tc>
          <w:tcPr>
            <w:tcW w:w="540" w:type="pct"/>
            <w:tcBorders>
              <w:top w:val="single" w:sz="4" w:space="0" w:color="auto"/>
              <w:left w:val="nil"/>
              <w:bottom w:val="nil"/>
              <w:right w:val="nil"/>
            </w:tcBorders>
          </w:tcPr>
          <w:p w:rsidR="007D0D9B" w:rsidRPr="00847CCC" w:rsidRDefault="007D0D9B" w:rsidP="005320C5">
            <w:pPr>
              <w:pStyle w:val="braytabletext"/>
              <w:jc w:val="right"/>
              <w:rPr>
                <w:szCs w:val="16"/>
              </w:rPr>
            </w:pPr>
          </w:p>
        </w:tc>
        <w:tc>
          <w:tcPr>
            <w:tcW w:w="540" w:type="pct"/>
            <w:tcBorders>
              <w:top w:val="single" w:sz="4" w:space="0" w:color="auto"/>
              <w:left w:val="nil"/>
              <w:bottom w:val="nil"/>
              <w:right w:val="nil"/>
            </w:tcBorders>
          </w:tcPr>
          <w:p w:rsidR="007D0D9B" w:rsidRPr="00847CCC" w:rsidRDefault="007D0D9B" w:rsidP="005320C5">
            <w:pPr>
              <w:pStyle w:val="braytabletext"/>
              <w:jc w:val="right"/>
              <w:rPr>
                <w:szCs w:val="16"/>
              </w:rPr>
            </w:pPr>
          </w:p>
        </w:tc>
        <w:tc>
          <w:tcPr>
            <w:tcW w:w="544" w:type="pct"/>
            <w:tcBorders>
              <w:top w:val="single" w:sz="4" w:space="0" w:color="auto"/>
              <w:left w:val="nil"/>
              <w:bottom w:val="nil"/>
              <w:right w:val="nil"/>
            </w:tcBorders>
          </w:tcPr>
          <w:p w:rsidR="007D0D9B" w:rsidRPr="00847CCC" w:rsidRDefault="007D0D9B" w:rsidP="005320C5">
            <w:pPr>
              <w:pStyle w:val="braytabletext"/>
              <w:jc w:val="right"/>
              <w:rPr>
                <w:szCs w:val="16"/>
              </w:rPr>
            </w:pPr>
          </w:p>
        </w:tc>
      </w:tr>
      <w:tr w:rsidR="004F29F9" w:rsidRPr="00847CCC" w:rsidTr="00AC72FE">
        <w:trPr>
          <w:trHeight w:val="290"/>
          <w:jc w:val="right"/>
        </w:trPr>
        <w:tc>
          <w:tcPr>
            <w:tcW w:w="1987" w:type="pct"/>
            <w:tcBorders>
              <w:top w:val="nil"/>
              <w:left w:val="nil"/>
              <w:bottom w:val="nil"/>
              <w:right w:val="nil"/>
            </w:tcBorders>
          </w:tcPr>
          <w:p w:rsidR="004F29F9" w:rsidRPr="00847CCC" w:rsidRDefault="004F29F9" w:rsidP="00357105">
            <w:pPr>
              <w:pStyle w:val="braytabletext"/>
              <w:rPr>
                <w:szCs w:val="16"/>
              </w:rPr>
            </w:pPr>
            <w:r w:rsidRPr="00847CCC">
              <w:rPr>
                <w:szCs w:val="16"/>
              </w:rPr>
              <w:t>CIM no applic</w:t>
            </w:r>
            <w:r w:rsidR="00357105" w:rsidRPr="00847CCC">
              <w:rPr>
                <w:szCs w:val="16"/>
              </w:rPr>
              <w:t>ation</w:t>
            </w:r>
            <w:r w:rsidRPr="00847CCC">
              <w:rPr>
                <w:szCs w:val="16"/>
              </w:rPr>
              <w:t xml:space="preserve"> for exemption</w:t>
            </w:r>
          </w:p>
        </w:tc>
        <w:tc>
          <w:tcPr>
            <w:tcW w:w="721" w:type="pct"/>
            <w:tcBorders>
              <w:top w:val="nil"/>
              <w:left w:val="nil"/>
              <w:bottom w:val="nil"/>
              <w:right w:val="nil"/>
            </w:tcBorders>
          </w:tcPr>
          <w:p w:rsidR="004F29F9" w:rsidRPr="00847CCC" w:rsidRDefault="004F29F9" w:rsidP="004F29F9">
            <w:pPr>
              <w:pStyle w:val="braytabletext"/>
              <w:jc w:val="right"/>
              <w:rPr>
                <w:szCs w:val="16"/>
              </w:rPr>
            </w:pPr>
            <w:r w:rsidRPr="00847CCC">
              <w:rPr>
                <w:szCs w:val="16"/>
              </w:rPr>
              <w:t>892</w:t>
            </w:r>
          </w:p>
        </w:tc>
        <w:tc>
          <w:tcPr>
            <w:tcW w:w="669" w:type="pct"/>
            <w:tcBorders>
              <w:top w:val="nil"/>
              <w:left w:val="nil"/>
              <w:bottom w:val="nil"/>
              <w:right w:val="nil"/>
            </w:tcBorders>
          </w:tcPr>
          <w:p w:rsidR="004F29F9" w:rsidRPr="00847CCC" w:rsidRDefault="004F29F9" w:rsidP="004F29F9">
            <w:pPr>
              <w:pStyle w:val="braytabletext"/>
              <w:jc w:val="right"/>
              <w:rPr>
                <w:szCs w:val="16"/>
              </w:rPr>
            </w:pPr>
            <w:r w:rsidRPr="00847CCC">
              <w:rPr>
                <w:szCs w:val="16"/>
              </w:rPr>
              <w:t>10</w:t>
            </w:r>
            <w:r w:rsidR="00C63F1B" w:rsidRPr="00847CCC">
              <w:rPr>
                <w:szCs w:val="16"/>
              </w:rPr>
              <w:t xml:space="preserve"> </w:t>
            </w:r>
            <w:r w:rsidRPr="00847CCC">
              <w:rPr>
                <w:szCs w:val="16"/>
              </w:rPr>
              <w:t>115</w:t>
            </w:r>
          </w:p>
        </w:tc>
        <w:tc>
          <w:tcPr>
            <w:tcW w:w="540" w:type="pct"/>
            <w:tcBorders>
              <w:top w:val="nil"/>
              <w:left w:val="nil"/>
              <w:bottom w:val="nil"/>
              <w:right w:val="nil"/>
            </w:tcBorders>
          </w:tcPr>
          <w:p w:rsidR="004F29F9" w:rsidRPr="00847CCC" w:rsidRDefault="004F29F9" w:rsidP="004F29F9">
            <w:pPr>
              <w:pStyle w:val="braytabletext"/>
              <w:jc w:val="right"/>
              <w:rPr>
                <w:szCs w:val="16"/>
              </w:rPr>
            </w:pPr>
            <w:r w:rsidRPr="00847CCC">
              <w:rPr>
                <w:szCs w:val="16"/>
              </w:rPr>
              <w:t>69</w:t>
            </w:r>
          </w:p>
        </w:tc>
        <w:tc>
          <w:tcPr>
            <w:tcW w:w="540" w:type="pct"/>
            <w:tcBorders>
              <w:top w:val="nil"/>
              <w:left w:val="nil"/>
              <w:bottom w:val="nil"/>
              <w:right w:val="nil"/>
            </w:tcBorders>
          </w:tcPr>
          <w:p w:rsidR="004F29F9" w:rsidRPr="00847CCC" w:rsidRDefault="004F29F9" w:rsidP="004F29F9">
            <w:pPr>
              <w:pStyle w:val="braytabletext"/>
              <w:jc w:val="right"/>
              <w:rPr>
                <w:szCs w:val="16"/>
              </w:rPr>
            </w:pPr>
            <w:r w:rsidRPr="00847CCC">
              <w:rPr>
                <w:szCs w:val="16"/>
              </w:rPr>
              <w:t>201</w:t>
            </w:r>
          </w:p>
        </w:tc>
        <w:tc>
          <w:tcPr>
            <w:tcW w:w="544" w:type="pct"/>
            <w:tcBorders>
              <w:top w:val="nil"/>
              <w:left w:val="nil"/>
              <w:bottom w:val="nil"/>
              <w:right w:val="nil"/>
            </w:tcBorders>
          </w:tcPr>
          <w:p w:rsidR="004F29F9" w:rsidRPr="00847CCC" w:rsidRDefault="004F29F9" w:rsidP="004F29F9">
            <w:pPr>
              <w:pStyle w:val="braytabletext"/>
              <w:jc w:val="right"/>
              <w:rPr>
                <w:szCs w:val="16"/>
              </w:rPr>
            </w:pPr>
            <w:r w:rsidRPr="00847CCC">
              <w:rPr>
                <w:szCs w:val="16"/>
              </w:rPr>
              <w:t>11</w:t>
            </w:r>
            <w:r w:rsidR="00267BF5" w:rsidRPr="00847CCC">
              <w:rPr>
                <w:szCs w:val="16"/>
              </w:rPr>
              <w:t> </w:t>
            </w:r>
            <w:r w:rsidRPr="00847CCC">
              <w:rPr>
                <w:szCs w:val="16"/>
              </w:rPr>
              <w:t>422</w:t>
            </w:r>
          </w:p>
        </w:tc>
      </w:tr>
      <w:tr w:rsidR="004F29F9" w:rsidRPr="00847CCC" w:rsidTr="00AC72FE">
        <w:trPr>
          <w:trHeight w:val="290"/>
          <w:jc w:val="right"/>
        </w:trPr>
        <w:tc>
          <w:tcPr>
            <w:tcW w:w="1987" w:type="pct"/>
            <w:tcBorders>
              <w:top w:val="nil"/>
              <w:left w:val="nil"/>
              <w:bottom w:val="nil"/>
              <w:right w:val="nil"/>
            </w:tcBorders>
          </w:tcPr>
          <w:p w:rsidR="004F29F9" w:rsidRPr="00847CCC" w:rsidRDefault="004F29F9" w:rsidP="005320C5">
            <w:pPr>
              <w:pStyle w:val="braytabletext"/>
              <w:rPr>
                <w:szCs w:val="16"/>
              </w:rPr>
            </w:pPr>
            <w:r w:rsidRPr="00847CCC">
              <w:rPr>
                <w:szCs w:val="16"/>
              </w:rPr>
              <w:t>CIM exemption rejected</w:t>
            </w:r>
          </w:p>
        </w:tc>
        <w:tc>
          <w:tcPr>
            <w:tcW w:w="721" w:type="pct"/>
            <w:tcBorders>
              <w:top w:val="nil"/>
              <w:left w:val="nil"/>
              <w:bottom w:val="nil"/>
              <w:right w:val="nil"/>
            </w:tcBorders>
          </w:tcPr>
          <w:p w:rsidR="004F29F9" w:rsidRPr="00847CCC" w:rsidRDefault="004F29F9" w:rsidP="004F29F9">
            <w:pPr>
              <w:pStyle w:val="braytabletext"/>
              <w:jc w:val="right"/>
              <w:rPr>
                <w:szCs w:val="16"/>
              </w:rPr>
            </w:pPr>
            <w:r w:rsidRPr="00847CCC">
              <w:rPr>
                <w:szCs w:val="16"/>
              </w:rPr>
              <w:t>155</w:t>
            </w:r>
          </w:p>
        </w:tc>
        <w:tc>
          <w:tcPr>
            <w:tcW w:w="669" w:type="pct"/>
            <w:tcBorders>
              <w:top w:val="nil"/>
              <w:left w:val="nil"/>
              <w:bottom w:val="nil"/>
              <w:right w:val="nil"/>
            </w:tcBorders>
          </w:tcPr>
          <w:p w:rsidR="004F29F9" w:rsidRPr="00847CCC" w:rsidRDefault="004F29F9" w:rsidP="004F29F9">
            <w:pPr>
              <w:pStyle w:val="braytabletext"/>
              <w:jc w:val="right"/>
              <w:rPr>
                <w:szCs w:val="16"/>
              </w:rPr>
            </w:pPr>
            <w:r w:rsidRPr="00847CCC">
              <w:rPr>
                <w:szCs w:val="16"/>
              </w:rPr>
              <w:t>922</w:t>
            </w:r>
          </w:p>
        </w:tc>
        <w:tc>
          <w:tcPr>
            <w:tcW w:w="540" w:type="pct"/>
            <w:tcBorders>
              <w:top w:val="nil"/>
              <w:left w:val="nil"/>
              <w:bottom w:val="nil"/>
              <w:right w:val="nil"/>
            </w:tcBorders>
          </w:tcPr>
          <w:p w:rsidR="004F29F9" w:rsidRPr="00847CCC" w:rsidRDefault="004F29F9" w:rsidP="00C56AA3">
            <w:pPr>
              <w:pStyle w:val="braytabletext"/>
              <w:jc w:val="right"/>
              <w:rPr>
                <w:szCs w:val="16"/>
              </w:rPr>
            </w:pPr>
            <w:r w:rsidRPr="00847CCC">
              <w:rPr>
                <w:szCs w:val="16"/>
              </w:rPr>
              <w:t>1</w:t>
            </w:r>
            <w:r w:rsidR="00C56AA3" w:rsidRPr="00847CCC">
              <w:rPr>
                <w:szCs w:val="16"/>
              </w:rPr>
              <w:t>8</w:t>
            </w:r>
          </w:p>
        </w:tc>
        <w:tc>
          <w:tcPr>
            <w:tcW w:w="540" w:type="pct"/>
            <w:tcBorders>
              <w:top w:val="nil"/>
              <w:left w:val="nil"/>
              <w:bottom w:val="nil"/>
              <w:right w:val="nil"/>
            </w:tcBorders>
          </w:tcPr>
          <w:p w:rsidR="004F29F9" w:rsidRPr="00847CCC" w:rsidRDefault="00C56AA3" w:rsidP="004F29F9">
            <w:pPr>
              <w:pStyle w:val="braytabletext"/>
              <w:jc w:val="right"/>
              <w:rPr>
                <w:szCs w:val="16"/>
              </w:rPr>
            </w:pPr>
            <w:r w:rsidRPr="00847CCC">
              <w:rPr>
                <w:szCs w:val="16"/>
              </w:rPr>
              <w:t>56</w:t>
            </w:r>
          </w:p>
        </w:tc>
        <w:tc>
          <w:tcPr>
            <w:tcW w:w="544" w:type="pct"/>
            <w:tcBorders>
              <w:top w:val="nil"/>
              <w:left w:val="nil"/>
              <w:bottom w:val="nil"/>
              <w:right w:val="nil"/>
            </w:tcBorders>
          </w:tcPr>
          <w:p w:rsidR="004F29F9" w:rsidRPr="00847CCC" w:rsidRDefault="004F29F9" w:rsidP="004F29F9">
            <w:pPr>
              <w:pStyle w:val="braytabletext"/>
              <w:jc w:val="right"/>
              <w:rPr>
                <w:szCs w:val="16"/>
              </w:rPr>
            </w:pPr>
            <w:r w:rsidRPr="00847CCC">
              <w:rPr>
                <w:szCs w:val="16"/>
              </w:rPr>
              <w:t>1</w:t>
            </w:r>
            <w:r w:rsidR="00267BF5" w:rsidRPr="00847CCC">
              <w:rPr>
                <w:szCs w:val="16"/>
              </w:rPr>
              <w:t> </w:t>
            </w:r>
            <w:r w:rsidRPr="00847CCC">
              <w:rPr>
                <w:szCs w:val="16"/>
              </w:rPr>
              <w:t>152</w:t>
            </w:r>
          </w:p>
        </w:tc>
      </w:tr>
      <w:tr w:rsidR="004F29F9" w:rsidRPr="00847CCC" w:rsidTr="00AC72FE">
        <w:trPr>
          <w:trHeight w:val="290"/>
          <w:jc w:val="right"/>
        </w:trPr>
        <w:tc>
          <w:tcPr>
            <w:tcW w:w="1987" w:type="pct"/>
            <w:tcBorders>
              <w:top w:val="nil"/>
              <w:left w:val="nil"/>
              <w:bottom w:val="nil"/>
              <w:right w:val="nil"/>
            </w:tcBorders>
          </w:tcPr>
          <w:p w:rsidR="004F29F9" w:rsidRPr="00847CCC" w:rsidRDefault="004F29F9" w:rsidP="00357105">
            <w:pPr>
              <w:pStyle w:val="braytabletext"/>
              <w:rPr>
                <w:szCs w:val="16"/>
              </w:rPr>
            </w:pPr>
            <w:r w:rsidRPr="00847CCC">
              <w:rPr>
                <w:szCs w:val="16"/>
              </w:rPr>
              <w:t>CIM applic</w:t>
            </w:r>
            <w:r w:rsidR="00357105" w:rsidRPr="00847CCC">
              <w:rPr>
                <w:szCs w:val="16"/>
              </w:rPr>
              <w:t>ation</w:t>
            </w:r>
            <w:r w:rsidRPr="00847CCC">
              <w:rPr>
                <w:szCs w:val="16"/>
              </w:rPr>
              <w:t xml:space="preserve"> for exempt</w:t>
            </w:r>
            <w:r w:rsidR="00357105" w:rsidRPr="00847CCC">
              <w:rPr>
                <w:szCs w:val="16"/>
              </w:rPr>
              <w:t>ion</w:t>
            </w:r>
            <w:r w:rsidRPr="00847CCC">
              <w:rPr>
                <w:szCs w:val="16"/>
              </w:rPr>
              <w:t xml:space="preserve"> withdrawn</w:t>
            </w:r>
          </w:p>
        </w:tc>
        <w:tc>
          <w:tcPr>
            <w:tcW w:w="721" w:type="pct"/>
            <w:tcBorders>
              <w:top w:val="nil"/>
              <w:left w:val="nil"/>
              <w:bottom w:val="nil"/>
              <w:right w:val="nil"/>
            </w:tcBorders>
          </w:tcPr>
          <w:p w:rsidR="004F29F9" w:rsidRPr="00847CCC" w:rsidRDefault="00C56AA3" w:rsidP="004F29F9">
            <w:pPr>
              <w:pStyle w:val="braytabletext"/>
              <w:jc w:val="right"/>
              <w:rPr>
                <w:szCs w:val="16"/>
              </w:rPr>
            </w:pPr>
            <w:r w:rsidRPr="00847CCC">
              <w:rPr>
                <w:szCs w:val="16"/>
              </w:rPr>
              <w:t>15</w:t>
            </w:r>
          </w:p>
        </w:tc>
        <w:tc>
          <w:tcPr>
            <w:tcW w:w="669" w:type="pct"/>
            <w:tcBorders>
              <w:top w:val="nil"/>
              <w:left w:val="nil"/>
              <w:bottom w:val="nil"/>
              <w:right w:val="nil"/>
            </w:tcBorders>
          </w:tcPr>
          <w:p w:rsidR="004F29F9" w:rsidRPr="00847CCC" w:rsidRDefault="00C56AA3" w:rsidP="004F29F9">
            <w:pPr>
              <w:pStyle w:val="braytabletext"/>
              <w:jc w:val="right"/>
              <w:rPr>
                <w:szCs w:val="16"/>
              </w:rPr>
            </w:pPr>
            <w:r w:rsidRPr="00847CCC">
              <w:rPr>
                <w:szCs w:val="16"/>
              </w:rPr>
              <w:t>53</w:t>
            </w:r>
          </w:p>
        </w:tc>
        <w:tc>
          <w:tcPr>
            <w:tcW w:w="540" w:type="pct"/>
            <w:tcBorders>
              <w:top w:val="nil"/>
              <w:left w:val="nil"/>
              <w:bottom w:val="nil"/>
              <w:right w:val="nil"/>
            </w:tcBorders>
          </w:tcPr>
          <w:p w:rsidR="004F29F9" w:rsidRPr="00847CCC" w:rsidRDefault="00C56AA3" w:rsidP="004F29F9">
            <w:pPr>
              <w:pStyle w:val="braytabletext"/>
              <w:jc w:val="right"/>
              <w:rPr>
                <w:szCs w:val="16"/>
              </w:rPr>
            </w:pPr>
            <w:r w:rsidRPr="00847CCC">
              <w:rPr>
                <w:szCs w:val="16"/>
              </w:rPr>
              <w:t>3</w:t>
            </w:r>
          </w:p>
        </w:tc>
        <w:tc>
          <w:tcPr>
            <w:tcW w:w="540" w:type="pct"/>
            <w:tcBorders>
              <w:top w:val="nil"/>
              <w:left w:val="nil"/>
              <w:bottom w:val="nil"/>
              <w:right w:val="nil"/>
            </w:tcBorders>
          </w:tcPr>
          <w:p w:rsidR="004F29F9" w:rsidRPr="00847CCC" w:rsidRDefault="00C56AA3" w:rsidP="004F29F9">
            <w:pPr>
              <w:pStyle w:val="braytabletext"/>
              <w:jc w:val="right"/>
              <w:rPr>
                <w:szCs w:val="16"/>
              </w:rPr>
            </w:pPr>
            <w:r w:rsidRPr="00847CCC">
              <w:rPr>
                <w:szCs w:val="16"/>
              </w:rPr>
              <w:t>6</w:t>
            </w:r>
          </w:p>
        </w:tc>
        <w:tc>
          <w:tcPr>
            <w:tcW w:w="544" w:type="pct"/>
            <w:tcBorders>
              <w:top w:val="nil"/>
              <w:left w:val="nil"/>
              <w:bottom w:val="nil"/>
              <w:right w:val="nil"/>
            </w:tcBorders>
          </w:tcPr>
          <w:p w:rsidR="004F29F9" w:rsidRPr="00847CCC" w:rsidRDefault="004F29F9" w:rsidP="004F29F9">
            <w:pPr>
              <w:pStyle w:val="braytabletext"/>
              <w:jc w:val="right"/>
              <w:rPr>
                <w:szCs w:val="16"/>
              </w:rPr>
            </w:pPr>
            <w:r w:rsidRPr="00847CCC">
              <w:rPr>
                <w:szCs w:val="16"/>
              </w:rPr>
              <w:t>77</w:t>
            </w:r>
          </w:p>
        </w:tc>
      </w:tr>
      <w:tr w:rsidR="004F29F9" w:rsidRPr="00847CCC" w:rsidTr="00AC72FE">
        <w:trPr>
          <w:trHeight w:val="290"/>
          <w:jc w:val="right"/>
        </w:trPr>
        <w:tc>
          <w:tcPr>
            <w:tcW w:w="1987" w:type="pct"/>
            <w:tcBorders>
              <w:top w:val="nil"/>
              <w:left w:val="nil"/>
              <w:bottom w:val="nil"/>
              <w:right w:val="nil"/>
            </w:tcBorders>
          </w:tcPr>
          <w:p w:rsidR="004F29F9" w:rsidRPr="00847CCC" w:rsidRDefault="004F29F9" w:rsidP="005320C5">
            <w:pPr>
              <w:pStyle w:val="braytabletext"/>
              <w:rPr>
                <w:szCs w:val="16"/>
              </w:rPr>
            </w:pPr>
            <w:r w:rsidRPr="00847CCC">
              <w:rPr>
                <w:szCs w:val="16"/>
              </w:rPr>
              <w:t>On VIM has exemption</w:t>
            </w:r>
          </w:p>
        </w:tc>
        <w:tc>
          <w:tcPr>
            <w:tcW w:w="721" w:type="pct"/>
            <w:tcBorders>
              <w:top w:val="nil"/>
              <w:left w:val="nil"/>
              <w:bottom w:val="nil"/>
              <w:right w:val="nil"/>
            </w:tcBorders>
          </w:tcPr>
          <w:p w:rsidR="004F29F9" w:rsidRPr="00847CCC" w:rsidRDefault="00C56AA3" w:rsidP="004F29F9">
            <w:pPr>
              <w:pStyle w:val="braytabletext"/>
              <w:jc w:val="right"/>
              <w:rPr>
                <w:szCs w:val="16"/>
              </w:rPr>
            </w:pPr>
            <w:r w:rsidRPr="00847CCC">
              <w:rPr>
                <w:szCs w:val="16"/>
              </w:rPr>
              <w:t>1</w:t>
            </w:r>
          </w:p>
        </w:tc>
        <w:tc>
          <w:tcPr>
            <w:tcW w:w="669" w:type="pct"/>
            <w:tcBorders>
              <w:top w:val="nil"/>
              <w:left w:val="nil"/>
              <w:bottom w:val="nil"/>
              <w:right w:val="nil"/>
            </w:tcBorders>
          </w:tcPr>
          <w:p w:rsidR="004F29F9" w:rsidRPr="00847CCC" w:rsidRDefault="004F29F9" w:rsidP="004F29F9">
            <w:pPr>
              <w:pStyle w:val="braytabletext"/>
              <w:jc w:val="right"/>
              <w:rPr>
                <w:szCs w:val="16"/>
              </w:rPr>
            </w:pPr>
            <w:r w:rsidRPr="00847CCC">
              <w:rPr>
                <w:szCs w:val="16"/>
              </w:rPr>
              <w:t>1</w:t>
            </w:r>
            <w:r w:rsidR="00C56AA3" w:rsidRPr="00847CCC">
              <w:rPr>
                <w:szCs w:val="16"/>
              </w:rPr>
              <w:t>3</w:t>
            </w:r>
          </w:p>
        </w:tc>
        <w:tc>
          <w:tcPr>
            <w:tcW w:w="540" w:type="pct"/>
            <w:tcBorders>
              <w:top w:val="nil"/>
              <w:left w:val="nil"/>
              <w:bottom w:val="nil"/>
              <w:right w:val="nil"/>
            </w:tcBorders>
          </w:tcPr>
          <w:p w:rsidR="004F29F9" w:rsidRPr="00847CCC" w:rsidRDefault="004F29F9" w:rsidP="004F29F9">
            <w:pPr>
              <w:pStyle w:val="braytabletext"/>
              <w:jc w:val="right"/>
              <w:rPr>
                <w:szCs w:val="16"/>
              </w:rPr>
            </w:pPr>
            <w:r w:rsidRPr="00847CCC">
              <w:rPr>
                <w:szCs w:val="16"/>
              </w:rPr>
              <w:t>0</w:t>
            </w:r>
          </w:p>
        </w:tc>
        <w:tc>
          <w:tcPr>
            <w:tcW w:w="540" w:type="pct"/>
            <w:tcBorders>
              <w:top w:val="nil"/>
              <w:left w:val="nil"/>
              <w:bottom w:val="nil"/>
              <w:right w:val="nil"/>
            </w:tcBorders>
          </w:tcPr>
          <w:p w:rsidR="004F29F9" w:rsidRPr="00847CCC" w:rsidRDefault="004F29F9" w:rsidP="004F29F9">
            <w:pPr>
              <w:pStyle w:val="braytabletext"/>
              <w:jc w:val="right"/>
              <w:rPr>
                <w:szCs w:val="16"/>
              </w:rPr>
            </w:pPr>
            <w:r w:rsidRPr="00847CCC">
              <w:rPr>
                <w:szCs w:val="16"/>
              </w:rPr>
              <w:t>0</w:t>
            </w:r>
          </w:p>
        </w:tc>
        <w:tc>
          <w:tcPr>
            <w:tcW w:w="544" w:type="pct"/>
            <w:tcBorders>
              <w:top w:val="nil"/>
              <w:left w:val="nil"/>
              <w:bottom w:val="nil"/>
              <w:right w:val="nil"/>
            </w:tcBorders>
          </w:tcPr>
          <w:p w:rsidR="004F29F9" w:rsidRPr="00847CCC" w:rsidRDefault="004F29F9" w:rsidP="004F29F9">
            <w:pPr>
              <w:pStyle w:val="braytabletext"/>
              <w:jc w:val="right"/>
              <w:rPr>
                <w:szCs w:val="16"/>
              </w:rPr>
            </w:pPr>
            <w:r w:rsidRPr="00847CCC">
              <w:rPr>
                <w:szCs w:val="16"/>
              </w:rPr>
              <w:t>14</w:t>
            </w:r>
          </w:p>
        </w:tc>
      </w:tr>
      <w:tr w:rsidR="004F29F9" w:rsidRPr="00847CCC" w:rsidTr="00AC72FE">
        <w:trPr>
          <w:trHeight w:val="290"/>
          <w:jc w:val="right"/>
        </w:trPr>
        <w:tc>
          <w:tcPr>
            <w:tcW w:w="1987" w:type="pct"/>
            <w:tcBorders>
              <w:top w:val="nil"/>
              <w:left w:val="nil"/>
              <w:bottom w:val="nil"/>
              <w:right w:val="nil"/>
            </w:tcBorders>
          </w:tcPr>
          <w:p w:rsidR="004F29F9" w:rsidRPr="00587AD8" w:rsidRDefault="004F29F9" w:rsidP="005320C5">
            <w:pPr>
              <w:pStyle w:val="braytabletext"/>
              <w:rPr>
                <w:i/>
                <w:szCs w:val="16"/>
              </w:rPr>
            </w:pPr>
            <w:r w:rsidRPr="00587AD8">
              <w:rPr>
                <w:i/>
                <w:szCs w:val="16"/>
              </w:rPr>
              <w:t>Total</w:t>
            </w:r>
          </w:p>
        </w:tc>
        <w:tc>
          <w:tcPr>
            <w:tcW w:w="721" w:type="pct"/>
            <w:tcBorders>
              <w:top w:val="nil"/>
              <w:left w:val="nil"/>
              <w:bottom w:val="nil"/>
              <w:right w:val="nil"/>
            </w:tcBorders>
          </w:tcPr>
          <w:p w:rsidR="004F29F9" w:rsidRPr="00587AD8" w:rsidRDefault="004F29F9" w:rsidP="004F29F9">
            <w:pPr>
              <w:pStyle w:val="braytabletext"/>
              <w:jc w:val="right"/>
              <w:rPr>
                <w:i/>
                <w:szCs w:val="16"/>
              </w:rPr>
            </w:pPr>
            <w:r w:rsidRPr="00587AD8">
              <w:rPr>
                <w:i/>
                <w:szCs w:val="16"/>
              </w:rPr>
              <w:t>1</w:t>
            </w:r>
            <w:r w:rsidR="00C63F1B" w:rsidRPr="00587AD8">
              <w:rPr>
                <w:i/>
                <w:szCs w:val="16"/>
              </w:rPr>
              <w:t xml:space="preserve"> </w:t>
            </w:r>
            <w:r w:rsidRPr="00587AD8">
              <w:rPr>
                <w:i/>
                <w:szCs w:val="16"/>
              </w:rPr>
              <w:t>063</w:t>
            </w:r>
          </w:p>
        </w:tc>
        <w:tc>
          <w:tcPr>
            <w:tcW w:w="669" w:type="pct"/>
            <w:tcBorders>
              <w:top w:val="nil"/>
              <w:left w:val="nil"/>
              <w:bottom w:val="nil"/>
              <w:right w:val="nil"/>
            </w:tcBorders>
          </w:tcPr>
          <w:p w:rsidR="004F29F9" w:rsidRPr="00587AD8" w:rsidRDefault="004F29F9" w:rsidP="004F29F9">
            <w:pPr>
              <w:pStyle w:val="braytabletext"/>
              <w:jc w:val="right"/>
              <w:rPr>
                <w:i/>
                <w:szCs w:val="16"/>
              </w:rPr>
            </w:pPr>
            <w:r w:rsidRPr="00587AD8">
              <w:rPr>
                <w:i/>
                <w:szCs w:val="16"/>
              </w:rPr>
              <w:t>11</w:t>
            </w:r>
            <w:r w:rsidR="00C63F1B" w:rsidRPr="00587AD8">
              <w:rPr>
                <w:i/>
                <w:szCs w:val="16"/>
              </w:rPr>
              <w:t xml:space="preserve"> </w:t>
            </w:r>
            <w:r w:rsidRPr="00587AD8">
              <w:rPr>
                <w:i/>
                <w:szCs w:val="16"/>
              </w:rPr>
              <w:t>103</w:t>
            </w:r>
          </w:p>
        </w:tc>
        <w:tc>
          <w:tcPr>
            <w:tcW w:w="540" w:type="pct"/>
            <w:tcBorders>
              <w:top w:val="nil"/>
              <w:left w:val="nil"/>
              <w:bottom w:val="nil"/>
              <w:right w:val="nil"/>
            </w:tcBorders>
          </w:tcPr>
          <w:p w:rsidR="004F29F9" w:rsidRPr="00587AD8" w:rsidRDefault="004F29F9" w:rsidP="004F29F9">
            <w:pPr>
              <w:pStyle w:val="braytabletext"/>
              <w:jc w:val="right"/>
              <w:rPr>
                <w:i/>
                <w:szCs w:val="16"/>
              </w:rPr>
            </w:pPr>
            <w:r w:rsidRPr="00587AD8">
              <w:rPr>
                <w:i/>
                <w:szCs w:val="16"/>
              </w:rPr>
              <w:t>90</w:t>
            </w:r>
          </w:p>
        </w:tc>
        <w:tc>
          <w:tcPr>
            <w:tcW w:w="540" w:type="pct"/>
            <w:tcBorders>
              <w:top w:val="nil"/>
              <w:left w:val="nil"/>
              <w:bottom w:val="nil"/>
              <w:right w:val="nil"/>
            </w:tcBorders>
          </w:tcPr>
          <w:p w:rsidR="004F29F9" w:rsidRPr="00587AD8" w:rsidRDefault="004F29F9" w:rsidP="004F29F9">
            <w:pPr>
              <w:pStyle w:val="braytabletext"/>
              <w:jc w:val="right"/>
              <w:rPr>
                <w:i/>
                <w:szCs w:val="16"/>
              </w:rPr>
            </w:pPr>
            <w:r w:rsidRPr="00587AD8">
              <w:rPr>
                <w:i/>
                <w:szCs w:val="16"/>
              </w:rPr>
              <w:t>263</w:t>
            </w:r>
          </w:p>
        </w:tc>
        <w:tc>
          <w:tcPr>
            <w:tcW w:w="544" w:type="pct"/>
            <w:tcBorders>
              <w:top w:val="nil"/>
              <w:left w:val="nil"/>
              <w:bottom w:val="nil"/>
              <w:right w:val="nil"/>
            </w:tcBorders>
          </w:tcPr>
          <w:p w:rsidR="004F29F9" w:rsidRPr="00587AD8" w:rsidRDefault="004F29F9" w:rsidP="004F29F9">
            <w:pPr>
              <w:pStyle w:val="braytabletext"/>
              <w:jc w:val="right"/>
              <w:rPr>
                <w:i/>
                <w:szCs w:val="16"/>
              </w:rPr>
            </w:pPr>
            <w:r w:rsidRPr="00587AD8">
              <w:rPr>
                <w:i/>
                <w:szCs w:val="16"/>
              </w:rPr>
              <w:t>12</w:t>
            </w:r>
            <w:r w:rsidR="00267BF5" w:rsidRPr="00587AD8">
              <w:rPr>
                <w:i/>
                <w:szCs w:val="16"/>
              </w:rPr>
              <w:t> </w:t>
            </w:r>
            <w:r w:rsidRPr="00587AD8">
              <w:rPr>
                <w:i/>
                <w:szCs w:val="16"/>
              </w:rPr>
              <w:t>665</w:t>
            </w:r>
          </w:p>
        </w:tc>
      </w:tr>
      <w:tr w:rsidR="004F29F9" w:rsidRPr="00847CCC" w:rsidTr="00AC72FE">
        <w:trPr>
          <w:trHeight w:val="290"/>
          <w:jc w:val="right"/>
        </w:trPr>
        <w:tc>
          <w:tcPr>
            <w:tcW w:w="1987" w:type="pct"/>
            <w:tcBorders>
              <w:top w:val="nil"/>
              <w:left w:val="nil"/>
              <w:right w:val="nil"/>
            </w:tcBorders>
          </w:tcPr>
          <w:p w:rsidR="004F29F9" w:rsidRPr="00847CCC" w:rsidRDefault="004F29F9" w:rsidP="005320C5">
            <w:pPr>
              <w:pStyle w:val="braytabletext"/>
              <w:rPr>
                <w:szCs w:val="16"/>
              </w:rPr>
            </w:pPr>
            <w:r w:rsidRPr="00847CCC">
              <w:rPr>
                <w:szCs w:val="16"/>
              </w:rPr>
              <w:t>Not on CIM because of exemption</w:t>
            </w:r>
          </w:p>
        </w:tc>
        <w:tc>
          <w:tcPr>
            <w:tcW w:w="721" w:type="pct"/>
            <w:tcBorders>
              <w:top w:val="nil"/>
              <w:left w:val="nil"/>
              <w:right w:val="nil"/>
            </w:tcBorders>
          </w:tcPr>
          <w:p w:rsidR="004F29F9" w:rsidRPr="00847CCC" w:rsidRDefault="004F29F9" w:rsidP="004F29F9">
            <w:pPr>
              <w:pStyle w:val="braytabletext"/>
              <w:jc w:val="right"/>
              <w:rPr>
                <w:szCs w:val="16"/>
              </w:rPr>
            </w:pPr>
            <w:r w:rsidRPr="00847CCC">
              <w:rPr>
                <w:szCs w:val="16"/>
              </w:rPr>
              <w:t>726</w:t>
            </w:r>
          </w:p>
        </w:tc>
        <w:tc>
          <w:tcPr>
            <w:tcW w:w="669" w:type="pct"/>
            <w:tcBorders>
              <w:top w:val="nil"/>
              <w:left w:val="nil"/>
              <w:right w:val="nil"/>
            </w:tcBorders>
          </w:tcPr>
          <w:p w:rsidR="004F29F9" w:rsidRPr="00847CCC" w:rsidRDefault="004F29F9" w:rsidP="004F29F9">
            <w:pPr>
              <w:pStyle w:val="braytabletext"/>
              <w:jc w:val="right"/>
              <w:rPr>
                <w:szCs w:val="16"/>
              </w:rPr>
            </w:pPr>
            <w:r w:rsidRPr="00847CCC">
              <w:rPr>
                <w:szCs w:val="16"/>
              </w:rPr>
              <w:t>548</w:t>
            </w:r>
          </w:p>
        </w:tc>
        <w:tc>
          <w:tcPr>
            <w:tcW w:w="540" w:type="pct"/>
            <w:tcBorders>
              <w:top w:val="nil"/>
              <w:left w:val="nil"/>
              <w:right w:val="nil"/>
            </w:tcBorders>
          </w:tcPr>
          <w:p w:rsidR="004F29F9" w:rsidRPr="00847CCC" w:rsidRDefault="004F29F9" w:rsidP="004F29F9">
            <w:pPr>
              <w:pStyle w:val="braytabletext"/>
              <w:jc w:val="right"/>
              <w:rPr>
                <w:szCs w:val="16"/>
              </w:rPr>
            </w:pPr>
            <w:r w:rsidRPr="00847CCC">
              <w:rPr>
                <w:szCs w:val="16"/>
              </w:rPr>
              <w:t>50</w:t>
            </w:r>
          </w:p>
        </w:tc>
        <w:tc>
          <w:tcPr>
            <w:tcW w:w="540" w:type="pct"/>
            <w:tcBorders>
              <w:top w:val="nil"/>
              <w:left w:val="nil"/>
              <w:right w:val="nil"/>
            </w:tcBorders>
          </w:tcPr>
          <w:p w:rsidR="004F29F9" w:rsidRPr="00847CCC" w:rsidRDefault="004F29F9" w:rsidP="004F29F9">
            <w:pPr>
              <w:pStyle w:val="braytabletext"/>
              <w:jc w:val="right"/>
              <w:rPr>
                <w:szCs w:val="16"/>
              </w:rPr>
            </w:pPr>
            <w:r w:rsidRPr="00847CCC">
              <w:rPr>
                <w:szCs w:val="16"/>
              </w:rPr>
              <w:t>212</w:t>
            </w:r>
          </w:p>
        </w:tc>
        <w:tc>
          <w:tcPr>
            <w:tcW w:w="544" w:type="pct"/>
            <w:tcBorders>
              <w:top w:val="nil"/>
              <w:left w:val="nil"/>
              <w:right w:val="nil"/>
            </w:tcBorders>
          </w:tcPr>
          <w:p w:rsidR="004F29F9" w:rsidRPr="00847CCC" w:rsidRDefault="004F29F9" w:rsidP="004F29F9">
            <w:pPr>
              <w:pStyle w:val="braytabletext"/>
              <w:jc w:val="right"/>
              <w:rPr>
                <w:szCs w:val="16"/>
              </w:rPr>
            </w:pPr>
            <w:r w:rsidRPr="00847CCC">
              <w:rPr>
                <w:szCs w:val="16"/>
              </w:rPr>
              <w:t>1</w:t>
            </w:r>
            <w:r w:rsidR="00267BF5" w:rsidRPr="00847CCC">
              <w:rPr>
                <w:szCs w:val="16"/>
              </w:rPr>
              <w:t> </w:t>
            </w:r>
            <w:r w:rsidRPr="00847CCC">
              <w:rPr>
                <w:szCs w:val="16"/>
              </w:rPr>
              <w:t>536</w:t>
            </w:r>
          </w:p>
        </w:tc>
      </w:tr>
      <w:tr w:rsidR="004F29F9" w:rsidRPr="00847CCC" w:rsidTr="00AC72FE">
        <w:trPr>
          <w:trHeight w:val="290"/>
          <w:jc w:val="right"/>
        </w:trPr>
        <w:tc>
          <w:tcPr>
            <w:tcW w:w="1987" w:type="pct"/>
            <w:tcBorders>
              <w:left w:val="nil"/>
              <w:bottom w:val="single" w:sz="4" w:space="0" w:color="auto"/>
              <w:right w:val="nil"/>
            </w:tcBorders>
          </w:tcPr>
          <w:p w:rsidR="004F29F9" w:rsidRPr="00847CCC" w:rsidRDefault="004F29F9" w:rsidP="00357105">
            <w:pPr>
              <w:pStyle w:val="braytabletext"/>
              <w:rPr>
                <w:szCs w:val="16"/>
              </w:rPr>
            </w:pPr>
            <w:r w:rsidRPr="00847CCC">
              <w:rPr>
                <w:szCs w:val="16"/>
              </w:rPr>
              <w:t>Total compulsory incl</w:t>
            </w:r>
            <w:r w:rsidR="00357105" w:rsidRPr="00847CCC">
              <w:rPr>
                <w:szCs w:val="16"/>
              </w:rPr>
              <w:t>uding</w:t>
            </w:r>
            <w:r w:rsidRPr="00847CCC">
              <w:rPr>
                <w:szCs w:val="16"/>
              </w:rPr>
              <w:t xml:space="preserve"> exemption</w:t>
            </w:r>
          </w:p>
        </w:tc>
        <w:tc>
          <w:tcPr>
            <w:tcW w:w="721" w:type="pct"/>
            <w:tcBorders>
              <w:left w:val="nil"/>
              <w:bottom w:val="single" w:sz="4" w:space="0" w:color="auto"/>
              <w:right w:val="nil"/>
            </w:tcBorders>
          </w:tcPr>
          <w:p w:rsidR="004F29F9" w:rsidRPr="00847CCC" w:rsidRDefault="004F29F9" w:rsidP="004F29F9">
            <w:pPr>
              <w:pStyle w:val="braytabletext"/>
              <w:jc w:val="right"/>
              <w:rPr>
                <w:szCs w:val="16"/>
              </w:rPr>
            </w:pPr>
            <w:r w:rsidRPr="00847CCC">
              <w:rPr>
                <w:szCs w:val="16"/>
              </w:rPr>
              <w:t>1</w:t>
            </w:r>
            <w:r w:rsidR="00C63F1B" w:rsidRPr="00847CCC">
              <w:rPr>
                <w:szCs w:val="16"/>
              </w:rPr>
              <w:t xml:space="preserve"> </w:t>
            </w:r>
            <w:r w:rsidRPr="00847CCC">
              <w:rPr>
                <w:szCs w:val="16"/>
              </w:rPr>
              <w:t>789</w:t>
            </w:r>
          </w:p>
        </w:tc>
        <w:tc>
          <w:tcPr>
            <w:tcW w:w="669" w:type="pct"/>
            <w:tcBorders>
              <w:left w:val="nil"/>
              <w:bottom w:val="single" w:sz="4" w:space="0" w:color="auto"/>
              <w:right w:val="nil"/>
            </w:tcBorders>
          </w:tcPr>
          <w:p w:rsidR="004F29F9" w:rsidRPr="00847CCC" w:rsidRDefault="004F29F9" w:rsidP="004F29F9">
            <w:pPr>
              <w:pStyle w:val="braytabletext"/>
              <w:jc w:val="right"/>
              <w:rPr>
                <w:szCs w:val="16"/>
              </w:rPr>
            </w:pPr>
            <w:r w:rsidRPr="00847CCC">
              <w:rPr>
                <w:szCs w:val="16"/>
              </w:rPr>
              <w:t>11</w:t>
            </w:r>
            <w:r w:rsidR="00C63F1B" w:rsidRPr="00847CCC">
              <w:rPr>
                <w:szCs w:val="16"/>
              </w:rPr>
              <w:t xml:space="preserve"> </w:t>
            </w:r>
            <w:r w:rsidRPr="00847CCC">
              <w:rPr>
                <w:szCs w:val="16"/>
              </w:rPr>
              <w:t>651</w:t>
            </w:r>
          </w:p>
        </w:tc>
        <w:tc>
          <w:tcPr>
            <w:tcW w:w="540" w:type="pct"/>
            <w:tcBorders>
              <w:left w:val="nil"/>
              <w:bottom w:val="single" w:sz="4" w:space="0" w:color="auto"/>
              <w:right w:val="nil"/>
            </w:tcBorders>
          </w:tcPr>
          <w:p w:rsidR="004F29F9" w:rsidRPr="00847CCC" w:rsidRDefault="004F29F9" w:rsidP="004F29F9">
            <w:pPr>
              <w:pStyle w:val="braytabletext"/>
              <w:jc w:val="right"/>
              <w:rPr>
                <w:szCs w:val="16"/>
              </w:rPr>
            </w:pPr>
            <w:r w:rsidRPr="00847CCC">
              <w:rPr>
                <w:szCs w:val="16"/>
              </w:rPr>
              <w:t>140</w:t>
            </w:r>
          </w:p>
        </w:tc>
        <w:tc>
          <w:tcPr>
            <w:tcW w:w="540" w:type="pct"/>
            <w:tcBorders>
              <w:left w:val="nil"/>
              <w:bottom w:val="single" w:sz="4" w:space="0" w:color="auto"/>
              <w:right w:val="nil"/>
            </w:tcBorders>
          </w:tcPr>
          <w:p w:rsidR="004F29F9" w:rsidRPr="00847CCC" w:rsidRDefault="004F29F9" w:rsidP="004F29F9">
            <w:pPr>
              <w:pStyle w:val="braytabletext"/>
              <w:jc w:val="right"/>
              <w:rPr>
                <w:szCs w:val="16"/>
              </w:rPr>
            </w:pPr>
            <w:r w:rsidRPr="00847CCC">
              <w:rPr>
                <w:szCs w:val="16"/>
              </w:rPr>
              <w:t>475</w:t>
            </w:r>
          </w:p>
        </w:tc>
        <w:tc>
          <w:tcPr>
            <w:tcW w:w="544" w:type="pct"/>
            <w:tcBorders>
              <w:left w:val="nil"/>
              <w:bottom w:val="single" w:sz="4" w:space="0" w:color="auto"/>
              <w:right w:val="nil"/>
            </w:tcBorders>
          </w:tcPr>
          <w:p w:rsidR="004F29F9" w:rsidRPr="00847CCC" w:rsidRDefault="004F29F9" w:rsidP="004F29F9">
            <w:pPr>
              <w:pStyle w:val="braytabletext"/>
              <w:jc w:val="right"/>
              <w:rPr>
                <w:szCs w:val="16"/>
              </w:rPr>
            </w:pPr>
            <w:r w:rsidRPr="00847CCC">
              <w:rPr>
                <w:szCs w:val="16"/>
              </w:rPr>
              <w:t>14</w:t>
            </w:r>
            <w:r w:rsidR="00267BF5" w:rsidRPr="00847CCC">
              <w:rPr>
                <w:szCs w:val="16"/>
              </w:rPr>
              <w:t> </w:t>
            </w:r>
            <w:r w:rsidRPr="00847CCC">
              <w:rPr>
                <w:szCs w:val="16"/>
              </w:rPr>
              <w:t>201</w:t>
            </w:r>
          </w:p>
        </w:tc>
      </w:tr>
      <w:tr w:rsidR="007D0D9B" w:rsidRPr="00847CCC" w:rsidTr="00783DF8">
        <w:trPr>
          <w:trHeight w:val="290"/>
          <w:jc w:val="right"/>
        </w:trPr>
        <w:tc>
          <w:tcPr>
            <w:tcW w:w="1987" w:type="pct"/>
            <w:tcBorders>
              <w:top w:val="single" w:sz="4" w:space="0" w:color="auto"/>
              <w:left w:val="nil"/>
              <w:bottom w:val="nil"/>
              <w:right w:val="nil"/>
            </w:tcBorders>
          </w:tcPr>
          <w:p w:rsidR="007D0D9B" w:rsidRPr="00847CCC" w:rsidRDefault="007D0D9B" w:rsidP="005320C5">
            <w:pPr>
              <w:pStyle w:val="braytabletext"/>
              <w:rPr>
                <w:szCs w:val="16"/>
              </w:rPr>
            </w:pPr>
          </w:p>
        </w:tc>
        <w:tc>
          <w:tcPr>
            <w:tcW w:w="3013" w:type="pct"/>
            <w:gridSpan w:val="5"/>
            <w:tcBorders>
              <w:top w:val="single" w:sz="4" w:space="0" w:color="auto"/>
              <w:left w:val="nil"/>
              <w:bottom w:val="nil"/>
              <w:right w:val="nil"/>
            </w:tcBorders>
            <w:vAlign w:val="center"/>
          </w:tcPr>
          <w:p w:rsidR="007D0D9B" w:rsidRPr="00847CCC" w:rsidRDefault="007D0D9B" w:rsidP="00783DF8">
            <w:pPr>
              <w:pStyle w:val="braytabletext"/>
              <w:jc w:val="center"/>
              <w:rPr>
                <w:szCs w:val="16"/>
              </w:rPr>
            </w:pPr>
            <w:r w:rsidRPr="00847CCC">
              <w:rPr>
                <w:szCs w:val="16"/>
              </w:rPr>
              <w:t>- % -</w:t>
            </w:r>
          </w:p>
        </w:tc>
      </w:tr>
      <w:tr w:rsidR="004F29F9" w:rsidRPr="00847CCC" w:rsidTr="00AC72FE">
        <w:trPr>
          <w:trHeight w:val="290"/>
          <w:jc w:val="right"/>
        </w:trPr>
        <w:tc>
          <w:tcPr>
            <w:tcW w:w="1987" w:type="pct"/>
            <w:tcBorders>
              <w:top w:val="nil"/>
              <w:left w:val="nil"/>
              <w:bottom w:val="nil"/>
              <w:right w:val="nil"/>
            </w:tcBorders>
          </w:tcPr>
          <w:p w:rsidR="004F29F9" w:rsidRPr="00847CCC" w:rsidRDefault="004F29F9" w:rsidP="005320C5">
            <w:pPr>
              <w:pStyle w:val="braytabletext"/>
              <w:rPr>
                <w:szCs w:val="16"/>
              </w:rPr>
            </w:pPr>
            <w:r w:rsidRPr="00847CCC">
              <w:rPr>
                <w:szCs w:val="16"/>
              </w:rPr>
              <w:t>Per cent with exemption</w:t>
            </w:r>
          </w:p>
        </w:tc>
        <w:tc>
          <w:tcPr>
            <w:tcW w:w="721" w:type="pct"/>
            <w:tcBorders>
              <w:top w:val="nil"/>
              <w:left w:val="nil"/>
              <w:bottom w:val="nil"/>
              <w:right w:val="nil"/>
            </w:tcBorders>
          </w:tcPr>
          <w:p w:rsidR="004F29F9" w:rsidRPr="00847CCC" w:rsidRDefault="004F29F9" w:rsidP="004F29F9">
            <w:pPr>
              <w:pStyle w:val="braytabletext"/>
              <w:jc w:val="right"/>
              <w:rPr>
                <w:szCs w:val="16"/>
              </w:rPr>
            </w:pPr>
            <w:r w:rsidRPr="00847CCC">
              <w:rPr>
                <w:szCs w:val="16"/>
              </w:rPr>
              <w:t>40.7</w:t>
            </w:r>
          </w:p>
        </w:tc>
        <w:tc>
          <w:tcPr>
            <w:tcW w:w="669" w:type="pct"/>
            <w:tcBorders>
              <w:top w:val="nil"/>
              <w:left w:val="nil"/>
              <w:bottom w:val="nil"/>
              <w:right w:val="nil"/>
            </w:tcBorders>
          </w:tcPr>
          <w:p w:rsidR="004F29F9" w:rsidRPr="00847CCC" w:rsidRDefault="004F29F9" w:rsidP="004F29F9">
            <w:pPr>
              <w:pStyle w:val="braytabletext"/>
              <w:jc w:val="right"/>
              <w:rPr>
                <w:szCs w:val="16"/>
              </w:rPr>
            </w:pPr>
            <w:r w:rsidRPr="00847CCC">
              <w:rPr>
                <w:szCs w:val="16"/>
              </w:rPr>
              <w:t>4.8</w:t>
            </w:r>
          </w:p>
        </w:tc>
        <w:tc>
          <w:tcPr>
            <w:tcW w:w="540" w:type="pct"/>
            <w:tcBorders>
              <w:top w:val="nil"/>
              <w:left w:val="nil"/>
              <w:bottom w:val="nil"/>
              <w:right w:val="nil"/>
            </w:tcBorders>
          </w:tcPr>
          <w:p w:rsidR="004F29F9" w:rsidRPr="00847CCC" w:rsidRDefault="004F29F9" w:rsidP="004F29F9">
            <w:pPr>
              <w:pStyle w:val="braytabletext"/>
              <w:jc w:val="right"/>
              <w:rPr>
                <w:szCs w:val="16"/>
              </w:rPr>
            </w:pPr>
            <w:r w:rsidRPr="00847CCC">
              <w:rPr>
                <w:szCs w:val="16"/>
              </w:rPr>
              <w:t>35.7</w:t>
            </w:r>
          </w:p>
        </w:tc>
        <w:tc>
          <w:tcPr>
            <w:tcW w:w="540" w:type="pct"/>
            <w:tcBorders>
              <w:top w:val="nil"/>
              <w:left w:val="nil"/>
              <w:bottom w:val="nil"/>
              <w:right w:val="nil"/>
            </w:tcBorders>
          </w:tcPr>
          <w:p w:rsidR="004F29F9" w:rsidRPr="00847CCC" w:rsidRDefault="004F29F9" w:rsidP="004F29F9">
            <w:pPr>
              <w:pStyle w:val="braytabletext"/>
              <w:jc w:val="right"/>
              <w:rPr>
                <w:szCs w:val="16"/>
              </w:rPr>
            </w:pPr>
            <w:r w:rsidRPr="00847CCC">
              <w:rPr>
                <w:szCs w:val="16"/>
              </w:rPr>
              <w:t>44.6</w:t>
            </w:r>
          </w:p>
        </w:tc>
        <w:tc>
          <w:tcPr>
            <w:tcW w:w="544" w:type="pct"/>
            <w:tcBorders>
              <w:top w:val="nil"/>
              <w:left w:val="nil"/>
              <w:bottom w:val="nil"/>
              <w:right w:val="nil"/>
            </w:tcBorders>
          </w:tcPr>
          <w:p w:rsidR="004F29F9" w:rsidRPr="00847CCC" w:rsidRDefault="004F29F9" w:rsidP="004F29F9">
            <w:pPr>
              <w:pStyle w:val="braytabletext"/>
              <w:jc w:val="right"/>
              <w:rPr>
                <w:szCs w:val="16"/>
              </w:rPr>
            </w:pPr>
            <w:r w:rsidRPr="00847CCC">
              <w:rPr>
                <w:szCs w:val="16"/>
              </w:rPr>
              <w:t>10.9</w:t>
            </w:r>
          </w:p>
        </w:tc>
      </w:tr>
      <w:tr w:rsidR="004F29F9" w:rsidRPr="00847CCC" w:rsidTr="00AC72FE">
        <w:trPr>
          <w:trHeight w:val="290"/>
          <w:jc w:val="right"/>
        </w:trPr>
        <w:tc>
          <w:tcPr>
            <w:tcW w:w="1987" w:type="pct"/>
            <w:tcBorders>
              <w:top w:val="nil"/>
              <w:left w:val="nil"/>
              <w:bottom w:val="nil"/>
              <w:right w:val="nil"/>
            </w:tcBorders>
          </w:tcPr>
          <w:p w:rsidR="004F29F9" w:rsidRPr="00847CCC" w:rsidRDefault="004F29F9" w:rsidP="005320C5">
            <w:pPr>
              <w:pStyle w:val="braytabletext"/>
              <w:rPr>
                <w:szCs w:val="16"/>
              </w:rPr>
            </w:pPr>
            <w:r w:rsidRPr="00847CCC">
              <w:rPr>
                <w:szCs w:val="16"/>
              </w:rPr>
              <w:t>Per cent applied for exemption</w:t>
            </w:r>
          </w:p>
        </w:tc>
        <w:tc>
          <w:tcPr>
            <w:tcW w:w="721" w:type="pct"/>
            <w:tcBorders>
              <w:top w:val="nil"/>
              <w:left w:val="nil"/>
              <w:bottom w:val="nil"/>
              <w:right w:val="nil"/>
            </w:tcBorders>
          </w:tcPr>
          <w:p w:rsidR="004F29F9" w:rsidRPr="00847CCC" w:rsidRDefault="004F29F9" w:rsidP="004F29F9">
            <w:pPr>
              <w:pStyle w:val="braytabletext"/>
              <w:jc w:val="right"/>
              <w:rPr>
                <w:szCs w:val="16"/>
              </w:rPr>
            </w:pPr>
            <w:r w:rsidRPr="00847CCC">
              <w:rPr>
                <w:szCs w:val="16"/>
              </w:rPr>
              <w:t>50.1</w:t>
            </w:r>
          </w:p>
        </w:tc>
        <w:tc>
          <w:tcPr>
            <w:tcW w:w="669" w:type="pct"/>
            <w:tcBorders>
              <w:top w:val="nil"/>
              <w:left w:val="nil"/>
              <w:bottom w:val="nil"/>
              <w:right w:val="nil"/>
            </w:tcBorders>
          </w:tcPr>
          <w:p w:rsidR="004F29F9" w:rsidRPr="00847CCC" w:rsidRDefault="004F29F9" w:rsidP="004F29F9">
            <w:pPr>
              <w:pStyle w:val="braytabletext"/>
              <w:jc w:val="right"/>
              <w:rPr>
                <w:szCs w:val="16"/>
              </w:rPr>
            </w:pPr>
            <w:r w:rsidRPr="00847CCC">
              <w:rPr>
                <w:szCs w:val="16"/>
              </w:rPr>
              <w:t>13.2</w:t>
            </w:r>
          </w:p>
        </w:tc>
        <w:tc>
          <w:tcPr>
            <w:tcW w:w="540" w:type="pct"/>
            <w:tcBorders>
              <w:top w:val="nil"/>
              <w:left w:val="nil"/>
              <w:bottom w:val="nil"/>
              <w:right w:val="nil"/>
            </w:tcBorders>
          </w:tcPr>
          <w:p w:rsidR="004F29F9" w:rsidRPr="00847CCC" w:rsidRDefault="004F29F9" w:rsidP="004F29F9">
            <w:pPr>
              <w:pStyle w:val="braytabletext"/>
              <w:jc w:val="right"/>
              <w:rPr>
                <w:szCs w:val="16"/>
              </w:rPr>
            </w:pPr>
            <w:r w:rsidRPr="00847CCC">
              <w:rPr>
                <w:szCs w:val="16"/>
              </w:rPr>
              <w:t>50.7</w:t>
            </w:r>
          </w:p>
        </w:tc>
        <w:tc>
          <w:tcPr>
            <w:tcW w:w="540" w:type="pct"/>
            <w:tcBorders>
              <w:top w:val="nil"/>
              <w:left w:val="nil"/>
              <w:bottom w:val="nil"/>
              <w:right w:val="nil"/>
            </w:tcBorders>
          </w:tcPr>
          <w:p w:rsidR="004F29F9" w:rsidRPr="00847CCC" w:rsidRDefault="004F29F9" w:rsidP="004F29F9">
            <w:pPr>
              <w:pStyle w:val="braytabletext"/>
              <w:jc w:val="right"/>
              <w:rPr>
                <w:szCs w:val="16"/>
              </w:rPr>
            </w:pPr>
            <w:r w:rsidRPr="00847CCC">
              <w:rPr>
                <w:szCs w:val="16"/>
              </w:rPr>
              <w:t>57.7</w:t>
            </w:r>
          </w:p>
        </w:tc>
        <w:tc>
          <w:tcPr>
            <w:tcW w:w="544" w:type="pct"/>
            <w:tcBorders>
              <w:top w:val="nil"/>
              <w:left w:val="nil"/>
              <w:bottom w:val="nil"/>
              <w:right w:val="nil"/>
            </w:tcBorders>
          </w:tcPr>
          <w:p w:rsidR="004F29F9" w:rsidRPr="00847CCC" w:rsidRDefault="004F29F9" w:rsidP="004F29F9">
            <w:pPr>
              <w:pStyle w:val="braytabletext"/>
              <w:jc w:val="right"/>
              <w:rPr>
                <w:szCs w:val="16"/>
              </w:rPr>
            </w:pPr>
            <w:r w:rsidRPr="00847CCC">
              <w:rPr>
                <w:szCs w:val="16"/>
              </w:rPr>
              <w:t>19.6</w:t>
            </w:r>
          </w:p>
        </w:tc>
      </w:tr>
      <w:tr w:rsidR="004F29F9" w:rsidRPr="00847CCC" w:rsidTr="00AC72FE">
        <w:trPr>
          <w:trHeight w:val="290"/>
          <w:jc w:val="right"/>
        </w:trPr>
        <w:tc>
          <w:tcPr>
            <w:tcW w:w="1987" w:type="pct"/>
            <w:tcBorders>
              <w:top w:val="nil"/>
              <w:left w:val="nil"/>
              <w:right w:val="nil"/>
            </w:tcBorders>
          </w:tcPr>
          <w:p w:rsidR="004F29F9" w:rsidRPr="00847CCC" w:rsidRDefault="004F29F9" w:rsidP="005320C5">
            <w:pPr>
              <w:pStyle w:val="braytabletext"/>
              <w:rPr>
                <w:szCs w:val="16"/>
              </w:rPr>
            </w:pPr>
            <w:r w:rsidRPr="00847CCC">
              <w:rPr>
                <w:szCs w:val="16"/>
              </w:rPr>
              <w:t>Per cent successful</w:t>
            </w:r>
          </w:p>
        </w:tc>
        <w:tc>
          <w:tcPr>
            <w:tcW w:w="721" w:type="pct"/>
            <w:tcBorders>
              <w:top w:val="nil"/>
              <w:left w:val="nil"/>
              <w:right w:val="nil"/>
            </w:tcBorders>
          </w:tcPr>
          <w:p w:rsidR="004F29F9" w:rsidRPr="00847CCC" w:rsidRDefault="004F29F9" w:rsidP="004F29F9">
            <w:pPr>
              <w:pStyle w:val="braytabletext"/>
              <w:jc w:val="right"/>
              <w:rPr>
                <w:szCs w:val="16"/>
              </w:rPr>
            </w:pPr>
            <w:r w:rsidRPr="00847CCC">
              <w:rPr>
                <w:szCs w:val="16"/>
              </w:rPr>
              <w:t>81.2</w:t>
            </w:r>
          </w:p>
        </w:tc>
        <w:tc>
          <w:tcPr>
            <w:tcW w:w="669" w:type="pct"/>
            <w:tcBorders>
              <w:top w:val="nil"/>
              <w:left w:val="nil"/>
              <w:right w:val="nil"/>
            </w:tcBorders>
          </w:tcPr>
          <w:p w:rsidR="004F29F9" w:rsidRPr="00847CCC" w:rsidRDefault="004F29F9" w:rsidP="004F29F9">
            <w:pPr>
              <w:pStyle w:val="braytabletext"/>
              <w:jc w:val="right"/>
              <w:rPr>
                <w:szCs w:val="16"/>
              </w:rPr>
            </w:pPr>
            <w:r w:rsidRPr="00847CCC">
              <w:rPr>
                <w:szCs w:val="16"/>
              </w:rPr>
              <w:t>36.5</w:t>
            </w:r>
          </w:p>
        </w:tc>
        <w:tc>
          <w:tcPr>
            <w:tcW w:w="540" w:type="pct"/>
            <w:tcBorders>
              <w:top w:val="nil"/>
              <w:left w:val="nil"/>
              <w:right w:val="nil"/>
            </w:tcBorders>
          </w:tcPr>
          <w:p w:rsidR="004F29F9" w:rsidRPr="00847CCC" w:rsidRDefault="004F29F9" w:rsidP="004F29F9">
            <w:pPr>
              <w:pStyle w:val="braytabletext"/>
              <w:jc w:val="right"/>
              <w:rPr>
                <w:szCs w:val="16"/>
              </w:rPr>
            </w:pPr>
            <w:r w:rsidRPr="00847CCC">
              <w:rPr>
                <w:szCs w:val="16"/>
              </w:rPr>
              <w:t>70.4</w:t>
            </w:r>
          </w:p>
        </w:tc>
        <w:tc>
          <w:tcPr>
            <w:tcW w:w="540" w:type="pct"/>
            <w:tcBorders>
              <w:top w:val="nil"/>
              <w:left w:val="nil"/>
              <w:right w:val="nil"/>
            </w:tcBorders>
          </w:tcPr>
          <w:p w:rsidR="004F29F9" w:rsidRPr="00847CCC" w:rsidRDefault="004F29F9" w:rsidP="004F29F9">
            <w:pPr>
              <w:pStyle w:val="braytabletext"/>
              <w:jc w:val="right"/>
              <w:rPr>
                <w:szCs w:val="16"/>
              </w:rPr>
            </w:pPr>
            <w:r w:rsidRPr="00847CCC">
              <w:rPr>
                <w:szCs w:val="16"/>
              </w:rPr>
              <w:t>77.4</w:t>
            </w:r>
          </w:p>
        </w:tc>
        <w:tc>
          <w:tcPr>
            <w:tcW w:w="544" w:type="pct"/>
            <w:tcBorders>
              <w:top w:val="nil"/>
              <w:left w:val="nil"/>
              <w:right w:val="nil"/>
            </w:tcBorders>
          </w:tcPr>
          <w:p w:rsidR="004F29F9" w:rsidRPr="00847CCC" w:rsidRDefault="004F29F9" w:rsidP="004F29F9">
            <w:pPr>
              <w:pStyle w:val="braytabletext"/>
              <w:jc w:val="right"/>
              <w:rPr>
                <w:szCs w:val="16"/>
              </w:rPr>
            </w:pPr>
            <w:r w:rsidRPr="00847CCC">
              <w:rPr>
                <w:szCs w:val="16"/>
              </w:rPr>
              <w:t>55.8</w:t>
            </w:r>
          </w:p>
        </w:tc>
      </w:tr>
      <w:tr w:rsidR="004F29F9" w:rsidRPr="00847CCC" w:rsidTr="00AC72FE">
        <w:trPr>
          <w:trHeight w:val="290"/>
          <w:jc w:val="right"/>
        </w:trPr>
        <w:tc>
          <w:tcPr>
            <w:tcW w:w="1987" w:type="pct"/>
            <w:tcBorders>
              <w:top w:val="nil"/>
              <w:left w:val="nil"/>
              <w:bottom w:val="single" w:sz="4" w:space="0" w:color="auto"/>
              <w:right w:val="nil"/>
            </w:tcBorders>
          </w:tcPr>
          <w:p w:rsidR="004F29F9" w:rsidRPr="00847CCC" w:rsidRDefault="004F29F9" w:rsidP="005320C5">
            <w:pPr>
              <w:pStyle w:val="braytabletext"/>
              <w:rPr>
                <w:szCs w:val="16"/>
              </w:rPr>
            </w:pPr>
            <w:r w:rsidRPr="00847CCC">
              <w:rPr>
                <w:szCs w:val="16"/>
              </w:rPr>
              <w:t>Per cent not withdrawn successful</w:t>
            </w:r>
          </w:p>
        </w:tc>
        <w:tc>
          <w:tcPr>
            <w:tcW w:w="721" w:type="pct"/>
            <w:tcBorders>
              <w:top w:val="nil"/>
              <w:left w:val="nil"/>
              <w:bottom w:val="single" w:sz="4" w:space="0" w:color="auto"/>
              <w:right w:val="nil"/>
            </w:tcBorders>
          </w:tcPr>
          <w:p w:rsidR="004F29F9" w:rsidRPr="00847CCC" w:rsidRDefault="004F29F9" w:rsidP="004F29F9">
            <w:pPr>
              <w:pStyle w:val="braytabletext"/>
              <w:jc w:val="right"/>
              <w:rPr>
                <w:szCs w:val="16"/>
              </w:rPr>
            </w:pPr>
            <w:r w:rsidRPr="00847CCC">
              <w:rPr>
                <w:szCs w:val="16"/>
              </w:rPr>
              <w:t>82.4</w:t>
            </w:r>
          </w:p>
        </w:tc>
        <w:tc>
          <w:tcPr>
            <w:tcW w:w="669" w:type="pct"/>
            <w:tcBorders>
              <w:top w:val="nil"/>
              <w:left w:val="nil"/>
              <w:bottom w:val="single" w:sz="4" w:space="0" w:color="auto"/>
              <w:right w:val="nil"/>
            </w:tcBorders>
          </w:tcPr>
          <w:p w:rsidR="004F29F9" w:rsidRPr="00847CCC" w:rsidRDefault="004F29F9" w:rsidP="004F29F9">
            <w:pPr>
              <w:pStyle w:val="braytabletext"/>
              <w:jc w:val="right"/>
              <w:rPr>
                <w:szCs w:val="16"/>
              </w:rPr>
            </w:pPr>
            <w:r w:rsidRPr="00847CCC">
              <w:rPr>
                <w:szCs w:val="16"/>
              </w:rPr>
              <w:t>37.8</w:t>
            </w:r>
          </w:p>
        </w:tc>
        <w:tc>
          <w:tcPr>
            <w:tcW w:w="540" w:type="pct"/>
            <w:tcBorders>
              <w:top w:val="nil"/>
              <w:left w:val="nil"/>
              <w:bottom w:val="single" w:sz="4" w:space="0" w:color="auto"/>
              <w:right w:val="nil"/>
            </w:tcBorders>
          </w:tcPr>
          <w:p w:rsidR="004F29F9" w:rsidRPr="00847CCC" w:rsidRDefault="004F29F9" w:rsidP="004F29F9">
            <w:pPr>
              <w:pStyle w:val="braytabletext"/>
              <w:jc w:val="right"/>
              <w:rPr>
                <w:szCs w:val="16"/>
              </w:rPr>
            </w:pPr>
            <w:r w:rsidRPr="00847CCC">
              <w:rPr>
                <w:szCs w:val="16"/>
              </w:rPr>
              <w:t>75.8</w:t>
            </w:r>
          </w:p>
        </w:tc>
        <w:tc>
          <w:tcPr>
            <w:tcW w:w="540" w:type="pct"/>
            <w:tcBorders>
              <w:top w:val="nil"/>
              <w:left w:val="nil"/>
              <w:bottom w:val="single" w:sz="4" w:space="0" w:color="auto"/>
              <w:right w:val="nil"/>
            </w:tcBorders>
          </w:tcPr>
          <w:p w:rsidR="004F29F9" w:rsidRPr="00847CCC" w:rsidRDefault="004F29F9" w:rsidP="004F29F9">
            <w:pPr>
              <w:pStyle w:val="braytabletext"/>
              <w:jc w:val="right"/>
              <w:rPr>
                <w:szCs w:val="16"/>
              </w:rPr>
            </w:pPr>
            <w:r w:rsidRPr="00847CCC">
              <w:rPr>
                <w:szCs w:val="16"/>
              </w:rPr>
              <w:t>78.5</w:t>
            </w:r>
          </w:p>
        </w:tc>
        <w:tc>
          <w:tcPr>
            <w:tcW w:w="544" w:type="pct"/>
            <w:tcBorders>
              <w:top w:val="nil"/>
              <w:left w:val="nil"/>
              <w:bottom w:val="single" w:sz="4" w:space="0" w:color="auto"/>
              <w:right w:val="nil"/>
            </w:tcBorders>
          </w:tcPr>
          <w:p w:rsidR="004F29F9" w:rsidRPr="00847CCC" w:rsidRDefault="004F29F9" w:rsidP="004F29F9">
            <w:pPr>
              <w:pStyle w:val="braytabletext"/>
              <w:jc w:val="right"/>
              <w:rPr>
                <w:szCs w:val="16"/>
              </w:rPr>
            </w:pPr>
            <w:r w:rsidRPr="00847CCC">
              <w:rPr>
                <w:szCs w:val="16"/>
              </w:rPr>
              <w:t>57.4</w:t>
            </w:r>
          </w:p>
        </w:tc>
      </w:tr>
    </w:tbl>
    <w:p w:rsidR="00C63F1B" w:rsidRDefault="00267BF5" w:rsidP="00CF78DB">
      <w:pPr>
        <w:pStyle w:val="tablefootnotes"/>
      </w:pPr>
      <w:r>
        <w:t>Note</w:t>
      </w:r>
      <w:r w:rsidR="00FF16A3">
        <w:t>s</w:t>
      </w:r>
      <w:r>
        <w:t>:</w:t>
      </w:r>
      <w:r>
        <w:tab/>
      </w:r>
      <w:r w:rsidR="00C63F1B">
        <w:t xml:space="preserve"> </w:t>
      </w:r>
    </w:p>
    <w:p w:rsidR="00267BF5" w:rsidRPr="005911E2" w:rsidRDefault="00267BF5" w:rsidP="00267BF5">
      <w:pPr>
        <w:pStyle w:val="tablefootnotes"/>
      </w:pPr>
      <w:r w:rsidRPr="005911E2">
        <w:t xml:space="preserve">(a) </w:t>
      </w:r>
      <w:r>
        <w:tab/>
      </w:r>
      <w:r w:rsidR="00FF16A3" w:rsidRPr="00FF16A3">
        <w:t xml:space="preserve">ESB – English speaking background, NESB – Non-English speaking </w:t>
      </w:r>
      <w:r w:rsidR="001429AF" w:rsidRPr="00FF16A3">
        <w:t>background,</w:t>
      </w:r>
      <w:r w:rsidR="00FF16A3">
        <w:t xml:space="preserve"> </w:t>
      </w:r>
      <w:r w:rsidRPr="005911E2">
        <w:t>As per D</w:t>
      </w:r>
      <w:r w:rsidR="00B82B1F">
        <w:t xml:space="preserve">epartment of </w:t>
      </w:r>
      <w:r w:rsidRPr="005911E2">
        <w:t>I</w:t>
      </w:r>
      <w:r w:rsidR="00B82B1F">
        <w:t xml:space="preserve">mmigration </w:t>
      </w:r>
      <w:r w:rsidR="00B82B1F" w:rsidRPr="005911E2">
        <w:t>M</w:t>
      </w:r>
      <w:r w:rsidR="00B82B1F">
        <w:t xml:space="preserve">ulticultural and </w:t>
      </w:r>
      <w:r>
        <w:t>I</w:t>
      </w:r>
      <w:r w:rsidR="00B82B1F">
        <w:t xml:space="preserve">ndigenous </w:t>
      </w:r>
      <w:r w:rsidRPr="005911E2">
        <w:t>A</w:t>
      </w:r>
      <w:r w:rsidR="00B82B1F">
        <w:t>ffairs</w:t>
      </w:r>
      <w:r>
        <w:t>,</w:t>
      </w:r>
      <w:r w:rsidRPr="005911E2">
        <w:t xml:space="preserve"> 2003</w:t>
      </w:r>
      <w:r w:rsidR="00847CCC">
        <w:t>.</w:t>
      </w:r>
    </w:p>
    <w:p w:rsidR="00267BF5" w:rsidRPr="005911E2" w:rsidRDefault="00267BF5" w:rsidP="00267BF5">
      <w:pPr>
        <w:pStyle w:val="tablefootnotes"/>
      </w:pPr>
      <w:r w:rsidRPr="005911E2">
        <w:t xml:space="preserve">(b) </w:t>
      </w:r>
      <w:r>
        <w:tab/>
      </w:r>
      <w:r w:rsidRPr="005911E2">
        <w:t>Includes a small number of records with missing country of birth</w:t>
      </w:r>
      <w:r w:rsidR="00847CCC">
        <w:t>.</w:t>
      </w:r>
    </w:p>
    <w:p w:rsidR="008861DE" w:rsidRDefault="008861DE" w:rsidP="00847CCC">
      <w:pPr>
        <w:pStyle w:val="tablefootnoteslastline"/>
      </w:pPr>
      <w:r w:rsidRPr="005911E2">
        <w:t xml:space="preserve">Source: Derived from Centrelink </w:t>
      </w:r>
      <w:r w:rsidR="00F878E4">
        <w:t>income management</w:t>
      </w:r>
      <w:r w:rsidRPr="005911E2">
        <w:t xml:space="preserve"> &amp; IS/FTB datasets</w:t>
      </w:r>
      <w:r w:rsidR="00847CCC">
        <w:t>.</w:t>
      </w:r>
    </w:p>
    <w:p w:rsidR="00847CCC" w:rsidRDefault="00847CCC" w:rsidP="00273B1F">
      <w:pPr>
        <w:pStyle w:val="tablefootnoteslastline"/>
      </w:pPr>
    </w:p>
    <w:p w:rsidR="008861DE" w:rsidRPr="005911E2" w:rsidRDefault="008861DE" w:rsidP="00AA1750">
      <w:pPr>
        <w:pStyle w:val="tabfighead"/>
      </w:pPr>
      <w:bookmarkStart w:id="718" w:name="_Ref321078584"/>
      <w:bookmarkStart w:id="719" w:name="_Toc321430441"/>
      <w:bookmarkStart w:id="720" w:name="_Toc321254560"/>
      <w:bookmarkStart w:id="721" w:name="_Toc328601608"/>
      <w:bookmarkStart w:id="722" w:name="_Toc329051386"/>
      <w:bookmarkStart w:id="723" w:name="_Toc335915874"/>
      <w:r w:rsidRPr="005911E2">
        <w:t xml:space="preserve">Table </w:t>
      </w:r>
      <w:r w:rsidR="00C7347D" w:rsidRPr="005911E2">
        <w:fldChar w:fldCharType="begin"/>
      </w:r>
      <w:r w:rsidR="00EF6BC6" w:rsidRPr="005911E2">
        <w:instrText xml:space="preserve"> STYLEREF 1 \s </w:instrText>
      </w:r>
      <w:r w:rsidR="00C7347D" w:rsidRPr="005911E2">
        <w:fldChar w:fldCharType="separate"/>
      </w:r>
      <w:r w:rsidR="007D7E45">
        <w:rPr>
          <w:noProof/>
        </w:rPr>
        <w:t>8</w:t>
      </w:r>
      <w:r w:rsidR="00C7347D" w:rsidRPr="005911E2">
        <w:fldChar w:fldCharType="end"/>
      </w:r>
      <w:r w:rsidR="00EF6BC6" w:rsidRPr="005911E2">
        <w:noBreakHyphen/>
      </w:r>
      <w:r w:rsidR="00C7347D" w:rsidRPr="005911E2">
        <w:fldChar w:fldCharType="begin"/>
      </w:r>
      <w:r w:rsidR="00EF6BC6" w:rsidRPr="005911E2">
        <w:instrText xml:space="preserve"> SEQ Table \* ARABIC \s 1 </w:instrText>
      </w:r>
      <w:r w:rsidR="00C7347D" w:rsidRPr="005911E2">
        <w:fldChar w:fldCharType="separate"/>
      </w:r>
      <w:r w:rsidR="007D7E45">
        <w:rPr>
          <w:noProof/>
        </w:rPr>
        <w:t>8</w:t>
      </w:r>
      <w:r w:rsidR="00C7347D" w:rsidRPr="005911E2">
        <w:fldChar w:fldCharType="end"/>
      </w:r>
      <w:bookmarkEnd w:id="718"/>
      <w:r w:rsidRPr="005911E2">
        <w:tab/>
        <w:t xml:space="preserve">Applications for and granting of exemptions by immigration visa </w:t>
      </w:r>
      <w:r w:rsidR="006C33D2" w:rsidRPr="005911E2">
        <w:t>category,</w:t>
      </w:r>
      <w:r w:rsidRPr="005911E2">
        <w:t xml:space="preserve"> October 2011</w:t>
      </w:r>
      <w:bookmarkEnd w:id="719"/>
      <w:bookmarkEnd w:id="720"/>
      <w:bookmarkEnd w:id="721"/>
      <w:bookmarkEnd w:id="722"/>
      <w:bookmarkEnd w:id="723"/>
    </w:p>
    <w:tbl>
      <w:tblPr>
        <w:tblW w:w="4629" w:type="pct"/>
        <w:jc w:val="right"/>
        <w:tblInd w:w="903" w:type="dxa"/>
        <w:tblLayout w:type="fixed"/>
        <w:tblLook w:val="0000" w:firstRow="0" w:lastRow="0" w:firstColumn="0" w:lastColumn="0" w:noHBand="0" w:noVBand="0"/>
      </w:tblPr>
      <w:tblGrid>
        <w:gridCol w:w="3120"/>
        <w:gridCol w:w="64"/>
        <w:gridCol w:w="1000"/>
        <w:gridCol w:w="850"/>
        <w:gridCol w:w="850"/>
        <w:gridCol w:w="850"/>
        <w:gridCol w:w="852"/>
        <w:gridCol w:w="834"/>
      </w:tblGrid>
      <w:tr w:rsidR="003075CB" w:rsidRPr="00847CCC" w:rsidTr="00847CCC">
        <w:trPr>
          <w:trHeight w:val="290"/>
          <w:jc w:val="right"/>
        </w:trPr>
        <w:tc>
          <w:tcPr>
            <w:tcW w:w="1852" w:type="pct"/>
            <w:tcBorders>
              <w:top w:val="single" w:sz="4" w:space="0" w:color="auto"/>
              <w:left w:val="nil"/>
              <w:right w:val="nil"/>
            </w:tcBorders>
          </w:tcPr>
          <w:p w:rsidR="003075CB" w:rsidRPr="00847CCC" w:rsidRDefault="003075CB" w:rsidP="0094734B">
            <w:pPr>
              <w:pStyle w:val="braytabletext"/>
              <w:rPr>
                <w:szCs w:val="16"/>
              </w:rPr>
            </w:pPr>
          </w:p>
        </w:tc>
        <w:tc>
          <w:tcPr>
            <w:tcW w:w="632" w:type="pct"/>
            <w:gridSpan w:val="2"/>
            <w:vMerge w:val="restart"/>
            <w:tcBorders>
              <w:top w:val="single" w:sz="4" w:space="0" w:color="auto"/>
              <w:left w:val="nil"/>
              <w:right w:val="nil"/>
            </w:tcBorders>
          </w:tcPr>
          <w:p w:rsidR="003075CB" w:rsidRPr="00847CCC" w:rsidRDefault="003075CB" w:rsidP="00C04728">
            <w:pPr>
              <w:pStyle w:val="braytabletext"/>
              <w:jc w:val="right"/>
              <w:rPr>
                <w:szCs w:val="16"/>
              </w:rPr>
            </w:pPr>
            <w:r w:rsidRPr="00847CCC">
              <w:rPr>
                <w:szCs w:val="16"/>
              </w:rPr>
              <w:t>Australian born</w:t>
            </w:r>
          </w:p>
        </w:tc>
        <w:tc>
          <w:tcPr>
            <w:tcW w:w="505" w:type="pct"/>
            <w:vMerge w:val="restart"/>
            <w:tcBorders>
              <w:top w:val="single" w:sz="4" w:space="0" w:color="auto"/>
              <w:left w:val="nil"/>
              <w:right w:val="nil"/>
            </w:tcBorders>
          </w:tcPr>
          <w:p w:rsidR="003075CB" w:rsidRPr="00847CCC" w:rsidRDefault="003075CB" w:rsidP="00C04728">
            <w:pPr>
              <w:pStyle w:val="braytabletext"/>
              <w:jc w:val="right"/>
              <w:rPr>
                <w:szCs w:val="16"/>
              </w:rPr>
            </w:pPr>
            <w:r w:rsidRPr="00847CCC">
              <w:rPr>
                <w:szCs w:val="16"/>
              </w:rPr>
              <w:t>O/S No Visa (a)</w:t>
            </w:r>
          </w:p>
        </w:tc>
        <w:tc>
          <w:tcPr>
            <w:tcW w:w="1516" w:type="pct"/>
            <w:gridSpan w:val="3"/>
            <w:tcBorders>
              <w:top w:val="single" w:sz="4" w:space="0" w:color="auto"/>
              <w:left w:val="nil"/>
              <w:bottom w:val="single" w:sz="4" w:space="0" w:color="auto"/>
              <w:right w:val="nil"/>
            </w:tcBorders>
          </w:tcPr>
          <w:p w:rsidR="003075CB" w:rsidRPr="00847CCC" w:rsidRDefault="003075CB" w:rsidP="0094734B">
            <w:pPr>
              <w:pStyle w:val="braytabletext"/>
              <w:rPr>
                <w:szCs w:val="16"/>
              </w:rPr>
            </w:pPr>
            <w:r w:rsidRPr="00847CCC">
              <w:rPr>
                <w:szCs w:val="16"/>
              </w:rPr>
              <w:t>With a visa (type):</w:t>
            </w:r>
          </w:p>
        </w:tc>
        <w:tc>
          <w:tcPr>
            <w:tcW w:w="495" w:type="pct"/>
            <w:vMerge w:val="restart"/>
            <w:tcBorders>
              <w:top w:val="single" w:sz="4" w:space="0" w:color="auto"/>
              <w:left w:val="nil"/>
              <w:right w:val="nil"/>
            </w:tcBorders>
          </w:tcPr>
          <w:p w:rsidR="003075CB" w:rsidRPr="00847CCC" w:rsidRDefault="003075CB" w:rsidP="00C04728">
            <w:pPr>
              <w:pStyle w:val="braytabletext"/>
              <w:jc w:val="right"/>
              <w:rPr>
                <w:szCs w:val="16"/>
              </w:rPr>
            </w:pPr>
            <w:r w:rsidRPr="00847CCC">
              <w:rPr>
                <w:szCs w:val="16"/>
              </w:rPr>
              <w:t>Total</w:t>
            </w:r>
          </w:p>
        </w:tc>
      </w:tr>
      <w:tr w:rsidR="003075CB" w:rsidRPr="00847CCC" w:rsidTr="00847CCC">
        <w:trPr>
          <w:trHeight w:val="290"/>
          <w:jc w:val="right"/>
        </w:trPr>
        <w:tc>
          <w:tcPr>
            <w:tcW w:w="1852" w:type="pct"/>
            <w:tcBorders>
              <w:left w:val="nil"/>
              <w:right w:val="nil"/>
            </w:tcBorders>
          </w:tcPr>
          <w:p w:rsidR="003075CB" w:rsidRPr="00847CCC" w:rsidRDefault="003075CB" w:rsidP="0094734B">
            <w:pPr>
              <w:pStyle w:val="braytabletext"/>
              <w:rPr>
                <w:szCs w:val="16"/>
              </w:rPr>
            </w:pPr>
          </w:p>
        </w:tc>
        <w:tc>
          <w:tcPr>
            <w:tcW w:w="632" w:type="pct"/>
            <w:gridSpan w:val="2"/>
            <w:vMerge/>
            <w:tcBorders>
              <w:left w:val="nil"/>
              <w:bottom w:val="single" w:sz="4" w:space="0" w:color="auto"/>
              <w:right w:val="nil"/>
            </w:tcBorders>
          </w:tcPr>
          <w:p w:rsidR="003075CB" w:rsidRPr="00847CCC" w:rsidRDefault="003075CB" w:rsidP="00B704D7">
            <w:pPr>
              <w:pStyle w:val="braytabletext"/>
              <w:rPr>
                <w:szCs w:val="16"/>
              </w:rPr>
            </w:pPr>
          </w:p>
        </w:tc>
        <w:tc>
          <w:tcPr>
            <w:tcW w:w="505" w:type="pct"/>
            <w:vMerge/>
            <w:tcBorders>
              <w:left w:val="nil"/>
              <w:bottom w:val="single" w:sz="4" w:space="0" w:color="auto"/>
              <w:right w:val="nil"/>
            </w:tcBorders>
          </w:tcPr>
          <w:p w:rsidR="003075CB" w:rsidRPr="00847CCC" w:rsidRDefault="003075CB" w:rsidP="0094734B">
            <w:pPr>
              <w:pStyle w:val="braytabletext"/>
              <w:rPr>
                <w:szCs w:val="16"/>
              </w:rPr>
            </w:pPr>
          </w:p>
        </w:tc>
        <w:tc>
          <w:tcPr>
            <w:tcW w:w="505" w:type="pct"/>
            <w:tcBorders>
              <w:top w:val="single" w:sz="4" w:space="0" w:color="auto"/>
              <w:left w:val="nil"/>
              <w:bottom w:val="single" w:sz="4" w:space="0" w:color="auto"/>
              <w:right w:val="nil"/>
            </w:tcBorders>
          </w:tcPr>
          <w:p w:rsidR="003075CB" w:rsidRPr="00847CCC" w:rsidRDefault="003075CB" w:rsidP="00C04728">
            <w:pPr>
              <w:pStyle w:val="braytabletext"/>
              <w:jc w:val="right"/>
              <w:rPr>
                <w:szCs w:val="16"/>
              </w:rPr>
            </w:pPr>
            <w:r w:rsidRPr="00847CCC">
              <w:rPr>
                <w:szCs w:val="16"/>
              </w:rPr>
              <w:t>Family</w:t>
            </w:r>
          </w:p>
        </w:tc>
        <w:tc>
          <w:tcPr>
            <w:tcW w:w="505" w:type="pct"/>
            <w:tcBorders>
              <w:top w:val="single" w:sz="4" w:space="0" w:color="auto"/>
              <w:left w:val="nil"/>
              <w:bottom w:val="single" w:sz="4" w:space="0" w:color="auto"/>
              <w:right w:val="nil"/>
            </w:tcBorders>
          </w:tcPr>
          <w:p w:rsidR="003075CB" w:rsidRPr="00847CCC" w:rsidRDefault="003075CB" w:rsidP="00C04728">
            <w:pPr>
              <w:pStyle w:val="braytabletext"/>
              <w:jc w:val="right"/>
              <w:rPr>
                <w:szCs w:val="16"/>
              </w:rPr>
            </w:pPr>
            <w:r w:rsidRPr="00847CCC">
              <w:rPr>
                <w:szCs w:val="16"/>
              </w:rPr>
              <w:t>Human-itarian</w:t>
            </w:r>
          </w:p>
        </w:tc>
        <w:tc>
          <w:tcPr>
            <w:tcW w:w="505" w:type="pct"/>
            <w:tcBorders>
              <w:top w:val="single" w:sz="4" w:space="0" w:color="auto"/>
              <w:left w:val="nil"/>
              <w:bottom w:val="single" w:sz="4" w:space="0" w:color="auto"/>
              <w:right w:val="nil"/>
            </w:tcBorders>
          </w:tcPr>
          <w:p w:rsidR="003075CB" w:rsidRPr="00847CCC" w:rsidRDefault="003075CB" w:rsidP="00C04728">
            <w:pPr>
              <w:pStyle w:val="braytabletext"/>
              <w:jc w:val="right"/>
              <w:rPr>
                <w:szCs w:val="16"/>
              </w:rPr>
            </w:pPr>
            <w:r w:rsidRPr="00847CCC">
              <w:rPr>
                <w:szCs w:val="16"/>
              </w:rPr>
              <w:t>Other</w:t>
            </w:r>
          </w:p>
        </w:tc>
        <w:tc>
          <w:tcPr>
            <w:tcW w:w="495" w:type="pct"/>
            <w:vMerge/>
            <w:tcBorders>
              <w:left w:val="nil"/>
              <w:bottom w:val="single" w:sz="4" w:space="0" w:color="auto"/>
              <w:right w:val="nil"/>
            </w:tcBorders>
          </w:tcPr>
          <w:p w:rsidR="003075CB" w:rsidRPr="00847CCC" w:rsidRDefault="003075CB" w:rsidP="0094734B">
            <w:pPr>
              <w:pStyle w:val="braytabletext"/>
              <w:rPr>
                <w:szCs w:val="16"/>
              </w:rPr>
            </w:pPr>
          </w:p>
        </w:tc>
      </w:tr>
      <w:tr w:rsidR="0094734B" w:rsidRPr="00847CCC" w:rsidTr="00847CCC">
        <w:trPr>
          <w:trHeight w:val="290"/>
          <w:jc w:val="right"/>
        </w:trPr>
        <w:tc>
          <w:tcPr>
            <w:tcW w:w="2484" w:type="pct"/>
            <w:gridSpan w:val="3"/>
            <w:tcBorders>
              <w:top w:val="single" w:sz="4" w:space="0" w:color="auto"/>
              <w:left w:val="nil"/>
              <w:bottom w:val="nil"/>
              <w:right w:val="nil"/>
            </w:tcBorders>
          </w:tcPr>
          <w:p w:rsidR="0094734B" w:rsidRPr="00847CCC" w:rsidRDefault="0094734B" w:rsidP="0094734B">
            <w:pPr>
              <w:pStyle w:val="braytabletext"/>
              <w:rPr>
                <w:szCs w:val="16"/>
              </w:rPr>
            </w:pPr>
            <w:r w:rsidRPr="00847CCC">
              <w:rPr>
                <w:szCs w:val="16"/>
              </w:rPr>
              <w:t>Potential compulsory</w:t>
            </w:r>
          </w:p>
        </w:tc>
        <w:tc>
          <w:tcPr>
            <w:tcW w:w="505" w:type="pct"/>
            <w:tcBorders>
              <w:top w:val="single" w:sz="4" w:space="0" w:color="auto"/>
              <w:left w:val="nil"/>
              <w:bottom w:val="nil"/>
              <w:right w:val="nil"/>
            </w:tcBorders>
          </w:tcPr>
          <w:p w:rsidR="0094734B" w:rsidRPr="00847CCC" w:rsidRDefault="0094734B" w:rsidP="0094734B">
            <w:pPr>
              <w:pStyle w:val="braytabletext"/>
              <w:rPr>
                <w:szCs w:val="16"/>
              </w:rPr>
            </w:pPr>
          </w:p>
        </w:tc>
        <w:tc>
          <w:tcPr>
            <w:tcW w:w="505" w:type="pct"/>
            <w:tcBorders>
              <w:top w:val="single" w:sz="4" w:space="0" w:color="auto"/>
              <w:left w:val="nil"/>
              <w:bottom w:val="nil"/>
              <w:right w:val="nil"/>
            </w:tcBorders>
          </w:tcPr>
          <w:p w:rsidR="0094734B" w:rsidRPr="00847CCC" w:rsidRDefault="0094734B" w:rsidP="0094734B">
            <w:pPr>
              <w:pStyle w:val="braytabletext"/>
              <w:rPr>
                <w:szCs w:val="16"/>
              </w:rPr>
            </w:pPr>
          </w:p>
        </w:tc>
        <w:tc>
          <w:tcPr>
            <w:tcW w:w="505" w:type="pct"/>
            <w:tcBorders>
              <w:top w:val="single" w:sz="4" w:space="0" w:color="auto"/>
              <w:left w:val="nil"/>
              <w:bottom w:val="nil"/>
              <w:right w:val="nil"/>
            </w:tcBorders>
          </w:tcPr>
          <w:p w:rsidR="0094734B" w:rsidRPr="00847CCC" w:rsidRDefault="0094734B" w:rsidP="0094734B">
            <w:pPr>
              <w:pStyle w:val="braytabletext"/>
              <w:rPr>
                <w:szCs w:val="16"/>
              </w:rPr>
            </w:pPr>
          </w:p>
        </w:tc>
        <w:tc>
          <w:tcPr>
            <w:tcW w:w="505" w:type="pct"/>
            <w:tcBorders>
              <w:top w:val="single" w:sz="4" w:space="0" w:color="auto"/>
              <w:left w:val="nil"/>
              <w:bottom w:val="nil"/>
              <w:right w:val="nil"/>
            </w:tcBorders>
          </w:tcPr>
          <w:p w:rsidR="0094734B" w:rsidRPr="00847CCC" w:rsidRDefault="0094734B" w:rsidP="0094734B">
            <w:pPr>
              <w:pStyle w:val="braytabletext"/>
              <w:rPr>
                <w:szCs w:val="16"/>
              </w:rPr>
            </w:pPr>
          </w:p>
        </w:tc>
        <w:tc>
          <w:tcPr>
            <w:tcW w:w="495" w:type="pct"/>
            <w:tcBorders>
              <w:top w:val="single" w:sz="4" w:space="0" w:color="auto"/>
              <w:left w:val="nil"/>
              <w:bottom w:val="nil"/>
              <w:right w:val="nil"/>
            </w:tcBorders>
          </w:tcPr>
          <w:p w:rsidR="0094734B" w:rsidRPr="00847CCC" w:rsidRDefault="0094734B" w:rsidP="0094734B">
            <w:pPr>
              <w:pStyle w:val="braytabletext"/>
              <w:rPr>
                <w:szCs w:val="16"/>
              </w:rPr>
            </w:pPr>
          </w:p>
        </w:tc>
      </w:tr>
      <w:tr w:rsidR="00B704D7" w:rsidRPr="00847CCC" w:rsidTr="00847CCC">
        <w:trPr>
          <w:trHeight w:val="290"/>
          <w:jc w:val="right"/>
        </w:trPr>
        <w:tc>
          <w:tcPr>
            <w:tcW w:w="1890" w:type="pct"/>
            <w:gridSpan w:val="2"/>
            <w:tcBorders>
              <w:top w:val="nil"/>
              <w:left w:val="nil"/>
              <w:bottom w:val="nil"/>
              <w:right w:val="nil"/>
            </w:tcBorders>
          </w:tcPr>
          <w:p w:rsidR="00B704D7" w:rsidRPr="00847CCC" w:rsidRDefault="00B704D7" w:rsidP="00357105">
            <w:pPr>
              <w:pStyle w:val="braytabletext"/>
              <w:rPr>
                <w:szCs w:val="16"/>
              </w:rPr>
            </w:pPr>
            <w:r w:rsidRPr="00847CCC">
              <w:rPr>
                <w:szCs w:val="16"/>
              </w:rPr>
              <w:t>CIM no applic</w:t>
            </w:r>
            <w:r w:rsidR="00357105" w:rsidRPr="00847CCC">
              <w:rPr>
                <w:szCs w:val="16"/>
              </w:rPr>
              <w:t>ation</w:t>
            </w:r>
            <w:r w:rsidRPr="00847CCC">
              <w:rPr>
                <w:szCs w:val="16"/>
              </w:rPr>
              <w:t xml:space="preserve"> for exemption</w:t>
            </w:r>
          </w:p>
        </w:tc>
        <w:tc>
          <w:tcPr>
            <w:tcW w:w="594" w:type="pct"/>
            <w:tcBorders>
              <w:top w:val="nil"/>
              <w:left w:val="nil"/>
              <w:bottom w:val="nil"/>
              <w:right w:val="nil"/>
            </w:tcBorders>
          </w:tcPr>
          <w:p w:rsidR="00B704D7" w:rsidRPr="00847CCC" w:rsidRDefault="00B704D7" w:rsidP="00B704D7">
            <w:pPr>
              <w:pStyle w:val="braytabletext"/>
              <w:jc w:val="right"/>
              <w:rPr>
                <w:szCs w:val="16"/>
              </w:rPr>
            </w:pPr>
            <w:r w:rsidRPr="00847CCC">
              <w:rPr>
                <w:szCs w:val="16"/>
              </w:rPr>
              <w:t>10</w:t>
            </w:r>
            <w:r w:rsidR="007A7F5C" w:rsidRPr="00847CCC">
              <w:rPr>
                <w:szCs w:val="16"/>
              </w:rPr>
              <w:t xml:space="preserve"> </w:t>
            </w:r>
            <w:r w:rsidRPr="00847CCC">
              <w:rPr>
                <w:szCs w:val="16"/>
              </w:rPr>
              <w:t>571</w:t>
            </w:r>
          </w:p>
        </w:tc>
        <w:tc>
          <w:tcPr>
            <w:tcW w:w="505" w:type="pct"/>
            <w:tcBorders>
              <w:top w:val="nil"/>
              <w:left w:val="nil"/>
              <w:bottom w:val="nil"/>
              <w:right w:val="nil"/>
            </w:tcBorders>
          </w:tcPr>
          <w:p w:rsidR="00B704D7" w:rsidRPr="00847CCC" w:rsidRDefault="00B704D7" w:rsidP="00B704D7">
            <w:pPr>
              <w:pStyle w:val="braytabletext"/>
              <w:jc w:val="right"/>
              <w:rPr>
                <w:szCs w:val="16"/>
              </w:rPr>
            </w:pPr>
            <w:r w:rsidRPr="00847CCC">
              <w:rPr>
                <w:szCs w:val="16"/>
              </w:rPr>
              <w:t>669</w:t>
            </w:r>
          </w:p>
        </w:tc>
        <w:tc>
          <w:tcPr>
            <w:tcW w:w="505" w:type="pct"/>
            <w:tcBorders>
              <w:top w:val="nil"/>
              <w:left w:val="nil"/>
              <w:bottom w:val="nil"/>
              <w:right w:val="nil"/>
            </w:tcBorders>
          </w:tcPr>
          <w:p w:rsidR="00B704D7" w:rsidRPr="00847CCC" w:rsidRDefault="00B704D7" w:rsidP="00B704D7">
            <w:pPr>
              <w:pStyle w:val="braytabletext"/>
              <w:jc w:val="right"/>
              <w:rPr>
                <w:szCs w:val="16"/>
              </w:rPr>
            </w:pPr>
            <w:r w:rsidRPr="00847CCC">
              <w:rPr>
                <w:szCs w:val="16"/>
              </w:rPr>
              <w:t>57</w:t>
            </w:r>
          </w:p>
        </w:tc>
        <w:tc>
          <w:tcPr>
            <w:tcW w:w="505" w:type="pct"/>
            <w:tcBorders>
              <w:top w:val="nil"/>
              <w:left w:val="nil"/>
              <w:bottom w:val="nil"/>
              <w:right w:val="nil"/>
            </w:tcBorders>
          </w:tcPr>
          <w:p w:rsidR="00B704D7" w:rsidRPr="00847CCC" w:rsidRDefault="00B704D7" w:rsidP="00B704D7">
            <w:pPr>
              <w:pStyle w:val="braytabletext"/>
              <w:jc w:val="right"/>
              <w:rPr>
                <w:szCs w:val="16"/>
              </w:rPr>
            </w:pPr>
            <w:r w:rsidRPr="00847CCC">
              <w:rPr>
                <w:szCs w:val="16"/>
              </w:rPr>
              <w:t>77</w:t>
            </w:r>
          </w:p>
        </w:tc>
        <w:tc>
          <w:tcPr>
            <w:tcW w:w="505" w:type="pct"/>
            <w:tcBorders>
              <w:top w:val="nil"/>
              <w:left w:val="nil"/>
              <w:bottom w:val="nil"/>
              <w:right w:val="nil"/>
            </w:tcBorders>
          </w:tcPr>
          <w:p w:rsidR="00B704D7" w:rsidRPr="00847CCC" w:rsidRDefault="00B704D7" w:rsidP="00B704D7">
            <w:pPr>
              <w:pStyle w:val="braytabletext"/>
              <w:jc w:val="right"/>
              <w:rPr>
                <w:szCs w:val="16"/>
              </w:rPr>
            </w:pPr>
            <w:r w:rsidRPr="00847CCC">
              <w:rPr>
                <w:szCs w:val="16"/>
              </w:rPr>
              <w:t>48</w:t>
            </w:r>
          </w:p>
        </w:tc>
        <w:tc>
          <w:tcPr>
            <w:tcW w:w="495" w:type="pct"/>
            <w:tcBorders>
              <w:top w:val="nil"/>
              <w:left w:val="nil"/>
              <w:bottom w:val="nil"/>
              <w:right w:val="nil"/>
            </w:tcBorders>
          </w:tcPr>
          <w:p w:rsidR="00B704D7" w:rsidRPr="00847CCC" w:rsidRDefault="00B704D7" w:rsidP="00B704D7">
            <w:pPr>
              <w:pStyle w:val="braytabletext"/>
              <w:jc w:val="right"/>
              <w:rPr>
                <w:szCs w:val="16"/>
              </w:rPr>
            </w:pPr>
            <w:r w:rsidRPr="00847CCC">
              <w:rPr>
                <w:szCs w:val="16"/>
              </w:rPr>
              <w:t>11</w:t>
            </w:r>
            <w:r w:rsidR="00DD04B0" w:rsidRPr="00847CCC">
              <w:rPr>
                <w:szCs w:val="16"/>
              </w:rPr>
              <w:t> </w:t>
            </w:r>
            <w:r w:rsidRPr="00847CCC">
              <w:rPr>
                <w:szCs w:val="16"/>
              </w:rPr>
              <w:t>422</w:t>
            </w:r>
          </w:p>
        </w:tc>
      </w:tr>
      <w:tr w:rsidR="00B704D7" w:rsidRPr="00847CCC" w:rsidTr="00847CCC">
        <w:trPr>
          <w:trHeight w:val="290"/>
          <w:jc w:val="right"/>
        </w:trPr>
        <w:tc>
          <w:tcPr>
            <w:tcW w:w="1890" w:type="pct"/>
            <w:gridSpan w:val="2"/>
            <w:tcBorders>
              <w:top w:val="nil"/>
              <w:left w:val="nil"/>
              <w:bottom w:val="nil"/>
              <w:right w:val="nil"/>
            </w:tcBorders>
          </w:tcPr>
          <w:p w:rsidR="00B704D7" w:rsidRPr="00847CCC" w:rsidRDefault="00B704D7" w:rsidP="0094734B">
            <w:pPr>
              <w:pStyle w:val="braytabletext"/>
              <w:rPr>
                <w:szCs w:val="16"/>
              </w:rPr>
            </w:pPr>
            <w:r w:rsidRPr="00847CCC">
              <w:rPr>
                <w:szCs w:val="16"/>
              </w:rPr>
              <w:t>CIM exemption rejected</w:t>
            </w:r>
          </w:p>
        </w:tc>
        <w:tc>
          <w:tcPr>
            <w:tcW w:w="594" w:type="pct"/>
            <w:tcBorders>
              <w:top w:val="nil"/>
              <w:left w:val="nil"/>
              <w:bottom w:val="nil"/>
              <w:right w:val="nil"/>
            </w:tcBorders>
          </w:tcPr>
          <w:p w:rsidR="00B704D7" w:rsidRPr="00847CCC" w:rsidRDefault="00B704D7" w:rsidP="00B704D7">
            <w:pPr>
              <w:pStyle w:val="braytabletext"/>
              <w:jc w:val="right"/>
              <w:rPr>
                <w:szCs w:val="16"/>
              </w:rPr>
            </w:pPr>
            <w:r w:rsidRPr="00847CCC">
              <w:rPr>
                <w:szCs w:val="16"/>
              </w:rPr>
              <w:t>1</w:t>
            </w:r>
            <w:r w:rsidR="007A7F5C" w:rsidRPr="00847CCC">
              <w:rPr>
                <w:szCs w:val="16"/>
              </w:rPr>
              <w:t xml:space="preserve"> </w:t>
            </w:r>
            <w:r w:rsidRPr="00847CCC">
              <w:rPr>
                <w:szCs w:val="16"/>
              </w:rPr>
              <w:t>064</w:t>
            </w:r>
          </w:p>
        </w:tc>
        <w:tc>
          <w:tcPr>
            <w:tcW w:w="505" w:type="pct"/>
            <w:tcBorders>
              <w:top w:val="nil"/>
              <w:left w:val="nil"/>
              <w:bottom w:val="nil"/>
              <w:right w:val="nil"/>
            </w:tcBorders>
          </w:tcPr>
          <w:p w:rsidR="00B704D7" w:rsidRPr="00847CCC" w:rsidRDefault="00B704D7" w:rsidP="00B704D7">
            <w:pPr>
              <w:pStyle w:val="braytabletext"/>
              <w:jc w:val="right"/>
              <w:rPr>
                <w:szCs w:val="16"/>
              </w:rPr>
            </w:pPr>
            <w:r w:rsidRPr="00847CCC">
              <w:rPr>
                <w:szCs w:val="16"/>
              </w:rPr>
              <w:t>39</w:t>
            </w:r>
          </w:p>
        </w:tc>
        <w:tc>
          <w:tcPr>
            <w:tcW w:w="505" w:type="pct"/>
            <w:tcBorders>
              <w:top w:val="nil"/>
              <w:left w:val="nil"/>
              <w:bottom w:val="nil"/>
              <w:right w:val="nil"/>
            </w:tcBorders>
          </w:tcPr>
          <w:p w:rsidR="00B704D7" w:rsidRPr="00847CCC" w:rsidRDefault="00C56AA3" w:rsidP="00B704D7">
            <w:pPr>
              <w:pStyle w:val="braytabletext"/>
              <w:jc w:val="right"/>
              <w:rPr>
                <w:szCs w:val="16"/>
              </w:rPr>
            </w:pPr>
            <w:r w:rsidRPr="00847CCC">
              <w:rPr>
                <w:szCs w:val="16"/>
              </w:rPr>
              <w:t>14</w:t>
            </w:r>
          </w:p>
        </w:tc>
        <w:tc>
          <w:tcPr>
            <w:tcW w:w="505" w:type="pct"/>
            <w:tcBorders>
              <w:top w:val="nil"/>
              <w:left w:val="nil"/>
              <w:bottom w:val="nil"/>
              <w:right w:val="nil"/>
            </w:tcBorders>
          </w:tcPr>
          <w:p w:rsidR="00B704D7" w:rsidRPr="00847CCC" w:rsidRDefault="00C56AA3" w:rsidP="00B704D7">
            <w:pPr>
              <w:pStyle w:val="braytabletext"/>
              <w:jc w:val="right"/>
              <w:rPr>
                <w:szCs w:val="16"/>
              </w:rPr>
            </w:pPr>
            <w:r w:rsidRPr="00847CCC">
              <w:rPr>
                <w:szCs w:val="16"/>
              </w:rPr>
              <w:t>21</w:t>
            </w:r>
          </w:p>
        </w:tc>
        <w:tc>
          <w:tcPr>
            <w:tcW w:w="505" w:type="pct"/>
            <w:tcBorders>
              <w:top w:val="nil"/>
              <w:left w:val="nil"/>
              <w:bottom w:val="nil"/>
              <w:right w:val="nil"/>
            </w:tcBorders>
          </w:tcPr>
          <w:p w:rsidR="00B704D7" w:rsidRPr="00847CCC" w:rsidRDefault="00B704D7" w:rsidP="00B704D7">
            <w:pPr>
              <w:pStyle w:val="braytabletext"/>
              <w:jc w:val="right"/>
              <w:rPr>
                <w:szCs w:val="16"/>
              </w:rPr>
            </w:pPr>
            <w:r w:rsidRPr="00847CCC">
              <w:rPr>
                <w:szCs w:val="16"/>
              </w:rPr>
              <w:t>14</w:t>
            </w:r>
          </w:p>
        </w:tc>
        <w:tc>
          <w:tcPr>
            <w:tcW w:w="495" w:type="pct"/>
            <w:tcBorders>
              <w:top w:val="nil"/>
              <w:left w:val="nil"/>
              <w:bottom w:val="nil"/>
              <w:right w:val="nil"/>
            </w:tcBorders>
          </w:tcPr>
          <w:p w:rsidR="00B704D7" w:rsidRPr="00847CCC" w:rsidRDefault="00B704D7" w:rsidP="00B704D7">
            <w:pPr>
              <w:pStyle w:val="braytabletext"/>
              <w:jc w:val="right"/>
              <w:rPr>
                <w:szCs w:val="16"/>
              </w:rPr>
            </w:pPr>
            <w:r w:rsidRPr="00847CCC">
              <w:rPr>
                <w:szCs w:val="16"/>
              </w:rPr>
              <w:t>1</w:t>
            </w:r>
            <w:r w:rsidR="00DD04B0" w:rsidRPr="00847CCC">
              <w:rPr>
                <w:szCs w:val="16"/>
              </w:rPr>
              <w:t> </w:t>
            </w:r>
            <w:r w:rsidRPr="00847CCC">
              <w:rPr>
                <w:szCs w:val="16"/>
              </w:rPr>
              <w:t>152</w:t>
            </w:r>
          </w:p>
        </w:tc>
      </w:tr>
      <w:tr w:rsidR="00B704D7" w:rsidRPr="00847CCC" w:rsidTr="00847CCC">
        <w:trPr>
          <w:trHeight w:val="290"/>
          <w:jc w:val="right"/>
        </w:trPr>
        <w:tc>
          <w:tcPr>
            <w:tcW w:w="1890" w:type="pct"/>
            <w:gridSpan w:val="2"/>
            <w:tcBorders>
              <w:top w:val="nil"/>
              <w:left w:val="nil"/>
              <w:bottom w:val="nil"/>
              <w:right w:val="nil"/>
            </w:tcBorders>
          </w:tcPr>
          <w:p w:rsidR="00B704D7" w:rsidRPr="00847CCC" w:rsidRDefault="00B704D7" w:rsidP="00357105">
            <w:pPr>
              <w:pStyle w:val="braytabletext"/>
              <w:rPr>
                <w:szCs w:val="16"/>
              </w:rPr>
            </w:pPr>
            <w:r w:rsidRPr="00847CCC">
              <w:rPr>
                <w:szCs w:val="16"/>
              </w:rPr>
              <w:t>CIM applic</w:t>
            </w:r>
            <w:r w:rsidR="00357105" w:rsidRPr="00847CCC">
              <w:rPr>
                <w:szCs w:val="16"/>
              </w:rPr>
              <w:t>ation</w:t>
            </w:r>
            <w:r w:rsidRPr="00847CCC">
              <w:rPr>
                <w:szCs w:val="16"/>
              </w:rPr>
              <w:t xml:space="preserve"> for exempt</w:t>
            </w:r>
            <w:r w:rsidR="00357105" w:rsidRPr="00847CCC">
              <w:rPr>
                <w:szCs w:val="16"/>
              </w:rPr>
              <w:t>ion</w:t>
            </w:r>
            <w:r w:rsidRPr="00847CCC">
              <w:rPr>
                <w:szCs w:val="16"/>
              </w:rPr>
              <w:t xml:space="preserve"> withdrawn</w:t>
            </w:r>
          </w:p>
        </w:tc>
        <w:tc>
          <w:tcPr>
            <w:tcW w:w="594" w:type="pct"/>
            <w:tcBorders>
              <w:top w:val="nil"/>
              <w:left w:val="nil"/>
              <w:bottom w:val="nil"/>
              <w:right w:val="nil"/>
            </w:tcBorders>
          </w:tcPr>
          <w:p w:rsidR="00B704D7" w:rsidRPr="00847CCC" w:rsidRDefault="00B704D7" w:rsidP="00B704D7">
            <w:pPr>
              <w:pStyle w:val="braytabletext"/>
              <w:jc w:val="right"/>
              <w:rPr>
                <w:szCs w:val="16"/>
              </w:rPr>
            </w:pPr>
            <w:r w:rsidRPr="00847CCC">
              <w:rPr>
                <w:szCs w:val="16"/>
              </w:rPr>
              <w:t>67</w:t>
            </w:r>
          </w:p>
        </w:tc>
        <w:tc>
          <w:tcPr>
            <w:tcW w:w="505" w:type="pct"/>
            <w:tcBorders>
              <w:top w:val="nil"/>
              <w:left w:val="nil"/>
              <w:bottom w:val="nil"/>
              <w:right w:val="nil"/>
            </w:tcBorders>
          </w:tcPr>
          <w:p w:rsidR="00B704D7" w:rsidRPr="00847CCC" w:rsidRDefault="00B704D7" w:rsidP="00B704D7">
            <w:pPr>
              <w:pStyle w:val="braytabletext"/>
              <w:jc w:val="right"/>
              <w:rPr>
                <w:szCs w:val="16"/>
              </w:rPr>
            </w:pPr>
            <w:r w:rsidRPr="00847CCC">
              <w:rPr>
                <w:szCs w:val="16"/>
              </w:rPr>
              <w:t>5</w:t>
            </w:r>
          </w:p>
        </w:tc>
        <w:tc>
          <w:tcPr>
            <w:tcW w:w="505" w:type="pct"/>
            <w:tcBorders>
              <w:top w:val="nil"/>
              <w:left w:val="nil"/>
              <w:bottom w:val="nil"/>
              <w:right w:val="nil"/>
            </w:tcBorders>
          </w:tcPr>
          <w:p w:rsidR="00B704D7" w:rsidRPr="00847CCC" w:rsidRDefault="00C56AA3" w:rsidP="00B704D7">
            <w:pPr>
              <w:pStyle w:val="braytabletext"/>
              <w:jc w:val="right"/>
              <w:rPr>
                <w:szCs w:val="16"/>
              </w:rPr>
            </w:pPr>
            <w:r w:rsidRPr="00847CCC">
              <w:rPr>
                <w:szCs w:val="16"/>
              </w:rPr>
              <w:t>2</w:t>
            </w:r>
          </w:p>
        </w:tc>
        <w:tc>
          <w:tcPr>
            <w:tcW w:w="505" w:type="pct"/>
            <w:tcBorders>
              <w:top w:val="nil"/>
              <w:left w:val="nil"/>
              <w:bottom w:val="nil"/>
              <w:right w:val="nil"/>
            </w:tcBorders>
          </w:tcPr>
          <w:p w:rsidR="00B704D7" w:rsidRPr="00847CCC" w:rsidRDefault="00C56AA3" w:rsidP="00B704D7">
            <w:pPr>
              <w:pStyle w:val="braytabletext"/>
              <w:jc w:val="right"/>
              <w:rPr>
                <w:szCs w:val="16"/>
              </w:rPr>
            </w:pPr>
            <w:r w:rsidRPr="00847CCC">
              <w:rPr>
                <w:szCs w:val="16"/>
              </w:rPr>
              <w:t>2</w:t>
            </w:r>
          </w:p>
        </w:tc>
        <w:tc>
          <w:tcPr>
            <w:tcW w:w="505" w:type="pct"/>
            <w:tcBorders>
              <w:top w:val="nil"/>
              <w:left w:val="nil"/>
              <w:bottom w:val="nil"/>
              <w:right w:val="nil"/>
            </w:tcBorders>
          </w:tcPr>
          <w:p w:rsidR="00B704D7" w:rsidRPr="00847CCC" w:rsidRDefault="00B704D7" w:rsidP="00B704D7">
            <w:pPr>
              <w:pStyle w:val="braytabletext"/>
              <w:jc w:val="right"/>
              <w:rPr>
                <w:szCs w:val="16"/>
              </w:rPr>
            </w:pPr>
            <w:r w:rsidRPr="00847CCC">
              <w:rPr>
                <w:szCs w:val="16"/>
              </w:rPr>
              <w:t>1</w:t>
            </w:r>
          </w:p>
        </w:tc>
        <w:tc>
          <w:tcPr>
            <w:tcW w:w="495" w:type="pct"/>
            <w:tcBorders>
              <w:top w:val="nil"/>
              <w:left w:val="nil"/>
              <w:bottom w:val="nil"/>
              <w:right w:val="nil"/>
            </w:tcBorders>
          </w:tcPr>
          <w:p w:rsidR="00B704D7" w:rsidRPr="00847CCC" w:rsidRDefault="00B704D7" w:rsidP="00B704D7">
            <w:pPr>
              <w:pStyle w:val="braytabletext"/>
              <w:jc w:val="right"/>
              <w:rPr>
                <w:szCs w:val="16"/>
              </w:rPr>
            </w:pPr>
            <w:r w:rsidRPr="00847CCC">
              <w:rPr>
                <w:szCs w:val="16"/>
              </w:rPr>
              <w:t>77</w:t>
            </w:r>
          </w:p>
        </w:tc>
      </w:tr>
      <w:tr w:rsidR="00B704D7" w:rsidRPr="00847CCC" w:rsidTr="00847CCC">
        <w:trPr>
          <w:trHeight w:val="290"/>
          <w:jc w:val="right"/>
        </w:trPr>
        <w:tc>
          <w:tcPr>
            <w:tcW w:w="1890" w:type="pct"/>
            <w:gridSpan w:val="2"/>
            <w:tcBorders>
              <w:top w:val="nil"/>
              <w:left w:val="nil"/>
              <w:bottom w:val="nil"/>
              <w:right w:val="nil"/>
            </w:tcBorders>
          </w:tcPr>
          <w:p w:rsidR="00B704D7" w:rsidRPr="00847CCC" w:rsidRDefault="00B704D7" w:rsidP="0094734B">
            <w:pPr>
              <w:pStyle w:val="braytabletext"/>
              <w:rPr>
                <w:szCs w:val="16"/>
              </w:rPr>
            </w:pPr>
            <w:r w:rsidRPr="00847CCC">
              <w:rPr>
                <w:szCs w:val="16"/>
              </w:rPr>
              <w:t>On VIM has exemption</w:t>
            </w:r>
          </w:p>
        </w:tc>
        <w:tc>
          <w:tcPr>
            <w:tcW w:w="594" w:type="pct"/>
            <w:tcBorders>
              <w:top w:val="nil"/>
              <w:left w:val="nil"/>
              <w:bottom w:val="nil"/>
              <w:right w:val="nil"/>
            </w:tcBorders>
          </w:tcPr>
          <w:p w:rsidR="00B704D7" w:rsidRPr="00847CCC" w:rsidRDefault="00B704D7" w:rsidP="00B704D7">
            <w:pPr>
              <w:pStyle w:val="braytabletext"/>
              <w:jc w:val="right"/>
              <w:rPr>
                <w:szCs w:val="16"/>
              </w:rPr>
            </w:pPr>
            <w:r w:rsidRPr="00847CCC">
              <w:rPr>
                <w:szCs w:val="16"/>
              </w:rPr>
              <w:t>14</w:t>
            </w:r>
          </w:p>
        </w:tc>
        <w:tc>
          <w:tcPr>
            <w:tcW w:w="505" w:type="pct"/>
            <w:tcBorders>
              <w:top w:val="nil"/>
              <w:left w:val="nil"/>
              <w:bottom w:val="nil"/>
              <w:right w:val="nil"/>
            </w:tcBorders>
          </w:tcPr>
          <w:p w:rsidR="00B704D7" w:rsidRPr="00847CCC" w:rsidRDefault="00B704D7" w:rsidP="00B704D7">
            <w:pPr>
              <w:pStyle w:val="braytabletext"/>
              <w:jc w:val="right"/>
              <w:rPr>
                <w:szCs w:val="16"/>
              </w:rPr>
            </w:pPr>
            <w:r w:rsidRPr="00847CCC">
              <w:rPr>
                <w:szCs w:val="16"/>
              </w:rPr>
              <w:t>0</w:t>
            </w:r>
          </w:p>
        </w:tc>
        <w:tc>
          <w:tcPr>
            <w:tcW w:w="505" w:type="pct"/>
            <w:tcBorders>
              <w:top w:val="nil"/>
              <w:left w:val="nil"/>
              <w:bottom w:val="nil"/>
              <w:right w:val="nil"/>
            </w:tcBorders>
          </w:tcPr>
          <w:p w:rsidR="00B704D7" w:rsidRPr="00847CCC" w:rsidRDefault="00B704D7" w:rsidP="00B704D7">
            <w:pPr>
              <w:pStyle w:val="braytabletext"/>
              <w:jc w:val="right"/>
              <w:rPr>
                <w:szCs w:val="16"/>
              </w:rPr>
            </w:pPr>
            <w:r w:rsidRPr="00847CCC">
              <w:rPr>
                <w:szCs w:val="16"/>
              </w:rPr>
              <w:t>0</w:t>
            </w:r>
          </w:p>
        </w:tc>
        <w:tc>
          <w:tcPr>
            <w:tcW w:w="505" w:type="pct"/>
            <w:tcBorders>
              <w:top w:val="nil"/>
              <w:left w:val="nil"/>
              <w:bottom w:val="nil"/>
              <w:right w:val="nil"/>
            </w:tcBorders>
          </w:tcPr>
          <w:p w:rsidR="00B704D7" w:rsidRPr="00847CCC" w:rsidRDefault="00B704D7" w:rsidP="00B704D7">
            <w:pPr>
              <w:pStyle w:val="braytabletext"/>
              <w:jc w:val="right"/>
              <w:rPr>
                <w:szCs w:val="16"/>
              </w:rPr>
            </w:pPr>
            <w:r w:rsidRPr="00847CCC">
              <w:rPr>
                <w:szCs w:val="16"/>
              </w:rPr>
              <w:t>0</w:t>
            </w:r>
          </w:p>
        </w:tc>
        <w:tc>
          <w:tcPr>
            <w:tcW w:w="505" w:type="pct"/>
            <w:tcBorders>
              <w:top w:val="nil"/>
              <w:left w:val="nil"/>
              <w:bottom w:val="nil"/>
              <w:right w:val="nil"/>
            </w:tcBorders>
          </w:tcPr>
          <w:p w:rsidR="00B704D7" w:rsidRPr="00847CCC" w:rsidRDefault="00B704D7" w:rsidP="00B704D7">
            <w:pPr>
              <w:pStyle w:val="braytabletext"/>
              <w:jc w:val="right"/>
              <w:rPr>
                <w:szCs w:val="16"/>
              </w:rPr>
            </w:pPr>
            <w:r w:rsidRPr="00847CCC">
              <w:rPr>
                <w:szCs w:val="16"/>
              </w:rPr>
              <w:t>0</w:t>
            </w:r>
          </w:p>
        </w:tc>
        <w:tc>
          <w:tcPr>
            <w:tcW w:w="495" w:type="pct"/>
            <w:tcBorders>
              <w:top w:val="nil"/>
              <w:left w:val="nil"/>
              <w:bottom w:val="nil"/>
              <w:right w:val="nil"/>
            </w:tcBorders>
          </w:tcPr>
          <w:p w:rsidR="00B704D7" w:rsidRPr="00847CCC" w:rsidRDefault="00B704D7" w:rsidP="00B704D7">
            <w:pPr>
              <w:pStyle w:val="braytabletext"/>
              <w:jc w:val="right"/>
              <w:rPr>
                <w:szCs w:val="16"/>
              </w:rPr>
            </w:pPr>
            <w:r w:rsidRPr="00847CCC">
              <w:rPr>
                <w:szCs w:val="16"/>
              </w:rPr>
              <w:t>14</w:t>
            </w:r>
          </w:p>
        </w:tc>
      </w:tr>
      <w:tr w:rsidR="00B704D7" w:rsidRPr="00847CCC" w:rsidTr="00847CCC">
        <w:trPr>
          <w:trHeight w:val="290"/>
          <w:jc w:val="right"/>
        </w:trPr>
        <w:tc>
          <w:tcPr>
            <w:tcW w:w="1890" w:type="pct"/>
            <w:gridSpan w:val="2"/>
            <w:tcBorders>
              <w:top w:val="nil"/>
              <w:left w:val="nil"/>
              <w:bottom w:val="nil"/>
              <w:right w:val="nil"/>
            </w:tcBorders>
          </w:tcPr>
          <w:p w:rsidR="00B704D7" w:rsidRPr="00587AD8" w:rsidRDefault="00B704D7" w:rsidP="0094734B">
            <w:pPr>
              <w:pStyle w:val="braytabletext"/>
              <w:rPr>
                <w:i/>
                <w:szCs w:val="16"/>
              </w:rPr>
            </w:pPr>
            <w:r w:rsidRPr="00587AD8">
              <w:rPr>
                <w:i/>
                <w:szCs w:val="16"/>
              </w:rPr>
              <w:t>Total</w:t>
            </w:r>
          </w:p>
        </w:tc>
        <w:tc>
          <w:tcPr>
            <w:tcW w:w="594" w:type="pct"/>
            <w:tcBorders>
              <w:top w:val="nil"/>
              <w:left w:val="nil"/>
              <w:bottom w:val="nil"/>
              <w:right w:val="nil"/>
            </w:tcBorders>
          </w:tcPr>
          <w:p w:rsidR="00B704D7" w:rsidRPr="00587AD8" w:rsidRDefault="00B704D7" w:rsidP="00B704D7">
            <w:pPr>
              <w:pStyle w:val="braytabletext"/>
              <w:jc w:val="right"/>
              <w:rPr>
                <w:i/>
                <w:szCs w:val="16"/>
              </w:rPr>
            </w:pPr>
            <w:r w:rsidRPr="00587AD8">
              <w:rPr>
                <w:i/>
                <w:szCs w:val="16"/>
              </w:rPr>
              <w:t>11</w:t>
            </w:r>
            <w:r w:rsidR="007A7F5C" w:rsidRPr="00587AD8">
              <w:rPr>
                <w:i/>
                <w:szCs w:val="16"/>
              </w:rPr>
              <w:t xml:space="preserve"> </w:t>
            </w:r>
            <w:r w:rsidRPr="00587AD8">
              <w:rPr>
                <w:i/>
                <w:szCs w:val="16"/>
              </w:rPr>
              <w:t>716</w:t>
            </w:r>
          </w:p>
        </w:tc>
        <w:tc>
          <w:tcPr>
            <w:tcW w:w="505" w:type="pct"/>
            <w:tcBorders>
              <w:top w:val="nil"/>
              <w:left w:val="nil"/>
              <w:bottom w:val="nil"/>
              <w:right w:val="nil"/>
            </w:tcBorders>
          </w:tcPr>
          <w:p w:rsidR="00B704D7" w:rsidRPr="00587AD8" w:rsidRDefault="00B704D7" w:rsidP="00B704D7">
            <w:pPr>
              <w:pStyle w:val="braytabletext"/>
              <w:jc w:val="right"/>
              <w:rPr>
                <w:i/>
                <w:szCs w:val="16"/>
              </w:rPr>
            </w:pPr>
            <w:r w:rsidRPr="00587AD8">
              <w:rPr>
                <w:i/>
                <w:szCs w:val="16"/>
              </w:rPr>
              <w:t>713</w:t>
            </w:r>
          </w:p>
        </w:tc>
        <w:tc>
          <w:tcPr>
            <w:tcW w:w="505" w:type="pct"/>
            <w:tcBorders>
              <w:top w:val="nil"/>
              <w:left w:val="nil"/>
              <w:bottom w:val="nil"/>
              <w:right w:val="nil"/>
            </w:tcBorders>
          </w:tcPr>
          <w:p w:rsidR="00B704D7" w:rsidRPr="00587AD8" w:rsidRDefault="00B704D7" w:rsidP="00B704D7">
            <w:pPr>
              <w:pStyle w:val="braytabletext"/>
              <w:jc w:val="right"/>
              <w:rPr>
                <w:i/>
                <w:szCs w:val="16"/>
              </w:rPr>
            </w:pPr>
            <w:r w:rsidRPr="00587AD8">
              <w:rPr>
                <w:i/>
                <w:szCs w:val="16"/>
              </w:rPr>
              <w:t>73</w:t>
            </w:r>
          </w:p>
        </w:tc>
        <w:tc>
          <w:tcPr>
            <w:tcW w:w="505" w:type="pct"/>
            <w:tcBorders>
              <w:top w:val="nil"/>
              <w:left w:val="nil"/>
              <w:bottom w:val="nil"/>
              <w:right w:val="nil"/>
            </w:tcBorders>
          </w:tcPr>
          <w:p w:rsidR="00B704D7" w:rsidRPr="00587AD8" w:rsidRDefault="00B704D7" w:rsidP="00B704D7">
            <w:pPr>
              <w:pStyle w:val="braytabletext"/>
              <w:jc w:val="right"/>
              <w:rPr>
                <w:i/>
                <w:szCs w:val="16"/>
              </w:rPr>
            </w:pPr>
            <w:r w:rsidRPr="00587AD8">
              <w:rPr>
                <w:i/>
                <w:szCs w:val="16"/>
              </w:rPr>
              <w:t>100</w:t>
            </w:r>
          </w:p>
        </w:tc>
        <w:tc>
          <w:tcPr>
            <w:tcW w:w="505" w:type="pct"/>
            <w:tcBorders>
              <w:top w:val="nil"/>
              <w:left w:val="nil"/>
              <w:bottom w:val="nil"/>
              <w:right w:val="nil"/>
            </w:tcBorders>
          </w:tcPr>
          <w:p w:rsidR="00B704D7" w:rsidRPr="00587AD8" w:rsidRDefault="00B704D7" w:rsidP="00B704D7">
            <w:pPr>
              <w:pStyle w:val="braytabletext"/>
              <w:jc w:val="right"/>
              <w:rPr>
                <w:i/>
                <w:szCs w:val="16"/>
              </w:rPr>
            </w:pPr>
            <w:r w:rsidRPr="00587AD8">
              <w:rPr>
                <w:i/>
                <w:szCs w:val="16"/>
              </w:rPr>
              <w:t>63</w:t>
            </w:r>
          </w:p>
        </w:tc>
        <w:tc>
          <w:tcPr>
            <w:tcW w:w="495" w:type="pct"/>
            <w:tcBorders>
              <w:top w:val="nil"/>
              <w:left w:val="nil"/>
              <w:bottom w:val="nil"/>
              <w:right w:val="nil"/>
            </w:tcBorders>
          </w:tcPr>
          <w:p w:rsidR="00B704D7" w:rsidRPr="00587AD8" w:rsidRDefault="00B704D7" w:rsidP="00B704D7">
            <w:pPr>
              <w:pStyle w:val="braytabletext"/>
              <w:jc w:val="right"/>
              <w:rPr>
                <w:i/>
                <w:szCs w:val="16"/>
              </w:rPr>
            </w:pPr>
            <w:r w:rsidRPr="00587AD8">
              <w:rPr>
                <w:i/>
                <w:szCs w:val="16"/>
              </w:rPr>
              <w:t>12</w:t>
            </w:r>
            <w:r w:rsidR="00DD04B0" w:rsidRPr="00587AD8">
              <w:rPr>
                <w:i/>
                <w:szCs w:val="16"/>
              </w:rPr>
              <w:t> </w:t>
            </w:r>
            <w:r w:rsidRPr="00587AD8">
              <w:rPr>
                <w:i/>
                <w:szCs w:val="16"/>
              </w:rPr>
              <w:t>665</w:t>
            </w:r>
          </w:p>
        </w:tc>
      </w:tr>
      <w:tr w:rsidR="00B704D7" w:rsidRPr="00847CCC" w:rsidTr="00847CCC">
        <w:trPr>
          <w:trHeight w:val="290"/>
          <w:jc w:val="right"/>
        </w:trPr>
        <w:tc>
          <w:tcPr>
            <w:tcW w:w="1890" w:type="pct"/>
            <w:gridSpan w:val="2"/>
            <w:tcBorders>
              <w:top w:val="nil"/>
              <w:left w:val="nil"/>
              <w:bottom w:val="nil"/>
              <w:right w:val="nil"/>
            </w:tcBorders>
          </w:tcPr>
          <w:p w:rsidR="00B704D7" w:rsidRPr="00847CCC" w:rsidRDefault="00B704D7" w:rsidP="0094734B">
            <w:pPr>
              <w:pStyle w:val="braytabletext"/>
              <w:rPr>
                <w:szCs w:val="16"/>
              </w:rPr>
            </w:pPr>
            <w:r w:rsidRPr="00847CCC">
              <w:rPr>
                <w:szCs w:val="16"/>
              </w:rPr>
              <w:t>Not on CIM because of exemption</w:t>
            </w:r>
          </w:p>
        </w:tc>
        <w:tc>
          <w:tcPr>
            <w:tcW w:w="594" w:type="pct"/>
            <w:tcBorders>
              <w:top w:val="nil"/>
              <w:left w:val="nil"/>
              <w:bottom w:val="nil"/>
              <w:right w:val="nil"/>
            </w:tcBorders>
          </w:tcPr>
          <w:p w:rsidR="00B704D7" w:rsidRPr="00847CCC" w:rsidRDefault="00B704D7" w:rsidP="00B704D7">
            <w:pPr>
              <w:pStyle w:val="braytabletext"/>
              <w:jc w:val="right"/>
              <w:rPr>
                <w:szCs w:val="16"/>
              </w:rPr>
            </w:pPr>
            <w:r w:rsidRPr="00847CCC">
              <w:rPr>
                <w:szCs w:val="16"/>
              </w:rPr>
              <w:t>1</w:t>
            </w:r>
            <w:r w:rsidR="007A7F5C" w:rsidRPr="00847CCC">
              <w:rPr>
                <w:szCs w:val="16"/>
              </w:rPr>
              <w:t xml:space="preserve"> </w:t>
            </w:r>
            <w:r w:rsidRPr="00847CCC">
              <w:rPr>
                <w:szCs w:val="16"/>
              </w:rPr>
              <w:t>269</w:t>
            </w:r>
          </w:p>
        </w:tc>
        <w:tc>
          <w:tcPr>
            <w:tcW w:w="505" w:type="pct"/>
            <w:tcBorders>
              <w:top w:val="nil"/>
              <w:left w:val="nil"/>
              <w:bottom w:val="nil"/>
              <w:right w:val="nil"/>
            </w:tcBorders>
          </w:tcPr>
          <w:p w:rsidR="00B704D7" w:rsidRPr="00847CCC" w:rsidRDefault="00B704D7" w:rsidP="00B704D7">
            <w:pPr>
              <w:pStyle w:val="braytabletext"/>
              <w:jc w:val="right"/>
              <w:rPr>
                <w:szCs w:val="16"/>
              </w:rPr>
            </w:pPr>
            <w:r w:rsidRPr="00847CCC">
              <w:rPr>
                <w:szCs w:val="16"/>
              </w:rPr>
              <w:t>96</w:t>
            </w:r>
          </w:p>
        </w:tc>
        <w:tc>
          <w:tcPr>
            <w:tcW w:w="505" w:type="pct"/>
            <w:tcBorders>
              <w:top w:val="nil"/>
              <w:left w:val="nil"/>
              <w:bottom w:val="nil"/>
              <w:right w:val="nil"/>
            </w:tcBorders>
          </w:tcPr>
          <w:p w:rsidR="00B704D7" w:rsidRPr="00847CCC" w:rsidRDefault="00B704D7" w:rsidP="00B704D7">
            <w:pPr>
              <w:pStyle w:val="braytabletext"/>
              <w:jc w:val="right"/>
              <w:rPr>
                <w:szCs w:val="16"/>
              </w:rPr>
            </w:pPr>
            <w:r w:rsidRPr="00847CCC">
              <w:rPr>
                <w:szCs w:val="16"/>
              </w:rPr>
              <w:t>55</w:t>
            </w:r>
          </w:p>
        </w:tc>
        <w:tc>
          <w:tcPr>
            <w:tcW w:w="505" w:type="pct"/>
            <w:tcBorders>
              <w:top w:val="nil"/>
              <w:left w:val="nil"/>
              <w:bottom w:val="nil"/>
              <w:right w:val="nil"/>
            </w:tcBorders>
          </w:tcPr>
          <w:p w:rsidR="00B704D7" w:rsidRPr="00847CCC" w:rsidRDefault="00B704D7" w:rsidP="00B704D7">
            <w:pPr>
              <w:pStyle w:val="braytabletext"/>
              <w:jc w:val="right"/>
              <w:rPr>
                <w:szCs w:val="16"/>
              </w:rPr>
            </w:pPr>
            <w:r w:rsidRPr="00847CCC">
              <w:rPr>
                <w:szCs w:val="16"/>
              </w:rPr>
              <w:t>63</w:t>
            </w:r>
          </w:p>
        </w:tc>
        <w:tc>
          <w:tcPr>
            <w:tcW w:w="505" w:type="pct"/>
            <w:tcBorders>
              <w:top w:val="nil"/>
              <w:left w:val="nil"/>
              <w:bottom w:val="nil"/>
              <w:right w:val="nil"/>
            </w:tcBorders>
          </w:tcPr>
          <w:p w:rsidR="00B704D7" w:rsidRPr="00847CCC" w:rsidRDefault="00B704D7" w:rsidP="00B704D7">
            <w:pPr>
              <w:pStyle w:val="braytabletext"/>
              <w:jc w:val="right"/>
              <w:rPr>
                <w:szCs w:val="16"/>
              </w:rPr>
            </w:pPr>
            <w:r w:rsidRPr="00847CCC">
              <w:rPr>
                <w:szCs w:val="16"/>
              </w:rPr>
              <w:t>53</w:t>
            </w:r>
          </w:p>
        </w:tc>
        <w:tc>
          <w:tcPr>
            <w:tcW w:w="495" w:type="pct"/>
            <w:tcBorders>
              <w:top w:val="nil"/>
              <w:left w:val="nil"/>
              <w:bottom w:val="nil"/>
              <w:right w:val="nil"/>
            </w:tcBorders>
          </w:tcPr>
          <w:p w:rsidR="00B704D7" w:rsidRPr="00847CCC" w:rsidRDefault="00B704D7" w:rsidP="00B704D7">
            <w:pPr>
              <w:pStyle w:val="braytabletext"/>
              <w:jc w:val="right"/>
              <w:rPr>
                <w:szCs w:val="16"/>
              </w:rPr>
            </w:pPr>
            <w:r w:rsidRPr="00847CCC">
              <w:rPr>
                <w:szCs w:val="16"/>
              </w:rPr>
              <w:t>1</w:t>
            </w:r>
            <w:r w:rsidR="00DD04B0" w:rsidRPr="00847CCC">
              <w:rPr>
                <w:szCs w:val="16"/>
              </w:rPr>
              <w:t> </w:t>
            </w:r>
            <w:r w:rsidRPr="00847CCC">
              <w:rPr>
                <w:szCs w:val="16"/>
              </w:rPr>
              <w:t>536</w:t>
            </w:r>
          </w:p>
        </w:tc>
      </w:tr>
      <w:tr w:rsidR="00B704D7" w:rsidRPr="00847CCC" w:rsidTr="00847CCC">
        <w:trPr>
          <w:trHeight w:val="290"/>
          <w:jc w:val="right"/>
        </w:trPr>
        <w:tc>
          <w:tcPr>
            <w:tcW w:w="1890" w:type="pct"/>
            <w:gridSpan w:val="2"/>
            <w:tcBorders>
              <w:top w:val="nil"/>
              <w:left w:val="nil"/>
              <w:bottom w:val="single" w:sz="4" w:space="0" w:color="auto"/>
              <w:right w:val="nil"/>
            </w:tcBorders>
          </w:tcPr>
          <w:p w:rsidR="00B704D7" w:rsidRPr="00847CCC" w:rsidRDefault="00B704D7" w:rsidP="00357105">
            <w:pPr>
              <w:pStyle w:val="braytabletext"/>
              <w:rPr>
                <w:szCs w:val="16"/>
              </w:rPr>
            </w:pPr>
            <w:r w:rsidRPr="00847CCC">
              <w:rPr>
                <w:szCs w:val="16"/>
              </w:rPr>
              <w:t>Total compulsory incl</w:t>
            </w:r>
            <w:r w:rsidR="00357105" w:rsidRPr="00847CCC">
              <w:rPr>
                <w:szCs w:val="16"/>
              </w:rPr>
              <w:t>uding</w:t>
            </w:r>
            <w:r w:rsidRPr="00847CCC">
              <w:rPr>
                <w:szCs w:val="16"/>
              </w:rPr>
              <w:t xml:space="preserve"> exemption</w:t>
            </w:r>
          </w:p>
        </w:tc>
        <w:tc>
          <w:tcPr>
            <w:tcW w:w="594" w:type="pct"/>
            <w:tcBorders>
              <w:top w:val="nil"/>
              <w:left w:val="nil"/>
              <w:bottom w:val="single" w:sz="4" w:space="0" w:color="auto"/>
              <w:right w:val="nil"/>
            </w:tcBorders>
          </w:tcPr>
          <w:p w:rsidR="00B704D7" w:rsidRPr="00847CCC" w:rsidRDefault="00B704D7" w:rsidP="00B704D7">
            <w:pPr>
              <w:pStyle w:val="braytabletext"/>
              <w:jc w:val="right"/>
              <w:rPr>
                <w:szCs w:val="16"/>
              </w:rPr>
            </w:pPr>
            <w:r w:rsidRPr="00847CCC">
              <w:rPr>
                <w:szCs w:val="16"/>
              </w:rPr>
              <w:t>12</w:t>
            </w:r>
            <w:r w:rsidR="007A7F5C" w:rsidRPr="00847CCC">
              <w:rPr>
                <w:szCs w:val="16"/>
              </w:rPr>
              <w:t xml:space="preserve"> </w:t>
            </w:r>
            <w:r w:rsidRPr="00847CCC">
              <w:rPr>
                <w:szCs w:val="16"/>
              </w:rPr>
              <w:t>985</w:t>
            </w:r>
          </w:p>
        </w:tc>
        <w:tc>
          <w:tcPr>
            <w:tcW w:w="505" w:type="pct"/>
            <w:tcBorders>
              <w:top w:val="nil"/>
              <w:left w:val="nil"/>
              <w:bottom w:val="single" w:sz="4" w:space="0" w:color="auto"/>
              <w:right w:val="nil"/>
            </w:tcBorders>
          </w:tcPr>
          <w:p w:rsidR="00B704D7" w:rsidRPr="00847CCC" w:rsidRDefault="00B704D7" w:rsidP="00B704D7">
            <w:pPr>
              <w:pStyle w:val="braytabletext"/>
              <w:jc w:val="right"/>
              <w:rPr>
                <w:szCs w:val="16"/>
              </w:rPr>
            </w:pPr>
            <w:r w:rsidRPr="00847CCC">
              <w:rPr>
                <w:szCs w:val="16"/>
              </w:rPr>
              <w:t>809</w:t>
            </w:r>
          </w:p>
        </w:tc>
        <w:tc>
          <w:tcPr>
            <w:tcW w:w="505" w:type="pct"/>
            <w:tcBorders>
              <w:top w:val="nil"/>
              <w:left w:val="nil"/>
              <w:bottom w:val="single" w:sz="4" w:space="0" w:color="auto"/>
              <w:right w:val="nil"/>
            </w:tcBorders>
          </w:tcPr>
          <w:p w:rsidR="00B704D7" w:rsidRPr="00847CCC" w:rsidRDefault="00B704D7" w:rsidP="00B704D7">
            <w:pPr>
              <w:pStyle w:val="braytabletext"/>
              <w:jc w:val="right"/>
              <w:rPr>
                <w:szCs w:val="16"/>
              </w:rPr>
            </w:pPr>
            <w:r w:rsidRPr="00847CCC">
              <w:rPr>
                <w:szCs w:val="16"/>
              </w:rPr>
              <w:t>128</w:t>
            </w:r>
          </w:p>
        </w:tc>
        <w:tc>
          <w:tcPr>
            <w:tcW w:w="505" w:type="pct"/>
            <w:tcBorders>
              <w:top w:val="nil"/>
              <w:left w:val="nil"/>
              <w:bottom w:val="single" w:sz="4" w:space="0" w:color="auto"/>
              <w:right w:val="nil"/>
            </w:tcBorders>
          </w:tcPr>
          <w:p w:rsidR="00B704D7" w:rsidRPr="00847CCC" w:rsidRDefault="00B704D7" w:rsidP="00B704D7">
            <w:pPr>
              <w:pStyle w:val="braytabletext"/>
              <w:jc w:val="right"/>
              <w:rPr>
                <w:szCs w:val="16"/>
              </w:rPr>
            </w:pPr>
            <w:r w:rsidRPr="00847CCC">
              <w:rPr>
                <w:szCs w:val="16"/>
              </w:rPr>
              <w:t>163</w:t>
            </w:r>
          </w:p>
        </w:tc>
        <w:tc>
          <w:tcPr>
            <w:tcW w:w="505" w:type="pct"/>
            <w:tcBorders>
              <w:top w:val="nil"/>
              <w:left w:val="nil"/>
              <w:bottom w:val="single" w:sz="4" w:space="0" w:color="auto"/>
              <w:right w:val="nil"/>
            </w:tcBorders>
          </w:tcPr>
          <w:p w:rsidR="00B704D7" w:rsidRPr="00847CCC" w:rsidRDefault="00B704D7" w:rsidP="00B704D7">
            <w:pPr>
              <w:pStyle w:val="braytabletext"/>
              <w:jc w:val="right"/>
              <w:rPr>
                <w:szCs w:val="16"/>
              </w:rPr>
            </w:pPr>
            <w:r w:rsidRPr="00847CCC">
              <w:rPr>
                <w:szCs w:val="16"/>
              </w:rPr>
              <w:t>116</w:t>
            </w:r>
          </w:p>
        </w:tc>
        <w:tc>
          <w:tcPr>
            <w:tcW w:w="495" w:type="pct"/>
            <w:tcBorders>
              <w:top w:val="nil"/>
              <w:left w:val="nil"/>
              <w:bottom w:val="single" w:sz="4" w:space="0" w:color="auto"/>
              <w:right w:val="nil"/>
            </w:tcBorders>
          </w:tcPr>
          <w:p w:rsidR="00B704D7" w:rsidRPr="00847CCC" w:rsidRDefault="00B704D7" w:rsidP="00B704D7">
            <w:pPr>
              <w:pStyle w:val="braytabletext"/>
              <w:jc w:val="right"/>
              <w:rPr>
                <w:szCs w:val="16"/>
              </w:rPr>
            </w:pPr>
            <w:r w:rsidRPr="00847CCC">
              <w:rPr>
                <w:szCs w:val="16"/>
              </w:rPr>
              <w:t>14</w:t>
            </w:r>
            <w:r w:rsidR="00DD04B0" w:rsidRPr="00847CCC">
              <w:rPr>
                <w:szCs w:val="16"/>
              </w:rPr>
              <w:t> </w:t>
            </w:r>
            <w:r w:rsidRPr="00847CCC">
              <w:rPr>
                <w:szCs w:val="16"/>
              </w:rPr>
              <w:t>201</w:t>
            </w:r>
          </w:p>
        </w:tc>
      </w:tr>
      <w:tr w:rsidR="0094734B" w:rsidRPr="00847CCC" w:rsidTr="00783DF8">
        <w:trPr>
          <w:trHeight w:val="290"/>
          <w:jc w:val="right"/>
        </w:trPr>
        <w:tc>
          <w:tcPr>
            <w:tcW w:w="1890" w:type="pct"/>
            <w:gridSpan w:val="2"/>
            <w:tcBorders>
              <w:top w:val="single" w:sz="4" w:space="0" w:color="auto"/>
              <w:left w:val="nil"/>
              <w:bottom w:val="nil"/>
              <w:right w:val="nil"/>
            </w:tcBorders>
          </w:tcPr>
          <w:p w:rsidR="0094734B" w:rsidRPr="00847CCC" w:rsidRDefault="0094734B" w:rsidP="0094734B">
            <w:pPr>
              <w:pStyle w:val="braytabletext"/>
              <w:rPr>
                <w:szCs w:val="16"/>
              </w:rPr>
            </w:pPr>
          </w:p>
        </w:tc>
        <w:tc>
          <w:tcPr>
            <w:tcW w:w="3110" w:type="pct"/>
            <w:gridSpan w:val="6"/>
            <w:tcBorders>
              <w:top w:val="single" w:sz="4" w:space="0" w:color="auto"/>
              <w:left w:val="nil"/>
              <w:bottom w:val="nil"/>
              <w:right w:val="nil"/>
            </w:tcBorders>
            <w:vAlign w:val="center"/>
          </w:tcPr>
          <w:p w:rsidR="0094734B" w:rsidRPr="00847CCC" w:rsidRDefault="0094734B" w:rsidP="00783DF8">
            <w:pPr>
              <w:pStyle w:val="braytabletext"/>
              <w:jc w:val="center"/>
              <w:rPr>
                <w:szCs w:val="16"/>
              </w:rPr>
            </w:pPr>
            <w:r w:rsidRPr="00847CCC">
              <w:rPr>
                <w:szCs w:val="16"/>
              </w:rPr>
              <w:t>- % -</w:t>
            </w:r>
          </w:p>
        </w:tc>
      </w:tr>
      <w:tr w:rsidR="00B704D7" w:rsidRPr="00847CCC" w:rsidTr="00847CCC">
        <w:trPr>
          <w:trHeight w:val="290"/>
          <w:jc w:val="right"/>
        </w:trPr>
        <w:tc>
          <w:tcPr>
            <w:tcW w:w="1890" w:type="pct"/>
            <w:gridSpan w:val="2"/>
            <w:tcBorders>
              <w:top w:val="nil"/>
              <w:left w:val="nil"/>
              <w:bottom w:val="nil"/>
              <w:right w:val="nil"/>
            </w:tcBorders>
          </w:tcPr>
          <w:p w:rsidR="00B704D7" w:rsidRPr="00847CCC" w:rsidRDefault="00B704D7" w:rsidP="0094734B">
            <w:pPr>
              <w:pStyle w:val="braytabletext"/>
              <w:rPr>
                <w:szCs w:val="16"/>
              </w:rPr>
            </w:pPr>
            <w:r w:rsidRPr="00847CCC">
              <w:rPr>
                <w:szCs w:val="16"/>
              </w:rPr>
              <w:t>Per cent with exemption</w:t>
            </w:r>
          </w:p>
        </w:tc>
        <w:tc>
          <w:tcPr>
            <w:tcW w:w="594" w:type="pct"/>
            <w:tcBorders>
              <w:top w:val="nil"/>
              <w:left w:val="nil"/>
              <w:bottom w:val="nil"/>
              <w:right w:val="nil"/>
            </w:tcBorders>
          </w:tcPr>
          <w:p w:rsidR="00B704D7" w:rsidRPr="00847CCC" w:rsidRDefault="00B704D7" w:rsidP="00B704D7">
            <w:pPr>
              <w:pStyle w:val="braytabletext"/>
              <w:jc w:val="right"/>
              <w:rPr>
                <w:szCs w:val="16"/>
              </w:rPr>
            </w:pPr>
            <w:r w:rsidRPr="00847CCC">
              <w:rPr>
                <w:szCs w:val="16"/>
              </w:rPr>
              <w:t>9.9</w:t>
            </w:r>
          </w:p>
        </w:tc>
        <w:tc>
          <w:tcPr>
            <w:tcW w:w="505" w:type="pct"/>
            <w:tcBorders>
              <w:top w:val="nil"/>
              <w:left w:val="nil"/>
              <w:bottom w:val="nil"/>
              <w:right w:val="nil"/>
            </w:tcBorders>
          </w:tcPr>
          <w:p w:rsidR="00B704D7" w:rsidRPr="00847CCC" w:rsidRDefault="00B704D7" w:rsidP="00B704D7">
            <w:pPr>
              <w:pStyle w:val="braytabletext"/>
              <w:jc w:val="right"/>
              <w:rPr>
                <w:szCs w:val="16"/>
              </w:rPr>
            </w:pPr>
            <w:r w:rsidRPr="00847CCC">
              <w:rPr>
                <w:szCs w:val="16"/>
              </w:rPr>
              <w:t>11.9</w:t>
            </w:r>
          </w:p>
        </w:tc>
        <w:tc>
          <w:tcPr>
            <w:tcW w:w="505" w:type="pct"/>
            <w:tcBorders>
              <w:top w:val="nil"/>
              <w:left w:val="nil"/>
              <w:bottom w:val="nil"/>
              <w:right w:val="nil"/>
            </w:tcBorders>
          </w:tcPr>
          <w:p w:rsidR="00B704D7" w:rsidRPr="00847CCC" w:rsidRDefault="00B704D7" w:rsidP="00B704D7">
            <w:pPr>
              <w:pStyle w:val="braytabletext"/>
              <w:jc w:val="right"/>
              <w:rPr>
                <w:szCs w:val="16"/>
              </w:rPr>
            </w:pPr>
            <w:r w:rsidRPr="00847CCC">
              <w:rPr>
                <w:szCs w:val="16"/>
              </w:rPr>
              <w:t>43.0</w:t>
            </w:r>
          </w:p>
        </w:tc>
        <w:tc>
          <w:tcPr>
            <w:tcW w:w="505" w:type="pct"/>
            <w:tcBorders>
              <w:top w:val="nil"/>
              <w:left w:val="nil"/>
              <w:bottom w:val="nil"/>
              <w:right w:val="nil"/>
            </w:tcBorders>
          </w:tcPr>
          <w:p w:rsidR="00B704D7" w:rsidRPr="00847CCC" w:rsidRDefault="00B704D7" w:rsidP="00B704D7">
            <w:pPr>
              <w:pStyle w:val="braytabletext"/>
              <w:jc w:val="right"/>
              <w:rPr>
                <w:szCs w:val="16"/>
              </w:rPr>
            </w:pPr>
            <w:r w:rsidRPr="00847CCC">
              <w:rPr>
                <w:szCs w:val="16"/>
              </w:rPr>
              <w:t>38.7</w:t>
            </w:r>
          </w:p>
        </w:tc>
        <w:tc>
          <w:tcPr>
            <w:tcW w:w="505" w:type="pct"/>
            <w:tcBorders>
              <w:top w:val="nil"/>
              <w:left w:val="nil"/>
              <w:bottom w:val="nil"/>
              <w:right w:val="nil"/>
            </w:tcBorders>
          </w:tcPr>
          <w:p w:rsidR="00B704D7" w:rsidRPr="00847CCC" w:rsidRDefault="00B704D7" w:rsidP="00B704D7">
            <w:pPr>
              <w:pStyle w:val="braytabletext"/>
              <w:jc w:val="right"/>
              <w:rPr>
                <w:szCs w:val="16"/>
              </w:rPr>
            </w:pPr>
            <w:r w:rsidRPr="00847CCC">
              <w:rPr>
                <w:szCs w:val="16"/>
              </w:rPr>
              <w:t>45.7</w:t>
            </w:r>
          </w:p>
        </w:tc>
        <w:tc>
          <w:tcPr>
            <w:tcW w:w="495" w:type="pct"/>
            <w:tcBorders>
              <w:top w:val="nil"/>
              <w:left w:val="nil"/>
              <w:bottom w:val="nil"/>
              <w:right w:val="nil"/>
            </w:tcBorders>
          </w:tcPr>
          <w:p w:rsidR="00B704D7" w:rsidRPr="00847CCC" w:rsidRDefault="00B704D7" w:rsidP="00B704D7">
            <w:pPr>
              <w:pStyle w:val="braytabletext"/>
              <w:jc w:val="right"/>
              <w:rPr>
                <w:szCs w:val="16"/>
              </w:rPr>
            </w:pPr>
            <w:r w:rsidRPr="00847CCC">
              <w:rPr>
                <w:szCs w:val="16"/>
              </w:rPr>
              <w:t>10.9</w:t>
            </w:r>
          </w:p>
        </w:tc>
      </w:tr>
      <w:tr w:rsidR="00B704D7" w:rsidRPr="00847CCC" w:rsidTr="00847CCC">
        <w:trPr>
          <w:trHeight w:val="290"/>
          <w:jc w:val="right"/>
        </w:trPr>
        <w:tc>
          <w:tcPr>
            <w:tcW w:w="1890" w:type="pct"/>
            <w:gridSpan w:val="2"/>
            <w:tcBorders>
              <w:top w:val="nil"/>
              <w:left w:val="nil"/>
              <w:bottom w:val="nil"/>
              <w:right w:val="nil"/>
            </w:tcBorders>
          </w:tcPr>
          <w:p w:rsidR="00B704D7" w:rsidRPr="00847CCC" w:rsidRDefault="00B704D7" w:rsidP="0094734B">
            <w:pPr>
              <w:pStyle w:val="braytabletext"/>
              <w:rPr>
                <w:szCs w:val="16"/>
              </w:rPr>
            </w:pPr>
            <w:r w:rsidRPr="00847CCC">
              <w:rPr>
                <w:szCs w:val="16"/>
              </w:rPr>
              <w:t>Per cent applied for exemption</w:t>
            </w:r>
          </w:p>
        </w:tc>
        <w:tc>
          <w:tcPr>
            <w:tcW w:w="594" w:type="pct"/>
            <w:tcBorders>
              <w:top w:val="nil"/>
              <w:left w:val="nil"/>
              <w:bottom w:val="nil"/>
              <w:right w:val="nil"/>
            </w:tcBorders>
          </w:tcPr>
          <w:p w:rsidR="00B704D7" w:rsidRPr="00847CCC" w:rsidRDefault="00B704D7" w:rsidP="00B704D7">
            <w:pPr>
              <w:pStyle w:val="braytabletext"/>
              <w:jc w:val="right"/>
              <w:rPr>
                <w:szCs w:val="16"/>
              </w:rPr>
            </w:pPr>
            <w:r w:rsidRPr="00847CCC">
              <w:rPr>
                <w:szCs w:val="16"/>
              </w:rPr>
              <w:t>18.6</w:t>
            </w:r>
          </w:p>
        </w:tc>
        <w:tc>
          <w:tcPr>
            <w:tcW w:w="505" w:type="pct"/>
            <w:tcBorders>
              <w:top w:val="nil"/>
              <w:left w:val="nil"/>
              <w:bottom w:val="nil"/>
              <w:right w:val="nil"/>
            </w:tcBorders>
          </w:tcPr>
          <w:p w:rsidR="00B704D7" w:rsidRPr="00847CCC" w:rsidRDefault="00B704D7" w:rsidP="00B704D7">
            <w:pPr>
              <w:pStyle w:val="braytabletext"/>
              <w:jc w:val="right"/>
              <w:rPr>
                <w:szCs w:val="16"/>
              </w:rPr>
            </w:pPr>
            <w:r w:rsidRPr="00847CCC">
              <w:rPr>
                <w:szCs w:val="16"/>
              </w:rPr>
              <w:t>17.3</w:t>
            </w:r>
          </w:p>
        </w:tc>
        <w:tc>
          <w:tcPr>
            <w:tcW w:w="505" w:type="pct"/>
            <w:tcBorders>
              <w:top w:val="nil"/>
              <w:left w:val="nil"/>
              <w:bottom w:val="nil"/>
              <w:right w:val="nil"/>
            </w:tcBorders>
          </w:tcPr>
          <w:p w:rsidR="00B704D7" w:rsidRPr="00847CCC" w:rsidRDefault="00B704D7" w:rsidP="00B704D7">
            <w:pPr>
              <w:pStyle w:val="braytabletext"/>
              <w:jc w:val="right"/>
              <w:rPr>
                <w:szCs w:val="16"/>
              </w:rPr>
            </w:pPr>
            <w:r w:rsidRPr="00847CCC">
              <w:rPr>
                <w:szCs w:val="16"/>
              </w:rPr>
              <w:t>55.5</w:t>
            </w:r>
          </w:p>
        </w:tc>
        <w:tc>
          <w:tcPr>
            <w:tcW w:w="505" w:type="pct"/>
            <w:tcBorders>
              <w:top w:val="nil"/>
              <w:left w:val="nil"/>
              <w:bottom w:val="nil"/>
              <w:right w:val="nil"/>
            </w:tcBorders>
          </w:tcPr>
          <w:p w:rsidR="00B704D7" w:rsidRPr="00847CCC" w:rsidRDefault="00B704D7" w:rsidP="00B704D7">
            <w:pPr>
              <w:pStyle w:val="braytabletext"/>
              <w:jc w:val="right"/>
              <w:rPr>
                <w:szCs w:val="16"/>
              </w:rPr>
            </w:pPr>
            <w:r w:rsidRPr="00847CCC">
              <w:rPr>
                <w:szCs w:val="16"/>
              </w:rPr>
              <w:t>52.8</w:t>
            </w:r>
          </w:p>
        </w:tc>
        <w:tc>
          <w:tcPr>
            <w:tcW w:w="505" w:type="pct"/>
            <w:tcBorders>
              <w:top w:val="nil"/>
              <w:left w:val="nil"/>
              <w:bottom w:val="nil"/>
              <w:right w:val="nil"/>
            </w:tcBorders>
          </w:tcPr>
          <w:p w:rsidR="00B704D7" w:rsidRPr="00847CCC" w:rsidRDefault="00B704D7" w:rsidP="00B704D7">
            <w:pPr>
              <w:pStyle w:val="braytabletext"/>
              <w:jc w:val="right"/>
              <w:rPr>
                <w:szCs w:val="16"/>
              </w:rPr>
            </w:pPr>
            <w:r w:rsidRPr="00847CCC">
              <w:rPr>
                <w:szCs w:val="16"/>
              </w:rPr>
              <w:t>58.6</w:t>
            </w:r>
          </w:p>
        </w:tc>
        <w:tc>
          <w:tcPr>
            <w:tcW w:w="495" w:type="pct"/>
            <w:tcBorders>
              <w:top w:val="nil"/>
              <w:left w:val="nil"/>
              <w:bottom w:val="nil"/>
              <w:right w:val="nil"/>
            </w:tcBorders>
          </w:tcPr>
          <w:p w:rsidR="00B704D7" w:rsidRPr="00847CCC" w:rsidRDefault="00B704D7" w:rsidP="00B704D7">
            <w:pPr>
              <w:pStyle w:val="braytabletext"/>
              <w:jc w:val="right"/>
              <w:rPr>
                <w:szCs w:val="16"/>
              </w:rPr>
            </w:pPr>
            <w:r w:rsidRPr="00847CCC">
              <w:rPr>
                <w:szCs w:val="16"/>
              </w:rPr>
              <w:t>19.6</w:t>
            </w:r>
          </w:p>
        </w:tc>
      </w:tr>
      <w:tr w:rsidR="00B704D7" w:rsidRPr="00847CCC" w:rsidTr="00847CCC">
        <w:trPr>
          <w:trHeight w:val="290"/>
          <w:jc w:val="right"/>
        </w:trPr>
        <w:tc>
          <w:tcPr>
            <w:tcW w:w="1890" w:type="pct"/>
            <w:gridSpan w:val="2"/>
            <w:tcBorders>
              <w:top w:val="nil"/>
              <w:left w:val="nil"/>
              <w:right w:val="nil"/>
            </w:tcBorders>
          </w:tcPr>
          <w:p w:rsidR="00B704D7" w:rsidRPr="00847CCC" w:rsidRDefault="00B704D7" w:rsidP="0094734B">
            <w:pPr>
              <w:pStyle w:val="braytabletext"/>
              <w:rPr>
                <w:szCs w:val="16"/>
              </w:rPr>
            </w:pPr>
            <w:r w:rsidRPr="00847CCC">
              <w:rPr>
                <w:szCs w:val="16"/>
              </w:rPr>
              <w:t>Per cent successful</w:t>
            </w:r>
          </w:p>
        </w:tc>
        <w:tc>
          <w:tcPr>
            <w:tcW w:w="594" w:type="pct"/>
            <w:tcBorders>
              <w:top w:val="nil"/>
              <w:left w:val="nil"/>
              <w:right w:val="nil"/>
            </w:tcBorders>
          </w:tcPr>
          <w:p w:rsidR="00B704D7" w:rsidRPr="00847CCC" w:rsidRDefault="00B704D7" w:rsidP="00B704D7">
            <w:pPr>
              <w:pStyle w:val="braytabletext"/>
              <w:jc w:val="right"/>
              <w:rPr>
                <w:szCs w:val="16"/>
              </w:rPr>
            </w:pPr>
            <w:r w:rsidRPr="00847CCC">
              <w:rPr>
                <w:szCs w:val="16"/>
              </w:rPr>
              <w:t>53.1</w:t>
            </w:r>
          </w:p>
        </w:tc>
        <w:tc>
          <w:tcPr>
            <w:tcW w:w="505" w:type="pct"/>
            <w:tcBorders>
              <w:top w:val="nil"/>
              <w:left w:val="nil"/>
              <w:right w:val="nil"/>
            </w:tcBorders>
          </w:tcPr>
          <w:p w:rsidR="00B704D7" w:rsidRPr="00847CCC" w:rsidRDefault="00B704D7" w:rsidP="00B704D7">
            <w:pPr>
              <w:pStyle w:val="braytabletext"/>
              <w:jc w:val="right"/>
              <w:rPr>
                <w:szCs w:val="16"/>
              </w:rPr>
            </w:pPr>
            <w:r w:rsidRPr="00847CCC">
              <w:rPr>
                <w:szCs w:val="16"/>
              </w:rPr>
              <w:t>68.6</w:t>
            </w:r>
          </w:p>
        </w:tc>
        <w:tc>
          <w:tcPr>
            <w:tcW w:w="505" w:type="pct"/>
            <w:tcBorders>
              <w:top w:val="nil"/>
              <w:left w:val="nil"/>
              <w:right w:val="nil"/>
            </w:tcBorders>
          </w:tcPr>
          <w:p w:rsidR="00B704D7" w:rsidRPr="00847CCC" w:rsidRDefault="00B704D7" w:rsidP="00B704D7">
            <w:pPr>
              <w:pStyle w:val="braytabletext"/>
              <w:jc w:val="right"/>
              <w:rPr>
                <w:szCs w:val="16"/>
              </w:rPr>
            </w:pPr>
            <w:r w:rsidRPr="00847CCC">
              <w:rPr>
                <w:szCs w:val="16"/>
              </w:rPr>
              <w:t>77.5</w:t>
            </w:r>
          </w:p>
        </w:tc>
        <w:tc>
          <w:tcPr>
            <w:tcW w:w="505" w:type="pct"/>
            <w:tcBorders>
              <w:top w:val="nil"/>
              <w:left w:val="nil"/>
              <w:right w:val="nil"/>
            </w:tcBorders>
          </w:tcPr>
          <w:p w:rsidR="00B704D7" w:rsidRPr="00847CCC" w:rsidRDefault="00B704D7" w:rsidP="00B704D7">
            <w:pPr>
              <w:pStyle w:val="braytabletext"/>
              <w:jc w:val="right"/>
              <w:rPr>
                <w:szCs w:val="16"/>
              </w:rPr>
            </w:pPr>
            <w:r w:rsidRPr="00847CCC">
              <w:rPr>
                <w:szCs w:val="16"/>
              </w:rPr>
              <w:t>73.3</w:t>
            </w:r>
          </w:p>
        </w:tc>
        <w:tc>
          <w:tcPr>
            <w:tcW w:w="505" w:type="pct"/>
            <w:tcBorders>
              <w:top w:val="nil"/>
              <w:left w:val="nil"/>
              <w:right w:val="nil"/>
            </w:tcBorders>
          </w:tcPr>
          <w:p w:rsidR="00B704D7" w:rsidRPr="00847CCC" w:rsidRDefault="00B704D7" w:rsidP="00B704D7">
            <w:pPr>
              <w:pStyle w:val="braytabletext"/>
              <w:jc w:val="right"/>
              <w:rPr>
                <w:szCs w:val="16"/>
              </w:rPr>
            </w:pPr>
            <w:r w:rsidRPr="00847CCC">
              <w:rPr>
                <w:szCs w:val="16"/>
              </w:rPr>
              <w:t>77.9</w:t>
            </w:r>
          </w:p>
        </w:tc>
        <w:tc>
          <w:tcPr>
            <w:tcW w:w="495" w:type="pct"/>
            <w:tcBorders>
              <w:top w:val="nil"/>
              <w:left w:val="nil"/>
              <w:right w:val="nil"/>
            </w:tcBorders>
          </w:tcPr>
          <w:p w:rsidR="00B704D7" w:rsidRPr="00847CCC" w:rsidRDefault="00B704D7" w:rsidP="00B704D7">
            <w:pPr>
              <w:pStyle w:val="braytabletext"/>
              <w:jc w:val="right"/>
              <w:rPr>
                <w:szCs w:val="16"/>
              </w:rPr>
            </w:pPr>
            <w:r w:rsidRPr="00847CCC">
              <w:rPr>
                <w:szCs w:val="16"/>
              </w:rPr>
              <w:t>55.8</w:t>
            </w:r>
          </w:p>
        </w:tc>
      </w:tr>
      <w:tr w:rsidR="00B704D7" w:rsidRPr="00847CCC" w:rsidTr="00847CCC">
        <w:trPr>
          <w:trHeight w:val="290"/>
          <w:jc w:val="right"/>
        </w:trPr>
        <w:tc>
          <w:tcPr>
            <w:tcW w:w="1890" w:type="pct"/>
            <w:gridSpan w:val="2"/>
            <w:tcBorders>
              <w:top w:val="nil"/>
              <w:left w:val="nil"/>
              <w:bottom w:val="single" w:sz="4" w:space="0" w:color="auto"/>
              <w:right w:val="nil"/>
            </w:tcBorders>
          </w:tcPr>
          <w:p w:rsidR="00B704D7" w:rsidRPr="00847CCC" w:rsidRDefault="00B704D7" w:rsidP="0094734B">
            <w:pPr>
              <w:pStyle w:val="braytabletext"/>
              <w:rPr>
                <w:szCs w:val="16"/>
              </w:rPr>
            </w:pPr>
            <w:r w:rsidRPr="00847CCC">
              <w:rPr>
                <w:szCs w:val="16"/>
              </w:rPr>
              <w:t>Per cent not withdrawn successful</w:t>
            </w:r>
          </w:p>
        </w:tc>
        <w:tc>
          <w:tcPr>
            <w:tcW w:w="594" w:type="pct"/>
            <w:tcBorders>
              <w:top w:val="nil"/>
              <w:left w:val="nil"/>
              <w:bottom w:val="single" w:sz="4" w:space="0" w:color="auto"/>
              <w:right w:val="nil"/>
            </w:tcBorders>
          </w:tcPr>
          <w:p w:rsidR="00B704D7" w:rsidRPr="00847CCC" w:rsidRDefault="00B704D7" w:rsidP="00B704D7">
            <w:pPr>
              <w:pStyle w:val="braytabletext"/>
              <w:jc w:val="right"/>
              <w:rPr>
                <w:szCs w:val="16"/>
              </w:rPr>
            </w:pPr>
            <w:r w:rsidRPr="00847CCC">
              <w:rPr>
                <w:szCs w:val="16"/>
              </w:rPr>
              <w:t>54.7</w:t>
            </w:r>
          </w:p>
        </w:tc>
        <w:tc>
          <w:tcPr>
            <w:tcW w:w="505" w:type="pct"/>
            <w:tcBorders>
              <w:top w:val="nil"/>
              <w:left w:val="nil"/>
              <w:bottom w:val="single" w:sz="4" w:space="0" w:color="auto"/>
              <w:right w:val="nil"/>
            </w:tcBorders>
          </w:tcPr>
          <w:p w:rsidR="00B704D7" w:rsidRPr="00847CCC" w:rsidRDefault="00B704D7" w:rsidP="00B704D7">
            <w:pPr>
              <w:pStyle w:val="braytabletext"/>
              <w:jc w:val="right"/>
              <w:rPr>
                <w:szCs w:val="16"/>
              </w:rPr>
            </w:pPr>
            <w:r w:rsidRPr="00847CCC">
              <w:rPr>
                <w:szCs w:val="16"/>
              </w:rPr>
              <w:t>71.1</w:t>
            </w:r>
          </w:p>
        </w:tc>
        <w:tc>
          <w:tcPr>
            <w:tcW w:w="505" w:type="pct"/>
            <w:tcBorders>
              <w:top w:val="nil"/>
              <w:left w:val="nil"/>
              <w:bottom w:val="single" w:sz="4" w:space="0" w:color="auto"/>
              <w:right w:val="nil"/>
            </w:tcBorders>
          </w:tcPr>
          <w:p w:rsidR="00B704D7" w:rsidRPr="00847CCC" w:rsidRDefault="00B704D7" w:rsidP="00B704D7">
            <w:pPr>
              <w:pStyle w:val="braytabletext"/>
              <w:jc w:val="right"/>
              <w:rPr>
                <w:szCs w:val="16"/>
              </w:rPr>
            </w:pPr>
            <w:r w:rsidRPr="00847CCC">
              <w:rPr>
                <w:szCs w:val="16"/>
              </w:rPr>
              <w:t>80.9</w:t>
            </w:r>
          </w:p>
        </w:tc>
        <w:tc>
          <w:tcPr>
            <w:tcW w:w="505" w:type="pct"/>
            <w:tcBorders>
              <w:top w:val="nil"/>
              <w:left w:val="nil"/>
              <w:bottom w:val="single" w:sz="4" w:space="0" w:color="auto"/>
              <w:right w:val="nil"/>
            </w:tcBorders>
          </w:tcPr>
          <w:p w:rsidR="00B704D7" w:rsidRPr="00847CCC" w:rsidRDefault="00B704D7" w:rsidP="00B704D7">
            <w:pPr>
              <w:pStyle w:val="braytabletext"/>
              <w:jc w:val="right"/>
              <w:rPr>
                <w:szCs w:val="16"/>
              </w:rPr>
            </w:pPr>
            <w:r w:rsidRPr="00847CCC">
              <w:rPr>
                <w:szCs w:val="16"/>
              </w:rPr>
              <w:t>74.1</w:t>
            </w:r>
          </w:p>
        </w:tc>
        <w:tc>
          <w:tcPr>
            <w:tcW w:w="505" w:type="pct"/>
            <w:tcBorders>
              <w:top w:val="nil"/>
              <w:left w:val="nil"/>
              <w:bottom w:val="single" w:sz="4" w:space="0" w:color="auto"/>
              <w:right w:val="nil"/>
            </w:tcBorders>
          </w:tcPr>
          <w:p w:rsidR="00B704D7" w:rsidRPr="00847CCC" w:rsidRDefault="00B704D7" w:rsidP="00B704D7">
            <w:pPr>
              <w:pStyle w:val="braytabletext"/>
              <w:jc w:val="right"/>
              <w:rPr>
                <w:szCs w:val="16"/>
              </w:rPr>
            </w:pPr>
            <w:r w:rsidRPr="00847CCC">
              <w:rPr>
                <w:szCs w:val="16"/>
              </w:rPr>
              <w:t>79.1</w:t>
            </w:r>
          </w:p>
        </w:tc>
        <w:tc>
          <w:tcPr>
            <w:tcW w:w="495" w:type="pct"/>
            <w:tcBorders>
              <w:top w:val="nil"/>
              <w:left w:val="nil"/>
              <w:bottom w:val="single" w:sz="4" w:space="0" w:color="auto"/>
              <w:right w:val="nil"/>
            </w:tcBorders>
          </w:tcPr>
          <w:p w:rsidR="00B704D7" w:rsidRPr="00847CCC" w:rsidRDefault="00B704D7" w:rsidP="00B704D7">
            <w:pPr>
              <w:pStyle w:val="braytabletext"/>
              <w:jc w:val="right"/>
              <w:rPr>
                <w:szCs w:val="16"/>
              </w:rPr>
            </w:pPr>
            <w:r w:rsidRPr="00847CCC">
              <w:rPr>
                <w:szCs w:val="16"/>
              </w:rPr>
              <w:t>57.4</w:t>
            </w:r>
          </w:p>
        </w:tc>
      </w:tr>
    </w:tbl>
    <w:p w:rsidR="00FF16A3" w:rsidRDefault="00DD04B0" w:rsidP="00CF78DB">
      <w:pPr>
        <w:pStyle w:val="tablefootnotes"/>
      </w:pPr>
      <w:r>
        <w:t>Note:</w:t>
      </w:r>
      <w:r>
        <w:tab/>
      </w:r>
    </w:p>
    <w:p w:rsidR="007A7F5C" w:rsidRDefault="00DD04B0" w:rsidP="00CF78DB">
      <w:pPr>
        <w:pStyle w:val="tablefootnotes"/>
      </w:pPr>
      <w:r>
        <w:t>(a)</w:t>
      </w:r>
      <w:r>
        <w:tab/>
      </w:r>
      <w:r w:rsidR="00273B1F">
        <w:t>Persons with c</w:t>
      </w:r>
      <w:r w:rsidR="00FF16A3">
        <w:t>ountry of birth not Australi</w:t>
      </w:r>
      <w:r w:rsidR="003075CB">
        <w:t>a</w:t>
      </w:r>
      <w:r w:rsidR="00FF16A3">
        <w:t xml:space="preserve"> but n</w:t>
      </w:r>
      <w:r>
        <w:t>o visa type recorded on Centrelink system</w:t>
      </w:r>
      <w:r w:rsidR="00847CCC">
        <w:t>.</w:t>
      </w:r>
    </w:p>
    <w:p w:rsidR="008861DE" w:rsidRDefault="008861DE" w:rsidP="00273B1F">
      <w:pPr>
        <w:pStyle w:val="tablefootnoteslastline"/>
      </w:pPr>
      <w:r w:rsidRPr="005911E2">
        <w:t xml:space="preserve">Source: </w:t>
      </w:r>
      <w:r w:rsidR="0094734B" w:rsidRPr="005911E2">
        <w:tab/>
      </w:r>
      <w:r w:rsidRPr="005911E2">
        <w:t xml:space="preserve">Derived from Centrelink </w:t>
      </w:r>
      <w:r w:rsidR="00F878E4">
        <w:t>income management</w:t>
      </w:r>
      <w:r w:rsidRPr="005911E2">
        <w:t xml:space="preserve"> &amp; IS/FTB datasets</w:t>
      </w:r>
      <w:r w:rsidR="00847CCC">
        <w:t>.</w:t>
      </w:r>
    </w:p>
    <w:p w:rsidR="00273B1F" w:rsidRPr="00273B1F" w:rsidRDefault="00273B1F" w:rsidP="00273B1F">
      <w:pPr>
        <w:pStyle w:val="tablefootnoteslastline"/>
      </w:pPr>
    </w:p>
    <w:p w:rsidR="00273B1F" w:rsidRPr="005911E2" w:rsidRDefault="00273B1F" w:rsidP="00273B1F">
      <w:r w:rsidRPr="005911E2">
        <w:t>Although only a relatively small number of records had a visa status on them</w:t>
      </w:r>
      <w:r>
        <w:t>,</w:t>
      </w:r>
      <w:r w:rsidRPr="005911E2">
        <w:t xml:space="preserve"> this characteristic is considered here because of the existence of some refugee groups within communities in the </w:t>
      </w:r>
      <w:r>
        <w:t>Northern Territory.</w:t>
      </w:r>
      <w:r w:rsidRPr="005911E2">
        <w:t xml:space="preserve"> As illustrated in Table 8</w:t>
      </w:r>
      <w:r w:rsidRPr="005911E2">
        <w:noBreakHyphen/>
        <w:t>8</w:t>
      </w:r>
      <w:r>
        <w:t>,</w:t>
      </w:r>
      <w:r w:rsidRPr="005911E2">
        <w:t xml:space="preserve"> the type of visa, in particular those granted on a humanitarian basis, does not seem to </w:t>
      </w:r>
      <w:r>
        <w:t xml:space="preserve">be </w:t>
      </w:r>
      <w:r w:rsidRPr="005911E2">
        <w:t xml:space="preserve">a major factor associated with either differences in the rate of application </w:t>
      </w:r>
      <w:r>
        <w:t xml:space="preserve">for, </w:t>
      </w:r>
      <w:r w:rsidRPr="005911E2">
        <w:t xml:space="preserve">or in the success of </w:t>
      </w:r>
      <w:r>
        <w:t xml:space="preserve">gaining, an </w:t>
      </w:r>
      <w:r w:rsidRPr="005911E2">
        <w:t xml:space="preserve">exemption from </w:t>
      </w:r>
      <w:r>
        <w:t>income management</w:t>
      </w:r>
      <w:r w:rsidRPr="005911E2">
        <w:t>.</w:t>
      </w:r>
    </w:p>
    <w:p w:rsidR="008861DE" w:rsidRPr="005911E2" w:rsidRDefault="008861DE" w:rsidP="00BD6DFD">
      <w:pPr>
        <w:pStyle w:val="Heading3"/>
      </w:pPr>
      <w:r w:rsidRPr="005911E2">
        <w:t>Location</w:t>
      </w:r>
    </w:p>
    <w:p w:rsidR="008861DE" w:rsidRPr="005911E2" w:rsidRDefault="008476E4" w:rsidP="00AA1750">
      <w:r w:rsidRPr="005911E2">
        <w:t>Table 8</w:t>
      </w:r>
      <w:r w:rsidRPr="005911E2">
        <w:noBreakHyphen/>
        <w:t>9</w:t>
      </w:r>
      <w:r w:rsidR="00AA1750" w:rsidRPr="005911E2">
        <w:t xml:space="preserve"> </w:t>
      </w:r>
      <w:r w:rsidR="008861DE" w:rsidRPr="005911E2">
        <w:t>classifies people by Indigenous status and whether or not they live in an area that was subject to the NTER.</w:t>
      </w:r>
      <w:r w:rsidR="0074268A" w:rsidRPr="005911E2">
        <w:t xml:space="preserve"> </w:t>
      </w:r>
      <w:r w:rsidR="008861DE" w:rsidRPr="005911E2">
        <w:t xml:space="preserve">Approximately </w:t>
      </w:r>
      <w:r w:rsidR="007A7F5C">
        <w:t>two-thirds</w:t>
      </w:r>
      <w:r w:rsidR="008861DE" w:rsidRPr="005911E2">
        <w:t xml:space="preserve"> of </w:t>
      </w:r>
      <w:r w:rsidR="006113C5" w:rsidRPr="005911E2">
        <w:t xml:space="preserve">all </w:t>
      </w:r>
      <w:r w:rsidR="008861DE" w:rsidRPr="005911E2">
        <w:t xml:space="preserve">the people affected by </w:t>
      </w:r>
      <w:r w:rsidR="007A7F5C">
        <w:t>NIM</w:t>
      </w:r>
      <w:r w:rsidR="006113C5" w:rsidRPr="005911E2">
        <w:t>, and just over 60 per cent of those affected by compulsory measures</w:t>
      </w:r>
      <w:r w:rsidR="007A7F5C">
        <w:t>,</w:t>
      </w:r>
      <w:r w:rsidR="008861DE" w:rsidRPr="005911E2">
        <w:t xml:space="preserve"> are Indigenous Australians living in areas which were prescribed communities under the</w:t>
      </w:r>
      <w:r w:rsidR="007A7F5C">
        <w:t xml:space="preserve"> NTER</w:t>
      </w:r>
      <w:r w:rsidR="008861DE" w:rsidRPr="005911E2">
        <w:t>.</w:t>
      </w:r>
    </w:p>
    <w:p w:rsidR="008861DE" w:rsidRPr="005911E2" w:rsidRDefault="008861DE" w:rsidP="00AA1750">
      <w:pPr>
        <w:pStyle w:val="tabfighead"/>
      </w:pPr>
      <w:bookmarkStart w:id="724" w:name="_Ref321079203"/>
      <w:bookmarkStart w:id="725" w:name="_Toc321430442"/>
      <w:bookmarkStart w:id="726" w:name="_Toc321254561"/>
      <w:bookmarkStart w:id="727" w:name="_Toc328601609"/>
      <w:bookmarkStart w:id="728" w:name="_Toc329051387"/>
      <w:bookmarkStart w:id="729" w:name="_Toc335915875"/>
      <w:r w:rsidRPr="005911E2">
        <w:t xml:space="preserve">Table </w:t>
      </w:r>
      <w:r w:rsidR="00C7347D" w:rsidRPr="005911E2">
        <w:fldChar w:fldCharType="begin"/>
      </w:r>
      <w:r w:rsidR="00EF6BC6" w:rsidRPr="005911E2">
        <w:instrText xml:space="preserve"> STYLEREF 1 \s </w:instrText>
      </w:r>
      <w:r w:rsidR="00C7347D" w:rsidRPr="005911E2">
        <w:fldChar w:fldCharType="separate"/>
      </w:r>
      <w:r w:rsidR="007D7E45">
        <w:rPr>
          <w:noProof/>
        </w:rPr>
        <w:t>8</w:t>
      </w:r>
      <w:r w:rsidR="00C7347D" w:rsidRPr="005911E2">
        <w:fldChar w:fldCharType="end"/>
      </w:r>
      <w:r w:rsidR="00EF6BC6" w:rsidRPr="005911E2">
        <w:noBreakHyphen/>
      </w:r>
      <w:r w:rsidR="00C7347D" w:rsidRPr="005911E2">
        <w:fldChar w:fldCharType="begin"/>
      </w:r>
      <w:r w:rsidR="00EF6BC6" w:rsidRPr="005911E2">
        <w:instrText xml:space="preserve"> SEQ Table \* ARABIC \s 1 </w:instrText>
      </w:r>
      <w:r w:rsidR="00C7347D" w:rsidRPr="005911E2">
        <w:fldChar w:fldCharType="separate"/>
      </w:r>
      <w:r w:rsidR="007D7E45">
        <w:rPr>
          <w:noProof/>
        </w:rPr>
        <w:t>9</w:t>
      </w:r>
      <w:r w:rsidR="00C7347D" w:rsidRPr="005911E2">
        <w:fldChar w:fldCharType="end"/>
      </w:r>
      <w:bookmarkEnd w:id="724"/>
      <w:r w:rsidRPr="005911E2">
        <w:tab/>
        <w:t>Applications for and granting of exemptions by NTER prescribed area, October 2011</w:t>
      </w:r>
      <w:bookmarkEnd w:id="725"/>
      <w:bookmarkEnd w:id="726"/>
      <w:bookmarkEnd w:id="727"/>
      <w:bookmarkEnd w:id="728"/>
      <w:bookmarkEnd w:id="729"/>
    </w:p>
    <w:tbl>
      <w:tblPr>
        <w:tblW w:w="4941" w:type="pct"/>
        <w:jc w:val="right"/>
        <w:tblInd w:w="-232" w:type="dxa"/>
        <w:tblLook w:val="0000" w:firstRow="0" w:lastRow="0" w:firstColumn="0" w:lastColumn="0" w:noHBand="0" w:noVBand="0"/>
      </w:tblPr>
      <w:tblGrid>
        <w:gridCol w:w="2643"/>
        <w:gridCol w:w="331"/>
        <w:gridCol w:w="892"/>
        <w:gridCol w:w="1129"/>
        <w:gridCol w:w="750"/>
        <w:gridCol w:w="223"/>
        <w:gridCol w:w="1129"/>
        <w:gridCol w:w="1129"/>
        <w:gridCol w:w="762"/>
      </w:tblGrid>
      <w:tr w:rsidR="00357105" w:rsidRPr="005911E2" w:rsidTr="00357105">
        <w:trPr>
          <w:trHeight w:val="290"/>
          <w:jc w:val="right"/>
        </w:trPr>
        <w:tc>
          <w:tcPr>
            <w:tcW w:w="1471" w:type="pct"/>
            <w:tcBorders>
              <w:top w:val="single" w:sz="4" w:space="0" w:color="auto"/>
              <w:left w:val="nil"/>
              <w:bottom w:val="nil"/>
              <w:right w:val="nil"/>
            </w:tcBorders>
          </w:tcPr>
          <w:p w:rsidR="0094734B" w:rsidRPr="005911E2" w:rsidRDefault="0094734B" w:rsidP="0094734B">
            <w:pPr>
              <w:pStyle w:val="braytabletext"/>
            </w:pPr>
          </w:p>
        </w:tc>
        <w:tc>
          <w:tcPr>
            <w:tcW w:w="1307" w:type="pct"/>
            <w:gridSpan w:val="3"/>
            <w:tcBorders>
              <w:top w:val="single" w:sz="4" w:space="0" w:color="auto"/>
              <w:left w:val="nil"/>
              <w:bottom w:val="single" w:sz="4" w:space="0" w:color="auto"/>
              <w:right w:val="nil"/>
            </w:tcBorders>
          </w:tcPr>
          <w:p w:rsidR="0094734B" w:rsidRPr="005911E2" w:rsidRDefault="0094734B" w:rsidP="0094734B">
            <w:pPr>
              <w:pStyle w:val="braytabletext"/>
            </w:pPr>
            <w:r w:rsidRPr="005911E2">
              <w:t>Non-Indigenous</w:t>
            </w:r>
          </w:p>
        </w:tc>
        <w:tc>
          <w:tcPr>
            <w:tcW w:w="417" w:type="pct"/>
            <w:tcBorders>
              <w:top w:val="single" w:sz="4" w:space="0" w:color="auto"/>
              <w:left w:val="nil"/>
              <w:bottom w:val="single" w:sz="4" w:space="0" w:color="auto"/>
              <w:right w:val="nil"/>
            </w:tcBorders>
          </w:tcPr>
          <w:p w:rsidR="0094734B" w:rsidRPr="005911E2" w:rsidRDefault="0094734B" w:rsidP="0094734B">
            <w:pPr>
              <w:pStyle w:val="braytabletext"/>
            </w:pPr>
          </w:p>
        </w:tc>
        <w:tc>
          <w:tcPr>
            <w:tcW w:w="124" w:type="pct"/>
            <w:tcBorders>
              <w:top w:val="single" w:sz="4" w:space="0" w:color="auto"/>
              <w:left w:val="nil"/>
              <w:bottom w:val="nil"/>
              <w:right w:val="nil"/>
            </w:tcBorders>
          </w:tcPr>
          <w:p w:rsidR="0094734B" w:rsidRPr="005911E2" w:rsidRDefault="0094734B" w:rsidP="0094734B">
            <w:pPr>
              <w:pStyle w:val="braytabletext"/>
            </w:pPr>
          </w:p>
        </w:tc>
        <w:tc>
          <w:tcPr>
            <w:tcW w:w="628" w:type="pct"/>
            <w:tcBorders>
              <w:top w:val="single" w:sz="4" w:space="0" w:color="auto"/>
              <w:left w:val="nil"/>
              <w:bottom w:val="single" w:sz="4" w:space="0" w:color="auto"/>
              <w:right w:val="nil"/>
            </w:tcBorders>
          </w:tcPr>
          <w:p w:rsidR="0094734B" w:rsidRPr="005911E2" w:rsidRDefault="0094734B" w:rsidP="0094734B">
            <w:pPr>
              <w:pStyle w:val="braytabletext"/>
            </w:pPr>
            <w:r w:rsidRPr="005911E2">
              <w:t>Indigenous</w:t>
            </w:r>
          </w:p>
        </w:tc>
        <w:tc>
          <w:tcPr>
            <w:tcW w:w="628" w:type="pct"/>
            <w:tcBorders>
              <w:top w:val="single" w:sz="4" w:space="0" w:color="auto"/>
              <w:left w:val="nil"/>
              <w:bottom w:val="single" w:sz="4" w:space="0" w:color="auto"/>
              <w:right w:val="nil"/>
            </w:tcBorders>
          </w:tcPr>
          <w:p w:rsidR="0094734B" w:rsidRPr="005911E2" w:rsidRDefault="0094734B" w:rsidP="0094734B">
            <w:pPr>
              <w:pStyle w:val="braytabletext"/>
            </w:pPr>
          </w:p>
        </w:tc>
        <w:tc>
          <w:tcPr>
            <w:tcW w:w="426" w:type="pct"/>
            <w:tcBorders>
              <w:top w:val="single" w:sz="4" w:space="0" w:color="auto"/>
              <w:left w:val="nil"/>
              <w:bottom w:val="single" w:sz="4" w:space="0" w:color="auto"/>
              <w:right w:val="nil"/>
            </w:tcBorders>
          </w:tcPr>
          <w:p w:rsidR="0094734B" w:rsidRPr="005911E2" w:rsidRDefault="0094734B" w:rsidP="0094734B">
            <w:pPr>
              <w:pStyle w:val="braytabletext"/>
            </w:pPr>
          </w:p>
        </w:tc>
      </w:tr>
      <w:tr w:rsidR="00357105" w:rsidRPr="005911E2" w:rsidTr="00357105">
        <w:trPr>
          <w:trHeight w:val="290"/>
          <w:jc w:val="right"/>
        </w:trPr>
        <w:tc>
          <w:tcPr>
            <w:tcW w:w="1471" w:type="pct"/>
            <w:tcBorders>
              <w:top w:val="nil"/>
              <w:left w:val="nil"/>
              <w:bottom w:val="single" w:sz="4" w:space="0" w:color="auto"/>
              <w:right w:val="nil"/>
            </w:tcBorders>
          </w:tcPr>
          <w:p w:rsidR="0094734B" w:rsidRPr="005911E2" w:rsidRDefault="0094734B" w:rsidP="0094734B">
            <w:pPr>
              <w:pStyle w:val="braytabletext"/>
            </w:pPr>
          </w:p>
        </w:tc>
        <w:tc>
          <w:tcPr>
            <w:tcW w:w="679" w:type="pct"/>
            <w:gridSpan w:val="2"/>
            <w:tcBorders>
              <w:top w:val="single" w:sz="4" w:space="0" w:color="auto"/>
              <w:left w:val="nil"/>
              <w:bottom w:val="single" w:sz="4" w:space="0" w:color="auto"/>
              <w:right w:val="nil"/>
            </w:tcBorders>
          </w:tcPr>
          <w:p w:rsidR="0094734B" w:rsidRPr="005911E2" w:rsidRDefault="0094734B" w:rsidP="00F02BC3">
            <w:pPr>
              <w:pStyle w:val="braytabletext"/>
              <w:jc w:val="right"/>
            </w:pPr>
            <w:r w:rsidRPr="005911E2">
              <w:t>Not NTER Community</w:t>
            </w:r>
          </w:p>
        </w:tc>
        <w:tc>
          <w:tcPr>
            <w:tcW w:w="628" w:type="pct"/>
            <w:tcBorders>
              <w:top w:val="single" w:sz="4" w:space="0" w:color="auto"/>
              <w:left w:val="nil"/>
              <w:bottom w:val="single" w:sz="4" w:space="0" w:color="auto"/>
              <w:right w:val="nil"/>
            </w:tcBorders>
          </w:tcPr>
          <w:p w:rsidR="0094734B" w:rsidRPr="005911E2" w:rsidRDefault="0094734B" w:rsidP="00F02BC3">
            <w:pPr>
              <w:pStyle w:val="braytabletext"/>
              <w:jc w:val="right"/>
            </w:pPr>
            <w:r w:rsidRPr="005911E2">
              <w:t>NTER Community</w:t>
            </w:r>
          </w:p>
        </w:tc>
        <w:tc>
          <w:tcPr>
            <w:tcW w:w="417" w:type="pct"/>
            <w:tcBorders>
              <w:top w:val="single" w:sz="4" w:space="0" w:color="auto"/>
              <w:left w:val="nil"/>
              <w:bottom w:val="single" w:sz="4" w:space="0" w:color="auto"/>
              <w:right w:val="nil"/>
            </w:tcBorders>
          </w:tcPr>
          <w:p w:rsidR="0094734B" w:rsidRPr="005911E2" w:rsidRDefault="0094734B" w:rsidP="00F02BC3">
            <w:pPr>
              <w:pStyle w:val="braytabletext"/>
              <w:jc w:val="right"/>
            </w:pPr>
            <w:r w:rsidRPr="005911E2">
              <w:t>Total</w:t>
            </w:r>
          </w:p>
        </w:tc>
        <w:tc>
          <w:tcPr>
            <w:tcW w:w="124" w:type="pct"/>
            <w:tcBorders>
              <w:top w:val="nil"/>
              <w:left w:val="nil"/>
              <w:bottom w:val="single" w:sz="4" w:space="0" w:color="auto"/>
              <w:right w:val="nil"/>
            </w:tcBorders>
          </w:tcPr>
          <w:p w:rsidR="0094734B" w:rsidRPr="005911E2" w:rsidRDefault="0094734B" w:rsidP="00F02BC3">
            <w:pPr>
              <w:pStyle w:val="braytabletext"/>
              <w:jc w:val="right"/>
            </w:pPr>
          </w:p>
        </w:tc>
        <w:tc>
          <w:tcPr>
            <w:tcW w:w="628" w:type="pct"/>
            <w:tcBorders>
              <w:top w:val="single" w:sz="4" w:space="0" w:color="auto"/>
              <w:left w:val="nil"/>
              <w:bottom w:val="single" w:sz="4" w:space="0" w:color="auto"/>
              <w:right w:val="nil"/>
            </w:tcBorders>
          </w:tcPr>
          <w:p w:rsidR="0094734B" w:rsidRPr="005911E2" w:rsidRDefault="0094734B" w:rsidP="00F02BC3">
            <w:pPr>
              <w:pStyle w:val="braytabletext"/>
              <w:jc w:val="right"/>
            </w:pPr>
            <w:r w:rsidRPr="005911E2">
              <w:t>Not NTER Community</w:t>
            </w:r>
          </w:p>
        </w:tc>
        <w:tc>
          <w:tcPr>
            <w:tcW w:w="628" w:type="pct"/>
            <w:tcBorders>
              <w:top w:val="single" w:sz="4" w:space="0" w:color="auto"/>
              <w:left w:val="nil"/>
              <w:bottom w:val="single" w:sz="4" w:space="0" w:color="auto"/>
              <w:right w:val="nil"/>
            </w:tcBorders>
          </w:tcPr>
          <w:p w:rsidR="0094734B" w:rsidRPr="005911E2" w:rsidRDefault="0094734B" w:rsidP="00F02BC3">
            <w:pPr>
              <w:pStyle w:val="braytabletext"/>
              <w:jc w:val="right"/>
            </w:pPr>
            <w:r w:rsidRPr="005911E2">
              <w:t>NTER Community</w:t>
            </w:r>
          </w:p>
        </w:tc>
        <w:tc>
          <w:tcPr>
            <w:tcW w:w="426" w:type="pct"/>
            <w:tcBorders>
              <w:top w:val="single" w:sz="4" w:space="0" w:color="auto"/>
              <w:left w:val="nil"/>
              <w:bottom w:val="single" w:sz="4" w:space="0" w:color="auto"/>
              <w:right w:val="nil"/>
            </w:tcBorders>
          </w:tcPr>
          <w:p w:rsidR="0094734B" w:rsidRPr="005911E2" w:rsidRDefault="0094734B" w:rsidP="00F02BC3">
            <w:pPr>
              <w:pStyle w:val="braytabletext"/>
              <w:jc w:val="right"/>
            </w:pPr>
            <w:r w:rsidRPr="005911E2">
              <w:t>Total</w:t>
            </w:r>
          </w:p>
        </w:tc>
      </w:tr>
      <w:tr w:rsidR="00357105" w:rsidRPr="005911E2" w:rsidTr="00357105">
        <w:trPr>
          <w:trHeight w:val="290"/>
          <w:jc w:val="right"/>
        </w:trPr>
        <w:tc>
          <w:tcPr>
            <w:tcW w:w="2150" w:type="pct"/>
            <w:gridSpan w:val="3"/>
            <w:tcBorders>
              <w:top w:val="single" w:sz="4" w:space="0" w:color="auto"/>
              <w:left w:val="nil"/>
              <w:bottom w:val="nil"/>
              <w:right w:val="nil"/>
            </w:tcBorders>
          </w:tcPr>
          <w:p w:rsidR="0094734B" w:rsidRPr="005911E2" w:rsidRDefault="0094734B" w:rsidP="0094734B">
            <w:pPr>
              <w:pStyle w:val="braytabletext"/>
            </w:pPr>
            <w:r w:rsidRPr="005911E2">
              <w:t>Potential compulsory</w:t>
            </w:r>
          </w:p>
        </w:tc>
        <w:tc>
          <w:tcPr>
            <w:tcW w:w="628" w:type="pct"/>
            <w:tcBorders>
              <w:top w:val="single" w:sz="4" w:space="0" w:color="auto"/>
              <w:left w:val="nil"/>
              <w:bottom w:val="nil"/>
              <w:right w:val="nil"/>
            </w:tcBorders>
          </w:tcPr>
          <w:p w:rsidR="0094734B" w:rsidRPr="005911E2" w:rsidRDefault="0094734B" w:rsidP="0094734B">
            <w:pPr>
              <w:pStyle w:val="braytabletext"/>
            </w:pPr>
          </w:p>
        </w:tc>
        <w:tc>
          <w:tcPr>
            <w:tcW w:w="417" w:type="pct"/>
            <w:tcBorders>
              <w:top w:val="single" w:sz="4" w:space="0" w:color="auto"/>
              <w:left w:val="nil"/>
              <w:bottom w:val="nil"/>
              <w:right w:val="nil"/>
            </w:tcBorders>
          </w:tcPr>
          <w:p w:rsidR="0094734B" w:rsidRPr="005911E2" w:rsidRDefault="0094734B" w:rsidP="0094734B">
            <w:pPr>
              <w:pStyle w:val="braytabletext"/>
            </w:pPr>
          </w:p>
        </w:tc>
        <w:tc>
          <w:tcPr>
            <w:tcW w:w="124" w:type="pct"/>
            <w:tcBorders>
              <w:top w:val="single" w:sz="4" w:space="0" w:color="auto"/>
              <w:left w:val="nil"/>
              <w:bottom w:val="nil"/>
              <w:right w:val="nil"/>
            </w:tcBorders>
          </w:tcPr>
          <w:p w:rsidR="0094734B" w:rsidRPr="005911E2" w:rsidRDefault="0094734B" w:rsidP="0094734B">
            <w:pPr>
              <w:pStyle w:val="braytabletext"/>
            </w:pPr>
          </w:p>
        </w:tc>
        <w:tc>
          <w:tcPr>
            <w:tcW w:w="628" w:type="pct"/>
            <w:tcBorders>
              <w:top w:val="single" w:sz="4" w:space="0" w:color="auto"/>
              <w:left w:val="nil"/>
              <w:bottom w:val="nil"/>
              <w:right w:val="nil"/>
            </w:tcBorders>
          </w:tcPr>
          <w:p w:rsidR="0094734B" w:rsidRPr="005911E2" w:rsidRDefault="0094734B" w:rsidP="0094734B">
            <w:pPr>
              <w:pStyle w:val="braytabletext"/>
            </w:pPr>
          </w:p>
        </w:tc>
        <w:tc>
          <w:tcPr>
            <w:tcW w:w="628" w:type="pct"/>
            <w:tcBorders>
              <w:top w:val="single" w:sz="4" w:space="0" w:color="auto"/>
              <w:left w:val="nil"/>
              <w:bottom w:val="nil"/>
              <w:right w:val="nil"/>
            </w:tcBorders>
          </w:tcPr>
          <w:p w:rsidR="0094734B" w:rsidRPr="005911E2" w:rsidRDefault="0094734B" w:rsidP="0094734B">
            <w:pPr>
              <w:pStyle w:val="braytabletext"/>
            </w:pPr>
          </w:p>
        </w:tc>
        <w:tc>
          <w:tcPr>
            <w:tcW w:w="426" w:type="pct"/>
            <w:tcBorders>
              <w:top w:val="single" w:sz="4" w:space="0" w:color="auto"/>
              <w:left w:val="nil"/>
              <w:bottom w:val="nil"/>
              <w:right w:val="nil"/>
            </w:tcBorders>
          </w:tcPr>
          <w:p w:rsidR="0094734B" w:rsidRPr="005911E2" w:rsidRDefault="0094734B" w:rsidP="0094734B">
            <w:pPr>
              <w:pStyle w:val="braytabletext"/>
            </w:pPr>
          </w:p>
        </w:tc>
      </w:tr>
      <w:tr w:rsidR="00357105" w:rsidRPr="005911E2" w:rsidTr="00357105">
        <w:trPr>
          <w:trHeight w:val="290"/>
          <w:jc w:val="right"/>
        </w:trPr>
        <w:tc>
          <w:tcPr>
            <w:tcW w:w="1655" w:type="pct"/>
            <w:gridSpan w:val="2"/>
            <w:tcBorders>
              <w:top w:val="nil"/>
              <w:left w:val="nil"/>
              <w:bottom w:val="nil"/>
              <w:right w:val="nil"/>
            </w:tcBorders>
          </w:tcPr>
          <w:p w:rsidR="00B704D7" w:rsidRPr="005911E2" w:rsidRDefault="00B704D7" w:rsidP="00357105">
            <w:pPr>
              <w:pStyle w:val="braytabletext"/>
            </w:pPr>
            <w:r w:rsidRPr="005911E2">
              <w:t>CIM no applic</w:t>
            </w:r>
            <w:r w:rsidR="00357105">
              <w:t>ation</w:t>
            </w:r>
            <w:r w:rsidRPr="005911E2">
              <w:t xml:space="preserve"> for exemption</w:t>
            </w:r>
          </w:p>
        </w:tc>
        <w:tc>
          <w:tcPr>
            <w:tcW w:w="496" w:type="pct"/>
            <w:tcBorders>
              <w:top w:val="nil"/>
              <w:left w:val="nil"/>
              <w:bottom w:val="nil"/>
              <w:right w:val="nil"/>
            </w:tcBorders>
          </w:tcPr>
          <w:p w:rsidR="00B704D7" w:rsidRPr="00587AD8" w:rsidRDefault="00B704D7" w:rsidP="00B704D7">
            <w:pPr>
              <w:pStyle w:val="braytabletext"/>
              <w:jc w:val="right"/>
              <w:rPr>
                <w:szCs w:val="16"/>
              </w:rPr>
            </w:pPr>
            <w:r w:rsidRPr="00587AD8">
              <w:rPr>
                <w:szCs w:val="16"/>
              </w:rPr>
              <w:t>1</w:t>
            </w:r>
            <w:r w:rsidR="00FB7275" w:rsidRPr="00587AD8">
              <w:rPr>
                <w:szCs w:val="16"/>
              </w:rPr>
              <w:t> </w:t>
            </w:r>
            <w:r w:rsidRPr="00587AD8">
              <w:rPr>
                <w:szCs w:val="16"/>
              </w:rPr>
              <w:t>178</w:t>
            </w:r>
          </w:p>
        </w:tc>
        <w:tc>
          <w:tcPr>
            <w:tcW w:w="628" w:type="pct"/>
            <w:tcBorders>
              <w:top w:val="nil"/>
              <w:left w:val="nil"/>
              <w:bottom w:val="nil"/>
              <w:right w:val="nil"/>
            </w:tcBorders>
          </w:tcPr>
          <w:p w:rsidR="00B704D7" w:rsidRPr="00587AD8" w:rsidRDefault="00B704D7">
            <w:pPr>
              <w:autoSpaceDE w:val="0"/>
              <w:autoSpaceDN w:val="0"/>
              <w:adjustRightInd w:val="0"/>
              <w:spacing w:after="0" w:line="240" w:lineRule="auto"/>
              <w:ind w:left="0"/>
              <w:jc w:val="right"/>
              <w:rPr>
                <w:rFonts w:cs="Arial"/>
                <w:color w:val="000000"/>
                <w:sz w:val="16"/>
                <w:szCs w:val="16"/>
                <w:lang w:eastAsia="en-AU" w:bidi="ar-SA"/>
              </w:rPr>
            </w:pPr>
            <w:r w:rsidRPr="00587AD8">
              <w:rPr>
                <w:rFonts w:cs="Arial"/>
                <w:color w:val="000000"/>
                <w:sz w:val="16"/>
                <w:szCs w:val="16"/>
                <w:lang w:eastAsia="en-AU" w:bidi="ar-SA"/>
              </w:rPr>
              <w:t>129</w:t>
            </w:r>
          </w:p>
        </w:tc>
        <w:tc>
          <w:tcPr>
            <w:tcW w:w="417" w:type="pct"/>
            <w:tcBorders>
              <w:top w:val="nil"/>
              <w:left w:val="nil"/>
              <w:bottom w:val="nil"/>
              <w:right w:val="nil"/>
            </w:tcBorders>
          </w:tcPr>
          <w:p w:rsidR="00B704D7" w:rsidRPr="00587AD8" w:rsidRDefault="00B704D7">
            <w:pPr>
              <w:autoSpaceDE w:val="0"/>
              <w:autoSpaceDN w:val="0"/>
              <w:adjustRightInd w:val="0"/>
              <w:spacing w:after="0" w:line="240" w:lineRule="auto"/>
              <w:ind w:left="0"/>
              <w:jc w:val="right"/>
              <w:rPr>
                <w:rFonts w:cs="Arial"/>
                <w:color w:val="000000"/>
                <w:sz w:val="16"/>
                <w:szCs w:val="16"/>
                <w:lang w:eastAsia="en-AU" w:bidi="ar-SA"/>
              </w:rPr>
            </w:pPr>
            <w:r w:rsidRPr="00587AD8">
              <w:rPr>
                <w:rFonts w:cs="Arial"/>
                <w:color w:val="000000"/>
                <w:sz w:val="16"/>
                <w:szCs w:val="16"/>
                <w:lang w:eastAsia="en-AU" w:bidi="ar-SA"/>
              </w:rPr>
              <w:t>1</w:t>
            </w:r>
            <w:r w:rsidR="00FB7275" w:rsidRPr="00587AD8">
              <w:rPr>
                <w:rFonts w:cs="Arial"/>
                <w:color w:val="000000"/>
                <w:sz w:val="16"/>
                <w:szCs w:val="16"/>
                <w:lang w:eastAsia="en-AU" w:bidi="ar-SA"/>
              </w:rPr>
              <w:t> </w:t>
            </w:r>
            <w:r w:rsidRPr="00587AD8">
              <w:rPr>
                <w:rFonts w:cs="Arial"/>
                <w:color w:val="000000"/>
                <w:sz w:val="16"/>
                <w:szCs w:val="16"/>
                <w:lang w:eastAsia="en-AU" w:bidi="ar-SA"/>
              </w:rPr>
              <w:t>307</w:t>
            </w:r>
          </w:p>
        </w:tc>
        <w:tc>
          <w:tcPr>
            <w:tcW w:w="124" w:type="pct"/>
            <w:tcBorders>
              <w:top w:val="nil"/>
              <w:left w:val="nil"/>
              <w:bottom w:val="nil"/>
              <w:right w:val="nil"/>
            </w:tcBorders>
          </w:tcPr>
          <w:p w:rsidR="00B704D7" w:rsidRPr="00587AD8" w:rsidRDefault="00B704D7">
            <w:pPr>
              <w:autoSpaceDE w:val="0"/>
              <w:autoSpaceDN w:val="0"/>
              <w:adjustRightInd w:val="0"/>
              <w:spacing w:after="0" w:line="240" w:lineRule="auto"/>
              <w:ind w:left="0"/>
              <w:jc w:val="right"/>
              <w:rPr>
                <w:rFonts w:cs="Arial"/>
                <w:color w:val="000000"/>
                <w:sz w:val="16"/>
                <w:szCs w:val="16"/>
                <w:lang w:eastAsia="en-AU" w:bidi="ar-SA"/>
              </w:rPr>
            </w:pPr>
          </w:p>
        </w:tc>
        <w:tc>
          <w:tcPr>
            <w:tcW w:w="628" w:type="pct"/>
            <w:tcBorders>
              <w:top w:val="nil"/>
              <w:left w:val="nil"/>
              <w:bottom w:val="nil"/>
              <w:right w:val="nil"/>
            </w:tcBorders>
          </w:tcPr>
          <w:p w:rsidR="00B704D7" w:rsidRPr="00587AD8" w:rsidRDefault="00B704D7">
            <w:pPr>
              <w:autoSpaceDE w:val="0"/>
              <w:autoSpaceDN w:val="0"/>
              <w:adjustRightInd w:val="0"/>
              <w:spacing w:after="0" w:line="240" w:lineRule="auto"/>
              <w:ind w:left="0"/>
              <w:jc w:val="right"/>
              <w:rPr>
                <w:rFonts w:cs="Arial"/>
                <w:color w:val="000000"/>
                <w:sz w:val="16"/>
                <w:szCs w:val="16"/>
                <w:lang w:eastAsia="en-AU" w:bidi="ar-SA"/>
              </w:rPr>
            </w:pPr>
            <w:r w:rsidRPr="00587AD8">
              <w:rPr>
                <w:rFonts w:cs="Arial"/>
                <w:color w:val="000000"/>
                <w:sz w:val="16"/>
                <w:szCs w:val="16"/>
                <w:lang w:eastAsia="en-AU" w:bidi="ar-SA"/>
              </w:rPr>
              <w:t>2</w:t>
            </w:r>
            <w:r w:rsidR="00FB7275" w:rsidRPr="00587AD8">
              <w:rPr>
                <w:rFonts w:cs="Arial"/>
                <w:color w:val="000000"/>
                <w:sz w:val="16"/>
                <w:szCs w:val="16"/>
                <w:lang w:eastAsia="en-AU" w:bidi="ar-SA"/>
              </w:rPr>
              <w:t> </w:t>
            </w:r>
            <w:r w:rsidRPr="00587AD8">
              <w:rPr>
                <w:rFonts w:cs="Arial"/>
                <w:color w:val="000000"/>
                <w:sz w:val="16"/>
                <w:szCs w:val="16"/>
                <w:lang w:eastAsia="en-AU" w:bidi="ar-SA"/>
              </w:rPr>
              <w:t>121</w:t>
            </w:r>
          </w:p>
        </w:tc>
        <w:tc>
          <w:tcPr>
            <w:tcW w:w="628" w:type="pct"/>
            <w:tcBorders>
              <w:top w:val="nil"/>
              <w:left w:val="nil"/>
              <w:bottom w:val="nil"/>
              <w:right w:val="nil"/>
            </w:tcBorders>
          </w:tcPr>
          <w:p w:rsidR="00B704D7" w:rsidRPr="00587AD8" w:rsidRDefault="00B704D7">
            <w:pPr>
              <w:autoSpaceDE w:val="0"/>
              <w:autoSpaceDN w:val="0"/>
              <w:adjustRightInd w:val="0"/>
              <w:spacing w:after="0" w:line="240" w:lineRule="auto"/>
              <w:ind w:left="0"/>
              <w:jc w:val="right"/>
              <w:rPr>
                <w:rFonts w:cs="Arial"/>
                <w:color w:val="000000"/>
                <w:sz w:val="16"/>
                <w:szCs w:val="16"/>
                <w:lang w:eastAsia="en-AU" w:bidi="ar-SA"/>
              </w:rPr>
            </w:pPr>
            <w:r w:rsidRPr="00587AD8">
              <w:rPr>
                <w:rFonts w:cs="Arial"/>
                <w:color w:val="000000"/>
                <w:sz w:val="16"/>
                <w:szCs w:val="16"/>
                <w:lang w:eastAsia="en-AU" w:bidi="ar-SA"/>
              </w:rPr>
              <w:t>7</w:t>
            </w:r>
            <w:r w:rsidR="00FB7275" w:rsidRPr="00587AD8">
              <w:rPr>
                <w:rFonts w:cs="Arial"/>
                <w:color w:val="000000"/>
                <w:sz w:val="16"/>
                <w:szCs w:val="16"/>
                <w:lang w:eastAsia="en-AU" w:bidi="ar-SA"/>
              </w:rPr>
              <w:t> </w:t>
            </w:r>
            <w:r w:rsidRPr="00587AD8">
              <w:rPr>
                <w:rFonts w:cs="Arial"/>
                <w:color w:val="000000"/>
                <w:sz w:val="16"/>
                <w:szCs w:val="16"/>
                <w:lang w:eastAsia="en-AU" w:bidi="ar-SA"/>
              </w:rPr>
              <w:t>994</w:t>
            </w:r>
          </w:p>
        </w:tc>
        <w:tc>
          <w:tcPr>
            <w:tcW w:w="426" w:type="pct"/>
            <w:tcBorders>
              <w:top w:val="nil"/>
              <w:left w:val="nil"/>
              <w:bottom w:val="nil"/>
              <w:right w:val="nil"/>
            </w:tcBorders>
          </w:tcPr>
          <w:p w:rsidR="00B704D7" w:rsidRPr="00587AD8" w:rsidRDefault="00B704D7">
            <w:pPr>
              <w:autoSpaceDE w:val="0"/>
              <w:autoSpaceDN w:val="0"/>
              <w:adjustRightInd w:val="0"/>
              <w:spacing w:after="0" w:line="240" w:lineRule="auto"/>
              <w:ind w:left="0"/>
              <w:jc w:val="right"/>
              <w:rPr>
                <w:rFonts w:cs="Arial"/>
                <w:color w:val="000000"/>
                <w:sz w:val="16"/>
                <w:szCs w:val="16"/>
                <w:lang w:eastAsia="en-AU" w:bidi="ar-SA"/>
              </w:rPr>
            </w:pPr>
            <w:r w:rsidRPr="00587AD8">
              <w:rPr>
                <w:rFonts w:cs="Arial"/>
                <w:color w:val="000000"/>
                <w:sz w:val="16"/>
                <w:szCs w:val="16"/>
                <w:lang w:eastAsia="en-AU" w:bidi="ar-SA"/>
              </w:rPr>
              <w:t>10</w:t>
            </w:r>
            <w:r w:rsidR="00FB7275" w:rsidRPr="00587AD8">
              <w:rPr>
                <w:rFonts w:cs="Arial"/>
                <w:color w:val="000000"/>
                <w:sz w:val="16"/>
                <w:szCs w:val="16"/>
                <w:lang w:eastAsia="en-AU" w:bidi="ar-SA"/>
              </w:rPr>
              <w:t> </w:t>
            </w:r>
            <w:r w:rsidRPr="00587AD8">
              <w:rPr>
                <w:rFonts w:cs="Arial"/>
                <w:color w:val="000000"/>
                <w:sz w:val="16"/>
                <w:szCs w:val="16"/>
                <w:lang w:eastAsia="en-AU" w:bidi="ar-SA"/>
              </w:rPr>
              <w:t>115</w:t>
            </w:r>
          </w:p>
        </w:tc>
      </w:tr>
      <w:tr w:rsidR="00357105" w:rsidRPr="005911E2" w:rsidTr="00357105">
        <w:trPr>
          <w:trHeight w:val="290"/>
          <w:jc w:val="right"/>
        </w:trPr>
        <w:tc>
          <w:tcPr>
            <w:tcW w:w="1655" w:type="pct"/>
            <w:gridSpan w:val="2"/>
            <w:tcBorders>
              <w:top w:val="nil"/>
              <w:left w:val="nil"/>
              <w:bottom w:val="nil"/>
              <w:right w:val="nil"/>
            </w:tcBorders>
          </w:tcPr>
          <w:p w:rsidR="00B704D7" w:rsidRPr="005911E2" w:rsidRDefault="00B704D7" w:rsidP="0094734B">
            <w:pPr>
              <w:pStyle w:val="braytabletext"/>
            </w:pPr>
            <w:r w:rsidRPr="005911E2">
              <w:t>CIM exemption rejected</w:t>
            </w:r>
          </w:p>
        </w:tc>
        <w:tc>
          <w:tcPr>
            <w:tcW w:w="496" w:type="pct"/>
            <w:tcBorders>
              <w:top w:val="nil"/>
              <w:left w:val="nil"/>
              <w:bottom w:val="nil"/>
              <w:right w:val="nil"/>
            </w:tcBorders>
          </w:tcPr>
          <w:p w:rsidR="00B704D7" w:rsidRPr="005911E2" w:rsidRDefault="00B704D7" w:rsidP="00B704D7">
            <w:pPr>
              <w:pStyle w:val="braytabletext"/>
              <w:jc w:val="right"/>
            </w:pPr>
            <w:r w:rsidRPr="005911E2">
              <w:t>226</w:t>
            </w:r>
          </w:p>
        </w:tc>
        <w:tc>
          <w:tcPr>
            <w:tcW w:w="628" w:type="pct"/>
            <w:tcBorders>
              <w:top w:val="nil"/>
              <w:left w:val="nil"/>
              <w:bottom w:val="nil"/>
              <w:right w:val="nil"/>
            </w:tcBorders>
          </w:tcPr>
          <w:p w:rsidR="00B704D7" w:rsidRPr="005911E2" w:rsidRDefault="00B704D7" w:rsidP="00B704D7">
            <w:pPr>
              <w:pStyle w:val="braytabletext"/>
              <w:jc w:val="right"/>
            </w:pPr>
            <w:r w:rsidRPr="005911E2">
              <w:t>4</w:t>
            </w:r>
          </w:p>
        </w:tc>
        <w:tc>
          <w:tcPr>
            <w:tcW w:w="417" w:type="pct"/>
            <w:tcBorders>
              <w:top w:val="nil"/>
              <w:left w:val="nil"/>
              <w:bottom w:val="nil"/>
              <w:right w:val="nil"/>
            </w:tcBorders>
          </w:tcPr>
          <w:p w:rsidR="00B704D7" w:rsidRPr="005911E2" w:rsidRDefault="00B704D7" w:rsidP="00B704D7">
            <w:pPr>
              <w:pStyle w:val="braytabletext"/>
              <w:jc w:val="right"/>
            </w:pPr>
            <w:r w:rsidRPr="005911E2">
              <w:t>230</w:t>
            </w:r>
          </w:p>
        </w:tc>
        <w:tc>
          <w:tcPr>
            <w:tcW w:w="124" w:type="pct"/>
            <w:tcBorders>
              <w:top w:val="nil"/>
              <w:left w:val="nil"/>
              <w:bottom w:val="nil"/>
              <w:right w:val="nil"/>
            </w:tcBorders>
          </w:tcPr>
          <w:p w:rsidR="00B704D7" w:rsidRPr="005911E2" w:rsidRDefault="00B704D7" w:rsidP="00B704D7">
            <w:pPr>
              <w:pStyle w:val="braytabletext"/>
              <w:jc w:val="right"/>
            </w:pPr>
          </w:p>
        </w:tc>
        <w:tc>
          <w:tcPr>
            <w:tcW w:w="628" w:type="pct"/>
            <w:tcBorders>
              <w:top w:val="nil"/>
              <w:left w:val="nil"/>
              <w:bottom w:val="nil"/>
              <w:right w:val="nil"/>
            </w:tcBorders>
          </w:tcPr>
          <w:p w:rsidR="00B704D7" w:rsidRPr="005911E2" w:rsidRDefault="00B704D7" w:rsidP="00B704D7">
            <w:pPr>
              <w:pStyle w:val="braytabletext"/>
              <w:jc w:val="right"/>
            </w:pPr>
            <w:r w:rsidRPr="005911E2">
              <w:t>340</w:t>
            </w:r>
          </w:p>
        </w:tc>
        <w:tc>
          <w:tcPr>
            <w:tcW w:w="628" w:type="pct"/>
            <w:tcBorders>
              <w:top w:val="nil"/>
              <w:left w:val="nil"/>
              <w:bottom w:val="nil"/>
              <w:right w:val="nil"/>
            </w:tcBorders>
          </w:tcPr>
          <w:p w:rsidR="00B704D7" w:rsidRPr="005911E2" w:rsidRDefault="00B704D7" w:rsidP="00B704D7">
            <w:pPr>
              <w:pStyle w:val="braytabletext"/>
              <w:jc w:val="right"/>
            </w:pPr>
            <w:r w:rsidRPr="005911E2">
              <w:t>582</w:t>
            </w:r>
          </w:p>
        </w:tc>
        <w:tc>
          <w:tcPr>
            <w:tcW w:w="426" w:type="pct"/>
            <w:tcBorders>
              <w:top w:val="nil"/>
              <w:left w:val="nil"/>
              <w:bottom w:val="nil"/>
              <w:right w:val="nil"/>
            </w:tcBorders>
          </w:tcPr>
          <w:p w:rsidR="00B704D7" w:rsidRPr="005911E2" w:rsidRDefault="00B704D7" w:rsidP="00B704D7">
            <w:pPr>
              <w:pStyle w:val="braytabletext"/>
              <w:jc w:val="right"/>
            </w:pPr>
            <w:r w:rsidRPr="005911E2">
              <w:t>922</w:t>
            </w:r>
          </w:p>
        </w:tc>
      </w:tr>
      <w:tr w:rsidR="00357105" w:rsidRPr="005911E2" w:rsidTr="00357105">
        <w:trPr>
          <w:trHeight w:val="290"/>
          <w:jc w:val="right"/>
        </w:trPr>
        <w:tc>
          <w:tcPr>
            <w:tcW w:w="1655" w:type="pct"/>
            <w:gridSpan w:val="2"/>
            <w:tcBorders>
              <w:top w:val="nil"/>
              <w:left w:val="nil"/>
              <w:bottom w:val="nil"/>
              <w:right w:val="nil"/>
            </w:tcBorders>
          </w:tcPr>
          <w:p w:rsidR="00B704D7" w:rsidRPr="005911E2" w:rsidRDefault="00B704D7" w:rsidP="00357105">
            <w:pPr>
              <w:pStyle w:val="braytabletext"/>
            </w:pPr>
            <w:r w:rsidRPr="005911E2">
              <w:t>CIM applic</w:t>
            </w:r>
            <w:r w:rsidR="00357105">
              <w:t>ation</w:t>
            </w:r>
            <w:r w:rsidRPr="005911E2">
              <w:t xml:space="preserve"> for exempt</w:t>
            </w:r>
            <w:r w:rsidR="00357105">
              <w:t>ion</w:t>
            </w:r>
            <w:r w:rsidRPr="005911E2">
              <w:t xml:space="preserve"> withdrawn</w:t>
            </w:r>
          </w:p>
        </w:tc>
        <w:tc>
          <w:tcPr>
            <w:tcW w:w="496" w:type="pct"/>
            <w:tcBorders>
              <w:top w:val="nil"/>
              <w:left w:val="nil"/>
              <w:bottom w:val="nil"/>
              <w:right w:val="nil"/>
            </w:tcBorders>
          </w:tcPr>
          <w:p w:rsidR="00B704D7" w:rsidRPr="005911E2" w:rsidRDefault="00C56AA3" w:rsidP="00B704D7">
            <w:pPr>
              <w:pStyle w:val="braytabletext"/>
              <w:jc w:val="right"/>
            </w:pPr>
            <w:r>
              <w:t>22</w:t>
            </w:r>
          </w:p>
        </w:tc>
        <w:tc>
          <w:tcPr>
            <w:tcW w:w="628" w:type="pct"/>
            <w:tcBorders>
              <w:top w:val="nil"/>
              <w:left w:val="nil"/>
              <w:bottom w:val="nil"/>
              <w:right w:val="nil"/>
            </w:tcBorders>
          </w:tcPr>
          <w:p w:rsidR="00B704D7" w:rsidRPr="005911E2" w:rsidRDefault="00C56AA3" w:rsidP="00B704D7">
            <w:pPr>
              <w:pStyle w:val="braytabletext"/>
              <w:jc w:val="right"/>
            </w:pPr>
            <w:r>
              <w:t>1</w:t>
            </w:r>
          </w:p>
        </w:tc>
        <w:tc>
          <w:tcPr>
            <w:tcW w:w="417" w:type="pct"/>
            <w:tcBorders>
              <w:top w:val="nil"/>
              <w:left w:val="nil"/>
              <w:bottom w:val="nil"/>
              <w:right w:val="nil"/>
            </w:tcBorders>
          </w:tcPr>
          <w:p w:rsidR="00B704D7" w:rsidRPr="005911E2" w:rsidRDefault="00B704D7" w:rsidP="00B704D7">
            <w:pPr>
              <w:pStyle w:val="braytabletext"/>
              <w:jc w:val="right"/>
            </w:pPr>
            <w:r w:rsidRPr="005911E2">
              <w:t>23</w:t>
            </w:r>
          </w:p>
        </w:tc>
        <w:tc>
          <w:tcPr>
            <w:tcW w:w="124" w:type="pct"/>
            <w:tcBorders>
              <w:top w:val="nil"/>
              <w:left w:val="nil"/>
              <w:bottom w:val="nil"/>
              <w:right w:val="nil"/>
            </w:tcBorders>
          </w:tcPr>
          <w:p w:rsidR="00B704D7" w:rsidRPr="005911E2" w:rsidRDefault="00B704D7" w:rsidP="00B704D7">
            <w:pPr>
              <w:pStyle w:val="braytabletext"/>
              <w:jc w:val="right"/>
            </w:pPr>
          </w:p>
        </w:tc>
        <w:tc>
          <w:tcPr>
            <w:tcW w:w="628" w:type="pct"/>
            <w:tcBorders>
              <w:top w:val="nil"/>
              <w:left w:val="nil"/>
              <w:bottom w:val="nil"/>
              <w:right w:val="nil"/>
            </w:tcBorders>
          </w:tcPr>
          <w:p w:rsidR="00B704D7" w:rsidRPr="005911E2" w:rsidRDefault="00C56AA3" w:rsidP="00B704D7">
            <w:pPr>
              <w:pStyle w:val="braytabletext"/>
              <w:jc w:val="right"/>
            </w:pPr>
            <w:r>
              <w:t>17</w:t>
            </w:r>
          </w:p>
        </w:tc>
        <w:tc>
          <w:tcPr>
            <w:tcW w:w="628" w:type="pct"/>
            <w:tcBorders>
              <w:top w:val="nil"/>
              <w:left w:val="nil"/>
              <w:bottom w:val="nil"/>
              <w:right w:val="nil"/>
            </w:tcBorders>
          </w:tcPr>
          <w:p w:rsidR="00B704D7" w:rsidRPr="005911E2" w:rsidRDefault="00C56AA3" w:rsidP="00B704D7">
            <w:pPr>
              <w:pStyle w:val="braytabletext"/>
              <w:jc w:val="right"/>
            </w:pPr>
            <w:r>
              <w:t>37</w:t>
            </w:r>
          </w:p>
        </w:tc>
        <w:tc>
          <w:tcPr>
            <w:tcW w:w="426" w:type="pct"/>
            <w:tcBorders>
              <w:top w:val="nil"/>
              <w:left w:val="nil"/>
              <w:bottom w:val="nil"/>
              <w:right w:val="nil"/>
            </w:tcBorders>
          </w:tcPr>
          <w:p w:rsidR="00B704D7" w:rsidRPr="005911E2" w:rsidRDefault="00B704D7" w:rsidP="00B704D7">
            <w:pPr>
              <w:pStyle w:val="braytabletext"/>
              <w:jc w:val="right"/>
            </w:pPr>
            <w:r w:rsidRPr="005911E2">
              <w:t>54</w:t>
            </w:r>
          </w:p>
        </w:tc>
      </w:tr>
      <w:tr w:rsidR="00357105" w:rsidRPr="005911E2" w:rsidTr="00357105">
        <w:trPr>
          <w:trHeight w:val="290"/>
          <w:jc w:val="right"/>
        </w:trPr>
        <w:tc>
          <w:tcPr>
            <w:tcW w:w="1655" w:type="pct"/>
            <w:gridSpan w:val="2"/>
            <w:tcBorders>
              <w:top w:val="nil"/>
              <w:left w:val="nil"/>
              <w:bottom w:val="nil"/>
              <w:right w:val="nil"/>
            </w:tcBorders>
          </w:tcPr>
          <w:p w:rsidR="00B704D7" w:rsidRPr="005911E2" w:rsidRDefault="00B704D7" w:rsidP="0094734B">
            <w:pPr>
              <w:pStyle w:val="braytabletext"/>
            </w:pPr>
            <w:r w:rsidRPr="005911E2">
              <w:t>On VIM has exemption</w:t>
            </w:r>
          </w:p>
        </w:tc>
        <w:tc>
          <w:tcPr>
            <w:tcW w:w="496" w:type="pct"/>
            <w:tcBorders>
              <w:top w:val="nil"/>
              <w:left w:val="nil"/>
              <w:bottom w:val="nil"/>
              <w:right w:val="nil"/>
            </w:tcBorders>
          </w:tcPr>
          <w:p w:rsidR="00B704D7" w:rsidRPr="005911E2" w:rsidRDefault="00C56AA3" w:rsidP="00B704D7">
            <w:pPr>
              <w:pStyle w:val="braytabletext"/>
              <w:jc w:val="right"/>
            </w:pPr>
            <w:r>
              <w:t>3</w:t>
            </w:r>
          </w:p>
        </w:tc>
        <w:tc>
          <w:tcPr>
            <w:tcW w:w="628" w:type="pct"/>
            <w:tcBorders>
              <w:top w:val="nil"/>
              <w:left w:val="nil"/>
              <w:bottom w:val="nil"/>
              <w:right w:val="nil"/>
            </w:tcBorders>
          </w:tcPr>
          <w:p w:rsidR="00B704D7" w:rsidRPr="005911E2" w:rsidRDefault="00B704D7" w:rsidP="00B704D7">
            <w:pPr>
              <w:pStyle w:val="braytabletext"/>
              <w:jc w:val="right"/>
            </w:pPr>
            <w:r w:rsidRPr="005911E2">
              <w:t>0</w:t>
            </w:r>
          </w:p>
        </w:tc>
        <w:tc>
          <w:tcPr>
            <w:tcW w:w="417" w:type="pct"/>
            <w:tcBorders>
              <w:top w:val="nil"/>
              <w:left w:val="nil"/>
              <w:bottom w:val="nil"/>
              <w:right w:val="nil"/>
            </w:tcBorders>
          </w:tcPr>
          <w:p w:rsidR="00B704D7" w:rsidRPr="005911E2" w:rsidRDefault="00B704D7" w:rsidP="00B704D7">
            <w:pPr>
              <w:pStyle w:val="braytabletext"/>
              <w:jc w:val="right"/>
            </w:pPr>
            <w:r w:rsidRPr="005911E2">
              <w:t>2</w:t>
            </w:r>
          </w:p>
        </w:tc>
        <w:tc>
          <w:tcPr>
            <w:tcW w:w="124" w:type="pct"/>
            <w:tcBorders>
              <w:top w:val="nil"/>
              <w:left w:val="nil"/>
              <w:bottom w:val="nil"/>
              <w:right w:val="nil"/>
            </w:tcBorders>
          </w:tcPr>
          <w:p w:rsidR="00B704D7" w:rsidRPr="005911E2" w:rsidRDefault="00B704D7" w:rsidP="00B704D7">
            <w:pPr>
              <w:pStyle w:val="braytabletext"/>
              <w:jc w:val="right"/>
            </w:pPr>
          </w:p>
        </w:tc>
        <w:tc>
          <w:tcPr>
            <w:tcW w:w="628" w:type="pct"/>
            <w:tcBorders>
              <w:top w:val="nil"/>
              <w:left w:val="nil"/>
              <w:bottom w:val="nil"/>
              <w:right w:val="nil"/>
            </w:tcBorders>
          </w:tcPr>
          <w:p w:rsidR="00B704D7" w:rsidRPr="005911E2" w:rsidRDefault="00C56AA3" w:rsidP="00B704D7">
            <w:pPr>
              <w:pStyle w:val="braytabletext"/>
              <w:jc w:val="right"/>
            </w:pPr>
            <w:r>
              <w:t>4</w:t>
            </w:r>
          </w:p>
        </w:tc>
        <w:tc>
          <w:tcPr>
            <w:tcW w:w="628" w:type="pct"/>
            <w:tcBorders>
              <w:top w:val="nil"/>
              <w:left w:val="nil"/>
              <w:bottom w:val="nil"/>
              <w:right w:val="nil"/>
            </w:tcBorders>
          </w:tcPr>
          <w:p w:rsidR="00B704D7" w:rsidRPr="005911E2" w:rsidRDefault="00C56AA3" w:rsidP="00B704D7">
            <w:pPr>
              <w:pStyle w:val="braytabletext"/>
              <w:jc w:val="right"/>
            </w:pPr>
            <w:r>
              <w:t>8</w:t>
            </w:r>
          </w:p>
        </w:tc>
        <w:tc>
          <w:tcPr>
            <w:tcW w:w="426" w:type="pct"/>
            <w:tcBorders>
              <w:top w:val="nil"/>
              <w:left w:val="nil"/>
              <w:bottom w:val="nil"/>
              <w:right w:val="nil"/>
            </w:tcBorders>
          </w:tcPr>
          <w:p w:rsidR="00B704D7" w:rsidRPr="005911E2" w:rsidRDefault="00B704D7" w:rsidP="00B704D7">
            <w:pPr>
              <w:pStyle w:val="braytabletext"/>
              <w:jc w:val="right"/>
            </w:pPr>
            <w:r w:rsidRPr="005911E2">
              <w:t>12</w:t>
            </w:r>
          </w:p>
        </w:tc>
      </w:tr>
      <w:tr w:rsidR="00357105" w:rsidRPr="005911E2" w:rsidTr="00357105">
        <w:trPr>
          <w:trHeight w:val="290"/>
          <w:jc w:val="right"/>
        </w:trPr>
        <w:tc>
          <w:tcPr>
            <w:tcW w:w="1655" w:type="pct"/>
            <w:gridSpan w:val="2"/>
            <w:tcBorders>
              <w:top w:val="nil"/>
              <w:left w:val="nil"/>
              <w:bottom w:val="nil"/>
              <w:right w:val="nil"/>
            </w:tcBorders>
          </w:tcPr>
          <w:p w:rsidR="00B704D7" w:rsidRPr="00587AD8" w:rsidRDefault="00B704D7" w:rsidP="0094734B">
            <w:pPr>
              <w:pStyle w:val="braytabletext"/>
              <w:rPr>
                <w:i/>
              </w:rPr>
            </w:pPr>
            <w:r w:rsidRPr="00587AD8">
              <w:rPr>
                <w:i/>
              </w:rPr>
              <w:t>Total</w:t>
            </w:r>
          </w:p>
        </w:tc>
        <w:tc>
          <w:tcPr>
            <w:tcW w:w="496" w:type="pct"/>
            <w:tcBorders>
              <w:top w:val="nil"/>
              <w:left w:val="nil"/>
              <w:bottom w:val="nil"/>
              <w:right w:val="nil"/>
            </w:tcBorders>
          </w:tcPr>
          <w:p w:rsidR="00B704D7" w:rsidRPr="00587AD8" w:rsidRDefault="00B704D7" w:rsidP="00B704D7">
            <w:pPr>
              <w:pStyle w:val="braytabletext"/>
              <w:jc w:val="right"/>
              <w:rPr>
                <w:i/>
              </w:rPr>
            </w:pPr>
            <w:r w:rsidRPr="00587AD8">
              <w:rPr>
                <w:i/>
              </w:rPr>
              <w:t>1</w:t>
            </w:r>
            <w:r w:rsidR="00FB7275" w:rsidRPr="00587AD8">
              <w:rPr>
                <w:i/>
              </w:rPr>
              <w:t> </w:t>
            </w:r>
            <w:r w:rsidRPr="00587AD8">
              <w:rPr>
                <w:i/>
              </w:rPr>
              <w:t>429</w:t>
            </w:r>
          </w:p>
        </w:tc>
        <w:tc>
          <w:tcPr>
            <w:tcW w:w="628" w:type="pct"/>
            <w:tcBorders>
              <w:top w:val="nil"/>
              <w:left w:val="nil"/>
              <w:bottom w:val="nil"/>
              <w:right w:val="nil"/>
            </w:tcBorders>
          </w:tcPr>
          <w:p w:rsidR="00B704D7" w:rsidRPr="00587AD8" w:rsidRDefault="00B704D7" w:rsidP="00B704D7">
            <w:pPr>
              <w:pStyle w:val="braytabletext"/>
              <w:jc w:val="right"/>
              <w:rPr>
                <w:i/>
              </w:rPr>
            </w:pPr>
            <w:r w:rsidRPr="00587AD8">
              <w:rPr>
                <w:i/>
              </w:rPr>
              <w:t>133</w:t>
            </w:r>
          </w:p>
        </w:tc>
        <w:tc>
          <w:tcPr>
            <w:tcW w:w="417" w:type="pct"/>
            <w:tcBorders>
              <w:top w:val="nil"/>
              <w:left w:val="nil"/>
              <w:bottom w:val="nil"/>
              <w:right w:val="nil"/>
            </w:tcBorders>
          </w:tcPr>
          <w:p w:rsidR="00B704D7" w:rsidRPr="00587AD8" w:rsidRDefault="00B704D7" w:rsidP="00B704D7">
            <w:pPr>
              <w:pStyle w:val="braytabletext"/>
              <w:jc w:val="right"/>
              <w:rPr>
                <w:i/>
              </w:rPr>
            </w:pPr>
            <w:r w:rsidRPr="00587AD8">
              <w:rPr>
                <w:i/>
              </w:rPr>
              <w:t>1</w:t>
            </w:r>
            <w:r w:rsidR="00FB7275" w:rsidRPr="00587AD8">
              <w:rPr>
                <w:i/>
              </w:rPr>
              <w:t> </w:t>
            </w:r>
            <w:r w:rsidRPr="00587AD8">
              <w:rPr>
                <w:i/>
              </w:rPr>
              <w:t>562</w:t>
            </w:r>
          </w:p>
        </w:tc>
        <w:tc>
          <w:tcPr>
            <w:tcW w:w="124" w:type="pct"/>
            <w:tcBorders>
              <w:top w:val="nil"/>
              <w:left w:val="nil"/>
              <w:bottom w:val="nil"/>
              <w:right w:val="nil"/>
            </w:tcBorders>
          </w:tcPr>
          <w:p w:rsidR="00B704D7" w:rsidRPr="00587AD8" w:rsidRDefault="00B704D7" w:rsidP="00B704D7">
            <w:pPr>
              <w:pStyle w:val="braytabletext"/>
              <w:jc w:val="right"/>
              <w:rPr>
                <w:i/>
              </w:rPr>
            </w:pPr>
          </w:p>
        </w:tc>
        <w:tc>
          <w:tcPr>
            <w:tcW w:w="628" w:type="pct"/>
            <w:tcBorders>
              <w:top w:val="nil"/>
              <w:left w:val="nil"/>
              <w:bottom w:val="nil"/>
              <w:right w:val="nil"/>
            </w:tcBorders>
          </w:tcPr>
          <w:p w:rsidR="00B704D7" w:rsidRPr="00587AD8" w:rsidRDefault="00B704D7" w:rsidP="00B704D7">
            <w:pPr>
              <w:pStyle w:val="braytabletext"/>
              <w:jc w:val="right"/>
              <w:rPr>
                <w:i/>
              </w:rPr>
            </w:pPr>
            <w:r w:rsidRPr="00587AD8">
              <w:rPr>
                <w:i/>
              </w:rPr>
              <w:t>2</w:t>
            </w:r>
            <w:r w:rsidR="00FB7275" w:rsidRPr="00587AD8">
              <w:rPr>
                <w:i/>
              </w:rPr>
              <w:t> </w:t>
            </w:r>
            <w:r w:rsidRPr="00587AD8">
              <w:rPr>
                <w:i/>
              </w:rPr>
              <w:t>482</w:t>
            </w:r>
          </w:p>
        </w:tc>
        <w:tc>
          <w:tcPr>
            <w:tcW w:w="628" w:type="pct"/>
            <w:tcBorders>
              <w:top w:val="nil"/>
              <w:left w:val="nil"/>
              <w:bottom w:val="nil"/>
              <w:right w:val="nil"/>
            </w:tcBorders>
          </w:tcPr>
          <w:p w:rsidR="00B704D7" w:rsidRPr="00587AD8" w:rsidRDefault="00B704D7" w:rsidP="00B704D7">
            <w:pPr>
              <w:pStyle w:val="braytabletext"/>
              <w:jc w:val="right"/>
              <w:rPr>
                <w:i/>
              </w:rPr>
            </w:pPr>
            <w:r w:rsidRPr="00587AD8">
              <w:rPr>
                <w:i/>
              </w:rPr>
              <w:t>8</w:t>
            </w:r>
            <w:r w:rsidR="00FB7275" w:rsidRPr="00587AD8">
              <w:rPr>
                <w:i/>
              </w:rPr>
              <w:t> </w:t>
            </w:r>
            <w:r w:rsidRPr="00587AD8">
              <w:rPr>
                <w:i/>
              </w:rPr>
              <w:t>621</w:t>
            </w:r>
          </w:p>
        </w:tc>
        <w:tc>
          <w:tcPr>
            <w:tcW w:w="426" w:type="pct"/>
            <w:tcBorders>
              <w:top w:val="nil"/>
              <w:left w:val="nil"/>
              <w:bottom w:val="nil"/>
              <w:right w:val="nil"/>
            </w:tcBorders>
          </w:tcPr>
          <w:p w:rsidR="00B704D7" w:rsidRPr="00587AD8" w:rsidRDefault="00B704D7" w:rsidP="00B704D7">
            <w:pPr>
              <w:pStyle w:val="braytabletext"/>
              <w:jc w:val="right"/>
              <w:rPr>
                <w:i/>
              </w:rPr>
            </w:pPr>
            <w:r w:rsidRPr="00587AD8">
              <w:rPr>
                <w:i/>
              </w:rPr>
              <w:t>11</w:t>
            </w:r>
            <w:r w:rsidR="00FB7275" w:rsidRPr="00587AD8">
              <w:rPr>
                <w:i/>
              </w:rPr>
              <w:t> </w:t>
            </w:r>
            <w:r w:rsidRPr="00587AD8">
              <w:rPr>
                <w:i/>
              </w:rPr>
              <w:t>103</w:t>
            </w:r>
          </w:p>
        </w:tc>
      </w:tr>
      <w:tr w:rsidR="00357105" w:rsidRPr="005911E2" w:rsidTr="00357105">
        <w:trPr>
          <w:trHeight w:val="290"/>
          <w:jc w:val="right"/>
        </w:trPr>
        <w:tc>
          <w:tcPr>
            <w:tcW w:w="1655" w:type="pct"/>
            <w:gridSpan w:val="2"/>
            <w:tcBorders>
              <w:top w:val="nil"/>
              <w:left w:val="nil"/>
              <w:bottom w:val="nil"/>
              <w:right w:val="nil"/>
            </w:tcBorders>
          </w:tcPr>
          <w:p w:rsidR="00B704D7" w:rsidRPr="005911E2" w:rsidRDefault="00B704D7" w:rsidP="0094734B">
            <w:pPr>
              <w:pStyle w:val="braytabletext"/>
            </w:pPr>
            <w:r w:rsidRPr="005911E2">
              <w:t>Not on CIM because of exemption</w:t>
            </w:r>
          </w:p>
        </w:tc>
        <w:tc>
          <w:tcPr>
            <w:tcW w:w="496" w:type="pct"/>
            <w:tcBorders>
              <w:top w:val="nil"/>
              <w:left w:val="nil"/>
              <w:bottom w:val="nil"/>
              <w:right w:val="nil"/>
            </w:tcBorders>
          </w:tcPr>
          <w:p w:rsidR="00B704D7" w:rsidRPr="005911E2" w:rsidRDefault="00B704D7" w:rsidP="00B704D7">
            <w:pPr>
              <w:pStyle w:val="braytabletext"/>
              <w:jc w:val="right"/>
            </w:pPr>
            <w:r w:rsidRPr="005911E2">
              <w:t>980</w:t>
            </w:r>
          </w:p>
        </w:tc>
        <w:tc>
          <w:tcPr>
            <w:tcW w:w="628" w:type="pct"/>
            <w:tcBorders>
              <w:top w:val="nil"/>
              <w:left w:val="nil"/>
              <w:bottom w:val="nil"/>
              <w:right w:val="nil"/>
            </w:tcBorders>
          </w:tcPr>
          <w:p w:rsidR="00B704D7" w:rsidRPr="005911E2" w:rsidRDefault="00B704D7" w:rsidP="00B704D7">
            <w:pPr>
              <w:pStyle w:val="braytabletext"/>
              <w:jc w:val="right"/>
            </w:pPr>
            <w:r w:rsidRPr="005911E2">
              <w:t>8</w:t>
            </w:r>
          </w:p>
        </w:tc>
        <w:tc>
          <w:tcPr>
            <w:tcW w:w="417" w:type="pct"/>
            <w:tcBorders>
              <w:top w:val="nil"/>
              <w:left w:val="nil"/>
              <w:bottom w:val="nil"/>
              <w:right w:val="nil"/>
            </w:tcBorders>
          </w:tcPr>
          <w:p w:rsidR="00B704D7" w:rsidRPr="005911E2" w:rsidRDefault="00B704D7" w:rsidP="00B704D7">
            <w:pPr>
              <w:pStyle w:val="braytabletext"/>
              <w:jc w:val="right"/>
            </w:pPr>
            <w:r w:rsidRPr="005911E2">
              <w:t>988</w:t>
            </w:r>
          </w:p>
        </w:tc>
        <w:tc>
          <w:tcPr>
            <w:tcW w:w="124" w:type="pct"/>
            <w:tcBorders>
              <w:top w:val="nil"/>
              <w:left w:val="nil"/>
              <w:bottom w:val="nil"/>
              <w:right w:val="nil"/>
            </w:tcBorders>
          </w:tcPr>
          <w:p w:rsidR="00B704D7" w:rsidRPr="005911E2" w:rsidRDefault="00B704D7" w:rsidP="00B704D7">
            <w:pPr>
              <w:pStyle w:val="braytabletext"/>
              <w:jc w:val="right"/>
            </w:pPr>
          </w:p>
        </w:tc>
        <w:tc>
          <w:tcPr>
            <w:tcW w:w="628" w:type="pct"/>
            <w:tcBorders>
              <w:top w:val="nil"/>
              <w:left w:val="nil"/>
              <w:bottom w:val="nil"/>
              <w:right w:val="nil"/>
            </w:tcBorders>
          </w:tcPr>
          <w:p w:rsidR="00B704D7" w:rsidRPr="005911E2" w:rsidRDefault="00B704D7" w:rsidP="00B704D7">
            <w:pPr>
              <w:pStyle w:val="braytabletext"/>
              <w:jc w:val="right"/>
            </w:pPr>
            <w:r w:rsidRPr="005911E2">
              <w:t>428</w:t>
            </w:r>
          </w:p>
        </w:tc>
        <w:tc>
          <w:tcPr>
            <w:tcW w:w="628" w:type="pct"/>
            <w:tcBorders>
              <w:top w:val="nil"/>
              <w:left w:val="nil"/>
              <w:bottom w:val="nil"/>
              <w:right w:val="nil"/>
            </w:tcBorders>
          </w:tcPr>
          <w:p w:rsidR="00B704D7" w:rsidRPr="005911E2" w:rsidRDefault="00B704D7" w:rsidP="00B704D7">
            <w:pPr>
              <w:pStyle w:val="braytabletext"/>
              <w:jc w:val="right"/>
            </w:pPr>
            <w:r w:rsidRPr="005911E2">
              <w:t>120</w:t>
            </w:r>
          </w:p>
        </w:tc>
        <w:tc>
          <w:tcPr>
            <w:tcW w:w="426" w:type="pct"/>
            <w:tcBorders>
              <w:top w:val="nil"/>
              <w:left w:val="nil"/>
              <w:bottom w:val="nil"/>
              <w:right w:val="nil"/>
            </w:tcBorders>
          </w:tcPr>
          <w:p w:rsidR="00B704D7" w:rsidRPr="005911E2" w:rsidRDefault="00B704D7" w:rsidP="00B704D7">
            <w:pPr>
              <w:pStyle w:val="braytabletext"/>
              <w:jc w:val="right"/>
            </w:pPr>
            <w:r w:rsidRPr="005911E2">
              <w:t>548</w:t>
            </w:r>
          </w:p>
        </w:tc>
      </w:tr>
      <w:tr w:rsidR="00357105" w:rsidRPr="005911E2" w:rsidTr="00357105">
        <w:trPr>
          <w:trHeight w:val="290"/>
          <w:jc w:val="right"/>
        </w:trPr>
        <w:tc>
          <w:tcPr>
            <w:tcW w:w="1655" w:type="pct"/>
            <w:gridSpan w:val="2"/>
            <w:tcBorders>
              <w:top w:val="nil"/>
              <w:left w:val="nil"/>
              <w:bottom w:val="single" w:sz="4" w:space="0" w:color="auto"/>
              <w:right w:val="nil"/>
            </w:tcBorders>
          </w:tcPr>
          <w:p w:rsidR="00B704D7" w:rsidRPr="005911E2" w:rsidRDefault="00B704D7" w:rsidP="0094734B">
            <w:pPr>
              <w:pStyle w:val="braytabletext"/>
            </w:pPr>
            <w:r w:rsidRPr="005911E2">
              <w:t>Total compulsory incl. exemption</w:t>
            </w:r>
          </w:p>
        </w:tc>
        <w:tc>
          <w:tcPr>
            <w:tcW w:w="496" w:type="pct"/>
            <w:tcBorders>
              <w:top w:val="nil"/>
              <w:left w:val="nil"/>
              <w:bottom w:val="single" w:sz="4" w:space="0" w:color="auto"/>
              <w:right w:val="nil"/>
            </w:tcBorders>
          </w:tcPr>
          <w:p w:rsidR="00B704D7" w:rsidRPr="005911E2" w:rsidRDefault="00B704D7" w:rsidP="00B704D7">
            <w:pPr>
              <w:pStyle w:val="braytabletext"/>
              <w:jc w:val="right"/>
            </w:pPr>
            <w:r w:rsidRPr="005911E2">
              <w:t>2</w:t>
            </w:r>
            <w:r w:rsidR="00FB7275">
              <w:t> </w:t>
            </w:r>
            <w:r w:rsidRPr="005911E2">
              <w:t>409</w:t>
            </w:r>
          </w:p>
        </w:tc>
        <w:tc>
          <w:tcPr>
            <w:tcW w:w="628" w:type="pct"/>
            <w:tcBorders>
              <w:top w:val="nil"/>
              <w:left w:val="nil"/>
              <w:bottom w:val="single" w:sz="4" w:space="0" w:color="auto"/>
              <w:right w:val="nil"/>
            </w:tcBorders>
          </w:tcPr>
          <w:p w:rsidR="00B704D7" w:rsidRPr="005911E2" w:rsidRDefault="00B704D7" w:rsidP="00B704D7">
            <w:pPr>
              <w:pStyle w:val="braytabletext"/>
              <w:jc w:val="right"/>
            </w:pPr>
            <w:r w:rsidRPr="005911E2">
              <w:t>141</w:t>
            </w:r>
          </w:p>
        </w:tc>
        <w:tc>
          <w:tcPr>
            <w:tcW w:w="417" w:type="pct"/>
            <w:tcBorders>
              <w:top w:val="nil"/>
              <w:left w:val="nil"/>
              <w:bottom w:val="single" w:sz="4" w:space="0" w:color="auto"/>
              <w:right w:val="nil"/>
            </w:tcBorders>
          </w:tcPr>
          <w:p w:rsidR="00B704D7" w:rsidRPr="005911E2" w:rsidRDefault="00B704D7" w:rsidP="00B704D7">
            <w:pPr>
              <w:pStyle w:val="braytabletext"/>
              <w:jc w:val="right"/>
            </w:pPr>
            <w:r w:rsidRPr="005911E2">
              <w:t>2</w:t>
            </w:r>
            <w:r w:rsidR="00FB7275">
              <w:t> </w:t>
            </w:r>
            <w:r w:rsidRPr="005911E2">
              <w:t>550</w:t>
            </w:r>
          </w:p>
        </w:tc>
        <w:tc>
          <w:tcPr>
            <w:tcW w:w="124" w:type="pct"/>
            <w:tcBorders>
              <w:top w:val="nil"/>
              <w:left w:val="nil"/>
              <w:bottom w:val="single" w:sz="4" w:space="0" w:color="auto"/>
              <w:right w:val="nil"/>
            </w:tcBorders>
          </w:tcPr>
          <w:p w:rsidR="00B704D7" w:rsidRPr="005911E2" w:rsidRDefault="00B704D7" w:rsidP="00B704D7">
            <w:pPr>
              <w:pStyle w:val="braytabletext"/>
              <w:jc w:val="right"/>
            </w:pPr>
          </w:p>
        </w:tc>
        <w:tc>
          <w:tcPr>
            <w:tcW w:w="628" w:type="pct"/>
            <w:tcBorders>
              <w:top w:val="nil"/>
              <w:left w:val="nil"/>
              <w:bottom w:val="single" w:sz="4" w:space="0" w:color="auto"/>
              <w:right w:val="nil"/>
            </w:tcBorders>
          </w:tcPr>
          <w:p w:rsidR="00B704D7" w:rsidRPr="005911E2" w:rsidRDefault="00B704D7" w:rsidP="00B704D7">
            <w:pPr>
              <w:pStyle w:val="braytabletext"/>
              <w:jc w:val="right"/>
            </w:pPr>
            <w:r w:rsidRPr="005911E2">
              <w:t>2</w:t>
            </w:r>
            <w:r w:rsidR="00FB7275">
              <w:t> </w:t>
            </w:r>
            <w:r w:rsidRPr="005911E2">
              <w:t>910</w:t>
            </w:r>
          </w:p>
        </w:tc>
        <w:tc>
          <w:tcPr>
            <w:tcW w:w="628" w:type="pct"/>
            <w:tcBorders>
              <w:top w:val="nil"/>
              <w:left w:val="nil"/>
              <w:bottom w:val="single" w:sz="4" w:space="0" w:color="auto"/>
              <w:right w:val="nil"/>
            </w:tcBorders>
          </w:tcPr>
          <w:p w:rsidR="00B704D7" w:rsidRPr="005911E2" w:rsidRDefault="00B704D7" w:rsidP="00B704D7">
            <w:pPr>
              <w:pStyle w:val="braytabletext"/>
              <w:jc w:val="right"/>
            </w:pPr>
            <w:r w:rsidRPr="005911E2">
              <w:t>8</w:t>
            </w:r>
            <w:r w:rsidR="00FB7275">
              <w:t> </w:t>
            </w:r>
            <w:r w:rsidRPr="005911E2">
              <w:t>741</w:t>
            </w:r>
          </w:p>
        </w:tc>
        <w:tc>
          <w:tcPr>
            <w:tcW w:w="426" w:type="pct"/>
            <w:tcBorders>
              <w:top w:val="nil"/>
              <w:left w:val="nil"/>
              <w:bottom w:val="single" w:sz="4" w:space="0" w:color="auto"/>
              <w:right w:val="nil"/>
            </w:tcBorders>
          </w:tcPr>
          <w:p w:rsidR="00B704D7" w:rsidRPr="005911E2" w:rsidRDefault="00B704D7" w:rsidP="00B704D7">
            <w:pPr>
              <w:pStyle w:val="braytabletext"/>
              <w:jc w:val="right"/>
            </w:pPr>
            <w:r w:rsidRPr="005911E2">
              <w:t>11</w:t>
            </w:r>
            <w:r w:rsidR="00FB7275">
              <w:t> </w:t>
            </w:r>
            <w:r w:rsidRPr="005911E2">
              <w:t>651</w:t>
            </w:r>
          </w:p>
        </w:tc>
      </w:tr>
      <w:tr w:rsidR="00F02BC3" w:rsidRPr="005911E2" w:rsidTr="00FB7275">
        <w:trPr>
          <w:trHeight w:val="290"/>
          <w:jc w:val="right"/>
        </w:trPr>
        <w:tc>
          <w:tcPr>
            <w:tcW w:w="1655" w:type="pct"/>
            <w:gridSpan w:val="2"/>
            <w:tcBorders>
              <w:top w:val="single" w:sz="4" w:space="0" w:color="auto"/>
              <w:left w:val="nil"/>
              <w:bottom w:val="nil"/>
              <w:right w:val="nil"/>
            </w:tcBorders>
          </w:tcPr>
          <w:p w:rsidR="00F02BC3" w:rsidRPr="005911E2" w:rsidRDefault="00F02BC3" w:rsidP="0094734B">
            <w:pPr>
              <w:pStyle w:val="braytabletext"/>
            </w:pPr>
          </w:p>
        </w:tc>
        <w:tc>
          <w:tcPr>
            <w:tcW w:w="3345" w:type="pct"/>
            <w:gridSpan w:val="7"/>
            <w:tcBorders>
              <w:top w:val="single" w:sz="4" w:space="0" w:color="auto"/>
              <w:left w:val="nil"/>
              <w:bottom w:val="nil"/>
              <w:right w:val="nil"/>
            </w:tcBorders>
          </w:tcPr>
          <w:p w:rsidR="00F02BC3" w:rsidRPr="005911E2" w:rsidRDefault="00F02BC3" w:rsidP="00F02BC3">
            <w:pPr>
              <w:pStyle w:val="braytabletext"/>
              <w:jc w:val="center"/>
            </w:pPr>
            <w:r w:rsidRPr="005911E2">
              <w:t>- % -</w:t>
            </w:r>
          </w:p>
        </w:tc>
      </w:tr>
      <w:tr w:rsidR="00357105" w:rsidRPr="005911E2" w:rsidTr="00357105">
        <w:trPr>
          <w:trHeight w:val="290"/>
          <w:jc w:val="right"/>
        </w:trPr>
        <w:tc>
          <w:tcPr>
            <w:tcW w:w="1655" w:type="pct"/>
            <w:gridSpan w:val="2"/>
            <w:tcBorders>
              <w:top w:val="nil"/>
              <w:left w:val="nil"/>
              <w:bottom w:val="nil"/>
              <w:right w:val="nil"/>
            </w:tcBorders>
          </w:tcPr>
          <w:p w:rsidR="00B704D7" w:rsidRPr="005911E2" w:rsidRDefault="00B704D7" w:rsidP="0094734B">
            <w:pPr>
              <w:pStyle w:val="braytabletext"/>
            </w:pPr>
            <w:r w:rsidRPr="005911E2">
              <w:t>Per cent with exemption</w:t>
            </w:r>
          </w:p>
        </w:tc>
        <w:tc>
          <w:tcPr>
            <w:tcW w:w="496" w:type="pct"/>
            <w:tcBorders>
              <w:top w:val="nil"/>
              <w:left w:val="nil"/>
              <w:bottom w:val="nil"/>
              <w:right w:val="nil"/>
            </w:tcBorders>
          </w:tcPr>
          <w:p w:rsidR="00B704D7" w:rsidRPr="005911E2" w:rsidRDefault="00B704D7" w:rsidP="00B704D7">
            <w:pPr>
              <w:pStyle w:val="braytabletext"/>
              <w:jc w:val="right"/>
            </w:pPr>
            <w:r w:rsidRPr="005911E2">
              <w:t>40.8</w:t>
            </w:r>
          </w:p>
        </w:tc>
        <w:tc>
          <w:tcPr>
            <w:tcW w:w="628" w:type="pct"/>
            <w:tcBorders>
              <w:top w:val="nil"/>
              <w:left w:val="nil"/>
              <w:bottom w:val="nil"/>
              <w:right w:val="nil"/>
            </w:tcBorders>
          </w:tcPr>
          <w:p w:rsidR="00B704D7" w:rsidRPr="005911E2" w:rsidRDefault="00B704D7" w:rsidP="00B704D7">
            <w:pPr>
              <w:pStyle w:val="braytabletext"/>
              <w:jc w:val="right"/>
            </w:pPr>
            <w:r w:rsidRPr="005911E2">
              <w:t>5.7</w:t>
            </w:r>
          </w:p>
        </w:tc>
        <w:tc>
          <w:tcPr>
            <w:tcW w:w="417" w:type="pct"/>
            <w:tcBorders>
              <w:top w:val="nil"/>
              <w:left w:val="nil"/>
              <w:bottom w:val="nil"/>
              <w:right w:val="nil"/>
            </w:tcBorders>
          </w:tcPr>
          <w:p w:rsidR="00B704D7" w:rsidRPr="005911E2" w:rsidRDefault="00B704D7" w:rsidP="00B704D7">
            <w:pPr>
              <w:pStyle w:val="braytabletext"/>
              <w:jc w:val="right"/>
            </w:pPr>
            <w:r w:rsidRPr="005911E2">
              <w:t>38.8</w:t>
            </w:r>
          </w:p>
        </w:tc>
        <w:tc>
          <w:tcPr>
            <w:tcW w:w="124" w:type="pct"/>
            <w:tcBorders>
              <w:top w:val="nil"/>
              <w:left w:val="nil"/>
              <w:bottom w:val="nil"/>
              <w:right w:val="nil"/>
            </w:tcBorders>
          </w:tcPr>
          <w:p w:rsidR="00B704D7" w:rsidRPr="005911E2" w:rsidRDefault="00B704D7" w:rsidP="00B704D7">
            <w:pPr>
              <w:pStyle w:val="braytabletext"/>
              <w:jc w:val="right"/>
            </w:pPr>
          </w:p>
        </w:tc>
        <w:tc>
          <w:tcPr>
            <w:tcW w:w="628" w:type="pct"/>
            <w:tcBorders>
              <w:top w:val="nil"/>
              <w:left w:val="nil"/>
              <w:bottom w:val="nil"/>
              <w:right w:val="nil"/>
            </w:tcBorders>
          </w:tcPr>
          <w:p w:rsidR="00B704D7" w:rsidRPr="005911E2" w:rsidRDefault="00B704D7" w:rsidP="00B704D7">
            <w:pPr>
              <w:pStyle w:val="braytabletext"/>
              <w:jc w:val="right"/>
            </w:pPr>
            <w:r w:rsidRPr="005911E2">
              <w:t>14.8</w:t>
            </w:r>
          </w:p>
        </w:tc>
        <w:tc>
          <w:tcPr>
            <w:tcW w:w="628" w:type="pct"/>
            <w:tcBorders>
              <w:top w:val="nil"/>
              <w:left w:val="nil"/>
              <w:bottom w:val="nil"/>
              <w:right w:val="nil"/>
            </w:tcBorders>
          </w:tcPr>
          <w:p w:rsidR="00B704D7" w:rsidRPr="005911E2" w:rsidRDefault="00B704D7" w:rsidP="00B704D7">
            <w:pPr>
              <w:pStyle w:val="braytabletext"/>
              <w:jc w:val="right"/>
            </w:pPr>
            <w:r w:rsidRPr="005911E2">
              <w:t>1.5</w:t>
            </w:r>
          </w:p>
        </w:tc>
        <w:tc>
          <w:tcPr>
            <w:tcW w:w="426" w:type="pct"/>
            <w:tcBorders>
              <w:top w:val="nil"/>
              <w:left w:val="nil"/>
              <w:bottom w:val="nil"/>
              <w:right w:val="nil"/>
            </w:tcBorders>
          </w:tcPr>
          <w:p w:rsidR="00B704D7" w:rsidRPr="005911E2" w:rsidRDefault="00B704D7" w:rsidP="00B704D7">
            <w:pPr>
              <w:pStyle w:val="braytabletext"/>
              <w:jc w:val="right"/>
            </w:pPr>
            <w:r w:rsidRPr="005911E2">
              <w:t>4.8</w:t>
            </w:r>
          </w:p>
        </w:tc>
      </w:tr>
      <w:tr w:rsidR="00357105" w:rsidRPr="005911E2" w:rsidTr="00357105">
        <w:trPr>
          <w:trHeight w:val="290"/>
          <w:jc w:val="right"/>
        </w:trPr>
        <w:tc>
          <w:tcPr>
            <w:tcW w:w="1655" w:type="pct"/>
            <w:gridSpan w:val="2"/>
            <w:tcBorders>
              <w:top w:val="nil"/>
              <w:left w:val="nil"/>
              <w:bottom w:val="nil"/>
              <w:right w:val="nil"/>
            </w:tcBorders>
          </w:tcPr>
          <w:p w:rsidR="00B704D7" w:rsidRPr="005911E2" w:rsidRDefault="00B704D7" w:rsidP="0094734B">
            <w:pPr>
              <w:pStyle w:val="braytabletext"/>
            </w:pPr>
            <w:r w:rsidRPr="005911E2">
              <w:t>Per cent applied for exemption</w:t>
            </w:r>
          </w:p>
        </w:tc>
        <w:tc>
          <w:tcPr>
            <w:tcW w:w="496" w:type="pct"/>
            <w:tcBorders>
              <w:top w:val="nil"/>
              <w:left w:val="nil"/>
              <w:bottom w:val="nil"/>
              <w:right w:val="nil"/>
            </w:tcBorders>
          </w:tcPr>
          <w:p w:rsidR="00B704D7" w:rsidRPr="005911E2" w:rsidRDefault="00B704D7" w:rsidP="00B704D7">
            <w:pPr>
              <w:pStyle w:val="braytabletext"/>
              <w:jc w:val="right"/>
            </w:pPr>
            <w:r w:rsidRPr="005911E2">
              <w:t>51.1</w:t>
            </w:r>
          </w:p>
        </w:tc>
        <w:tc>
          <w:tcPr>
            <w:tcW w:w="628" w:type="pct"/>
            <w:tcBorders>
              <w:top w:val="nil"/>
              <w:left w:val="nil"/>
              <w:bottom w:val="nil"/>
              <w:right w:val="nil"/>
            </w:tcBorders>
          </w:tcPr>
          <w:p w:rsidR="00B704D7" w:rsidRPr="005911E2" w:rsidRDefault="00B704D7" w:rsidP="00B704D7">
            <w:pPr>
              <w:pStyle w:val="braytabletext"/>
              <w:jc w:val="right"/>
            </w:pPr>
            <w:r w:rsidRPr="005911E2">
              <w:t>8.5</w:t>
            </w:r>
          </w:p>
        </w:tc>
        <w:tc>
          <w:tcPr>
            <w:tcW w:w="417" w:type="pct"/>
            <w:tcBorders>
              <w:top w:val="nil"/>
              <w:left w:val="nil"/>
              <w:bottom w:val="nil"/>
              <w:right w:val="nil"/>
            </w:tcBorders>
          </w:tcPr>
          <w:p w:rsidR="00B704D7" w:rsidRPr="005911E2" w:rsidRDefault="00B704D7" w:rsidP="00B704D7">
            <w:pPr>
              <w:pStyle w:val="braytabletext"/>
              <w:jc w:val="right"/>
            </w:pPr>
            <w:r w:rsidRPr="005911E2">
              <w:t>48.7</w:t>
            </w:r>
          </w:p>
        </w:tc>
        <w:tc>
          <w:tcPr>
            <w:tcW w:w="124" w:type="pct"/>
            <w:tcBorders>
              <w:top w:val="nil"/>
              <w:left w:val="nil"/>
              <w:bottom w:val="nil"/>
              <w:right w:val="nil"/>
            </w:tcBorders>
          </w:tcPr>
          <w:p w:rsidR="00B704D7" w:rsidRPr="005911E2" w:rsidRDefault="00B704D7" w:rsidP="00B704D7">
            <w:pPr>
              <w:pStyle w:val="braytabletext"/>
              <w:jc w:val="right"/>
            </w:pPr>
          </w:p>
        </w:tc>
        <w:tc>
          <w:tcPr>
            <w:tcW w:w="628" w:type="pct"/>
            <w:tcBorders>
              <w:top w:val="nil"/>
              <w:left w:val="nil"/>
              <w:bottom w:val="nil"/>
              <w:right w:val="nil"/>
            </w:tcBorders>
          </w:tcPr>
          <w:p w:rsidR="00B704D7" w:rsidRPr="005911E2" w:rsidRDefault="00B704D7" w:rsidP="00B704D7">
            <w:pPr>
              <w:pStyle w:val="braytabletext"/>
              <w:jc w:val="right"/>
            </w:pPr>
            <w:r w:rsidRPr="005911E2">
              <w:t>27.1</w:t>
            </w:r>
          </w:p>
        </w:tc>
        <w:tc>
          <w:tcPr>
            <w:tcW w:w="628" w:type="pct"/>
            <w:tcBorders>
              <w:top w:val="nil"/>
              <w:left w:val="nil"/>
              <w:bottom w:val="nil"/>
              <w:right w:val="nil"/>
            </w:tcBorders>
          </w:tcPr>
          <w:p w:rsidR="00B704D7" w:rsidRPr="005911E2" w:rsidRDefault="00B704D7" w:rsidP="00B704D7">
            <w:pPr>
              <w:pStyle w:val="braytabletext"/>
              <w:jc w:val="right"/>
            </w:pPr>
            <w:r w:rsidRPr="005911E2">
              <w:t>8.5</w:t>
            </w:r>
          </w:p>
        </w:tc>
        <w:tc>
          <w:tcPr>
            <w:tcW w:w="426" w:type="pct"/>
            <w:tcBorders>
              <w:top w:val="nil"/>
              <w:left w:val="nil"/>
              <w:bottom w:val="nil"/>
              <w:right w:val="nil"/>
            </w:tcBorders>
          </w:tcPr>
          <w:p w:rsidR="00B704D7" w:rsidRPr="005911E2" w:rsidRDefault="00B704D7" w:rsidP="00B704D7">
            <w:pPr>
              <w:pStyle w:val="braytabletext"/>
              <w:jc w:val="right"/>
            </w:pPr>
            <w:r w:rsidRPr="005911E2">
              <w:t>13.2</w:t>
            </w:r>
          </w:p>
        </w:tc>
      </w:tr>
      <w:tr w:rsidR="00357105" w:rsidRPr="005911E2" w:rsidTr="00357105">
        <w:trPr>
          <w:trHeight w:val="290"/>
          <w:jc w:val="right"/>
        </w:trPr>
        <w:tc>
          <w:tcPr>
            <w:tcW w:w="1655" w:type="pct"/>
            <w:gridSpan w:val="2"/>
            <w:tcBorders>
              <w:top w:val="nil"/>
              <w:left w:val="nil"/>
              <w:right w:val="nil"/>
            </w:tcBorders>
          </w:tcPr>
          <w:p w:rsidR="00B704D7" w:rsidRPr="005911E2" w:rsidRDefault="00B704D7" w:rsidP="0094734B">
            <w:pPr>
              <w:pStyle w:val="braytabletext"/>
            </w:pPr>
            <w:r w:rsidRPr="005911E2">
              <w:t>Per cent successful</w:t>
            </w:r>
          </w:p>
        </w:tc>
        <w:tc>
          <w:tcPr>
            <w:tcW w:w="496" w:type="pct"/>
            <w:tcBorders>
              <w:top w:val="nil"/>
              <w:left w:val="nil"/>
              <w:right w:val="nil"/>
            </w:tcBorders>
          </w:tcPr>
          <w:p w:rsidR="00B704D7" w:rsidRPr="005911E2" w:rsidRDefault="00B704D7" w:rsidP="00B704D7">
            <w:pPr>
              <w:pStyle w:val="braytabletext"/>
              <w:jc w:val="right"/>
            </w:pPr>
            <w:r w:rsidRPr="005911E2">
              <w:t>79.8</w:t>
            </w:r>
          </w:p>
        </w:tc>
        <w:tc>
          <w:tcPr>
            <w:tcW w:w="628" w:type="pct"/>
            <w:tcBorders>
              <w:top w:val="nil"/>
              <w:left w:val="nil"/>
              <w:right w:val="nil"/>
            </w:tcBorders>
          </w:tcPr>
          <w:p w:rsidR="00B704D7" w:rsidRPr="005911E2" w:rsidRDefault="00B704D7" w:rsidP="00B704D7">
            <w:pPr>
              <w:pStyle w:val="braytabletext"/>
              <w:jc w:val="right"/>
            </w:pPr>
            <w:r w:rsidRPr="005911E2">
              <w:t>66.7</w:t>
            </w:r>
          </w:p>
        </w:tc>
        <w:tc>
          <w:tcPr>
            <w:tcW w:w="417" w:type="pct"/>
            <w:tcBorders>
              <w:top w:val="nil"/>
              <w:left w:val="nil"/>
              <w:right w:val="nil"/>
            </w:tcBorders>
          </w:tcPr>
          <w:p w:rsidR="00B704D7" w:rsidRPr="005911E2" w:rsidRDefault="00B704D7" w:rsidP="00B704D7">
            <w:pPr>
              <w:pStyle w:val="braytabletext"/>
              <w:jc w:val="right"/>
            </w:pPr>
            <w:r w:rsidRPr="005911E2">
              <w:t>79.6</w:t>
            </w:r>
          </w:p>
        </w:tc>
        <w:tc>
          <w:tcPr>
            <w:tcW w:w="124" w:type="pct"/>
            <w:tcBorders>
              <w:top w:val="nil"/>
              <w:left w:val="nil"/>
              <w:right w:val="nil"/>
            </w:tcBorders>
          </w:tcPr>
          <w:p w:rsidR="00B704D7" w:rsidRPr="005911E2" w:rsidRDefault="00B704D7" w:rsidP="00B704D7">
            <w:pPr>
              <w:pStyle w:val="braytabletext"/>
              <w:jc w:val="right"/>
            </w:pPr>
          </w:p>
        </w:tc>
        <w:tc>
          <w:tcPr>
            <w:tcW w:w="628" w:type="pct"/>
            <w:tcBorders>
              <w:top w:val="nil"/>
              <w:left w:val="nil"/>
              <w:right w:val="nil"/>
            </w:tcBorders>
          </w:tcPr>
          <w:p w:rsidR="00B704D7" w:rsidRPr="005911E2" w:rsidRDefault="00B704D7" w:rsidP="00B704D7">
            <w:pPr>
              <w:pStyle w:val="braytabletext"/>
              <w:jc w:val="right"/>
            </w:pPr>
            <w:r w:rsidRPr="005911E2">
              <w:t>54.6</w:t>
            </w:r>
          </w:p>
        </w:tc>
        <w:tc>
          <w:tcPr>
            <w:tcW w:w="628" w:type="pct"/>
            <w:tcBorders>
              <w:top w:val="nil"/>
              <w:left w:val="nil"/>
              <w:right w:val="nil"/>
            </w:tcBorders>
          </w:tcPr>
          <w:p w:rsidR="00B704D7" w:rsidRPr="005911E2" w:rsidRDefault="00B704D7" w:rsidP="00B704D7">
            <w:pPr>
              <w:pStyle w:val="braytabletext"/>
              <w:jc w:val="right"/>
            </w:pPr>
            <w:r w:rsidRPr="005911E2">
              <w:t>17.3</w:t>
            </w:r>
          </w:p>
        </w:tc>
        <w:tc>
          <w:tcPr>
            <w:tcW w:w="426" w:type="pct"/>
            <w:tcBorders>
              <w:top w:val="nil"/>
              <w:left w:val="nil"/>
              <w:right w:val="nil"/>
            </w:tcBorders>
          </w:tcPr>
          <w:p w:rsidR="00B704D7" w:rsidRPr="005911E2" w:rsidRDefault="00B704D7" w:rsidP="00B704D7">
            <w:pPr>
              <w:pStyle w:val="braytabletext"/>
              <w:jc w:val="right"/>
            </w:pPr>
            <w:r w:rsidRPr="005911E2">
              <w:t>36.5</w:t>
            </w:r>
          </w:p>
        </w:tc>
      </w:tr>
      <w:tr w:rsidR="00357105" w:rsidRPr="005911E2" w:rsidTr="00357105">
        <w:trPr>
          <w:trHeight w:val="290"/>
          <w:jc w:val="right"/>
        </w:trPr>
        <w:tc>
          <w:tcPr>
            <w:tcW w:w="1655" w:type="pct"/>
            <w:gridSpan w:val="2"/>
            <w:tcBorders>
              <w:top w:val="nil"/>
              <w:left w:val="nil"/>
              <w:bottom w:val="single" w:sz="4" w:space="0" w:color="auto"/>
              <w:right w:val="nil"/>
            </w:tcBorders>
          </w:tcPr>
          <w:p w:rsidR="00B704D7" w:rsidRPr="005911E2" w:rsidRDefault="00B704D7" w:rsidP="0094734B">
            <w:pPr>
              <w:pStyle w:val="braytabletext"/>
            </w:pPr>
            <w:r w:rsidRPr="005911E2">
              <w:t>Per cent not withdrawn successful</w:t>
            </w:r>
          </w:p>
        </w:tc>
        <w:tc>
          <w:tcPr>
            <w:tcW w:w="496" w:type="pct"/>
            <w:tcBorders>
              <w:top w:val="nil"/>
              <w:left w:val="nil"/>
              <w:bottom w:val="single" w:sz="4" w:space="0" w:color="auto"/>
              <w:right w:val="nil"/>
            </w:tcBorders>
          </w:tcPr>
          <w:p w:rsidR="00B704D7" w:rsidRPr="005911E2" w:rsidRDefault="00B704D7" w:rsidP="00B704D7">
            <w:pPr>
              <w:pStyle w:val="braytabletext"/>
              <w:jc w:val="right"/>
            </w:pPr>
            <w:r w:rsidRPr="005911E2">
              <w:t>81.3</w:t>
            </w:r>
          </w:p>
        </w:tc>
        <w:tc>
          <w:tcPr>
            <w:tcW w:w="628" w:type="pct"/>
            <w:tcBorders>
              <w:top w:val="nil"/>
              <w:left w:val="nil"/>
              <w:bottom w:val="single" w:sz="4" w:space="0" w:color="auto"/>
              <w:right w:val="nil"/>
            </w:tcBorders>
          </w:tcPr>
          <w:p w:rsidR="00B704D7" w:rsidRPr="005911E2" w:rsidRDefault="00B704D7" w:rsidP="00B704D7">
            <w:pPr>
              <w:pStyle w:val="braytabletext"/>
              <w:jc w:val="right"/>
            </w:pPr>
            <w:r w:rsidRPr="005911E2">
              <w:t>66.7</w:t>
            </w:r>
          </w:p>
        </w:tc>
        <w:tc>
          <w:tcPr>
            <w:tcW w:w="417" w:type="pct"/>
            <w:tcBorders>
              <w:top w:val="nil"/>
              <w:left w:val="nil"/>
              <w:bottom w:val="single" w:sz="4" w:space="0" w:color="auto"/>
              <w:right w:val="nil"/>
            </w:tcBorders>
          </w:tcPr>
          <w:p w:rsidR="00B704D7" w:rsidRPr="005911E2" w:rsidRDefault="00B704D7" w:rsidP="00B704D7">
            <w:pPr>
              <w:pStyle w:val="braytabletext"/>
              <w:jc w:val="right"/>
            </w:pPr>
            <w:r w:rsidRPr="005911E2">
              <w:t>81.1</w:t>
            </w:r>
          </w:p>
        </w:tc>
        <w:tc>
          <w:tcPr>
            <w:tcW w:w="124" w:type="pct"/>
            <w:tcBorders>
              <w:top w:val="nil"/>
              <w:left w:val="nil"/>
              <w:bottom w:val="single" w:sz="4" w:space="0" w:color="auto"/>
              <w:right w:val="nil"/>
            </w:tcBorders>
          </w:tcPr>
          <w:p w:rsidR="00B704D7" w:rsidRPr="005911E2" w:rsidRDefault="00B704D7" w:rsidP="00B704D7">
            <w:pPr>
              <w:pStyle w:val="braytabletext"/>
              <w:jc w:val="right"/>
            </w:pPr>
          </w:p>
        </w:tc>
        <w:tc>
          <w:tcPr>
            <w:tcW w:w="628" w:type="pct"/>
            <w:tcBorders>
              <w:top w:val="nil"/>
              <w:left w:val="nil"/>
              <w:bottom w:val="single" w:sz="4" w:space="0" w:color="auto"/>
              <w:right w:val="nil"/>
            </w:tcBorders>
          </w:tcPr>
          <w:p w:rsidR="00B704D7" w:rsidRPr="005911E2" w:rsidRDefault="00B704D7" w:rsidP="00B704D7">
            <w:pPr>
              <w:pStyle w:val="braytabletext"/>
              <w:jc w:val="right"/>
            </w:pPr>
            <w:r w:rsidRPr="005911E2">
              <w:t>55.9</w:t>
            </w:r>
          </w:p>
        </w:tc>
        <w:tc>
          <w:tcPr>
            <w:tcW w:w="628" w:type="pct"/>
            <w:tcBorders>
              <w:top w:val="nil"/>
              <w:left w:val="nil"/>
              <w:bottom w:val="single" w:sz="4" w:space="0" w:color="auto"/>
              <w:right w:val="nil"/>
            </w:tcBorders>
          </w:tcPr>
          <w:p w:rsidR="00B704D7" w:rsidRPr="005911E2" w:rsidRDefault="00B704D7" w:rsidP="00B704D7">
            <w:pPr>
              <w:pStyle w:val="braytabletext"/>
              <w:jc w:val="right"/>
            </w:pPr>
            <w:r w:rsidRPr="005911E2">
              <w:t>18.1</w:t>
            </w:r>
          </w:p>
        </w:tc>
        <w:tc>
          <w:tcPr>
            <w:tcW w:w="426" w:type="pct"/>
            <w:tcBorders>
              <w:top w:val="nil"/>
              <w:left w:val="nil"/>
              <w:bottom w:val="single" w:sz="4" w:space="0" w:color="auto"/>
              <w:right w:val="nil"/>
            </w:tcBorders>
          </w:tcPr>
          <w:p w:rsidR="00B704D7" w:rsidRPr="005911E2" w:rsidRDefault="00B704D7" w:rsidP="00B704D7">
            <w:pPr>
              <w:pStyle w:val="braytabletext"/>
              <w:jc w:val="right"/>
            </w:pPr>
            <w:r w:rsidRPr="005911E2">
              <w:t>37.8</w:t>
            </w:r>
          </w:p>
        </w:tc>
      </w:tr>
    </w:tbl>
    <w:p w:rsidR="008861DE" w:rsidRDefault="008861DE" w:rsidP="00847CCC">
      <w:pPr>
        <w:pStyle w:val="tablefootnoteslastline"/>
      </w:pPr>
      <w:r w:rsidRPr="005911E2">
        <w:t xml:space="preserve">Source: Derived from Centrelink </w:t>
      </w:r>
      <w:r w:rsidR="00F878E4">
        <w:t>income management</w:t>
      </w:r>
      <w:r w:rsidRPr="005911E2">
        <w:t xml:space="preserve"> &amp; IS/FTB datasets</w:t>
      </w:r>
      <w:r w:rsidR="00273B1F">
        <w:t>.</w:t>
      </w:r>
    </w:p>
    <w:p w:rsidR="00273B1F" w:rsidRDefault="00273B1F" w:rsidP="00847CCC">
      <w:pPr>
        <w:pStyle w:val="tablefootnoteslastline"/>
      </w:pPr>
    </w:p>
    <w:p w:rsidR="00847CCC" w:rsidRPr="005911E2" w:rsidRDefault="00847CCC" w:rsidP="00847CCC">
      <w:r w:rsidRPr="005911E2">
        <w:t>This group recorded a very low rate of application for exemption – just 8.5 per cent, and had a 17.3 per cent success rate.</w:t>
      </w:r>
      <w:r>
        <w:t xml:space="preserve"> As a result, 1.5 per cent of the people in this group had an exemption. </w:t>
      </w:r>
      <w:r w:rsidRPr="005911E2">
        <w:t>In contrast</w:t>
      </w:r>
      <w:r>
        <w:t>,</w:t>
      </w:r>
      <w:r w:rsidRPr="005911E2">
        <w:t xml:space="preserve"> 27.1 per cent of Indigenous people living in other locations lodged applications </w:t>
      </w:r>
      <w:r>
        <w:t xml:space="preserve">with </w:t>
      </w:r>
      <w:r w:rsidRPr="005911E2">
        <w:t>a 54.6 per cent success rate.</w:t>
      </w:r>
      <w:r>
        <w:t xml:space="preserve"> This resulted in a 14.8 per cent exemption rate.</w:t>
      </w:r>
    </w:p>
    <w:p w:rsidR="00847CCC" w:rsidRPr="005911E2" w:rsidRDefault="00847CCC" w:rsidP="00847CCC">
      <w:r w:rsidRPr="005911E2">
        <w:t>These rates remain substantially below the 79.8 per cent success rate for the 51.1 per cent of non-Indigenous people living in these locations who sought an exemption.</w:t>
      </w:r>
    </w:p>
    <w:p w:rsidR="008861DE" w:rsidRPr="005911E2" w:rsidRDefault="008861DE" w:rsidP="00BD6DFD">
      <w:pPr>
        <w:pStyle w:val="Heading3"/>
      </w:pPr>
      <w:r w:rsidRPr="005911E2">
        <w:t>Age and number of children</w:t>
      </w:r>
    </w:p>
    <w:p w:rsidR="008861DE" w:rsidRPr="005911E2" w:rsidRDefault="008861DE" w:rsidP="00AA1750">
      <w:r w:rsidRPr="005911E2">
        <w:t xml:space="preserve">One issue raised in consultations was a perception that it was much easier to gain an exemption if </w:t>
      </w:r>
      <w:r w:rsidR="00725169">
        <w:t xml:space="preserve">a person </w:t>
      </w:r>
      <w:r w:rsidRPr="005911E2">
        <w:t>had a young child and a small number of children.</w:t>
      </w:r>
      <w:r w:rsidR="0074268A" w:rsidRPr="005911E2">
        <w:t xml:space="preserve"> </w:t>
      </w:r>
      <w:r w:rsidRPr="005911E2">
        <w:t xml:space="preserve">The general view was </w:t>
      </w:r>
      <w:r w:rsidR="00725169">
        <w:t>it was easier to</w:t>
      </w:r>
      <w:r w:rsidRPr="005911E2">
        <w:t xml:space="preserve"> demonstrate good parenting for a very young child – immunisations and health checks, </w:t>
      </w:r>
      <w:r w:rsidR="00725169">
        <w:t>as opposed to an older child – school attendance</w:t>
      </w:r>
      <w:r w:rsidRPr="005911E2">
        <w:t>, etc</w:t>
      </w:r>
      <w:r w:rsidR="00725169">
        <w:t>.</w:t>
      </w:r>
      <w:r w:rsidRPr="005911E2">
        <w:t xml:space="preserve"> </w:t>
      </w:r>
      <w:r w:rsidR="00725169">
        <w:t xml:space="preserve">In addition, it was easier to satisfy the </w:t>
      </w:r>
      <w:r w:rsidR="00FB7275">
        <w:t>criteria</w:t>
      </w:r>
      <w:r w:rsidR="00725169">
        <w:t xml:space="preserve"> with one child compared to a number of children; </w:t>
      </w:r>
      <w:r w:rsidRPr="005911E2">
        <w:t>it only require</w:t>
      </w:r>
      <w:r w:rsidR="00725169">
        <w:t>s</w:t>
      </w:r>
      <w:r w:rsidRPr="005911E2">
        <w:t xml:space="preserve"> one child to fail to achieve the attendance requirements to exclude the parent from an exemption.</w:t>
      </w:r>
    </w:p>
    <w:p w:rsidR="008861DE" w:rsidRPr="005911E2" w:rsidRDefault="008861DE" w:rsidP="00AA1750">
      <w:pPr>
        <w:pStyle w:val="tabfighead"/>
      </w:pPr>
      <w:bookmarkStart w:id="730" w:name="_Toc321254609"/>
      <w:bookmarkStart w:id="731" w:name="_Toc328601664"/>
      <w:bookmarkStart w:id="732" w:name="_Toc335915930"/>
      <w:r w:rsidRPr="005911E2">
        <w:t xml:space="preserve">Figure </w:t>
      </w:r>
      <w:r w:rsidR="00C7347D">
        <w:fldChar w:fldCharType="begin"/>
      </w:r>
      <w:r w:rsidR="00E74851">
        <w:instrText xml:space="preserve"> STYLEREF 1 \s </w:instrText>
      </w:r>
      <w:r w:rsidR="00C7347D">
        <w:fldChar w:fldCharType="separate"/>
      </w:r>
      <w:r w:rsidR="007D7E45">
        <w:rPr>
          <w:noProof/>
        </w:rPr>
        <w:t>8</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2</w:t>
      </w:r>
      <w:r w:rsidR="00C7347D">
        <w:fldChar w:fldCharType="end"/>
      </w:r>
      <w:r w:rsidRPr="005911E2">
        <w:tab/>
        <w:t>Persons with a child, rate of application for exemption and success, by Indigenous status and age of youngest child, October 2011</w:t>
      </w:r>
      <w:bookmarkEnd w:id="730"/>
      <w:bookmarkEnd w:id="731"/>
      <w:bookmarkEnd w:id="732"/>
    </w:p>
    <w:tbl>
      <w:tblPr>
        <w:tblStyle w:val="TableGrid"/>
        <w:tblW w:w="0" w:type="auto"/>
        <w:tblInd w:w="392" w:type="dxa"/>
        <w:tblLook w:val="04A0" w:firstRow="1" w:lastRow="0" w:firstColumn="1" w:lastColumn="0" w:noHBand="0" w:noVBand="1"/>
        <w:tblCaption w:val="Figure 8-2 Persons with a child, rate of application for exemption and success, by Indigenous status and age of youngest child, October 2011"/>
        <w:tblDescription w:val="Figure 8-2 Persons with a child, rate of application for exemption and success, by Indigenous status and age of youngest child, October 2011"/>
      </w:tblPr>
      <w:tblGrid>
        <w:gridCol w:w="8703"/>
      </w:tblGrid>
      <w:tr w:rsidR="006113C5" w:rsidRPr="005911E2" w:rsidTr="009D15E2">
        <w:trPr>
          <w:tblHeader/>
        </w:trPr>
        <w:tc>
          <w:tcPr>
            <w:tcW w:w="8703" w:type="dxa"/>
            <w:tcBorders>
              <w:top w:val="nil"/>
              <w:left w:val="nil"/>
              <w:bottom w:val="nil"/>
              <w:right w:val="nil"/>
            </w:tcBorders>
          </w:tcPr>
          <w:p w:rsidR="006113C5" w:rsidRPr="005911E2" w:rsidRDefault="000975E8" w:rsidP="000975E8">
            <w:pPr>
              <w:pStyle w:val="tablefootnotes"/>
              <w:jc w:val="center"/>
            </w:pPr>
            <w:r>
              <w:rPr>
                <w:noProof/>
                <w:lang w:eastAsia="en-AU" w:bidi="ar-SA"/>
              </w:rPr>
              <w:drawing>
                <wp:anchor distT="0" distB="0" distL="114300" distR="114300" simplePos="0" relativeHeight="251766784" behindDoc="0" locked="0" layoutInCell="1" allowOverlap="1" wp14:anchorId="586367A2" wp14:editId="788B9641">
                  <wp:simplePos x="0" y="0"/>
                  <wp:positionH relativeFrom="column">
                    <wp:posOffset>1389380</wp:posOffset>
                  </wp:positionH>
                  <wp:positionV relativeFrom="paragraph">
                    <wp:posOffset>-1270</wp:posOffset>
                  </wp:positionV>
                  <wp:extent cx="4728210" cy="3223260"/>
                  <wp:effectExtent l="0" t="0" r="0" b="0"/>
                  <wp:wrapTopAndBottom/>
                  <wp:docPr id="5" name="Picture 3" descr="Figure 8-2 Persons with a child, rate of application for exemption and success, by Indigenous status and age of youngest child, October 2011" title="Figure 8-2 Persons with a child, rate of application for exemption and success, by Indigenous status and age of youngest child, Octo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srcRect/>
                          <a:stretch>
                            <a:fillRect/>
                          </a:stretch>
                        </pic:blipFill>
                        <pic:spPr bwMode="auto">
                          <a:xfrm>
                            <a:off x="0" y="0"/>
                            <a:ext cx="4728210" cy="3223260"/>
                          </a:xfrm>
                          <a:prstGeom prst="rect">
                            <a:avLst/>
                          </a:prstGeom>
                          <a:noFill/>
                          <a:ln w="9525">
                            <a:noFill/>
                            <a:miter lim="800000"/>
                            <a:headEnd/>
                            <a:tailEnd/>
                          </a:ln>
                        </pic:spPr>
                      </pic:pic>
                    </a:graphicData>
                  </a:graphic>
                </wp:anchor>
              </w:drawing>
            </w:r>
          </w:p>
        </w:tc>
      </w:tr>
    </w:tbl>
    <w:p w:rsidR="008861DE" w:rsidRPr="005911E2" w:rsidRDefault="008861DE" w:rsidP="00CF78DB">
      <w:pPr>
        <w:pStyle w:val="tablefootnotes"/>
      </w:pPr>
      <w:r w:rsidRPr="005911E2">
        <w:t xml:space="preserve">Source: Derived from Centrelink </w:t>
      </w:r>
      <w:r w:rsidR="00F878E4">
        <w:t>income management</w:t>
      </w:r>
      <w:r w:rsidRPr="005911E2">
        <w:t xml:space="preserve"> &amp; IS/FTB datasets</w:t>
      </w:r>
      <w:r w:rsidR="00847CCC">
        <w:t>.</w:t>
      </w:r>
    </w:p>
    <w:p w:rsidR="008861DE" w:rsidRPr="005911E2" w:rsidRDefault="008861DE" w:rsidP="00CF78DB">
      <w:pPr>
        <w:pStyle w:val="tablefootnotes"/>
      </w:pPr>
    </w:p>
    <w:p w:rsidR="00847CCC" w:rsidRPr="005911E2" w:rsidRDefault="00847CCC" w:rsidP="00847CCC">
      <w:r w:rsidRPr="005911E2">
        <w:t>In some discussion it was suggested that this brought in some inconsistency in the assessment for exemptions, and that exemptions might be more easily obtained by those with a child in their most vulnerable earlier years.</w:t>
      </w:r>
    </w:p>
    <w:p w:rsidR="00847CCC" w:rsidRPr="005911E2" w:rsidRDefault="00847CCC" w:rsidP="00847CCC">
      <w:r w:rsidRPr="005911E2">
        <w:t xml:space="preserve">Looking firstly at the age of </w:t>
      </w:r>
      <w:r>
        <w:t xml:space="preserve">the </w:t>
      </w:r>
      <w:r w:rsidRPr="005911E2">
        <w:t>youngest child amongst the Indigenous population there is an obvious, if not quite consistent, gradient in both applying for and obtaining an exemption. This is particularly marked in the rate of success which falls from just over 50 per cent for children aged less than 1 year to around 20 per cent for those with children aged 9 to 11 years.</w:t>
      </w:r>
    </w:p>
    <w:p w:rsidR="008861DE" w:rsidRPr="005911E2" w:rsidRDefault="008861DE" w:rsidP="00177518">
      <w:r w:rsidRPr="005911E2">
        <w:t xml:space="preserve">A different pattern is seen when the analysis is undertaken </w:t>
      </w:r>
      <w:r w:rsidR="00725169">
        <w:t>looking at</w:t>
      </w:r>
      <w:r w:rsidR="00725169" w:rsidRPr="005911E2">
        <w:t xml:space="preserve"> </w:t>
      </w:r>
      <w:r w:rsidRPr="005911E2">
        <w:t xml:space="preserve">the number of children, </w:t>
      </w:r>
      <w:r w:rsidR="00725169">
        <w:t xml:space="preserve">see </w:t>
      </w:r>
      <w:r w:rsidR="008476E4" w:rsidRPr="005911E2">
        <w:t>Figure 8</w:t>
      </w:r>
      <w:r w:rsidR="008476E4" w:rsidRPr="005911E2">
        <w:noBreakHyphen/>
        <w:t>2</w:t>
      </w:r>
      <w:r w:rsidRPr="005911E2">
        <w:t>.</w:t>
      </w:r>
      <w:r w:rsidR="0074268A" w:rsidRPr="005911E2">
        <w:t xml:space="preserve"> </w:t>
      </w:r>
      <w:r w:rsidRPr="005911E2">
        <w:t xml:space="preserve">Amongst non-Indigenous people the rate of application tends to increase slightly with the number of children, from </w:t>
      </w:r>
      <w:r w:rsidR="000A073B" w:rsidRPr="005911E2">
        <w:t>77.1</w:t>
      </w:r>
      <w:r w:rsidRPr="005911E2">
        <w:t xml:space="preserve"> per cent for those with just one child to 91.2 per cent for those with </w:t>
      </w:r>
      <w:r w:rsidR="00901A4F" w:rsidRPr="00FB7275">
        <w:t>five</w:t>
      </w:r>
      <w:r w:rsidRPr="005911E2">
        <w:t xml:space="preserve"> children</w:t>
      </w:r>
      <w:r w:rsidR="00725169">
        <w:t>,</w:t>
      </w:r>
      <w:r w:rsidRPr="005911E2">
        <w:t xml:space="preserve"> while the rate of approval falls from 88.2 per cent for those with one child to 46.7 per cent for those with six children.</w:t>
      </w:r>
    </w:p>
    <w:p w:rsidR="008861DE" w:rsidRPr="005911E2" w:rsidRDefault="008861DE" w:rsidP="00177518">
      <w:r w:rsidRPr="005911E2">
        <w:t>This pattern is largely reflected amongst the Indigenous population</w:t>
      </w:r>
      <w:r w:rsidR="00725169">
        <w:t>,</w:t>
      </w:r>
      <w:r w:rsidRPr="005911E2">
        <w:t xml:space="preserve"> albeit at a much lower rate of application and success.</w:t>
      </w:r>
      <w:r w:rsidR="0074268A" w:rsidRPr="005911E2">
        <w:t xml:space="preserve"> </w:t>
      </w:r>
      <w:r w:rsidRPr="005911E2">
        <w:t xml:space="preserve">The application rate rises from </w:t>
      </w:r>
      <w:r w:rsidR="00BA130E" w:rsidRPr="005911E2">
        <w:t>19.3</w:t>
      </w:r>
      <w:r w:rsidRPr="005911E2">
        <w:t xml:space="preserve"> per cent for those with a single child to </w:t>
      </w:r>
      <w:r w:rsidR="00BA130E" w:rsidRPr="005911E2">
        <w:t xml:space="preserve">44.0 </w:t>
      </w:r>
      <w:r w:rsidRPr="005911E2">
        <w:t>per cent for those with six children, while the rate of success of th</w:t>
      </w:r>
      <w:r w:rsidR="00BA130E" w:rsidRPr="005911E2">
        <w:t>ese applications falls from 47.6</w:t>
      </w:r>
      <w:r w:rsidRPr="005911E2">
        <w:t xml:space="preserve"> per cent for one child to as low as 15.</w:t>
      </w:r>
      <w:r w:rsidR="000A073B" w:rsidRPr="005911E2">
        <w:t>7</w:t>
      </w:r>
      <w:r w:rsidRPr="005911E2">
        <w:t xml:space="preserve"> per cent for those with five children.</w:t>
      </w:r>
    </w:p>
    <w:p w:rsidR="008861DE" w:rsidRPr="005911E2" w:rsidRDefault="008861DE" w:rsidP="00177518">
      <w:r w:rsidRPr="005911E2">
        <w:t>While it might be suggested that the higher application rate and lower approval rate tend to offset each other, at this time in the analysis</w:t>
      </w:r>
      <w:r w:rsidR="001F6CF5" w:rsidRPr="005911E2">
        <w:t>,</w:t>
      </w:r>
      <w:r w:rsidRPr="005911E2">
        <w:t xml:space="preserve"> no information seems to inform this pattern.</w:t>
      </w:r>
    </w:p>
    <w:p w:rsidR="008861DE" w:rsidRPr="005911E2" w:rsidRDefault="008861DE" w:rsidP="00177518">
      <w:pPr>
        <w:pStyle w:val="tabfighead"/>
      </w:pPr>
      <w:bookmarkStart w:id="733" w:name="_Ref321079532"/>
      <w:bookmarkStart w:id="734" w:name="_Toc321254610"/>
      <w:bookmarkStart w:id="735" w:name="_Toc328601665"/>
      <w:bookmarkStart w:id="736" w:name="_Toc335915931"/>
      <w:r w:rsidRPr="005911E2">
        <w:t xml:space="preserve">Figure </w:t>
      </w:r>
      <w:r w:rsidR="00C7347D">
        <w:fldChar w:fldCharType="begin"/>
      </w:r>
      <w:r w:rsidR="00E74851">
        <w:instrText xml:space="preserve"> STYLEREF 1 \s </w:instrText>
      </w:r>
      <w:r w:rsidR="00C7347D">
        <w:fldChar w:fldCharType="separate"/>
      </w:r>
      <w:r w:rsidR="007D7E45">
        <w:rPr>
          <w:noProof/>
        </w:rPr>
        <w:t>8</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3</w:t>
      </w:r>
      <w:r w:rsidR="00C7347D">
        <w:fldChar w:fldCharType="end"/>
      </w:r>
      <w:bookmarkEnd w:id="733"/>
      <w:r w:rsidRPr="005911E2">
        <w:tab/>
        <w:t>Persons with a child, rate of application for exemption and success, by Indigenous status and number of children, October 2011</w:t>
      </w:r>
      <w:bookmarkEnd w:id="734"/>
      <w:bookmarkEnd w:id="735"/>
      <w:bookmarkEnd w:id="736"/>
    </w:p>
    <w:tbl>
      <w:tblPr>
        <w:tblStyle w:val="TableGrid"/>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8-3 Persons with a child, rate of application for exemption and success, by Indigenous status and number of children, October 2011"/>
        <w:tblDescription w:val="Figure 8-3 Persons with a child, rate of application for exemption and success, by Indigenous status and number of children, October 2011"/>
      </w:tblPr>
      <w:tblGrid>
        <w:gridCol w:w="7711"/>
      </w:tblGrid>
      <w:tr w:rsidR="00BA130E" w:rsidRPr="005911E2" w:rsidTr="009D15E2">
        <w:trPr>
          <w:tblHeader/>
        </w:trPr>
        <w:tc>
          <w:tcPr>
            <w:tcW w:w="7711" w:type="dxa"/>
          </w:tcPr>
          <w:p w:rsidR="00BA130E" w:rsidRPr="005911E2" w:rsidRDefault="00E75F1A" w:rsidP="00351FF6">
            <w:pPr>
              <w:ind w:left="0"/>
              <w:jc w:val="right"/>
            </w:pPr>
            <w:r>
              <w:rPr>
                <w:noProof/>
                <w:lang w:eastAsia="en-AU" w:bidi="ar-SA"/>
              </w:rPr>
              <w:drawing>
                <wp:inline distT="0" distB="0" distL="0" distR="0" wp14:anchorId="75F74A84" wp14:editId="2AF29A1F">
                  <wp:extent cx="4724400" cy="3215640"/>
                  <wp:effectExtent l="0" t="0" r="0" b="3810"/>
                  <wp:docPr id="66" name="Picture 52" descr="Figure 8-3 Persons with a child, rate of application for exemption and success, by Indigenous status and number of children, October 2011" title="Figure 8-3 Persons with a child, rate of application for exemption and success, by Indigenous status and number of children, Octo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24400" cy="3215640"/>
                          </a:xfrm>
                          <a:prstGeom prst="rect">
                            <a:avLst/>
                          </a:prstGeom>
                          <a:noFill/>
                          <a:ln>
                            <a:noFill/>
                          </a:ln>
                        </pic:spPr>
                      </pic:pic>
                    </a:graphicData>
                  </a:graphic>
                </wp:inline>
              </w:drawing>
            </w:r>
          </w:p>
        </w:tc>
      </w:tr>
    </w:tbl>
    <w:p w:rsidR="008861DE" w:rsidRPr="005911E2" w:rsidRDefault="008861DE" w:rsidP="00CF78DB">
      <w:pPr>
        <w:pStyle w:val="tablefootnotes"/>
      </w:pPr>
      <w:r w:rsidRPr="005911E2">
        <w:t xml:space="preserve">Source: Derived from Centrelink </w:t>
      </w:r>
      <w:r w:rsidR="00F878E4">
        <w:t>income management</w:t>
      </w:r>
      <w:r w:rsidRPr="005911E2">
        <w:t xml:space="preserve"> &amp; IS/FTB datasets</w:t>
      </w:r>
      <w:r w:rsidR="00273B1F">
        <w:t>.</w:t>
      </w:r>
    </w:p>
    <w:p w:rsidR="008861DE" w:rsidRPr="005911E2" w:rsidRDefault="008861DE" w:rsidP="00CF78DB">
      <w:pPr>
        <w:pStyle w:val="tablefootnotes"/>
      </w:pPr>
    </w:p>
    <w:p w:rsidR="008861DE" w:rsidRPr="005911E2" w:rsidRDefault="008861DE" w:rsidP="00177518">
      <w:r w:rsidRPr="005911E2">
        <w:t>The issue of the differences in the ability of parents to obtain exemptions by child age was acknowledged by Centrelink staff in interviews, but generally was just seen as one of the quirks of the system and a consequence of only having a limited number of objective behaviours that could be used to assess people</w:t>
      </w:r>
      <w:r w:rsidR="00730B87" w:rsidRPr="005911E2">
        <w:t>’s parenting skills</w:t>
      </w:r>
      <w:r w:rsidRPr="005911E2">
        <w:t xml:space="preserve">. </w:t>
      </w:r>
    </w:p>
    <w:p w:rsidR="008861DE" w:rsidRPr="005911E2" w:rsidRDefault="008861DE" w:rsidP="00177518">
      <w:pPr>
        <w:pStyle w:val="miniquote"/>
      </w:pPr>
      <w:r w:rsidRPr="005911E2">
        <w:t xml:space="preserve">In terms of evidence required, and how customer's exemptions are assessed, the easiest type of exemption to get is for customers who have dependent children under </w:t>
      </w:r>
      <w:r w:rsidR="00357105">
        <w:t>six</w:t>
      </w:r>
      <w:r w:rsidRPr="005911E2">
        <w:t xml:space="preserve"> years, specifically newborns. Only up to date immunisations (birth dose) and health check evidence (hospital discharge summary</w:t>
      </w:r>
      <w:r w:rsidR="00725169">
        <w:t>)</w:t>
      </w:r>
      <w:r w:rsidRPr="005911E2">
        <w:t xml:space="preserve"> </w:t>
      </w:r>
      <w:r w:rsidRPr="00725169">
        <w:t>is required</w:t>
      </w:r>
      <w:r w:rsidRPr="005911E2">
        <w:t>. I find it interesting that for newborns it is so simple to be granted an exemption and yet these customers are in receipt of the Baby Bonus in addition to their income support ... This is just an observation.</w:t>
      </w:r>
    </w:p>
    <w:p w:rsidR="008861DE" w:rsidRPr="005911E2" w:rsidRDefault="008861DE" w:rsidP="00177518">
      <w:pPr>
        <w:pStyle w:val="mininame"/>
      </w:pPr>
      <w:r w:rsidRPr="005911E2">
        <w:t>Centrelink C</w:t>
      </w:r>
      <w:r w:rsidR="00643ECC">
        <w:t xml:space="preserve">ustomer </w:t>
      </w:r>
      <w:r w:rsidRPr="005911E2">
        <w:t>S</w:t>
      </w:r>
      <w:r w:rsidR="00643ECC">
        <w:t xml:space="preserve">ervice </w:t>
      </w:r>
      <w:r w:rsidRPr="005911E2">
        <w:t>A</w:t>
      </w:r>
      <w:r w:rsidR="00643ECC">
        <w:t>dviser</w:t>
      </w:r>
    </w:p>
    <w:p w:rsidR="008861DE" w:rsidRPr="005911E2" w:rsidRDefault="008861DE" w:rsidP="00BD6DFD">
      <w:pPr>
        <w:pStyle w:val="Heading3"/>
      </w:pPr>
      <w:r w:rsidRPr="005911E2">
        <w:t>Gender and presence of children</w:t>
      </w:r>
    </w:p>
    <w:p w:rsidR="008861DE" w:rsidRPr="005911E2" w:rsidRDefault="00772EDE" w:rsidP="00177518">
      <w:r w:rsidRPr="005911E2">
        <w:t>The rate</w:t>
      </w:r>
      <w:r>
        <w:t>s</w:t>
      </w:r>
      <w:r w:rsidRPr="005911E2">
        <w:t xml:space="preserve"> of application for and receipt of exemptions by gender and the presence of children </w:t>
      </w:r>
      <w:r>
        <w:t>are</w:t>
      </w:r>
      <w:r w:rsidRPr="005911E2">
        <w:t xml:space="preserve"> shown in Table 8</w:t>
      </w:r>
      <w:r w:rsidRPr="005911E2">
        <w:noBreakHyphen/>
        <w:t xml:space="preserve">10. </w:t>
      </w:r>
      <w:r w:rsidR="008861DE" w:rsidRPr="005911E2">
        <w:t xml:space="preserve">This illustrates the previously identified issue </w:t>
      </w:r>
      <w:r w:rsidR="00E04125">
        <w:t xml:space="preserve">of </w:t>
      </w:r>
      <w:r w:rsidR="008861DE" w:rsidRPr="005911E2">
        <w:t>the limited options for an exemption for those without children</w:t>
      </w:r>
      <w:r w:rsidR="00E04125">
        <w:t xml:space="preserve">. (Alternatively it is probable that if a person meets the criteria for an exemption, that is substantial ongoing employment that this is likely </w:t>
      </w:r>
      <w:r w:rsidR="008861DE" w:rsidRPr="005911E2">
        <w:t>to remove them from payments totally.</w:t>
      </w:r>
      <w:r w:rsidR="00E04125">
        <w:t>)</w:t>
      </w:r>
    </w:p>
    <w:p w:rsidR="008861DE" w:rsidRPr="005911E2" w:rsidRDefault="008861DE" w:rsidP="00177518">
      <w:r w:rsidRPr="005911E2">
        <w:t xml:space="preserve">Only </w:t>
      </w:r>
      <w:r w:rsidR="00313349" w:rsidRPr="005911E2">
        <w:t>1.</w:t>
      </w:r>
      <w:r w:rsidR="00321196">
        <w:t>4</w:t>
      </w:r>
      <w:r w:rsidR="00313349" w:rsidRPr="005911E2">
        <w:t xml:space="preserve"> per cent of women and 0.</w:t>
      </w:r>
      <w:r w:rsidR="00321196">
        <w:t>8</w:t>
      </w:r>
      <w:r w:rsidRPr="005911E2">
        <w:t xml:space="preserve"> per cent of men without children who would otherwise have been subject to </w:t>
      </w:r>
      <w:r w:rsidR="00F878E4">
        <w:t>income management</w:t>
      </w:r>
      <w:r w:rsidRPr="005911E2">
        <w:t xml:space="preserve"> have been successful in gaining an exemption.</w:t>
      </w:r>
    </w:p>
    <w:p w:rsidR="008861DE" w:rsidRPr="005911E2" w:rsidRDefault="008861DE" w:rsidP="00177518">
      <w:pPr>
        <w:pStyle w:val="tabfighead"/>
      </w:pPr>
      <w:bookmarkStart w:id="737" w:name="_Ref320893771"/>
      <w:bookmarkStart w:id="738" w:name="_Toc321430443"/>
      <w:bookmarkStart w:id="739" w:name="_Toc321254562"/>
      <w:bookmarkStart w:id="740" w:name="_Toc328601610"/>
      <w:bookmarkStart w:id="741" w:name="_Toc329051388"/>
      <w:bookmarkStart w:id="742" w:name="_Toc335915876"/>
      <w:r w:rsidRPr="005911E2">
        <w:t xml:space="preserve">Table </w:t>
      </w:r>
      <w:r w:rsidR="00C7347D" w:rsidRPr="005911E2">
        <w:fldChar w:fldCharType="begin"/>
      </w:r>
      <w:r w:rsidR="00EF6BC6" w:rsidRPr="005911E2">
        <w:instrText xml:space="preserve"> STYLEREF 1 \s </w:instrText>
      </w:r>
      <w:r w:rsidR="00C7347D" w:rsidRPr="005911E2">
        <w:fldChar w:fldCharType="separate"/>
      </w:r>
      <w:r w:rsidR="007D7E45">
        <w:rPr>
          <w:noProof/>
        </w:rPr>
        <w:t>8</w:t>
      </w:r>
      <w:r w:rsidR="00C7347D" w:rsidRPr="005911E2">
        <w:fldChar w:fldCharType="end"/>
      </w:r>
      <w:r w:rsidR="00EF6BC6" w:rsidRPr="005911E2">
        <w:noBreakHyphen/>
      </w:r>
      <w:r w:rsidR="00C7347D" w:rsidRPr="005911E2">
        <w:fldChar w:fldCharType="begin"/>
      </w:r>
      <w:r w:rsidR="00EF6BC6" w:rsidRPr="005911E2">
        <w:instrText xml:space="preserve"> SEQ Table \* ARABIC \s 1 </w:instrText>
      </w:r>
      <w:r w:rsidR="00C7347D" w:rsidRPr="005911E2">
        <w:fldChar w:fldCharType="separate"/>
      </w:r>
      <w:r w:rsidR="007D7E45">
        <w:rPr>
          <w:noProof/>
        </w:rPr>
        <w:t>10</w:t>
      </w:r>
      <w:r w:rsidR="00C7347D" w:rsidRPr="005911E2">
        <w:fldChar w:fldCharType="end"/>
      </w:r>
      <w:bookmarkEnd w:id="737"/>
      <w:r w:rsidRPr="005911E2">
        <w:tab/>
        <w:t>Applications for and granting of exemptions by gender and whether or not have children, October 2011</w:t>
      </w:r>
      <w:bookmarkEnd w:id="738"/>
      <w:bookmarkEnd w:id="739"/>
      <w:bookmarkEnd w:id="740"/>
      <w:bookmarkEnd w:id="741"/>
      <w:bookmarkEnd w:id="742"/>
    </w:p>
    <w:tbl>
      <w:tblPr>
        <w:tblW w:w="6946" w:type="dxa"/>
        <w:tblInd w:w="1951" w:type="dxa"/>
        <w:tblLayout w:type="fixed"/>
        <w:tblLook w:val="0000" w:firstRow="0" w:lastRow="0" w:firstColumn="0" w:lastColumn="0" w:noHBand="0" w:noVBand="0"/>
      </w:tblPr>
      <w:tblGrid>
        <w:gridCol w:w="3260"/>
        <w:gridCol w:w="851"/>
        <w:gridCol w:w="850"/>
        <w:gridCol w:w="284"/>
        <w:gridCol w:w="850"/>
        <w:gridCol w:w="851"/>
      </w:tblGrid>
      <w:tr w:rsidR="00313349" w:rsidRPr="00847CCC" w:rsidTr="00B82B1F">
        <w:trPr>
          <w:trHeight w:val="290"/>
        </w:trPr>
        <w:tc>
          <w:tcPr>
            <w:tcW w:w="3260" w:type="dxa"/>
            <w:tcBorders>
              <w:top w:val="single" w:sz="4" w:space="0" w:color="auto"/>
              <w:left w:val="nil"/>
              <w:bottom w:val="nil"/>
              <w:right w:val="nil"/>
            </w:tcBorders>
          </w:tcPr>
          <w:p w:rsidR="00313349" w:rsidRPr="00847CCC" w:rsidRDefault="00313349" w:rsidP="00313349">
            <w:pPr>
              <w:pStyle w:val="braytabletext"/>
              <w:rPr>
                <w:szCs w:val="16"/>
              </w:rPr>
            </w:pPr>
          </w:p>
        </w:tc>
        <w:tc>
          <w:tcPr>
            <w:tcW w:w="1701" w:type="dxa"/>
            <w:gridSpan w:val="2"/>
            <w:tcBorders>
              <w:top w:val="single" w:sz="4" w:space="0" w:color="auto"/>
              <w:left w:val="nil"/>
              <w:bottom w:val="single" w:sz="4" w:space="0" w:color="auto"/>
              <w:right w:val="nil"/>
            </w:tcBorders>
          </w:tcPr>
          <w:p w:rsidR="00313349" w:rsidRPr="00847CCC" w:rsidRDefault="00313349" w:rsidP="00313349">
            <w:pPr>
              <w:pStyle w:val="braytabletext"/>
              <w:rPr>
                <w:szCs w:val="16"/>
              </w:rPr>
            </w:pPr>
            <w:r w:rsidRPr="00847CCC">
              <w:rPr>
                <w:szCs w:val="16"/>
              </w:rPr>
              <w:t>No Children</w:t>
            </w:r>
          </w:p>
        </w:tc>
        <w:tc>
          <w:tcPr>
            <w:tcW w:w="284" w:type="dxa"/>
            <w:tcBorders>
              <w:top w:val="single" w:sz="4" w:space="0" w:color="auto"/>
              <w:left w:val="nil"/>
              <w:bottom w:val="nil"/>
              <w:right w:val="nil"/>
            </w:tcBorders>
          </w:tcPr>
          <w:p w:rsidR="00313349" w:rsidRPr="00847CCC" w:rsidRDefault="00313349" w:rsidP="00313349">
            <w:pPr>
              <w:pStyle w:val="braytabletext"/>
              <w:rPr>
                <w:szCs w:val="16"/>
              </w:rPr>
            </w:pPr>
          </w:p>
        </w:tc>
        <w:tc>
          <w:tcPr>
            <w:tcW w:w="1701" w:type="dxa"/>
            <w:gridSpan w:val="2"/>
            <w:tcBorders>
              <w:top w:val="single" w:sz="4" w:space="0" w:color="auto"/>
              <w:left w:val="nil"/>
              <w:bottom w:val="single" w:sz="4" w:space="0" w:color="auto"/>
              <w:right w:val="nil"/>
            </w:tcBorders>
          </w:tcPr>
          <w:p w:rsidR="00313349" w:rsidRPr="00847CCC" w:rsidRDefault="00313349" w:rsidP="00313349">
            <w:pPr>
              <w:pStyle w:val="braytabletext"/>
              <w:rPr>
                <w:szCs w:val="16"/>
              </w:rPr>
            </w:pPr>
            <w:r w:rsidRPr="00847CCC">
              <w:rPr>
                <w:szCs w:val="16"/>
              </w:rPr>
              <w:t>With Children</w:t>
            </w:r>
          </w:p>
        </w:tc>
      </w:tr>
      <w:tr w:rsidR="00313349" w:rsidRPr="00847CCC" w:rsidTr="00B82B1F">
        <w:trPr>
          <w:trHeight w:val="290"/>
        </w:trPr>
        <w:tc>
          <w:tcPr>
            <w:tcW w:w="3260" w:type="dxa"/>
            <w:tcBorders>
              <w:top w:val="nil"/>
              <w:left w:val="nil"/>
              <w:bottom w:val="single" w:sz="4" w:space="0" w:color="auto"/>
              <w:right w:val="nil"/>
            </w:tcBorders>
          </w:tcPr>
          <w:p w:rsidR="00313349" w:rsidRPr="00847CCC" w:rsidRDefault="00313349" w:rsidP="00313349">
            <w:pPr>
              <w:pStyle w:val="braytabletext"/>
              <w:rPr>
                <w:szCs w:val="16"/>
              </w:rPr>
            </w:pPr>
          </w:p>
        </w:tc>
        <w:tc>
          <w:tcPr>
            <w:tcW w:w="851" w:type="dxa"/>
            <w:tcBorders>
              <w:top w:val="single" w:sz="4" w:space="0" w:color="auto"/>
              <w:left w:val="nil"/>
              <w:bottom w:val="single" w:sz="4" w:space="0" w:color="auto"/>
              <w:right w:val="nil"/>
            </w:tcBorders>
          </w:tcPr>
          <w:p w:rsidR="00313349" w:rsidRPr="00847CCC" w:rsidRDefault="00313349" w:rsidP="00313349">
            <w:pPr>
              <w:pStyle w:val="braytabletext"/>
              <w:jc w:val="right"/>
              <w:rPr>
                <w:szCs w:val="16"/>
              </w:rPr>
            </w:pPr>
            <w:r w:rsidRPr="00847CCC">
              <w:rPr>
                <w:szCs w:val="16"/>
              </w:rPr>
              <w:t>Female</w:t>
            </w:r>
          </w:p>
        </w:tc>
        <w:tc>
          <w:tcPr>
            <w:tcW w:w="850" w:type="dxa"/>
            <w:tcBorders>
              <w:top w:val="single" w:sz="4" w:space="0" w:color="auto"/>
              <w:left w:val="nil"/>
              <w:bottom w:val="single" w:sz="4" w:space="0" w:color="auto"/>
              <w:right w:val="nil"/>
            </w:tcBorders>
          </w:tcPr>
          <w:p w:rsidR="00313349" w:rsidRPr="00847CCC" w:rsidRDefault="00313349" w:rsidP="00313349">
            <w:pPr>
              <w:pStyle w:val="braytabletext"/>
              <w:jc w:val="right"/>
              <w:rPr>
                <w:szCs w:val="16"/>
              </w:rPr>
            </w:pPr>
            <w:r w:rsidRPr="00847CCC">
              <w:rPr>
                <w:szCs w:val="16"/>
              </w:rPr>
              <w:t>Male</w:t>
            </w:r>
          </w:p>
        </w:tc>
        <w:tc>
          <w:tcPr>
            <w:tcW w:w="284" w:type="dxa"/>
            <w:tcBorders>
              <w:top w:val="nil"/>
              <w:left w:val="nil"/>
              <w:bottom w:val="single" w:sz="4" w:space="0" w:color="auto"/>
              <w:right w:val="nil"/>
            </w:tcBorders>
          </w:tcPr>
          <w:p w:rsidR="00313349" w:rsidRPr="00847CCC" w:rsidRDefault="00313349" w:rsidP="00313349">
            <w:pPr>
              <w:pStyle w:val="braytabletext"/>
              <w:jc w:val="right"/>
              <w:rPr>
                <w:szCs w:val="16"/>
              </w:rPr>
            </w:pPr>
          </w:p>
        </w:tc>
        <w:tc>
          <w:tcPr>
            <w:tcW w:w="850" w:type="dxa"/>
            <w:tcBorders>
              <w:top w:val="single" w:sz="4" w:space="0" w:color="auto"/>
              <w:left w:val="nil"/>
              <w:bottom w:val="single" w:sz="4" w:space="0" w:color="auto"/>
              <w:right w:val="nil"/>
            </w:tcBorders>
          </w:tcPr>
          <w:p w:rsidR="00313349" w:rsidRPr="00847CCC" w:rsidRDefault="00313349" w:rsidP="00313349">
            <w:pPr>
              <w:pStyle w:val="braytabletext"/>
              <w:jc w:val="right"/>
              <w:rPr>
                <w:szCs w:val="16"/>
              </w:rPr>
            </w:pPr>
            <w:r w:rsidRPr="00847CCC">
              <w:rPr>
                <w:szCs w:val="16"/>
              </w:rPr>
              <w:t>Female</w:t>
            </w:r>
          </w:p>
        </w:tc>
        <w:tc>
          <w:tcPr>
            <w:tcW w:w="851" w:type="dxa"/>
            <w:tcBorders>
              <w:top w:val="single" w:sz="4" w:space="0" w:color="auto"/>
              <w:left w:val="nil"/>
              <w:bottom w:val="single" w:sz="4" w:space="0" w:color="auto"/>
              <w:right w:val="nil"/>
            </w:tcBorders>
          </w:tcPr>
          <w:p w:rsidR="00313349" w:rsidRPr="00847CCC" w:rsidRDefault="00313349" w:rsidP="00313349">
            <w:pPr>
              <w:pStyle w:val="braytabletext"/>
              <w:jc w:val="right"/>
              <w:rPr>
                <w:szCs w:val="16"/>
              </w:rPr>
            </w:pPr>
            <w:r w:rsidRPr="00847CCC">
              <w:rPr>
                <w:szCs w:val="16"/>
              </w:rPr>
              <w:t>Male</w:t>
            </w:r>
          </w:p>
        </w:tc>
      </w:tr>
      <w:tr w:rsidR="00313349" w:rsidRPr="00847CCC" w:rsidTr="00B82B1F">
        <w:trPr>
          <w:trHeight w:val="290"/>
        </w:trPr>
        <w:tc>
          <w:tcPr>
            <w:tcW w:w="3260" w:type="dxa"/>
            <w:tcBorders>
              <w:top w:val="single" w:sz="4" w:space="0" w:color="auto"/>
              <w:left w:val="nil"/>
              <w:bottom w:val="nil"/>
              <w:right w:val="nil"/>
            </w:tcBorders>
          </w:tcPr>
          <w:p w:rsidR="00313349" w:rsidRPr="00847CCC" w:rsidRDefault="00313349" w:rsidP="00313349">
            <w:pPr>
              <w:pStyle w:val="braytabletext"/>
              <w:rPr>
                <w:szCs w:val="16"/>
              </w:rPr>
            </w:pPr>
            <w:r w:rsidRPr="00847CCC">
              <w:rPr>
                <w:szCs w:val="16"/>
              </w:rPr>
              <w:t>Potential compulsory</w:t>
            </w:r>
          </w:p>
        </w:tc>
        <w:tc>
          <w:tcPr>
            <w:tcW w:w="851" w:type="dxa"/>
            <w:tcBorders>
              <w:top w:val="single" w:sz="4" w:space="0" w:color="auto"/>
              <w:left w:val="nil"/>
              <w:bottom w:val="nil"/>
              <w:right w:val="nil"/>
            </w:tcBorders>
          </w:tcPr>
          <w:p w:rsidR="00313349" w:rsidRPr="00847CCC" w:rsidRDefault="00313349" w:rsidP="00313349">
            <w:pPr>
              <w:pStyle w:val="braytabletext"/>
              <w:jc w:val="right"/>
              <w:rPr>
                <w:szCs w:val="16"/>
              </w:rPr>
            </w:pPr>
          </w:p>
        </w:tc>
        <w:tc>
          <w:tcPr>
            <w:tcW w:w="850" w:type="dxa"/>
            <w:tcBorders>
              <w:top w:val="single" w:sz="4" w:space="0" w:color="auto"/>
              <w:left w:val="nil"/>
              <w:bottom w:val="nil"/>
              <w:right w:val="nil"/>
            </w:tcBorders>
          </w:tcPr>
          <w:p w:rsidR="00313349" w:rsidRPr="00847CCC" w:rsidRDefault="00313349" w:rsidP="00313349">
            <w:pPr>
              <w:pStyle w:val="braytabletext"/>
              <w:jc w:val="right"/>
              <w:rPr>
                <w:szCs w:val="16"/>
              </w:rPr>
            </w:pPr>
          </w:p>
        </w:tc>
        <w:tc>
          <w:tcPr>
            <w:tcW w:w="284" w:type="dxa"/>
            <w:tcBorders>
              <w:top w:val="single" w:sz="4" w:space="0" w:color="auto"/>
              <w:left w:val="nil"/>
              <w:bottom w:val="nil"/>
              <w:right w:val="nil"/>
            </w:tcBorders>
          </w:tcPr>
          <w:p w:rsidR="00313349" w:rsidRPr="00847CCC" w:rsidRDefault="00313349" w:rsidP="00313349">
            <w:pPr>
              <w:pStyle w:val="braytabletext"/>
              <w:jc w:val="right"/>
              <w:rPr>
                <w:szCs w:val="16"/>
              </w:rPr>
            </w:pPr>
          </w:p>
        </w:tc>
        <w:tc>
          <w:tcPr>
            <w:tcW w:w="850" w:type="dxa"/>
            <w:tcBorders>
              <w:top w:val="single" w:sz="4" w:space="0" w:color="auto"/>
              <w:left w:val="nil"/>
              <w:bottom w:val="nil"/>
              <w:right w:val="nil"/>
            </w:tcBorders>
          </w:tcPr>
          <w:p w:rsidR="00313349" w:rsidRPr="00847CCC" w:rsidRDefault="00313349" w:rsidP="00313349">
            <w:pPr>
              <w:pStyle w:val="braytabletext"/>
              <w:jc w:val="right"/>
              <w:rPr>
                <w:szCs w:val="16"/>
              </w:rPr>
            </w:pPr>
          </w:p>
        </w:tc>
        <w:tc>
          <w:tcPr>
            <w:tcW w:w="851" w:type="dxa"/>
            <w:tcBorders>
              <w:top w:val="single" w:sz="4" w:space="0" w:color="auto"/>
              <w:left w:val="nil"/>
              <w:bottom w:val="nil"/>
              <w:right w:val="nil"/>
            </w:tcBorders>
          </w:tcPr>
          <w:p w:rsidR="00313349" w:rsidRPr="00847CCC" w:rsidRDefault="00313349" w:rsidP="00313349">
            <w:pPr>
              <w:pStyle w:val="braytabletext"/>
              <w:jc w:val="right"/>
              <w:rPr>
                <w:szCs w:val="16"/>
              </w:rPr>
            </w:pPr>
          </w:p>
        </w:tc>
      </w:tr>
      <w:tr w:rsidR="000A073B" w:rsidRPr="00847CCC" w:rsidTr="00B82B1F">
        <w:trPr>
          <w:trHeight w:val="290"/>
        </w:trPr>
        <w:tc>
          <w:tcPr>
            <w:tcW w:w="3260" w:type="dxa"/>
            <w:tcBorders>
              <w:top w:val="nil"/>
              <w:left w:val="nil"/>
              <w:bottom w:val="nil"/>
              <w:right w:val="nil"/>
            </w:tcBorders>
          </w:tcPr>
          <w:p w:rsidR="000A073B" w:rsidRPr="00847CCC" w:rsidRDefault="000A073B" w:rsidP="00357105">
            <w:pPr>
              <w:pStyle w:val="braytabletext"/>
              <w:rPr>
                <w:szCs w:val="16"/>
              </w:rPr>
            </w:pPr>
            <w:r w:rsidRPr="00847CCC">
              <w:rPr>
                <w:szCs w:val="16"/>
              </w:rPr>
              <w:t>CIM no applic</w:t>
            </w:r>
            <w:r w:rsidR="00357105" w:rsidRPr="00847CCC">
              <w:rPr>
                <w:szCs w:val="16"/>
              </w:rPr>
              <w:t>ation</w:t>
            </w:r>
            <w:r w:rsidRPr="00847CCC">
              <w:rPr>
                <w:szCs w:val="16"/>
              </w:rPr>
              <w:t xml:space="preserve"> for exemption</w:t>
            </w:r>
          </w:p>
        </w:tc>
        <w:tc>
          <w:tcPr>
            <w:tcW w:w="851" w:type="dxa"/>
            <w:tcBorders>
              <w:top w:val="nil"/>
              <w:left w:val="nil"/>
              <w:bottom w:val="nil"/>
              <w:right w:val="nil"/>
            </w:tcBorders>
          </w:tcPr>
          <w:p w:rsidR="000A073B" w:rsidRPr="00847CCC" w:rsidRDefault="000A073B" w:rsidP="000238F6">
            <w:pPr>
              <w:pStyle w:val="braytabletext"/>
              <w:jc w:val="right"/>
              <w:rPr>
                <w:szCs w:val="16"/>
              </w:rPr>
            </w:pPr>
            <w:r w:rsidRPr="00847CCC">
              <w:rPr>
                <w:szCs w:val="16"/>
              </w:rPr>
              <w:t>2</w:t>
            </w:r>
            <w:r w:rsidR="00467E88" w:rsidRPr="00847CCC">
              <w:rPr>
                <w:szCs w:val="16"/>
              </w:rPr>
              <w:t> </w:t>
            </w:r>
            <w:r w:rsidRPr="00847CCC">
              <w:rPr>
                <w:szCs w:val="16"/>
              </w:rPr>
              <w:t>552</w:t>
            </w:r>
          </w:p>
        </w:tc>
        <w:tc>
          <w:tcPr>
            <w:tcW w:w="850" w:type="dxa"/>
            <w:tcBorders>
              <w:top w:val="nil"/>
              <w:left w:val="nil"/>
              <w:bottom w:val="nil"/>
              <w:right w:val="nil"/>
            </w:tcBorders>
          </w:tcPr>
          <w:p w:rsidR="000A073B" w:rsidRPr="00847CCC" w:rsidRDefault="000A073B" w:rsidP="000238F6">
            <w:pPr>
              <w:pStyle w:val="braytabletext"/>
              <w:jc w:val="right"/>
              <w:rPr>
                <w:szCs w:val="16"/>
              </w:rPr>
            </w:pPr>
            <w:r w:rsidRPr="00847CCC">
              <w:rPr>
                <w:szCs w:val="16"/>
              </w:rPr>
              <w:t>4</w:t>
            </w:r>
            <w:r w:rsidR="00467E88" w:rsidRPr="00847CCC">
              <w:rPr>
                <w:szCs w:val="16"/>
              </w:rPr>
              <w:t> </w:t>
            </w:r>
            <w:r w:rsidRPr="00847CCC">
              <w:rPr>
                <w:szCs w:val="16"/>
              </w:rPr>
              <w:t>626</w:t>
            </w:r>
          </w:p>
        </w:tc>
        <w:tc>
          <w:tcPr>
            <w:tcW w:w="284" w:type="dxa"/>
            <w:tcBorders>
              <w:top w:val="nil"/>
              <w:left w:val="nil"/>
              <w:bottom w:val="nil"/>
              <w:right w:val="nil"/>
            </w:tcBorders>
          </w:tcPr>
          <w:p w:rsidR="000A073B" w:rsidRPr="00847CCC" w:rsidRDefault="000A073B" w:rsidP="000A073B">
            <w:pPr>
              <w:pStyle w:val="braytabletext"/>
              <w:jc w:val="right"/>
              <w:rPr>
                <w:szCs w:val="16"/>
              </w:rPr>
            </w:pPr>
          </w:p>
        </w:tc>
        <w:tc>
          <w:tcPr>
            <w:tcW w:w="850" w:type="dxa"/>
            <w:tcBorders>
              <w:top w:val="nil"/>
              <w:left w:val="nil"/>
              <w:bottom w:val="nil"/>
              <w:right w:val="nil"/>
            </w:tcBorders>
          </w:tcPr>
          <w:p w:rsidR="000A073B" w:rsidRPr="00847CCC" w:rsidRDefault="000A073B" w:rsidP="000238F6">
            <w:pPr>
              <w:pStyle w:val="braytabletext"/>
              <w:jc w:val="right"/>
              <w:rPr>
                <w:szCs w:val="16"/>
              </w:rPr>
            </w:pPr>
            <w:r w:rsidRPr="00847CCC">
              <w:rPr>
                <w:szCs w:val="16"/>
              </w:rPr>
              <w:t>4</w:t>
            </w:r>
            <w:r w:rsidR="00467E88" w:rsidRPr="00847CCC">
              <w:rPr>
                <w:szCs w:val="16"/>
              </w:rPr>
              <w:t> </w:t>
            </w:r>
            <w:r w:rsidRPr="00847CCC">
              <w:rPr>
                <w:szCs w:val="16"/>
              </w:rPr>
              <w:t>111</w:t>
            </w:r>
          </w:p>
        </w:tc>
        <w:tc>
          <w:tcPr>
            <w:tcW w:w="851" w:type="dxa"/>
            <w:tcBorders>
              <w:top w:val="nil"/>
              <w:left w:val="nil"/>
              <w:bottom w:val="nil"/>
              <w:right w:val="nil"/>
            </w:tcBorders>
          </w:tcPr>
          <w:p w:rsidR="000A073B" w:rsidRPr="00847CCC" w:rsidRDefault="000A073B" w:rsidP="000A073B">
            <w:pPr>
              <w:pStyle w:val="braytabletext"/>
              <w:jc w:val="right"/>
              <w:rPr>
                <w:szCs w:val="16"/>
              </w:rPr>
            </w:pPr>
            <w:r w:rsidRPr="00847CCC">
              <w:rPr>
                <w:szCs w:val="16"/>
              </w:rPr>
              <w:t>133</w:t>
            </w:r>
          </w:p>
        </w:tc>
      </w:tr>
      <w:tr w:rsidR="000A073B" w:rsidRPr="00847CCC" w:rsidTr="00B82B1F">
        <w:trPr>
          <w:trHeight w:val="290"/>
        </w:trPr>
        <w:tc>
          <w:tcPr>
            <w:tcW w:w="3260" w:type="dxa"/>
            <w:tcBorders>
              <w:top w:val="nil"/>
              <w:left w:val="nil"/>
              <w:bottom w:val="nil"/>
              <w:right w:val="nil"/>
            </w:tcBorders>
          </w:tcPr>
          <w:p w:rsidR="000A073B" w:rsidRPr="00847CCC" w:rsidRDefault="000A073B" w:rsidP="00313349">
            <w:pPr>
              <w:pStyle w:val="braytabletext"/>
              <w:rPr>
                <w:szCs w:val="16"/>
              </w:rPr>
            </w:pPr>
            <w:r w:rsidRPr="00847CCC">
              <w:rPr>
                <w:szCs w:val="16"/>
              </w:rPr>
              <w:t>CIM exemption rejected</w:t>
            </w:r>
          </w:p>
        </w:tc>
        <w:tc>
          <w:tcPr>
            <w:tcW w:w="851" w:type="dxa"/>
            <w:tcBorders>
              <w:top w:val="nil"/>
              <w:left w:val="nil"/>
              <w:bottom w:val="nil"/>
              <w:right w:val="nil"/>
            </w:tcBorders>
          </w:tcPr>
          <w:p w:rsidR="000A073B" w:rsidRPr="00847CCC" w:rsidRDefault="000A073B" w:rsidP="000A073B">
            <w:pPr>
              <w:pStyle w:val="braytabletext"/>
              <w:jc w:val="right"/>
              <w:rPr>
                <w:szCs w:val="16"/>
              </w:rPr>
            </w:pPr>
            <w:r w:rsidRPr="00847CCC">
              <w:rPr>
                <w:szCs w:val="16"/>
              </w:rPr>
              <w:t>53</w:t>
            </w:r>
          </w:p>
        </w:tc>
        <w:tc>
          <w:tcPr>
            <w:tcW w:w="850" w:type="dxa"/>
            <w:tcBorders>
              <w:top w:val="nil"/>
              <w:left w:val="nil"/>
              <w:bottom w:val="nil"/>
              <w:right w:val="nil"/>
            </w:tcBorders>
          </w:tcPr>
          <w:p w:rsidR="000A073B" w:rsidRPr="00847CCC" w:rsidRDefault="000A073B" w:rsidP="000A073B">
            <w:pPr>
              <w:pStyle w:val="braytabletext"/>
              <w:jc w:val="right"/>
              <w:rPr>
                <w:szCs w:val="16"/>
              </w:rPr>
            </w:pPr>
            <w:r w:rsidRPr="00847CCC">
              <w:rPr>
                <w:szCs w:val="16"/>
              </w:rPr>
              <w:t>61</w:t>
            </w:r>
          </w:p>
        </w:tc>
        <w:tc>
          <w:tcPr>
            <w:tcW w:w="284" w:type="dxa"/>
            <w:tcBorders>
              <w:top w:val="nil"/>
              <w:left w:val="nil"/>
              <w:bottom w:val="nil"/>
              <w:right w:val="nil"/>
            </w:tcBorders>
          </w:tcPr>
          <w:p w:rsidR="000A073B" w:rsidRPr="00847CCC" w:rsidRDefault="000A073B" w:rsidP="000A073B">
            <w:pPr>
              <w:pStyle w:val="braytabletext"/>
              <w:jc w:val="right"/>
              <w:rPr>
                <w:szCs w:val="16"/>
              </w:rPr>
            </w:pPr>
          </w:p>
        </w:tc>
        <w:tc>
          <w:tcPr>
            <w:tcW w:w="850" w:type="dxa"/>
            <w:tcBorders>
              <w:top w:val="nil"/>
              <w:left w:val="nil"/>
              <w:bottom w:val="nil"/>
              <w:right w:val="nil"/>
            </w:tcBorders>
          </w:tcPr>
          <w:p w:rsidR="000A073B" w:rsidRPr="00847CCC" w:rsidRDefault="000A073B" w:rsidP="000238F6">
            <w:pPr>
              <w:pStyle w:val="braytabletext"/>
              <w:jc w:val="right"/>
              <w:rPr>
                <w:szCs w:val="16"/>
              </w:rPr>
            </w:pPr>
            <w:r w:rsidRPr="00847CCC">
              <w:rPr>
                <w:szCs w:val="16"/>
              </w:rPr>
              <w:t>1</w:t>
            </w:r>
            <w:r w:rsidR="00467E88" w:rsidRPr="00847CCC">
              <w:rPr>
                <w:szCs w:val="16"/>
              </w:rPr>
              <w:t> </w:t>
            </w:r>
            <w:r w:rsidRPr="00847CCC">
              <w:rPr>
                <w:szCs w:val="16"/>
              </w:rPr>
              <w:t>008</w:t>
            </w:r>
          </w:p>
        </w:tc>
        <w:tc>
          <w:tcPr>
            <w:tcW w:w="851" w:type="dxa"/>
            <w:tcBorders>
              <w:top w:val="nil"/>
              <w:left w:val="nil"/>
              <w:bottom w:val="nil"/>
              <w:right w:val="nil"/>
            </w:tcBorders>
          </w:tcPr>
          <w:p w:rsidR="000A073B" w:rsidRPr="00847CCC" w:rsidRDefault="000A073B" w:rsidP="000A073B">
            <w:pPr>
              <w:pStyle w:val="braytabletext"/>
              <w:jc w:val="right"/>
              <w:rPr>
                <w:szCs w:val="16"/>
              </w:rPr>
            </w:pPr>
            <w:r w:rsidRPr="00847CCC">
              <w:rPr>
                <w:szCs w:val="16"/>
              </w:rPr>
              <w:t>30</w:t>
            </w:r>
          </w:p>
        </w:tc>
      </w:tr>
      <w:tr w:rsidR="000A073B" w:rsidRPr="00847CCC" w:rsidTr="00B82B1F">
        <w:trPr>
          <w:trHeight w:val="290"/>
        </w:trPr>
        <w:tc>
          <w:tcPr>
            <w:tcW w:w="3260" w:type="dxa"/>
            <w:tcBorders>
              <w:top w:val="nil"/>
              <w:left w:val="nil"/>
              <w:bottom w:val="nil"/>
              <w:right w:val="nil"/>
            </w:tcBorders>
          </w:tcPr>
          <w:p w:rsidR="000A073B" w:rsidRPr="00847CCC" w:rsidRDefault="000A073B" w:rsidP="00357105">
            <w:pPr>
              <w:pStyle w:val="braytabletext"/>
              <w:rPr>
                <w:szCs w:val="16"/>
              </w:rPr>
            </w:pPr>
            <w:r w:rsidRPr="00847CCC">
              <w:rPr>
                <w:szCs w:val="16"/>
              </w:rPr>
              <w:t>CIM applic</w:t>
            </w:r>
            <w:r w:rsidR="00357105" w:rsidRPr="00847CCC">
              <w:rPr>
                <w:szCs w:val="16"/>
              </w:rPr>
              <w:t>ation</w:t>
            </w:r>
            <w:r w:rsidRPr="00847CCC">
              <w:rPr>
                <w:szCs w:val="16"/>
              </w:rPr>
              <w:t xml:space="preserve"> for exempt</w:t>
            </w:r>
            <w:r w:rsidR="00357105" w:rsidRPr="00847CCC">
              <w:rPr>
                <w:szCs w:val="16"/>
              </w:rPr>
              <w:t>ion</w:t>
            </w:r>
            <w:r w:rsidRPr="00847CCC">
              <w:rPr>
                <w:szCs w:val="16"/>
              </w:rPr>
              <w:t xml:space="preserve"> withdrawn</w:t>
            </w:r>
          </w:p>
        </w:tc>
        <w:tc>
          <w:tcPr>
            <w:tcW w:w="851" w:type="dxa"/>
            <w:tcBorders>
              <w:top w:val="nil"/>
              <w:left w:val="nil"/>
              <w:bottom w:val="nil"/>
              <w:right w:val="nil"/>
            </w:tcBorders>
          </w:tcPr>
          <w:p w:rsidR="000A073B" w:rsidRPr="00847CCC" w:rsidRDefault="000A073B" w:rsidP="000A073B">
            <w:pPr>
              <w:pStyle w:val="braytabletext"/>
              <w:jc w:val="right"/>
              <w:rPr>
                <w:szCs w:val="16"/>
              </w:rPr>
            </w:pPr>
            <w:r w:rsidRPr="00847CCC">
              <w:rPr>
                <w:szCs w:val="16"/>
              </w:rPr>
              <w:t>3</w:t>
            </w:r>
          </w:p>
        </w:tc>
        <w:tc>
          <w:tcPr>
            <w:tcW w:w="850" w:type="dxa"/>
            <w:tcBorders>
              <w:top w:val="nil"/>
              <w:left w:val="nil"/>
              <w:bottom w:val="nil"/>
              <w:right w:val="nil"/>
            </w:tcBorders>
          </w:tcPr>
          <w:p w:rsidR="000A073B" w:rsidRPr="00847CCC" w:rsidRDefault="000A073B" w:rsidP="000A073B">
            <w:pPr>
              <w:pStyle w:val="braytabletext"/>
              <w:jc w:val="right"/>
              <w:rPr>
                <w:szCs w:val="16"/>
              </w:rPr>
            </w:pPr>
            <w:r w:rsidRPr="00847CCC">
              <w:rPr>
                <w:szCs w:val="16"/>
              </w:rPr>
              <w:t>0</w:t>
            </w:r>
          </w:p>
        </w:tc>
        <w:tc>
          <w:tcPr>
            <w:tcW w:w="284" w:type="dxa"/>
            <w:tcBorders>
              <w:top w:val="nil"/>
              <w:left w:val="nil"/>
              <w:bottom w:val="nil"/>
              <w:right w:val="nil"/>
            </w:tcBorders>
          </w:tcPr>
          <w:p w:rsidR="000A073B" w:rsidRPr="00847CCC" w:rsidRDefault="000A073B" w:rsidP="000A073B">
            <w:pPr>
              <w:pStyle w:val="braytabletext"/>
              <w:jc w:val="right"/>
              <w:rPr>
                <w:szCs w:val="16"/>
              </w:rPr>
            </w:pPr>
          </w:p>
        </w:tc>
        <w:tc>
          <w:tcPr>
            <w:tcW w:w="850" w:type="dxa"/>
            <w:tcBorders>
              <w:top w:val="nil"/>
              <w:left w:val="nil"/>
              <w:bottom w:val="nil"/>
              <w:right w:val="nil"/>
            </w:tcBorders>
          </w:tcPr>
          <w:p w:rsidR="000A073B" w:rsidRPr="00847CCC" w:rsidRDefault="000A073B" w:rsidP="000A073B">
            <w:pPr>
              <w:pStyle w:val="braytabletext"/>
              <w:jc w:val="right"/>
              <w:rPr>
                <w:szCs w:val="16"/>
              </w:rPr>
            </w:pPr>
            <w:r w:rsidRPr="00847CCC">
              <w:rPr>
                <w:szCs w:val="16"/>
              </w:rPr>
              <w:t>69</w:t>
            </w:r>
          </w:p>
        </w:tc>
        <w:tc>
          <w:tcPr>
            <w:tcW w:w="851" w:type="dxa"/>
            <w:tcBorders>
              <w:top w:val="nil"/>
              <w:left w:val="nil"/>
              <w:bottom w:val="nil"/>
              <w:right w:val="nil"/>
            </w:tcBorders>
          </w:tcPr>
          <w:p w:rsidR="000A073B" w:rsidRPr="00847CCC" w:rsidRDefault="000A073B" w:rsidP="000A073B">
            <w:pPr>
              <w:pStyle w:val="braytabletext"/>
              <w:jc w:val="right"/>
              <w:rPr>
                <w:szCs w:val="16"/>
              </w:rPr>
            </w:pPr>
            <w:r w:rsidRPr="00847CCC">
              <w:rPr>
                <w:szCs w:val="16"/>
              </w:rPr>
              <w:t>5</w:t>
            </w:r>
          </w:p>
        </w:tc>
      </w:tr>
      <w:tr w:rsidR="000A073B" w:rsidRPr="00847CCC" w:rsidTr="00B82B1F">
        <w:trPr>
          <w:trHeight w:val="290"/>
        </w:trPr>
        <w:tc>
          <w:tcPr>
            <w:tcW w:w="3260" w:type="dxa"/>
            <w:tcBorders>
              <w:top w:val="nil"/>
              <w:left w:val="nil"/>
              <w:bottom w:val="nil"/>
              <w:right w:val="nil"/>
            </w:tcBorders>
          </w:tcPr>
          <w:p w:rsidR="000A073B" w:rsidRPr="00847CCC" w:rsidRDefault="000A073B" w:rsidP="00313349">
            <w:pPr>
              <w:pStyle w:val="braytabletext"/>
              <w:rPr>
                <w:szCs w:val="16"/>
              </w:rPr>
            </w:pPr>
            <w:r w:rsidRPr="00847CCC">
              <w:rPr>
                <w:szCs w:val="16"/>
              </w:rPr>
              <w:t>On VIM has exemption</w:t>
            </w:r>
          </w:p>
        </w:tc>
        <w:tc>
          <w:tcPr>
            <w:tcW w:w="851" w:type="dxa"/>
            <w:tcBorders>
              <w:top w:val="nil"/>
              <w:left w:val="nil"/>
              <w:bottom w:val="nil"/>
              <w:right w:val="nil"/>
            </w:tcBorders>
          </w:tcPr>
          <w:p w:rsidR="000A073B" w:rsidRPr="00847CCC" w:rsidRDefault="000A073B" w:rsidP="000A073B">
            <w:pPr>
              <w:pStyle w:val="braytabletext"/>
              <w:jc w:val="right"/>
              <w:rPr>
                <w:szCs w:val="16"/>
              </w:rPr>
            </w:pPr>
            <w:r w:rsidRPr="00847CCC">
              <w:rPr>
                <w:szCs w:val="16"/>
              </w:rPr>
              <w:t>1</w:t>
            </w:r>
          </w:p>
        </w:tc>
        <w:tc>
          <w:tcPr>
            <w:tcW w:w="850" w:type="dxa"/>
            <w:tcBorders>
              <w:top w:val="nil"/>
              <w:left w:val="nil"/>
              <w:bottom w:val="nil"/>
              <w:right w:val="nil"/>
            </w:tcBorders>
          </w:tcPr>
          <w:p w:rsidR="000A073B" w:rsidRPr="00847CCC" w:rsidRDefault="000A073B" w:rsidP="000A073B">
            <w:pPr>
              <w:pStyle w:val="braytabletext"/>
              <w:jc w:val="right"/>
              <w:rPr>
                <w:szCs w:val="16"/>
              </w:rPr>
            </w:pPr>
            <w:r w:rsidRPr="00847CCC">
              <w:rPr>
                <w:szCs w:val="16"/>
              </w:rPr>
              <w:t>0</w:t>
            </w:r>
          </w:p>
        </w:tc>
        <w:tc>
          <w:tcPr>
            <w:tcW w:w="284" w:type="dxa"/>
            <w:tcBorders>
              <w:top w:val="nil"/>
              <w:left w:val="nil"/>
              <w:bottom w:val="nil"/>
              <w:right w:val="nil"/>
            </w:tcBorders>
          </w:tcPr>
          <w:p w:rsidR="000A073B" w:rsidRPr="00847CCC" w:rsidRDefault="000A073B" w:rsidP="000A073B">
            <w:pPr>
              <w:pStyle w:val="braytabletext"/>
              <w:jc w:val="right"/>
              <w:rPr>
                <w:szCs w:val="16"/>
              </w:rPr>
            </w:pPr>
          </w:p>
        </w:tc>
        <w:tc>
          <w:tcPr>
            <w:tcW w:w="850" w:type="dxa"/>
            <w:tcBorders>
              <w:top w:val="nil"/>
              <w:left w:val="nil"/>
              <w:bottom w:val="nil"/>
              <w:right w:val="nil"/>
            </w:tcBorders>
          </w:tcPr>
          <w:p w:rsidR="000A073B" w:rsidRPr="00847CCC" w:rsidRDefault="000A073B" w:rsidP="000A073B">
            <w:pPr>
              <w:pStyle w:val="braytabletext"/>
              <w:jc w:val="right"/>
              <w:rPr>
                <w:szCs w:val="16"/>
              </w:rPr>
            </w:pPr>
            <w:r w:rsidRPr="00847CCC">
              <w:rPr>
                <w:szCs w:val="16"/>
              </w:rPr>
              <w:t>13</w:t>
            </w:r>
          </w:p>
        </w:tc>
        <w:tc>
          <w:tcPr>
            <w:tcW w:w="851" w:type="dxa"/>
            <w:tcBorders>
              <w:top w:val="nil"/>
              <w:left w:val="nil"/>
              <w:bottom w:val="nil"/>
              <w:right w:val="nil"/>
            </w:tcBorders>
          </w:tcPr>
          <w:p w:rsidR="000A073B" w:rsidRPr="00847CCC" w:rsidRDefault="000A073B" w:rsidP="000A073B">
            <w:pPr>
              <w:pStyle w:val="braytabletext"/>
              <w:jc w:val="right"/>
              <w:rPr>
                <w:szCs w:val="16"/>
              </w:rPr>
            </w:pPr>
            <w:r w:rsidRPr="00847CCC">
              <w:rPr>
                <w:szCs w:val="16"/>
              </w:rPr>
              <w:t>0</w:t>
            </w:r>
          </w:p>
        </w:tc>
      </w:tr>
      <w:tr w:rsidR="000A073B" w:rsidRPr="00847CCC" w:rsidTr="00B82B1F">
        <w:trPr>
          <w:trHeight w:val="290"/>
        </w:trPr>
        <w:tc>
          <w:tcPr>
            <w:tcW w:w="3260" w:type="dxa"/>
            <w:tcBorders>
              <w:top w:val="nil"/>
              <w:left w:val="nil"/>
              <w:bottom w:val="nil"/>
              <w:right w:val="nil"/>
            </w:tcBorders>
          </w:tcPr>
          <w:p w:rsidR="000A073B" w:rsidRPr="00587AD8" w:rsidRDefault="000A073B" w:rsidP="00313349">
            <w:pPr>
              <w:pStyle w:val="braytabletext"/>
              <w:rPr>
                <w:i/>
                <w:szCs w:val="16"/>
              </w:rPr>
            </w:pPr>
            <w:r w:rsidRPr="00587AD8">
              <w:rPr>
                <w:i/>
                <w:szCs w:val="16"/>
              </w:rPr>
              <w:t>Total</w:t>
            </w:r>
          </w:p>
        </w:tc>
        <w:tc>
          <w:tcPr>
            <w:tcW w:w="851" w:type="dxa"/>
            <w:tcBorders>
              <w:top w:val="nil"/>
              <w:left w:val="nil"/>
              <w:bottom w:val="nil"/>
              <w:right w:val="nil"/>
            </w:tcBorders>
          </w:tcPr>
          <w:p w:rsidR="000A073B" w:rsidRPr="00587AD8" w:rsidRDefault="000A073B" w:rsidP="000238F6">
            <w:pPr>
              <w:pStyle w:val="braytabletext"/>
              <w:jc w:val="right"/>
              <w:rPr>
                <w:i/>
                <w:szCs w:val="16"/>
              </w:rPr>
            </w:pPr>
            <w:r w:rsidRPr="00587AD8">
              <w:rPr>
                <w:i/>
                <w:szCs w:val="16"/>
              </w:rPr>
              <w:t>2</w:t>
            </w:r>
            <w:r w:rsidR="00467E88" w:rsidRPr="00587AD8">
              <w:rPr>
                <w:i/>
                <w:szCs w:val="16"/>
              </w:rPr>
              <w:t> </w:t>
            </w:r>
            <w:r w:rsidRPr="00587AD8">
              <w:rPr>
                <w:i/>
                <w:szCs w:val="16"/>
              </w:rPr>
              <w:t>609</w:t>
            </w:r>
          </w:p>
        </w:tc>
        <w:tc>
          <w:tcPr>
            <w:tcW w:w="850" w:type="dxa"/>
            <w:tcBorders>
              <w:top w:val="nil"/>
              <w:left w:val="nil"/>
              <w:bottom w:val="nil"/>
              <w:right w:val="nil"/>
            </w:tcBorders>
          </w:tcPr>
          <w:p w:rsidR="000A073B" w:rsidRPr="00587AD8" w:rsidRDefault="000A073B" w:rsidP="000238F6">
            <w:pPr>
              <w:pStyle w:val="braytabletext"/>
              <w:jc w:val="right"/>
              <w:rPr>
                <w:i/>
                <w:szCs w:val="16"/>
              </w:rPr>
            </w:pPr>
            <w:r w:rsidRPr="00587AD8">
              <w:rPr>
                <w:i/>
                <w:szCs w:val="16"/>
              </w:rPr>
              <w:t>4</w:t>
            </w:r>
            <w:r w:rsidR="00467E88" w:rsidRPr="00587AD8">
              <w:rPr>
                <w:i/>
                <w:szCs w:val="16"/>
              </w:rPr>
              <w:t> </w:t>
            </w:r>
            <w:r w:rsidRPr="00587AD8">
              <w:rPr>
                <w:i/>
                <w:szCs w:val="16"/>
              </w:rPr>
              <w:t>687</w:t>
            </w:r>
          </w:p>
        </w:tc>
        <w:tc>
          <w:tcPr>
            <w:tcW w:w="284" w:type="dxa"/>
            <w:tcBorders>
              <w:top w:val="nil"/>
              <w:left w:val="nil"/>
              <w:bottom w:val="nil"/>
              <w:right w:val="nil"/>
            </w:tcBorders>
          </w:tcPr>
          <w:p w:rsidR="000A073B" w:rsidRPr="00587AD8" w:rsidRDefault="000A073B" w:rsidP="000A073B">
            <w:pPr>
              <w:pStyle w:val="braytabletext"/>
              <w:jc w:val="right"/>
              <w:rPr>
                <w:i/>
                <w:szCs w:val="16"/>
              </w:rPr>
            </w:pPr>
          </w:p>
        </w:tc>
        <w:tc>
          <w:tcPr>
            <w:tcW w:w="850" w:type="dxa"/>
            <w:tcBorders>
              <w:top w:val="nil"/>
              <w:left w:val="nil"/>
              <w:bottom w:val="nil"/>
              <w:right w:val="nil"/>
            </w:tcBorders>
          </w:tcPr>
          <w:p w:rsidR="000A073B" w:rsidRPr="00587AD8" w:rsidRDefault="000A073B" w:rsidP="000238F6">
            <w:pPr>
              <w:pStyle w:val="braytabletext"/>
              <w:jc w:val="right"/>
              <w:rPr>
                <w:i/>
                <w:szCs w:val="16"/>
              </w:rPr>
            </w:pPr>
            <w:r w:rsidRPr="00587AD8">
              <w:rPr>
                <w:i/>
                <w:szCs w:val="16"/>
              </w:rPr>
              <w:t>5</w:t>
            </w:r>
            <w:r w:rsidR="00467E88" w:rsidRPr="00587AD8">
              <w:rPr>
                <w:i/>
                <w:szCs w:val="16"/>
              </w:rPr>
              <w:t> </w:t>
            </w:r>
            <w:r w:rsidRPr="00587AD8">
              <w:rPr>
                <w:i/>
                <w:szCs w:val="16"/>
              </w:rPr>
              <w:t>201</w:t>
            </w:r>
          </w:p>
        </w:tc>
        <w:tc>
          <w:tcPr>
            <w:tcW w:w="851" w:type="dxa"/>
            <w:tcBorders>
              <w:top w:val="nil"/>
              <w:left w:val="nil"/>
              <w:bottom w:val="nil"/>
              <w:right w:val="nil"/>
            </w:tcBorders>
          </w:tcPr>
          <w:p w:rsidR="000A073B" w:rsidRPr="00587AD8" w:rsidRDefault="000A073B" w:rsidP="000A073B">
            <w:pPr>
              <w:pStyle w:val="braytabletext"/>
              <w:jc w:val="right"/>
              <w:rPr>
                <w:i/>
                <w:szCs w:val="16"/>
              </w:rPr>
            </w:pPr>
            <w:r w:rsidRPr="00587AD8">
              <w:rPr>
                <w:i/>
                <w:szCs w:val="16"/>
              </w:rPr>
              <w:t>168</w:t>
            </w:r>
          </w:p>
        </w:tc>
      </w:tr>
      <w:tr w:rsidR="000A073B" w:rsidRPr="00847CCC" w:rsidTr="00B82B1F">
        <w:trPr>
          <w:trHeight w:val="290"/>
        </w:trPr>
        <w:tc>
          <w:tcPr>
            <w:tcW w:w="3260" w:type="dxa"/>
            <w:tcBorders>
              <w:top w:val="nil"/>
              <w:left w:val="nil"/>
              <w:bottom w:val="nil"/>
              <w:right w:val="nil"/>
            </w:tcBorders>
          </w:tcPr>
          <w:p w:rsidR="000A073B" w:rsidRPr="00847CCC" w:rsidRDefault="000A073B" w:rsidP="00313349">
            <w:pPr>
              <w:pStyle w:val="braytabletext"/>
              <w:rPr>
                <w:szCs w:val="16"/>
              </w:rPr>
            </w:pPr>
            <w:r w:rsidRPr="00847CCC">
              <w:rPr>
                <w:szCs w:val="16"/>
              </w:rPr>
              <w:t>Not on CIM because of exemption</w:t>
            </w:r>
          </w:p>
        </w:tc>
        <w:tc>
          <w:tcPr>
            <w:tcW w:w="851" w:type="dxa"/>
            <w:tcBorders>
              <w:top w:val="nil"/>
              <w:left w:val="nil"/>
              <w:bottom w:val="nil"/>
              <w:right w:val="nil"/>
            </w:tcBorders>
          </w:tcPr>
          <w:p w:rsidR="000A073B" w:rsidRPr="00847CCC" w:rsidRDefault="000A073B" w:rsidP="000A073B">
            <w:pPr>
              <w:pStyle w:val="braytabletext"/>
              <w:jc w:val="right"/>
              <w:rPr>
                <w:szCs w:val="16"/>
              </w:rPr>
            </w:pPr>
            <w:r w:rsidRPr="00847CCC">
              <w:rPr>
                <w:szCs w:val="16"/>
              </w:rPr>
              <w:t>35</w:t>
            </w:r>
          </w:p>
        </w:tc>
        <w:tc>
          <w:tcPr>
            <w:tcW w:w="850" w:type="dxa"/>
            <w:tcBorders>
              <w:top w:val="nil"/>
              <w:left w:val="nil"/>
              <w:bottom w:val="nil"/>
              <w:right w:val="nil"/>
            </w:tcBorders>
          </w:tcPr>
          <w:p w:rsidR="000A073B" w:rsidRPr="00847CCC" w:rsidRDefault="000A073B" w:rsidP="000A073B">
            <w:pPr>
              <w:pStyle w:val="braytabletext"/>
              <w:jc w:val="right"/>
              <w:rPr>
                <w:szCs w:val="16"/>
              </w:rPr>
            </w:pPr>
            <w:r w:rsidRPr="00847CCC">
              <w:rPr>
                <w:szCs w:val="16"/>
              </w:rPr>
              <w:t>36</w:t>
            </w:r>
          </w:p>
        </w:tc>
        <w:tc>
          <w:tcPr>
            <w:tcW w:w="284" w:type="dxa"/>
            <w:tcBorders>
              <w:top w:val="nil"/>
              <w:left w:val="nil"/>
              <w:bottom w:val="nil"/>
              <w:right w:val="nil"/>
            </w:tcBorders>
          </w:tcPr>
          <w:p w:rsidR="000A073B" w:rsidRPr="00847CCC" w:rsidRDefault="000A073B" w:rsidP="000A073B">
            <w:pPr>
              <w:pStyle w:val="braytabletext"/>
              <w:jc w:val="right"/>
              <w:rPr>
                <w:szCs w:val="16"/>
              </w:rPr>
            </w:pPr>
          </w:p>
        </w:tc>
        <w:tc>
          <w:tcPr>
            <w:tcW w:w="850" w:type="dxa"/>
            <w:tcBorders>
              <w:top w:val="nil"/>
              <w:left w:val="nil"/>
              <w:bottom w:val="nil"/>
              <w:right w:val="nil"/>
            </w:tcBorders>
          </w:tcPr>
          <w:p w:rsidR="000A073B" w:rsidRPr="00847CCC" w:rsidRDefault="000A073B" w:rsidP="000238F6">
            <w:pPr>
              <w:pStyle w:val="braytabletext"/>
              <w:jc w:val="right"/>
              <w:rPr>
                <w:szCs w:val="16"/>
              </w:rPr>
            </w:pPr>
            <w:r w:rsidRPr="00847CCC">
              <w:rPr>
                <w:szCs w:val="16"/>
              </w:rPr>
              <w:t>1</w:t>
            </w:r>
            <w:r w:rsidR="00467E88" w:rsidRPr="00847CCC">
              <w:rPr>
                <w:szCs w:val="16"/>
              </w:rPr>
              <w:t> </w:t>
            </w:r>
            <w:r w:rsidRPr="00847CCC">
              <w:rPr>
                <w:szCs w:val="16"/>
              </w:rPr>
              <w:t>404</w:t>
            </w:r>
          </w:p>
        </w:tc>
        <w:tc>
          <w:tcPr>
            <w:tcW w:w="851" w:type="dxa"/>
            <w:tcBorders>
              <w:top w:val="nil"/>
              <w:left w:val="nil"/>
              <w:bottom w:val="nil"/>
              <w:right w:val="nil"/>
            </w:tcBorders>
          </w:tcPr>
          <w:p w:rsidR="000A073B" w:rsidRPr="00847CCC" w:rsidRDefault="000A073B" w:rsidP="000A073B">
            <w:pPr>
              <w:pStyle w:val="braytabletext"/>
              <w:jc w:val="right"/>
              <w:rPr>
                <w:szCs w:val="16"/>
              </w:rPr>
            </w:pPr>
            <w:r w:rsidRPr="00847CCC">
              <w:rPr>
                <w:szCs w:val="16"/>
              </w:rPr>
              <w:t>61</w:t>
            </w:r>
          </w:p>
        </w:tc>
      </w:tr>
      <w:tr w:rsidR="000A073B" w:rsidRPr="00847CCC" w:rsidTr="00B82B1F">
        <w:trPr>
          <w:trHeight w:val="290"/>
        </w:trPr>
        <w:tc>
          <w:tcPr>
            <w:tcW w:w="3260" w:type="dxa"/>
            <w:tcBorders>
              <w:top w:val="nil"/>
              <w:left w:val="nil"/>
              <w:bottom w:val="single" w:sz="4" w:space="0" w:color="auto"/>
              <w:right w:val="nil"/>
            </w:tcBorders>
          </w:tcPr>
          <w:p w:rsidR="000A073B" w:rsidRPr="00847CCC" w:rsidRDefault="000A073B" w:rsidP="00357105">
            <w:pPr>
              <w:pStyle w:val="braytabletext"/>
              <w:rPr>
                <w:szCs w:val="16"/>
              </w:rPr>
            </w:pPr>
            <w:r w:rsidRPr="00847CCC">
              <w:rPr>
                <w:szCs w:val="16"/>
              </w:rPr>
              <w:t>Total compulsory incl</w:t>
            </w:r>
            <w:r w:rsidR="00357105" w:rsidRPr="00847CCC">
              <w:rPr>
                <w:szCs w:val="16"/>
              </w:rPr>
              <w:t>uding</w:t>
            </w:r>
            <w:r w:rsidRPr="00847CCC">
              <w:rPr>
                <w:szCs w:val="16"/>
              </w:rPr>
              <w:t xml:space="preserve"> exemption</w:t>
            </w:r>
          </w:p>
        </w:tc>
        <w:tc>
          <w:tcPr>
            <w:tcW w:w="851" w:type="dxa"/>
            <w:tcBorders>
              <w:top w:val="nil"/>
              <w:left w:val="nil"/>
              <w:bottom w:val="single" w:sz="4" w:space="0" w:color="auto"/>
              <w:right w:val="nil"/>
            </w:tcBorders>
          </w:tcPr>
          <w:p w:rsidR="000A073B" w:rsidRPr="00847CCC" w:rsidRDefault="000A073B" w:rsidP="000238F6">
            <w:pPr>
              <w:pStyle w:val="braytabletext"/>
              <w:jc w:val="right"/>
              <w:rPr>
                <w:szCs w:val="16"/>
              </w:rPr>
            </w:pPr>
            <w:r w:rsidRPr="00847CCC">
              <w:rPr>
                <w:szCs w:val="16"/>
              </w:rPr>
              <w:t>2</w:t>
            </w:r>
            <w:r w:rsidR="00467E88" w:rsidRPr="00847CCC">
              <w:rPr>
                <w:szCs w:val="16"/>
              </w:rPr>
              <w:t> </w:t>
            </w:r>
            <w:r w:rsidRPr="00847CCC">
              <w:rPr>
                <w:szCs w:val="16"/>
              </w:rPr>
              <w:t>644</w:t>
            </w:r>
          </w:p>
        </w:tc>
        <w:tc>
          <w:tcPr>
            <w:tcW w:w="850" w:type="dxa"/>
            <w:tcBorders>
              <w:top w:val="nil"/>
              <w:left w:val="nil"/>
              <w:bottom w:val="single" w:sz="4" w:space="0" w:color="auto"/>
              <w:right w:val="nil"/>
            </w:tcBorders>
          </w:tcPr>
          <w:p w:rsidR="000A073B" w:rsidRPr="00847CCC" w:rsidRDefault="000A073B" w:rsidP="000238F6">
            <w:pPr>
              <w:pStyle w:val="braytabletext"/>
              <w:jc w:val="right"/>
              <w:rPr>
                <w:szCs w:val="16"/>
              </w:rPr>
            </w:pPr>
            <w:r w:rsidRPr="00847CCC">
              <w:rPr>
                <w:szCs w:val="16"/>
              </w:rPr>
              <w:t>4</w:t>
            </w:r>
            <w:r w:rsidR="00467E88" w:rsidRPr="00847CCC">
              <w:rPr>
                <w:szCs w:val="16"/>
              </w:rPr>
              <w:t> </w:t>
            </w:r>
            <w:r w:rsidRPr="00847CCC">
              <w:rPr>
                <w:szCs w:val="16"/>
              </w:rPr>
              <w:t>723</w:t>
            </w:r>
          </w:p>
        </w:tc>
        <w:tc>
          <w:tcPr>
            <w:tcW w:w="284" w:type="dxa"/>
            <w:tcBorders>
              <w:top w:val="nil"/>
              <w:left w:val="nil"/>
              <w:bottom w:val="single" w:sz="4" w:space="0" w:color="auto"/>
              <w:right w:val="nil"/>
            </w:tcBorders>
          </w:tcPr>
          <w:p w:rsidR="000A073B" w:rsidRPr="00847CCC" w:rsidRDefault="000A073B" w:rsidP="000A073B">
            <w:pPr>
              <w:pStyle w:val="braytabletext"/>
              <w:jc w:val="right"/>
              <w:rPr>
                <w:szCs w:val="16"/>
              </w:rPr>
            </w:pPr>
          </w:p>
        </w:tc>
        <w:tc>
          <w:tcPr>
            <w:tcW w:w="850" w:type="dxa"/>
            <w:tcBorders>
              <w:top w:val="nil"/>
              <w:left w:val="nil"/>
              <w:bottom w:val="single" w:sz="4" w:space="0" w:color="auto"/>
              <w:right w:val="nil"/>
            </w:tcBorders>
          </w:tcPr>
          <w:p w:rsidR="000A073B" w:rsidRPr="00847CCC" w:rsidRDefault="000A073B" w:rsidP="000238F6">
            <w:pPr>
              <w:pStyle w:val="braytabletext"/>
              <w:jc w:val="right"/>
              <w:rPr>
                <w:szCs w:val="16"/>
              </w:rPr>
            </w:pPr>
            <w:r w:rsidRPr="00847CCC">
              <w:rPr>
                <w:szCs w:val="16"/>
              </w:rPr>
              <w:t>6</w:t>
            </w:r>
            <w:r w:rsidR="00467E88" w:rsidRPr="00847CCC">
              <w:rPr>
                <w:szCs w:val="16"/>
              </w:rPr>
              <w:t> </w:t>
            </w:r>
            <w:r w:rsidRPr="00847CCC">
              <w:rPr>
                <w:szCs w:val="16"/>
              </w:rPr>
              <w:t>605</w:t>
            </w:r>
          </w:p>
        </w:tc>
        <w:tc>
          <w:tcPr>
            <w:tcW w:w="851" w:type="dxa"/>
            <w:tcBorders>
              <w:top w:val="nil"/>
              <w:left w:val="nil"/>
              <w:bottom w:val="single" w:sz="4" w:space="0" w:color="auto"/>
              <w:right w:val="nil"/>
            </w:tcBorders>
          </w:tcPr>
          <w:p w:rsidR="000A073B" w:rsidRPr="00847CCC" w:rsidRDefault="000A073B" w:rsidP="000A073B">
            <w:pPr>
              <w:pStyle w:val="braytabletext"/>
              <w:jc w:val="right"/>
              <w:rPr>
                <w:szCs w:val="16"/>
              </w:rPr>
            </w:pPr>
            <w:r w:rsidRPr="00847CCC">
              <w:rPr>
                <w:szCs w:val="16"/>
              </w:rPr>
              <w:t>229</w:t>
            </w:r>
          </w:p>
        </w:tc>
      </w:tr>
      <w:tr w:rsidR="00313349" w:rsidRPr="00847CCC" w:rsidTr="00B82B1F">
        <w:trPr>
          <w:trHeight w:val="290"/>
        </w:trPr>
        <w:tc>
          <w:tcPr>
            <w:tcW w:w="3260" w:type="dxa"/>
            <w:tcBorders>
              <w:top w:val="single" w:sz="4" w:space="0" w:color="auto"/>
              <w:left w:val="nil"/>
              <w:bottom w:val="nil"/>
              <w:right w:val="nil"/>
            </w:tcBorders>
          </w:tcPr>
          <w:p w:rsidR="00313349" w:rsidRPr="00847CCC" w:rsidRDefault="00313349" w:rsidP="00313349">
            <w:pPr>
              <w:pStyle w:val="braytabletext"/>
              <w:rPr>
                <w:szCs w:val="16"/>
              </w:rPr>
            </w:pPr>
          </w:p>
        </w:tc>
        <w:tc>
          <w:tcPr>
            <w:tcW w:w="3686" w:type="dxa"/>
            <w:gridSpan w:val="5"/>
            <w:tcBorders>
              <w:top w:val="single" w:sz="4" w:space="0" w:color="auto"/>
              <w:left w:val="nil"/>
              <w:bottom w:val="nil"/>
              <w:right w:val="nil"/>
            </w:tcBorders>
          </w:tcPr>
          <w:p w:rsidR="00313349" w:rsidRPr="00847CCC" w:rsidRDefault="00313349" w:rsidP="00313349">
            <w:pPr>
              <w:pStyle w:val="braytabletext"/>
              <w:jc w:val="center"/>
              <w:rPr>
                <w:szCs w:val="16"/>
              </w:rPr>
            </w:pPr>
            <w:r w:rsidRPr="00847CCC">
              <w:rPr>
                <w:szCs w:val="16"/>
              </w:rPr>
              <w:t xml:space="preserve">- % </w:t>
            </w:r>
            <w:r w:rsidR="00467E88" w:rsidRPr="00847CCC">
              <w:rPr>
                <w:szCs w:val="16"/>
              </w:rPr>
              <w:t>-</w:t>
            </w:r>
          </w:p>
        </w:tc>
      </w:tr>
      <w:tr w:rsidR="000A073B" w:rsidRPr="00847CCC" w:rsidTr="00B82B1F">
        <w:trPr>
          <w:trHeight w:val="290"/>
        </w:trPr>
        <w:tc>
          <w:tcPr>
            <w:tcW w:w="3260" w:type="dxa"/>
            <w:tcBorders>
              <w:top w:val="nil"/>
              <w:left w:val="nil"/>
              <w:bottom w:val="nil"/>
              <w:right w:val="nil"/>
            </w:tcBorders>
          </w:tcPr>
          <w:p w:rsidR="000A073B" w:rsidRPr="00847CCC" w:rsidRDefault="000A073B" w:rsidP="00313349">
            <w:pPr>
              <w:pStyle w:val="braytabletext"/>
              <w:rPr>
                <w:szCs w:val="16"/>
              </w:rPr>
            </w:pPr>
            <w:r w:rsidRPr="00847CCC">
              <w:rPr>
                <w:szCs w:val="16"/>
              </w:rPr>
              <w:t>Per cent with exemption</w:t>
            </w:r>
          </w:p>
        </w:tc>
        <w:tc>
          <w:tcPr>
            <w:tcW w:w="851" w:type="dxa"/>
            <w:tcBorders>
              <w:top w:val="nil"/>
              <w:left w:val="nil"/>
              <w:bottom w:val="nil"/>
              <w:right w:val="nil"/>
            </w:tcBorders>
          </w:tcPr>
          <w:p w:rsidR="000A073B" w:rsidRPr="00847CCC" w:rsidRDefault="000A073B" w:rsidP="000A073B">
            <w:pPr>
              <w:pStyle w:val="braytabletext"/>
              <w:jc w:val="right"/>
              <w:rPr>
                <w:szCs w:val="16"/>
              </w:rPr>
            </w:pPr>
            <w:r w:rsidRPr="00847CCC">
              <w:rPr>
                <w:szCs w:val="16"/>
              </w:rPr>
              <w:t>1.4</w:t>
            </w:r>
          </w:p>
        </w:tc>
        <w:tc>
          <w:tcPr>
            <w:tcW w:w="850" w:type="dxa"/>
            <w:tcBorders>
              <w:top w:val="nil"/>
              <w:left w:val="nil"/>
              <w:bottom w:val="nil"/>
              <w:right w:val="nil"/>
            </w:tcBorders>
          </w:tcPr>
          <w:p w:rsidR="000A073B" w:rsidRPr="00847CCC" w:rsidRDefault="000A073B" w:rsidP="000A073B">
            <w:pPr>
              <w:pStyle w:val="braytabletext"/>
              <w:jc w:val="right"/>
              <w:rPr>
                <w:szCs w:val="16"/>
              </w:rPr>
            </w:pPr>
            <w:r w:rsidRPr="00847CCC">
              <w:rPr>
                <w:szCs w:val="16"/>
              </w:rPr>
              <w:t>0.8</w:t>
            </w:r>
          </w:p>
        </w:tc>
        <w:tc>
          <w:tcPr>
            <w:tcW w:w="284" w:type="dxa"/>
            <w:tcBorders>
              <w:top w:val="nil"/>
              <w:left w:val="nil"/>
              <w:bottom w:val="nil"/>
              <w:right w:val="nil"/>
            </w:tcBorders>
          </w:tcPr>
          <w:p w:rsidR="000A073B" w:rsidRPr="00847CCC" w:rsidRDefault="000A073B" w:rsidP="000A073B">
            <w:pPr>
              <w:pStyle w:val="braytabletext"/>
              <w:jc w:val="right"/>
              <w:rPr>
                <w:szCs w:val="16"/>
              </w:rPr>
            </w:pPr>
          </w:p>
        </w:tc>
        <w:tc>
          <w:tcPr>
            <w:tcW w:w="850" w:type="dxa"/>
            <w:tcBorders>
              <w:top w:val="nil"/>
              <w:left w:val="nil"/>
              <w:bottom w:val="nil"/>
              <w:right w:val="nil"/>
            </w:tcBorders>
          </w:tcPr>
          <w:p w:rsidR="000A073B" w:rsidRPr="00847CCC" w:rsidRDefault="000A073B" w:rsidP="000A073B">
            <w:pPr>
              <w:pStyle w:val="braytabletext"/>
              <w:jc w:val="right"/>
              <w:rPr>
                <w:szCs w:val="16"/>
              </w:rPr>
            </w:pPr>
            <w:r w:rsidRPr="00847CCC">
              <w:rPr>
                <w:szCs w:val="16"/>
              </w:rPr>
              <w:t>21.5</w:t>
            </w:r>
          </w:p>
        </w:tc>
        <w:tc>
          <w:tcPr>
            <w:tcW w:w="851" w:type="dxa"/>
            <w:tcBorders>
              <w:top w:val="nil"/>
              <w:left w:val="nil"/>
              <w:bottom w:val="nil"/>
              <w:right w:val="nil"/>
            </w:tcBorders>
          </w:tcPr>
          <w:p w:rsidR="000A073B" w:rsidRPr="00847CCC" w:rsidRDefault="000A073B" w:rsidP="000A073B">
            <w:pPr>
              <w:pStyle w:val="braytabletext"/>
              <w:jc w:val="right"/>
              <w:rPr>
                <w:szCs w:val="16"/>
              </w:rPr>
            </w:pPr>
            <w:r w:rsidRPr="00847CCC">
              <w:rPr>
                <w:szCs w:val="16"/>
              </w:rPr>
              <w:t>26.6</w:t>
            </w:r>
          </w:p>
        </w:tc>
      </w:tr>
      <w:tr w:rsidR="000A073B" w:rsidRPr="00847CCC" w:rsidTr="00B82B1F">
        <w:trPr>
          <w:trHeight w:val="290"/>
        </w:trPr>
        <w:tc>
          <w:tcPr>
            <w:tcW w:w="3260" w:type="dxa"/>
            <w:tcBorders>
              <w:top w:val="nil"/>
              <w:left w:val="nil"/>
              <w:bottom w:val="nil"/>
              <w:right w:val="nil"/>
            </w:tcBorders>
          </w:tcPr>
          <w:p w:rsidR="000A073B" w:rsidRPr="00847CCC" w:rsidRDefault="000A073B" w:rsidP="00313349">
            <w:pPr>
              <w:pStyle w:val="braytabletext"/>
              <w:rPr>
                <w:szCs w:val="16"/>
              </w:rPr>
            </w:pPr>
            <w:r w:rsidRPr="00847CCC">
              <w:rPr>
                <w:szCs w:val="16"/>
              </w:rPr>
              <w:t>Per cent applied for exemption</w:t>
            </w:r>
          </w:p>
        </w:tc>
        <w:tc>
          <w:tcPr>
            <w:tcW w:w="851" w:type="dxa"/>
            <w:tcBorders>
              <w:top w:val="nil"/>
              <w:left w:val="nil"/>
              <w:bottom w:val="nil"/>
              <w:right w:val="nil"/>
            </w:tcBorders>
          </w:tcPr>
          <w:p w:rsidR="000A073B" w:rsidRPr="00847CCC" w:rsidRDefault="000A073B" w:rsidP="000A073B">
            <w:pPr>
              <w:pStyle w:val="braytabletext"/>
              <w:jc w:val="right"/>
              <w:rPr>
                <w:szCs w:val="16"/>
              </w:rPr>
            </w:pPr>
            <w:r w:rsidRPr="00847CCC">
              <w:rPr>
                <w:szCs w:val="16"/>
              </w:rPr>
              <w:t>3.5</w:t>
            </w:r>
          </w:p>
        </w:tc>
        <w:tc>
          <w:tcPr>
            <w:tcW w:w="850" w:type="dxa"/>
            <w:tcBorders>
              <w:top w:val="nil"/>
              <w:left w:val="nil"/>
              <w:bottom w:val="nil"/>
              <w:right w:val="nil"/>
            </w:tcBorders>
          </w:tcPr>
          <w:p w:rsidR="000A073B" w:rsidRPr="00847CCC" w:rsidRDefault="000A073B" w:rsidP="000A073B">
            <w:pPr>
              <w:pStyle w:val="braytabletext"/>
              <w:jc w:val="right"/>
              <w:rPr>
                <w:szCs w:val="16"/>
              </w:rPr>
            </w:pPr>
            <w:r w:rsidRPr="00847CCC">
              <w:rPr>
                <w:szCs w:val="16"/>
              </w:rPr>
              <w:t>2.1</w:t>
            </w:r>
          </w:p>
        </w:tc>
        <w:tc>
          <w:tcPr>
            <w:tcW w:w="284" w:type="dxa"/>
            <w:tcBorders>
              <w:top w:val="nil"/>
              <w:left w:val="nil"/>
              <w:bottom w:val="nil"/>
              <w:right w:val="nil"/>
            </w:tcBorders>
          </w:tcPr>
          <w:p w:rsidR="000A073B" w:rsidRPr="00847CCC" w:rsidRDefault="000A073B" w:rsidP="000A073B">
            <w:pPr>
              <w:pStyle w:val="braytabletext"/>
              <w:jc w:val="right"/>
              <w:rPr>
                <w:szCs w:val="16"/>
              </w:rPr>
            </w:pPr>
          </w:p>
        </w:tc>
        <w:tc>
          <w:tcPr>
            <w:tcW w:w="850" w:type="dxa"/>
            <w:tcBorders>
              <w:top w:val="nil"/>
              <w:left w:val="nil"/>
              <w:bottom w:val="nil"/>
              <w:right w:val="nil"/>
            </w:tcBorders>
          </w:tcPr>
          <w:p w:rsidR="000A073B" w:rsidRPr="00847CCC" w:rsidRDefault="000A073B" w:rsidP="000A073B">
            <w:pPr>
              <w:pStyle w:val="braytabletext"/>
              <w:jc w:val="right"/>
              <w:rPr>
                <w:szCs w:val="16"/>
              </w:rPr>
            </w:pPr>
            <w:r w:rsidRPr="00847CCC">
              <w:rPr>
                <w:szCs w:val="16"/>
              </w:rPr>
              <w:t>37.8</w:t>
            </w:r>
          </w:p>
        </w:tc>
        <w:tc>
          <w:tcPr>
            <w:tcW w:w="851" w:type="dxa"/>
            <w:tcBorders>
              <w:top w:val="nil"/>
              <w:left w:val="nil"/>
              <w:bottom w:val="nil"/>
              <w:right w:val="nil"/>
            </w:tcBorders>
          </w:tcPr>
          <w:p w:rsidR="000A073B" w:rsidRPr="00847CCC" w:rsidRDefault="000A073B" w:rsidP="000A073B">
            <w:pPr>
              <w:pStyle w:val="braytabletext"/>
              <w:jc w:val="right"/>
              <w:rPr>
                <w:szCs w:val="16"/>
              </w:rPr>
            </w:pPr>
            <w:r w:rsidRPr="00847CCC">
              <w:rPr>
                <w:szCs w:val="16"/>
              </w:rPr>
              <w:t>41.9</w:t>
            </w:r>
          </w:p>
        </w:tc>
      </w:tr>
      <w:tr w:rsidR="000A073B" w:rsidRPr="00847CCC" w:rsidTr="00B82B1F">
        <w:trPr>
          <w:trHeight w:val="290"/>
        </w:trPr>
        <w:tc>
          <w:tcPr>
            <w:tcW w:w="3260" w:type="dxa"/>
            <w:tcBorders>
              <w:top w:val="nil"/>
              <w:left w:val="nil"/>
              <w:right w:val="nil"/>
            </w:tcBorders>
          </w:tcPr>
          <w:p w:rsidR="000A073B" w:rsidRPr="00847CCC" w:rsidRDefault="000A073B" w:rsidP="00313349">
            <w:pPr>
              <w:pStyle w:val="braytabletext"/>
              <w:rPr>
                <w:szCs w:val="16"/>
              </w:rPr>
            </w:pPr>
            <w:r w:rsidRPr="00847CCC">
              <w:rPr>
                <w:szCs w:val="16"/>
              </w:rPr>
              <w:t>Per cent successful</w:t>
            </w:r>
          </w:p>
        </w:tc>
        <w:tc>
          <w:tcPr>
            <w:tcW w:w="851" w:type="dxa"/>
            <w:tcBorders>
              <w:top w:val="nil"/>
              <w:left w:val="nil"/>
              <w:right w:val="nil"/>
            </w:tcBorders>
          </w:tcPr>
          <w:p w:rsidR="000A073B" w:rsidRPr="00847CCC" w:rsidRDefault="000A073B" w:rsidP="000A073B">
            <w:pPr>
              <w:pStyle w:val="braytabletext"/>
              <w:jc w:val="right"/>
              <w:rPr>
                <w:szCs w:val="16"/>
              </w:rPr>
            </w:pPr>
            <w:r w:rsidRPr="00847CCC">
              <w:rPr>
                <w:szCs w:val="16"/>
              </w:rPr>
              <w:t>39.1</w:t>
            </w:r>
          </w:p>
        </w:tc>
        <w:tc>
          <w:tcPr>
            <w:tcW w:w="850" w:type="dxa"/>
            <w:tcBorders>
              <w:top w:val="nil"/>
              <w:left w:val="nil"/>
              <w:right w:val="nil"/>
            </w:tcBorders>
          </w:tcPr>
          <w:p w:rsidR="000A073B" w:rsidRPr="00847CCC" w:rsidRDefault="000A073B" w:rsidP="000A073B">
            <w:pPr>
              <w:pStyle w:val="braytabletext"/>
              <w:jc w:val="right"/>
              <w:rPr>
                <w:szCs w:val="16"/>
              </w:rPr>
            </w:pPr>
            <w:r w:rsidRPr="00847CCC">
              <w:rPr>
                <w:szCs w:val="16"/>
              </w:rPr>
              <w:t>37.1</w:t>
            </w:r>
          </w:p>
        </w:tc>
        <w:tc>
          <w:tcPr>
            <w:tcW w:w="284" w:type="dxa"/>
            <w:tcBorders>
              <w:top w:val="nil"/>
              <w:left w:val="nil"/>
              <w:right w:val="nil"/>
            </w:tcBorders>
          </w:tcPr>
          <w:p w:rsidR="000A073B" w:rsidRPr="00847CCC" w:rsidRDefault="000A073B" w:rsidP="000A073B">
            <w:pPr>
              <w:pStyle w:val="braytabletext"/>
              <w:jc w:val="right"/>
              <w:rPr>
                <w:szCs w:val="16"/>
              </w:rPr>
            </w:pPr>
          </w:p>
        </w:tc>
        <w:tc>
          <w:tcPr>
            <w:tcW w:w="850" w:type="dxa"/>
            <w:tcBorders>
              <w:top w:val="nil"/>
              <w:left w:val="nil"/>
              <w:right w:val="nil"/>
            </w:tcBorders>
          </w:tcPr>
          <w:p w:rsidR="000A073B" w:rsidRPr="00847CCC" w:rsidRDefault="000A073B" w:rsidP="000A073B">
            <w:pPr>
              <w:pStyle w:val="braytabletext"/>
              <w:jc w:val="right"/>
              <w:rPr>
                <w:szCs w:val="16"/>
              </w:rPr>
            </w:pPr>
            <w:r w:rsidRPr="00847CCC">
              <w:rPr>
                <w:szCs w:val="16"/>
              </w:rPr>
              <w:t>56.8</w:t>
            </w:r>
          </w:p>
        </w:tc>
        <w:tc>
          <w:tcPr>
            <w:tcW w:w="851" w:type="dxa"/>
            <w:tcBorders>
              <w:top w:val="nil"/>
              <w:left w:val="nil"/>
              <w:right w:val="nil"/>
            </w:tcBorders>
          </w:tcPr>
          <w:p w:rsidR="000A073B" w:rsidRPr="00847CCC" w:rsidRDefault="000A073B" w:rsidP="000A073B">
            <w:pPr>
              <w:pStyle w:val="braytabletext"/>
              <w:jc w:val="right"/>
              <w:rPr>
                <w:szCs w:val="16"/>
              </w:rPr>
            </w:pPr>
            <w:r w:rsidRPr="00847CCC">
              <w:rPr>
                <w:szCs w:val="16"/>
              </w:rPr>
              <w:t>63.5</w:t>
            </w:r>
          </w:p>
        </w:tc>
      </w:tr>
      <w:tr w:rsidR="000A073B" w:rsidRPr="00847CCC" w:rsidTr="00B82B1F">
        <w:trPr>
          <w:trHeight w:val="290"/>
        </w:trPr>
        <w:tc>
          <w:tcPr>
            <w:tcW w:w="3260" w:type="dxa"/>
            <w:tcBorders>
              <w:top w:val="nil"/>
              <w:left w:val="nil"/>
              <w:bottom w:val="single" w:sz="4" w:space="0" w:color="auto"/>
              <w:right w:val="nil"/>
            </w:tcBorders>
          </w:tcPr>
          <w:p w:rsidR="000A073B" w:rsidRPr="00847CCC" w:rsidRDefault="000A073B" w:rsidP="00313349">
            <w:pPr>
              <w:pStyle w:val="braytabletext"/>
              <w:rPr>
                <w:szCs w:val="16"/>
              </w:rPr>
            </w:pPr>
            <w:r w:rsidRPr="00847CCC">
              <w:rPr>
                <w:szCs w:val="16"/>
              </w:rPr>
              <w:t>Per cent not withdrawn successful</w:t>
            </w:r>
          </w:p>
        </w:tc>
        <w:tc>
          <w:tcPr>
            <w:tcW w:w="851" w:type="dxa"/>
            <w:tcBorders>
              <w:top w:val="nil"/>
              <w:left w:val="nil"/>
              <w:bottom w:val="single" w:sz="4" w:space="0" w:color="auto"/>
              <w:right w:val="nil"/>
            </w:tcBorders>
          </w:tcPr>
          <w:p w:rsidR="000A073B" w:rsidRPr="00847CCC" w:rsidRDefault="000A073B" w:rsidP="000A073B">
            <w:pPr>
              <w:pStyle w:val="braytabletext"/>
              <w:jc w:val="right"/>
              <w:rPr>
                <w:szCs w:val="16"/>
              </w:rPr>
            </w:pPr>
            <w:r w:rsidRPr="00847CCC">
              <w:rPr>
                <w:szCs w:val="16"/>
              </w:rPr>
              <w:t>40.4</w:t>
            </w:r>
          </w:p>
        </w:tc>
        <w:tc>
          <w:tcPr>
            <w:tcW w:w="850" w:type="dxa"/>
            <w:tcBorders>
              <w:top w:val="nil"/>
              <w:left w:val="nil"/>
              <w:bottom w:val="single" w:sz="4" w:space="0" w:color="auto"/>
              <w:right w:val="nil"/>
            </w:tcBorders>
          </w:tcPr>
          <w:p w:rsidR="000A073B" w:rsidRPr="00847CCC" w:rsidRDefault="000A073B" w:rsidP="000A073B">
            <w:pPr>
              <w:pStyle w:val="braytabletext"/>
              <w:jc w:val="right"/>
              <w:rPr>
                <w:szCs w:val="16"/>
              </w:rPr>
            </w:pPr>
            <w:r w:rsidRPr="00847CCC">
              <w:rPr>
                <w:szCs w:val="16"/>
              </w:rPr>
              <w:t>37.1</w:t>
            </w:r>
          </w:p>
        </w:tc>
        <w:tc>
          <w:tcPr>
            <w:tcW w:w="284" w:type="dxa"/>
            <w:tcBorders>
              <w:top w:val="nil"/>
              <w:left w:val="nil"/>
              <w:bottom w:val="single" w:sz="4" w:space="0" w:color="auto"/>
              <w:right w:val="nil"/>
            </w:tcBorders>
          </w:tcPr>
          <w:p w:rsidR="000A073B" w:rsidRPr="00847CCC" w:rsidRDefault="000A073B" w:rsidP="000A073B">
            <w:pPr>
              <w:pStyle w:val="braytabletext"/>
              <w:jc w:val="right"/>
              <w:rPr>
                <w:szCs w:val="16"/>
              </w:rPr>
            </w:pPr>
          </w:p>
        </w:tc>
        <w:tc>
          <w:tcPr>
            <w:tcW w:w="850" w:type="dxa"/>
            <w:tcBorders>
              <w:top w:val="nil"/>
              <w:left w:val="nil"/>
              <w:bottom w:val="single" w:sz="4" w:space="0" w:color="auto"/>
              <w:right w:val="nil"/>
            </w:tcBorders>
          </w:tcPr>
          <w:p w:rsidR="000A073B" w:rsidRPr="00847CCC" w:rsidRDefault="000A073B" w:rsidP="000A073B">
            <w:pPr>
              <w:pStyle w:val="braytabletext"/>
              <w:jc w:val="right"/>
              <w:rPr>
                <w:szCs w:val="16"/>
              </w:rPr>
            </w:pPr>
            <w:r w:rsidRPr="00847CCC">
              <w:rPr>
                <w:szCs w:val="16"/>
              </w:rPr>
              <w:t>58.4</w:t>
            </w:r>
          </w:p>
        </w:tc>
        <w:tc>
          <w:tcPr>
            <w:tcW w:w="851" w:type="dxa"/>
            <w:tcBorders>
              <w:top w:val="nil"/>
              <w:left w:val="nil"/>
              <w:bottom w:val="single" w:sz="4" w:space="0" w:color="auto"/>
              <w:right w:val="nil"/>
            </w:tcBorders>
          </w:tcPr>
          <w:p w:rsidR="000A073B" w:rsidRPr="00847CCC" w:rsidRDefault="000A073B" w:rsidP="000A073B">
            <w:pPr>
              <w:pStyle w:val="braytabletext"/>
              <w:jc w:val="right"/>
              <w:rPr>
                <w:szCs w:val="16"/>
              </w:rPr>
            </w:pPr>
            <w:r w:rsidRPr="00847CCC">
              <w:rPr>
                <w:szCs w:val="16"/>
              </w:rPr>
              <w:t>67.0</w:t>
            </w:r>
          </w:p>
        </w:tc>
      </w:tr>
    </w:tbl>
    <w:p w:rsidR="008861DE" w:rsidRPr="005911E2" w:rsidRDefault="008861DE" w:rsidP="00CF78DB">
      <w:pPr>
        <w:pStyle w:val="tablefootnotes"/>
      </w:pPr>
      <w:r w:rsidRPr="005911E2">
        <w:t xml:space="preserve">Source: </w:t>
      </w:r>
      <w:r w:rsidR="00FB7275">
        <w:tab/>
      </w:r>
      <w:r w:rsidRPr="005911E2">
        <w:t xml:space="preserve">Derived from Centrelink </w:t>
      </w:r>
      <w:r w:rsidR="00F878E4">
        <w:t>income management</w:t>
      </w:r>
      <w:r w:rsidRPr="005911E2">
        <w:t xml:space="preserve"> &amp; IS/FTB datasets</w:t>
      </w:r>
      <w:r w:rsidR="00273B1F">
        <w:t>.</w:t>
      </w:r>
    </w:p>
    <w:p w:rsidR="008861DE" w:rsidRPr="005911E2" w:rsidRDefault="008861DE" w:rsidP="00CF78DB">
      <w:pPr>
        <w:pStyle w:val="tablefootnotes"/>
      </w:pPr>
    </w:p>
    <w:p w:rsidR="008861DE" w:rsidRPr="005911E2" w:rsidRDefault="008861DE" w:rsidP="00177518">
      <w:r w:rsidRPr="005911E2">
        <w:t>Amongst those with children</w:t>
      </w:r>
      <w:r w:rsidR="00E50256">
        <w:t>,</w:t>
      </w:r>
      <w:r w:rsidRPr="005911E2">
        <w:t xml:space="preserve"> some </w:t>
      </w:r>
      <w:r w:rsidR="00313349" w:rsidRPr="005911E2">
        <w:t>21.</w:t>
      </w:r>
      <w:r w:rsidR="004476C8" w:rsidRPr="005911E2">
        <w:t>5</w:t>
      </w:r>
      <w:r w:rsidR="00313349" w:rsidRPr="005911E2">
        <w:t xml:space="preserve"> </w:t>
      </w:r>
      <w:r w:rsidRPr="005911E2">
        <w:t xml:space="preserve">per cent of women and </w:t>
      </w:r>
      <w:r w:rsidR="00313349" w:rsidRPr="005911E2">
        <w:t>26.</w:t>
      </w:r>
      <w:r w:rsidR="004476C8" w:rsidRPr="005911E2">
        <w:t>6</w:t>
      </w:r>
      <w:r w:rsidRPr="005911E2">
        <w:t xml:space="preserve"> per cent of men have gained exemptions</w:t>
      </w:r>
      <w:r w:rsidR="00E50256">
        <w:t xml:space="preserve">; </w:t>
      </w:r>
      <w:r w:rsidRPr="005911E2">
        <w:t>however</w:t>
      </w:r>
      <w:r w:rsidR="00E50256">
        <w:t>,</w:t>
      </w:r>
      <w:r w:rsidRPr="005911E2">
        <w:t xml:space="preserve"> women account for </w:t>
      </w:r>
      <w:r w:rsidR="00313349" w:rsidRPr="005911E2">
        <w:t xml:space="preserve">95.8 </w:t>
      </w:r>
      <w:r w:rsidRPr="005911E2">
        <w:t xml:space="preserve">per cent of exemptions in this category as the </w:t>
      </w:r>
      <w:r w:rsidR="006C33D2" w:rsidRPr="005911E2">
        <w:t>numbers of men in this grouping are</w:t>
      </w:r>
      <w:r w:rsidRPr="005911E2">
        <w:t xml:space="preserve"> very small. </w:t>
      </w:r>
    </w:p>
    <w:p w:rsidR="008861DE" w:rsidRPr="005911E2" w:rsidRDefault="008861DE" w:rsidP="00616B0F">
      <w:pPr>
        <w:pStyle w:val="Heading2"/>
      </w:pPr>
      <w:bookmarkStart w:id="743" w:name="_Toc321225143"/>
      <w:bookmarkStart w:id="744" w:name="_Toc321254486"/>
      <w:bookmarkStart w:id="745" w:name="_Toc328601511"/>
      <w:bookmarkStart w:id="746" w:name="_Toc329870392"/>
      <w:bookmarkStart w:id="747" w:name="_Toc335915778"/>
      <w:r w:rsidRPr="005911E2">
        <w:t>Multivariate analysis</w:t>
      </w:r>
      <w:bookmarkEnd w:id="743"/>
      <w:bookmarkEnd w:id="744"/>
      <w:bookmarkEnd w:id="745"/>
      <w:bookmarkEnd w:id="746"/>
      <w:bookmarkEnd w:id="747"/>
    </w:p>
    <w:p w:rsidR="008861DE" w:rsidRPr="005911E2" w:rsidRDefault="00E50256" w:rsidP="00177518">
      <w:r>
        <w:t>M</w:t>
      </w:r>
      <w:r w:rsidRPr="005911E2">
        <w:t xml:space="preserve">ultivariate analysis was undertaken </w:t>
      </w:r>
      <w:r>
        <w:t>t</w:t>
      </w:r>
      <w:r w:rsidR="008861DE" w:rsidRPr="005911E2">
        <w:t xml:space="preserve">o consider the impact of these and other characteristics of the population subject to </w:t>
      </w:r>
      <w:r w:rsidR="00F878E4">
        <w:t>income management</w:t>
      </w:r>
      <w:r w:rsidR="008861DE" w:rsidRPr="005911E2">
        <w:t xml:space="preserve"> on applying for and obtaining exemptions</w:t>
      </w:r>
      <w:r w:rsidR="0031584C" w:rsidRPr="005911E2">
        <w:t>.</w:t>
      </w:r>
      <w:r w:rsidR="0074268A" w:rsidRPr="005911E2">
        <w:t xml:space="preserve"> </w:t>
      </w:r>
      <w:r w:rsidR="008861DE" w:rsidRPr="005911E2">
        <w:t xml:space="preserve">The population was restricted to the population of people on income support and subject to </w:t>
      </w:r>
      <w:r w:rsidR="00F878E4">
        <w:t>income management</w:t>
      </w:r>
      <w:r>
        <w:t>,</w:t>
      </w:r>
      <w:r w:rsidR="008861DE" w:rsidRPr="005911E2">
        <w:t xml:space="preserve"> and those who would otherwise have been income managed if it was not for an exemption. This group was further restricted to those with children, as virtually all exemptions are based on this criteria.</w:t>
      </w:r>
    </w:p>
    <w:p w:rsidR="008861DE" w:rsidRPr="005911E2" w:rsidRDefault="008861DE" w:rsidP="00177518">
      <w:r w:rsidRPr="005911E2">
        <w:t xml:space="preserve">This latter decision while limiting the analysis, and not addressing the </w:t>
      </w:r>
      <w:r w:rsidR="00467E88">
        <w:t xml:space="preserve">question of the </w:t>
      </w:r>
      <w:r w:rsidRPr="005911E2">
        <w:t>virtual absence of exemptions, and possibl</w:t>
      </w:r>
      <w:r w:rsidR="00467E88">
        <w:t>e</w:t>
      </w:r>
      <w:r w:rsidRPr="005911E2">
        <w:t xml:space="preserve"> opportunities to obtain exemption by those without children, also allows a richer set of covariates to be used for the analysis.</w:t>
      </w:r>
    </w:p>
    <w:p w:rsidR="008861DE" w:rsidRPr="005911E2" w:rsidRDefault="008861DE" w:rsidP="00177518">
      <w:r w:rsidRPr="005911E2">
        <w:t>Specifically the approach seeks to control for the effects of being Indigenous</w:t>
      </w:r>
      <w:r w:rsidR="00E50256">
        <w:t>;</w:t>
      </w:r>
      <w:r w:rsidRPr="005911E2">
        <w:t xml:space="preserve"> the ABS score for socio-economic disadvantage</w:t>
      </w:r>
      <w:r w:rsidR="00467E88">
        <w:t xml:space="preserve"> (SES</w:t>
      </w:r>
      <w:r w:rsidR="00614538">
        <w:t xml:space="preserve">) </w:t>
      </w:r>
      <w:r w:rsidRPr="005911E2">
        <w:t>in the Statistical Local Area in which the person lives</w:t>
      </w:r>
      <w:r w:rsidR="00E50256">
        <w:t>;</w:t>
      </w:r>
      <w:r w:rsidRPr="005911E2">
        <w:t xml:space="preserve"> whether or not they live in an area which was prescribed under the NTER</w:t>
      </w:r>
      <w:r w:rsidR="00E50256">
        <w:t>;</w:t>
      </w:r>
      <w:r w:rsidR="00E50256" w:rsidRPr="005911E2">
        <w:t xml:space="preserve"> </w:t>
      </w:r>
      <w:r w:rsidRPr="005911E2">
        <w:t xml:space="preserve">their age (entered as a quadratic to allow for non-linearity); their duration on </w:t>
      </w:r>
      <w:r w:rsidR="00CD2C3D">
        <w:t>income support</w:t>
      </w:r>
      <w:r w:rsidR="00CD2C3D" w:rsidRPr="005911E2">
        <w:t xml:space="preserve"> </w:t>
      </w:r>
      <w:r w:rsidRPr="005911E2">
        <w:t>(as a log – taking into account the long upper tail of the distribution); the number of children they have</w:t>
      </w:r>
      <w:r w:rsidR="00E50256">
        <w:t>;</w:t>
      </w:r>
      <w:r w:rsidRPr="005911E2">
        <w:t xml:space="preserve"> and</w:t>
      </w:r>
      <w:r w:rsidR="00E50256">
        <w:t xml:space="preserve"> for those with children,</w:t>
      </w:r>
      <w:r w:rsidRPr="005911E2">
        <w:t xml:space="preserve"> the age of</w:t>
      </w:r>
      <w:r w:rsidR="001F6CF5" w:rsidRPr="005911E2">
        <w:t xml:space="preserve"> their</w:t>
      </w:r>
      <w:r w:rsidRPr="005911E2">
        <w:t xml:space="preserve"> youngest child.</w:t>
      </w:r>
    </w:p>
    <w:p w:rsidR="00291FDE" w:rsidRPr="005911E2" w:rsidRDefault="00923C7B" w:rsidP="00177518">
      <w:r w:rsidRPr="005911E2">
        <w:t>While these variables identify some of the factors which may be associated with differences in outcomes</w:t>
      </w:r>
      <w:r w:rsidR="00E50256">
        <w:t>,</w:t>
      </w:r>
      <w:r w:rsidRPr="005911E2">
        <w:t xml:space="preserve"> a range of other characteristics for which data</w:t>
      </w:r>
      <w:r w:rsidR="00E04125">
        <w:t xml:space="preserve"> is</w:t>
      </w:r>
      <w:r w:rsidRPr="005911E2">
        <w:t xml:space="preserve"> not available may also play a role. Where such omitted variables exist</w:t>
      </w:r>
      <w:r w:rsidR="005246F9">
        <w:t>,</w:t>
      </w:r>
      <w:r w:rsidRPr="005911E2">
        <w:t xml:space="preserve"> to the extent </w:t>
      </w:r>
      <w:r w:rsidR="009734E9">
        <w:t>they</w:t>
      </w:r>
      <w:r w:rsidRPr="005911E2">
        <w:t xml:space="preserve"> have a relationship with variables </w:t>
      </w:r>
      <w:r w:rsidR="0006153C">
        <w:t xml:space="preserve">actually </w:t>
      </w:r>
      <w:r w:rsidRPr="005911E2">
        <w:t>included in the model</w:t>
      </w:r>
      <w:r w:rsidR="005246F9">
        <w:t>,</w:t>
      </w:r>
      <w:r w:rsidRPr="005911E2">
        <w:t xml:space="preserve"> they may </w:t>
      </w:r>
      <w:r w:rsidR="009734E9">
        <w:t>create a bias in the analysis</w:t>
      </w:r>
      <w:r w:rsidRPr="005911E2">
        <w:t xml:space="preserve">. </w:t>
      </w:r>
      <w:r w:rsidR="009734E9">
        <w:t>For example</w:t>
      </w:r>
      <w:r w:rsidRPr="005911E2">
        <w:t xml:space="preserve"> in the case of education, if levels of education vary systematically with the SES of a location, and education has an impact on applying for and being successful with an application for exemption, then this may be reflected in the estimated parameter value of the SES of the location.</w:t>
      </w:r>
      <w:r w:rsidR="00B62B2D">
        <w:t xml:space="preserve"> </w:t>
      </w:r>
      <w:r w:rsidRPr="005911E2">
        <w:t xml:space="preserve">This needs to be borne in mind in interpreting results from this analysis. </w:t>
      </w:r>
    </w:p>
    <w:p w:rsidR="008861DE" w:rsidRPr="005911E2" w:rsidRDefault="008861DE" w:rsidP="00177518">
      <w:r w:rsidRPr="005911E2">
        <w:t>As seen above</w:t>
      </w:r>
      <w:r w:rsidR="00E04125">
        <w:t>,</w:t>
      </w:r>
      <w:r w:rsidRPr="005911E2">
        <w:t xml:space="preserve"> virtually all exemptions </w:t>
      </w:r>
      <w:r w:rsidR="009734E9">
        <w:t>are granted to</w:t>
      </w:r>
      <w:r w:rsidRPr="005911E2">
        <w:t xml:space="preserve"> individuals with children. As a consequence</w:t>
      </w:r>
      <w:r w:rsidR="00467E88">
        <w:t>, when the population is restricted for this analysis to those with children,</w:t>
      </w:r>
      <w:r w:rsidRPr="005911E2">
        <w:t xml:space="preserve"> the average rate of applications for exemptions </w:t>
      </w:r>
      <w:r w:rsidR="00467E88">
        <w:t>rises to</w:t>
      </w:r>
      <w:r w:rsidRPr="005911E2">
        <w:t xml:space="preserve"> </w:t>
      </w:r>
      <w:r w:rsidR="00903FCE" w:rsidRPr="005911E2">
        <w:t>37.7</w:t>
      </w:r>
      <w:r w:rsidRPr="005911E2">
        <w:t xml:space="preserve"> per cent and </w:t>
      </w:r>
      <w:r w:rsidR="00903FCE" w:rsidRPr="005911E2">
        <w:t>21.3</w:t>
      </w:r>
      <w:r w:rsidRPr="005911E2">
        <w:t xml:space="preserve"> per cent of the population have exemptions.</w:t>
      </w:r>
    </w:p>
    <w:p w:rsidR="002E13F4" w:rsidRPr="005911E2" w:rsidRDefault="005A7F05" w:rsidP="002E13F4">
      <w:r>
        <w:t xml:space="preserve">This data, </w:t>
      </w:r>
      <w:r w:rsidR="006F14AA" w:rsidRPr="005911E2">
        <w:t xml:space="preserve">Table </w:t>
      </w:r>
      <w:r w:rsidR="006F14AA" w:rsidRPr="005911E2">
        <w:rPr>
          <w:noProof/>
        </w:rPr>
        <w:t>8</w:t>
      </w:r>
      <w:r w:rsidR="006F14AA" w:rsidRPr="005911E2">
        <w:noBreakHyphen/>
      </w:r>
      <w:r w:rsidR="006F14AA" w:rsidRPr="005911E2">
        <w:rPr>
          <w:noProof/>
        </w:rPr>
        <w:t>11</w:t>
      </w:r>
      <w:r>
        <w:rPr>
          <w:noProof/>
        </w:rPr>
        <w:t>,</w:t>
      </w:r>
      <w:r w:rsidR="002E13F4" w:rsidRPr="005911E2">
        <w:t xml:space="preserve"> shows that a wide range of factors appear to be significant in explaining the relative propensity of people to apply for exemptions</w:t>
      </w:r>
      <w:r>
        <w:t xml:space="preserve"> and the success of these</w:t>
      </w:r>
      <w:r w:rsidR="002E13F4" w:rsidRPr="005911E2">
        <w:t>. In particular</w:t>
      </w:r>
      <w:r w:rsidR="005246F9">
        <w:t>,</w:t>
      </w:r>
      <w:r w:rsidR="002E13F4" w:rsidRPr="005911E2">
        <w:t xml:space="preserve"> the impact of being Indigenous remains very strong, even after controlling for the duration of time a person is on </w:t>
      </w:r>
      <w:r w:rsidR="00B81D60">
        <w:t>income support</w:t>
      </w:r>
      <w:r w:rsidR="002E13F4" w:rsidRPr="005911E2">
        <w:t>, the level of socio-economic disadvantage in the location in which they live</w:t>
      </w:r>
      <w:r w:rsidR="005246F9">
        <w:t>,</w:t>
      </w:r>
      <w:r w:rsidR="002E13F4" w:rsidRPr="005911E2">
        <w:t xml:space="preserve"> and the number and characteristics of their children. Indeed being Indigenous would appear to reduce the probability of a person making an application for an exemption by 30 percentage points, and their likelihood of being granted an exemption, if they apply, by 23 percentage points. These results were highly statistically significant</w:t>
      </w:r>
      <w:r w:rsidR="00B81D60">
        <w:t>.</w:t>
      </w:r>
    </w:p>
    <w:p w:rsidR="008861DE" w:rsidRPr="005911E2" w:rsidRDefault="008861DE" w:rsidP="00177518">
      <w:pPr>
        <w:pStyle w:val="tabfighead"/>
      </w:pPr>
      <w:bookmarkStart w:id="748" w:name="_Ref324189924"/>
      <w:bookmarkStart w:id="749" w:name="_Toc321430444"/>
      <w:bookmarkStart w:id="750" w:name="_Toc321254563"/>
      <w:bookmarkStart w:id="751" w:name="_Toc328601611"/>
      <w:bookmarkStart w:id="752" w:name="_Toc329051389"/>
      <w:bookmarkStart w:id="753" w:name="_Toc335915877"/>
      <w:r w:rsidRPr="005911E2">
        <w:t xml:space="preserve">Table </w:t>
      </w:r>
      <w:r w:rsidR="00C7347D" w:rsidRPr="005911E2">
        <w:fldChar w:fldCharType="begin"/>
      </w:r>
      <w:r w:rsidR="00EF6BC6" w:rsidRPr="005911E2">
        <w:instrText xml:space="preserve"> STYLEREF 1 \s </w:instrText>
      </w:r>
      <w:r w:rsidR="00C7347D" w:rsidRPr="005911E2">
        <w:fldChar w:fldCharType="separate"/>
      </w:r>
      <w:r w:rsidR="007D7E45">
        <w:rPr>
          <w:noProof/>
        </w:rPr>
        <w:t>8</w:t>
      </w:r>
      <w:r w:rsidR="00C7347D" w:rsidRPr="005911E2">
        <w:fldChar w:fldCharType="end"/>
      </w:r>
      <w:r w:rsidR="00EF6BC6" w:rsidRPr="005911E2">
        <w:noBreakHyphen/>
      </w:r>
      <w:r w:rsidR="00C7347D" w:rsidRPr="005911E2">
        <w:fldChar w:fldCharType="begin"/>
      </w:r>
      <w:r w:rsidR="00EF6BC6" w:rsidRPr="005911E2">
        <w:instrText xml:space="preserve"> SEQ Table \* ARABIC \s 1 </w:instrText>
      </w:r>
      <w:r w:rsidR="00C7347D" w:rsidRPr="005911E2">
        <w:fldChar w:fldCharType="separate"/>
      </w:r>
      <w:r w:rsidR="007D7E45">
        <w:rPr>
          <w:noProof/>
        </w:rPr>
        <w:t>11</w:t>
      </w:r>
      <w:r w:rsidR="00C7347D" w:rsidRPr="005911E2">
        <w:fldChar w:fldCharType="end"/>
      </w:r>
      <w:bookmarkEnd w:id="748"/>
      <w:r w:rsidRPr="005911E2">
        <w:tab/>
      </w:r>
      <w:r w:rsidR="00FC7206" w:rsidRPr="005911E2">
        <w:t xml:space="preserve">Persons with children subject to </w:t>
      </w:r>
      <w:r w:rsidR="004808B3">
        <w:t>Compulsory Income Management</w:t>
      </w:r>
      <w:r w:rsidR="00FC7206" w:rsidRPr="005911E2">
        <w:t>, e</w:t>
      </w:r>
      <w:r w:rsidRPr="005911E2">
        <w:t>stimating the contribution of individual characteristics on probability of making an application for an exemption and its success</w:t>
      </w:r>
      <w:bookmarkEnd w:id="749"/>
      <w:bookmarkEnd w:id="750"/>
      <w:r w:rsidR="001F6CF5" w:rsidRPr="005911E2">
        <w:t>, October 2011</w:t>
      </w:r>
      <w:bookmarkEnd w:id="751"/>
      <w:bookmarkEnd w:id="752"/>
      <w:bookmarkEnd w:id="753"/>
    </w:p>
    <w:tbl>
      <w:tblPr>
        <w:tblW w:w="8223" w:type="dxa"/>
        <w:jc w:val="right"/>
        <w:tblLayout w:type="fixed"/>
        <w:tblCellMar>
          <w:left w:w="0" w:type="dxa"/>
        </w:tblCellMar>
        <w:tblLook w:val="0000" w:firstRow="0" w:lastRow="0" w:firstColumn="0" w:lastColumn="0" w:noHBand="0" w:noVBand="0"/>
      </w:tblPr>
      <w:tblGrid>
        <w:gridCol w:w="2409"/>
        <w:gridCol w:w="851"/>
        <w:gridCol w:w="283"/>
        <w:gridCol w:w="567"/>
        <w:gridCol w:w="851"/>
        <w:gridCol w:w="283"/>
        <w:gridCol w:w="851"/>
        <w:gridCol w:w="283"/>
        <w:gridCol w:w="842"/>
        <w:gridCol w:w="1003"/>
      </w:tblGrid>
      <w:tr w:rsidR="00313349" w:rsidRPr="008E5400" w:rsidTr="00B82B1F">
        <w:trPr>
          <w:trHeight w:val="290"/>
          <w:jc w:val="right"/>
        </w:trPr>
        <w:tc>
          <w:tcPr>
            <w:tcW w:w="2409" w:type="dxa"/>
            <w:tcBorders>
              <w:top w:val="single" w:sz="4" w:space="0" w:color="auto"/>
              <w:left w:val="nil"/>
              <w:bottom w:val="nil"/>
              <w:right w:val="nil"/>
            </w:tcBorders>
          </w:tcPr>
          <w:p w:rsidR="00313349" w:rsidRPr="008E5400" w:rsidRDefault="00313349" w:rsidP="00313349">
            <w:pPr>
              <w:pStyle w:val="braytabletext"/>
              <w:rPr>
                <w:szCs w:val="16"/>
              </w:rPr>
            </w:pPr>
          </w:p>
        </w:tc>
        <w:tc>
          <w:tcPr>
            <w:tcW w:w="2552" w:type="dxa"/>
            <w:gridSpan w:val="4"/>
            <w:tcBorders>
              <w:top w:val="single" w:sz="4" w:space="0" w:color="auto"/>
              <w:left w:val="nil"/>
              <w:bottom w:val="single" w:sz="4" w:space="0" w:color="auto"/>
              <w:right w:val="nil"/>
            </w:tcBorders>
          </w:tcPr>
          <w:p w:rsidR="00313349" w:rsidRPr="008E5400" w:rsidRDefault="00313349" w:rsidP="00313349">
            <w:pPr>
              <w:pStyle w:val="braytabletext"/>
              <w:rPr>
                <w:szCs w:val="16"/>
              </w:rPr>
            </w:pPr>
            <w:r w:rsidRPr="008E5400">
              <w:rPr>
                <w:szCs w:val="16"/>
              </w:rPr>
              <w:t>Probability of making an application</w:t>
            </w:r>
            <w:r w:rsidR="00783DF8">
              <w:rPr>
                <w:szCs w:val="16"/>
              </w:rPr>
              <w:t>:</w:t>
            </w:r>
          </w:p>
        </w:tc>
        <w:tc>
          <w:tcPr>
            <w:tcW w:w="283" w:type="dxa"/>
            <w:tcBorders>
              <w:top w:val="single" w:sz="4" w:space="0" w:color="auto"/>
              <w:left w:val="nil"/>
              <w:bottom w:val="nil"/>
              <w:right w:val="nil"/>
            </w:tcBorders>
          </w:tcPr>
          <w:p w:rsidR="00313349" w:rsidRPr="008E5400" w:rsidRDefault="00313349" w:rsidP="00313349">
            <w:pPr>
              <w:pStyle w:val="braytabletext"/>
              <w:rPr>
                <w:szCs w:val="16"/>
              </w:rPr>
            </w:pPr>
          </w:p>
        </w:tc>
        <w:tc>
          <w:tcPr>
            <w:tcW w:w="2979" w:type="dxa"/>
            <w:gridSpan w:val="4"/>
            <w:tcBorders>
              <w:top w:val="single" w:sz="4" w:space="0" w:color="auto"/>
              <w:left w:val="nil"/>
              <w:bottom w:val="single" w:sz="4" w:space="0" w:color="auto"/>
              <w:right w:val="nil"/>
            </w:tcBorders>
          </w:tcPr>
          <w:p w:rsidR="00313349" w:rsidRPr="008E5400" w:rsidRDefault="00313349" w:rsidP="00313349">
            <w:pPr>
              <w:pStyle w:val="braytabletext"/>
              <w:rPr>
                <w:szCs w:val="16"/>
              </w:rPr>
            </w:pPr>
            <w:r w:rsidRPr="008E5400">
              <w:rPr>
                <w:szCs w:val="16"/>
              </w:rPr>
              <w:t>Probability of an application being successful if the person lodges one</w:t>
            </w:r>
            <w:r w:rsidR="00783DF8">
              <w:rPr>
                <w:szCs w:val="16"/>
              </w:rPr>
              <w:t>:</w:t>
            </w:r>
          </w:p>
        </w:tc>
      </w:tr>
      <w:tr w:rsidR="00313349" w:rsidRPr="008E5400" w:rsidTr="00B82B1F">
        <w:trPr>
          <w:trHeight w:val="290"/>
          <w:jc w:val="right"/>
        </w:trPr>
        <w:tc>
          <w:tcPr>
            <w:tcW w:w="2409" w:type="dxa"/>
            <w:tcBorders>
              <w:top w:val="nil"/>
              <w:left w:val="nil"/>
              <w:bottom w:val="nil"/>
              <w:right w:val="nil"/>
            </w:tcBorders>
          </w:tcPr>
          <w:p w:rsidR="00313349" w:rsidRPr="008E5400" w:rsidRDefault="00313349" w:rsidP="00313349">
            <w:pPr>
              <w:pStyle w:val="braytabletext"/>
              <w:rPr>
                <w:szCs w:val="16"/>
              </w:rPr>
            </w:pPr>
          </w:p>
        </w:tc>
        <w:tc>
          <w:tcPr>
            <w:tcW w:w="851" w:type="dxa"/>
            <w:tcBorders>
              <w:top w:val="single" w:sz="4" w:space="0" w:color="auto"/>
              <w:left w:val="nil"/>
              <w:bottom w:val="nil"/>
              <w:right w:val="nil"/>
            </w:tcBorders>
          </w:tcPr>
          <w:p w:rsidR="00313349" w:rsidRPr="008E5400" w:rsidRDefault="00313349" w:rsidP="00313349">
            <w:pPr>
              <w:pStyle w:val="braytabletext"/>
              <w:jc w:val="right"/>
              <w:rPr>
                <w:szCs w:val="16"/>
              </w:rPr>
            </w:pPr>
            <w:r w:rsidRPr="008E5400">
              <w:rPr>
                <w:szCs w:val="16"/>
              </w:rPr>
              <w:t>Coef.</w:t>
            </w:r>
          </w:p>
        </w:tc>
        <w:tc>
          <w:tcPr>
            <w:tcW w:w="283" w:type="dxa"/>
            <w:tcBorders>
              <w:top w:val="single" w:sz="4" w:space="0" w:color="auto"/>
              <w:left w:val="nil"/>
              <w:bottom w:val="nil"/>
              <w:right w:val="nil"/>
            </w:tcBorders>
          </w:tcPr>
          <w:p w:rsidR="00313349" w:rsidRPr="008E5400" w:rsidRDefault="00313349" w:rsidP="00313349">
            <w:pPr>
              <w:pStyle w:val="braytabletext"/>
              <w:jc w:val="right"/>
              <w:rPr>
                <w:szCs w:val="16"/>
              </w:rPr>
            </w:pPr>
          </w:p>
        </w:tc>
        <w:tc>
          <w:tcPr>
            <w:tcW w:w="567" w:type="dxa"/>
            <w:tcBorders>
              <w:top w:val="single" w:sz="4" w:space="0" w:color="auto"/>
              <w:left w:val="nil"/>
              <w:bottom w:val="nil"/>
              <w:right w:val="nil"/>
            </w:tcBorders>
          </w:tcPr>
          <w:p w:rsidR="00313349" w:rsidRPr="008E5400" w:rsidRDefault="00313349" w:rsidP="00313349">
            <w:pPr>
              <w:pStyle w:val="braytabletext"/>
              <w:jc w:val="right"/>
              <w:rPr>
                <w:szCs w:val="16"/>
              </w:rPr>
            </w:pPr>
            <w:r w:rsidRPr="008E5400">
              <w:rPr>
                <w:szCs w:val="16"/>
              </w:rPr>
              <w:t>z</w:t>
            </w:r>
          </w:p>
        </w:tc>
        <w:tc>
          <w:tcPr>
            <w:tcW w:w="851" w:type="dxa"/>
            <w:tcBorders>
              <w:top w:val="single" w:sz="4" w:space="0" w:color="auto"/>
              <w:left w:val="nil"/>
              <w:bottom w:val="nil"/>
              <w:right w:val="nil"/>
            </w:tcBorders>
          </w:tcPr>
          <w:p w:rsidR="00313349" w:rsidRPr="008E5400" w:rsidRDefault="00313349" w:rsidP="00313349">
            <w:pPr>
              <w:pStyle w:val="braytabletext"/>
              <w:jc w:val="right"/>
              <w:rPr>
                <w:szCs w:val="16"/>
              </w:rPr>
            </w:pPr>
            <w:r w:rsidRPr="008E5400">
              <w:rPr>
                <w:szCs w:val="16"/>
              </w:rPr>
              <w:t>Marginal effect (a)</w:t>
            </w:r>
          </w:p>
        </w:tc>
        <w:tc>
          <w:tcPr>
            <w:tcW w:w="283" w:type="dxa"/>
            <w:tcBorders>
              <w:top w:val="nil"/>
              <w:left w:val="nil"/>
              <w:bottom w:val="nil"/>
              <w:right w:val="nil"/>
            </w:tcBorders>
          </w:tcPr>
          <w:p w:rsidR="00313349" w:rsidRPr="008E5400" w:rsidRDefault="00313349" w:rsidP="00313349">
            <w:pPr>
              <w:pStyle w:val="braytabletext"/>
              <w:jc w:val="right"/>
              <w:rPr>
                <w:szCs w:val="16"/>
              </w:rPr>
            </w:pPr>
          </w:p>
        </w:tc>
        <w:tc>
          <w:tcPr>
            <w:tcW w:w="851" w:type="dxa"/>
            <w:tcBorders>
              <w:top w:val="single" w:sz="4" w:space="0" w:color="auto"/>
              <w:left w:val="nil"/>
              <w:bottom w:val="nil"/>
              <w:right w:val="nil"/>
            </w:tcBorders>
          </w:tcPr>
          <w:p w:rsidR="00313349" w:rsidRPr="008E5400" w:rsidRDefault="00313349" w:rsidP="00313349">
            <w:pPr>
              <w:pStyle w:val="braytabletext"/>
              <w:jc w:val="right"/>
              <w:rPr>
                <w:szCs w:val="16"/>
              </w:rPr>
            </w:pPr>
            <w:r w:rsidRPr="008E5400">
              <w:rPr>
                <w:szCs w:val="16"/>
              </w:rPr>
              <w:t>Coef.</w:t>
            </w:r>
          </w:p>
        </w:tc>
        <w:tc>
          <w:tcPr>
            <w:tcW w:w="283" w:type="dxa"/>
            <w:tcBorders>
              <w:top w:val="single" w:sz="4" w:space="0" w:color="auto"/>
              <w:left w:val="nil"/>
              <w:bottom w:val="nil"/>
              <w:right w:val="nil"/>
            </w:tcBorders>
          </w:tcPr>
          <w:p w:rsidR="00313349" w:rsidRPr="008E5400" w:rsidRDefault="00313349" w:rsidP="00313349">
            <w:pPr>
              <w:pStyle w:val="braytabletext"/>
              <w:jc w:val="right"/>
              <w:rPr>
                <w:szCs w:val="16"/>
              </w:rPr>
            </w:pPr>
          </w:p>
        </w:tc>
        <w:tc>
          <w:tcPr>
            <w:tcW w:w="842" w:type="dxa"/>
            <w:tcBorders>
              <w:top w:val="single" w:sz="4" w:space="0" w:color="auto"/>
              <w:left w:val="nil"/>
              <w:bottom w:val="nil"/>
              <w:right w:val="nil"/>
            </w:tcBorders>
          </w:tcPr>
          <w:p w:rsidR="00313349" w:rsidRPr="008E5400" w:rsidRDefault="00313349" w:rsidP="00313349">
            <w:pPr>
              <w:pStyle w:val="braytabletext"/>
              <w:jc w:val="right"/>
              <w:rPr>
                <w:szCs w:val="16"/>
              </w:rPr>
            </w:pPr>
            <w:r w:rsidRPr="008E5400">
              <w:rPr>
                <w:szCs w:val="16"/>
              </w:rPr>
              <w:t>z</w:t>
            </w:r>
          </w:p>
        </w:tc>
        <w:tc>
          <w:tcPr>
            <w:tcW w:w="1003" w:type="dxa"/>
            <w:tcBorders>
              <w:top w:val="single" w:sz="4" w:space="0" w:color="auto"/>
              <w:left w:val="nil"/>
              <w:bottom w:val="nil"/>
              <w:right w:val="nil"/>
            </w:tcBorders>
          </w:tcPr>
          <w:p w:rsidR="00313349" w:rsidRPr="008E5400" w:rsidRDefault="00313349" w:rsidP="00313349">
            <w:pPr>
              <w:pStyle w:val="braytabletext"/>
              <w:jc w:val="right"/>
              <w:rPr>
                <w:szCs w:val="16"/>
              </w:rPr>
            </w:pPr>
            <w:r w:rsidRPr="008E5400">
              <w:rPr>
                <w:szCs w:val="16"/>
              </w:rPr>
              <w:t>Marginal effect</w:t>
            </w:r>
          </w:p>
        </w:tc>
      </w:tr>
      <w:tr w:rsidR="004476C8" w:rsidRPr="008E5400" w:rsidTr="00B82B1F">
        <w:trPr>
          <w:trHeight w:val="290"/>
          <w:jc w:val="right"/>
        </w:trPr>
        <w:tc>
          <w:tcPr>
            <w:tcW w:w="2409" w:type="dxa"/>
            <w:tcBorders>
              <w:top w:val="nil"/>
              <w:left w:val="nil"/>
              <w:bottom w:val="nil"/>
              <w:right w:val="nil"/>
            </w:tcBorders>
          </w:tcPr>
          <w:p w:rsidR="004476C8" w:rsidRPr="008E5400" w:rsidRDefault="004476C8" w:rsidP="00313349">
            <w:pPr>
              <w:pStyle w:val="braytabletext"/>
              <w:rPr>
                <w:szCs w:val="16"/>
              </w:rPr>
            </w:pPr>
            <w:r w:rsidRPr="008E5400">
              <w:rPr>
                <w:szCs w:val="16"/>
              </w:rPr>
              <w:t>Indigenous</w:t>
            </w:r>
          </w:p>
        </w:tc>
        <w:tc>
          <w:tcPr>
            <w:tcW w:w="851"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-0.9174</w:t>
            </w:r>
          </w:p>
        </w:tc>
        <w:tc>
          <w:tcPr>
            <w:tcW w:w="283"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w:t>
            </w:r>
          </w:p>
        </w:tc>
        <w:tc>
          <w:tcPr>
            <w:tcW w:w="567"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-17.62</w:t>
            </w:r>
          </w:p>
        </w:tc>
        <w:tc>
          <w:tcPr>
            <w:tcW w:w="851"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-0.3087</w:t>
            </w:r>
          </w:p>
        </w:tc>
        <w:tc>
          <w:tcPr>
            <w:tcW w:w="283" w:type="dxa"/>
            <w:tcBorders>
              <w:top w:val="nil"/>
              <w:left w:val="nil"/>
              <w:bottom w:val="nil"/>
              <w:right w:val="nil"/>
            </w:tcBorders>
          </w:tcPr>
          <w:p w:rsidR="004476C8" w:rsidRPr="008E5400" w:rsidRDefault="004476C8" w:rsidP="007C3AC5">
            <w:pPr>
              <w:pStyle w:val="braytabletext"/>
              <w:jc w:val="right"/>
              <w:rPr>
                <w:szCs w:val="16"/>
              </w:rPr>
            </w:pPr>
          </w:p>
        </w:tc>
        <w:tc>
          <w:tcPr>
            <w:tcW w:w="851"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-0.7496</w:t>
            </w:r>
          </w:p>
        </w:tc>
        <w:tc>
          <w:tcPr>
            <w:tcW w:w="283"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w:t>
            </w:r>
          </w:p>
        </w:tc>
        <w:tc>
          <w:tcPr>
            <w:tcW w:w="842"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-11.06</w:t>
            </w:r>
          </w:p>
        </w:tc>
        <w:tc>
          <w:tcPr>
            <w:tcW w:w="1003"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-0.2337</w:t>
            </w:r>
          </w:p>
        </w:tc>
      </w:tr>
      <w:tr w:rsidR="004476C8" w:rsidRPr="008E5400" w:rsidTr="00B82B1F">
        <w:trPr>
          <w:trHeight w:val="290"/>
          <w:jc w:val="right"/>
        </w:trPr>
        <w:tc>
          <w:tcPr>
            <w:tcW w:w="2409" w:type="dxa"/>
            <w:tcBorders>
              <w:top w:val="nil"/>
              <w:left w:val="nil"/>
              <w:bottom w:val="nil"/>
              <w:right w:val="nil"/>
            </w:tcBorders>
          </w:tcPr>
          <w:p w:rsidR="004476C8" w:rsidRPr="008E5400" w:rsidRDefault="004476C8" w:rsidP="00313349">
            <w:pPr>
              <w:pStyle w:val="braytabletext"/>
              <w:rPr>
                <w:szCs w:val="16"/>
              </w:rPr>
            </w:pPr>
            <w:r w:rsidRPr="008E5400">
              <w:rPr>
                <w:szCs w:val="16"/>
              </w:rPr>
              <w:t>SEIFA disadvantage score</w:t>
            </w:r>
          </w:p>
        </w:tc>
        <w:tc>
          <w:tcPr>
            <w:tcW w:w="851"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0.0008</w:t>
            </w:r>
          </w:p>
        </w:tc>
        <w:tc>
          <w:tcPr>
            <w:tcW w:w="283"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w:t>
            </w:r>
          </w:p>
        </w:tc>
        <w:tc>
          <w:tcPr>
            <w:tcW w:w="567"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4.94</w:t>
            </w:r>
          </w:p>
        </w:tc>
        <w:tc>
          <w:tcPr>
            <w:tcW w:w="851"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0.0002</w:t>
            </w:r>
          </w:p>
        </w:tc>
        <w:tc>
          <w:tcPr>
            <w:tcW w:w="283" w:type="dxa"/>
            <w:tcBorders>
              <w:top w:val="nil"/>
              <w:left w:val="nil"/>
              <w:bottom w:val="nil"/>
              <w:right w:val="nil"/>
            </w:tcBorders>
          </w:tcPr>
          <w:p w:rsidR="004476C8" w:rsidRPr="008E5400" w:rsidRDefault="004476C8" w:rsidP="007C3AC5">
            <w:pPr>
              <w:pStyle w:val="braytabletext"/>
              <w:jc w:val="right"/>
              <w:rPr>
                <w:szCs w:val="16"/>
              </w:rPr>
            </w:pPr>
          </w:p>
        </w:tc>
        <w:tc>
          <w:tcPr>
            <w:tcW w:w="851"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0.0011</w:t>
            </w:r>
          </w:p>
        </w:tc>
        <w:tc>
          <w:tcPr>
            <w:tcW w:w="283"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w:t>
            </w:r>
          </w:p>
        </w:tc>
        <w:tc>
          <w:tcPr>
            <w:tcW w:w="842"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3.57</w:t>
            </w:r>
          </w:p>
        </w:tc>
        <w:tc>
          <w:tcPr>
            <w:tcW w:w="1003"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0.0003</w:t>
            </w:r>
          </w:p>
        </w:tc>
      </w:tr>
      <w:tr w:rsidR="004476C8" w:rsidRPr="008E5400" w:rsidTr="00B82B1F">
        <w:trPr>
          <w:trHeight w:val="290"/>
          <w:jc w:val="right"/>
        </w:trPr>
        <w:tc>
          <w:tcPr>
            <w:tcW w:w="2409" w:type="dxa"/>
            <w:tcBorders>
              <w:top w:val="nil"/>
              <w:left w:val="nil"/>
              <w:bottom w:val="nil"/>
              <w:right w:val="nil"/>
            </w:tcBorders>
          </w:tcPr>
          <w:p w:rsidR="004476C8" w:rsidRPr="008E5400" w:rsidRDefault="004476C8" w:rsidP="00313349">
            <w:pPr>
              <w:pStyle w:val="braytabletext"/>
              <w:rPr>
                <w:szCs w:val="16"/>
              </w:rPr>
            </w:pPr>
            <w:r w:rsidRPr="008E5400">
              <w:rPr>
                <w:szCs w:val="16"/>
              </w:rPr>
              <w:t>If NTER area</w:t>
            </w:r>
          </w:p>
        </w:tc>
        <w:tc>
          <w:tcPr>
            <w:tcW w:w="851"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-0.6258</w:t>
            </w:r>
          </w:p>
        </w:tc>
        <w:tc>
          <w:tcPr>
            <w:tcW w:w="283"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w:t>
            </w:r>
          </w:p>
        </w:tc>
        <w:tc>
          <w:tcPr>
            <w:tcW w:w="567"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-9.14</w:t>
            </w:r>
          </w:p>
        </w:tc>
        <w:tc>
          <w:tcPr>
            <w:tcW w:w="851"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-0.2044</w:t>
            </w:r>
          </w:p>
        </w:tc>
        <w:tc>
          <w:tcPr>
            <w:tcW w:w="283" w:type="dxa"/>
            <w:tcBorders>
              <w:top w:val="nil"/>
              <w:left w:val="nil"/>
              <w:bottom w:val="nil"/>
              <w:right w:val="nil"/>
            </w:tcBorders>
          </w:tcPr>
          <w:p w:rsidR="004476C8" w:rsidRPr="008E5400" w:rsidRDefault="004476C8" w:rsidP="007C3AC5">
            <w:pPr>
              <w:pStyle w:val="braytabletext"/>
              <w:jc w:val="right"/>
              <w:rPr>
                <w:szCs w:val="16"/>
              </w:rPr>
            </w:pPr>
          </w:p>
        </w:tc>
        <w:tc>
          <w:tcPr>
            <w:tcW w:w="851"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-0.6574</w:t>
            </w:r>
          </w:p>
        </w:tc>
        <w:tc>
          <w:tcPr>
            <w:tcW w:w="283"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w:t>
            </w:r>
          </w:p>
        </w:tc>
        <w:tc>
          <w:tcPr>
            <w:tcW w:w="842"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-4.71</w:t>
            </w:r>
          </w:p>
        </w:tc>
        <w:tc>
          <w:tcPr>
            <w:tcW w:w="1003"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-0.2087</w:t>
            </w:r>
          </w:p>
        </w:tc>
      </w:tr>
      <w:tr w:rsidR="004476C8" w:rsidRPr="008E5400" w:rsidTr="00B82B1F">
        <w:trPr>
          <w:trHeight w:val="290"/>
          <w:jc w:val="right"/>
        </w:trPr>
        <w:tc>
          <w:tcPr>
            <w:tcW w:w="2409" w:type="dxa"/>
            <w:tcBorders>
              <w:top w:val="nil"/>
              <w:left w:val="nil"/>
              <w:bottom w:val="nil"/>
              <w:right w:val="nil"/>
            </w:tcBorders>
          </w:tcPr>
          <w:p w:rsidR="004476C8" w:rsidRPr="008E5400" w:rsidRDefault="004476C8" w:rsidP="00313349">
            <w:pPr>
              <w:pStyle w:val="braytabletext"/>
              <w:rPr>
                <w:szCs w:val="16"/>
              </w:rPr>
            </w:pPr>
            <w:r w:rsidRPr="008E5400">
              <w:rPr>
                <w:szCs w:val="16"/>
              </w:rPr>
              <w:t>Gender (being female)</w:t>
            </w:r>
          </w:p>
        </w:tc>
        <w:tc>
          <w:tcPr>
            <w:tcW w:w="851"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0.1935</w:t>
            </w:r>
          </w:p>
        </w:tc>
        <w:tc>
          <w:tcPr>
            <w:tcW w:w="283" w:type="dxa"/>
            <w:tcBorders>
              <w:top w:val="nil"/>
              <w:left w:val="nil"/>
              <w:bottom w:val="nil"/>
              <w:right w:val="nil"/>
            </w:tcBorders>
          </w:tcPr>
          <w:p w:rsidR="004476C8" w:rsidRPr="008E5400" w:rsidRDefault="007C3AC5" w:rsidP="007C3AC5">
            <w:pPr>
              <w:pStyle w:val="braytabletext"/>
              <w:jc w:val="right"/>
              <w:rPr>
                <w:szCs w:val="16"/>
              </w:rPr>
            </w:pPr>
            <w:r w:rsidRPr="008E5400">
              <w:rPr>
                <w:szCs w:val="16"/>
              </w:rPr>
              <w:t>*</w:t>
            </w:r>
            <w:r w:rsidR="004476C8" w:rsidRPr="008E5400">
              <w:rPr>
                <w:szCs w:val="16"/>
              </w:rPr>
              <w:t xml:space="preserve"> </w:t>
            </w:r>
          </w:p>
        </w:tc>
        <w:tc>
          <w:tcPr>
            <w:tcW w:w="567"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1.88</w:t>
            </w:r>
          </w:p>
        </w:tc>
        <w:tc>
          <w:tcPr>
            <w:tcW w:w="851"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0.0527</w:t>
            </w:r>
          </w:p>
        </w:tc>
        <w:tc>
          <w:tcPr>
            <w:tcW w:w="283" w:type="dxa"/>
            <w:tcBorders>
              <w:top w:val="nil"/>
              <w:left w:val="nil"/>
              <w:bottom w:val="nil"/>
              <w:right w:val="nil"/>
            </w:tcBorders>
          </w:tcPr>
          <w:p w:rsidR="004476C8" w:rsidRPr="008E5400" w:rsidRDefault="004476C8" w:rsidP="007C3AC5">
            <w:pPr>
              <w:pStyle w:val="braytabletext"/>
              <w:jc w:val="right"/>
              <w:rPr>
                <w:szCs w:val="16"/>
              </w:rPr>
            </w:pPr>
          </w:p>
        </w:tc>
        <w:tc>
          <w:tcPr>
            <w:tcW w:w="851"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0.1308</w:t>
            </w:r>
          </w:p>
        </w:tc>
        <w:tc>
          <w:tcPr>
            <w:tcW w:w="283" w:type="dxa"/>
            <w:tcBorders>
              <w:top w:val="nil"/>
              <w:left w:val="nil"/>
              <w:bottom w:val="nil"/>
              <w:right w:val="nil"/>
            </w:tcBorders>
          </w:tcPr>
          <w:p w:rsidR="004476C8" w:rsidRPr="008E5400" w:rsidRDefault="004476C8" w:rsidP="007C3AC5">
            <w:pPr>
              <w:pStyle w:val="braytabletext"/>
              <w:jc w:val="right"/>
              <w:rPr>
                <w:szCs w:val="16"/>
              </w:rPr>
            </w:pPr>
          </w:p>
        </w:tc>
        <w:tc>
          <w:tcPr>
            <w:tcW w:w="842"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0.86</w:t>
            </w:r>
          </w:p>
        </w:tc>
        <w:tc>
          <w:tcPr>
            <w:tcW w:w="1003"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0.0366</w:t>
            </w:r>
          </w:p>
        </w:tc>
      </w:tr>
      <w:tr w:rsidR="004476C8" w:rsidRPr="008E5400" w:rsidTr="00B82B1F">
        <w:trPr>
          <w:trHeight w:val="290"/>
          <w:jc w:val="right"/>
        </w:trPr>
        <w:tc>
          <w:tcPr>
            <w:tcW w:w="2409" w:type="dxa"/>
            <w:tcBorders>
              <w:top w:val="nil"/>
              <w:left w:val="nil"/>
              <w:bottom w:val="nil"/>
              <w:right w:val="nil"/>
            </w:tcBorders>
          </w:tcPr>
          <w:p w:rsidR="004476C8" w:rsidRPr="008E5400" w:rsidRDefault="004476C8" w:rsidP="00313349">
            <w:pPr>
              <w:pStyle w:val="braytabletext"/>
              <w:rPr>
                <w:szCs w:val="16"/>
              </w:rPr>
            </w:pPr>
            <w:r w:rsidRPr="008E5400">
              <w:rPr>
                <w:szCs w:val="16"/>
              </w:rPr>
              <w:t>Partnered (being partnered)</w:t>
            </w:r>
          </w:p>
        </w:tc>
        <w:tc>
          <w:tcPr>
            <w:tcW w:w="851"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-0.1294</w:t>
            </w:r>
          </w:p>
        </w:tc>
        <w:tc>
          <w:tcPr>
            <w:tcW w:w="283"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w:t>
            </w:r>
          </w:p>
        </w:tc>
        <w:tc>
          <w:tcPr>
            <w:tcW w:w="567"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-3.24</w:t>
            </w:r>
          </w:p>
        </w:tc>
        <w:tc>
          <w:tcPr>
            <w:tcW w:w="851"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-0.0368</w:t>
            </w:r>
          </w:p>
        </w:tc>
        <w:tc>
          <w:tcPr>
            <w:tcW w:w="283" w:type="dxa"/>
            <w:tcBorders>
              <w:top w:val="nil"/>
              <w:left w:val="nil"/>
              <w:bottom w:val="nil"/>
              <w:right w:val="nil"/>
            </w:tcBorders>
          </w:tcPr>
          <w:p w:rsidR="004476C8" w:rsidRPr="008E5400" w:rsidRDefault="004476C8" w:rsidP="007C3AC5">
            <w:pPr>
              <w:pStyle w:val="braytabletext"/>
              <w:jc w:val="right"/>
              <w:rPr>
                <w:szCs w:val="16"/>
              </w:rPr>
            </w:pPr>
          </w:p>
        </w:tc>
        <w:tc>
          <w:tcPr>
            <w:tcW w:w="851"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-0.1833</w:t>
            </w:r>
          </w:p>
        </w:tc>
        <w:tc>
          <w:tcPr>
            <w:tcW w:w="283"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w:t>
            </w:r>
          </w:p>
        </w:tc>
        <w:tc>
          <w:tcPr>
            <w:tcW w:w="842"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-2.52</w:t>
            </w:r>
          </w:p>
        </w:tc>
        <w:tc>
          <w:tcPr>
            <w:tcW w:w="1003"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-0.0522</w:t>
            </w:r>
          </w:p>
        </w:tc>
      </w:tr>
      <w:tr w:rsidR="004476C8" w:rsidRPr="008E5400" w:rsidTr="00B82B1F">
        <w:trPr>
          <w:trHeight w:val="290"/>
          <w:jc w:val="right"/>
        </w:trPr>
        <w:tc>
          <w:tcPr>
            <w:tcW w:w="2409" w:type="dxa"/>
            <w:tcBorders>
              <w:top w:val="nil"/>
              <w:left w:val="nil"/>
              <w:bottom w:val="nil"/>
              <w:right w:val="nil"/>
            </w:tcBorders>
          </w:tcPr>
          <w:p w:rsidR="004476C8" w:rsidRPr="008E5400" w:rsidRDefault="004476C8" w:rsidP="00313349">
            <w:pPr>
              <w:pStyle w:val="braytabletext"/>
              <w:rPr>
                <w:szCs w:val="16"/>
              </w:rPr>
            </w:pPr>
            <w:r w:rsidRPr="008E5400">
              <w:rPr>
                <w:szCs w:val="16"/>
              </w:rPr>
              <w:t>Age</w:t>
            </w:r>
          </w:p>
        </w:tc>
        <w:tc>
          <w:tcPr>
            <w:tcW w:w="851"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0.0553</w:t>
            </w:r>
          </w:p>
        </w:tc>
        <w:tc>
          <w:tcPr>
            <w:tcW w:w="283"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w:t>
            </w:r>
          </w:p>
        </w:tc>
        <w:tc>
          <w:tcPr>
            <w:tcW w:w="567"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4.12</w:t>
            </w:r>
          </w:p>
        </w:tc>
        <w:tc>
          <w:tcPr>
            <w:tcW w:w="851"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0.0155</w:t>
            </w:r>
          </w:p>
        </w:tc>
        <w:tc>
          <w:tcPr>
            <w:tcW w:w="283" w:type="dxa"/>
            <w:tcBorders>
              <w:top w:val="nil"/>
              <w:left w:val="nil"/>
              <w:bottom w:val="nil"/>
              <w:right w:val="nil"/>
            </w:tcBorders>
          </w:tcPr>
          <w:p w:rsidR="004476C8" w:rsidRPr="008E5400" w:rsidRDefault="004476C8" w:rsidP="007C3AC5">
            <w:pPr>
              <w:pStyle w:val="braytabletext"/>
              <w:jc w:val="right"/>
              <w:rPr>
                <w:szCs w:val="16"/>
              </w:rPr>
            </w:pPr>
          </w:p>
        </w:tc>
        <w:tc>
          <w:tcPr>
            <w:tcW w:w="851"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-0.0071</w:t>
            </w:r>
          </w:p>
        </w:tc>
        <w:tc>
          <w:tcPr>
            <w:tcW w:w="283" w:type="dxa"/>
            <w:tcBorders>
              <w:top w:val="nil"/>
              <w:left w:val="nil"/>
              <w:bottom w:val="nil"/>
              <w:right w:val="nil"/>
            </w:tcBorders>
          </w:tcPr>
          <w:p w:rsidR="004476C8" w:rsidRPr="008E5400" w:rsidRDefault="004476C8" w:rsidP="007C3AC5">
            <w:pPr>
              <w:pStyle w:val="braytabletext"/>
              <w:jc w:val="right"/>
              <w:rPr>
                <w:szCs w:val="16"/>
              </w:rPr>
            </w:pPr>
          </w:p>
        </w:tc>
        <w:tc>
          <w:tcPr>
            <w:tcW w:w="842"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-0.3</w:t>
            </w:r>
          </w:p>
        </w:tc>
        <w:tc>
          <w:tcPr>
            <w:tcW w:w="1003"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-0.0020</w:t>
            </w:r>
          </w:p>
        </w:tc>
      </w:tr>
      <w:tr w:rsidR="004476C8" w:rsidRPr="008E5400" w:rsidTr="00B82B1F">
        <w:trPr>
          <w:trHeight w:val="290"/>
          <w:jc w:val="right"/>
        </w:trPr>
        <w:tc>
          <w:tcPr>
            <w:tcW w:w="2409" w:type="dxa"/>
            <w:tcBorders>
              <w:top w:val="nil"/>
              <w:left w:val="nil"/>
              <w:bottom w:val="nil"/>
              <w:right w:val="nil"/>
            </w:tcBorders>
          </w:tcPr>
          <w:p w:rsidR="004476C8" w:rsidRPr="008E5400" w:rsidRDefault="004476C8" w:rsidP="00313349">
            <w:pPr>
              <w:pStyle w:val="braytabletext"/>
              <w:rPr>
                <w:szCs w:val="16"/>
              </w:rPr>
            </w:pPr>
            <w:r w:rsidRPr="008E5400">
              <w:rPr>
                <w:szCs w:val="16"/>
              </w:rPr>
              <w:t>Age squared</w:t>
            </w:r>
          </w:p>
        </w:tc>
        <w:tc>
          <w:tcPr>
            <w:tcW w:w="851"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-0.0007</w:t>
            </w:r>
          </w:p>
        </w:tc>
        <w:tc>
          <w:tcPr>
            <w:tcW w:w="283"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w:t>
            </w:r>
          </w:p>
        </w:tc>
        <w:tc>
          <w:tcPr>
            <w:tcW w:w="567"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-3.95</w:t>
            </w:r>
          </w:p>
        </w:tc>
        <w:tc>
          <w:tcPr>
            <w:tcW w:w="851"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-0.0002</w:t>
            </w:r>
          </w:p>
        </w:tc>
        <w:tc>
          <w:tcPr>
            <w:tcW w:w="283" w:type="dxa"/>
            <w:tcBorders>
              <w:top w:val="nil"/>
              <w:left w:val="nil"/>
              <w:bottom w:val="nil"/>
              <w:right w:val="nil"/>
            </w:tcBorders>
          </w:tcPr>
          <w:p w:rsidR="004476C8" w:rsidRPr="008E5400" w:rsidRDefault="004476C8" w:rsidP="007C3AC5">
            <w:pPr>
              <w:pStyle w:val="braytabletext"/>
              <w:jc w:val="right"/>
              <w:rPr>
                <w:szCs w:val="16"/>
              </w:rPr>
            </w:pPr>
          </w:p>
        </w:tc>
        <w:tc>
          <w:tcPr>
            <w:tcW w:w="851"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0.0002</w:t>
            </w:r>
          </w:p>
        </w:tc>
        <w:tc>
          <w:tcPr>
            <w:tcW w:w="283" w:type="dxa"/>
            <w:tcBorders>
              <w:top w:val="nil"/>
              <w:left w:val="nil"/>
              <w:bottom w:val="nil"/>
              <w:right w:val="nil"/>
            </w:tcBorders>
          </w:tcPr>
          <w:p w:rsidR="004476C8" w:rsidRPr="008E5400" w:rsidRDefault="004476C8" w:rsidP="007C3AC5">
            <w:pPr>
              <w:pStyle w:val="braytabletext"/>
              <w:jc w:val="right"/>
              <w:rPr>
                <w:szCs w:val="16"/>
              </w:rPr>
            </w:pPr>
          </w:p>
        </w:tc>
        <w:tc>
          <w:tcPr>
            <w:tcW w:w="842"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0.49</w:t>
            </w:r>
          </w:p>
        </w:tc>
        <w:tc>
          <w:tcPr>
            <w:tcW w:w="1003"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0.0000</w:t>
            </w:r>
          </w:p>
        </w:tc>
      </w:tr>
      <w:tr w:rsidR="004476C8" w:rsidRPr="008E5400" w:rsidTr="00B82B1F">
        <w:trPr>
          <w:trHeight w:val="290"/>
          <w:jc w:val="right"/>
        </w:trPr>
        <w:tc>
          <w:tcPr>
            <w:tcW w:w="2409" w:type="dxa"/>
            <w:tcBorders>
              <w:top w:val="nil"/>
              <w:left w:val="nil"/>
              <w:bottom w:val="nil"/>
              <w:right w:val="nil"/>
            </w:tcBorders>
          </w:tcPr>
          <w:p w:rsidR="004476C8" w:rsidRPr="008E5400" w:rsidRDefault="004476C8" w:rsidP="00CD2C3D">
            <w:pPr>
              <w:pStyle w:val="braytabletext"/>
              <w:rPr>
                <w:szCs w:val="16"/>
              </w:rPr>
            </w:pPr>
            <w:r w:rsidRPr="008E5400">
              <w:rPr>
                <w:szCs w:val="16"/>
              </w:rPr>
              <w:t xml:space="preserve">Time on </w:t>
            </w:r>
            <w:r w:rsidR="00CD2C3D" w:rsidRPr="008E5400">
              <w:rPr>
                <w:szCs w:val="16"/>
              </w:rPr>
              <w:t xml:space="preserve">income support </w:t>
            </w:r>
          </w:p>
        </w:tc>
        <w:tc>
          <w:tcPr>
            <w:tcW w:w="851"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0.0000</w:t>
            </w:r>
          </w:p>
        </w:tc>
        <w:tc>
          <w:tcPr>
            <w:tcW w:w="283" w:type="dxa"/>
            <w:tcBorders>
              <w:top w:val="nil"/>
              <w:left w:val="nil"/>
              <w:bottom w:val="nil"/>
              <w:right w:val="nil"/>
            </w:tcBorders>
          </w:tcPr>
          <w:p w:rsidR="004476C8" w:rsidRPr="008E5400" w:rsidRDefault="004476C8" w:rsidP="007C3AC5">
            <w:pPr>
              <w:pStyle w:val="braytabletext"/>
              <w:jc w:val="right"/>
              <w:rPr>
                <w:szCs w:val="16"/>
              </w:rPr>
            </w:pPr>
          </w:p>
        </w:tc>
        <w:tc>
          <w:tcPr>
            <w:tcW w:w="567"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-1.49</w:t>
            </w:r>
          </w:p>
        </w:tc>
        <w:tc>
          <w:tcPr>
            <w:tcW w:w="851"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0.0000</w:t>
            </w:r>
          </w:p>
        </w:tc>
        <w:tc>
          <w:tcPr>
            <w:tcW w:w="283" w:type="dxa"/>
            <w:tcBorders>
              <w:top w:val="nil"/>
              <w:left w:val="nil"/>
              <w:bottom w:val="nil"/>
              <w:right w:val="nil"/>
            </w:tcBorders>
          </w:tcPr>
          <w:p w:rsidR="004476C8" w:rsidRPr="008E5400" w:rsidRDefault="004476C8" w:rsidP="007C3AC5">
            <w:pPr>
              <w:pStyle w:val="braytabletext"/>
              <w:jc w:val="right"/>
              <w:rPr>
                <w:szCs w:val="16"/>
              </w:rPr>
            </w:pPr>
          </w:p>
        </w:tc>
        <w:tc>
          <w:tcPr>
            <w:tcW w:w="851"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-0.0001</w:t>
            </w:r>
          </w:p>
        </w:tc>
        <w:tc>
          <w:tcPr>
            <w:tcW w:w="283" w:type="dxa"/>
            <w:tcBorders>
              <w:top w:val="nil"/>
              <w:left w:val="nil"/>
              <w:bottom w:val="nil"/>
              <w:right w:val="nil"/>
            </w:tcBorders>
          </w:tcPr>
          <w:p w:rsidR="004476C8" w:rsidRPr="008E5400" w:rsidRDefault="004476C8" w:rsidP="007C3AC5">
            <w:pPr>
              <w:pStyle w:val="braytabletext"/>
              <w:jc w:val="right"/>
              <w:rPr>
                <w:szCs w:val="16"/>
              </w:rPr>
            </w:pPr>
          </w:p>
        </w:tc>
        <w:tc>
          <w:tcPr>
            <w:tcW w:w="842"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-1.6</w:t>
            </w:r>
          </w:p>
        </w:tc>
        <w:tc>
          <w:tcPr>
            <w:tcW w:w="1003"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0.0000</w:t>
            </w:r>
          </w:p>
        </w:tc>
      </w:tr>
      <w:tr w:rsidR="004476C8" w:rsidRPr="008E5400" w:rsidTr="00B82B1F">
        <w:trPr>
          <w:trHeight w:val="290"/>
          <w:jc w:val="right"/>
        </w:trPr>
        <w:tc>
          <w:tcPr>
            <w:tcW w:w="2409" w:type="dxa"/>
            <w:tcBorders>
              <w:top w:val="nil"/>
              <w:left w:val="nil"/>
              <w:bottom w:val="nil"/>
              <w:right w:val="nil"/>
            </w:tcBorders>
          </w:tcPr>
          <w:p w:rsidR="004476C8" w:rsidRPr="008E5400" w:rsidRDefault="004476C8" w:rsidP="00CD2C3D">
            <w:pPr>
              <w:pStyle w:val="braytabletext"/>
              <w:rPr>
                <w:szCs w:val="16"/>
              </w:rPr>
            </w:pPr>
            <w:r w:rsidRPr="008E5400">
              <w:rPr>
                <w:szCs w:val="16"/>
              </w:rPr>
              <w:t xml:space="preserve">Log of time on </w:t>
            </w:r>
            <w:r w:rsidR="00CD2C3D" w:rsidRPr="008E5400">
              <w:rPr>
                <w:szCs w:val="16"/>
              </w:rPr>
              <w:t>income support</w:t>
            </w:r>
          </w:p>
        </w:tc>
        <w:tc>
          <w:tcPr>
            <w:tcW w:w="851"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0.1096</w:t>
            </w:r>
          </w:p>
        </w:tc>
        <w:tc>
          <w:tcPr>
            <w:tcW w:w="283"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w:t>
            </w:r>
          </w:p>
        </w:tc>
        <w:tc>
          <w:tcPr>
            <w:tcW w:w="567"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3.75</w:t>
            </w:r>
          </w:p>
        </w:tc>
        <w:tc>
          <w:tcPr>
            <w:tcW w:w="851"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0.0308</w:t>
            </w:r>
          </w:p>
        </w:tc>
        <w:tc>
          <w:tcPr>
            <w:tcW w:w="283" w:type="dxa"/>
            <w:tcBorders>
              <w:top w:val="nil"/>
              <w:left w:val="nil"/>
              <w:bottom w:val="nil"/>
              <w:right w:val="nil"/>
            </w:tcBorders>
          </w:tcPr>
          <w:p w:rsidR="004476C8" w:rsidRPr="008E5400" w:rsidRDefault="004476C8" w:rsidP="007C3AC5">
            <w:pPr>
              <w:pStyle w:val="braytabletext"/>
              <w:jc w:val="right"/>
              <w:rPr>
                <w:szCs w:val="16"/>
              </w:rPr>
            </w:pPr>
          </w:p>
        </w:tc>
        <w:tc>
          <w:tcPr>
            <w:tcW w:w="851"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0.0746</w:t>
            </w:r>
          </w:p>
        </w:tc>
        <w:tc>
          <w:tcPr>
            <w:tcW w:w="283" w:type="dxa"/>
            <w:tcBorders>
              <w:top w:val="nil"/>
              <w:left w:val="nil"/>
              <w:bottom w:val="nil"/>
              <w:right w:val="nil"/>
            </w:tcBorders>
          </w:tcPr>
          <w:p w:rsidR="004476C8" w:rsidRPr="008E5400" w:rsidRDefault="004476C8" w:rsidP="007C3AC5">
            <w:pPr>
              <w:pStyle w:val="braytabletext"/>
              <w:jc w:val="right"/>
              <w:rPr>
                <w:szCs w:val="16"/>
              </w:rPr>
            </w:pPr>
          </w:p>
        </w:tc>
        <w:tc>
          <w:tcPr>
            <w:tcW w:w="842"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1.47</w:t>
            </w:r>
          </w:p>
        </w:tc>
        <w:tc>
          <w:tcPr>
            <w:tcW w:w="1003"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0.0207</w:t>
            </w:r>
          </w:p>
        </w:tc>
      </w:tr>
      <w:tr w:rsidR="004476C8" w:rsidRPr="008E5400" w:rsidTr="00B82B1F">
        <w:trPr>
          <w:trHeight w:val="290"/>
          <w:jc w:val="right"/>
        </w:trPr>
        <w:tc>
          <w:tcPr>
            <w:tcW w:w="2409" w:type="dxa"/>
            <w:tcBorders>
              <w:top w:val="nil"/>
              <w:left w:val="nil"/>
              <w:bottom w:val="nil"/>
              <w:right w:val="nil"/>
            </w:tcBorders>
          </w:tcPr>
          <w:p w:rsidR="004476C8" w:rsidRPr="008E5400" w:rsidRDefault="004476C8" w:rsidP="00313349">
            <w:pPr>
              <w:pStyle w:val="braytabletext"/>
              <w:rPr>
                <w:szCs w:val="16"/>
              </w:rPr>
            </w:pPr>
            <w:r w:rsidRPr="008E5400">
              <w:rPr>
                <w:szCs w:val="16"/>
              </w:rPr>
              <w:t>Number of children</w:t>
            </w:r>
          </w:p>
        </w:tc>
        <w:tc>
          <w:tcPr>
            <w:tcW w:w="851"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0.0979</w:t>
            </w:r>
          </w:p>
        </w:tc>
        <w:tc>
          <w:tcPr>
            <w:tcW w:w="283"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w:t>
            </w:r>
          </w:p>
        </w:tc>
        <w:tc>
          <w:tcPr>
            <w:tcW w:w="567"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5.52</w:t>
            </w:r>
          </w:p>
        </w:tc>
        <w:tc>
          <w:tcPr>
            <w:tcW w:w="851"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0.0275</w:t>
            </w:r>
          </w:p>
        </w:tc>
        <w:tc>
          <w:tcPr>
            <w:tcW w:w="283" w:type="dxa"/>
            <w:tcBorders>
              <w:top w:val="nil"/>
              <w:left w:val="nil"/>
              <w:bottom w:val="nil"/>
              <w:right w:val="nil"/>
            </w:tcBorders>
          </w:tcPr>
          <w:p w:rsidR="004476C8" w:rsidRPr="008E5400" w:rsidRDefault="004476C8" w:rsidP="007C3AC5">
            <w:pPr>
              <w:pStyle w:val="braytabletext"/>
              <w:jc w:val="right"/>
              <w:rPr>
                <w:szCs w:val="16"/>
              </w:rPr>
            </w:pPr>
          </w:p>
        </w:tc>
        <w:tc>
          <w:tcPr>
            <w:tcW w:w="851"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-0.2860</w:t>
            </w:r>
          </w:p>
        </w:tc>
        <w:tc>
          <w:tcPr>
            <w:tcW w:w="283"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w:t>
            </w:r>
          </w:p>
        </w:tc>
        <w:tc>
          <w:tcPr>
            <w:tcW w:w="842"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-10.16</w:t>
            </w:r>
          </w:p>
        </w:tc>
        <w:tc>
          <w:tcPr>
            <w:tcW w:w="1003"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-0.0794</w:t>
            </w:r>
          </w:p>
        </w:tc>
      </w:tr>
      <w:tr w:rsidR="004476C8" w:rsidRPr="008E5400" w:rsidTr="00B82B1F">
        <w:trPr>
          <w:trHeight w:val="290"/>
          <w:jc w:val="right"/>
        </w:trPr>
        <w:tc>
          <w:tcPr>
            <w:tcW w:w="2409" w:type="dxa"/>
            <w:tcBorders>
              <w:top w:val="nil"/>
              <w:left w:val="nil"/>
              <w:bottom w:val="nil"/>
              <w:right w:val="nil"/>
            </w:tcBorders>
          </w:tcPr>
          <w:p w:rsidR="004476C8" w:rsidRPr="008E5400" w:rsidRDefault="004476C8" w:rsidP="00313349">
            <w:pPr>
              <w:pStyle w:val="braytabletext"/>
              <w:rPr>
                <w:szCs w:val="16"/>
              </w:rPr>
            </w:pPr>
            <w:r w:rsidRPr="008E5400">
              <w:rPr>
                <w:szCs w:val="16"/>
              </w:rPr>
              <w:t>Age youngest child</w:t>
            </w:r>
          </w:p>
        </w:tc>
        <w:tc>
          <w:tcPr>
            <w:tcW w:w="851"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-0.0265</w:t>
            </w:r>
          </w:p>
        </w:tc>
        <w:tc>
          <w:tcPr>
            <w:tcW w:w="283"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w:t>
            </w:r>
          </w:p>
        </w:tc>
        <w:tc>
          <w:tcPr>
            <w:tcW w:w="567"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-4.19</w:t>
            </w:r>
          </w:p>
        </w:tc>
        <w:tc>
          <w:tcPr>
            <w:tcW w:w="851"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-0.0074</w:t>
            </w:r>
          </w:p>
        </w:tc>
        <w:tc>
          <w:tcPr>
            <w:tcW w:w="283" w:type="dxa"/>
            <w:tcBorders>
              <w:top w:val="nil"/>
              <w:left w:val="nil"/>
              <w:bottom w:val="nil"/>
              <w:right w:val="nil"/>
            </w:tcBorders>
          </w:tcPr>
          <w:p w:rsidR="004476C8" w:rsidRPr="008E5400" w:rsidRDefault="004476C8" w:rsidP="007C3AC5">
            <w:pPr>
              <w:pStyle w:val="braytabletext"/>
              <w:jc w:val="right"/>
              <w:rPr>
                <w:szCs w:val="16"/>
              </w:rPr>
            </w:pPr>
          </w:p>
        </w:tc>
        <w:tc>
          <w:tcPr>
            <w:tcW w:w="851"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-0.0829</w:t>
            </w:r>
          </w:p>
        </w:tc>
        <w:tc>
          <w:tcPr>
            <w:tcW w:w="283"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w:t>
            </w:r>
          </w:p>
        </w:tc>
        <w:tc>
          <w:tcPr>
            <w:tcW w:w="842"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-7.51</w:t>
            </w:r>
          </w:p>
        </w:tc>
        <w:tc>
          <w:tcPr>
            <w:tcW w:w="1003" w:type="dxa"/>
            <w:tcBorders>
              <w:top w:val="nil"/>
              <w:left w:val="nil"/>
              <w:bottom w:val="nil"/>
              <w:right w:val="nil"/>
            </w:tcBorders>
          </w:tcPr>
          <w:p w:rsidR="004476C8" w:rsidRPr="008E5400" w:rsidRDefault="004476C8" w:rsidP="007C3AC5">
            <w:pPr>
              <w:pStyle w:val="braytabletext"/>
              <w:jc w:val="right"/>
              <w:rPr>
                <w:szCs w:val="16"/>
              </w:rPr>
            </w:pPr>
            <w:r w:rsidRPr="008E5400">
              <w:rPr>
                <w:szCs w:val="16"/>
              </w:rPr>
              <w:t>-0.0230</w:t>
            </w:r>
          </w:p>
        </w:tc>
      </w:tr>
      <w:tr w:rsidR="004476C8" w:rsidRPr="008E5400" w:rsidTr="00B82B1F">
        <w:trPr>
          <w:trHeight w:val="290"/>
          <w:jc w:val="right"/>
        </w:trPr>
        <w:tc>
          <w:tcPr>
            <w:tcW w:w="2409" w:type="dxa"/>
            <w:tcBorders>
              <w:top w:val="nil"/>
              <w:left w:val="nil"/>
              <w:bottom w:val="single" w:sz="4" w:space="0" w:color="auto"/>
              <w:right w:val="nil"/>
            </w:tcBorders>
          </w:tcPr>
          <w:p w:rsidR="004476C8" w:rsidRPr="008E5400" w:rsidRDefault="004476C8" w:rsidP="00313349">
            <w:pPr>
              <w:pStyle w:val="braytabletext"/>
              <w:rPr>
                <w:szCs w:val="16"/>
              </w:rPr>
            </w:pPr>
            <w:r w:rsidRPr="008E5400">
              <w:rPr>
                <w:szCs w:val="16"/>
              </w:rPr>
              <w:t>Constant</w:t>
            </w:r>
          </w:p>
        </w:tc>
        <w:tc>
          <w:tcPr>
            <w:tcW w:w="851" w:type="dxa"/>
            <w:tcBorders>
              <w:top w:val="nil"/>
              <w:left w:val="nil"/>
              <w:bottom w:val="single" w:sz="4" w:space="0" w:color="auto"/>
              <w:right w:val="nil"/>
            </w:tcBorders>
          </w:tcPr>
          <w:p w:rsidR="004476C8" w:rsidRPr="008E5400" w:rsidRDefault="004476C8" w:rsidP="007C3AC5">
            <w:pPr>
              <w:pStyle w:val="braytabletext"/>
              <w:jc w:val="right"/>
              <w:rPr>
                <w:szCs w:val="16"/>
              </w:rPr>
            </w:pPr>
            <w:r w:rsidRPr="008E5400">
              <w:rPr>
                <w:szCs w:val="16"/>
              </w:rPr>
              <w:t>-1.6845</w:t>
            </w:r>
          </w:p>
        </w:tc>
        <w:tc>
          <w:tcPr>
            <w:tcW w:w="283" w:type="dxa"/>
            <w:tcBorders>
              <w:top w:val="nil"/>
              <w:left w:val="nil"/>
              <w:bottom w:val="single" w:sz="4" w:space="0" w:color="auto"/>
              <w:right w:val="nil"/>
            </w:tcBorders>
          </w:tcPr>
          <w:p w:rsidR="004476C8" w:rsidRPr="008E5400" w:rsidRDefault="004476C8" w:rsidP="007C3AC5">
            <w:pPr>
              <w:pStyle w:val="braytabletext"/>
              <w:jc w:val="right"/>
              <w:rPr>
                <w:szCs w:val="16"/>
              </w:rPr>
            </w:pPr>
            <w:r w:rsidRPr="008E5400">
              <w:rPr>
                <w:szCs w:val="16"/>
              </w:rPr>
              <w:t>**</w:t>
            </w:r>
          </w:p>
        </w:tc>
        <w:tc>
          <w:tcPr>
            <w:tcW w:w="567" w:type="dxa"/>
            <w:tcBorders>
              <w:top w:val="nil"/>
              <w:left w:val="nil"/>
              <w:bottom w:val="single" w:sz="4" w:space="0" w:color="auto"/>
              <w:right w:val="nil"/>
            </w:tcBorders>
          </w:tcPr>
          <w:p w:rsidR="004476C8" w:rsidRPr="008E5400" w:rsidRDefault="004476C8" w:rsidP="007C3AC5">
            <w:pPr>
              <w:pStyle w:val="braytabletext"/>
              <w:jc w:val="right"/>
              <w:rPr>
                <w:szCs w:val="16"/>
              </w:rPr>
            </w:pPr>
            <w:r w:rsidRPr="008E5400">
              <w:rPr>
                <w:szCs w:val="16"/>
              </w:rPr>
              <w:t>-5.22</w:t>
            </w:r>
          </w:p>
        </w:tc>
        <w:tc>
          <w:tcPr>
            <w:tcW w:w="851" w:type="dxa"/>
            <w:tcBorders>
              <w:top w:val="nil"/>
              <w:left w:val="nil"/>
              <w:bottom w:val="single" w:sz="4" w:space="0" w:color="auto"/>
              <w:right w:val="nil"/>
            </w:tcBorders>
          </w:tcPr>
          <w:p w:rsidR="004476C8" w:rsidRPr="008E5400" w:rsidRDefault="004476C8" w:rsidP="007C3AC5">
            <w:pPr>
              <w:pStyle w:val="braytabletext"/>
              <w:jc w:val="right"/>
              <w:rPr>
                <w:szCs w:val="16"/>
              </w:rPr>
            </w:pPr>
            <w:r w:rsidRPr="008E5400">
              <w:rPr>
                <w:szCs w:val="16"/>
              </w:rPr>
              <w:t xml:space="preserve"> </w:t>
            </w:r>
          </w:p>
        </w:tc>
        <w:tc>
          <w:tcPr>
            <w:tcW w:w="283" w:type="dxa"/>
            <w:tcBorders>
              <w:top w:val="nil"/>
              <w:left w:val="nil"/>
              <w:bottom w:val="single" w:sz="4" w:space="0" w:color="auto"/>
              <w:right w:val="nil"/>
            </w:tcBorders>
          </w:tcPr>
          <w:p w:rsidR="004476C8" w:rsidRPr="008E5400" w:rsidRDefault="004476C8" w:rsidP="007C3AC5">
            <w:pPr>
              <w:pStyle w:val="braytabletext"/>
              <w:jc w:val="right"/>
              <w:rPr>
                <w:szCs w:val="16"/>
              </w:rPr>
            </w:pPr>
          </w:p>
        </w:tc>
        <w:tc>
          <w:tcPr>
            <w:tcW w:w="851" w:type="dxa"/>
            <w:tcBorders>
              <w:top w:val="nil"/>
              <w:left w:val="nil"/>
              <w:bottom w:val="single" w:sz="4" w:space="0" w:color="auto"/>
              <w:right w:val="nil"/>
            </w:tcBorders>
          </w:tcPr>
          <w:p w:rsidR="004476C8" w:rsidRPr="008E5400" w:rsidRDefault="004476C8" w:rsidP="007C3AC5">
            <w:pPr>
              <w:pStyle w:val="braytabletext"/>
              <w:jc w:val="right"/>
              <w:rPr>
                <w:szCs w:val="16"/>
              </w:rPr>
            </w:pPr>
            <w:r w:rsidRPr="008E5400">
              <w:rPr>
                <w:szCs w:val="16"/>
              </w:rPr>
              <w:t>0.3268</w:t>
            </w:r>
          </w:p>
        </w:tc>
        <w:tc>
          <w:tcPr>
            <w:tcW w:w="283" w:type="dxa"/>
            <w:tcBorders>
              <w:top w:val="nil"/>
              <w:left w:val="nil"/>
              <w:bottom w:val="single" w:sz="4" w:space="0" w:color="auto"/>
              <w:right w:val="nil"/>
            </w:tcBorders>
          </w:tcPr>
          <w:p w:rsidR="004476C8" w:rsidRPr="008E5400" w:rsidRDefault="004476C8" w:rsidP="007C3AC5">
            <w:pPr>
              <w:pStyle w:val="braytabletext"/>
              <w:jc w:val="right"/>
              <w:rPr>
                <w:szCs w:val="16"/>
              </w:rPr>
            </w:pPr>
          </w:p>
        </w:tc>
        <w:tc>
          <w:tcPr>
            <w:tcW w:w="842" w:type="dxa"/>
            <w:tcBorders>
              <w:top w:val="nil"/>
              <w:left w:val="nil"/>
              <w:bottom w:val="single" w:sz="4" w:space="0" w:color="auto"/>
              <w:right w:val="nil"/>
            </w:tcBorders>
          </w:tcPr>
          <w:p w:rsidR="004476C8" w:rsidRPr="008E5400" w:rsidRDefault="004476C8" w:rsidP="007C3AC5">
            <w:pPr>
              <w:pStyle w:val="braytabletext"/>
              <w:jc w:val="right"/>
              <w:rPr>
                <w:szCs w:val="16"/>
              </w:rPr>
            </w:pPr>
            <w:r w:rsidRPr="008E5400">
              <w:rPr>
                <w:szCs w:val="16"/>
              </w:rPr>
              <w:t>0.55</w:t>
            </w:r>
          </w:p>
        </w:tc>
        <w:tc>
          <w:tcPr>
            <w:tcW w:w="1003" w:type="dxa"/>
            <w:tcBorders>
              <w:top w:val="nil"/>
              <w:left w:val="nil"/>
              <w:bottom w:val="single" w:sz="4" w:space="0" w:color="auto"/>
              <w:right w:val="nil"/>
            </w:tcBorders>
          </w:tcPr>
          <w:p w:rsidR="004476C8" w:rsidRPr="008E5400" w:rsidRDefault="004476C8" w:rsidP="007C3AC5">
            <w:pPr>
              <w:pStyle w:val="braytabletext"/>
              <w:jc w:val="right"/>
              <w:rPr>
                <w:szCs w:val="16"/>
              </w:rPr>
            </w:pPr>
            <w:r w:rsidRPr="008E5400">
              <w:rPr>
                <w:szCs w:val="16"/>
              </w:rPr>
              <w:t xml:space="preserve"> </w:t>
            </w:r>
          </w:p>
        </w:tc>
      </w:tr>
      <w:tr w:rsidR="004476C8" w:rsidRPr="008E5400" w:rsidTr="00B82B1F">
        <w:trPr>
          <w:trHeight w:val="290"/>
          <w:jc w:val="right"/>
        </w:trPr>
        <w:tc>
          <w:tcPr>
            <w:tcW w:w="2409" w:type="dxa"/>
            <w:tcBorders>
              <w:top w:val="single" w:sz="4" w:space="0" w:color="auto"/>
              <w:left w:val="nil"/>
              <w:bottom w:val="nil"/>
              <w:right w:val="nil"/>
            </w:tcBorders>
          </w:tcPr>
          <w:p w:rsidR="004476C8" w:rsidRPr="008E5400" w:rsidRDefault="004476C8" w:rsidP="00313349">
            <w:pPr>
              <w:pStyle w:val="braytabletext"/>
              <w:rPr>
                <w:szCs w:val="16"/>
              </w:rPr>
            </w:pPr>
          </w:p>
        </w:tc>
        <w:tc>
          <w:tcPr>
            <w:tcW w:w="851" w:type="dxa"/>
            <w:tcBorders>
              <w:top w:val="single" w:sz="4" w:space="0" w:color="auto"/>
              <w:left w:val="nil"/>
              <w:bottom w:val="nil"/>
              <w:right w:val="nil"/>
            </w:tcBorders>
          </w:tcPr>
          <w:p w:rsidR="004476C8" w:rsidRPr="008E5400" w:rsidRDefault="004476C8" w:rsidP="007C3AC5">
            <w:pPr>
              <w:pStyle w:val="braytabletext"/>
              <w:jc w:val="right"/>
              <w:rPr>
                <w:szCs w:val="16"/>
              </w:rPr>
            </w:pPr>
          </w:p>
        </w:tc>
        <w:tc>
          <w:tcPr>
            <w:tcW w:w="283" w:type="dxa"/>
            <w:tcBorders>
              <w:top w:val="single" w:sz="4" w:space="0" w:color="auto"/>
              <w:left w:val="nil"/>
              <w:bottom w:val="nil"/>
              <w:right w:val="nil"/>
            </w:tcBorders>
          </w:tcPr>
          <w:p w:rsidR="004476C8" w:rsidRPr="008E5400" w:rsidRDefault="004476C8" w:rsidP="007C3AC5">
            <w:pPr>
              <w:pStyle w:val="braytabletext"/>
              <w:jc w:val="right"/>
              <w:rPr>
                <w:szCs w:val="16"/>
              </w:rPr>
            </w:pPr>
          </w:p>
        </w:tc>
        <w:tc>
          <w:tcPr>
            <w:tcW w:w="567" w:type="dxa"/>
            <w:tcBorders>
              <w:top w:val="single" w:sz="4" w:space="0" w:color="auto"/>
              <w:left w:val="nil"/>
              <w:bottom w:val="nil"/>
              <w:right w:val="nil"/>
            </w:tcBorders>
          </w:tcPr>
          <w:p w:rsidR="004476C8" w:rsidRPr="008E5400" w:rsidRDefault="004476C8" w:rsidP="007C3AC5">
            <w:pPr>
              <w:pStyle w:val="braytabletext"/>
              <w:jc w:val="right"/>
              <w:rPr>
                <w:szCs w:val="16"/>
              </w:rPr>
            </w:pPr>
          </w:p>
        </w:tc>
        <w:tc>
          <w:tcPr>
            <w:tcW w:w="851" w:type="dxa"/>
            <w:tcBorders>
              <w:top w:val="single" w:sz="4" w:space="0" w:color="auto"/>
              <w:left w:val="nil"/>
              <w:bottom w:val="nil"/>
              <w:right w:val="nil"/>
            </w:tcBorders>
          </w:tcPr>
          <w:p w:rsidR="004476C8" w:rsidRPr="008E5400" w:rsidRDefault="004476C8" w:rsidP="007C3AC5">
            <w:pPr>
              <w:pStyle w:val="braytabletext"/>
              <w:jc w:val="right"/>
              <w:rPr>
                <w:szCs w:val="16"/>
              </w:rPr>
            </w:pPr>
          </w:p>
        </w:tc>
        <w:tc>
          <w:tcPr>
            <w:tcW w:w="283" w:type="dxa"/>
            <w:tcBorders>
              <w:top w:val="single" w:sz="4" w:space="0" w:color="auto"/>
              <w:left w:val="nil"/>
              <w:bottom w:val="nil"/>
              <w:right w:val="nil"/>
            </w:tcBorders>
          </w:tcPr>
          <w:p w:rsidR="004476C8" w:rsidRPr="008E5400" w:rsidRDefault="004476C8" w:rsidP="007C3AC5">
            <w:pPr>
              <w:pStyle w:val="braytabletext"/>
              <w:jc w:val="right"/>
              <w:rPr>
                <w:szCs w:val="16"/>
              </w:rPr>
            </w:pPr>
          </w:p>
        </w:tc>
        <w:tc>
          <w:tcPr>
            <w:tcW w:w="851" w:type="dxa"/>
            <w:tcBorders>
              <w:top w:val="single" w:sz="4" w:space="0" w:color="auto"/>
              <w:left w:val="nil"/>
              <w:bottom w:val="nil"/>
              <w:right w:val="nil"/>
            </w:tcBorders>
          </w:tcPr>
          <w:p w:rsidR="004476C8" w:rsidRPr="008E5400" w:rsidRDefault="004476C8" w:rsidP="007C3AC5">
            <w:pPr>
              <w:pStyle w:val="braytabletext"/>
              <w:jc w:val="right"/>
              <w:rPr>
                <w:szCs w:val="16"/>
              </w:rPr>
            </w:pPr>
          </w:p>
        </w:tc>
        <w:tc>
          <w:tcPr>
            <w:tcW w:w="283" w:type="dxa"/>
            <w:tcBorders>
              <w:top w:val="single" w:sz="4" w:space="0" w:color="auto"/>
              <w:left w:val="nil"/>
              <w:bottom w:val="nil"/>
              <w:right w:val="nil"/>
            </w:tcBorders>
          </w:tcPr>
          <w:p w:rsidR="004476C8" w:rsidRPr="008E5400" w:rsidRDefault="004476C8" w:rsidP="007C3AC5">
            <w:pPr>
              <w:pStyle w:val="braytabletext"/>
              <w:jc w:val="right"/>
              <w:rPr>
                <w:szCs w:val="16"/>
              </w:rPr>
            </w:pPr>
          </w:p>
        </w:tc>
        <w:tc>
          <w:tcPr>
            <w:tcW w:w="842" w:type="dxa"/>
            <w:tcBorders>
              <w:top w:val="single" w:sz="4" w:space="0" w:color="auto"/>
              <w:left w:val="nil"/>
              <w:bottom w:val="nil"/>
              <w:right w:val="nil"/>
            </w:tcBorders>
          </w:tcPr>
          <w:p w:rsidR="004476C8" w:rsidRPr="008E5400" w:rsidRDefault="004476C8" w:rsidP="007C3AC5">
            <w:pPr>
              <w:pStyle w:val="braytabletext"/>
              <w:jc w:val="right"/>
              <w:rPr>
                <w:szCs w:val="16"/>
              </w:rPr>
            </w:pPr>
          </w:p>
        </w:tc>
        <w:tc>
          <w:tcPr>
            <w:tcW w:w="1003" w:type="dxa"/>
            <w:tcBorders>
              <w:top w:val="single" w:sz="4" w:space="0" w:color="auto"/>
              <w:left w:val="nil"/>
              <w:bottom w:val="nil"/>
              <w:right w:val="nil"/>
            </w:tcBorders>
          </w:tcPr>
          <w:p w:rsidR="004476C8" w:rsidRPr="008E5400" w:rsidRDefault="004476C8" w:rsidP="007C3AC5">
            <w:pPr>
              <w:pStyle w:val="braytabletext"/>
              <w:jc w:val="right"/>
              <w:rPr>
                <w:szCs w:val="16"/>
              </w:rPr>
            </w:pPr>
          </w:p>
        </w:tc>
      </w:tr>
      <w:tr w:rsidR="004476C8" w:rsidRPr="008E5400" w:rsidTr="00B82B1F">
        <w:trPr>
          <w:trHeight w:val="290"/>
          <w:jc w:val="right"/>
        </w:trPr>
        <w:tc>
          <w:tcPr>
            <w:tcW w:w="2409" w:type="dxa"/>
            <w:tcBorders>
              <w:top w:val="nil"/>
              <w:left w:val="nil"/>
              <w:right w:val="nil"/>
            </w:tcBorders>
          </w:tcPr>
          <w:p w:rsidR="004476C8" w:rsidRPr="008E5400" w:rsidRDefault="004476C8" w:rsidP="00313349">
            <w:pPr>
              <w:pStyle w:val="braytabletext"/>
              <w:rPr>
                <w:szCs w:val="16"/>
                <w:vertAlign w:val="superscript"/>
              </w:rPr>
            </w:pPr>
            <w:r w:rsidRPr="008E5400">
              <w:rPr>
                <w:szCs w:val="16"/>
              </w:rPr>
              <w:t>Pseudo R</w:t>
            </w:r>
            <w:r w:rsidRPr="008E5400">
              <w:rPr>
                <w:szCs w:val="16"/>
                <w:vertAlign w:val="superscript"/>
              </w:rPr>
              <w:t>2</w:t>
            </w:r>
          </w:p>
        </w:tc>
        <w:tc>
          <w:tcPr>
            <w:tcW w:w="851" w:type="dxa"/>
            <w:tcBorders>
              <w:top w:val="nil"/>
              <w:left w:val="nil"/>
              <w:right w:val="nil"/>
            </w:tcBorders>
          </w:tcPr>
          <w:p w:rsidR="004476C8" w:rsidRPr="008E5400" w:rsidRDefault="004476C8" w:rsidP="007C3AC5">
            <w:pPr>
              <w:pStyle w:val="braytabletext"/>
              <w:jc w:val="right"/>
              <w:rPr>
                <w:szCs w:val="16"/>
              </w:rPr>
            </w:pPr>
            <w:r w:rsidRPr="008E5400">
              <w:rPr>
                <w:szCs w:val="16"/>
              </w:rPr>
              <w:t>0.2448</w:t>
            </w:r>
          </w:p>
        </w:tc>
        <w:tc>
          <w:tcPr>
            <w:tcW w:w="283" w:type="dxa"/>
            <w:tcBorders>
              <w:top w:val="nil"/>
              <w:left w:val="nil"/>
              <w:right w:val="nil"/>
            </w:tcBorders>
          </w:tcPr>
          <w:p w:rsidR="004476C8" w:rsidRPr="008E5400" w:rsidRDefault="004476C8" w:rsidP="007C3AC5">
            <w:pPr>
              <w:pStyle w:val="braytabletext"/>
              <w:jc w:val="right"/>
              <w:rPr>
                <w:szCs w:val="16"/>
              </w:rPr>
            </w:pPr>
          </w:p>
        </w:tc>
        <w:tc>
          <w:tcPr>
            <w:tcW w:w="567" w:type="dxa"/>
            <w:tcBorders>
              <w:top w:val="nil"/>
              <w:left w:val="nil"/>
              <w:right w:val="nil"/>
            </w:tcBorders>
          </w:tcPr>
          <w:p w:rsidR="004476C8" w:rsidRPr="008E5400" w:rsidRDefault="004476C8" w:rsidP="007C3AC5">
            <w:pPr>
              <w:pStyle w:val="braytabletext"/>
              <w:jc w:val="right"/>
              <w:rPr>
                <w:szCs w:val="16"/>
              </w:rPr>
            </w:pPr>
          </w:p>
        </w:tc>
        <w:tc>
          <w:tcPr>
            <w:tcW w:w="851" w:type="dxa"/>
            <w:tcBorders>
              <w:top w:val="nil"/>
              <w:left w:val="nil"/>
              <w:right w:val="nil"/>
            </w:tcBorders>
          </w:tcPr>
          <w:p w:rsidR="004476C8" w:rsidRPr="008E5400" w:rsidRDefault="004476C8" w:rsidP="007C3AC5">
            <w:pPr>
              <w:pStyle w:val="braytabletext"/>
              <w:jc w:val="right"/>
              <w:rPr>
                <w:szCs w:val="16"/>
              </w:rPr>
            </w:pPr>
          </w:p>
        </w:tc>
        <w:tc>
          <w:tcPr>
            <w:tcW w:w="283" w:type="dxa"/>
            <w:tcBorders>
              <w:top w:val="nil"/>
              <w:left w:val="nil"/>
              <w:right w:val="nil"/>
            </w:tcBorders>
          </w:tcPr>
          <w:p w:rsidR="004476C8" w:rsidRPr="008E5400" w:rsidRDefault="004476C8" w:rsidP="007C3AC5">
            <w:pPr>
              <w:pStyle w:val="braytabletext"/>
              <w:jc w:val="right"/>
              <w:rPr>
                <w:szCs w:val="16"/>
              </w:rPr>
            </w:pPr>
          </w:p>
        </w:tc>
        <w:tc>
          <w:tcPr>
            <w:tcW w:w="851" w:type="dxa"/>
            <w:tcBorders>
              <w:top w:val="nil"/>
              <w:left w:val="nil"/>
              <w:right w:val="nil"/>
            </w:tcBorders>
          </w:tcPr>
          <w:p w:rsidR="004476C8" w:rsidRPr="008E5400" w:rsidRDefault="004476C8" w:rsidP="007C3AC5">
            <w:pPr>
              <w:pStyle w:val="braytabletext"/>
              <w:jc w:val="right"/>
              <w:rPr>
                <w:szCs w:val="16"/>
              </w:rPr>
            </w:pPr>
            <w:r w:rsidRPr="008E5400">
              <w:rPr>
                <w:szCs w:val="16"/>
              </w:rPr>
              <w:t>0.2798</w:t>
            </w:r>
          </w:p>
        </w:tc>
        <w:tc>
          <w:tcPr>
            <w:tcW w:w="283" w:type="dxa"/>
            <w:tcBorders>
              <w:top w:val="nil"/>
              <w:left w:val="nil"/>
              <w:right w:val="nil"/>
            </w:tcBorders>
          </w:tcPr>
          <w:p w:rsidR="004476C8" w:rsidRPr="008E5400" w:rsidRDefault="004476C8" w:rsidP="007C3AC5">
            <w:pPr>
              <w:pStyle w:val="braytabletext"/>
              <w:jc w:val="right"/>
              <w:rPr>
                <w:szCs w:val="16"/>
              </w:rPr>
            </w:pPr>
          </w:p>
        </w:tc>
        <w:tc>
          <w:tcPr>
            <w:tcW w:w="842" w:type="dxa"/>
            <w:tcBorders>
              <w:top w:val="nil"/>
              <w:left w:val="nil"/>
              <w:right w:val="nil"/>
            </w:tcBorders>
          </w:tcPr>
          <w:p w:rsidR="004476C8" w:rsidRPr="008E5400" w:rsidRDefault="004476C8" w:rsidP="007C3AC5">
            <w:pPr>
              <w:pStyle w:val="braytabletext"/>
              <w:jc w:val="right"/>
              <w:rPr>
                <w:szCs w:val="16"/>
              </w:rPr>
            </w:pPr>
          </w:p>
        </w:tc>
        <w:tc>
          <w:tcPr>
            <w:tcW w:w="1003" w:type="dxa"/>
            <w:tcBorders>
              <w:top w:val="nil"/>
              <w:left w:val="nil"/>
              <w:right w:val="nil"/>
            </w:tcBorders>
          </w:tcPr>
          <w:p w:rsidR="004476C8" w:rsidRPr="008E5400" w:rsidRDefault="004476C8" w:rsidP="007C3AC5">
            <w:pPr>
              <w:pStyle w:val="braytabletext"/>
              <w:jc w:val="right"/>
              <w:rPr>
                <w:szCs w:val="16"/>
              </w:rPr>
            </w:pPr>
          </w:p>
        </w:tc>
      </w:tr>
      <w:tr w:rsidR="004476C8" w:rsidRPr="008E5400" w:rsidTr="00B82B1F">
        <w:trPr>
          <w:trHeight w:val="290"/>
          <w:jc w:val="right"/>
        </w:trPr>
        <w:tc>
          <w:tcPr>
            <w:tcW w:w="2409" w:type="dxa"/>
            <w:tcBorders>
              <w:top w:val="nil"/>
              <w:left w:val="nil"/>
              <w:bottom w:val="single" w:sz="4" w:space="0" w:color="auto"/>
              <w:right w:val="nil"/>
            </w:tcBorders>
          </w:tcPr>
          <w:p w:rsidR="004476C8" w:rsidRPr="008E5400" w:rsidRDefault="004476C8" w:rsidP="00313349">
            <w:pPr>
              <w:pStyle w:val="braytabletext"/>
              <w:rPr>
                <w:szCs w:val="16"/>
              </w:rPr>
            </w:pPr>
            <w:r w:rsidRPr="008E5400">
              <w:rPr>
                <w:szCs w:val="16"/>
              </w:rPr>
              <w:t>Observations</w:t>
            </w:r>
          </w:p>
        </w:tc>
        <w:tc>
          <w:tcPr>
            <w:tcW w:w="851" w:type="dxa"/>
            <w:tcBorders>
              <w:top w:val="nil"/>
              <w:left w:val="nil"/>
              <w:bottom w:val="single" w:sz="4" w:space="0" w:color="auto"/>
              <w:right w:val="nil"/>
            </w:tcBorders>
          </w:tcPr>
          <w:p w:rsidR="004476C8" w:rsidRPr="008E5400" w:rsidRDefault="004476C8" w:rsidP="007C3AC5">
            <w:pPr>
              <w:pStyle w:val="braytabletext"/>
              <w:jc w:val="right"/>
              <w:rPr>
                <w:szCs w:val="16"/>
              </w:rPr>
            </w:pPr>
            <w:r w:rsidRPr="008E5400">
              <w:rPr>
                <w:szCs w:val="16"/>
              </w:rPr>
              <w:t>6</w:t>
            </w:r>
            <w:r w:rsidR="002955BA" w:rsidRPr="008E5400">
              <w:rPr>
                <w:szCs w:val="16"/>
              </w:rPr>
              <w:t> </w:t>
            </w:r>
            <w:r w:rsidRPr="008E5400">
              <w:rPr>
                <w:szCs w:val="16"/>
              </w:rPr>
              <w:t xml:space="preserve">658 </w:t>
            </w:r>
          </w:p>
        </w:tc>
        <w:tc>
          <w:tcPr>
            <w:tcW w:w="283" w:type="dxa"/>
            <w:tcBorders>
              <w:top w:val="nil"/>
              <w:left w:val="nil"/>
              <w:bottom w:val="single" w:sz="4" w:space="0" w:color="auto"/>
              <w:right w:val="nil"/>
            </w:tcBorders>
          </w:tcPr>
          <w:p w:rsidR="004476C8" w:rsidRPr="008E5400" w:rsidRDefault="004476C8" w:rsidP="007C3AC5">
            <w:pPr>
              <w:pStyle w:val="braytabletext"/>
              <w:jc w:val="right"/>
              <w:rPr>
                <w:szCs w:val="16"/>
              </w:rPr>
            </w:pPr>
          </w:p>
        </w:tc>
        <w:tc>
          <w:tcPr>
            <w:tcW w:w="567" w:type="dxa"/>
            <w:tcBorders>
              <w:top w:val="nil"/>
              <w:left w:val="nil"/>
              <w:bottom w:val="single" w:sz="4" w:space="0" w:color="auto"/>
              <w:right w:val="nil"/>
            </w:tcBorders>
          </w:tcPr>
          <w:p w:rsidR="004476C8" w:rsidRPr="008E5400" w:rsidRDefault="004476C8" w:rsidP="007C3AC5">
            <w:pPr>
              <w:pStyle w:val="braytabletext"/>
              <w:jc w:val="right"/>
              <w:rPr>
                <w:szCs w:val="16"/>
              </w:rPr>
            </w:pPr>
          </w:p>
        </w:tc>
        <w:tc>
          <w:tcPr>
            <w:tcW w:w="851" w:type="dxa"/>
            <w:tcBorders>
              <w:top w:val="nil"/>
              <w:left w:val="nil"/>
              <w:bottom w:val="single" w:sz="4" w:space="0" w:color="auto"/>
              <w:right w:val="nil"/>
            </w:tcBorders>
          </w:tcPr>
          <w:p w:rsidR="004476C8" w:rsidRPr="008E5400" w:rsidRDefault="004476C8" w:rsidP="007C3AC5">
            <w:pPr>
              <w:pStyle w:val="braytabletext"/>
              <w:jc w:val="right"/>
              <w:rPr>
                <w:szCs w:val="16"/>
              </w:rPr>
            </w:pPr>
          </w:p>
        </w:tc>
        <w:tc>
          <w:tcPr>
            <w:tcW w:w="283" w:type="dxa"/>
            <w:tcBorders>
              <w:top w:val="nil"/>
              <w:left w:val="nil"/>
              <w:bottom w:val="single" w:sz="4" w:space="0" w:color="auto"/>
              <w:right w:val="nil"/>
            </w:tcBorders>
          </w:tcPr>
          <w:p w:rsidR="004476C8" w:rsidRPr="008E5400" w:rsidRDefault="004476C8" w:rsidP="007C3AC5">
            <w:pPr>
              <w:pStyle w:val="braytabletext"/>
              <w:jc w:val="right"/>
              <w:rPr>
                <w:szCs w:val="16"/>
              </w:rPr>
            </w:pPr>
          </w:p>
        </w:tc>
        <w:tc>
          <w:tcPr>
            <w:tcW w:w="851" w:type="dxa"/>
            <w:tcBorders>
              <w:top w:val="nil"/>
              <w:left w:val="nil"/>
              <w:bottom w:val="single" w:sz="4" w:space="0" w:color="auto"/>
              <w:right w:val="nil"/>
            </w:tcBorders>
          </w:tcPr>
          <w:p w:rsidR="004476C8" w:rsidRPr="008E5400" w:rsidRDefault="007C3AC5" w:rsidP="007C3AC5">
            <w:pPr>
              <w:pStyle w:val="braytabletext"/>
              <w:jc w:val="right"/>
              <w:rPr>
                <w:szCs w:val="16"/>
              </w:rPr>
            </w:pPr>
            <w:r w:rsidRPr="008E5400">
              <w:rPr>
                <w:szCs w:val="16"/>
              </w:rPr>
              <w:t>2</w:t>
            </w:r>
            <w:r w:rsidR="002955BA" w:rsidRPr="008E5400">
              <w:rPr>
                <w:szCs w:val="16"/>
              </w:rPr>
              <w:t> </w:t>
            </w:r>
            <w:r w:rsidRPr="008E5400">
              <w:rPr>
                <w:szCs w:val="16"/>
              </w:rPr>
              <w:t>506</w:t>
            </w:r>
          </w:p>
        </w:tc>
        <w:tc>
          <w:tcPr>
            <w:tcW w:w="283" w:type="dxa"/>
            <w:tcBorders>
              <w:top w:val="nil"/>
              <w:left w:val="nil"/>
              <w:bottom w:val="single" w:sz="4" w:space="0" w:color="auto"/>
              <w:right w:val="nil"/>
            </w:tcBorders>
          </w:tcPr>
          <w:p w:rsidR="004476C8" w:rsidRPr="008E5400" w:rsidRDefault="004476C8" w:rsidP="007C3AC5">
            <w:pPr>
              <w:pStyle w:val="braytabletext"/>
              <w:jc w:val="right"/>
              <w:rPr>
                <w:szCs w:val="16"/>
              </w:rPr>
            </w:pPr>
          </w:p>
        </w:tc>
        <w:tc>
          <w:tcPr>
            <w:tcW w:w="842" w:type="dxa"/>
            <w:tcBorders>
              <w:top w:val="nil"/>
              <w:left w:val="nil"/>
              <w:bottom w:val="single" w:sz="4" w:space="0" w:color="auto"/>
              <w:right w:val="nil"/>
            </w:tcBorders>
          </w:tcPr>
          <w:p w:rsidR="004476C8" w:rsidRPr="008E5400" w:rsidRDefault="004476C8" w:rsidP="007C3AC5">
            <w:pPr>
              <w:pStyle w:val="braytabletext"/>
              <w:jc w:val="right"/>
              <w:rPr>
                <w:szCs w:val="16"/>
              </w:rPr>
            </w:pPr>
          </w:p>
        </w:tc>
        <w:tc>
          <w:tcPr>
            <w:tcW w:w="1003" w:type="dxa"/>
            <w:tcBorders>
              <w:top w:val="nil"/>
              <w:left w:val="nil"/>
              <w:bottom w:val="single" w:sz="4" w:space="0" w:color="auto"/>
              <w:right w:val="nil"/>
            </w:tcBorders>
          </w:tcPr>
          <w:p w:rsidR="004476C8" w:rsidRPr="008E5400" w:rsidRDefault="004476C8" w:rsidP="007C3AC5">
            <w:pPr>
              <w:pStyle w:val="braytabletext"/>
              <w:jc w:val="right"/>
              <w:rPr>
                <w:szCs w:val="16"/>
              </w:rPr>
            </w:pPr>
          </w:p>
        </w:tc>
      </w:tr>
    </w:tbl>
    <w:p w:rsidR="008861DE" w:rsidRDefault="00467E88" w:rsidP="00CF78DB">
      <w:pPr>
        <w:pStyle w:val="tablefootnotes"/>
      </w:pPr>
      <w:r>
        <w:t>Notes:</w:t>
      </w:r>
      <w:r>
        <w:tab/>
      </w:r>
      <w:r w:rsidR="008861DE" w:rsidRPr="005911E2">
        <w:t>** P&lt;.01, * P&lt;.05</w:t>
      </w:r>
      <w:r w:rsidR="008E5400">
        <w:t>.</w:t>
      </w:r>
    </w:p>
    <w:p w:rsidR="008861DE" w:rsidRDefault="008861DE" w:rsidP="00CF78DB">
      <w:pPr>
        <w:pStyle w:val="tablefootnotes"/>
      </w:pPr>
      <w:r w:rsidRPr="005911E2">
        <w:t xml:space="preserve">(a) </w:t>
      </w:r>
      <w:r w:rsidR="00313349" w:rsidRPr="005911E2">
        <w:tab/>
      </w:r>
      <w:r w:rsidR="006C33D2" w:rsidRPr="005911E2">
        <w:t>Change</w:t>
      </w:r>
      <w:r w:rsidRPr="005911E2">
        <w:t xml:space="preserve"> in probability as a result of a unit change in variable, average of individual estimates.</w:t>
      </w:r>
    </w:p>
    <w:p w:rsidR="00291FDE" w:rsidRPr="005911E2" w:rsidRDefault="00291FDE" w:rsidP="00273B1F">
      <w:pPr>
        <w:pStyle w:val="tablefootnoteslastline"/>
      </w:pPr>
      <w:r w:rsidRPr="005911E2">
        <w:t xml:space="preserve">Source: </w:t>
      </w:r>
      <w:r w:rsidR="00FF16A3">
        <w:tab/>
      </w:r>
      <w:r w:rsidRPr="005911E2">
        <w:t xml:space="preserve">Derived from Centrelink </w:t>
      </w:r>
      <w:r w:rsidR="00F878E4">
        <w:t>income management</w:t>
      </w:r>
      <w:r w:rsidRPr="005911E2">
        <w:t xml:space="preserve"> &amp; IS/FTB datasets</w:t>
      </w:r>
      <w:r w:rsidR="008E5400">
        <w:t>.</w:t>
      </w:r>
    </w:p>
    <w:p w:rsidR="00273B1F" w:rsidRPr="005911E2" w:rsidRDefault="00273B1F" w:rsidP="00273B1F">
      <w:r>
        <w:t>L</w:t>
      </w:r>
      <w:r w:rsidRPr="005911E2">
        <w:t xml:space="preserve">iving in an area of socio-economic disadvantage </w:t>
      </w:r>
      <w:r>
        <w:t xml:space="preserve">also </w:t>
      </w:r>
      <w:r w:rsidRPr="005911E2">
        <w:t xml:space="preserve">reduced the likelihood of </w:t>
      </w:r>
      <w:r>
        <w:t xml:space="preserve">both </w:t>
      </w:r>
      <w:r w:rsidRPr="005911E2">
        <w:t xml:space="preserve">applying </w:t>
      </w:r>
      <w:r>
        <w:t xml:space="preserve">for an exemption </w:t>
      </w:r>
      <w:r w:rsidRPr="005911E2">
        <w:t>and being successful.</w:t>
      </w:r>
      <w:r w:rsidRPr="005911E2">
        <w:rPr>
          <w:vertAlign w:val="superscript"/>
        </w:rPr>
        <w:footnoteReference w:id="86"/>
      </w:r>
      <w:r w:rsidRPr="005911E2">
        <w:t xml:space="preserve"> Being in a</w:t>
      </w:r>
      <w:r>
        <w:t>n</w:t>
      </w:r>
      <w:r w:rsidRPr="005911E2">
        <w:t xml:space="preserve"> NTER prescribed community had a further and additional negative impact. Gender was almost significant at the 95 per cent level with respect to making applications</w:t>
      </w:r>
      <w:r>
        <w:t>,</w:t>
      </w:r>
      <w:r w:rsidRPr="005911E2">
        <w:t xml:space="preserve"> and was associated with a 5 percentage point higher rate of application, while being partnered had a mild negative effect. </w:t>
      </w:r>
      <w:r>
        <w:t>The n</w:t>
      </w:r>
      <w:r w:rsidRPr="005911E2">
        <w:t xml:space="preserve">umber of children had a mild positive impact on applications and </w:t>
      </w:r>
      <w:r>
        <w:t xml:space="preserve">a </w:t>
      </w:r>
      <w:r w:rsidRPr="005911E2">
        <w:t xml:space="preserve">negative </w:t>
      </w:r>
      <w:r>
        <w:t xml:space="preserve">impact </w:t>
      </w:r>
      <w:r w:rsidRPr="005911E2">
        <w:t>on success, while having an older youngest child was negative in both cases.</w:t>
      </w:r>
    </w:p>
    <w:p w:rsidR="008861DE" w:rsidRPr="005911E2" w:rsidRDefault="008861DE" w:rsidP="00177518">
      <w:r w:rsidRPr="005911E2">
        <w:t xml:space="preserve">The combination of effects can be even more </w:t>
      </w:r>
      <w:r w:rsidR="005246F9">
        <w:t>significant</w:t>
      </w:r>
      <w:r w:rsidR="005246F9" w:rsidRPr="005911E2">
        <w:t xml:space="preserve"> </w:t>
      </w:r>
      <w:r w:rsidRPr="005911E2">
        <w:t>and was considered in more complex modelling</w:t>
      </w:r>
      <w:r w:rsidR="007052E7">
        <w:t>.</w:t>
      </w:r>
      <w:r w:rsidR="00357105">
        <w:t xml:space="preserve"> </w:t>
      </w:r>
      <w:r w:rsidRPr="005911E2">
        <w:t xml:space="preserve">Derived from this </w:t>
      </w:r>
      <w:r w:rsidR="00C7347D">
        <w:fldChar w:fldCharType="begin"/>
      </w:r>
      <w:r w:rsidR="00910F65">
        <w:instrText xml:space="preserve"> REF _Ref328069998 \h </w:instrText>
      </w:r>
      <w:r w:rsidR="00C7347D">
        <w:fldChar w:fldCharType="separate"/>
      </w:r>
      <w:r w:rsidR="007D7E45" w:rsidRPr="005911E2">
        <w:t xml:space="preserve">Table </w:t>
      </w:r>
      <w:r w:rsidR="007D7E45">
        <w:rPr>
          <w:noProof/>
        </w:rPr>
        <w:t>8</w:t>
      </w:r>
      <w:r w:rsidR="007D7E45" w:rsidRPr="005911E2">
        <w:noBreakHyphen/>
      </w:r>
      <w:r w:rsidR="007D7E45">
        <w:rPr>
          <w:noProof/>
        </w:rPr>
        <w:t>12</w:t>
      </w:r>
      <w:r w:rsidR="00C7347D">
        <w:fldChar w:fldCharType="end"/>
      </w:r>
      <w:r w:rsidR="00910F65">
        <w:t xml:space="preserve"> shows the</w:t>
      </w:r>
      <w:r w:rsidRPr="005911E2">
        <w:t xml:space="preserve"> predicted probabilities of making an application and the success of this</w:t>
      </w:r>
      <w:r w:rsidR="00B81D60">
        <w:t>,</w:t>
      </w:r>
      <w:r w:rsidRPr="005911E2">
        <w:t xml:space="preserve"> taking into account both whether or not the person was Indigenous and if they lived in a former NTER prescribed area.</w:t>
      </w:r>
    </w:p>
    <w:p w:rsidR="008861DE" w:rsidRPr="005911E2" w:rsidRDefault="008861DE" w:rsidP="00177518">
      <w:pPr>
        <w:pStyle w:val="tabfighead"/>
      </w:pPr>
      <w:bookmarkStart w:id="754" w:name="_Ref328069998"/>
      <w:bookmarkStart w:id="755" w:name="_Toc321430445"/>
      <w:bookmarkStart w:id="756" w:name="_Toc321254564"/>
      <w:bookmarkStart w:id="757" w:name="_Toc328601612"/>
      <w:bookmarkStart w:id="758" w:name="_Toc329051390"/>
      <w:bookmarkStart w:id="759" w:name="_Toc335915878"/>
      <w:r w:rsidRPr="005911E2">
        <w:t xml:space="preserve">Table </w:t>
      </w:r>
      <w:r w:rsidR="00C7347D" w:rsidRPr="005911E2">
        <w:fldChar w:fldCharType="begin"/>
      </w:r>
      <w:r w:rsidR="00EF6BC6" w:rsidRPr="005911E2">
        <w:instrText xml:space="preserve"> STYLEREF 1 \s </w:instrText>
      </w:r>
      <w:r w:rsidR="00C7347D" w:rsidRPr="005911E2">
        <w:fldChar w:fldCharType="separate"/>
      </w:r>
      <w:r w:rsidR="007D7E45">
        <w:rPr>
          <w:noProof/>
        </w:rPr>
        <w:t>8</w:t>
      </w:r>
      <w:r w:rsidR="00C7347D" w:rsidRPr="005911E2">
        <w:fldChar w:fldCharType="end"/>
      </w:r>
      <w:r w:rsidR="00EF6BC6" w:rsidRPr="005911E2">
        <w:noBreakHyphen/>
      </w:r>
      <w:r w:rsidR="00C7347D" w:rsidRPr="005911E2">
        <w:fldChar w:fldCharType="begin"/>
      </w:r>
      <w:r w:rsidR="00EF6BC6" w:rsidRPr="005911E2">
        <w:instrText xml:space="preserve"> SEQ Table \* ARABIC \s 1 </w:instrText>
      </w:r>
      <w:r w:rsidR="00C7347D" w:rsidRPr="005911E2">
        <w:fldChar w:fldCharType="separate"/>
      </w:r>
      <w:r w:rsidR="007D7E45">
        <w:rPr>
          <w:noProof/>
        </w:rPr>
        <w:t>12</w:t>
      </w:r>
      <w:r w:rsidR="00C7347D" w:rsidRPr="005911E2">
        <w:fldChar w:fldCharType="end"/>
      </w:r>
      <w:bookmarkEnd w:id="754"/>
      <w:r w:rsidRPr="005911E2">
        <w:t xml:space="preserve"> </w:t>
      </w:r>
      <w:r w:rsidR="00B36879" w:rsidRPr="005911E2">
        <w:tab/>
      </w:r>
      <w:r w:rsidR="00FC7206" w:rsidRPr="005911E2">
        <w:t xml:space="preserve">Persons with children subject to </w:t>
      </w:r>
      <w:r w:rsidR="004808B3">
        <w:t>Compulsory Income Management</w:t>
      </w:r>
      <w:r w:rsidR="00FC7206" w:rsidRPr="005911E2">
        <w:t>, e</w:t>
      </w:r>
      <w:r w:rsidRPr="005911E2">
        <w:t xml:space="preserve">stimated probability of application for exemption and success by </w:t>
      </w:r>
      <w:r w:rsidR="005911E2" w:rsidRPr="005911E2">
        <w:t>Indigeneity</w:t>
      </w:r>
      <w:r w:rsidRPr="005911E2">
        <w:t xml:space="preserve"> and location controlling for other characteristics</w:t>
      </w:r>
      <w:bookmarkEnd w:id="755"/>
      <w:bookmarkEnd w:id="756"/>
      <w:r w:rsidR="001F6CF5" w:rsidRPr="005911E2">
        <w:t>, October 2011</w:t>
      </w:r>
      <w:bookmarkEnd w:id="757"/>
      <w:bookmarkEnd w:id="758"/>
      <w:bookmarkEnd w:id="759"/>
    </w:p>
    <w:tbl>
      <w:tblPr>
        <w:tblW w:w="3225" w:type="pct"/>
        <w:tblInd w:w="1803" w:type="dxa"/>
        <w:tblLook w:val="0000" w:firstRow="0" w:lastRow="0" w:firstColumn="0" w:lastColumn="0" w:noHBand="0" w:noVBand="0"/>
      </w:tblPr>
      <w:tblGrid>
        <w:gridCol w:w="1984"/>
        <w:gridCol w:w="1275"/>
        <w:gridCol w:w="1133"/>
        <w:gridCol w:w="1474"/>
      </w:tblGrid>
      <w:tr w:rsidR="00903FCE" w:rsidRPr="008E5400" w:rsidTr="00B82B1F">
        <w:trPr>
          <w:trHeight w:val="290"/>
        </w:trPr>
        <w:tc>
          <w:tcPr>
            <w:tcW w:w="1691" w:type="pct"/>
            <w:vMerge w:val="restart"/>
            <w:tcBorders>
              <w:top w:val="single" w:sz="4" w:space="0" w:color="auto"/>
              <w:left w:val="nil"/>
              <w:right w:val="nil"/>
            </w:tcBorders>
          </w:tcPr>
          <w:p w:rsidR="00903FCE" w:rsidRPr="008E5400" w:rsidRDefault="00903FCE" w:rsidP="00903FCE">
            <w:pPr>
              <w:pStyle w:val="braytabletext"/>
              <w:rPr>
                <w:szCs w:val="16"/>
              </w:rPr>
            </w:pPr>
            <w:r w:rsidRPr="008E5400">
              <w:rPr>
                <w:szCs w:val="16"/>
              </w:rPr>
              <w:t>Whether person is Indigenous</w:t>
            </w:r>
          </w:p>
        </w:tc>
        <w:tc>
          <w:tcPr>
            <w:tcW w:w="1087" w:type="pct"/>
            <w:tcBorders>
              <w:top w:val="single" w:sz="4" w:space="0" w:color="auto"/>
              <w:left w:val="nil"/>
              <w:bottom w:val="nil"/>
              <w:right w:val="nil"/>
            </w:tcBorders>
          </w:tcPr>
          <w:p w:rsidR="00903FCE" w:rsidRPr="008E5400" w:rsidRDefault="00903FCE" w:rsidP="00903FCE">
            <w:pPr>
              <w:pStyle w:val="braytabletext"/>
              <w:rPr>
                <w:szCs w:val="16"/>
              </w:rPr>
            </w:pPr>
            <w:r w:rsidRPr="008E5400">
              <w:rPr>
                <w:szCs w:val="16"/>
              </w:rPr>
              <w:t>Location</w:t>
            </w:r>
          </w:p>
        </w:tc>
        <w:tc>
          <w:tcPr>
            <w:tcW w:w="2222" w:type="pct"/>
            <w:gridSpan w:val="2"/>
            <w:tcBorders>
              <w:top w:val="single" w:sz="4" w:space="0" w:color="auto"/>
              <w:left w:val="nil"/>
              <w:bottom w:val="single" w:sz="4" w:space="0" w:color="auto"/>
              <w:right w:val="nil"/>
            </w:tcBorders>
          </w:tcPr>
          <w:p w:rsidR="00903FCE" w:rsidRPr="008E5400" w:rsidRDefault="00903FCE" w:rsidP="00903FCE">
            <w:pPr>
              <w:pStyle w:val="braytabletext"/>
              <w:rPr>
                <w:szCs w:val="16"/>
              </w:rPr>
            </w:pPr>
            <w:r w:rsidRPr="008E5400">
              <w:rPr>
                <w:szCs w:val="16"/>
              </w:rPr>
              <w:t>Probability of :</w:t>
            </w:r>
          </w:p>
        </w:tc>
      </w:tr>
      <w:tr w:rsidR="00903FCE" w:rsidRPr="008E5400" w:rsidTr="00B82B1F">
        <w:trPr>
          <w:trHeight w:val="290"/>
        </w:trPr>
        <w:tc>
          <w:tcPr>
            <w:tcW w:w="1691" w:type="pct"/>
            <w:vMerge/>
            <w:tcBorders>
              <w:left w:val="nil"/>
              <w:bottom w:val="single" w:sz="4" w:space="0" w:color="auto"/>
              <w:right w:val="nil"/>
            </w:tcBorders>
          </w:tcPr>
          <w:p w:rsidR="00903FCE" w:rsidRPr="008E5400" w:rsidRDefault="00903FCE" w:rsidP="00903FCE">
            <w:pPr>
              <w:pStyle w:val="braytabletext"/>
              <w:rPr>
                <w:szCs w:val="16"/>
              </w:rPr>
            </w:pPr>
          </w:p>
        </w:tc>
        <w:tc>
          <w:tcPr>
            <w:tcW w:w="1087" w:type="pct"/>
            <w:tcBorders>
              <w:top w:val="nil"/>
              <w:left w:val="nil"/>
              <w:bottom w:val="single" w:sz="4" w:space="0" w:color="auto"/>
              <w:right w:val="nil"/>
            </w:tcBorders>
          </w:tcPr>
          <w:p w:rsidR="00903FCE" w:rsidRPr="008E5400" w:rsidRDefault="00903FCE" w:rsidP="00903FCE">
            <w:pPr>
              <w:pStyle w:val="braytabletext"/>
              <w:rPr>
                <w:szCs w:val="16"/>
              </w:rPr>
            </w:pPr>
          </w:p>
        </w:tc>
        <w:tc>
          <w:tcPr>
            <w:tcW w:w="966" w:type="pct"/>
            <w:tcBorders>
              <w:top w:val="single" w:sz="4" w:space="0" w:color="auto"/>
              <w:left w:val="nil"/>
              <w:bottom w:val="single" w:sz="4" w:space="0" w:color="auto"/>
              <w:right w:val="nil"/>
            </w:tcBorders>
          </w:tcPr>
          <w:p w:rsidR="00903FCE" w:rsidRPr="008E5400" w:rsidRDefault="00903FCE" w:rsidP="00783DF8">
            <w:pPr>
              <w:pStyle w:val="braytabletext"/>
              <w:jc w:val="right"/>
              <w:rPr>
                <w:szCs w:val="16"/>
              </w:rPr>
            </w:pPr>
            <w:r w:rsidRPr="008E5400">
              <w:rPr>
                <w:szCs w:val="16"/>
              </w:rPr>
              <w:t>Making application</w:t>
            </w:r>
          </w:p>
        </w:tc>
        <w:tc>
          <w:tcPr>
            <w:tcW w:w="1255" w:type="pct"/>
            <w:tcBorders>
              <w:top w:val="single" w:sz="4" w:space="0" w:color="auto"/>
              <w:left w:val="nil"/>
              <w:bottom w:val="single" w:sz="4" w:space="0" w:color="auto"/>
              <w:right w:val="nil"/>
            </w:tcBorders>
          </w:tcPr>
          <w:p w:rsidR="00903FCE" w:rsidRPr="008E5400" w:rsidRDefault="00903FCE" w:rsidP="00783DF8">
            <w:pPr>
              <w:pStyle w:val="braytabletext"/>
              <w:jc w:val="right"/>
              <w:rPr>
                <w:szCs w:val="16"/>
              </w:rPr>
            </w:pPr>
            <w:r w:rsidRPr="008E5400">
              <w:rPr>
                <w:szCs w:val="16"/>
              </w:rPr>
              <w:t>Application successful</w:t>
            </w:r>
          </w:p>
        </w:tc>
      </w:tr>
      <w:tr w:rsidR="001F6CF5" w:rsidRPr="008E5400" w:rsidTr="00B82B1F">
        <w:trPr>
          <w:trHeight w:val="290"/>
        </w:trPr>
        <w:tc>
          <w:tcPr>
            <w:tcW w:w="1691" w:type="pct"/>
            <w:tcBorders>
              <w:top w:val="single" w:sz="4" w:space="0" w:color="auto"/>
              <w:left w:val="nil"/>
              <w:bottom w:val="nil"/>
              <w:right w:val="nil"/>
            </w:tcBorders>
          </w:tcPr>
          <w:p w:rsidR="001F6CF5" w:rsidRPr="008E5400" w:rsidRDefault="001F6CF5" w:rsidP="00903FCE">
            <w:pPr>
              <w:pStyle w:val="braytabletext"/>
              <w:rPr>
                <w:szCs w:val="16"/>
              </w:rPr>
            </w:pPr>
          </w:p>
        </w:tc>
        <w:tc>
          <w:tcPr>
            <w:tcW w:w="1087" w:type="pct"/>
            <w:tcBorders>
              <w:top w:val="single" w:sz="4" w:space="0" w:color="auto"/>
              <w:left w:val="nil"/>
              <w:bottom w:val="nil"/>
              <w:right w:val="nil"/>
            </w:tcBorders>
          </w:tcPr>
          <w:p w:rsidR="001F6CF5" w:rsidRPr="008E5400" w:rsidRDefault="001F6CF5" w:rsidP="00903FCE">
            <w:pPr>
              <w:pStyle w:val="braytabletext"/>
              <w:rPr>
                <w:szCs w:val="16"/>
              </w:rPr>
            </w:pPr>
          </w:p>
        </w:tc>
        <w:tc>
          <w:tcPr>
            <w:tcW w:w="2222" w:type="pct"/>
            <w:gridSpan w:val="2"/>
            <w:tcBorders>
              <w:top w:val="single" w:sz="4" w:space="0" w:color="auto"/>
              <w:left w:val="nil"/>
              <w:bottom w:val="nil"/>
              <w:right w:val="nil"/>
            </w:tcBorders>
          </w:tcPr>
          <w:p w:rsidR="001F6CF5" w:rsidRPr="008E5400" w:rsidRDefault="001F6CF5" w:rsidP="001F6CF5">
            <w:pPr>
              <w:pStyle w:val="braytabletext"/>
              <w:jc w:val="center"/>
              <w:rPr>
                <w:szCs w:val="16"/>
              </w:rPr>
            </w:pPr>
            <w:r w:rsidRPr="008E5400">
              <w:rPr>
                <w:szCs w:val="16"/>
              </w:rPr>
              <w:t>-</w:t>
            </w:r>
            <w:r w:rsidR="006435C8">
              <w:rPr>
                <w:szCs w:val="16"/>
              </w:rPr>
              <w:t xml:space="preserve"> </w:t>
            </w:r>
            <w:r w:rsidRPr="008E5400">
              <w:rPr>
                <w:szCs w:val="16"/>
              </w:rPr>
              <w:t>%</w:t>
            </w:r>
            <w:r w:rsidR="006435C8">
              <w:rPr>
                <w:szCs w:val="16"/>
              </w:rPr>
              <w:t xml:space="preserve"> </w:t>
            </w:r>
            <w:r w:rsidRPr="008E5400">
              <w:rPr>
                <w:szCs w:val="16"/>
              </w:rPr>
              <w:t>-</w:t>
            </w:r>
          </w:p>
        </w:tc>
      </w:tr>
      <w:tr w:rsidR="00903FCE" w:rsidRPr="008E5400" w:rsidTr="00B82B1F">
        <w:trPr>
          <w:trHeight w:val="290"/>
        </w:trPr>
        <w:tc>
          <w:tcPr>
            <w:tcW w:w="1691" w:type="pct"/>
            <w:tcBorders>
              <w:top w:val="nil"/>
              <w:left w:val="nil"/>
              <w:bottom w:val="nil"/>
              <w:right w:val="nil"/>
            </w:tcBorders>
          </w:tcPr>
          <w:p w:rsidR="00903FCE" w:rsidRPr="008E5400" w:rsidRDefault="00903FCE" w:rsidP="00903FCE">
            <w:pPr>
              <w:pStyle w:val="braytabletext"/>
              <w:rPr>
                <w:szCs w:val="16"/>
              </w:rPr>
            </w:pPr>
            <w:r w:rsidRPr="008E5400">
              <w:rPr>
                <w:szCs w:val="16"/>
              </w:rPr>
              <w:t>Non-Indigenous</w:t>
            </w:r>
          </w:p>
        </w:tc>
        <w:tc>
          <w:tcPr>
            <w:tcW w:w="1087" w:type="pct"/>
            <w:tcBorders>
              <w:top w:val="nil"/>
              <w:left w:val="nil"/>
              <w:bottom w:val="nil"/>
              <w:right w:val="nil"/>
            </w:tcBorders>
          </w:tcPr>
          <w:p w:rsidR="00903FCE" w:rsidRPr="008E5400" w:rsidRDefault="00903FCE" w:rsidP="00903FCE">
            <w:pPr>
              <w:pStyle w:val="braytabletext"/>
              <w:rPr>
                <w:szCs w:val="16"/>
              </w:rPr>
            </w:pPr>
            <w:r w:rsidRPr="008E5400">
              <w:rPr>
                <w:szCs w:val="16"/>
              </w:rPr>
              <w:t>Non NTER</w:t>
            </w:r>
          </w:p>
        </w:tc>
        <w:tc>
          <w:tcPr>
            <w:tcW w:w="966" w:type="pct"/>
            <w:tcBorders>
              <w:top w:val="nil"/>
              <w:left w:val="nil"/>
              <w:bottom w:val="nil"/>
              <w:right w:val="nil"/>
            </w:tcBorders>
          </w:tcPr>
          <w:p w:rsidR="00903FCE" w:rsidRPr="008E5400" w:rsidRDefault="00903FCE" w:rsidP="007C3AC5">
            <w:pPr>
              <w:pStyle w:val="braytabletext"/>
              <w:jc w:val="right"/>
              <w:rPr>
                <w:szCs w:val="16"/>
              </w:rPr>
            </w:pPr>
            <w:r w:rsidRPr="008E5400">
              <w:rPr>
                <w:szCs w:val="16"/>
              </w:rPr>
              <w:t>76.</w:t>
            </w:r>
            <w:r w:rsidR="007C3AC5" w:rsidRPr="008E5400">
              <w:rPr>
                <w:szCs w:val="16"/>
              </w:rPr>
              <w:t>4</w:t>
            </w:r>
          </w:p>
        </w:tc>
        <w:tc>
          <w:tcPr>
            <w:tcW w:w="1255" w:type="pct"/>
            <w:tcBorders>
              <w:top w:val="nil"/>
              <w:left w:val="nil"/>
              <w:bottom w:val="nil"/>
              <w:right w:val="nil"/>
            </w:tcBorders>
          </w:tcPr>
          <w:p w:rsidR="00903FCE" w:rsidRPr="008E5400" w:rsidRDefault="00903FCE" w:rsidP="007C3AC5">
            <w:pPr>
              <w:pStyle w:val="braytabletext"/>
              <w:jc w:val="right"/>
              <w:rPr>
                <w:szCs w:val="16"/>
              </w:rPr>
            </w:pPr>
            <w:r w:rsidRPr="008E5400">
              <w:rPr>
                <w:szCs w:val="16"/>
              </w:rPr>
              <w:t>75.</w:t>
            </w:r>
            <w:r w:rsidR="007C3AC5" w:rsidRPr="008E5400">
              <w:rPr>
                <w:szCs w:val="16"/>
              </w:rPr>
              <w:t>5</w:t>
            </w:r>
          </w:p>
        </w:tc>
      </w:tr>
      <w:tr w:rsidR="00903FCE" w:rsidRPr="008E5400" w:rsidTr="00B82B1F">
        <w:trPr>
          <w:trHeight w:val="290"/>
        </w:trPr>
        <w:tc>
          <w:tcPr>
            <w:tcW w:w="1691" w:type="pct"/>
            <w:tcBorders>
              <w:top w:val="nil"/>
              <w:left w:val="nil"/>
              <w:bottom w:val="nil"/>
              <w:right w:val="nil"/>
            </w:tcBorders>
          </w:tcPr>
          <w:p w:rsidR="00903FCE" w:rsidRPr="008E5400" w:rsidRDefault="00903FCE" w:rsidP="00903FCE">
            <w:pPr>
              <w:pStyle w:val="braytabletext"/>
              <w:rPr>
                <w:szCs w:val="16"/>
              </w:rPr>
            </w:pPr>
            <w:r w:rsidRPr="008E5400">
              <w:rPr>
                <w:szCs w:val="16"/>
              </w:rPr>
              <w:t>Non-Indigenous</w:t>
            </w:r>
          </w:p>
        </w:tc>
        <w:tc>
          <w:tcPr>
            <w:tcW w:w="1087" w:type="pct"/>
            <w:tcBorders>
              <w:top w:val="nil"/>
              <w:left w:val="nil"/>
              <w:bottom w:val="nil"/>
              <w:right w:val="nil"/>
            </w:tcBorders>
          </w:tcPr>
          <w:p w:rsidR="00903FCE" w:rsidRPr="008E5400" w:rsidRDefault="00903FCE" w:rsidP="00903FCE">
            <w:pPr>
              <w:pStyle w:val="braytabletext"/>
              <w:rPr>
                <w:szCs w:val="16"/>
              </w:rPr>
            </w:pPr>
            <w:r w:rsidRPr="008E5400">
              <w:rPr>
                <w:szCs w:val="16"/>
              </w:rPr>
              <w:t>NTER</w:t>
            </w:r>
          </w:p>
        </w:tc>
        <w:tc>
          <w:tcPr>
            <w:tcW w:w="966" w:type="pct"/>
            <w:tcBorders>
              <w:top w:val="nil"/>
              <w:left w:val="nil"/>
              <w:bottom w:val="nil"/>
              <w:right w:val="nil"/>
            </w:tcBorders>
          </w:tcPr>
          <w:p w:rsidR="00903FCE" w:rsidRPr="008E5400" w:rsidRDefault="00903FCE" w:rsidP="007C3AC5">
            <w:pPr>
              <w:pStyle w:val="braytabletext"/>
              <w:jc w:val="right"/>
              <w:rPr>
                <w:szCs w:val="16"/>
              </w:rPr>
            </w:pPr>
            <w:r w:rsidRPr="008E5400">
              <w:rPr>
                <w:szCs w:val="16"/>
              </w:rPr>
              <w:t>33.</w:t>
            </w:r>
            <w:r w:rsidR="007C3AC5" w:rsidRPr="008E5400">
              <w:rPr>
                <w:szCs w:val="16"/>
              </w:rPr>
              <w:t>6</w:t>
            </w:r>
          </w:p>
        </w:tc>
        <w:tc>
          <w:tcPr>
            <w:tcW w:w="1255" w:type="pct"/>
            <w:tcBorders>
              <w:top w:val="nil"/>
              <w:left w:val="nil"/>
              <w:bottom w:val="nil"/>
              <w:right w:val="nil"/>
            </w:tcBorders>
          </w:tcPr>
          <w:p w:rsidR="00903FCE" w:rsidRPr="008E5400" w:rsidRDefault="007C3AC5" w:rsidP="00903FCE">
            <w:pPr>
              <w:pStyle w:val="braytabletext"/>
              <w:jc w:val="right"/>
              <w:rPr>
                <w:szCs w:val="16"/>
              </w:rPr>
            </w:pPr>
            <w:r w:rsidRPr="008E5400">
              <w:rPr>
                <w:szCs w:val="16"/>
              </w:rPr>
              <w:t>83.0</w:t>
            </w:r>
          </w:p>
        </w:tc>
      </w:tr>
      <w:tr w:rsidR="00903FCE" w:rsidRPr="008E5400" w:rsidTr="00B82B1F">
        <w:trPr>
          <w:trHeight w:val="290"/>
        </w:trPr>
        <w:tc>
          <w:tcPr>
            <w:tcW w:w="1691" w:type="pct"/>
            <w:tcBorders>
              <w:top w:val="nil"/>
              <w:left w:val="nil"/>
              <w:right w:val="nil"/>
            </w:tcBorders>
          </w:tcPr>
          <w:p w:rsidR="00903FCE" w:rsidRPr="008E5400" w:rsidRDefault="00903FCE" w:rsidP="00903FCE">
            <w:pPr>
              <w:pStyle w:val="braytabletext"/>
              <w:rPr>
                <w:szCs w:val="16"/>
              </w:rPr>
            </w:pPr>
            <w:r w:rsidRPr="008E5400">
              <w:rPr>
                <w:szCs w:val="16"/>
              </w:rPr>
              <w:t>Indigenous</w:t>
            </w:r>
          </w:p>
        </w:tc>
        <w:tc>
          <w:tcPr>
            <w:tcW w:w="1087" w:type="pct"/>
            <w:tcBorders>
              <w:top w:val="nil"/>
              <w:left w:val="nil"/>
              <w:right w:val="nil"/>
            </w:tcBorders>
          </w:tcPr>
          <w:p w:rsidR="00903FCE" w:rsidRPr="008E5400" w:rsidRDefault="00903FCE" w:rsidP="00903FCE">
            <w:pPr>
              <w:pStyle w:val="braytabletext"/>
              <w:rPr>
                <w:szCs w:val="16"/>
              </w:rPr>
            </w:pPr>
            <w:r w:rsidRPr="008E5400">
              <w:rPr>
                <w:szCs w:val="16"/>
              </w:rPr>
              <w:t>Non NTER</w:t>
            </w:r>
          </w:p>
        </w:tc>
        <w:tc>
          <w:tcPr>
            <w:tcW w:w="966" w:type="pct"/>
            <w:tcBorders>
              <w:top w:val="nil"/>
              <w:left w:val="nil"/>
              <w:right w:val="nil"/>
            </w:tcBorders>
          </w:tcPr>
          <w:p w:rsidR="00903FCE" w:rsidRPr="008E5400" w:rsidRDefault="00903FCE" w:rsidP="007C3AC5">
            <w:pPr>
              <w:pStyle w:val="braytabletext"/>
              <w:jc w:val="right"/>
              <w:rPr>
                <w:szCs w:val="16"/>
              </w:rPr>
            </w:pPr>
            <w:r w:rsidRPr="008E5400">
              <w:rPr>
                <w:szCs w:val="16"/>
              </w:rPr>
              <w:t>42.</w:t>
            </w:r>
            <w:r w:rsidR="007C3AC5" w:rsidRPr="008E5400">
              <w:rPr>
                <w:szCs w:val="16"/>
              </w:rPr>
              <w:t>3</w:t>
            </w:r>
          </w:p>
        </w:tc>
        <w:tc>
          <w:tcPr>
            <w:tcW w:w="1255" w:type="pct"/>
            <w:tcBorders>
              <w:top w:val="nil"/>
              <w:left w:val="nil"/>
              <w:right w:val="nil"/>
            </w:tcBorders>
          </w:tcPr>
          <w:p w:rsidR="00903FCE" w:rsidRPr="008E5400" w:rsidRDefault="00903FCE" w:rsidP="007C3AC5">
            <w:pPr>
              <w:pStyle w:val="braytabletext"/>
              <w:jc w:val="right"/>
              <w:rPr>
                <w:szCs w:val="16"/>
              </w:rPr>
            </w:pPr>
            <w:r w:rsidRPr="008E5400">
              <w:rPr>
                <w:szCs w:val="16"/>
              </w:rPr>
              <w:t>51.</w:t>
            </w:r>
            <w:r w:rsidR="007C3AC5" w:rsidRPr="008E5400">
              <w:rPr>
                <w:szCs w:val="16"/>
              </w:rPr>
              <w:t>8</w:t>
            </w:r>
          </w:p>
        </w:tc>
      </w:tr>
      <w:tr w:rsidR="00903FCE" w:rsidRPr="008E5400" w:rsidTr="00B82B1F">
        <w:trPr>
          <w:trHeight w:val="290"/>
        </w:trPr>
        <w:tc>
          <w:tcPr>
            <w:tcW w:w="1691" w:type="pct"/>
            <w:tcBorders>
              <w:top w:val="nil"/>
              <w:left w:val="nil"/>
              <w:bottom w:val="single" w:sz="4" w:space="0" w:color="auto"/>
              <w:right w:val="nil"/>
            </w:tcBorders>
          </w:tcPr>
          <w:p w:rsidR="00903FCE" w:rsidRPr="008E5400" w:rsidRDefault="00903FCE" w:rsidP="00903FCE">
            <w:pPr>
              <w:pStyle w:val="braytabletext"/>
              <w:rPr>
                <w:szCs w:val="16"/>
              </w:rPr>
            </w:pPr>
            <w:r w:rsidRPr="008E5400">
              <w:rPr>
                <w:szCs w:val="16"/>
              </w:rPr>
              <w:t>Indigenous</w:t>
            </w:r>
          </w:p>
        </w:tc>
        <w:tc>
          <w:tcPr>
            <w:tcW w:w="1087" w:type="pct"/>
            <w:tcBorders>
              <w:top w:val="nil"/>
              <w:left w:val="nil"/>
              <w:bottom w:val="single" w:sz="4" w:space="0" w:color="auto"/>
              <w:right w:val="nil"/>
            </w:tcBorders>
          </w:tcPr>
          <w:p w:rsidR="00903FCE" w:rsidRPr="008E5400" w:rsidRDefault="00903FCE" w:rsidP="00903FCE">
            <w:pPr>
              <w:pStyle w:val="braytabletext"/>
              <w:rPr>
                <w:szCs w:val="16"/>
              </w:rPr>
            </w:pPr>
            <w:r w:rsidRPr="008E5400">
              <w:rPr>
                <w:szCs w:val="16"/>
              </w:rPr>
              <w:t>NTER</w:t>
            </w:r>
          </w:p>
        </w:tc>
        <w:tc>
          <w:tcPr>
            <w:tcW w:w="966" w:type="pct"/>
            <w:tcBorders>
              <w:top w:val="nil"/>
              <w:left w:val="nil"/>
              <w:bottom w:val="single" w:sz="4" w:space="0" w:color="auto"/>
              <w:right w:val="nil"/>
            </w:tcBorders>
          </w:tcPr>
          <w:p w:rsidR="00903FCE" w:rsidRPr="008E5400" w:rsidRDefault="00903FCE" w:rsidP="007C3AC5">
            <w:pPr>
              <w:pStyle w:val="braytabletext"/>
              <w:jc w:val="right"/>
              <w:rPr>
                <w:szCs w:val="16"/>
              </w:rPr>
            </w:pPr>
            <w:r w:rsidRPr="008E5400">
              <w:rPr>
                <w:szCs w:val="16"/>
              </w:rPr>
              <w:t>21.</w:t>
            </w:r>
            <w:r w:rsidR="007C3AC5" w:rsidRPr="008E5400">
              <w:rPr>
                <w:szCs w:val="16"/>
              </w:rPr>
              <w:t>9</w:t>
            </w:r>
          </w:p>
        </w:tc>
        <w:tc>
          <w:tcPr>
            <w:tcW w:w="1255" w:type="pct"/>
            <w:tcBorders>
              <w:top w:val="nil"/>
              <w:left w:val="nil"/>
              <w:bottom w:val="single" w:sz="4" w:space="0" w:color="auto"/>
              <w:right w:val="nil"/>
            </w:tcBorders>
          </w:tcPr>
          <w:p w:rsidR="00903FCE" w:rsidRPr="008E5400" w:rsidRDefault="00903FCE" w:rsidP="007C3AC5">
            <w:pPr>
              <w:pStyle w:val="braytabletext"/>
              <w:jc w:val="right"/>
              <w:rPr>
                <w:szCs w:val="16"/>
              </w:rPr>
            </w:pPr>
            <w:r w:rsidRPr="008E5400">
              <w:rPr>
                <w:szCs w:val="16"/>
              </w:rPr>
              <w:t>28.</w:t>
            </w:r>
            <w:r w:rsidR="007C3AC5" w:rsidRPr="008E5400">
              <w:rPr>
                <w:szCs w:val="16"/>
              </w:rPr>
              <w:t>7</w:t>
            </w:r>
          </w:p>
        </w:tc>
      </w:tr>
    </w:tbl>
    <w:p w:rsidR="00E81107" w:rsidRDefault="00910F65" w:rsidP="00CF78DB">
      <w:pPr>
        <w:pStyle w:val="tablefootnotes"/>
      </w:pPr>
      <w:r>
        <w:t>Note:</w:t>
      </w:r>
      <w:r>
        <w:tab/>
      </w:r>
      <w:r w:rsidR="007052E7">
        <w:t xml:space="preserve">NTER </w:t>
      </w:r>
      <w:r>
        <w:t xml:space="preserve">Location is a location prescribed under </w:t>
      </w:r>
      <w:r w:rsidR="00614538">
        <w:t xml:space="preserve">the </w:t>
      </w:r>
      <w:r w:rsidR="00EF6C17">
        <w:t>NTER</w:t>
      </w:r>
      <w:r w:rsidR="008E5400">
        <w:t>.</w:t>
      </w:r>
    </w:p>
    <w:p w:rsidR="008861DE" w:rsidRPr="005911E2" w:rsidRDefault="008861DE" w:rsidP="00CF78DB">
      <w:pPr>
        <w:pStyle w:val="tablefootnotes"/>
      </w:pPr>
      <w:r w:rsidRPr="005911E2">
        <w:t xml:space="preserve">Source: </w:t>
      </w:r>
      <w:r w:rsidR="00177518" w:rsidRPr="005911E2">
        <w:tab/>
      </w:r>
      <w:r w:rsidRPr="005911E2">
        <w:t xml:space="preserve">Derived marginal effects of interaction terms from probit regression using Centrelink </w:t>
      </w:r>
      <w:r w:rsidR="00F878E4">
        <w:t>income management</w:t>
      </w:r>
      <w:r w:rsidRPr="005911E2">
        <w:t xml:space="preserve"> &amp; IS/FTB datasets</w:t>
      </w:r>
      <w:r w:rsidR="008E5400">
        <w:t>.</w:t>
      </w:r>
    </w:p>
    <w:p w:rsidR="008861DE" w:rsidRPr="005911E2" w:rsidRDefault="008861DE" w:rsidP="008E5400">
      <w:pPr>
        <w:pStyle w:val="tablefootnoteslastline"/>
      </w:pPr>
    </w:p>
    <w:p w:rsidR="008861DE" w:rsidRPr="005911E2" w:rsidRDefault="008861DE" w:rsidP="00177518">
      <w:r w:rsidRPr="005911E2">
        <w:t>That is, taking account of all of the other factors identified above</w:t>
      </w:r>
      <w:r w:rsidR="007052E7">
        <w:t>,</w:t>
      </w:r>
      <w:r w:rsidRPr="005911E2">
        <w:t xml:space="preserve"> an Indigenous person with children in a location which had been prescribed under the NTER had a </w:t>
      </w:r>
      <w:r w:rsidR="00FC7206" w:rsidRPr="005911E2">
        <w:t>21.</w:t>
      </w:r>
      <w:r w:rsidR="007C3AC5" w:rsidRPr="005911E2">
        <w:t>9</w:t>
      </w:r>
      <w:r w:rsidRPr="005911E2">
        <w:t xml:space="preserve"> per cent probability of making an application </w:t>
      </w:r>
      <w:r w:rsidR="007052E7">
        <w:t>for an exemption from NIM and</w:t>
      </w:r>
      <w:r w:rsidRPr="005911E2">
        <w:t xml:space="preserve"> a success rate of 2</w:t>
      </w:r>
      <w:r w:rsidR="00FC7206" w:rsidRPr="005911E2">
        <w:t>8</w:t>
      </w:r>
      <w:r w:rsidRPr="005911E2">
        <w:t>.</w:t>
      </w:r>
      <w:r w:rsidR="00B81D60" w:rsidRPr="005911E2">
        <w:t>7</w:t>
      </w:r>
      <w:r w:rsidR="00B81D60">
        <w:t> </w:t>
      </w:r>
      <w:r w:rsidRPr="005911E2">
        <w:t>per cent. A non-Indigenous person</w:t>
      </w:r>
      <w:r w:rsidR="00CE66C0">
        <w:t>,</w:t>
      </w:r>
      <w:r w:rsidRPr="005911E2">
        <w:t xml:space="preserve"> </w:t>
      </w:r>
      <w:r w:rsidR="00CE66C0">
        <w:t xml:space="preserve">with children, </w:t>
      </w:r>
      <w:r w:rsidRPr="005911E2">
        <w:t>in a non-NTER location</w:t>
      </w:r>
      <w:r w:rsidR="00CE66C0">
        <w:t>,</w:t>
      </w:r>
      <w:r w:rsidRPr="005911E2">
        <w:t xml:space="preserve"> ha</w:t>
      </w:r>
      <w:r w:rsidR="007052E7">
        <w:t>d</w:t>
      </w:r>
      <w:r w:rsidRPr="005911E2">
        <w:t xml:space="preserve"> a </w:t>
      </w:r>
      <w:r w:rsidR="00FC7206" w:rsidRPr="005911E2">
        <w:t>76.</w:t>
      </w:r>
      <w:r w:rsidR="007C3AC5" w:rsidRPr="005911E2">
        <w:t>4</w:t>
      </w:r>
      <w:r w:rsidRPr="005911E2">
        <w:t xml:space="preserve"> per cent probability of making an application </w:t>
      </w:r>
      <w:r w:rsidR="007052E7">
        <w:t xml:space="preserve">and </w:t>
      </w:r>
      <w:r w:rsidRPr="005911E2">
        <w:t>a 75.</w:t>
      </w:r>
      <w:r w:rsidR="007C3AC5" w:rsidRPr="005911E2">
        <w:t>5</w:t>
      </w:r>
      <w:r w:rsidRPr="005911E2">
        <w:t xml:space="preserve"> per cent </w:t>
      </w:r>
      <w:r w:rsidR="00CE66C0">
        <w:t xml:space="preserve">rate of </w:t>
      </w:r>
      <w:r w:rsidRPr="005911E2">
        <w:t>success.</w:t>
      </w:r>
    </w:p>
    <w:p w:rsidR="008861DE" w:rsidRPr="005911E2" w:rsidRDefault="008861DE" w:rsidP="00177518">
      <w:r w:rsidRPr="005911E2">
        <w:t>As noted earlier</w:t>
      </w:r>
      <w:r w:rsidR="00CE66C0">
        <w:t>,</w:t>
      </w:r>
      <w:r w:rsidRPr="005911E2">
        <w:t xml:space="preserve"> these </w:t>
      </w:r>
      <w:r w:rsidR="00910F65">
        <w:t>estimates</w:t>
      </w:r>
      <w:r w:rsidR="00910F65" w:rsidRPr="005911E2">
        <w:t xml:space="preserve"> </w:t>
      </w:r>
      <w:r w:rsidRPr="005911E2">
        <w:t xml:space="preserve">only apply to people with children. There were too few applications or exemptions </w:t>
      </w:r>
      <w:r w:rsidR="00CE66C0">
        <w:t xml:space="preserve">approved </w:t>
      </w:r>
      <w:r w:rsidRPr="005911E2">
        <w:t>to allow the rates for those without children to be calculated.</w:t>
      </w:r>
    </w:p>
    <w:p w:rsidR="008861DE" w:rsidRPr="005911E2" w:rsidRDefault="008861DE" w:rsidP="00616B0F">
      <w:pPr>
        <w:pStyle w:val="Heading2"/>
      </w:pPr>
      <w:bookmarkStart w:id="760" w:name="_Toc321225144"/>
      <w:bookmarkStart w:id="761" w:name="_Toc321254487"/>
      <w:bookmarkStart w:id="762" w:name="_Toc328601512"/>
      <w:bookmarkStart w:id="763" w:name="_Toc329870393"/>
      <w:bookmarkStart w:id="764" w:name="_Toc335915779"/>
      <w:r w:rsidRPr="005911E2">
        <w:t xml:space="preserve">Reviews and </w:t>
      </w:r>
      <w:r w:rsidR="00F86AB1">
        <w:t>a</w:t>
      </w:r>
      <w:r w:rsidRPr="005911E2">
        <w:t>ppeals</w:t>
      </w:r>
      <w:bookmarkEnd w:id="760"/>
      <w:bookmarkEnd w:id="761"/>
      <w:bookmarkEnd w:id="762"/>
      <w:bookmarkEnd w:id="763"/>
      <w:bookmarkEnd w:id="764"/>
    </w:p>
    <w:p w:rsidR="008861DE" w:rsidRPr="005911E2" w:rsidRDefault="008861DE" w:rsidP="00177518">
      <w:r w:rsidRPr="005911E2">
        <w:t xml:space="preserve">As indicated in the introduction to this chapter individuals have a right of appeal against </w:t>
      </w:r>
      <w:r w:rsidR="00910F65">
        <w:t>a range of decisions taken by Centrelink with regard to the administration of income management, including the right to appeal against the rejection of applications for exemptions</w:t>
      </w:r>
      <w:r w:rsidRPr="005911E2">
        <w:t>.</w:t>
      </w:r>
    </w:p>
    <w:p w:rsidR="008861DE" w:rsidRPr="005911E2" w:rsidRDefault="008861DE" w:rsidP="00177518">
      <w:r w:rsidRPr="005911E2">
        <w:t xml:space="preserve">Only limited data </w:t>
      </w:r>
      <w:r w:rsidR="00B81D60">
        <w:t>is</w:t>
      </w:r>
      <w:r w:rsidR="00B81D60" w:rsidRPr="005911E2">
        <w:t xml:space="preserve"> </w:t>
      </w:r>
      <w:r w:rsidRPr="005911E2">
        <w:t xml:space="preserve">available on </w:t>
      </w:r>
      <w:r w:rsidR="00CE66C0">
        <w:t xml:space="preserve">appeals </w:t>
      </w:r>
      <w:r w:rsidRPr="005911E2">
        <w:t xml:space="preserve">at this time. </w:t>
      </w:r>
      <w:r w:rsidR="00CE66C0">
        <w:t>N</w:t>
      </w:r>
      <w:r w:rsidRPr="005911E2">
        <w:t>o data has been provided to the evaluation team on the characteristics of those who have made appeals</w:t>
      </w:r>
      <w:r w:rsidR="007E026C" w:rsidRPr="005911E2">
        <w:t xml:space="preserve">, nor the specific aspect of </w:t>
      </w:r>
      <w:r w:rsidR="00F878E4">
        <w:t>income management</w:t>
      </w:r>
      <w:r w:rsidR="007E026C" w:rsidRPr="005911E2">
        <w:t xml:space="preserve"> that is being appealed against</w:t>
      </w:r>
      <w:r w:rsidR="00CE66C0">
        <w:t>.</w:t>
      </w:r>
      <w:r w:rsidR="007E026C" w:rsidRPr="005911E2">
        <w:rPr>
          <w:rStyle w:val="FootnoteReference"/>
        </w:rPr>
        <w:footnoteReference w:id="87"/>
      </w:r>
    </w:p>
    <w:p w:rsidR="008861DE" w:rsidRPr="005911E2" w:rsidRDefault="008861DE" w:rsidP="00CF518E">
      <w:pPr>
        <w:keepNext/>
      </w:pPr>
      <w:r w:rsidRPr="005911E2">
        <w:t xml:space="preserve">As at 30 December 2011 </w:t>
      </w:r>
      <w:r w:rsidR="00CE66C0">
        <w:t xml:space="preserve">data </w:t>
      </w:r>
      <w:r w:rsidRPr="005911E2">
        <w:t>indicates:</w:t>
      </w:r>
    </w:p>
    <w:p w:rsidR="008861DE" w:rsidRPr="005911E2" w:rsidRDefault="008861DE" w:rsidP="00051CDC">
      <w:pPr>
        <w:pStyle w:val="ListBullet"/>
      </w:pPr>
      <w:r w:rsidRPr="005911E2">
        <w:t xml:space="preserve">There were 205 requests for review by the Centrelink </w:t>
      </w:r>
      <w:r w:rsidR="00CE66C0">
        <w:t>o</w:t>
      </w:r>
      <w:r w:rsidRPr="005911E2">
        <w:t xml:space="preserve">riginal </w:t>
      </w:r>
      <w:r w:rsidR="00CE66C0">
        <w:t>d</w:t>
      </w:r>
      <w:r w:rsidRPr="005911E2">
        <w:t xml:space="preserve">ecision </w:t>
      </w:r>
      <w:r w:rsidR="00CE66C0">
        <w:t>m</w:t>
      </w:r>
      <w:r w:rsidRPr="005911E2">
        <w:t>aker. Of these</w:t>
      </w:r>
      <w:r w:rsidR="00CE66C0">
        <w:t>,</w:t>
      </w:r>
      <w:r w:rsidRPr="005911E2">
        <w:t xml:space="preserve"> 154 saw the original decision affirmed, 28 were set aside, 17 were withdrawn by the applicant</w:t>
      </w:r>
      <w:r w:rsidR="00CE66C0">
        <w:t>,</w:t>
      </w:r>
      <w:r w:rsidRPr="005911E2">
        <w:t xml:space="preserve"> and </w:t>
      </w:r>
      <w:r w:rsidR="00CE66C0">
        <w:t>six</w:t>
      </w:r>
      <w:r w:rsidRPr="005911E2">
        <w:t xml:space="preserve"> of the original decisions were varied.</w:t>
      </w:r>
    </w:p>
    <w:p w:rsidR="008861DE" w:rsidRPr="005911E2" w:rsidRDefault="008861DE" w:rsidP="00051CDC">
      <w:pPr>
        <w:pStyle w:val="ListBullet"/>
      </w:pPr>
      <w:r w:rsidRPr="005911E2">
        <w:t xml:space="preserve">150 requests </w:t>
      </w:r>
      <w:r w:rsidR="00CE66C0">
        <w:t xml:space="preserve">were made to have a decision </w:t>
      </w:r>
      <w:r w:rsidRPr="005911E2">
        <w:t>review</w:t>
      </w:r>
      <w:r w:rsidR="00CE66C0">
        <w:t>ed</w:t>
      </w:r>
      <w:r w:rsidRPr="005911E2">
        <w:t xml:space="preserve"> by an Authorised Review Officer. Of these</w:t>
      </w:r>
      <w:r w:rsidR="00CE66C0">
        <w:t>,</w:t>
      </w:r>
      <w:r w:rsidRPr="005911E2">
        <w:t xml:space="preserve"> 124 were affirmed, </w:t>
      </w:r>
      <w:r w:rsidR="00CE66C0">
        <w:t>ten</w:t>
      </w:r>
      <w:r w:rsidRPr="005911E2">
        <w:t xml:space="preserve"> were set aside</w:t>
      </w:r>
      <w:r w:rsidR="00CE66C0">
        <w:t>,</w:t>
      </w:r>
      <w:r w:rsidRPr="005911E2">
        <w:t xml:space="preserve"> and 16 </w:t>
      </w:r>
      <w:r w:rsidR="00CE66C0">
        <w:t xml:space="preserve">were </w:t>
      </w:r>
      <w:r w:rsidRPr="005911E2">
        <w:t>withdrawn by the applicant</w:t>
      </w:r>
      <w:r w:rsidR="00CE66C0">
        <w:t>.</w:t>
      </w:r>
    </w:p>
    <w:p w:rsidR="008861DE" w:rsidRPr="005911E2" w:rsidRDefault="00CE66C0" w:rsidP="00051CDC">
      <w:pPr>
        <w:pStyle w:val="ListBullet"/>
      </w:pPr>
      <w:r>
        <w:t>Ten</w:t>
      </w:r>
      <w:r w:rsidR="008861DE" w:rsidRPr="005911E2">
        <w:t xml:space="preserve"> appeals were lodged with the Social Security Appeals Tribunal. In eight cases the original decision was affirmed while in </w:t>
      </w:r>
      <w:r>
        <w:t>two cases</w:t>
      </w:r>
      <w:r w:rsidR="008861DE" w:rsidRPr="005911E2">
        <w:t xml:space="preserve"> the </w:t>
      </w:r>
      <w:r>
        <w:t xml:space="preserve">Tribunal </w:t>
      </w:r>
      <w:r w:rsidR="008861DE" w:rsidRPr="005911E2">
        <w:t>determined that they had no jurisdiction.</w:t>
      </w:r>
    </w:p>
    <w:p w:rsidR="008861DE" w:rsidRPr="005911E2" w:rsidRDefault="008861DE" w:rsidP="00051CDC">
      <w:pPr>
        <w:pStyle w:val="ListBullet"/>
      </w:pPr>
      <w:r w:rsidRPr="005911E2">
        <w:t>Four appeals proceeded to the Administrative Appeals Tribunal. In three cases the original decision was affirmed</w:t>
      </w:r>
      <w:r w:rsidR="00CE66C0">
        <w:t>,</w:t>
      </w:r>
      <w:r w:rsidRPr="005911E2">
        <w:t xml:space="preserve"> while one application was withdrawn.</w:t>
      </w:r>
    </w:p>
    <w:p w:rsidR="008861DE" w:rsidRPr="005911E2" w:rsidRDefault="008861DE" w:rsidP="00177518">
      <w:r w:rsidRPr="005911E2">
        <w:t>This data suggests that the original decision making appears to be relatively robust</w:t>
      </w:r>
      <w:r w:rsidR="00CE66C0">
        <w:t>,</w:t>
      </w:r>
      <w:r w:rsidRPr="005911E2">
        <w:t xml:space="preserve"> relative to the grounds of appeal.</w:t>
      </w:r>
    </w:p>
    <w:p w:rsidR="008861DE" w:rsidRPr="005911E2" w:rsidRDefault="008861DE" w:rsidP="00616B0F">
      <w:pPr>
        <w:pStyle w:val="Heading2"/>
      </w:pPr>
      <w:bookmarkStart w:id="765" w:name="_Toc321225145"/>
      <w:bookmarkStart w:id="766" w:name="_Toc321254488"/>
      <w:bookmarkStart w:id="767" w:name="_Toc328601513"/>
      <w:bookmarkStart w:id="768" w:name="_Toc329870394"/>
      <w:bookmarkStart w:id="769" w:name="_Toc335915780"/>
      <w:r w:rsidRPr="005911E2">
        <w:t>Conclusion</w:t>
      </w:r>
      <w:bookmarkEnd w:id="765"/>
      <w:bookmarkEnd w:id="766"/>
      <w:bookmarkEnd w:id="767"/>
      <w:bookmarkEnd w:id="768"/>
      <w:bookmarkEnd w:id="769"/>
    </w:p>
    <w:p w:rsidR="008861DE" w:rsidRPr="005911E2" w:rsidRDefault="008861DE" w:rsidP="00177518">
      <w:r w:rsidRPr="005911E2">
        <w:t xml:space="preserve">The introduction of exemptions under the </w:t>
      </w:r>
      <w:r w:rsidR="00CE66C0">
        <w:t>NIM</w:t>
      </w:r>
      <w:r w:rsidRPr="005911E2">
        <w:t xml:space="preserve"> arrangements in the Northern Territory were designed to provide a means by which people who were engaged in responsible parenting and other behaviours would not be subject to </w:t>
      </w:r>
      <w:r w:rsidR="00F878E4">
        <w:t>income management</w:t>
      </w:r>
      <w:r w:rsidRPr="005911E2">
        <w:t>.</w:t>
      </w:r>
      <w:r w:rsidR="0074268A" w:rsidRPr="005911E2">
        <w:t xml:space="preserve"> </w:t>
      </w:r>
      <w:r w:rsidRPr="005911E2">
        <w:t xml:space="preserve">The exemption provisions contain a set of </w:t>
      </w:r>
      <w:r w:rsidR="00910F65">
        <w:t xml:space="preserve">criteria and </w:t>
      </w:r>
      <w:r w:rsidRPr="005911E2">
        <w:t>guidelines to ensure clear and consistent decision making. This represented a marked departure from the more limited option of discretionary exemptions under the NTER IM arrangements.</w:t>
      </w:r>
    </w:p>
    <w:p w:rsidR="008861DE" w:rsidRPr="005911E2" w:rsidRDefault="008861DE" w:rsidP="00177518">
      <w:r w:rsidRPr="005911E2">
        <w:t xml:space="preserve">Other than exemptions from </w:t>
      </w:r>
      <w:r w:rsidR="00F878E4">
        <w:t>income management</w:t>
      </w:r>
      <w:r w:rsidRPr="005911E2">
        <w:t xml:space="preserve"> for full-time students, virtually all exemptions have been granted on the basis of responsible parenting.</w:t>
      </w:r>
      <w:r w:rsidR="0074268A" w:rsidRPr="005911E2">
        <w:t xml:space="preserve"> </w:t>
      </w:r>
      <w:r w:rsidRPr="005911E2">
        <w:t>This is likely to be as a result of the much more limited options available for exemption of those without children, and that the one avenue, regular paid employment (for a minimum of six months in the past 12 of at least 15 hours per week), is a relatively unlikely occurrence for those with job search requirements mainly involving full-time work.</w:t>
      </w:r>
    </w:p>
    <w:p w:rsidR="008861DE" w:rsidRPr="005911E2" w:rsidRDefault="008861DE" w:rsidP="00177518">
      <w:r w:rsidRPr="005911E2">
        <w:t xml:space="preserve">Across the population of those on </w:t>
      </w:r>
      <w:r w:rsidR="004808B3">
        <w:t>Compulsory Income Management</w:t>
      </w:r>
      <w:r w:rsidRPr="005911E2">
        <w:t xml:space="preserve"> (or who would have been income managed </w:t>
      </w:r>
      <w:r w:rsidR="007E026C" w:rsidRPr="005911E2">
        <w:t>if they were not exempt)</w:t>
      </w:r>
      <w:r w:rsidR="00466F95">
        <w:t>,</w:t>
      </w:r>
      <w:r w:rsidR="007E026C" w:rsidRPr="005911E2">
        <w:t xml:space="preserve"> only 19</w:t>
      </w:r>
      <w:r w:rsidRPr="005911E2">
        <w:t>.</w:t>
      </w:r>
      <w:r w:rsidR="007C3AC5" w:rsidRPr="005911E2">
        <w:t>6</w:t>
      </w:r>
      <w:r w:rsidRPr="005911E2">
        <w:t xml:space="preserve"> per cent appl</w:t>
      </w:r>
      <w:r w:rsidR="00466F95">
        <w:t>ied</w:t>
      </w:r>
      <w:r w:rsidRPr="005911E2">
        <w:t xml:space="preserve"> for an exemption and just </w:t>
      </w:r>
      <w:r w:rsidR="007E026C" w:rsidRPr="005911E2">
        <w:t>10.</w:t>
      </w:r>
      <w:r w:rsidR="007C3AC5" w:rsidRPr="005911E2">
        <w:t>9</w:t>
      </w:r>
      <w:r w:rsidRPr="005911E2">
        <w:t xml:space="preserve"> per cent obtain</w:t>
      </w:r>
      <w:r w:rsidR="00466F95">
        <w:t>ed</w:t>
      </w:r>
      <w:r w:rsidRPr="005911E2">
        <w:t xml:space="preserve"> them.</w:t>
      </w:r>
    </w:p>
    <w:p w:rsidR="008861DE" w:rsidRPr="005911E2" w:rsidRDefault="008861DE" w:rsidP="00177518">
      <w:r w:rsidRPr="005911E2">
        <w:t xml:space="preserve">The rate of exemption varies across the characteristics of people subject to </w:t>
      </w:r>
      <w:r w:rsidR="00F878E4">
        <w:t>income management</w:t>
      </w:r>
      <w:r w:rsidR="00466F95">
        <w:t>;</w:t>
      </w:r>
      <w:r w:rsidRPr="005911E2">
        <w:t xml:space="preserve"> however</w:t>
      </w:r>
      <w:r w:rsidR="00466F95">
        <w:t>,</w:t>
      </w:r>
      <w:r w:rsidRPr="005911E2">
        <w:t xml:space="preserve"> most significant are the </w:t>
      </w:r>
      <w:r w:rsidR="007E026C" w:rsidRPr="005911E2">
        <w:t xml:space="preserve">very much </w:t>
      </w:r>
      <w:r w:rsidRPr="005911E2">
        <w:t>lower rates of applications by Indigenous people and much lower rates of success by those who do apply.</w:t>
      </w:r>
      <w:r w:rsidR="0074268A" w:rsidRPr="005911E2">
        <w:t xml:space="preserve"> </w:t>
      </w:r>
      <w:r w:rsidRPr="005911E2">
        <w:t xml:space="preserve">Multivariate analysis indicates that this strong finding remains even when a wide range of </w:t>
      </w:r>
      <w:r w:rsidR="00910F65">
        <w:t xml:space="preserve">demographic and </w:t>
      </w:r>
      <w:r w:rsidRPr="005911E2">
        <w:t>other factors are controlled for.</w:t>
      </w:r>
    </w:p>
    <w:p w:rsidR="008861DE" w:rsidRPr="005911E2" w:rsidRDefault="008861DE" w:rsidP="00C0582B">
      <w:pPr>
        <w:pStyle w:val="chapterend"/>
      </w:pPr>
    </w:p>
    <w:p w:rsidR="00D2121D" w:rsidRPr="005911E2" w:rsidRDefault="00D2121D" w:rsidP="00D2121D">
      <w:pPr>
        <w:spacing w:after="0" w:line="240" w:lineRule="auto"/>
        <w:ind w:left="0"/>
        <w:jc w:val="left"/>
        <w:sectPr w:rsidR="00D2121D" w:rsidRPr="005911E2" w:rsidSect="00F357A2">
          <w:pgSz w:w="11906" w:h="16838" w:code="9"/>
          <w:pgMar w:top="1418" w:right="1797" w:bottom="1418" w:left="1230" w:header="567" w:footer="284" w:gutter="0"/>
          <w:cols w:space="708"/>
          <w:docGrid w:linePitch="360"/>
        </w:sectPr>
      </w:pPr>
    </w:p>
    <w:p w:rsidR="00D2121D" w:rsidRPr="005911E2" w:rsidRDefault="00DA796D" w:rsidP="00BD6DFD">
      <w:pPr>
        <w:pStyle w:val="Heading1"/>
      </w:pPr>
      <w:bookmarkStart w:id="770" w:name="_Toc328601514"/>
      <w:bookmarkStart w:id="771" w:name="_Toc329870395"/>
      <w:bookmarkStart w:id="772" w:name="_Toc335915781"/>
      <w:bookmarkStart w:id="773" w:name="_Ref194071092"/>
      <w:r w:rsidRPr="005911E2">
        <w:t>Perspectives of Centrelink staff, merchants, child protection workers</w:t>
      </w:r>
      <w:r w:rsidR="00935CC4">
        <w:t>,</w:t>
      </w:r>
      <w:r w:rsidRPr="005911E2">
        <w:t xml:space="preserve"> and </w:t>
      </w:r>
      <w:r w:rsidR="00935CC4">
        <w:t>m</w:t>
      </w:r>
      <w:r w:rsidRPr="005911E2">
        <w:t xml:space="preserve">oney </w:t>
      </w:r>
      <w:r w:rsidR="00935CC4">
        <w:t>m</w:t>
      </w:r>
      <w:r w:rsidRPr="005911E2">
        <w:t>anagement and financial counsellors</w:t>
      </w:r>
      <w:bookmarkEnd w:id="770"/>
      <w:bookmarkEnd w:id="771"/>
      <w:bookmarkEnd w:id="772"/>
      <w:r w:rsidRPr="005911E2">
        <w:t xml:space="preserve"> </w:t>
      </w:r>
    </w:p>
    <w:bookmarkEnd w:id="773"/>
    <w:p w:rsidR="00DA796D" w:rsidRPr="005911E2" w:rsidRDefault="00DA796D" w:rsidP="00DA796D">
      <w:pPr>
        <w:rPr>
          <w:lang w:eastAsia="en-AU"/>
        </w:rPr>
      </w:pPr>
      <w:r w:rsidRPr="005911E2">
        <w:rPr>
          <w:lang w:eastAsia="en-AU"/>
        </w:rPr>
        <w:t xml:space="preserve">This </w:t>
      </w:r>
      <w:r w:rsidR="00935CC4">
        <w:rPr>
          <w:lang w:eastAsia="en-AU"/>
        </w:rPr>
        <w:t>chapter</w:t>
      </w:r>
      <w:r w:rsidRPr="005911E2">
        <w:rPr>
          <w:lang w:eastAsia="en-AU"/>
        </w:rPr>
        <w:t xml:space="preserve"> provides information about early implementation and process issues from the perspectives of those involved in implementing different aspects of NIM. Information was collected via quantitative surveys and qualitative interviews. </w:t>
      </w:r>
      <w:r w:rsidR="00B81D60">
        <w:rPr>
          <w:lang w:eastAsia="en-AU"/>
        </w:rPr>
        <w:t>T</w:t>
      </w:r>
      <w:r w:rsidRPr="005911E2">
        <w:rPr>
          <w:lang w:eastAsia="en-AU"/>
        </w:rPr>
        <w:t>he groups of service providers</w:t>
      </w:r>
      <w:r w:rsidR="00B81D60">
        <w:rPr>
          <w:lang w:eastAsia="en-AU"/>
        </w:rPr>
        <w:t xml:space="preserve"> it was collected from were</w:t>
      </w:r>
      <w:r w:rsidRPr="005911E2">
        <w:rPr>
          <w:lang w:eastAsia="en-AU"/>
        </w:rPr>
        <w:t xml:space="preserve">: </w:t>
      </w:r>
    </w:p>
    <w:p w:rsidR="00DA796D" w:rsidRPr="005911E2" w:rsidRDefault="00DA796D" w:rsidP="00051CDC">
      <w:pPr>
        <w:pStyle w:val="ListBullet"/>
      </w:pPr>
      <w:r w:rsidRPr="005911E2">
        <w:t>Centrelink staff</w:t>
      </w:r>
    </w:p>
    <w:p w:rsidR="00DA796D" w:rsidRPr="005911E2" w:rsidRDefault="00935CC4" w:rsidP="00051CDC">
      <w:pPr>
        <w:pStyle w:val="ListBullet"/>
      </w:pPr>
      <w:r>
        <w:t>m</w:t>
      </w:r>
      <w:r w:rsidR="00DA796D" w:rsidRPr="005911E2">
        <w:t>oney management workers and financial counsellors</w:t>
      </w:r>
    </w:p>
    <w:p w:rsidR="00DA796D" w:rsidRPr="005911E2" w:rsidRDefault="006435C8" w:rsidP="00051CDC">
      <w:pPr>
        <w:pStyle w:val="ListBullet"/>
      </w:pPr>
      <w:r>
        <w:t xml:space="preserve">Northern Territory </w:t>
      </w:r>
      <w:r w:rsidR="00DA796D" w:rsidRPr="005911E2">
        <w:t>Department of Children and Families (DCF) child protection professionals</w:t>
      </w:r>
    </w:p>
    <w:p w:rsidR="00DA796D" w:rsidRPr="005911E2" w:rsidRDefault="00DA796D" w:rsidP="00051CDC">
      <w:pPr>
        <w:pStyle w:val="ListBullet"/>
      </w:pPr>
      <w:r w:rsidRPr="005911E2">
        <w:t>Merchants approved to accept BasicsCard or Schedule 4 or 5 payments.</w:t>
      </w:r>
    </w:p>
    <w:p w:rsidR="00DA796D" w:rsidRPr="005911E2" w:rsidRDefault="00DA796D" w:rsidP="00DA796D">
      <w:pPr>
        <w:rPr>
          <w:lang w:eastAsia="en-AU"/>
        </w:rPr>
      </w:pPr>
      <w:r w:rsidRPr="005911E2">
        <w:rPr>
          <w:lang w:eastAsia="en-AU"/>
        </w:rPr>
        <w:t>In addition, other service providers and peak bodies who work with people who have been impacted by the transition from NTER IM to the new IM program were invited to take part in discussions about the implementation of IM.</w:t>
      </w:r>
    </w:p>
    <w:p w:rsidR="00DA796D" w:rsidRPr="005911E2" w:rsidRDefault="00DA796D" w:rsidP="00DA796D">
      <w:r w:rsidRPr="005911E2">
        <w:t xml:space="preserve">The chapter commences with an overview of some of the methodological issues experienced with the surveys and interviews, and a description of the samples involved in the different components of the studies with Centrelink staff and other service providers. It then explores the following </w:t>
      </w:r>
      <w:r w:rsidR="0097020B">
        <w:t xml:space="preserve">issues that were addressed in the discussions with </w:t>
      </w:r>
      <w:r w:rsidRPr="005911E2">
        <w:t>Centrelink, DCF and Money Management/</w:t>
      </w:r>
      <w:r w:rsidR="00B81D60">
        <w:t xml:space="preserve"> </w:t>
      </w:r>
      <w:r w:rsidRPr="005911E2">
        <w:t>financial counselling staff and other stakeholders:</w:t>
      </w:r>
    </w:p>
    <w:p w:rsidR="00DA796D" w:rsidRPr="005911E2" w:rsidRDefault="00935CC4" w:rsidP="00051CDC">
      <w:pPr>
        <w:pStyle w:val="ListBullet"/>
      </w:pPr>
      <w:r>
        <w:t>i</w:t>
      </w:r>
      <w:r w:rsidR="00DA796D" w:rsidRPr="005911E2">
        <w:t>mplementation issues for NIM (including their clients</w:t>
      </w:r>
      <w:r w:rsidR="00B81D60">
        <w:t>’</w:t>
      </w:r>
      <w:r w:rsidR="00DA796D" w:rsidRPr="005911E2">
        <w:t xml:space="preserve"> understandings of NIM and the transition from NTER to NIM)</w:t>
      </w:r>
    </w:p>
    <w:p w:rsidR="00DA796D" w:rsidRPr="005911E2" w:rsidRDefault="00935CC4" w:rsidP="00051CDC">
      <w:pPr>
        <w:pStyle w:val="ListBullet"/>
      </w:pPr>
      <w:r>
        <w:t>s</w:t>
      </w:r>
      <w:r w:rsidR="00DA796D" w:rsidRPr="005911E2">
        <w:t>taffing and training issues</w:t>
      </w:r>
    </w:p>
    <w:p w:rsidR="00DA796D" w:rsidRPr="005911E2" w:rsidRDefault="00935CC4" w:rsidP="00051CDC">
      <w:pPr>
        <w:pStyle w:val="ListBullet"/>
      </w:pPr>
      <w:r>
        <w:t>a</w:t>
      </w:r>
      <w:r w:rsidR="00DA796D" w:rsidRPr="005911E2">
        <w:t>vailability and capacity of services to assist people subject to</w:t>
      </w:r>
      <w:r w:rsidR="00B62B2D">
        <w:t xml:space="preserve"> </w:t>
      </w:r>
      <w:r w:rsidR="00DA796D" w:rsidRPr="005911E2">
        <w:t>NIM</w:t>
      </w:r>
    </w:p>
    <w:p w:rsidR="00DA796D" w:rsidRPr="005911E2" w:rsidRDefault="00935CC4" w:rsidP="00051CDC">
      <w:pPr>
        <w:pStyle w:val="ListBullet"/>
      </w:pPr>
      <w:r>
        <w:t>c</w:t>
      </w:r>
      <w:r w:rsidR="00DA796D" w:rsidRPr="005911E2">
        <w:t>omments on the different measures by service providers</w:t>
      </w:r>
    </w:p>
    <w:p w:rsidR="00DA796D" w:rsidRPr="005911E2" w:rsidRDefault="00935CC4" w:rsidP="00051CDC">
      <w:pPr>
        <w:pStyle w:val="ListBullet"/>
      </w:pPr>
      <w:r>
        <w:t>p</w:t>
      </w:r>
      <w:r w:rsidR="00DA796D" w:rsidRPr="005911E2">
        <w:t>erception of the impacts on NIM including impacts on different groups of people</w:t>
      </w:r>
      <w:r w:rsidR="00273B1F">
        <w:t>.</w:t>
      </w:r>
    </w:p>
    <w:p w:rsidR="00E81107" w:rsidRDefault="00DA796D" w:rsidP="0097020B">
      <w:r w:rsidRPr="005911E2">
        <w:t>The views of other stakeholder groups (including</w:t>
      </w:r>
      <w:r w:rsidR="006435C8">
        <w:t xml:space="preserve"> Northern Territory </w:t>
      </w:r>
      <w:r w:rsidRPr="005911E2">
        <w:t>legal services and peak bodies representing refugees and women) about the implementation of NIM are also explored.</w:t>
      </w:r>
    </w:p>
    <w:p w:rsidR="00DA796D" w:rsidRPr="005911E2" w:rsidRDefault="00DA796D" w:rsidP="00DA796D">
      <w:r w:rsidRPr="005911E2">
        <w:t xml:space="preserve">The </w:t>
      </w:r>
      <w:r w:rsidR="00935CC4">
        <w:t xml:space="preserve">chapter </w:t>
      </w:r>
      <w:r w:rsidRPr="005911E2">
        <w:t>concludes with a discussion of findings specifically related to the merchants’ survey.</w:t>
      </w:r>
    </w:p>
    <w:p w:rsidR="00DA796D" w:rsidRPr="005911E2" w:rsidRDefault="00935CC4" w:rsidP="00DA796D">
      <w:pPr>
        <w:rPr>
          <w:lang w:eastAsia="en-AU"/>
        </w:rPr>
      </w:pPr>
      <w:r>
        <w:rPr>
          <w:lang w:eastAsia="en-AU"/>
        </w:rPr>
        <w:t>The</w:t>
      </w:r>
      <w:r w:rsidR="00DA796D" w:rsidRPr="005911E2">
        <w:rPr>
          <w:lang w:eastAsia="en-AU"/>
        </w:rPr>
        <w:t xml:space="preserve"> results from these surveys and interviews </w:t>
      </w:r>
      <w:r>
        <w:rPr>
          <w:lang w:eastAsia="en-AU"/>
        </w:rPr>
        <w:t>are also included in other chapters of the report in relation to specific aspects of the program</w:t>
      </w:r>
      <w:r w:rsidR="00DA796D" w:rsidRPr="005911E2">
        <w:rPr>
          <w:lang w:eastAsia="en-AU"/>
        </w:rPr>
        <w:t xml:space="preserve">. </w:t>
      </w:r>
    </w:p>
    <w:p w:rsidR="00DA796D" w:rsidRPr="005911E2" w:rsidRDefault="00DA796D" w:rsidP="00616B0F">
      <w:pPr>
        <w:pStyle w:val="Heading2"/>
      </w:pPr>
      <w:bookmarkStart w:id="774" w:name="_Toc321225147"/>
      <w:bookmarkStart w:id="775" w:name="_Toc321254490"/>
      <w:bookmarkStart w:id="776" w:name="_Toc321761632"/>
      <w:bookmarkStart w:id="777" w:name="_Toc328601515"/>
      <w:bookmarkStart w:id="778" w:name="_Toc329870396"/>
      <w:bookmarkStart w:id="779" w:name="_Toc335915782"/>
      <w:r w:rsidRPr="005911E2">
        <w:t>Methodological issues</w:t>
      </w:r>
      <w:bookmarkEnd w:id="774"/>
      <w:bookmarkEnd w:id="775"/>
      <w:bookmarkEnd w:id="776"/>
      <w:bookmarkEnd w:id="777"/>
      <w:bookmarkEnd w:id="778"/>
      <w:bookmarkEnd w:id="779"/>
    </w:p>
    <w:p w:rsidR="00DA796D" w:rsidRPr="005911E2" w:rsidRDefault="00DA796D" w:rsidP="00DA796D">
      <w:pPr>
        <w:rPr>
          <w:lang w:eastAsia="en-AU"/>
        </w:rPr>
      </w:pPr>
      <w:r w:rsidRPr="005911E2">
        <w:rPr>
          <w:lang w:eastAsia="en-AU"/>
        </w:rPr>
        <w:t>The primary data collection for the quantitative surveys and interviews</w:t>
      </w:r>
      <w:r w:rsidRPr="005911E2">
        <w:rPr>
          <w:rFonts w:asciiTheme="minorHAnsi" w:hAnsiTheme="minorHAnsi"/>
          <w:vertAlign w:val="superscript"/>
          <w:lang w:eastAsia="en-AU"/>
        </w:rPr>
        <w:footnoteReference w:id="88"/>
      </w:r>
      <w:r w:rsidRPr="005911E2">
        <w:rPr>
          <w:lang w:eastAsia="en-AU"/>
        </w:rPr>
        <w:t xml:space="preserve"> commenced at the beginning of August 2011 and continued until March 2012. While the collection of information from Centrelink staff and merchants was relatively straightforward, it proved to be more challenging in regard to gaining the participation of child protection staff and staff from </w:t>
      </w:r>
      <w:r w:rsidR="00B31A25">
        <w:rPr>
          <w:lang w:eastAsia="en-AU"/>
        </w:rPr>
        <w:t>m</w:t>
      </w:r>
      <w:r w:rsidRPr="005911E2">
        <w:rPr>
          <w:lang w:eastAsia="en-AU"/>
        </w:rPr>
        <w:t xml:space="preserve">oney </w:t>
      </w:r>
      <w:r w:rsidR="00B31A25">
        <w:rPr>
          <w:lang w:eastAsia="en-AU"/>
        </w:rPr>
        <w:t>m</w:t>
      </w:r>
      <w:r w:rsidRPr="005911E2">
        <w:rPr>
          <w:lang w:eastAsia="en-AU"/>
        </w:rPr>
        <w:t xml:space="preserve">anagement and financial counselling services. </w:t>
      </w:r>
    </w:p>
    <w:p w:rsidR="00DA796D" w:rsidRPr="005911E2" w:rsidRDefault="00DA796D" w:rsidP="00DA796D">
      <w:pPr>
        <w:rPr>
          <w:b/>
          <w:i/>
          <w:lang w:eastAsia="en-AU"/>
        </w:rPr>
      </w:pPr>
      <w:r w:rsidRPr="005911E2">
        <w:rPr>
          <w:lang w:eastAsia="en-AU"/>
        </w:rPr>
        <w:t xml:space="preserve">In the lead up to the survey, all agencies in scope for the quantitative survey were initially informed of the research via email, letter or telephone discussions. </w:t>
      </w:r>
    </w:p>
    <w:p w:rsidR="00DA796D" w:rsidRPr="005911E2" w:rsidRDefault="00DA796D" w:rsidP="00DA796D">
      <w:pPr>
        <w:rPr>
          <w:lang w:eastAsia="en-AU"/>
        </w:rPr>
      </w:pPr>
      <w:r w:rsidRPr="005911E2">
        <w:rPr>
          <w:lang w:eastAsia="en-AU"/>
        </w:rPr>
        <w:t xml:space="preserve">The survey was launched on 14 September 2011 and an invitation to staff to participate in the survey was sent via email to a senior manager within each agency. Each agency </w:t>
      </w:r>
      <w:r w:rsidR="00B31A25">
        <w:rPr>
          <w:lang w:eastAsia="en-AU"/>
        </w:rPr>
        <w:t>was then contact</w:t>
      </w:r>
      <w:r w:rsidR="0097020B">
        <w:rPr>
          <w:lang w:eastAsia="en-AU"/>
        </w:rPr>
        <w:t>ed</w:t>
      </w:r>
      <w:r w:rsidR="00B31A25">
        <w:rPr>
          <w:lang w:eastAsia="en-AU"/>
        </w:rPr>
        <w:t xml:space="preserve"> </w:t>
      </w:r>
      <w:r w:rsidRPr="005911E2">
        <w:rPr>
          <w:lang w:eastAsia="en-AU"/>
        </w:rPr>
        <w:t>via emails and telephone calls during the fieldwork period.</w:t>
      </w:r>
    </w:p>
    <w:p w:rsidR="00DA796D" w:rsidRPr="005911E2" w:rsidRDefault="00DA796D" w:rsidP="00DA796D">
      <w:pPr>
        <w:rPr>
          <w:lang w:eastAsia="en-AU"/>
        </w:rPr>
      </w:pPr>
      <w:r w:rsidRPr="005911E2">
        <w:rPr>
          <w:lang w:eastAsia="en-AU"/>
        </w:rPr>
        <w:t xml:space="preserve">Some delays were experienced in the surveys being circulated to staff across the different agencies. For Centrelink, the link for the survey could not be accessed by staff at the commencement of the survey period. This issue was resolved at the beginning of October </w:t>
      </w:r>
      <w:r w:rsidR="00B81D60" w:rsidRPr="005911E2">
        <w:rPr>
          <w:lang w:eastAsia="en-AU"/>
        </w:rPr>
        <w:t>201</w:t>
      </w:r>
      <w:r w:rsidR="00B81D60">
        <w:rPr>
          <w:lang w:eastAsia="en-AU"/>
        </w:rPr>
        <w:t>1</w:t>
      </w:r>
      <w:r w:rsidRPr="005911E2">
        <w:rPr>
          <w:lang w:eastAsia="en-AU"/>
        </w:rPr>
        <w:t xml:space="preserve">. </w:t>
      </w:r>
    </w:p>
    <w:p w:rsidR="00DA796D" w:rsidRPr="005911E2" w:rsidRDefault="00DA796D" w:rsidP="00DA796D">
      <w:pPr>
        <w:rPr>
          <w:lang w:eastAsia="en-AU"/>
        </w:rPr>
      </w:pPr>
      <w:r w:rsidRPr="005911E2">
        <w:rPr>
          <w:lang w:eastAsia="en-AU"/>
        </w:rPr>
        <w:t xml:space="preserve">DCF was </w:t>
      </w:r>
      <w:r w:rsidR="002F2AEB">
        <w:rPr>
          <w:lang w:eastAsia="en-AU"/>
        </w:rPr>
        <w:t>being</w:t>
      </w:r>
      <w:r w:rsidRPr="005911E2">
        <w:rPr>
          <w:lang w:eastAsia="en-AU"/>
        </w:rPr>
        <w:t xml:space="preserve"> restructure</w:t>
      </w:r>
      <w:r w:rsidR="002F2AEB">
        <w:rPr>
          <w:lang w:eastAsia="en-AU"/>
        </w:rPr>
        <w:t>d</w:t>
      </w:r>
      <w:r w:rsidRPr="005911E2">
        <w:rPr>
          <w:lang w:eastAsia="en-AU"/>
        </w:rPr>
        <w:t xml:space="preserve"> during September 2011 and </w:t>
      </w:r>
      <w:r w:rsidR="002F2AEB">
        <w:rPr>
          <w:lang w:eastAsia="en-AU"/>
        </w:rPr>
        <w:t xml:space="preserve">the research team had </w:t>
      </w:r>
      <w:r w:rsidRPr="005911E2">
        <w:rPr>
          <w:lang w:eastAsia="en-AU"/>
        </w:rPr>
        <w:t xml:space="preserve">difficulties in engaging staff to participate in both the survey and the qualitative interviews. DCF advised that they were unable to circulate the survey invitation to all staff via email (which was the research team’s preferred option), and instead a link was provided to staff on their intranet portal and also within the staff newsletter. This approach proved to have limited success with only four surveys being completed from these links. In order to boost responses, the research team offered to complete interviews with a number of staff via the telephone. However, no further surveys or interviews were achieved with this approach. The difficulty of getting DCF staff to complete the questionnaire may have arisen because most DCF staff have not had much experience with </w:t>
      </w:r>
      <w:r w:rsidR="00E146B5">
        <w:rPr>
          <w:lang w:eastAsia="en-AU"/>
        </w:rPr>
        <w:t>Child Protection Income Management</w:t>
      </w:r>
      <w:r w:rsidRPr="005911E2">
        <w:rPr>
          <w:lang w:eastAsia="en-AU"/>
        </w:rPr>
        <w:t xml:space="preserve"> (given the very small numbers of people on this measure) and thus feel that the survey is not really relevant to them.</w:t>
      </w:r>
    </w:p>
    <w:p w:rsidR="00DA796D" w:rsidRPr="005911E2" w:rsidRDefault="00DA796D" w:rsidP="00DA796D">
      <w:r w:rsidRPr="005911E2">
        <w:t xml:space="preserve">The engagement of </w:t>
      </w:r>
      <w:r w:rsidR="002F2AEB">
        <w:t>m</w:t>
      </w:r>
      <w:r w:rsidRPr="005911E2">
        <w:t xml:space="preserve">oney </w:t>
      </w:r>
      <w:r w:rsidR="002F2AEB">
        <w:t>m</w:t>
      </w:r>
      <w:r w:rsidRPr="005911E2">
        <w:t>anagement and financial counselling services in the survey was also difficult. While all services were followed up via email and telephone calls and offered the chance to complete the survey over the telephone</w:t>
      </w:r>
      <w:r w:rsidR="00B81D60">
        <w:t>,</w:t>
      </w:r>
      <w:r w:rsidRPr="005911E2">
        <w:t xml:space="preserve"> only nine surveys were completed. </w:t>
      </w:r>
    </w:p>
    <w:p w:rsidR="00DA796D" w:rsidRPr="005911E2" w:rsidRDefault="00DA796D" w:rsidP="00DA796D">
      <w:r w:rsidRPr="005911E2">
        <w:t xml:space="preserve">The small number of surveys completed by DCF child protection and </w:t>
      </w:r>
      <w:r w:rsidR="002F2AEB">
        <w:t>m</w:t>
      </w:r>
      <w:r w:rsidRPr="005911E2">
        <w:t xml:space="preserve">oney </w:t>
      </w:r>
      <w:r w:rsidR="002F2AEB">
        <w:t>m</w:t>
      </w:r>
      <w:r w:rsidRPr="005911E2">
        <w:t xml:space="preserve">anagement and financial counselling staff meant that they were not able to </w:t>
      </w:r>
      <w:r w:rsidR="002F2AEB">
        <w:t xml:space="preserve">be </w:t>
      </w:r>
      <w:r w:rsidRPr="005911E2">
        <w:t xml:space="preserve">analysed quantitatively. Instead </w:t>
      </w:r>
      <w:r w:rsidR="00B81D60" w:rsidRPr="005911E2">
        <w:t>th</w:t>
      </w:r>
      <w:r w:rsidR="00B81D60">
        <w:t>is</w:t>
      </w:r>
      <w:r w:rsidR="00B81D60" w:rsidRPr="005911E2">
        <w:t xml:space="preserve"> </w:t>
      </w:r>
      <w:r w:rsidRPr="005911E2">
        <w:t xml:space="preserve">data </w:t>
      </w:r>
      <w:r w:rsidR="00B81D60" w:rsidRPr="005911E2">
        <w:t>w</w:t>
      </w:r>
      <w:r w:rsidR="00B81D60">
        <w:t>as</w:t>
      </w:r>
      <w:r w:rsidR="00B81D60" w:rsidRPr="005911E2">
        <w:t xml:space="preserve"> </w:t>
      </w:r>
      <w:r w:rsidRPr="005911E2">
        <w:t xml:space="preserve">used as case studies and analysed alongside the interviews as part of the qualitative analysis. </w:t>
      </w:r>
    </w:p>
    <w:p w:rsidR="00DA796D" w:rsidRPr="005911E2" w:rsidRDefault="00DA796D" w:rsidP="00616B0F">
      <w:pPr>
        <w:pStyle w:val="Heading2"/>
      </w:pPr>
      <w:bookmarkStart w:id="780" w:name="_Toc321225148"/>
      <w:bookmarkStart w:id="781" w:name="_Toc321254491"/>
      <w:bookmarkStart w:id="782" w:name="_Toc321761633"/>
      <w:bookmarkStart w:id="783" w:name="_Toc328601516"/>
      <w:bookmarkStart w:id="784" w:name="_Toc329870397"/>
      <w:bookmarkStart w:id="785" w:name="_Toc335915783"/>
      <w:r w:rsidRPr="005911E2">
        <w:t>Overview of Centrelink, child protection</w:t>
      </w:r>
      <w:r w:rsidR="002F2AEB">
        <w:t>,</w:t>
      </w:r>
      <w:r w:rsidRPr="005911E2">
        <w:t xml:space="preserve"> and </w:t>
      </w:r>
      <w:r w:rsidR="00F86AB1">
        <w:t>m</w:t>
      </w:r>
      <w:r w:rsidRPr="005911E2">
        <w:t xml:space="preserve">oney </w:t>
      </w:r>
      <w:r w:rsidR="002F2AEB">
        <w:t>m</w:t>
      </w:r>
      <w:r w:rsidRPr="005911E2">
        <w:t>anagement and financial counselling respondents</w:t>
      </w:r>
      <w:bookmarkEnd w:id="780"/>
      <w:bookmarkEnd w:id="781"/>
      <w:bookmarkEnd w:id="782"/>
      <w:bookmarkEnd w:id="783"/>
      <w:bookmarkEnd w:id="784"/>
      <w:bookmarkEnd w:id="785"/>
      <w:r w:rsidRPr="005911E2" w:rsidDel="00DC6B7D">
        <w:t xml:space="preserve"> </w:t>
      </w:r>
    </w:p>
    <w:p w:rsidR="00DA796D" w:rsidRPr="005911E2" w:rsidRDefault="002F2AEB" w:rsidP="00DA796D">
      <w:pPr>
        <w:rPr>
          <w:lang w:eastAsia="en-AU"/>
        </w:rPr>
      </w:pPr>
      <w:r>
        <w:rPr>
          <w:lang w:eastAsia="en-AU"/>
        </w:rPr>
        <w:t xml:space="preserve">The online survey was completed by 128 </w:t>
      </w:r>
      <w:r w:rsidR="005911E2" w:rsidRPr="005911E2">
        <w:rPr>
          <w:lang w:eastAsia="en-AU"/>
        </w:rPr>
        <w:t>Centr</w:t>
      </w:r>
      <w:r w:rsidR="005911E2">
        <w:rPr>
          <w:lang w:eastAsia="en-AU"/>
        </w:rPr>
        <w:t>e</w:t>
      </w:r>
      <w:r w:rsidR="005911E2" w:rsidRPr="005911E2">
        <w:rPr>
          <w:lang w:eastAsia="en-AU"/>
        </w:rPr>
        <w:t>link staff</w:t>
      </w:r>
      <w:r w:rsidR="00F86AB1">
        <w:rPr>
          <w:lang w:eastAsia="en-AU"/>
        </w:rPr>
        <w:t xml:space="preserve"> </w:t>
      </w:r>
      <w:r w:rsidR="00B81D60">
        <w:rPr>
          <w:lang w:eastAsia="en-AU"/>
        </w:rPr>
        <w:t>while</w:t>
      </w:r>
      <w:r w:rsidR="00B81D60" w:rsidRPr="005911E2">
        <w:rPr>
          <w:lang w:eastAsia="en-AU"/>
        </w:rPr>
        <w:t xml:space="preserve"> </w:t>
      </w:r>
      <w:r w:rsidR="005911E2" w:rsidRPr="005911E2">
        <w:rPr>
          <w:lang w:eastAsia="en-AU"/>
        </w:rPr>
        <w:t>64 people from Centrelink, the Northern Territory Department of Children and Families</w:t>
      </w:r>
      <w:r w:rsidR="00B81D60">
        <w:rPr>
          <w:lang w:eastAsia="en-AU"/>
        </w:rPr>
        <w:t>,</w:t>
      </w:r>
      <w:r w:rsidR="005911E2" w:rsidRPr="005911E2">
        <w:rPr>
          <w:lang w:eastAsia="en-AU"/>
        </w:rPr>
        <w:t xml:space="preserve"> and </w:t>
      </w:r>
      <w:r w:rsidR="00B81D60">
        <w:rPr>
          <w:lang w:eastAsia="en-AU"/>
        </w:rPr>
        <w:t xml:space="preserve">staff </w:t>
      </w:r>
      <w:r w:rsidR="005911E2" w:rsidRPr="005911E2">
        <w:rPr>
          <w:lang w:eastAsia="en-AU"/>
        </w:rPr>
        <w:t xml:space="preserve">from </w:t>
      </w:r>
      <w:r>
        <w:rPr>
          <w:lang w:eastAsia="en-AU"/>
        </w:rPr>
        <w:t xml:space="preserve">money management and </w:t>
      </w:r>
      <w:r w:rsidR="005911E2" w:rsidRPr="005911E2">
        <w:rPr>
          <w:lang w:eastAsia="en-AU"/>
        </w:rPr>
        <w:t xml:space="preserve">financial counselling services participated in interviews. </w:t>
      </w:r>
      <w:r w:rsidR="00DA796D" w:rsidRPr="005911E2">
        <w:rPr>
          <w:lang w:eastAsia="en-AU"/>
        </w:rPr>
        <w:t>This section considers the characteristics of the</w:t>
      </w:r>
      <w:r>
        <w:rPr>
          <w:lang w:eastAsia="en-AU"/>
        </w:rPr>
        <w:t xml:space="preserve"> responses</w:t>
      </w:r>
      <w:r w:rsidR="00DA796D" w:rsidRPr="005911E2">
        <w:rPr>
          <w:lang w:eastAsia="en-AU"/>
        </w:rPr>
        <w:t xml:space="preserve">. A description of the </w:t>
      </w:r>
      <w:r w:rsidR="005911E2" w:rsidRPr="005911E2">
        <w:rPr>
          <w:lang w:eastAsia="en-AU"/>
        </w:rPr>
        <w:t>merchants’</w:t>
      </w:r>
      <w:r w:rsidR="00DA796D" w:rsidRPr="005911E2">
        <w:rPr>
          <w:lang w:eastAsia="en-AU"/>
        </w:rPr>
        <w:t xml:space="preserve"> survey sample is presented later in the chapter alongside the findings from the merchants’ survey.</w:t>
      </w:r>
    </w:p>
    <w:p w:rsidR="00DA796D" w:rsidRPr="005911E2" w:rsidRDefault="00DA796D" w:rsidP="00BD6DFD">
      <w:pPr>
        <w:pStyle w:val="Heading3"/>
      </w:pPr>
      <w:r w:rsidRPr="005911E2">
        <w:t>Centrelink survey respondents</w:t>
      </w:r>
    </w:p>
    <w:p w:rsidR="00DA796D" w:rsidRPr="005911E2" w:rsidRDefault="00DA796D" w:rsidP="00DA796D">
      <w:pPr>
        <w:rPr>
          <w:lang w:eastAsia="en-AU"/>
        </w:rPr>
      </w:pPr>
      <w:r w:rsidRPr="005911E2">
        <w:rPr>
          <w:lang w:eastAsia="en-AU"/>
        </w:rPr>
        <w:t>Background data was collected on</w:t>
      </w:r>
      <w:r w:rsidR="002F2AEB">
        <w:rPr>
          <w:lang w:eastAsia="en-AU"/>
        </w:rPr>
        <w:t>:</w:t>
      </w:r>
      <w:r w:rsidRPr="005911E2">
        <w:rPr>
          <w:lang w:eastAsia="en-AU"/>
        </w:rPr>
        <w:t xml:space="preserve"> whether the respondents were from an Aboriginal and/or Torres Strait Islander background</w:t>
      </w:r>
      <w:r w:rsidR="002F2AEB">
        <w:rPr>
          <w:lang w:eastAsia="en-AU"/>
        </w:rPr>
        <w:t>;</w:t>
      </w:r>
      <w:r w:rsidRPr="005911E2">
        <w:rPr>
          <w:lang w:eastAsia="en-AU"/>
        </w:rPr>
        <w:t xml:space="preserve"> the length of time they had worked at Centrelink</w:t>
      </w:r>
      <w:r w:rsidR="002F2AEB">
        <w:rPr>
          <w:lang w:eastAsia="en-AU"/>
        </w:rPr>
        <w:t>;</w:t>
      </w:r>
      <w:r w:rsidRPr="005911E2">
        <w:rPr>
          <w:lang w:eastAsia="en-AU"/>
        </w:rPr>
        <w:t xml:space="preserve"> their primary role at Centrelink</w:t>
      </w:r>
      <w:r w:rsidR="002F2AEB">
        <w:rPr>
          <w:lang w:eastAsia="en-AU"/>
        </w:rPr>
        <w:t>;</w:t>
      </w:r>
      <w:r w:rsidRPr="005911E2">
        <w:rPr>
          <w:lang w:eastAsia="en-AU"/>
        </w:rPr>
        <w:t xml:space="preserve"> the context in which they worked</w:t>
      </w:r>
      <w:r w:rsidR="002F2AEB">
        <w:rPr>
          <w:lang w:eastAsia="en-AU"/>
        </w:rPr>
        <w:t>;</w:t>
      </w:r>
      <w:r w:rsidRPr="005911E2">
        <w:rPr>
          <w:lang w:eastAsia="en-AU"/>
        </w:rPr>
        <w:t xml:space="preserve"> the location of the clients they work with</w:t>
      </w:r>
      <w:r w:rsidR="002F2AEB">
        <w:rPr>
          <w:lang w:eastAsia="en-AU"/>
        </w:rPr>
        <w:t>;</w:t>
      </w:r>
      <w:r w:rsidRPr="005911E2">
        <w:rPr>
          <w:lang w:eastAsia="en-AU"/>
        </w:rPr>
        <w:t xml:space="preserve"> and the extent to which income management was part of their work.</w:t>
      </w:r>
    </w:p>
    <w:p w:rsidR="00DA796D" w:rsidRPr="005911E2" w:rsidRDefault="00DA796D" w:rsidP="00DA796D">
      <w:pPr>
        <w:rPr>
          <w:lang w:eastAsia="en-AU"/>
        </w:rPr>
      </w:pPr>
      <w:r w:rsidRPr="005911E2">
        <w:rPr>
          <w:lang w:eastAsia="en-AU"/>
        </w:rPr>
        <w:t>Of the 128 respondents to the Centrelink survey, 82 per cent reported that they were non-Indigenous, 12 per cent identified as Indigenous, and 5 per cent did not indicate whether they were Indigenous</w:t>
      </w:r>
      <w:r w:rsidR="002F2AEB">
        <w:rPr>
          <w:lang w:eastAsia="en-AU"/>
        </w:rPr>
        <w:t xml:space="preserve"> or not</w:t>
      </w:r>
      <w:r w:rsidRPr="005911E2">
        <w:rPr>
          <w:lang w:eastAsia="en-AU"/>
        </w:rPr>
        <w:t xml:space="preserve">. </w:t>
      </w:r>
    </w:p>
    <w:p w:rsidR="00DA796D" w:rsidRPr="005911E2" w:rsidRDefault="00DA796D" w:rsidP="00DA796D">
      <w:pPr>
        <w:rPr>
          <w:lang w:eastAsia="en-AU"/>
        </w:rPr>
      </w:pPr>
      <w:r w:rsidRPr="005911E2">
        <w:rPr>
          <w:lang w:eastAsia="en-AU"/>
        </w:rPr>
        <w:t>Although more than half of the respondents had worked at Centrelink for three or more years</w:t>
      </w:r>
      <w:r w:rsidR="002F2AEB">
        <w:rPr>
          <w:lang w:eastAsia="en-AU"/>
        </w:rPr>
        <w:t>,</w:t>
      </w:r>
      <w:r w:rsidRPr="005911E2">
        <w:rPr>
          <w:lang w:eastAsia="en-AU"/>
        </w:rPr>
        <w:t xml:space="preserve"> 38 per cent stated they had worked at Centrelink for more than five years. Less than </w:t>
      </w:r>
      <w:r w:rsidR="00EA1B30">
        <w:rPr>
          <w:lang w:eastAsia="en-AU"/>
        </w:rPr>
        <w:t>1</w:t>
      </w:r>
      <w:r w:rsidR="00EA1B30" w:rsidRPr="005911E2">
        <w:rPr>
          <w:lang w:eastAsia="en-AU"/>
        </w:rPr>
        <w:t xml:space="preserve"> </w:t>
      </w:r>
      <w:r w:rsidRPr="005911E2">
        <w:rPr>
          <w:lang w:eastAsia="en-AU"/>
        </w:rPr>
        <w:t xml:space="preserve">per cent of respondents reported having worked for Centrelink for less than a year (Table </w:t>
      </w:r>
      <w:r w:rsidRPr="005911E2">
        <w:rPr>
          <w:noProof/>
          <w:lang w:eastAsia="en-AU"/>
        </w:rPr>
        <w:t>9</w:t>
      </w:r>
      <w:r w:rsidRPr="005911E2">
        <w:rPr>
          <w:lang w:eastAsia="en-AU"/>
        </w:rPr>
        <w:noBreakHyphen/>
      </w:r>
      <w:r w:rsidRPr="005911E2">
        <w:rPr>
          <w:noProof/>
          <w:lang w:eastAsia="en-AU"/>
        </w:rPr>
        <w:t>1</w:t>
      </w:r>
      <w:r w:rsidRPr="005911E2">
        <w:rPr>
          <w:lang w:eastAsia="en-AU"/>
        </w:rPr>
        <w:t xml:space="preserve">). </w:t>
      </w:r>
    </w:p>
    <w:p w:rsidR="00DA796D" w:rsidRPr="005911E2" w:rsidRDefault="00DA796D" w:rsidP="00DA796D">
      <w:pPr>
        <w:pStyle w:val="tabfighead"/>
      </w:pPr>
      <w:bookmarkStart w:id="786" w:name="_Ref194057209"/>
      <w:bookmarkStart w:id="787" w:name="_Ref194056741"/>
      <w:bookmarkStart w:id="788" w:name="_Toc321254565"/>
      <w:bookmarkStart w:id="789" w:name="_Toc321430446"/>
      <w:bookmarkStart w:id="790" w:name="_Toc321761716"/>
      <w:bookmarkStart w:id="791" w:name="_Toc328601613"/>
      <w:bookmarkStart w:id="792" w:name="_Toc329051391"/>
      <w:bookmarkStart w:id="793" w:name="_Toc335915879"/>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9</w:t>
      </w:r>
      <w:r w:rsidR="00C7347D" w:rsidRPr="005911E2">
        <w:rPr>
          <w:noProof/>
        </w:rPr>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1</w:t>
      </w:r>
      <w:r w:rsidR="00C7347D" w:rsidRPr="005911E2">
        <w:rPr>
          <w:noProof/>
        </w:rPr>
        <w:fldChar w:fldCharType="end"/>
      </w:r>
      <w:bookmarkEnd w:id="786"/>
      <w:r w:rsidRPr="005911E2">
        <w:t xml:space="preserve"> </w:t>
      </w:r>
      <w:r w:rsidRPr="005911E2">
        <w:tab/>
        <w:t>Centrelink staff survey, length of time working at Centrelink</w:t>
      </w:r>
      <w:bookmarkEnd w:id="787"/>
      <w:bookmarkEnd w:id="788"/>
      <w:bookmarkEnd w:id="789"/>
      <w:bookmarkEnd w:id="790"/>
      <w:bookmarkEnd w:id="791"/>
      <w:bookmarkEnd w:id="792"/>
      <w:bookmarkEnd w:id="793"/>
      <w:r w:rsidRPr="005911E2">
        <w:t xml:space="preserve"> </w:t>
      </w:r>
    </w:p>
    <w:tbl>
      <w:tblPr>
        <w:tblW w:w="4212" w:type="dxa"/>
        <w:tblInd w:w="1803" w:type="dxa"/>
        <w:tblLook w:val="04A0" w:firstRow="1" w:lastRow="0" w:firstColumn="1" w:lastColumn="0" w:noHBand="0" w:noVBand="1"/>
      </w:tblPr>
      <w:tblGrid>
        <w:gridCol w:w="2977"/>
        <w:gridCol w:w="1235"/>
      </w:tblGrid>
      <w:tr w:rsidR="00DA796D" w:rsidRPr="008E5400" w:rsidTr="00783DF8">
        <w:trPr>
          <w:trHeight w:val="280"/>
        </w:trPr>
        <w:tc>
          <w:tcPr>
            <w:tcW w:w="2977" w:type="dxa"/>
            <w:tcBorders>
              <w:top w:val="single" w:sz="4" w:space="0" w:color="auto"/>
              <w:left w:val="nil"/>
              <w:bottom w:val="single" w:sz="4" w:space="0" w:color="auto"/>
              <w:right w:val="nil"/>
            </w:tcBorders>
            <w:shd w:val="clear" w:color="auto" w:fill="auto"/>
            <w:vAlign w:val="bottom"/>
            <w:hideMark/>
          </w:tcPr>
          <w:p w:rsidR="00DA796D" w:rsidRPr="008E5400" w:rsidRDefault="00DA796D" w:rsidP="008E5400">
            <w:pPr>
              <w:pStyle w:val="braytabletext"/>
              <w:rPr>
                <w:szCs w:val="16"/>
              </w:rPr>
            </w:pPr>
            <w:r w:rsidRPr="008E5400">
              <w:rPr>
                <w:szCs w:val="16"/>
              </w:rPr>
              <w:t>Duration of employment</w:t>
            </w:r>
          </w:p>
        </w:tc>
        <w:tc>
          <w:tcPr>
            <w:tcW w:w="1235" w:type="dxa"/>
            <w:tcBorders>
              <w:top w:val="single" w:sz="4" w:space="0" w:color="auto"/>
              <w:left w:val="nil"/>
              <w:bottom w:val="single" w:sz="4" w:space="0" w:color="auto"/>
              <w:right w:val="nil"/>
            </w:tcBorders>
            <w:shd w:val="clear" w:color="auto" w:fill="auto"/>
            <w:noWrap/>
            <w:vAlign w:val="center"/>
            <w:hideMark/>
          </w:tcPr>
          <w:p w:rsidR="00DA796D" w:rsidRPr="008E5400" w:rsidRDefault="00DA796D" w:rsidP="00783DF8">
            <w:pPr>
              <w:pStyle w:val="braytabletext"/>
              <w:jc w:val="right"/>
              <w:rPr>
                <w:szCs w:val="16"/>
              </w:rPr>
            </w:pPr>
            <w:r w:rsidRPr="008E5400">
              <w:rPr>
                <w:szCs w:val="16"/>
              </w:rPr>
              <w:t>Distribution</w:t>
            </w:r>
          </w:p>
        </w:tc>
      </w:tr>
      <w:tr w:rsidR="00DA796D" w:rsidRPr="008E5400" w:rsidTr="00B82B1F">
        <w:trPr>
          <w:trHeight w:val="300"/>
        </w:trPr>
        <w:tc>
          <w:tcPr>
            <w:tcW w:w="2977" w:type="dxa"/>
            <w:tcBorders>
              <w:top w:val="nil"/>
              <w:left w:val="nil"/>
              <w:bottom w:val="nil"/>
              <w:right w:val="nil"/>
            </w:tcBorders>
            <w:shd w:val="clear" w:color="auto" w:fill="auto"/>
            <w:noWrap/>
            <w:vAlign w:val="bottom"/>
            <w:hideMark/>
          </w:tcPr>
          <w:p w:rsidR="00DA796D" w:rsidRPr="008E5400" w:rsidRDefault="00DA796D" w:rsidP="008E5400">
            <w:pPr>
              <w:pStyle w:val="braytabletext"/>
              <w:rPr>
                <w:szCs w:val="16"/>
              </w:rPr>
            </w:pPr>
          </w:p>
        </w:tc>
        <w:tc>
          <w:tcPr>
            <w:tcW w:w="1235" w:type="dxa"/>
            <w:tcBorders>
              <w:top w:val="nil"/>
              <w:left w:val="nil"/>
              <w:bottom w:val="nil"/>
              <w:right w:val="nil"/>
            </w:tcBorders>
            <w:shd w:val="clear" w:color="auto" w:fill="auto"/>
            <w:noWrap/>
            <w:vAlign w:val="bottom"/>
            <w:hideMark/>
          </w:tcPr>
          <w:p w:rsidR="00DA796D" w:rsidRPr="008E5400" w:rsidRDefault="00DA796D" w:rsidP="008E5400">
            <w:pPr>
              <w:pStyle w:val="braytabletext"/>
              <w:jc w:val="right"/>
              <w:rPr>
                <w:szCs w:val="16"/>
              </w:rPr>
            </w:pPr>
            <w:r w:rsidRPr="008E5400">
              <w:rPr>
                <w:szCs w:val="16"/>
              </w:rPr>
              <w:t>- % -</w:t>
            </w:r>
          </w:p>
        </w:tc>
      </w:tr>
      <w:tr w:rsidR="00DA796D" w:rsidRPr="008E5400" w:rsidTr="00B82B1F">
        <w:trPr>
          <w:trHeight w:val="300"/>
        </w:trPr>
        <w:tc>
          <w:tcPr>
            <w:tcW w:w="2977" w:type="dxa"/>
            <w:tcBorders>
              <w:top w:val="nil"/>
              <w:left w:val="nil"/>
              <w:bottom w:val="nil"/>
              <w:right w:val="nil"/>
            </w:tcBorders>
            <w:shd w:val="clear" w:color="auto" w:fill="auto"/>
            <w:noWrap/>
            <w:vAlign w:val="bottom"/>
            <w:hideMark/>
          </w:tcPr>
          <w:p w:rsidR="00DA796D" w:rsidRPr="008E5400" w:rsidRDefault="00DA796D" w:rsidP="008E5400">
            <w:pPr>
              <w:pStyle w:val="braytabletext"/>
              <w:rPr>
                <w:szCs w:val="16"/>
              </w:rPr>
            </w:pPr>
            <w:r w:rsidRPr="008E5400">
              <w:rPr>
                <w:szCs w:val="16"/>
              </w:rPr>
              <w:t>Less than 1 year</w:t>
            </w:r>
          </w:p>
        </w:tc>
        <w:tc>
          <w:tcPr>
            <w:tcW w:w="1235" w:type="dxa"/>
            <w:tcBorders>
              <w:top w:val="nil"/>
              <w:left w:val="nil"/>
              <w:bottom w:val="nil"/>
              <w:right w:val="nil"/>
            </w:tcBorders>
            <w:shd w:val="clear" w:color="auto" w:fill="auto"/>
            <w:noWrap/>
            <w:vAlign w:val="bottom"/>
            <w:hideMark/>
          </w:tcPr>
          <w:p w:rsidR="00DA796D" w:rsidRPr="008E5400" w:rsidRDefault="00DA796D" w:rsidP="008E5400">
            <w:pPr>
              <w:pStyle w:val="braytabletext"/>
              <w:jc w:val="right"/>
              <w:rPr>
                <w:szCs w:val="16"/>
              </w:rPr>
            </w:pPr>
            <w:r w:rsidRPr="008E5400">
              <w:rPr>
                <w:szCs w:val="16"/>
              </w:rPr>
              <w:t>1</w:t>
            </w:r>
          </w:p>
        </w:tc>
      </w:tr>
      <w:tr w:rsidR="00DA796D" w:rsidRPr="008E5400" w:rsidTr="00B82B1F">
        <w:trPr>
          <w:trHeight w:val="300"/>
        </w:trPr>
        <w:tc>
          <w:tcPr>
            <w:tcW w:w="2977" w:type="dxa"/>
            <w:tcBorders>
              <w:top w:val="nil"/>
              <w:left w:val="nil"/>
              <w:bottom w:val="nil"/>
              <w:right w:val="nil"/>
            </w:tcBorders>
            <w:shd w:val="clear" w:color="auto" w:fill="auto"/>
            <w:noWrap/>
            <w:vAlign w:val="bottom"/>
            <w:hideMark/>
          </w:tcPr>
          <w:p w:rsidR="00DA796D" w:rsidRPr="008E5400" w:rsidRDefault="00DA796D" w:rsidP="008E5400">
            <w:pPr>
              <w:pStyle w:val="braytabletext"/>
              <w:rPr>
                <w:szCs w:val="16"/>
              </w:rPr>
            </w:pPr>
            <w:r w:rsidRPr="008E5400">
              <w:rPr>
                <w:szCs w:val="16"/>
              </w:rPr>
              <w:t>1 to 2 years</w:t>
            </w:r>
          </w:p>
        </w:tc>
        <w:tc>
          <w:tcPr>
            <w:tcW w:w="1235" w:type="dxa"/>
            <w:tcBorders>
              <w:top w:val="nil"/>
              <w:left w:val="nil"/>
              <w:bottom w:val="nil"/>
              <w:right w:val="nil"/>
            </w:tcBorders>
            <w:shd w:val="clear" w:color="auto" w:fill="auto"/>
            <w:noWrap/>
            <w:vAlign w:val="bottom"/>
            <w:hideMark/>
          </w:tcPr>
          <w:p w:rsidR="00DA796D" w:rsidRPr="008E5400" w:rsidRDefault="00DA796D" w:rsidP="008E5400">
            <w:pPr>
              <w:pStyle w:val="braytabletext"/>
              <w:jc w:val="right"/>
              <w:rPr>
                <w:szCs w:val="16"/>
              </w:rPr>
            </w:pPr>
            <w:r w:rsidRPr="008E5400">
              <w:rPr>
                <w:szCs w:val="16"/>
              </w:rPr>
              <w:t>22</w:t>
            </w:r>
          </w:p>
        </w:tc>
      </w:tr>
      <w:tr w:rsidR="00DA796D" w:rsidRPr="008E5400" w:rsidTr="00B82B1F">
        <w:trPr>
          <w:trHeight w:val="300"/>
        </w:trPr>
        <w:tc>
          <w:tcPr>
            <w:tcW w:w="2977" w:type="dxa"/>
            <w:tcBorders>
              <w:top w:val="nil"/>
              <w:left w:val="nil"/>
              <w:bottom w:val="nil"/>
              <w:right w:val="nil"/>
            </w:tcBorders>
            <w:shd w:val="clear" w:color="auto" w:fill="auto"/>
            <w:noWrap/>
            <w:vAlign w:val="bottom"/>
            <w:hideMark/>
          </w:tcPr>
          <w:p w:rsidR="00DA796D" w:rsidRPr="008E5400" w:rsidRDefault="00DA796D" w:rsidP="008E5400">
            <w:pPr>
              <w:pStyle w:val="braytabletext"/>
              <w:rPr>
                <w:szCs w:val="16"/>
              </w:rPr>
            </w:pPr>
            <w:r w:rsidRPr="008E5400">
              <w:rPr>
                <w:szCs w:val="16"/>
              </w:rPr>
              <w:t>2 to 3 years</w:t>
            </w:r>
          </w:p>
        </w:tc>
        <w:tc>
          <w:tcPr>
            <w:tcW w:w="1235" w:type="dxa"/>
            <w:tcBorders>
              <w:top w:val="nil"/>
              <w:left w:val="nil"/>
              <w:bottom w:val="nil"/>
              <w:right w:val="nil"/>
            </w:tcBorders>
            <w:shd w:val="clear" w:color="auto" w:fill="auto"/>
            <w:noWrap/>
            <w:vAlign w:val="bottom"/>
            <w:hideMark/>
          </w:tcPr>
          <w:p w:rsidR="00DA796D" w:rsidRPr="008E5400" w:rsidRDefault="00DA796D" w:rsidP="008E5400">
            <w:pPr>
              <w:pStyle w:val="braytabletext"/>
              <w:jc w:val="right"/>
              <w:rPr>
                <w:szCs w:val="16"/>
              </w:rPr>
            </w:pPr>
            <w:r w:rsidRPr="008E5400">
              <w:rPr>
                <w:szCs w:val="16"/>
              </w:rPr>
              <w:t>18</w:t>
            </w:r>
          </w:p>
        </w:tc>
      </w:tr>
      <w:tr w:rsidR="00DA796D" w:rsidRPr="008E5400" w:rsidTr="00B82B1F">
        <w:trPr>
          <w:trHeight w:val="300"/>
        </w:trPr>
        <w:tc>
          <w:tcPr>
            <w:tcW w:w="2977" w:type="dxa"/>
            <w:tcBorders>
              <w:top w:val="nil"/>
              <w:left w:val="nil"/>
              <w:bottom w:val="nil"/>
              <w:right w:val="nil"/>
            </w:tcBorders>
            <w:shd w:val="clear" w:color="auto" w:fill="auto"/>
            <w:noWrap/>
            <w:vAlign w:val="bottom"/>
            <w:hideMark/>
          </w:tcPr>
          <w:p w:rsidR="00DA796D" w:rsidRPr="008E5400" w:rsidRDefault="00DA796D" w:rsidP="008E5400">
            <w:pPr>
              <w:pStyle w:val="braytabletext"/>
              <w:rPr>
                <w:szCs w:val="16"/>
              </w:rPr>
            </w:pPr>
            <w:r w:rsidRPr="008E5400">
              <w:rPr>
                <w:szCs w:val="16"/>
              </w:rPr>
              <w:t>3 to 4 years</w:t>
            </w:r>
          </w:p>
        </w:tc>
        <w:tc>
          <w:tcPr>
            <w:tcW w:w="1235" w:type="dxa"/>
            <w:tcBorders>
              <w:top w:val="nil"/>
              <w:left w:val="nil"/>
              <w:bottom w:val="nil"/>
              <w:right w:val="nil"/>
            </w:tcBorders>
            <w:shd w:val="clear" w:color="auto" w:fill="auto"/>
            <w:noWrap/>
            <w:vAlign w:val="bottom"/>
            <w:hideMark/>
          </w:tcPr>
          <w:p w:rsidR="00DA796D" w:rsidRPr="008E5400" w:rsidRDefault="00DA796D" w:rsidP="008E5400">
            <w:pPr>
              <w:pStyle w:val="braytabletext"/>
              <w:jc w:val="right"/>
              <w:rPr>
                <w:szCs w:val="16"/>
              </w:rPr>
            </w:pPr>
            <w:r w:rsidRPr="008E5400">
              <w:rPr>
                <w:szCs w:val="16"/>
              </w:rPr>
              <w:t>13</w:t>
            </w:r>
          </w:p>
        </w:tc>
      </w:tr>
      <w:tr w:rsidR="00DA796D" w:rsidRPr="008E5400" w:rsidTr="00B82B1F">
        <w:trPr>
          <w:trHeight w:val="300"/>
        </w:trPr>
        <w:tc>
          <w:tcPr>
            <w:tcW w:w="2977" w:type="dxa"/>
            <w:tcBorders>
              <w:top w:val="nil"/>
              <w:left w:val="nil"/>
              <w:bottom w:val="nil"/>
              <w:right w:val="nil"/>
            </w:tcBorders>
            <w:shd w:val="clear" w:color="auto" w:fill="auto"/>
            <w:noWrap/>
            <w:vAlign w:val="bottom"/>
            <w:hideMark/>
          </w:tcPr>
          <w:p w:rsidR="00DA796D" w:rsidRPr="008E5400" w:rsidRDefault="00DA796D" w:rsidP="008E5400">
            <w:pPr>
              <w:pStyle w:val="braytabletext"/>
              <w:rPr>
                <w:szCs w:val="16"/>
              </w:rPr>
            </w:pPr>
            <w:r w:rsidRPr="008E5400">
              <w:rPr>
                <w:szCs w:val="16"/>
              </w:rPr>
              <w:t>4 to 5 years</w:t>
            </w:r>
          </w:p>
        </w:tc>
        <w:tc>
          <w:tcPr>
            <w:tcW w:w="1235" w:type="dxa"/>
            <w:tcBorders>
              <w:top w:val="nil"/>
              <w:left w:val="nil"/>
              <w:bottom w:val="nil"/>
              <w:right w:val="nil"/>
            </w:tcBorders>
            <w:shd w:val="clear" w:color="auto" w:fill="auto"/>
            <w:noWrap/>
            <w:vAlign w:val="bottom"/>
            <w:hideMark/>
          </w:tcPr>
          <w:p w:rsidR="00DA796D" w:rsidRPr="008E5400" w:rsidRDefault="00DA796D" w:rsidP="008E5400">
            <w:pPr>
              <w:pStyle w:val="braytabletext"/>
              <w:jc w:val="right"/>
              <w:rPr>
                <w:szCs w:val="16"/>
              </w:rPr>
            </w:pPr>
            <w:r w:rsidRPr="008E5400">
              <w:rPr>
                <w:szCs w:val="16"/>
              </w:rPr>
              <w:t>8</w:t>
            </w:r>
          </w:p>
        </w:tc>
      </w:tr>
      <w:tr w:rsidR="00DA796D" w:rsidRPr="008E5400" w:rsidTr="00B82B1F">
        <w:trPr>
          <w:trHeight w:val="300"/>
        </w:trPr>
        <w:tc>
          <w:tcPr>
            <w:tcW w:w="2977" w:type="dxa"/>
            <w:tcBorders>
              <w:top w:val="nil"/>
              <w:left w:val="nil"/>
              <w:right w:val="nil"/>
            </w:tcBorders>
            <w:shd w:val="clear" w:color="auto" w:fill="auto"/>
            <w:noWrap/>
            <w:vAlign w:val="bottom"/>
            <w:hideMark/>
          </w:tcPr>
          <w:p w:rsidR="00DA796D" w:rsidRPr="008E5400" w:rsidRDefault="00DA796D" w:rsidP="008E5400">
            <w:pPr>
              <w:pStyle w:val="braytabletext"/>
              <w:rPr>
                <w:szCs w:val="16"/>
              </w:rPr>
            </w:pPr>
            <w:r w:rsidRPr="008E5400">
              <w:rPr>
                <w:szCs w:val="16"/>
              </w:rPr>
              <w:t>More than 5 years</w:t>
            </w:r>
          </w:p>
        </w:tc>
        <w:tc>
          <w:tcPr>
            <w:tcW w:w="1235" w:type="dxa"/>
            <w:tcBorders>
              <w:top w:val="nil"/>
              <w:left w:val="nil"/>
              <w:right w:val="nil"/>
            </w:tcBorders>
            <w:shd w:val="clear" w:color="auto" w:fill="auto"/>
            <w:noWrap/>
            <w:vAlign w:val="bottom"/>
            <w:hideMark/>
          </w:tcPr>
          <w:p w:rsidR="00DA796D" w:rsidRPr="008E5400" w:rsidRDefault="00DA796D" w:rsidP="008E5400">
            <w:pPr>
              <w:pStyle w:val="braytabletext"/>
              <w:jc w:val="right"/>
              <w:rPr>
                <w:szCs w:val="16"/>
              </w:rPr>
            </w:pPr>
            <w:r w:rsidRPr="008E5400">
              <w:rPr>
                <w:szCs w:val="16"/>
              </w:rPr>
              <w:t>38</w:t>
            </w:r>
          </w:p>
        </w:tc>
      </w:tr>
      <w:tr w:rsidR="00DA796D" w:rsidRPr="008E5400" w:rsidTr="00B82B1F">
        <w:trPr>
          <w:trHeight w:val="300"/>
        </w:trPr>
        <w:tc>
          <w:tcPr>
            <w:tcW w:w="2977" w:type="dxa"/>
            <w:tcBorders>
              <w:top w:val="nil"/>
              <w:left w:val="nil"/>
              <w:bottom w:val="single" w:sz="4" w:space="0" w:color="auto"/>
              <w:right w:val="nil"/>
            </w:tcBorders>
            <w:shd w:val="clear" w:color="auto" w:fill="auto"/>
            <w:noWrap/>
            <w:vAlign w:val="bottom"/>
            <w:hideMark/>
          </w:tcPr>
          <w:p w:rsidR="00DA796D" w:rsidRPr="008E5400" w:rsidRDefault="00DA796D" w:rsidP="008E5400">
            <w:pPr>
              <w:pStyle w:val="braytabletext"/>
              <w:rPr>
                <w:szCs w:val="16"/>
              </w:rPr>
            </w:pPr>
            <w:r w:rsidRPr="008E5400">
              <w:rPr>
                <w:szCs w:val="16"/>
              </w:rPr>
              <w:t xml:space="preserve">Total </w:t>
            </w:r>
          </w:p>
        </w:tc>
        <w:tc>
          <w:tcPr>
            <w:tcW w:w="1235" w:type="dxa"/>
            <w:tcBorders>
              <w:top w:val="nil"/>
              <w:left w:val="nil"/>
              <w:bottom w:val="single" w:sz="4" w:space="0" w:color="auto"/>
              <w:right w:val="nil"/>
            </w:tcBorders>
            <w:shd w:val="clear" w:color="auto" w:fill="auto"/>
            <w:noWrap/>
            <w:vAlign w:val="bottom"/>
            <w:hideMark/>
          </w:tcPr>
          <w:p w:rsidR="00DA796D" w:rsidRPr="008E5400" w:rsidRDefault="00DA796D" w:rsidP="008E5400">
            <w:pPr>
              <w:pStyle w:val="braytabletext"/>
              <w:jc w:val="right"/>
              <w:rPr>
                <w:szCs w:val="16"/>
              </w:rPr>
            </w:pPr>
            <w:r w:rsidRPr="008E5400">
              <w:rPr>
                <w:szCs w:val="16"/>
              </w:rPr>
              <w:t>100</w:t>
            </w:r>
          </w:p>
        </w:tc>
      </w:tr>
    </w:tbl>
    <w:p w:rsidR="00DA796D" w:rsidRPr="005911E2" w:rsidRDefault="00DA796D" w:rsidP="00CF518E">
      <w:pPr>
        <w:pStyle w:val="tablefootnotes"/>
      </w:pPr>
      <w:r w:rsidRPr="005911E2">
        <w:rPr>
          <w:lang w:bidi="ar-SA"/>
        </w:rPr>
        <w:t xml:space="preserve">Source: </w:t>
      </w:r>
      <w:r w:rsidR="00FF16A3">
        <w:rPr>
          <w:lang w:bidi="ar-SA"/>
        </w:rPr>
        <w:tab/>
      </w:r>
      <w:r w:rsidRPr="005911E2">
        <w:rPr>
          <w:lang w:bidi="ar-SA"/>
        </w:rPr>
        <w:t>Survey of Centrelink Staff 2011</w:t>
      </w:r>
      <w:r w:rsidR="008E5400">
        <w:rPr>
          <w:lang w:bidi="ar-SA"/>
        </w:rPr>
        <w:t>.</w:t>
      </w:r>
    </w:p>
    <w:p w:rsidR="00DA796D" w:rsidRPr="005911E2" w:rsidRDefault="00DA796D" w:rsidP="00CF518E">
      <w:pPr>
        <w:pStyle w:val="tablefootnotes"/>
      </w:pPr>
    </w:p>
    <w:p w:rsidR="00DA796D" w:rsidRPr="005911E2" w:rsidRDefault="00DA796D" w:rsidP="00DA796D">
      <w:pPr>
        <w:rPr>
          <w:lang w:eastAsia="en-AU"/>
        </w:rPr>
      </w:pPr>
      <w:r w:rsidRPr="005911E2">
        <w:rPr>
          <w:lang w:eastAsia="en-AU"/>
        </w:rPr>
        <w:t xml:space="preserve">More than half of the respondents to the </w:t>
      </w:r>
      <w:r w:rsidR="002F2AEB">
        <w:rPr>
          <w:lang w:eastAsia="en-AU"/>
        </w:rPr>
        <w:t>s</w:t>
      </w:r>
      <w:r w:rsidRPr="005911E2">
        <w:rPr>
          <w:lang w:eastAsia="en-AU"/>
        </w:rPr>
        <w:t xml:space="preserve">urvey of Centrelink </w:t>
      </w:r>
      <w:r w:rsidR="002F2AEB">
        <w:rPr>
          <w:lang w:eastAsia="en-AU"/>
        </w:rPr>
        <w:t>s</w:t>
      </w:r>
      <w:r w:rsidRPr="005911E2">
        <w:rPr>
          <w:lang w:eastAsia="en-AU"/>
        </w:rPr>
        <w:t xml:space="preserve">taff (55 per cent) worked as </w:t>
      </w:r>
      <w:r w:rsidR="002F2AEB">
        <w:rPr>
          <w:lang w:eastAsia="en-AU"/>
        </w:rPr>
        <w:t>C</w:t>
      </w:r>
      <w:r w:rsidRPr="005911E2">
        <w:rPr>
          <w:lang w:eastAsia="en-AU"/>
        </w:rPr>
        <w:t xml:space="preserve">ustomer </w:t>
      </w:r>
      <w:r w:rsidR="002F2AEB">
        <w:rPr>
          <w:lang w:eastAsia="en-AU"/>
        </w:rPr>
        <w:t>S</w:t>
      </w:r>
      <w:r w:rsidRPr="005911E2">
        <w:rPr>
          <w:lang w:eastAsia="en-AU"/>
        </w:rPr>
        <w:t xml:space="preserve">ervice </w:t>
      </w:r>
      <w:r w:rsidR="002F2AEB">
        <w:rPr>
          <w:lang w:eastAsia="en-AU"/>
        </w:rPr>
        <w:t>A</w:t>
      </w:r>
      <w:r w:rsidRPr="005911E2">
        <w:rPr>
          <w:lang w:eastAsia="en-AU"/>
        </w:rPr>
        <w:t>dvis</w:t>
      </w:r>
      <w:r w:rsidR="00B450CA">
        <w:rPr>
          <w:lang w:eastAsia="en-AU"/>
        </w:rPr>
        <w:t>e</w:t>
      </w:r>
      <w:r w:rsidRPr="005911E2">
        <w:rPr>
          <w:lang w:eastAsia="en-AU"/>
        </w:rPr>
        <w:t xml:space="preserve">rs (Table </w:t>
      </w:r>
      <w:r w:rsidRPr="005911E2">
        <w:rPr>
          <w:noProof/>
          <w:lang w:eastAsia="en-AU"/>
        </w:rPr>
        <w:t>9</w:t>
      </w:r>
      <w:r w:rsidRPr="005911E2">
        <w:rPr>
          <w:lang w:eastAsia="en-AU"/>
        </w:rPr>
        <w:noBreakHyphen/>
      </w:r>
      <w:r w:rsidRPr="005911E2">
        <w:rPr>
          <w:noProof/>
          <w:lang w:eastAsia="en-AU"/>
        </w:rPr>
        <w:t>2</w:t>
      </w:r>
      <w:r w:rsidRPr="005911E2">
        <w:rPr>
          <w:lang w:eastAsia="en-AU"/>
        </w:rPr>
        <w:t>). Team leaders/managers made up 14 per cent of the respondents, 11</w:t>
      </w:r>
      <w:r w:rsidR="00B81D60">
        <w:rPr>
          <w:lang w:eastAsia="en-AU"/>
        </w:rPr>
        <w:t> </w:t>
      </w:r>
      <w:r w:rsidRPr="005911E2">
        <w:rPr>
          <w:lang w:eastAsia="en-AU"/>
        </w:rPr>
        <w:t>per cent were social workers</w:t>
      </w:r>
      <w:r w:rsidR="002F2AEB">
        <w:rPr>
          <w:lang w:eastAsia="en-AU"/>
        </w:rPr>
        <w:t>,</w:t>
      </w:r>
      <w:r w:rsidRPr="005911E2">
        <w:rPr>
          <w:lang w:eastAsia="en-AU"/>
        </w:rPr>
        <w:t xml:space="preserve"> and 5 per cent </w:t>
      </w:r>
      <w:r w:rsidR="002F2AEB">
        <w:rPr>
          <w:lang w:eastAsia="en-AU"/>
        </w:rPr>
        <w:t xml:space="preserve">were </w:t>
      </w:r>
      <w:r w:rsidR="00F878E4">
        <w:rPr>
          <w:lang w:eastAsia="en-AU"/>
        </w:rPr>
        <w:t>income management</w:t>
      </w:r>
      <w:r w:rsidRPr="005911E2">
        <w:rPr>
          <w:lang w:eastAsia="en-AU"/>
        </w:rPr>
        <w:t xml:space="preserve"> contact officers. The 14 per cent of </w:t>
      </w:r>
      <w:r w:rsidR="002F2AEB">
        <w:rPr>
          <w:lang w:eastAsia="en-AU"/>
        </w:rPr>
        <w:t>‘</w:t>
      </w:r>
      <w:r w:rsidRPr="005911E2">
        <w:rPr>
          <w:lang w:eastAsia="en-AU"/>
        </w:rPr>
        <w:t>other</w:t>
      </w:r>
      <w:r w:rsidR="002F2AEB">
        <w:rPr>
          <w:lang w:eastAsia="en-AU"/>
        </w:rPr>
        <w:t>’</w:t>
      </w:r>
      <w:r w:rsidRPr="005911E2">
        <w:rPr>
          <w:lang w:eastAsia="en-AU"/>
        </w:rPr>
        <w:t xml:space="preserve"> responses included project officers, trip leaders, senior practitioners and T</w:t>
      </w:r>
      <w:r w:rsidR="002F2AEB">
        <w:rPr>
          <w:lang w:eastAsia="en-AU"/>
        </w:rPr>
        <w:t xml:space="preserve">hird </w:t>
      </w:r>
      <w:r w:rsidRPr="005911E2">
        <w:rPr>
          <w:lang w:eastAsia="en-AU"/>
        </w:rPr>
        <w:t>P</w:t>
      </w:r>
      <w:r w:rsidR="002F2AEB">
        <w:rPr>
          <w:lang w:eastAsia="en-AU"/>
        </w:rPr>
        <w:t xml:space="preserve">arty </w:t>
      </w:r>
      <w:r w:rsidRPr="005911E2">
        <w:rPr>
          <w:lang w:eastAsia="en-AU"/>
        </w:rPr>
        <w:t>O</w:t>
      </w:r>
      <w:r w:rsidR="002F2AEB">
        <w:rPr>
          <w:lang w:eastAsia="en-AU"/>
        </w:rPr>
        <w:t>rganisations</w:t>
      </w:r>
      <w:r w:rsidRPr="005911E2">
        <w:rPr>
          <w:rFonts w:asciiTheme="minorHAnsi" w:hAnsiTheme="minorHAnsi"/>
          <w:vertAlign w:val="superscript"/>
          <w:lang w:eastAsia="en-AU"/>
        </w:rPr>
        <w:footnoteReference w:id="89"/>
      </w:r>
      <w:r w:rsidRPr="005911E2">
        <w:rPr>
          <w:lang w:eastAsia="en-AU"/>
        </w:rPr>
        <w:t xml:space="preserve"> account managers. </w:t>
      </w:r>
    </w:p>
    <w:p w:rsidR="00DA796D" w:rsidRPr="005911E2" w:rsidRDefault="00DA796D" w:rsidP="00DA796D">
      <w:pPr>
        <w:pStyle w:val="tabfighead"/>
      </w:pPr>
      <w:bookmarkStart w:id="794" w:name="_Ref194666098"/>
      <w:bookmarkStart w:id="795" w:name="_Toc321254566"/>
      <w:bookmarkStart w:id="796" w:name="_Toc321430447"/>
      <w:bookmarkStart w:id="797" w:name="_Toc321761717"/>
      <w:bookmarkStart w:id="798" w:name="_Toc328601614"/>
      <w:bookmarkStart w:id="799" w:name="_Toc329051392"/>
      <w:bookmarkStart w:id="800" w:name="_Toc335915880"/>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9</w:t>
      </w:r>
      <w:r w:rsidR="00C7347D" w:rsidRPr="005911E2">
        <w:rPr>
          <w:noProof/>
        </w:rPr>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2</w:t>
      </w:r>
      <w:r w:rsidR="00C7347D" w:rsidRPr="005911E2">
        <w:rPr>
          <w:noProof/>
        </w:rPr>
        <w:fldChar w:fldCharType="end"/>
      </w:r>
      <w:bookmarkEnd w:id="794"/>
      <w:r w:rsidRPr="005911E2">
        <w:t xml:space="preserve"> </w:t>
      </w:r>
      <w:r w:rsidRPr="005911E2">
        <w:tab/>
        <w:t>Centrelink staff survey, primary occupation</w:t>
      </w:r>
      <w:bookmarkEnd w:id="795"/>
      <w:bookmarkEnd w:id="796"/>
      <w:bookmarkEnd w:id="797"/>
      <w:bookmarkEnd w:id="798"/>
      <w:bookmarkEnd w:id="799"/>
      <w:bookmarkEnd w:id="800"/>
    </w:p>
    <w:tbl>
      <w:tblPr>
        <w:tblStyle w:val="MediumList111"/>
        <w:tblW w:w="4781" w:type="dxa"/>
        <w:tblInd w:w="1803" w:type="dxa"/>
        <w:tblBorders>
          <w:top w:val="none" w:sz="0" w:space="0" w:color="auto"/>
          <w:bottom w:val="none" w:sz="0" w:space="0" w:color="auto"/>
        </w:tblBorders>
        <w:tblLook w:val="06A0" w:firstRow="1" w:lastRow="0" w:firstColumn="1" w:lastColumn="0" w:noHBand="1" w:noVBand="1"/>
        <w:tblCaption w:val="Table 9 2  Centrelink staff survey, primary occupation"/>
        <w:tblDescription w:val="Table 9-2 Centrelink staff survey, primary occupation"/>
      </w:tblPr>
      <w:tblGrid>
        <w:gridCol w:w="3546"/>
        <w:gridCol w:w="1235"/>
      </w:tblGrid>
      <w:tr w:rsidR="00DA796D" w:rsidRPr="008E5400" w:rsidTr="009D15E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546" w:type="dxa"/>
            <w:tcBorders>
              <w:top w:val="single" w:sz="4" w:space="0" w:color="auto"/>
              <w:bottom w:val="single" w:sz="4" w:space="0" w:color="auto"/>
            </w:tcBorders>
            <w:vAlign w:val="center"/>
            <w:hideMark/>
          </w:tcPr>
          <w:p w:rsidR="00DA796D" w:rsidRPr="008E5400" w:rsidRDefault="00DA796D" w:rsidP="00B82B1F">
            <w:pPr>
              <w:keepNext/>
              <w:keepLines/>
              <w:spacing w:after="60" w:line="240" w:lineRule="auto"/>
              <w:ind w:left="0"/>
              <w:jc w:val="left"/>
              <w:rPr>
                <w:rFonts w:cs="Arial"/>
                <w:b w:val="0"/>
                <w:color w:val="000000"/>
                <w:sz w:val="16"/>
                <w:szCs w:val="16"/>
                <w:lang w:eastAsia="en-AU" w:bidi="ar-SA"/>
              </w:rPr>
            </w:pPr>
            <w:r w:rsidRPr="008E5400">
              <w:rPr>
                <w:rFonts w:cs="Arial"/>
                <w:b w:val="0"/>
                <w:color w:val="000000"/>
                <w:sz w:val="16"/>
                <w:szCs w:val="16"/>
                <w:lang w:eastAsia="en-AU" w:bidi="ar-SA"/>
              </w:rPr>
              <w:t>Occupational role within Centrelink</w:t>
            </w:r>
          </w:p>
        </w:tc>
        <w:tc>
          <w:tcPr>
            <w:tcW w:w="1235" w:type="dxa"/>
            <w:tcBorders>
              <w:top w:val="single" w:sz="4" w:space="0" w:color="auto"/>
              <w:bottom w:val="single" w:sz="4" w:space="0" w:color="auto"/>
            </w:tcBorders>
            <w:vAlign w:val="center"/>
            <w:hideMark/>
          </w:tcPr>
          <w:p w:rsidR="00DA796D" w:rsidRPr="008E5400" w:rsidRDefault="00DA796D" w:rsidP="00B82B1F">
            <w:pPr>
              <w:keepNext/>
              <w:keepLines/>
              <w:spacing w:after="60" w:line="240" w:lineRule="auto"/>
              <w:ind w:left="0"/>
              <w:jc w:val="right"/>
              <w:cnfStyle w:val="100000000000" w:firstRow="1" w:lastRow="0" w:firstColumn="0" w:lastColumn="0" w:oddVBand="0" w:evenVBand="0" w:oddHBand="0" w:evenHBand="0" w:firstRowFirstColumn="0" w:firstRowLastColumn="0" w:lastRowFirstColumn="0" w:lastRowLastColumn="0"/>
              <w:rPr>
                <w:rFonts w:cs="Arial"/>
                <w:color w:val="000000"/>
                <w:sz w:val="16"/>
                <w:szCs w:val="16"/>
                <w:lang w:eastAsia="en-AU" w:bidi="ar-SA"/>
              </w:rPr>
            </w:pPr>
            <w:r w:rsidRPr="008E5400">
              <w:rPr>
                <w:rFonts w:cs="Arial"/>
                <w:color w:val="000000"/>
                <w:sz w:val="16"/>
                <w:szCs w:val="16"/>
                <w:lang w:eastAsia="en-AU" w:bidi="ar-SA"/>
              </w:rPr>
              <w:t>Responses</w:t>
            </w:r>
          </w:p>
        </w:tc>
      </w:tr>
      <w:tr w:rsidR="00DA796D" w:rsidRPr="008E5400" w:rsidTr="00B82B1F">
        <w:trPr>
          <w:trHeight w:val="300"/>
        </w:trPr>
        <w:tc>
          <w:tcPr>
            <w:cnfStyle w:val="001000000000" w:firstRow="0" w:lastRow="0" w:firstColumn="1" w:lastColumn="0" w:oddVBand="0" w:evenVBand="0" w:oddHBand="0" w:evenHBand="0" w:firstRowFirstColumn="0" w:firstRowLastColumn="0" w:lastRowFirstColumn="0" w:lastRowLastColumn="0"/>
            <w:tcW w:w="3546" w:type="dxa"/>
            <w:tcBorders>
              <w:top w:val="single" w:sz="4" w:space="0" w:color="auto"/>
            </w:tcBorders>
            <w:hideMark/>
          </w:tcPr>
          <w:p w:rsidR="00DA796D" w:rsidRPr="008E5400" w:rsidRDefault="00DA796D" w:rsidP="00DA796D">
            <w:pPr>
              <w:keepNext/>
              <w:keepLines/>
              <w:spacing w:after="60" w:line="240" w:lineRule="auto"/>
              <w:ind w:left="0"/>
              <w:jc w:val="left"/>
              <w:rPr>
                <w:rFonts w:cs="Arial"/>
                <w:b w:val="0"/>
                <w:color w:val="000000"/>
                <w:sz w:val="16"/>
                <w:szCs w:val="16"/>
                <w:lang w:eastAsia="en-AU" w:bidi="ar-SA"/>
              </w:rPr>
            </w:pPr>
          </w:p>
        </w:tc>
        <w:tc>
          <w:tcPr>
            <w:tcW w:w="1235" w:type="dxa"/>
            <w:tcBorders>
              <w:top w:val="single" w:sz="4" w:space="0" w:color="auto"/>
            </w:tcBorders>
            <w:hideMark/>
          </w:tcPr>
          <w:p w:rsidR="00DA796D" w:rsidRPr="008E5400" w:rsidRDefault="00DA796D" w:rsidP="00DA796D">
            <w:pPr>
              <w:keepNext/>
              <w:keepLines/>
              <w:spacing w:after="6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n-AU" w:bidi="ar-SA"/>
              </w:rPr>
            </w:pPr>
            <w:r w:rsidRPr="008E5400">
              <w:rPr>
                <w:rFonts w:cs="Arial"/>
                <w:color w:val="000000"/>
                <w:sz w:val="16"/>
                <w:szCs w:val="16"/>
                <w:lang w:eastAsia="en-AU" w:bidi="ar-SA"/>
              </w:rPr>
              <w:t>- % -</w:t>
            </w:r>
          </w:p>
        </w:tc>
      </w:tr>
      <w:tr w:rsidR="00DA796D" w:rsidRPr="008E5400" w:rsidTr="00B82B1F">
        <w:trPr>
          <w:trHeight w:val="300"/>
        </w:trPr>
        <w:tc>
          <w:tcPr>
            <w:cnfStyle w:val="001000000000" w:firstRow="0" w:lastRow="0" w:firstColumn="1" w:lastColumn="0" w:oddVBand="0" w:evenVBand="0" w:oddHBand="0" w:evenHBand="0" w:firstRowFirstColumn="0" w:firstRowLastColumn="0" w:lastRowFirstColumn="0" w:lastRowLastColumn="0"/>
            <w:tcW w:w="3546" w:type="dxa"/>
            <w:hideMark/>
          </w:tcPr>
          <w:p w:rsidR="00DA796D" w:rsidRPr="008E5400" w:rsidRDefault="00DA796D" w:rsidP="00DA796D">
            <w:pPr>
              <w:keepNext/>
              <w:keepLines/>
              <w:spacing w:after="60" w:line="240" w:lineRule="auto"/>
              <w:ind w:left="0"/>
              <w:jc w:val="left"/>
              <w:rPr>
                <w:rFonts w:cs="Arial"/>
                <w:b w:val="0"/>
                <w:color w:val="000000"/>
                <w:sz w:val="16"/>
                <w:szCs w:val="16"/>
                <w:lang w:eastAsia="en-AU" w:bidi="ar-SA"/>
              </w:rPr>
            </w:pPr>
            <w:r w:rsidRPr="008E5400">
              <w:rPr>
                <w:rFonts w:cs="Arial"/>
                <w:b w:val="0"/>
                <w:color w:val="000000"/>
                <w:sz w:val="16"/>
                <w:szCs w:val="16"/>
                <w:lang w:eastAsia="en-AU" w:bidi="ar-SA"/>
              </w:rPr>
              <w:t>Team leader/ manager</w:t>
            </w:r>
          </w:p>
        </w:tc>
        <w:tc>
          <w:tcPr>
            <w:tcW w:w="1235" w:type="dxa"/>
            <w:hideMark/>
          </w:tcPr>
          <w:p w:rsidR="00DA796D" w:rsidRPr="008E5400" w:rsidRDefault="00DA796D" w:rsidP="00DA796D">
            <w:pPr>
              <w:keepNext/>
              <w:keepLines/>
              <w:spacing w:after="60" w:line="240" w:lineRule="auto"/>
              <w:ind w:left="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n-AU" w:bidi="ar-SA"/>
              </w:rPr>
            </w:pPr>
            <w:r w:rsidRPr="008E5400">
              <w:rPr>
                <w:rFonts w:cs="Arial"/>
                <w:color w:val="000000"/>
                <w:sz w:val="16"/>
                <w:szCs w:val="16"/>
                <w:lang w:eastAsia="en-AU" w:bidi="ar-SA"/>
              </w:rPr>
              <w:t>14</w:t>
            </w:r>
          </w:p>
        </w:tc>
      </w:tr>
      <w:tr w:rsidR="00DA796D" w:rsidRPr="008E5400" w:rsidTr="00B82B1F">
        <w:trPr>
          <w:trHeight w:val="300"/>
        </w:trPr>
        <w:tc>
          <w:tcPr>
            <w:cnfStyle w:val="001000000000" w:firstRow="0" w:lastRow="0" w:firstColumn="1" w:lastColumn="0" w:oddVBand="0" w:evenVBand="0" w:oddHBand="0" w:evenHBand="0" w:firstRowFirstColumn="0" w:firstRowLastColumn="0" w:lastRowFirstColumn="0" w:lastRowLastColumn="0"/>
            <w:tcW w:w="3546" w:type="dxa"/>
            <w:hideMark/>
          </w:tcPr>
          <w:p w:rsidR="00DA796D" w:rsidRPr="008E5400" w:rsidRDefault="00DA796D" w:rsidP="00DA796D">
            <w:pPr>
              <w:keepNext/>
              <w:keepLines/>
              <w:spacing w:after="60" w:line="240" w:lineRule="auto"/>
              <w:ind w:left="0"/>
              <w:jc w:val="left"/>
              <w:rPr>
                <w:rFonts w:cs="Arial"/>
                <w:b w:val="0"/>
                <w:color w:val="000000"/>
                <w:sz w:val="16"/>
                <w:szCs w:val="16"/>
                <w:lang w:eastAsia="en-AU" w:bidi="ar-SA"/>
              </w:rPr>
            </w:pPr>
            <w:r w:rsidRPr="008E5400">
              <w:rPr>
                <w:rFonts w:cs="Arial"/>
                <w:b w:val="0"/>
                <w:color w:val="000000"/>
                <w:sz w:val="16"/>
                <w:szCs w:val="16"/>
                <w:lang w:eastAsia="en-AU" w:bidi="ar-SA"/>
              </w:rPr>
              <w:t>Customer Service Adviser</w:t>
            </w:r>
          </w:p>
        </w:tc>
        <w:tc>
          <w:tcPr>
            <w:tcW w:w="1235" w:type="dxa"/>
            <w:hideMark/>
          </w:tcPr>
          <w:p w:rsidR="00DA796D" w:rsidRPr="008E5400" w:rsidRDefault="00DA796D" w:rsidP="00DA796D">
            <w:pPr>
              <w:keepNext/>
              <w:keepLines/>
              <w:spacing w:after="60" w:line="240" w:lineRule="auto"/>
              <w:ind w:left="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n-AU" w:bidi="ar-SA"/>
              </w:rPr>
            </w:pPr>
            <w:r w:rsidRPr="008E5400">
              <w:rPr>
                <w:rFonts w:cs="Arial"/>
                <w:color w:val="000000"/>
                <w:sz w:val="16"/>
                <w:szCs w:val="16"/>
                <w:lang w:eastAsia="en-AU" w:bidi="ar-SA"/>
              </w:rPr>
              <w:t>55</w:t>
            </w:r>
          </w:p>
        </w:tc>
      </w:tr>
      <w:tr w:rsidR="00DA796D" w:rsidRPr="008E5400" w:rsidTr="00B82B1F">
        <w:trPr>
          <w:trHeight w:val="300"/>
        </w:trPr>
        <w:tc>
          <w:tcPr>
            <w:cnfStyle w:val="001000000000" w:firstRow="0" w:lastRow="0" w:firstColumn="1" w:lastColumn="0" w:oddVBand="0" w:evenVBand="0" w:oddHBand="0" w:evenHBand="0" w:firstRowFirstColumn="0" w:firstRowLastColumn="0" w:lastRowFirstColumn="0" w:lastRowLastColumn="0"/>
            <w:tcW w:w="3546" w:type="dxa"/>
            <w:hideMark/>
          </w:tcPr>
          <w:p w:rsidR="00DA796D" w:rsidRPr="008E5400" w:rsidRDefault="00DA796D" w:rsidP="00DA796D">
            <w:pPr>
              <w:keepNext/>
              <w:keepLines/>
              <w:spacing w:after="60" w:line="240" w:lineRule="auto"/>
              <w:ind w:left="0"/>
              <w:jc w:val="left"/>
              <w:rPr>
                <w:rFonts w:cs="Arial"/>
                <w:b w:val="0"/>
                <w:color w:val="000000"/>
                <w:sz w:val="16"/>
                <w:szCs w:val="16"/>
                <w:lang w:eastAsia="en-AU" w:bidi="ar-SA"/>
              </w:rPr>
            </w:pPr>
            <w:r w:rsidRPr="008E5400">
              <w:rPr>
                <w:rFonts w:cs="Arial"/>
                <w:b w:val="0"/>
                <w:color w:val="000000"/>
                <w:sz w:val="16"/>
                <w:szCs w:val="16"/>
                <w:lang w:eastAsia="en-AU" w:bidi="ar-SA"/>
              </w:rPr>
              <w:t>Income Management Contact Officer</w:t>
            </w:r>
          </w:p>
        </w:tc>
        <w:tc>
          <w:tcPr>
            <w:tcW w:w="1235" w:type="dxa"/>
            <w:hideMark/>
          </w:tcPr>
          <w:p w:rsidR="00DA796D" w:rsidRPr="008E5400" w:rsidRDefault="00DA796D" w:rsidP="00DA796D">
            <w:pPr>
              <w:keepNext/>
              <w:keepLines/>
              <w:spacing w:after="60" w:line="240" w:lineRule="auto"/>
              <w:ind w:left="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n-AU" w:bidi="ar-SA"/>
              </w:rPr>
            </w:pPr>
            <w:r w:rsidRPr="008E5400">
              <w:rPr>
                <w:rFonts w:cs="Arial"/>
                <w:color w:val="000000"/>
                <w:sz w:val="16"/>
                <w:szCs w:val="16"/>
                <w:lang w:eastAsia="en-AU" w:bidi="ar-SA"/>
              </w:rPr>
              <w:t>5</w:t>
            </w:r>
          </w:p>
        </w:tc>
      </w:tr>
      <w:tr w:rsidR="00DA796D" w:rsidRPr="008E5400" w:rsidTr="00B82B1F">
        <w:trPr>
          <w:trHeight w:val="300"/>
        </w:trPr>
        <w:tc>
          <w:tcPr>
            <w:cnfStyle w:val="001000000000" w:firstRow="0" w:lastRow="0" w:firstColumn="1" w:lastColumn="0" w:oddVBand="0" w:evenVBand="0" w:oddHBand="0" w:evenHBand="0" w:firstRowFirstColumn="0" w:firstRowLastColumn="0" w:lastRowFirstColumn="0" w:lastRowLastColumn="0"/>
            <w:tcW w:w="3546" w:type="dxa"/>
            <w:hideMark/>
          </w:tcPr>
          <w:p w:rsidR="00DA796D" w:rsidRPr="008E5400" w:rsidRDefault="00DA796D" w:rsidP="00DA796D">
            <w:pPr>
              <w:keepNext/>
              <w:keepLines/>
              <w:spacing w:after="60" w:line="240" w:lineRule="auto"/>
              <w:ind w:left="0"/>
              <w:jc w:val="left"/>
              <w:rPr>
                <w:rFonts w:cs="Arial"/>
                <w:b w:val="0"/>
                <w:color w:val="000000"/>
                <w:sz w:val="16"/>
                <w:szCs w:val="16"/>
                <w:lang w:eastAsia="en-AU" w:bidi="ar-SA"/>
              </w:rPr>
            </w:pPr>
            <w:r w:rsidRPr="008E5400">
              <w:rPr>
                <w:rFonts w:cs="Arial"/>
                <w:b w:val="0"/>
                <w:color w:val="000000"/>
                <w:sz w:val="16"/>
                <w:szCs w:val="16"/>
                <w:lang w:eastAsia="en-AU" w:bidi="ar-SA"/>
              </w:rPr>
              <w:t>Social Worker</w:t>
            </w:r>
          </w:p>
        </w:tc>
        <w:tc>
          <w:tcPr>
            <w:tcW w:w="1235" w:type="dxa"/>
            <w:hideMark/>
          </w:tcPr>
          <w:p w:rsidR="00DA796D" w:rsidRPr="008E5400" w:rsidRDefault="00DA796D" w:rsidP="00DA796D">
            <w:pPr>
              <w:keepNext/>
              <w:keepLines/>
              <w:spacing w:after="60" w:line="240" w:lineRule="auto"/>
              <w:ind w:left="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n-AU" w:bidi="ar-SA"/>
              </w:rPr>
            </w:pPr>
            <w:r w:rsidRPr="008E5400">
              <w:rPr>
                <w:rFonts w:cs="Arial"/>
                <w:color w:val="000000"/>
                <w:sz w:val="16"/>
                <w:szCs w:val="16"/>
                <w:lang w:eastAsia="en-AU" w:bidi="ar-SA"/>
              </w:rPr>
              <w:t>11</w:t>
            </w:r>
          </w:p>
        </w:tc>
      </w:tr>
      <w:tr w:rsidR="00DA796D" w:rsidRPr="008E5400" w:rsidTr="00B82B1F">
        <w:trPr>
          <w:trHeight w:val="300"/>
        </w:trPr>
        <w:tc>
          <w:tcPr>
            <w:cnfStyle w:val="001000000000" w:firstRow="0" w:lastRow="0" w:firstColumn="1" w:lastColumn="0" w:oddVBand="0" w:evenVBand="0" w:oddHBand="0" w:evenHBand="0" w:firstRowFirstColumn="0" w:firstRowLastColumn="0" w:lastRowFirstColumn="0" w:lastRowLastColumn="0"/>
            <w:tcW w:w="3546" w:type="dxa"/>
            <w:hideMark/>
          </w:tcPr>
          <w:p w:rsidR="00DA796D" w:rsidRPr="008E5400" w:rsidRDefault="00DA796D" w:rsidP="00DA796D">
            <w:pPr>
              <w:keepNext/>
              <w:keepLines/>
              <w:spacing w:after="60" w:line="240" w:lineRule="auto"/>
              <w:ind w:left="0"/>
              <w:jc w:val="left"/>
              <w:rPr>
                <w:rFonts w:cs="Arial"/>
                <w:b w:val="0"/>
                <w:color w:val="000000"/>
                <w:sz w:val="16"/>
                <w:szCs w:val="16"/>
                <w:lang w:eastAsia="en-AU" w:bidi="ar-SA"/>
              </w:rPr>
            </w:pPr>
            <w:r w:rsidRPr="008E5400">
              <w:rPr>
                <w:rFonts w:cs="Arial"/>
                <w:b w:val="0"/>
                <w:color w:val="000000"/>
                <w:sz w:val="16"/>
                <w:szCs w:val="16"/>
                <w:lang w:eastAsia="en-AU" w:bidi="ar-SA"/>
              </w:rPr>
              <w:t xml:space="preserve">Other </w:t>
            </w:r>
          </w:p>
        </w:tc>
        <w:tc>
          <w:tcPr>
            <w:tcW w:w="1235" w:type="dxa"/>
            <w:hideMark/>
          </w:tcPr>
          <w:p w:rsidR="00DA796D" w:rsidRPr="008E5400" w:rsidRDefault="00DA796D" w:rsidP="00DA796D">
            <w:pPr>
              <w:keepNext/>
              <w:keepLines/>
              <w:spacing w:after="60" w:line="240" w:lineRule="auto"/>
              <w:ind w:left="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n-AU" w:bidi="ar-SA"/>
              </w:rPr>
            </w:pPr>
            <w:r w:rsidRPr="008E5400">
              <w:rPr>
                <w:rFonts w:cs="Arial"/>
                <w:color w:val="000000"/>
                <w:sz w:val="16"/>
                <w:szCs w:val="16"/>
                <w:lang w:eastAsia="en-AU" w:bidi="ar-SA"/>
              </w:rPr>
              <w:t>15</w:t>
            </w:r>
          </w:p>
        </w:tc>
      </w:tr>
      <w:tr w:rsidR="00DA796D" w:rsidRPr="008E5400" w:rsidTr="00B82B1F">
        <w:trPr>
          <w:trHeight w:val="300"/>
        </w:trPr>
        <w:tc>
          <w:tcPr>
            <w:cnfStyle w:val="001000000000" w:firstRow="0" w:lastRow="0" w:firstColumn="1" w:lastColumn="0" w:oddVBand="0" w:evenVBand="0" w:oddHBand="0" w:evenHBand="0" w:firstRowFirstColumn="0" w:firstRowLastColumn="0" w:lastRowFirstColumn="0" w:lastRowLastColumn="0"/>
            <w:tcW w:w="3546" w:type="dxa"/>
            <w:tcBorders>
              <w:bottom w:val="single" w:sz="4" w:space="0" w:color="auto"/>
            </w:tcBorders>
            <w:hideMark/>
          </w:tcPr>
          <w:p w:rsidR="00DA796D" w:rsidRPr="008E5400" w:rsidRDefault="00DA796D" w:rsidP="00DA796D">
            <w:pPr>
              <w:keepNext/>
              <w:keepLines/>
              <w:spacing w:after="60" w:line="240" w:lineRule="auto"/>
              <w:ind w:left="0"/>
              <w:jc w:val="left"/>
              <w:rPr>
                <w:rFonts w:cs="Arial"/>
                <w:b w:val="0"/>
                <w:color w:val="000000"/>
                <w:sz w:val="16"/>
                <w:szCs w:val="16"/>
                <w:lang w:eastAsia="en-AU" w:bidi="ar-SA"/>
              </w:rPr>
            </w:pPr>
            <w:r w:rsidRPr="008E5400">
              <w:rPr>
                <w:rFonts w:cs="Arial"/>
                <w:b w:val="0"/>
                <w:color w:val="000000"/>
                <w:sz w:val="16"/>
                <w:szCs w:val="16"/>
                <w:lang w:eastAsia="en-AU" w:bidi="ar-SA"/>
              </w:rPr>
              <w:t>Total</w:t>
            </w:r>
          </w:p>
        </w:tc>
        <w:tc>
          <w:tcPr>
            <w:tcW w:w="1235" w:type="dxa"/>
            <w:tcBorders>
              <w:bottom w:val="single" w:sz="4" w:space="0" w:color="auto"/>
            </w:tcBorders>
            <w:hideMark/>
          </w:tcPr>
          <w:p w:rsidR="00DA796D" w:rsidRPr="008E5400" w:rsidRDefault="00DA796D" w:rsidP="00DA796D">
            <w:pPr>
              <w:keepNext/>
              <w:keepLines/>
              <w:spacing w:after="60" w:line="240" w:lineRule="auto"/>
              <w:ind w:left="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n-AU" w:bidi="ar-SA"/>
              </w:rPr>
            </w:pPr>
            <w:r w:rsidRPr="008E5400">
              <w:rPr>
                <w:rFonts w:cs="Arial"/>
                <w:color w:val="000000"/>
                <w:sz w:val="16"/>
                <w:szCs w:val="16"/>
                <w:lang w:eastAsia="en-AU" w:bidi="ar-SA"/>
              </w:rPr>
              <w:t>100</w:t>
            </w:r>
          </w:p>
        </w:tc>
      </w:tr>
      <w:tr w:rsidR="00DA796D" w:rsidRPr="008E5400" w:rsidTr="00B82B1F">
        <w:trPr>
          <w:trHeight w:val="300"/>
        </w:trPr>
        <w:tc>
          <w:tcPr>
            <w:cnfStyle w:val="001000000000" w:firstRow="0" w:lastRow="0" w:firstColumn="1" w:lastColumn="0" w:oddVBand="0" w:evenVBand="0" w:oddHBand="0" w:evenHBand="0" w:firstRowFirstColumn="0" w:firstRowLastColumn="0" w:lastRowFirstColumn="0" w:lastRowLastColumn="0"/>
            <w:tcW w:w="3546" w:type="dxa"/>
            <w:tcBorders>
              <w:top w:val="single" w:sz="4" w:space="0" w:color="auto"/>
              <w:bottom w:val="single" w:sz="4" w:space="0" w:color="auto"/>
            </w:tcBorders>
            <w:vAlign w:val="center"/>
            <w:hideMark/>
          </w:tcPr>
          <w:p w:rsidR="00DA796D" w:rsidRPr="008E5400" w:rsidRDefault="00DA796D" w:rsidP="00B82B1F">
            <w:pPr>
              <w:keepNext/>
              <w:keepLines/>
              <w:spacing w:after="60" w:line="240" w:lineRule="auto"/>
              <w:ind w:left="0"/>
              <w:jc w:val="left"/>
              <w:rPr>
                <w:rFonts w:cs="Arial"/>
                <w:b w:val="0"/>
                <w:color w:val="000000"/>
                <w:sz w:val="16"/>
                <w:szCs w:val="16"/>
                <w:lang w:eastAsia="en-AU" w:bidi="ar-SA"/>
              </w:rPr>
            </w:pPr>
            <w:r w:rsidRPr="008E5400">
              <w:rPr>
                <w:rFonts w:cs="Arial"/>
                <w:b w:val="0"/>
                <w:color w:val="000000"/>
                <w:sz w:val="16"/>
                <w:szCs w:val="16"/>
                <w:lang w:eastAsia="en-AU" w:bidi="ar-SA"/>
              </w:rPr>
              <w:t>Number of respondents</w:t>
            </w:r>
          </w:p>
        </w:tc>
        <w:tc>
          <w:tcPr>
            <w:tcW w:w="1235" w:type="dxa"/>
            <w:tcBorders>
              <w:top w:val="single" w:sz="4" w:space="0" w:color="auto"/>
              <w:bottom w:val="single" w:sz="4" w:space="0" w:color="auto"/>
            </w:tcBorders>
            <w:vAlign w:val="center"/>
            <w:hideMark/>
          </w:tcPr>
          <w:p w:rsidR="00DA796D" w:rsidRPr="008E5400" w:rsidRDefault="00DA796D" w:rsidP="00B82B1F">
            <w:pPr>
              <w:keepNext/>
              <w:keepLines/>
              <w:spacing w:after="60" w:line="240" w:lineRule="auto"/>
              <w:ind w:left="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n-AU" w:bidi="ar-SA"/>
              </w:rPr>
            </w:pPr>
            <w:r w:rsidRPr="008E5400">
              <w:rPr>
                <w:rFonts w:cs="Arial"/>
                <w:color w:val="000000"/>
                <w:sz w:val="16"/>
                <w:szCs w:val="16"/>
                <w:lang w:eastAsia="en-AU" w:bidi="ar-SA"/>
              </w:rPr>
              <w:t>128</w:t>
            </w:r>
          </w:p>
        </w:tc>
      </w:tr>
    </w:tbl>
    <w:p w:rsidR="00DA796D" w:rsidRPr="005911E2" w:rsidRDefault="00DA796D" w:rsidP="00CF518E">
      <w:pPr>
        <w:pStyle w:val="tablefootnotes"/>
        <w:rPr>
          <w:rFonts w:cs="Arial"/>
          <w:szCs w:val="20"/>
        </w:rPr>
      </w:pPr>
      <w:r w:rsidRPr="005911E2">
        <w:rPr>
          <w:lang w:bidi="ar-SA"/>
        </w:rPr>
        <w:t xml:space="preserve">Source: </w:t>
      </w:r>
      <w:r w:rsidR="00FF16A3">
        <w:rPr>
          <w:lang w:bidi="ar-SA"/>
        </w:rPr>
        <w:tab/>
      </w:r>
      <w:r w:rsidRPr="005911E2">
        <w:t>Survey</w:t>
      </w:r>
      <w:r w:rsidRPr="005911E2">
        <w:rPr>
          <w:lang w:bidi="ar-SA"/>
        </w:rPr>
        <w:t xml:space="preserve"> of Centrelink Staff 2011</w:t>
      </w:r>
      <w:r w:rsidRPr="005911E2">
        <w:rPr>
          <w:rFonts w:cs="Arial"/>
          <w:szCs w:val="20"/>
        </w:rPr>
        <w:t>.</w:t>
      </w:r>
    </w:p>
    <w:p w:rsidR="00DA796D" w:rsidRPr="005911E2" w:rsidRDefault="00DA796D" w:rsidP="00CF518E">
      <w:pPr>
        <w:pStyle w:val="tablefootnotes"/>
      </w:pPr>
    </w:p>
    <w:p w:rsidR="00DA796D" w:rsidRPr="005911E2" w:rsidRDefault="00DA796D" w:rsidP="00DA796D">
      <w:r w:rsidRPr="005911E2">
        <w:t>The respondents came from a wide range of locations within Centrelink</w:t>
      </w:r>
      <w:r w:rsidR="002F2AEB">
        <w:t>;</w:t>
      </w:r>
      <w:r w:rsidRPr="005911E2">
        <w:t xml:space="preserve"> 28 per cent worked in the remote area servicing team, 27</w:t>
      </w:r>
      <w:r w:rsidR="00B81D60">
        <w:t> </w:t>
      </w:r>
      <w:r w:rsidRPr="005911E2">
        <w:t>per cent in a call centre</w:t>
      </w:r>
      <w:r w:rsidR="002F2AEB">
        <w:t>,</w:t>
      </w:r>
      <w:r w:rsidRPr="005911E2">
        <w:t xml:space="preserve"> and 20 per cent in a customer service centre. </w:t>
      </w:r>
      <w:r w:rsidR="002F2AEB">
        <w:t>‘</w:t>
      </w:r>
      <w:r w:rsidRPr="005911E2">
        <w:t>Other</w:t>
      </w:r>
      <w:r w:rsidR="002F2AEB">
        <w:t>’</w:t>
      </w:r>
      <w:r w:rsidRPr="005911E2">
        <w:t xml:space="preserve"> responses included </w:t>
      </w:r>
      <w:r w:rsidR="002F2AEB">
        <w:t>‘</w:t>
      </w:r>
      <w:r w:rsidRPr="005911E2">
        <w:t>outposted</w:t>
      </w:r>
      <w:r w:rsidR="002F2AEB">
        <w:t>’</w:t>
      </w:r>
      <w:r w:rsidRPr="005911E2">
        <w:t xml:space="preserve"> and remote visiting teams (Table </w:t>
      </w:r>
      <w:r w:rsidRPr="005911E2">
        <w:rPr>
          <w:noProof/>
        </w:rPr>
        <w:t>9</w:t>
      </w:r>
      <w:r w:rsidRPr="005911E2">
        <w:noBreakHyphen/>
      </w:r>
      <w:r w:rsidRPr="005911E2">
        <w:rPr>
          <w:noProof/>
        </w:rPr>
        <w:t>3</w:t>
      </w:r>
      <w:r w:rsidRPr="005911E2">
        <w:t>).</w:t>
      </w:r>
    </w:p>
    <w:p w:rsidR="00DA796D" w:rsidRPr="005911E2" w:rsidRDefault="00DA796D" w:rsidP="00DA796D">
      <w:pPr>
        <w:pStyle w:val="tabfighead"/>
      </w:pPr>
      <w:bookmarkStart w:id="801" w:name="_Ref194666110"/>
      <w:bookmarkStart w:id="802" w:name="_Toc321254567"/>
      <w:bookmarkStart w:id="803" w:name="_Toc321430448"/>
      <w:bookmarkStart w:id="804" w:name="_Toc321761718"/>
      <w:bookmarkStart w:id="805" w:name="_Toc328601615"/>
      <w:bookmarkStart w:id="806" w:name="_Toc329051393"/>
      <w:bookmarkStart w:id="807" w:name="_Toc335915881"/>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9</w:t>
      </w:r>
      <w:r w:rsidR="00C7347D" w:rsidRPr="005911E2">
        <w:rPr>
          <w:noProof/>
        </w:rPr>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3</w:t>
      </w:r>
      <w:r w:rsidR="00C7347D" w:rsidRPr="005911E2">
        <w:rPr>
          <w:noProof/>
        </w:rPr>
        <w:fldChar w:fldCharType="end"/>
      </w:r>
      <w:bookmarkEnd w:id="801"/>
      <w:r w:rsidRPr="005911E2">
        <w:t xml:space="preserve"> </w:t>
      </w:r>
      <w:r w:rsidRPr="005911E2">
        <w:tab/>
        <w:t>Centrelink staff survey, location of employment</w:t>
      </w:r>
      <w:bookmarkEnd w:id="802"/>
      <w:bookmarkEnd w:id="803"/>
      <w:bookmarkEnd w:id="804"/>
      <w:bookmarkEnd w:id="805"/>
      <w:bookmarkEnd w:id="806"/>
      <w:bookmarkEnd w:id="807"/>
    </w:p>
    <w:tbl>
      <w:tblPr>
        <w:tblW w:w="4678" w:type="dxa"/>
        <w:tblInd w:w="1809" w:type="dxa"/>
        <w:tblLook w:val="04A0" w:firstRow="1" w:lastRow="0" w:firstColumn="1" w:lastColumn="0" w:noHBand="0" w:noVBand="1"/>
      </w:tblPr>
      <w:tblGrid>
        <w:gridCol w:w="3544"/>
        <w:gridCol w:w="1134"/>
      </w:tblGrid>
      <w:tr w:rsidR="00DA796D" w:rsidRPr="008E5400" w:rsidTr="00B82B1F">
        <w:trPr>
          <w:trHeight w:val="300"/>
        </w:trPr>
        <w:tc>
          <w:tcPr>
            <w:tcW w:w="3544" w:type="dxa"/>
            <w:tcBorders>
              <w:top w:val="single" w:sz="4" w:space="0" w:color="auto"/>
              <w:left w:val="nil"/>
              <w:bottom w:val="single" w:sz="4" w:space="0" w:color="auto"/>
              <w:right w:val="nil"/>
            </w:tcBorders>
            <w:shd w:val="clear" w:color="auto" w:fill="auto"/>
            <w:vAlign w:val="bottom"/>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Where do you work in Centrelink?</w:t>
            </w:r>
          </w:p>
        </w:tc>
        <w:tc>
          <w:tcPr>
            <w:tcW w:w="1134" w:type="dxa"/>
            <w:tcBorders>
              <w:top w:val="single" w:sz="4" w:space="0" w:color="auto"/>
              <w:left w:val="nil"/>
              <w:bottom w:val="single" w:sz="4" w:space="0" w:color="auto"/>
              <w:right w:val="nil"/>
            </w:tcBorders>
            <w:shd w:val="clear" w:color="auto" w:fill="auto"/>
            <w:vAlign w:val="bottom"/>
            <w:hideMark/>
          </w:tcPr>
          <w:p w:rsidR="00DA796D" w:rsidRPr="008E5400" w:rsidRDefault="00DA796D" w:rsidP="00783DF8">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 xml:space="preserve"> Responses</w:t>
            </w:r>
          </w:p>
        </w:tc>
      </w:tr>
      <w:tr w:rsidR="00DA796D" w:rsidRPr="008E5400" w:rsidTr="00B82B1F">
        <w:trPr>
          <w:trHeight w:val="300"/>
        </w:trPr>
        <w:tc>
          <w:tcPr>
            <w:tcW w:w="3544" w:type="dxa"/>
            <w:tcBorders>
              <w:top w:val="single" w:sz="4" w:space="0" w:color="auto"/>
              <w:left w:val="nil"/>
              <w:right w:val="nil"/>
            </w:tcBorders>
            <w:shd w:val="clear" w:color="auto" w:fill="auto"/>
            <w:vAlign w:val="bottom"/>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p>
        </w:tc>
        <w:tc>
          <w:tcPr>
            <w:tcW w:w="1134" w:type="dxa"/>
            <w:tcBorders>
              <w:top w:val="single" w:sz="4" w:space="0" w:color="auto"/>
              <w:left w:val="nil"/>
              <w:right w:val="nil"/>
            </w:tcBorders>
            <w:shd w:val="clear" w:color="auto" w:fill="auto"/>
            <w:vAlign w:val="bottom"/>
            <w:hideMark/>
          </w:tcPr>
          <w:p w:rsidR="00DA796D" w:rsidRPr="008E5400" w:rsidRDefault="00DA796D" w:rsidP="00DA796D">
            <w:pPr>
              <w:keepNext/>
              <w:keepLines/>
              <w:spacing w:after="60" w:line="240" w:lineRule="auto"/>
              <w:ind w:left="0"/>
              <w:jc w:val="center"/>
              <w:rPr>
                <w:rFonts w:cs="Arial"/>
                <w:color w:val="000000"/>
                <w:sz w:val="16"/>
                <w:szCs w:val="16"/>
                <w:lang w:eastAsia="en-AU" w:bidi="ar-SA"/>
              </w:rPr>
            </w:pPr>
            <w:r w:rsidRPr="008E5400">
              <w:rPr>
                <w:rFonts w:cs="Arial"/>
                <w:color w:val="000000"/>
                <w:sz w:val="16"/>
                <w:szCs w:val="16"/>
                <w:lang w:eastAsia="en-AU" w:bidi="ar-SA"/>
              </w:rPr>
              <w:t>- % -</w:t>
            </w:r>
          </w:p>
        </w:tc>
      </w:tr>
      <w:tr w:rsidR="00DA796D" w:rsidRPr="008E5400" w:rsidTr="00B82B1F">
        <w:trPr>
          <w:trHeight w:val="300"/>
        </w:trPr>
        <w:tc>
          <w:tcPr>
            <w:tcW w:w="3544" w:type="dxa"/>
            <w:tcBorders>
              <w:left w:val="nil"/>
              <w:right w:val="nil"/>
            </w:tcBorders>
            <w:shd w:val="clear" w:color="auto" w:fill="auto"/>
            <w:vAlign w:val="bottom"/>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In a customer service centre</w:t>
            </w:r>
          </w:p>
        </w:tc>
        <w:tc>
          <w:tcPr>
            <w:tcW w:w="1134" w:type="dxa"/>
            <w:tcBorders>
              <w:left w:val="nil"/>
              <w:right w:val="nil"/>
            </w:tcBorders>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20</w:t>
            </w:r>
          </w:p>
        </w:tc>
      </w:tr>
      <w:tr w:rsidR="00DA796D" w:rsidRPr="008E5400" w:rsidTr="00B82B1F">
        <w:trPr>
          <w:trHeight w:val="300"/>
        </w:trPr>
        <w:tc>
          <w:tcPr>
            <w:tcW w:w="3544" w:type="dxa"/>
            <w:tcBorders>
              <w:left w:val="nil"/>
              <w:right w:val="nil"/>
            </w:tcBorders>
            <w:shd w:val="clear" w:color="auto" w:fill="auto"/>
            <w:vAlign w:val="bottom"/>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In a call centre</w:t>
            </w:r>
          </w:p>
        </w:tc>
        <w:tc>
          <w:tcPr>
            <w:tcW w:w="1134" w:type="dxa"/>
            <w:tcBorders>
              <w:left w:val="nil"/>
              <w:right w:val="nil"/>
            </w:tcBorders>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27</w:t>
            </w:r>
          </w:p>
        </w:tc>
      </w:tr>
      <w:tr w:rsidR="00DA796D" w:rsidRPr="008E5400" w:rsidTr="00B82B1F">
        <w:trPr>
          <w:trHeight w:val="300"/>
        </w:trPr>
        <w:tc>
          <w:tcPr>
            <w:tcW w:w="3544" w:type="dxa"/>
            <w:tcBorders>
              <w:left w:val="nil"/>
              <w:right w:val="nil"/>
            </w:tcBorders>
            <w:shd w:val="clear" w:color="auto" w:fill="auto"/>
            <w:vAlign w:val="bottom"/>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In a remote area service centre</w:t>
            </w:r>
          </w:p>
        </w:tc>
        <w:tc>
          <w:tcPr>
            <w:tcW w:w="1134" w:type="dxa"/>
            <w:tcBorders>
              <w:left w:val="nil"/>
              <w:right w:val="nil"/>
            </w:tcBorders>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3</w:t>
            </w:r>
          </w:p>
        </w:tc>
      </w:tr>
      <w:tr w:rsidR="00DA796D" w:rsidRPr="008E5400" w:rsidTr="00B82B1F">
        <w:trPr>
          <w:trHeight w:val="300"/>
        </w:trPr>
        <w:tc>
          <w:tcPr>
            <w:tcW w:w="3544" w:type="dxa"/>
            <w:tcBorders>
              <w:left w:val="nil"/>
              <w:right w:val="nil"/>
            </w:tcBorders>
            <w:shd w:val="clear" w:color="auto" w:fill="auto"/>
            <w:vAlign w:val="bottom"/>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As part of a remote area servicing team</w:t>
            </w:r>
          </w:p>
        </w:tc>
        <w:tc>
          <w:tcPr>
            <w:tcW w:w="1134" w:type="dxa"/>
            <w:tcBorders>
              <w:left w:val="nil"/>
              <w:right w:val="nil"/>
            </w:tcBorders>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28</w:t>
            </w:r>
          </w:p>
        </w:tc>
      </w:tr>
      <w:tr w:rsidR="00DA796D" w:rsidRPr="008E5400" w:rsidTr="00B82B1F">
        <w:trPr>
          <w:trHeight w:val="300"/>
        </w:trPr>
        <w:tc>
          <w:tcPr>
            <w:tcW w:w="3544" w:type="dxa"/>
            <w:tcBorders>
              <w:left w:val="nil"/>
              <w:right w:val="nil"/>
            </w:tcBorders>
            <w:shd w:val="clear" w:color="auto" w:fill="auto"/>
            <w:vAlign w:val="bottom"/>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State Office/National Office</w:t>
            </w:r>
          </w:p>
        </w:tc>
        <w:tc>
          <w:tcPr>
            <w:tcW w:w="1134" w:type="dxa"/>
            <w:tcBorders>
              <w:left w:val="nil"/>
              <w:right w:val="nil"/>
            </w:tcBorders>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14</w:t>
            </w:r>
          </w:p>
        </w:tc>
      </w:tr>
      <w:tr w:rsidR="00DA796D" w:rsidRPr="008E5400" w:rsidTr="00B82B1F">
        <w:trPr>
          <w:trHeight w:val="300"/>
        </w:trPr>
        <w:tc>
          <w:tcPr>
            <w:tcW w:w="3544" w:type="dxa"/>
            <w:tcBorders>
              <w:left w:val="nil"/>
              <w:right w:val="nil"/>
            </w:tcBorders>
            <w:shd w:val="clear" w:color="auto" w:fill="auto"/>
            <w:vAlign w:val="bottom"/>
            <w:hideMark/>
          </w:tcPr>
          <w:p w:rsidR="00DA796D" w:rsidRPr="008E5400" w:rsidRDefault="00DA796D" w:rsidP="00F8413B">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Other</w:t>
            </w:r>
          </w:p>
        </w:tc>
        <w:tc>
          <w:tcPr>
            <w:tcW w:w="1134" w:type="dxa"/>
            <w:tcBorders>
              <w:left w:val="nil"/>
              <w:right w:val="nil"/>
            </w:tcBorders>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8</w:t>
            </w:r>
          </w:p>
        </w:tc>
      </w:tr>
      <w:tr w:rsidR="00DA796D" w:rsidRPr="008E5400" w:rsidTr="00B82B1F">
        <w:trPr>
          <w:trHeight w:val="300"/>
        </w:trPr>
        <w:tc>
          <w:tcPr>
            <w:tcW w:w="3544" w:type="dxa"/>
            <w:tcBorders>
              <w:left w:val="nil"/>
              <w:bottom w:val="single" w:sz="4" w:space="0" w:color="auto"/>
              <w:right w:val="nil"/>
            </w:tcBorders>
            <w:shd w:val="clear" w:color="auto" w:fill="auto"/>
            <w:vAlign w:val="bottom"/>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Total</w:t>
            </w:r>
          </w:p>
        </w:tc>
        <w:tc>
          <w:tcPr>
            <w:tcW w:w="1134" w:type="dxa"/>
            <w:tcBorders>
              <w:left w:val="nil"/>
              <w:bottom w:val="single" w:sz="4" w:space="0" w:color="auto"/>
              <w:right w:val="nil"/>
            </w:tcBorders>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100</w:t>
            </w:r>
          </w:p>
        </w:tc>
      </w:tr>
      <w:tr w:rsidR="00DA796D" w:rsidRPr="008E5400" w:rsidTr="00B82B1F">
        <w:trPr>
          <w:trHeight w:val="300"/>
        </w:trPr>
        <w:tc>
          <w:tcPr>
            <w:tcW w:w="3544" w:type="dxa"/>
            <w:tcBorders>
              <w:top w:val="single" w:sz="4" w:space="0" w:color="auto"/>
              <w:left w:val="nil"/>
              <w:bottom w:val="single" w:sz="4" w:space="0" w:color="auto"/>
              <w:right w:val="nil"/>
            </w:tcBorders>
            <w:shd w:val="clear" w:color="auto" w:fill="auto"/>
            <w:vAlign w:val="bottom"/>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Number of respondents</w:t>
            </w:r>
          </w:p>
        </w:tc>
        <w:tc>
          <w:tcPr>
            <w:tcW w:w="1134" w:type="dxa"/>
            <w:tcBorders>
              <w:top w:val="single" w:sz="4" w:space="0" w:color="auto"/>
              <w:left w:val="nil"/>
              <w:bottom w:val="single" w:sz="4" w:space="0" w:color="auto"/>
              <w:right w:val="nil"/>
            </w:tcBorders>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128</w:t>
            </w:r>
          </w:p>
        </w:tc>
      </w:tr>
    </w:tbl>
    <w:p w:rsidR="00DA796D" w:rsidRPr="005911E2" w:rsidRDefault="00DA796D" w:rsidP="00CF518E">
      <w:pPr>
        <w:pStyle w:val="tablefootnotes"/>
      </w:pPr>
      <w:r w:rsidRPr="005911E2">
        <w:t>Source:</w:t>
      </w:r>
      <w:r w:rsidR="00FF16A3">
        <w:tab/>
      </w:r>
      <w:r w:rsidRPr="005911E2">
        <w:t xml:space="preserve"> Survey of Centrelink Staff 2011.</w:t>
      </w:r>
    </w:p>
    <w:p w:rsidR="00DA796D" w:rsidRPr="005911E2" w:rsidRDefault="00DA796D" w:rsidP="00CF518E">
      <w:pPr>
        <w:pStyle w:val="tablefootnotes"/>
      </w:pPr>
    </w:p>
    <w:p w:rsidR="00C277C5" w:rsidRDefault="00DA796D" w:rsidP="00C277C5">
      <w:r w:rsidRPr="005911E2">
        <w:rPr>
          <w:lang w:eastAsia="en-AU"/>
        </w:rPr>
        <w:t xml:space="preserve">Respondents to the </w:t>
      </w:r>
      <w:r w:rsidR="00C277C5">
        <w:rPr>
          <w:lang w:eastAsia="en-AU"/>
        </w:rPr>
        <w:t>s</w:t>
      </w:r>
      <w:r w:rsidRPr="005911E2">
        <w:rPr>
          <w:lang w:eastAsia="en-AU"/>
        </w:rPr>
        <w:t xml:space="preserve">urvey of Centrelink </w:t>
      </w:r>
      <w:r w:rsidR="00C277C5">
        <w:rPr>
          <w:lang w:eastAsia="en-AU"/>
        </w:rPr>
        <w:t>s</w:t>
      </w:r>
      <w:r w:rsidRPr="005911E2">
        <w:rPr>
          <w:lang w:eastAsia="en-AU"/>
        </w:rPr>
        <w:t xml:space="preserve">taff were asked whether they provided services </w:t>
      </w:r>
      <w:r w:rsidR="00C277C5" w:rsidRPr="005911E2">
        <w:rPr>
          <w:lang w:eastAsia="en-AU"/>
        </w:rPr>
        <w:t xml:space="preserve">primarily </w:t>
      </w:r>
      <w:r w:rsidRPr="005911E2">
        <w:rPr>
          <w:lang w:eastAsia="en-AU"/>
        </w:rPr>
        <w:t>to clients from urban, rural or remote clients. Respondents were allowed to select more than one of these responses. Most Centrelink respondents (84 per cent) indicated that they worked with clients from remote areas. Around half said that they worked with clients in urban areas</w:t>
      </w:r>
      <w:r w:rsidR="00C277C5">
        <w:rPr>
          <w:lang w:eastAsia="en-AU"/>
        </w:rPr>
        <w:t>,</w:t>
      </w:r>
      <w:r w:rsidRPr="005911E2">
        <w:rPr>
          <w:lang w:eastAsia="en-AU"/>
        </w:rPr>
        <w:t xml:space="preserve"> and 39 per cent reported working with clients in rural areas</w:t>
      </w:r>
      <w:r w:rsidR="00614538" w:rsidRPr="005911E2">
        <w:rPr>
          <w:lang w:eastAsia="en-AU"/>
        </w:rPr>
        <w:t>.</w:t>
      </w:r>
      <w:r w:rsidR="00614538">
        <w:rPr>
          <w:lang w:eastAsia="en-AU"/>
        </w:rPr>
        <w:t xml:space="preserve"> </w:t>
      </w:r>
    </w:p>
    <w:p w:rsidR="00C277C5" w:rsidRPr="005911E2" w:rsidRDefault="00C277C5" w:rsidP="00C277C5">
      <w:r w:rsidRPr="005911E2">
        <w:t xml:space="preserve">Table </w:t>
      </w:r>
      <w:r w:rsidRPr="005911E2">
        <w:rPr>
          <w:noProof/>
        </w:rPr>
        <w:t>9</w:t>
      </w:r>
      <w:r w:rsidRPr="005911E2">
        <w:noBreakHyphen/>
      </w:r>
      <w:r w:rsidRPr="005911E2">
        <w:rPr>
          <w:noProof/>
        </w:rPr>
        <w:t>4</w:t>
      </w:r>
      <w:r w:rsidRPr="005911E2">
        <w:t xml:space="preserve"> shows the extent to which the work of respondents involves </w:t>
      </w:r>
      <w:r>
        <w:t>income management</w:t>
      </w:r>
      <w:r w:rsidRPr="005911E2">
        <w:t xml:space="preserve">. Most respondents had extensive engagement with </w:t>
      </w:r>
      <w:r>
        <w:t>income management</w:t>
      </w:r>
      <w:r w:rsidRPr="005911E2">
        <w:t xml:space="preserve"> with 95 per cent indicating that their work involved </w:t>
      </w:r>
      <w:r>
        <w:t>income management</w:t>
      </w:r>
      <w:r w:rsidRPr="005911E2">
        <w:t xml:space="preserve"> at the time of the survey</w:t>
      </w:r>
      <w:r>
        <w:t>,</w:t>
      </w:r>
      <w:r w:rsidRPr="005911E2">
        <w:t xml:space="preserve"> and the balance saying that while their work did not currently involve </w:t>
      </w:r>
      <w:r>
        <w:t>income management,</w:t>
      </w:r>
      <w:r w:rsidRPr="005911E2">
        <w:t xml:space="preserve"> it had previously. Most respondents (74 per cent) reported that their work had related to </w:t>
      </w:r>
      <w:r>
        <w:t>income management</w:t>
      </w:r>
      <w:r w:rsidRPr="005911E2">
        <w:t xml:space="preserve"> for more than 12 months.</w:t>
      </w:r>
    </w:p>
    <w:p w:rsidR="00DA796D" w:rsidRPr="005911E2" w:rsidRDefault="00DA796D" w:rsidP="00DA796D">
      <w:pPr>
        <w:pStyle w:val="tabfighead"/>
      </w:pPr>
      <w:bookmarkStart w:id="808" w:name="_Ref194060925"/>
      <w:bookmarkStart w:id="809" w:name="_Toc321254568"/>
      <w:bookmarkStart w:id="810" w:name="_Toc321430449"/>
      <w:bookmarkStart w:id="811" w:name="_Toc321761719"/>
      <w:bookmarkStart w:id="812" w:name="_Toc328601616"/>
      <w:bookmarkStart w:id="813" w:name="_Toc329051394"/>
      <w:bookmarkStart w:id="814" w:name="_Toc335915882"/>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9</w:t>
      </w:r>
      <w:r w:rsidR="00C7347D" w:rsidRPr="005911E2">
        <w:rPr>
          <w:noProof/>
        </w:rPr>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4</w:t>
      </w:r>
      <w:r w:rsidR="00C7347D" w:rsidRPr="005911E2">
        <w:rPr>
          <w:noProof/>
        </w:rPr>
        <w:fldChar w:fldCharType="end"/>
      </w:r>
      <w:bookmarkEnd w:id="808"/>
      <w:r w:rsidRPr="005911E2">
        <w:t xml:space="preserve"> </w:t>
      </w:r>
      <w:r w:rsidRPr="005911E2">
        <w:tab/>
        <w:t xml:space="preserve">Extent of involvement with </w:t>
      </w:r>
      <w:bookmarkEnd w:id="809"/>
      <w:bookmarkEnd w:id="810"/>
      <w:bookmarkEnd w:id="811"/>
      <w:r w:rsidR="00F878E4">
        <w:t>income management</w:t>
      </w:r>
      <w:bookmarkEnd w:id="812"/>
      <w:bookmarkEnd w:id="813"/>
      <w:bookmarkEnd w:id="814"/>
      <w:r w:rsidRPr="005911E2">
        <w:t xml:space="preserve"> </w:t>
      </w:r>
    </w:p>
    <w:tbl>
      <w:tblPr>
        <w:tblW w:w="5969" w:type="dxa"/>
        <w:tblInd w:w="1920" w:type="dxa"/>
        <w:tblLook w:val="04A0" w:firstRow="1" w:lastRow="0" w:firstColumn="1" w:lastColumn="0" w:noHBand="0" w:noVBand="1"/>
      </w:tblPr>
      <w:tblGrid>
        <w:gridCol w:w="4840"/>
        <w:gridCol w:w="1129"/>
      </w:tblGrid>
      <w:tr w:rsidR="00DA796D" w:rsidRPr="008E5400" w:rsidTr="00B82B1F">
        <w:trPr>
          <w:trHeight w:val="300"/>
        </w:trPr>
        <w:tc>
          <w:tcPr>
            <w:tcW w:w="4840" w:type="dxa"/>
            <w:tcBorders>
              <w:top w:val="single" w:sz="4" w:space="0" w:color="auto"/>
              <w:bottom w:val="single" w:sz="4" w:space="0" w:color="auto"/>
            </w:tcBorders>
            <w:shd w:val="clear" w:color="auto" w:fill="auto"/>
            <w:vAlign w:val="bottom"/>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 xml:space="preserve">Involvement with </w:t>
            </w:r>
            <w:r w:rsidR="00F878E4" w:rsidRPr="008E5400">
              <w:rPr>
                <w:rFonts w:cs="Arial"/>
                <w:color w:val="000000"/>
                <w:sz w:val="16"/>
                <w:szCs w:val="16"/>
                <w:lang w:eastAsia="en-AU" w:bidi="ar-SA"/>
              </w:rPr>
              <w:t>income management</w:t>
            </w:r>
          </w:p>
        </w:tc>
        <w:tc>
          <w:tcPr>
            <w:tcW w:w="1129" w:type="dxa"/>
            <w:tcBorders>
              <w:top w:val="single" w:sz="4" w:space="0" w:color="auto"/>
              <w:bottom w:val="single" w:sz="4" w:space="0" w:color="auto"/>
            </w:tcBorders>
            <w:shd w:val="clear" w:color="auto" w:fill="auto"/>
            <w:vAlign w:val="bottom"/>
            <w:hideMark/>
          </w:tcPr>
          <w:p w:rsidR="00DA796D" w:rsidRPr="008E5400" w:rsidRDefault="00DA796D" w:rsidP="00783DF8">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Responses</w:t>
            </w:r>
          </w:p>
        </w:tc>
      </w:tr>
      <w:tr w:rsidR="00DA796D" w:rsidRPr="008E5400" w:rsidTr="00B82B1F">
        <w:trPr>
          <w:trHeight w:val="300"/>
        </w:trPr>
        <w:tc>
          <w:tcPr>
            <w:tcW w:w="4840" w:type="dxa"/>
            <w:tcBorders>
              <w:top w:val="single" w:sz="4" w:space="0" w:color="auto"/>
            </w:tcBorders>
            <w:shd w:val="clear" w:color="auto" w:fill="auto"/>
            <w:vAlign w:val="bottom"/>
            <w:hideMark/>
          </w:tcPr>
          <w:p w:rsidR="00DA796D" w:rsidRPr="008E5400" w:rsidRDefault="00DA796D" w:rsidP="00DA796D">
            <w:pPr>
              <w:keepNext/>
              <w:keepLines/>
              <w:spacing w:after="60" w:line="240" w:lineRule="auto"/>
              <w:ind w:left="0"/>
              <w:jc w:val="left"/>
              <w:rPr>
                <w:rFonts w:cs="Arial"/>
                <w:b/>
                <w:color w:val="000000"/>
                <w:sz w:val="16"/>
                <w:szCs w:val="16"/>
                <w:lang w:eastAsia="en-AU" w:bidi="ar-SA"/>
              </w:rPr>
            </w:pPr>
          </w:p>
        </w:tc>
        <w:tc>
          <w:tcPr>
            <w:tcW w:w="1129" w:type="dxa"/>
            <w:tcBorders>
              <w:top w:val="single" w:sz="4" w:space="0" w:color="auto"/>
            </w:tcBorders>
            <w:shd w:val="clear" w:color="auto" w:fill="auto"/>
            <w:vAlign w:val="bottom"/>
            <w:hideMark/>
          </w:tcPr>
          <w:p w:rsidR="00DA796D" w:rsidRPr="008E5400" w:rsidRDefault="00DA796D" w:rsidP="00DA796D">
            <w:pPr>
              <w:keepNext/>
              <w:keepLines/>
              <w:spacing w:after="60" w:line="240" w:lineRule="auto"/>
              <w:ind w:left="0"/>
              <w:jc w:val="center"/>
              <w:rPr>
                <w:rFonts w:cs="Arial"/>
                <w:color w:val="000000"/>
                <w:sz w:val="16"/>
                <w:szCs w:val="16"/>
                <w:lang w:eastAsia="en-AU" w:bidi="ar-SA"/>
              </w:rPr>
            </w:pPr>
            <w:r w:rsidRPr="008E5400">
              <w:rPr>
                <w:rFonts w:cs="Arial"/>
                <w:color w:val="000000"/>
                <w:sz w:val="16"/>
                <w:szCs w:val="16"/>
                <w:lang w:eastAsia="en-AU" w:bidi="ar-SA"/>
              </w:rPr>
              <w:t>- % -</w:t>
            </w:r>
          </w:p>
        </w:tc>
      </w:tr>
      <w:tr w:rsidR="00B81D60" w:rsidRPr="008E5400" w:rsidTr="00B82B1F">
        <w:trPr>
          <w:trHeight w:val="300"/>
        </w:trPr>
        <w:tc>
          <w:tcPr>
            <w:tcW w:w="5969" w:type="dxa"/>
            <w:gridSpan w:val="2"/>
            <w:shd w:val="clear" w:color="auto" w:fill="auto"/>
            <w:vAlign w:val="bottom"/>
            <w:hideMark/>
          </w:tcPr>
          <w:p w:rsidR="00B81D60" w:rsidRPr="008E5400" w:rsidRDefault="00B81D60" w:rsidP="00DA796D">
            <w:pPr>
              <w:keepNext/>
              <w:keepLines/>
              <w:spacing w:after="60" w:line="240" w:lineRule="auto"/>
              <w:ind w:left="0"/>
              <w:jc w:val="left"/>
              <w:rPr>
                <w:rFonts w:cs="Arial"/>
                <w:color w:val="000000"/>
                <w:sz w:val="16"/>
                <w:szCs w:val="16"/>
                <w:lang w:eastAsia="en-AU" w:bidi="ar-SA"/>
              </w:rPr>
            </w:pPr>
            <w:r w:rsidRPr="008E5400">
              <w:rPr>
                <w:rFonts w:cs="Arial"/>
                <w:i/>
                <w:color w:val="000000"/>
                <w:sz w:val="16"/>
                <w:szCs w:val="16"/>
                <w:lang w:eastAsia="en-AU" w:bidi="ar-SA"/>
              </w:rPr>
              <w:t>Does your work relate to the delivery of services for NIM in the NT?</w:t>
            </w:r>
          </w:p>
        </w:tc>
      </w:tr>
      <w:tr w:rsidR="00DA796D" w:rsidRPr="008E5400" w:rsidTr="00B82B1F">
        <w:trPr>
          <w:trHeight w:val="300"/>
        </w:trPr>
        <w:tc>
          <w:tcPr>
            <w:tcW w:w="4840" w:type="dxa"/>
            <w:shd w:val="clear" w:color="auto" w:fill="auto"/>
            <w:vAlign w:val="bottom"/>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Yes, currently involved in my work</w:t>
            </w:r>
          </w:p>
        </w:tc>
        <w:tc>
          <w:tcPr>
            <w:tcW w:w="1129"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95</w:t>
            </w:r>
          </w:p>
        </w:tc>
      </w:tr>
      <w:tr w:rsidR="00DA796D" w:rsidRPr="008E5400" w:rsidTr="00B82B1F">
        <w:trPr>
          <w:trHeight w:val="300"/>
        </w:trPr>
        <w:tc>
          <w:tcPr>
            <w:tcW w:w="4840" w:type="dxa"/>
            <w:tcBorders>
              <w:bottom w:val="single" w:sz="4" w:space="0" w:color="auto"/>
            </w:tcBorders>
            <w:shd w:val="clear" w:color="auto" w:fill="auto"/>
            <w:vAlign w:val="bottom"/>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Previously related to my work but not currently</w:t>
            </w:r>
          </w:p>
        </w:tc>
        <w:tc>
          <w:tcPr>
            <w:tcW w:w="1129" w:type="dxa"/>
            <w:tcBorders>
              <w:bottom w:val="single" w:sz="4" w:space="0" w:color="auto"/>
            </w:tcBorders>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5</w:t>
            </w:r>
          </w:p>
        </w:tc>
      </w:tr>
      <w:tr w:rsidR="00DA796D" w:rsidRPr="008E5400" w:rsidTr="00B82B1F">
        <w:trPr>
          <w:trHeight w:val="300"/>
        </w:trPr>
        <w:tc>
          <w:tcPr>
            <w:tcW w:w="4840" w:type="dxa"/>
            <w:tcBorders>
              <w:top w:val="single" w:sz="4" w:space="0" w:color="auto"/>
            </w:tcBorders>
            <w:shd w:val="clear" w:color="auto" w:fill="auto"/>
            <w:vAlign w:val="bottom"/>
            <w:hideMark/>
          </w:tcPr>
          <w:p w:rsidR="00DA796D" w:rsidRPr="008E5400" w:rsidRDefault="00DA796D" w:rsidP="00DA796D">
            <w:pPr>
              <w:keepNext/>
              <w:keepLines/>
              <w:spacing w:after="60" w:line="240" w:lineRule="auto"/>
              <w:ind w:left="0"/>
              <w:jc w:val="left"/>
              <w:rPr>
                <w:rFonts w:cs="Arial"/>
                <w:i/>
                <w:color w:val="000000"/>
                <w:sz w:val="16"/>
                <w:szCs w:val="16"/>
                <w:lang w:eastAsia="en-AU" w:bidi="ar-SA"/>
              </w:rPr>
            </w:pPr>
            <w:r w:rsidRPr="008E5400">
              <w:rPr>
                <w:rFonts w:cs="Arial"/>
                <w:i/>
                <w:color w:val="000000"/>
                <w:sz w:val="16"/>
                <w:szCs w:val="16"/>
                <w:lang w:eastAsia="en-AU" w:bidi="ar-SA"/>
              </w:rPr>
              <w:t xml:space="preserve">How often does your work relate to </w:t>
            </w:r>
            <w:r w:rsidR="00F878E4" w:rsidRPr="008E5400">
              <w:rPr>
                <w:rFonts w:cs="Arial"/>
                <w:i/>
                <w:color w:val="000000"/>
                <w:sz w:val="16"/>
                <w:szCs w:val="16"/>
                <w:lang w:eastAsia="en-AU" w:bidi="ar-SA"/>
              </w:rPr>
              <w:t>income management</w:t>
            </w:r>
            <w:r w:rsidRPr="008E5400">
              <w:rPr>
                <w:rFonts w:cs="Arial"/>
                <w:i/>
                <w:color w:val="000000"/>
                <w:sz w:val="16"/>
                <w:szCs w:val="16"/>
                <w:lang w:eastAsia="en-AU" w:bidi="ar-SA"/>
              </w:rPr>
              <w:t>?</w:t>
            </w:r>
          </w:p>
        </w:tc>
        <w:tc>
          <w:tcPr>
            <w:tcW w:w="1129" w:type="dxa"/>
            <w:tcBorders>
              <w:top w:val="single" w:sz="4" w:space="0" w:color="auto"/>
            </w:tcBorders>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p>
        </w:tc>
      </w:tr>
      <w:tr w:rsidR="00DA796D" w:rsidRPr="008E5400" w:rsidTr="00B82B1F">
        <w:trPr>
          <w:trHeight w:val="300"/>
        </w:trPr>
        <w:tc>
          <w:tcPr>
            <w:tcW w:w="4840" w:type="dxa"/>
            <w:shd w:val="clear" w:color="auto" w:fill="auto"/>
            <w:vAlign w:val="bottom"/>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Every day, or almost every day</w:t>
            </w:r>
          </w:p>
        </w:tc>
        <w:tc>
          <w:tcPr>
            <w:tcW w:w="1129"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94</w:t>
            </w:r>
          </w:p>
        </w:tc>
      </w:tr>
      <w:tr w:rsidR="00DA796D" w:rsidRPr="008E5400" w:rsidTr="00B82B1F">
        <w:trPr>
          <w:trHeight w:val="300"/>
        </w:trPr>
        <w:tc>
          <w:tcPr>
            <w:tcW w:w="4840" w:type="dxa"/>
            <w:shd w:val="clear" w:color="auto" w:fill="auto"/>
            <w:vAlign w:val="bottom"/>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Several times a week</w:t>
            </w:r>
          </w:p>
        </w:tc>
        <w:tc>
          <w:tcPr>
            <w:tcW w:w="1129"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5</w:t>
            </w:r>
          </w:p>
        </w:tc>
      </w:tr>
      <w:tr w:rsidR="00DA796D" w:rsidRPr="008E5400" w:rsidTr="00B82B1F">
        <w:trPr>
          <w:trHeight w:val="300"/>
        </w:trPr>
        <w:tc>
          <w:tcPr>
            <w:tcW w:w="4840" w:type="dxa"/>
            <w:tcBorders>
              <w:bottom w:val="single" w:sz="4" w:space="0" w:color="auto"/>
            </w:tcBorders>
            <w:shd w:val="clear" w:color="auto" w:fill="auto"/>
            <w:vAlign w:val="bottom"/>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About once a week</w:t>
            </w:r>
          </w:p>
        </w:tc>
        <w:tc>
          <w:tcPr>
            <w:tcW w:w="1129" w:type="dxa"/>
            <w:tcBorders>
              <w:bottom w:val="single" w:sz="4" w:space="0" w:color="auto"/>
            </w:tcBorders>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w:t>
            </w:r>
          </w:p>
        </w:tc>
      </w:tr>
      <w:tr w:rsidR="00DA796D" w:rsidRPr="008E5400" w:rsidTr="00B82B1F">
        <w:trPr>
          <w:trHeight w:val="300"/>
        </w:trPr>
        <w:tc>
          <w:tcPr>
            <w:tcW w:w="4840" w:type="dxa"/>
            <w:tcBorders>
              <w:top w:val="single" w:sz="4" w:space="0" w:color="auto"/>
            </w:tcBorders>
            <w:shd w:val="clear" w:color="auto" w:fill="auto"/>
            <w:vAlign w:val="bottom"/>
            <w:hideMark/>
          </w:tcPr>
          <w:p w:rsidR="00DA796D" w:rsidRPr="008E5400" w:rsidRDefault="00DA796D" w:rsidP="00DA796D">
            <w:pPr>
              <w:keepNext/>
              <w:keepLines/>
              <w:spacing w:after="60" w:line="240" w:lineRule="auto"/>
              <w:ind w:left="0"/>
              <w:jc w:val="left"/>
              <w:rPr>
                <w:rFonts w:cs="Arial"/>
                <w:i/>
                <w:color w:val="000000"/>
                <w:sz w:val="16"/>
                <w:szCs w:val="16"/>
                <w:lang w:eastAsia="en-AU" w:bidi="ar-SA"/>
              </w:rPr>
            </w:pPr>
            <w:r w:rsidRPr="008E5400">
              <w:rPr>
                <w:rFonts w:cs="Arial"/>
                <w:i/>
                <w:color w:val="000000"/>
                <w:sz w:val="16"/>
                <w:szCs w:val="16"/>
                <w:lang w:eastAsia="en-AU" w:bidi="ar-SA"/>
              </w:rPr>
              <w:t xml:space="preserve">How long has your work related to </w:t>
            </w:r>
            <w:r w:rsidR="00F878E4" w:rsidRPr="008E5400">
              <w:rPr>
                <w:rFonts w:cs="Arial"/>
                <w:i/>
                <w:color w:val="000000"/>
                <w:sz w:val="16"/>
                <w:szCs w:val="16"/>
                <w:lang w:eastAsia="en-AU" w:bidi="ar-SA"/>
              </w:rPr>
              <w:t>income management</w:t>
            </w:r>
            <w:r w:rsidRPr="008E5400">
              <w:rPr>
                <w:rFonts w:cs="Arial"/>
                <w:i/>
                <w:color w:val="000000"/>
                <w:sz w:val="16"/>
                <w:szCs w:val="16"/>
                <w:lang w:eastAsia="en-AU" w:bidi="ar-SA"/>
              </w:rPr>
              <w:t>?</w:t>
            </w:r>
          </w:p>
        </w:tc>
        <w:tc>
          <w:tcPr>
            <w:tcW w:w="1129" w:type="dxa"/>
            <w:tcBorders>
              <w:top w:val="single" w:sz="4" w:space="0" w:color="auto"/>
            </w:tcBorders>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p>
        </w:tc>
      </w:tr>
      <w:tr w:rsidR="00DA796D" w:rsidRPr="008E5400" w:rsidTr="00B82B1F">
        <w:trPr>
          <w:trHeight w:val="300"/>
        </w:trPr>
        <w:tc>
          <w:tcPr>
            <w:tcW w:w="4840" w:type="dxa"/>
            <w:shd w:val="clear" w:color="auto" w:fill="auto"/>
            <w:vAlign w:val="bottom"/>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Less than 6 months</w:t>
            </w:r>
          </w:p>
        </w:tc>
        <w:tc>
          <w:tcPr>
            <w:tcW w:w="1129"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7</w:t>
            </w:r>
          </w:p>
        </w:tc>
      </w:tr>
      <w:tr w:rsidR="00DA796D" w:rsidRPr="008E5400" w:rsidTr="00B82B1F">
        <w:trPr>
          <w:trHeight w:val="300"/>
        </w:trPr>
        <w:tc>
          <w:tcPr>
            <w:tcW w:w="4840" w:type="dxa"/>
            <w:shd w:val="clear" w:color="auto" w:fill="auto"/>
            <w:vAlign w:val="bottom"/>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Between 6 and 12 months</w:t>
            </w:r>
          </w:p>
        </w:tc>
        <w:tc>
          <w:tcPr>
            <w:tcW w:w="1129"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19</w:t>
            </w:r>
          </w:p>
        </w:tc>
      </w:tr>
      <w:tr w:rsidR="00DA796D" w:rsidRPr="008E5400" w:rsidTr="00B82B1F">
        <w:trPr>
          <w:trHeight w:val="300"/>
        </w:trPr>
        <w:tc>
          <w:tcPr>
            <w:tcW w:w="4840" w:type="dxa"/>
            <w:tcBorders>
              <w:bottom w:val="single" w:sz="4" w:space="0" w:color="auto"/>
            </w:tcBorders>
            <w:shd w:val="clear" w:color="auto" w:fill="auto"/>
            <w:vAlign w:val="bottom"/>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More than 12 months</w:t>
            </w:r>
          </w:p>
        </w:tc>
        <w:tc>
          <w:tcPr>
            <w:tcW w:w="1129" w:type="dxa"/>
            <w:tcBorders>
              <w:bottom w:val="single" w:sz="4" w:space="0" w:color="auto"/>
            </w:tcBorders>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74</w:t>
            </w:r>
          </w:p>
        </w:tc>
      </w:tr>
      <w:tr w:rsidR="00DA796D" w:rsidRPr="008E5400" w:rsidTr="00B82B1F">
        <w:trPr>
          <w:trHeight w:val="300"/>
        </w:trPr>
        <w:tc>
          <w:tcPr>
            <w:tcW w:w="4840" w:type="dxa"/>
            <w:tcBorders>
              <w:top w:val="single" w:sz="4" w:space="0" w:color="auto"/>
              <w:bottom w:val="single" w:sz="4" w:space="0" w:color="auto"/>
            </w:tcBorders>
            <w:shd w:val="clear" w:color="auto" w:fill="auto"/>
            <w:vAlign w:val="bottom"/>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Number of respondents</w:t>
            </w:r>
          </w:p>
        </w:tc>
        <w:tc>
          <w:tcPr>
            <w:tcW w:w="1129" w:type="dxa"/>
            <w:tcBorders>
              <w:top w:val="single" w:sz="4" w:space="0" w:color="auto"/>
              <w:bottom w:val="single" w:sz="4" w:space="0" w:color="auto"/>
            </w:tcBorders>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128</w:t>
            </w:r>
          </w:p>
        </w:tc>
      </w:tr>
    </w:tbl>
    <w:p w:rsidR="00DA796D" w:rsidRPr="005911E2" w:rsidRDefault="00DA796D" w:rsidP="004E3A29">
      <w:pPr>
        <w:pStyle w:val="tablefootnotes"/>
      </w:pPr>
      <w:r w:rsidRPr="005911E2">
        <w:t>Source:</w:t>
      </w:r>
      <w:r w:rsidR="00FF16A3">
        <w:tab/>
      </w:r>
      <w:r w:rsidRPr="005911E2">
        <w:t xml:space="preserve"> Survey of Centrelink Staff 2011.</w:t>
      </w:r>
    </w:p>
    <w:p w:rsidR="00DA796D" w:rsidRPr="005911E2" w:rsidRDefault="00DA796D" w:rsidP="00CF518E">
      <w:pPr>
        <w:pStyle w:val="tablefootnotes"/>
      </w:pPr>
    </w:p>
    <w:p w:rsidR="00DA796D" w:rsidRPr="005911E2" w:rsidRDefault="00DA796D" w:rsidP="00BD6DFD">
      <w:pPr>
        <w:pStyle w:val="Heading3"/>
      </w:pPr>
      <w:r w:rsidRPr="005911E2">
        <w:t>Qualitative interview respondents</w:t>
      </w:r>
    </w:p>
    <w:p w:rsidR="00DA796D" w:rsidRPr="005911E2" w:rsidRDefault="00DA796D" w:rsidP="00DA796D">
      <w:pPr>
        <w:rPr>
          <w:lang w:eastAsia="en-AU"/>
        </w:rPr>
      </w:pPr>
      <w:r w:rsidRPr="005911E2">
        <w:rPr>
          <w:lang w:eastAsia="en-AU"/>
        </w:rPr>
        <w:t xml:space="preserve">The qualitative interviews with staff from Centrelink, Department of Children and Families child protection, and Commonwealth-funded </w:t>
      </w:r>
      <w:r w:rsidR="00C277C5">
        <w:rPr>
          <w:lang w:eastAsia="en-AU"/>
        </w:rPr>
        <w:t>m</w:t>
      </w:r>
      <w:r w:rsidRPr="005911E2">
        <w:rPr>
          <w:lang w:eastAsia="en-AU"/>
        </w:rPr>
        <w:t xml:space="preserve">oney </w:t>
      </w:r>
      <w:r w:rsidR="00C277C5">
        <w:rPr>
          <w:lang w:eastAsia="en-AU"/>
        </w:rPr>
        <w:t>m</w:t>
      </w:r>
      <w:r w:rsidRPr="005911E2">
        <w:rPr>
          <w:lang w:eastAsia="en-AU"/>
        </w:rPr>
        <w:t>anagement and financial counselling services focused on issues relating to the implementation of NIM and the transition from NTER IM. The interviews focused on the following questions:</w:t>
      </w:r>
    </w:p>
    <w:p w:rsidR="00DA796D" w:rsidRPr="005911E2" w:rsidRDefault="00DA796D" w:rsidP="00051CDC">
      <w:pPr>
        <w:pStyle w:val="ListBullet"/>
      </w:pPr>
      <w:r w:rsidRPr="005911E2">
        <w:t>Views about the purpose of NIM and who may benefit?</w:t>
      </w:r>
    </w:p>
    <w:p w:rsidR="00DA796D" w:rsidRPr="005911E2" w:rsidRDefault="00DA796D" w:rsidP="00051CDC">
      <w:pPr>
        <w:pStyle w:val="ListBullet"/>
      </w:pPr>
      <w:r w:rsidRPr="005911E2">
        <w:t>Activities the respondent was involved in preparing for the implementation of NIM?</w:t>
      </w:r>
    </w:p>
    <w:p w:rsidR="00DA796D" w:rsidRPr="005911E2" w:rsidRDefault="00DA796D" w:rsidP="00051CDC">
      <w:pPr>
        <w:pStyle w:val="ListBullet"/>
      </w:pPr>
      <w:r w:rsidRPr="005911E2">
        <w:t>What factors the respondent believes have supported the implementation of NIM and what, if any, challenges to its implementation have arisen?</w:t>
      </w:r>
    </w:p>
    <w:p w:rsidR="00DA796D" w:rsidRPr="005911E2" w:rsidRDefault="00DA796D" w:rsidP="00051CDC">
      <w:pPr>
        <w:pStyle w:val="ListBullet"/>
      </w:pPr>
      <w:r w:rsidRPr="005911E2">
        <w:t>How clients are responding to being moved onto NIM?</w:t>
      </w:r>
    </w:p>
    <w:p w:rsidR="00DA796D" w:rsidRPr="005911E2" w:rsidRDefault="00DA796D" w:rsidP="00051CDC">
      <w:pPr>
        <w:pStyle w:val="ListBullet"/>
      </w:pPr>
      <w:r w:rsidRPr="005911E2">
        <w:t>Experiences of inter-agency working as part of the implementation of NIM?</w:t>
      </w:r>
    </w:p>
    <w:p w:rsidR="00DA796D" w:rsidRPr="005911E2" w:rsidRDefault="00DA796D" w:rsidP="00DA796D">
      <w:pPr>
        <w:tabs>
          <w:tab w:val="left" w:pos="2552"/>
        </w:tabs>
        <w:rPr>
          <w:lang w:eastAsia="en-AU"/>
        </w:rPr>
      </w:pPr>
      <w:r w:rsidRPr="005911E2">
        <w:rPr>
          <w:lang w:eastAsia="en-AU"/>
        </w:rPr>
        <w:t>Participants in the qualitative interviews were recruited via managers of their employing agencies. Face-to-face interviews were conducted in Darwin, Alice Springs, Katherine and Wadeye. In addition interviews with Centrelink National Office staff were conducted in Canberra.</w:t>
      </w:r>
    </w:p>
    <w:p w:rsidR="00DA796D" w:rsidRPr="005911E2" w:rsidRDefault="00DA796D" w:rsidP="00DA796D">
      <w:pPr>
        <w:tabs>
          <w:tab w:val="left" w:pos="2552"/>
        </w:tabs>
        <w:rPr>
          <w:lang w:eastAsia="en-AU"/>
        </w:rPr>
      </w:pPr>
      <w:r w:rsidRPr="005911E2">
        <w:rPr>
          <w:lang w:eastAsia="en-AU"/>
        </w:rPr>
        <w:t>In total, interviews were conducted with 43 Centrelink staff</w:t>
      </w:r>
      <w:r w:rsidR="00C277C5">
        <w:rPr>
          <w:lang w:eastAsia="en-AU"/>
        </w:rPr>
        <w:t>,</w:t>
      </w:r>
      <w:r w:rsidRPr="005911E2">
        <w:rPr>
          <w:lang w:eastAsia="en-AU"/>
        </w:rPr>
        <w:t xml:space="preserve"> 7 DCF child protection staff</w:t>
      </w:r>
      <w:r w:rsidR="00C277C5">
        <w:rPr>
          <w:lang w:eastAsia="en-AU"/>
        </w:rPr>
        <w:t>,</w:t>
      </w:r>
      <w:r w:rsidRPr="005911E2">
        <w:rPr>
          <w:lang w:eastAsia="en-AU"/>
        </w:rPr>
        <w:t xml:space="preserve"> and 18 staff from </w:t>
      </w:r>
      <w:r w:rsidR="00C277C5">
        <w:rPr>
          <w:lang w:eastAsia="en-AU"/>
        </w:rPr>
        <w:t>m</w:t>
      </w:r>
      <w:r w:rsidRPr="005911E2">
        <w:rPr>
          <w:lang w:eastAsia="en-AU"/>
        </w:rPr>
        <w:t xml:space="preserve">oney </w:t>
      </w:r>
      <w:r w:rsidR="00C277C5">
        <w:rPr>
          <w:lang w:eastAsia="en-AU"/>
        </w:rPr>
        <w:t>m</w:t>
      </w:r>
      <w:r w:rsidRPr="005911E2">
        <w:rPr>
          <w:lang w:eastAsia="en-AU"/>
        </w:rPr>
        <w:t>anagement</w:t>
      </w:r>
      <w:r w:rsidR="00C277C5">
        <w:rPr>
          <w:lang w:eastAsia="en-AU"/>
        </w:rPr>
        <w:t xml:space="preserve"> and </w:t>
      </w:r>
      <w:r w:rsidRPr="005911E2">
        <w:rPr>
          <w:lang w:eastAsia="en-AU"/>
        </w:rPr>
        <w:t xml:space="preserve">financial counselling services (representing eight agencies). In addition, the individual survey responses from DCF child protection staff and </w:t>
      </w:r>
      <w:r w:rsidR="00C277C5">
        <w:rPr>
          <w:lang w:eastAsia="en-AU"/>
        </w:rPr>
        <w:t>m</w:t>
      </w:r>
      <w:r w:rsidRPr="005911E2">
        <w:rPr>
          <w:lang w:eastAsia="en-AU"/>
        </w:rPr>
        <w:t xml:space="preserve">oney </w:t>
      </w:r>
      <w:r w:rsidR="00C277C5">
        <w:rPr>
          <w:lang w:eastAsia="en-AU"/>
        </w:rPr>
        <w:t>m</w:t>
      </w:r>
      <w:r w:rsidRPr="005911E2">
        <w:rPr>
          <w:lang w:eastAsia="en-AU"/>
        </w:rPr>
        <w:t xml:space="preserve">anagement workers and financial counsellors have been developed into case studies which were then included in the qualitative data analysed throughout this chapter. These case studies included a similar range of views as those expressed by their colleagues in the qualitative interviews. The number of qualitative interviews and case studies conducted with each service type is summarised in Table </w:t>
      </w:r>
      <w:r w:rsidRPr="005911E2">
        <w:rPr>
          <w:noProof/>
          <w:lang w:eastAsia="en-AU"/>
        </w:rPr>
        <w:t>9</w:t>
      </w:r>
      <w:r w:rsidRPr="005911E2">
        <w:rPr>
          <w:lang w:eastAsia="en-AU"/>
        </w:rPr>
        <w:noBreakHyphen/>
      </w:r>
      <w:r w:rsidRPr="005911E2">
        <w:rPr>
          <w:noProof/>
          <w:lang w:eastAsia="en-AU"/>
        </w:rPr>
        <w:t>5</w:t>
      </w:r>
      <w:r w:rsidRPr="005911E2">
        <w:rPr>
          <w:lang w:eastAsia="en-AU"/>
        </w:rPr>
        <w:t>.</w:t>
      </w:r>
    </w:p>
    <w:p w:rsidR="00DA796D" w:rsidRPr="005911E2" w:rsidRDefault="00DA796D" w:rsidP="00DA796D">
      <w:pPr>
        <w:pStyle w:val="tabfighead"/>
      </w:pPr>
      <w:bookmarkStart w:id="815" w:name="_Ref194068177"/>
      <w:bookmarkStart w:id="816" w:name="_Toc321254569"/>
      <w:bookmarkStart w:id="817" w:name="_Toc321430450"/>
      <w:bookmarkStart w:id="818" w:name="_Toc321761720"/>
      <w:bookmarkStart w:id="819" w:name="_Toc328601617"/>
      <w:bookmarkStart w:id="820" w:name="_Toc329051395"/>
      <w:bookmarkStart w:id="821" w:name="_Toc335915883"/>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9</w:t>
      </w:r>
      <w:r w:rsidR="00C7347D" w:rsidRPr="005911E2">
        <w:rPr>
          <w:noProof/>
        </w:rPr>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5</w:t>
      </w:r>
      <w:r w:rsidR="00C7347D" w:rsidRPr="005911E2">
        <w:rPr>
          <w:noProof/>
        </w:rPr>
        <w:fldChar w:fldCharType="end"/>
      </w:r>
      <w:bookmarkEnd w:id="815"/>
      <w:r w:rsidRPr="005911E2">
        <w:t xml:space="preserve"> </w:t>
      </w:r>
      <w:r w:rsidRPr="005911E2">
        <w:tab/>
        <w:t>Number of qualitative interviews and case studies by service type</w:t>
      </w:r>
      <w:bookmarkEnd w:id="816"/>
      <w:bookmarkEnd w:id="817"/>
      <w:bookmarkEnd w:id="818"/>
      <w:bookmarkEnd w:id="819"/>
      <w:bookmarkEnd w:id="820"/>
      <w:bookmarkEnd w:id="821"/>
    </w:p>
    <w:tbl>
      <w:tblPr>
        <w:tblStyle w:val="Style14"/>
        <w:tblW w:w="4005" w:type="pct"/>
        <w:jc w:val="right"/>
        <w:tblLook w:val="04A0" w:firstRow="1" w:lastRow="0" w:firstColumn="1" w:lastColumn="0" w:noHBand="0" w:noVBand="1"/>
        <w:tblCaption w:val="Table 9-5 Number of qualitative interviews and case studies by service type"/>
        <w:tblDescription w:val="Table 9-5 Number of qualitative interviews and case studies by service type"/>
      </w:tblPr>
      <w:tblGrid>
        <w:gridCol w:w="2835"/>
        <w:gridCol w:w="1110"/>
        <w:gridCol w:w="1495"/>
        <w:gridCol w:w="1845"/>
      </w:tblGrid>
      <w:tr w:rsidR="00DA796D" w:rsidRPr="008E5400" w:rsidTr="009D15E2">
        <w:trPr>
          <w:tblHeader/>
          <w:jc w:val="right"/>
        </w:trPr>
        <w:tc>
          <w:tcPr>
            <w:tcW w:w="1946" w:type="pct"/>
            <w:tcBorders>
              <w:top w:val="single" w:sz="4" w:space="0" w:color="auto"/>
              <w:bottom w:val="single" w:sz="4" w:space="0" w:color="auto"/>
            </w:tcBorders>
          </w:tcPr>
          <w:p w:rsidR="00DA796D" w:rsidRPr="008E5400" w:rsidRDefault="00DA796D" w:rsidP="00DA796D">
            <w:pPr>
              <w:keepNext/>
              <w:spacing w:after="60" w:line="240" w:lineRule="auto"/>
              <w:ind w:left="0"/>
              <w:jc w:val="left"/>
              <w:rPr>
                <w:rFonts w:cs="Arial"/>
                <w:color w:val="000000"/>
                <w:sz w:val="16"/>
                <w:szCs w:val="16"/>
                <w:lang w:eastAsia="en-AU" w:bidi="ar-SA"/>
              </w:rPr>
            </w:pPr>
          </w:p>
        </w:tc>
        <w:tc>
          <w:tcPr>
            <w:tcW w:w="762" w:type="pct"/>
            <w:tcBorders>
              <w:top w:val="single" w:sz="4" w:space="0" w:color="auto"/>
              <w:bottom w:val="single" w:sz="4" w:space="0" w:color="auto"/>
            </w:tcBorders>
          </w:tcPr>
          <w:p w:rsidR="00DA796D" w:rsidRPr="008E5400" w:rsidRDefault="00DA796D" w:rsidP="008E5400">
            <w:pPr>
              <w:keepNext/>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Interviews</w:t>
            </w:r>
          </w:p>
        </w:tc>
        <w:tc>
          <w:tcPr>
            <w:tcW w:w="1026" w:type="pct"/>
            <w:tcBorders>
              <w:top w:val="single" w:sz="4" w:space="0" w:color="auto"/>
              <w:bottom w:val="single" w:sz="4" w:space="0" w:color="auto"/>
            </w:tcBorders>
          </w:tcPr>
          <w:p w:rsidR="00DA796D" w:rsidRPr="008E5400" w:rsidRDefault="00DA796D" w:rsidP="008E5400">
            <w:pPr>
              <w:keepNext/>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Surveys as case studies</w:t>
            </w:r>
          </w:p>
        </w:tc>
        <w:tc>
          <w:tcPr>
            <w:tcW w:w="1267" w:type="pct"/>
            <w:tcBorders>
              <w:top w:val="single" w:sz="4" w:space="0" w:color="auto"/>
              <w:bottom w:val="single" w:sz="4" w:space="0" w:color="auto"/>
            </w:tcBorders>
          </w:tcPr>
          <w:p w:rsidR="00DA796D" w:rsidRPr="008E5400" w:rsidRDefault="00DA796D" w:rsidP="008E5400">
            <w:pPr>
              <w:keepNext/>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Total used in qualitative analyses</w:t>
            </w:r>
          </w:p>
        </w:tc>
      </w:tr>
      <w:tr w:rsidR="00DA796D" w:rsidRPr="008E5400" w:rsidTr="00D7398E">
        <w:trPr>
          <w:jc w:val="right"/>
        </w:trPr>
        <w:tc>
          <w:tcPr>
            <w:tcW w:w="1946" w:type="pct"/>
            <w:tcBorders>
              <w:top w:val="single" w:sz="4" w:space="0" w:color="auto"/>
              <w:bottom w:val="nil"/>
            </w:tcBorders>
          </w:tcPr>
          <w:p w:rsidR="00DA796D" w:rsidRPr="008E5400" w:rsidRDefault="00DA796D" w:rsidP="00DA796D">
            <w:pPr>
              <w:keepNext/>
              <w:spacing w:after="60" w:line="240" w:lineRule="auto"/>
              <w:ind w:left="0"/>
              <w:jc w:val="left"/>
              <w:rPr>
                <w:rFonts w:cs="Arial"/>
                <w:color w:val="000000"/>
                <w:sz w:val="16"/>
                <w:szCs w:val="16"/>
                <w:lang w:eastAsia="en-AU" w:bidi="ar-SA"/>
              </w:rPr>
            </w:pPr>
          </w:p>
        </w:tc>
        <w:tc>
          <w:tcPr>
            <w:tcW w:w="3054" w:type="pct"/>
            <w:gridSpan w:val="3"/>
            <w:tcBorders>
              <w:top w:val="single" w:sz="4" w:space="0" w:color="auto"/>
              <w:bottom w:val="nil"/>
            </w:tcBorders>
            <w:vAlign w:val="center"/>
          </w:tcPr>
          <w:p w:rsidR="00DA796D" w:rsidRPr="008E5400" w:rsidRDefault="00DA796D" w:rsidP="00783DF8">
            <w:pPr>
              <w:keepNext/>
              <w:spacing w:after="60" w:line="240" w:lineRule="auto"/>
              <w:ind w:left="0"/>
              <w:jc w:val="center"/>
              <w:rPr>
                <w:rFonts w:cs="Arial"/>
                <w:color w:val="000000"/>
                <w:sz w:val="16"/>
                <w:szCs w:val="16"/>
                <w:lang w:eastAsia="en-AU" w:bidi="ar-SA"/>
              </w:rPr>
            </w:pPr>
            <w:r w:rsidRPr="008E5400">
              <w:rPr>
                <w:rFonts w:cs="Arial"/>
                <w:color w:val="000000"/>
                <w:sz w:val="16"/>
                <w:szCs w:val="16"/>
                <w:lang w:eastAsia="en-AU" w:bidi="ar-SA"/>
              </w:rPr>
              <w:t>- Number -</w:t>
            </w:r>
          </w:p>
        </w:tc>
      </w:tr>
      <w:tr w:rsidR="00DA796D" w:rsidRPr="008E5400" w:rsidTr="00D7398E">
        <w:trPr>
          <w:jc w:val="right"/>
        </w:trPr>
        <w:tc>
          <w:tcPr>
            <w:tcW w:w="1946" w:type="pct"/>
            <w:tcBorders>
              <w:top w:val="nil"/>
              <w:bottom w:val="nil"/>
            </w:tcBorders>
          </w:tcPr>
          <w:p w:rsidR="00DA796D" w:rsidRPr="008E5400" w:rsidRDefault="00DA796D" w:rsidP="00DA796D">
            <w:pPr>
              <w:keepNext/>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Centrelink</w:t>
            </w:r>
          </w:p>
        </w:tc>
        <w:tc>
          <w:tcPr>
            <w:tcW w:w="762" w:type="pct"/>
            <w:tcBorders>
              <w:top w:val="nil"/>
              <w:bottom w:val="nil"/>
            </w:tcBorders>
          </w:tcPr>
          <w:p w:rsidR="00DA796D" w:rsidRPr="008E5400" w:rsidRDefault="00DA796D" w:rsidP="00DA796D">
            <w:pPr>
              <w:keepNext/>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43</w:t>
            </w:r>
          </w:p>
        </w:tc>
        <w:tc>
          <w:tcPr>
            <w:tcW w:w="1026" w:type="pct"/>
            <w:tcBorders>
              <w:top w:val="nil"/>
              <w:bottom w:val="nil"/>
            </w:tcBorders>
          </w:tcPr>
          <w:p w:rsidR="00DA796D" w:rsidRPr="008E5400" w:rsidRDefault="00DA796D" w:rsidP="00DA796D">
            <w:pPr>
              <w:keepNext/>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0</w:t>
            </w:r>
          </w:p>
        </w:tc>
        <w:tc>
          <w:tcPr>
            <w:tcW w:w="1267" w:type="pct"/>
            <w:tcBorders>
              <w:top w:val="nil"/>
              <w:bottom w:val="nil"/>
            </w:tcBorders>
          </w:tcPr>
          <w:p w:rsidR="00DA796D" w:rsidRPr="008E5400" w:rsidRDefault="00DA796D" w:rsidP="00DA796D">
            <w:pPr>
              <w:keepNext/>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39</w:t>
            </w:r>
          </w:p>
        </w:tc>
      </w:tr>
      <w:tr w:rsidR="00DA796D" w:rsidRPr="008E5400" w:rsidTr="00D7398E">
        <w:trPr>
          <w:jc w:val="right"/>
        </w:trPr>
        <w:tc>
          <w:tcPr>
            <w:tcW w:w="1946" w:type="pct"/>
            <w:tcBorders>
              <w:top w:val="nil"/>
            </w:tcBorders>
          </w:tcPr>
          <w:p w:rsidR="00DA796D" w:rsidRPr="008E5400" w:rsidRDefault="00DA796D" w:rsidP="00DA796D">
            <w:pPr>
              <w:keepNext/>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DCF child protection workers</w:t>
            </w:r>
          </w:p>
        </w:tc>
        <w:tc>
          <w:tcPr>
            <w:tcW w:w="762" w:type="pct"/>
            <w:tcBorders>
              <w:top w:val="nil"/>
            </w:tcBorders>
          </w:tcPr>
          <w:p w:rsidR="00DA796D" w:rsidRPr="008E5400" w:rsidRDefault="00DA796D" w:rsidP="00DA796D">
            <w:pPr>
              <w:keepNext/>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7</w:t>
            </w:r>
          </w:p>
        </w:tc>
        <w:tc>
          <w:tcPr>
            <w:tcW w:w="1026" w:type="pct"/>
            <w:tcBorders>
              <w:top w:val="nil"/>
            </w:tcBorders>
          </w:tcPr>
          <w:p w:rsidR="00DA796D" w:rsidRPr="008E5400" w:rsidRDefault="00DA796D" w:rsidP="00DA796D">
            <w:pPr>
              <w:keepNext/>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4</w:t>
            </w:r>
          </w:p>
        </w:tc>
        <w:tc>
          <w:tcPr>
            <w:tcW w:w="1267" w:type="pct"/>
            <w:tcBorders>
              <w:top w:val="nil"/>
            </w:tcBorders>
          </w:tcPr>
          <w:p w:rsidR="00DA796D" w:rsidRPr="008E5400" w:rsidRDefault="00DA796D" w:rsidP="00DA796D">
            <w:pPr>
              <w:keepNext/>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10</w:t>
            </w:r>
          </w:p>
        </w:tc>
      </w:tr>
      <w:tr w:rsidR="00DA796D" w:rsidRPr="008E5400" w:rsidTr="00D7398E">
        <w:trPr>
          <w:jc w:val="right"/>
        </w:trPr>
        <w:tc>
          <w:tcPr>
            <w:tcW w:w="1946" w:type="pct"/>
          </w:tcPr>
          <w:p w:rsidR="00DA796D" w:rsidRPr="008E5400" w:rsidRDefault="00DA796D" w:rsidP="00DA796D">
            <w:pPr>
              <w:keepNext/>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Money management workers and financial</w:t>
            </w:r>
            <w:r w:rsidRPr="008E5400">
              <w:rPr>
                <w:rFonts w:cs="Arial"/>
                <w:color w:val="000000"/>
                <w:sz w:val="16"/>
                <w:szCs w:val="16"/>
                <w:lang w:val="en-AU" w:eastAsia="en-AU" w:bidi="ar-SA"/>
              </w:rPr>
              <w:t xml:space="preserve"> counsellors</w:t>
            </w:r>
          </w:p>
        </w:tc>
        <w:tc>
          <w:tcPr>
            <w:tcW w:w="762" w:type="pct"/>
          </w:tcPr>
          <w:p w:rsidR="00DA796D" w:rsidRPr="008E5400" w:rsidRDefault="00DA796D" w:rsidP="00DA796D">
            <w:pPr>
              <w:keepNext/>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18</w:t>
            </w:r>
          </w:p>
        </w:tc>
        <w:tc>
          <w:tcPr>
            <w:tcW w:w="1026" w:type="pct"/>
          </w:tcPr>
          <w:p w:rsidR="00DA796D" w:rsidRPr="008E5400" w:rsidRDefault="00DA796D" w:rsidP="00DA796D">
            <w:pPr>
              <w:keepNext/>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9</w:t>
            </w:r>
          </w:p>
        </w:tc>
        <w:tc>
          <w:tcPr>
            <w:tcW w:w="1267" w:type="pct"/>
          </w:tcPr>
          <w:p w:rsidR="00DA796D" w:rsidRPr="008E5400" w:rsidRDefault="00DA796D" w:rsidP="00DA796D">
            <w:pPr>
              <w:keepNext/>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27</w:t>
            </w:r>
          </w:p>
        </w:tc>
      </w:tr>
      <w:tr w:rsidR="00DA796D" w:rsidRPr="008E5400" w:rsidTr="00D7398E">
        <w:trPr>
          <w:jc w:val="right"/>
        </w:trPr>
        <w:tc>
          <w:tcPr>
            <w:tcW w:w="1946" w:type="pct"/>
          </w:tcPr>
          <w:p w:rsidR="00DA796D" w:rsidRPr="008E5400" w:rsidRDefault="00DA796D" w:rsidP="00DA796D">
            <w:pPr>
              <w:keepNext/>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All service types</w:t>
            </w:r>
          </w:p>
        </w:tc>
        <w:tc>
          <w:tcPr>
            <w:tcW w:w="762" w:type="pct"/>
          </w:tcPr>
          <w:p w:rsidR="00DA796D" w:rsidRPr="008E5400" w:rsidRDefault="00C96922" w:rsidP="00DA796D">
            <w:pPr>
              <w:keepNext/>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68</w:t>
            </w:r>
          </w:p>
        </w:tc>
        <w:tc>
          <w:tcPr>
            <w:tcW w:w="1026" w:type="pct"/>
          </w:tcPr>
          <w:p w:rsidR="00DA796D" w:rsidRPr="008E5400" w:rsidRDefault="00DA796D" w:rsidP="00DA796D">
            <w:pPr>
              <w:keepNext/>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13</w:t>
            </w:r>
          </w:p>
        </w:tc>
        <w:tc>
          <w:tcPr>
            <w:tcW w:w="1267" w:type="pct"/>
          </w:tcPr>
          <w:p w:rsidR="00DA796D" w:rsidRPr="008E5400" w:rsidRDefault="00DA796D" w:rsidP="00DA796D">
            <w:pPr>
              <w:keepNext/>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66</w:t>
            </w:r>
          </w:p>
        </w:tc>
      </w:tr>
    </w:tbl>
    <w:p w:rsidR="00DA796D" w:rsidRPr="005911E2" w:rsidRDefault="00DA796D" w:rsidP="00DA796D">
      <w:pPr>
        <w:spacing w:after="0" w:line="264" w:lineRule="auto"/>
        <w:ind w:left="2552" w:hanging="851"/>
        <w:rPr>
          <w:sz w:val="18"/>
        </w:rPr>
      </w:pPr>
    </w:p>
    <w:p w:rsidR="00DA796D" w:rsidRPr="005911E2" w:rsidRDefault="00DA796D" w:rsidP="00616B0F">
      <w:pPr>
        <w:pStyle w:val="Heading2"/>
      </w:pPr>
      <w:bookmarkStart w:id="822" w:name="_Toc321225149"/>
      <w:bookmarkStart w:id="823" w:name="_Toc321254492"/>
      <w:bookmarkStart w:id="824" w:name="_Toc321761634"/>
      <w:bookmarkStart w:id="825" w:name="_Toc328601517"/>
      <w:bookmarkStart w:id="826" w:name="_Toc329870398"/>
      <w:bookmarkStart w:id="827" w:name="_Toc335915784"/>
      <w:r w:rsidRPr="005911E2">
        <w:t xml:space="preserve">Implementation issues for </w:t>
      </w:r>
      <w:bookmarkEnd w:id="822"/>
      <w:bookmarkEnd w:id="823"/>
      <w:bookmarkEnd w:id="824"/>
      <w:r w:rsidR="00F878E4">
        <w:t>income management</w:t>
      </w:r>
      <w:bookmarkEnd w:id="825"/>
      <w:bookmarkEnd w:id="826"/>
      <w:bookmarkEnd w:id="827"/>
    </w:p>
    <w:p w:rsidR="00DA796D" w:rsidRPr="005911E2" w:rsidRDefault="00DA796D" w:rsidP="00DA796D">
      <w:pPr>
        <w:rPr>
          <w:lang w:eastAsia="en-AU"/>
        </w:rPr>
      </w:pPr>
      <w:r w:rsidRPr="005911E2">
        <w:rPr>
          <w:lang w:eastAsia="en-AU"/>
        </w:rPr>
        <w:t xml:space="preserve">This section considers service providers’ perceptions of a range of different aspects of the implementation of NIM in the </w:t>
      </w:r>
      <w:r w:rsidR="006435C8">
        <w:rPr>
          <w:lang w:eastAsia="en-AU"/>
        </w:rPr>
        <w:t>Northern Territory.</w:t>
      </w:r>
      <w:r w:rsidRPr="005911E2">
        <w:rPr>
          <w:lang w:eastAsia="en-AU"/>
        </w:rPr>
        <w:t xml:space="preserve"> (Chapter 2 provides an overview of the implementation of NIM and the transition from NTER IM to NIM</w:t>
      </w:r>
      <w:r w:rsidR="00B81D60">
        <w:rPr>
          <w:lang w:eastAsia="en-AU"/>
        </w:rPr>
        <w:t>.</w:t>
      </w:r>
      <w:r w:rsidRPr="005911E2">
        <w:rPr>
          <w:lang w:eastAsia="en-AU"/>
        </w:rPr>
        <w:t>) The initial focus is on broad perceptions of the implementation from the qualitative data collection. This is then followed by more detailed consideration, using both the survey and qualitative data of three key questions:</w:t>
      </w:r>
    </w:p>
    <w:p w:rsidR="00DA796D" w:rsidRPr="005911E2" w:rsidRDefault="00C277C5" w:rsidP="00051CDC">
      <w:pPr>
        <w:pStyle w:val="ListBullet"/>
      </w:pPr>
      <w:r>
        <w:t>t</w:t>
      </w:r>
      <w:r w:rsidR="00DA796D" w:rsidRPr="005911E2">
        <w:t xml:space="preserve">he perceived adequacy of information provided to people being income managed about why they are subject to </w:t>
      </w:r>
      <w:r w:rsidR="00F878E4">
        <w:t>income management</w:t>
      </w:r>
      <w:r w:rsidR="00DA796D" w:rsidRPr="005911E2">
        <w:t xml:space="preserve"> and how it works</w:t>
      </w:r>
    </w:p>
    <w:p w:rsidR="00DA796D" w:rsidRPr="005911E2" w:rsidRDefault="00C277C5" w:rsidP="00051CDC">
      <w:pPr>
        <w:pStyle w:val="ListBullet"/>
      </w:pPr>
      <w:r>
        <w:t>t</w:t>
      </w:r>
      <w:r w:rsidR="00DA796D" w:rsidRPr="005911E2">
        <w:t xml:space="preserve">he usefulness of different approaches to assist people on </w:t>
      </w:r>
      <w:r w:rsidR="00F878E4">
        <w:t>income management</w:t>
      </w:r>
      <w:r w:rsidR="00DA796D" w:rsidRPr="005911E2">
        <w:t xml:space="preserve"> in improving their understanding of the measure</w:t>
      </w:r>
    </w:p>
    <w:p w:rsidR="00DA796D" w:rsidRPr="005911E2" w:rsidRDefault="00C277C5" w:rsidP="00051CDC">
      <w:pPr>
        <w:pStyle w:val="ListBullet"/>
      </w:pPr>
      <w:r>
        <w:t>t</w:t>
      </w:r>
      <w:r w:rsidR="00DA796D" w:rsidRPr="005911E2">
        <w:t>he ways in which their agency’s clients reacted to the implementation of the measure.</w:t>
      </w:r>
    </w:p>
    <w:p w:rsidR="00DA796D" w:rsidRPr="005911E2" w:rsidRDefault="00DA796D" w:rsidP="00BD6DFD">
      <w:pPr>
        <w:pStyle w:val="Heading3"/>
      </w:pPr>
      <w:r w:rsidRPr="005911E2">
        <w:t>Comments about the implementation as a process</w:t>
      </w:r>
    </w:p>
    <w:p w:rsidR="00DA796D" w:rsidRPr="005911E2" w:rsidRDefault="00DA796D" w:rsidP="00DA796D">
      <w:pPr>
        <w:rPr>
          <w:lang w:eastAsia="en-AU"/>
        </w:rPr>
      </w:pPr>
      <w:r w:rsidRPr="005911E2">
        <w:rPr>
          <w:lang w:eastAsia="en-AU"/>
        </w:rPr>
        <w:t xml:space="preserve">Overall, Centrelink staff who took part in the interviews reported that within Centrelink the implementation of NIM had been challenging but had generally gone well. </w:t>
      </w:r>
    </w:p>
    <w:p w:rsidR="00DA796D" w:rsidRPr="005911E2" w:rsidRDefault="00DA796D" w:rsidP="00DA796D">
      <w:pPr>
        <w:rPr>
          <w:lang w:eastAsia="en-AU"/>
        </w:rPr>
      </w:pPr>
      <w:r w:rsidRPr="005911E2">
        <w:rPr>
          <w:lang w:eastAsia="en-AU"/>
        </w:rPr>
        <w:t>Staff involved in the planning for</w:t>
      </w:r>
      <w:r w:rsidR="00B81D60">
        <w:rPr>
          <w:lang w:eastAsia="en-AU"/>
        </w:rPr>
        <w:t>,</w:t>
      </w:r>
      <w:r w:rsidRPr="005911E2">
        <w:rPr>
          <w:lang w:eastAsia="en-AU"/>
        </w:rPr>
        <w:t xml:space="preserve"> and development of</w:t>
      </w:r>
      <w:r w:rsidR="00B81D60">
        <w:rPr>
          <w:lang w:eastAsia="en-AU"/>
        </w:rPr>
        <w:t>,</w:t>
      </w:r>
      <w:r w:rsidRPr="005911E2">
        <w:rPr>
          <w:lang w:eastAsia="en-AU"/>
        </w:rPr>
        <w:t xml:space="preserve"> processes for the implementation noted that much had been learned from the NTER and that the lead-time </w:t>
      </w:r>
      <w:r w:rsidR="003D7F6D">
        <w:rPr>
          <w:lang w:eastAsia="en-AU"/>
        </w:rPr>
        <w:t xml:space="preserve">for the implementation of NIM </w:t>
      </w:r>
      <w:r w:rsidRPr="005911E2">
        <w:rPr>
          <w:lang w:eastAsia="en-AU"/>
        </w:rPr>
        <w:t xml:space="preserve">had allowed for many of the processes and policies to be developed in detail prior to the rollout. However, it was noted that there were challenges, including difficulties in getting other service providers and agencies </w:t>
      </w:r>
      <w:r w:rsidR="00C277C5">
        <w:rPr>
          <w:lang w:eastAsia="en-AU"/>
        </w:rPr>
        <w:t>‘</w:t>
      </w:r>
      <w:r w:rsidRPr="005911E2">
        <w:rPr>
          <w:lang w:eastAsia="en-AU"/>
        </w:rPr>
        <w:t>on board</w:t>
      </w:r>
      <w:r w:rsidR="00C277C5">
        <w:rPr>
          <w:lang w:eastAsia="en-AU"/>
        </w:rPr>
        <w:t>’</w:t>
      </w:r>
      <w:r w:rsidRPr="005911E2">
        <w:rPr>
          <w:lang w:eastAsia="en-AU"/>
        </w:rPr>
        <w:t>. It was also noted that</w:t>
      </w:r>
      <w:r w:rsidR="00C277C5">
        <w:rPr>
          <w:lang w:eastAsia="en-AU"/>
        </w:rPr>
        <w:t>,</w:t>
      </w:r>
      <w:r w:rsidRPr="005911E2">
        <w:rPr>
          <w:lang w:eastAsia="en-AU"/>
        </w:rPr>
        <w:t xml:space="preserve"> despite careful planning</w:t>
      </w:r>
      <w:r w:rsidR="00C277C5">
        <w:rPr>
          <w:lang w:eastAsia="en-AU"/>
        </w:rPr>
        <w:t>,</w:t>
      </w:r>
      <w:r w:rsidRPr="005911E2">
        <w:rPr>
          <w:lang w:eastAsia="en-AU"/>
        </w:rPr>
        <w:t xml:space="preserve"> there were aspects of service delivery that initially did not go well and needed to be modified. Nevertheless, these issues were seen as ‘the usual’ teething problems of bedding down new policy initiatives and were not specific to </w:t>
      </w:r>
      <w:r w:rsidR="00F878E4">
        <w:rPr>
          <w:lang w:eastAsia="en-AU"/>
        </w:rPr>
        <w:t>income management</w:t>
      </w:r>
      <w:r w:rsidRPr="005911E2">
        <w:rPr>
          <w:lang w:eastAsia="en-AU"/>
        </w:rPr>
        <w:t>.</w:t>
      </w:r>
    </w:p>
    <w:p w:rsidR="00DA796D" w:rsidRPr="005911E2" w:rsidRDefault="00DA796D" w:rsidP="00DA796D">
      <w:pPr>
        <w:rPr>
          <w:lang w:eastAsia="en-AU"/>
        </w:rPr>
      </w:pPr>
      <w:r w:rsidRPr="005911E2">
        <w:rPr>
          <w:lang w:eastAsia="en-AU"/>
        </w:rPr>
        <w:t xml:space="preserve">Some, however, felt that the process seemed somewhat rushed in the beginning. Reflecting the comments from staff involved in the planning and development of policies and processes, staff </w:t>
      </w:r>
      <w:r w:rsidR="00C277C5">
        <w:rPr>
          <w:lang w:eastAsia="en-AU"/>
        </w:rPr>
        <w:t>‘</w:t>
      </w:r>
      <w:r w:rsidRPr="005911E2">
        <w:rPr>
          <w:lang w:eastAsia="en-AU"/>
        </w:rPr>
        <w:t>on the ground</w:t>
      </w:r>
      <w:r w:rsidR="00C277C5">
        <w:rPr>
          <w:lang w:eastAsia="en-AU"/>
        </w:rPr>
        <w:t>’</w:t>
      </w:r>
      <w:r w:rsidRPr="005911E2">
        <w:rPr>
          <w:lang w:eastAsia="en-AU"/>
        </w:rPr>
        <w:t xml:space="preserve"> also reported that there was a period where things changed ‘from day to day’ as policies and procedures were refined. </w:t>
      </w:r>
    </w:p>
    <w:p w:rsidR="00DA796D" w:rsidRPr="005911E2" w:rsidRDefault="00DA796D" w:rsidP="00DA796D">
      <w:pPr>
        <w:rPr>
          <w:lang w:eastAsia="en-AU"/>
        </w:rPr>
      </w:pPr>
      <w:r w:rsidRPr="005911E2">
        <w:rPr>
          <w:lang w:eastAsia="en-AU"/>
        </w:rPr>
        <w:t xml:space="preserve">Some Centrelink staff also felt that more training could have been provided. This is discussed in more detail in Section 9.3.5. </w:t>
      </w:r>
    </w:p>
    <w:p w:rsidR="00DA796D" w:rsidRPr="005911E2" w:rsidRDefault="00DA796D" w:rsidP="00DA796D">
      <w:pPr>
        <w:rPr>
          <w:lang w:eastAsia="en-AU"/>
        </w:rPr>
      </w:pPr>
      <w:r w:rsidRPr="005911E2">
        <w:rPr>
          <w:lang w:eastAsia="en-AU"/>
        </w:rPr>
        <w:t xml:space="preserve">Centrelink staff also reported that the periods when people in their areas were being </w:t>
      </w:r>
      <w:r w:rsidR="00C277C5">
        <w:rPr>
          <w:lang w:eastAsia="en-AU"/>
        </w:rPr>
        <w:t>‘</w:t>
      </w:r>
      <w:r w:rsidRPr="005911E2">
        <w:rPr>
          <w:lang w:eastAsia="en-AU"/>
        </w:rPr>
        <w:t>switched on</w:t>
      </w:r>
      <w:r w:rsidR="00C277C5">
        <w:rPr>
          <w:lang w:eastAsia="en-AU"/>
        </w:rPr>
        <w:t>’</w:t>
      </w:r>
      <w:r w:rsidRPr="005911E2">
        <w:rPr>
          <w:lang w:eastAsia="en-AU"/>
        </w:rPr>
        <w:t xml:space="preserve"> or transitioned from income management under the NTER were particularly busy and stressful. This was especially the case for staff working in </w:t>
      </w:r>
      <w:r w:rsidR="00EA0237">
        <w:rPr>
          <w:lang w:eastAsia="en-AU"/>
        </w:rPr>
        <w:t>C</w:t>
      </w:r>
      <w:r w:rsidR="00EA0237" w:rsidRPr="005911E2">
        <w:rPr>
          <w:lang w:eastAsia="en-AU"/>
        </w:rPr>
        <w:t xml:space="preserve">ustomer </w:t>
      </w:r>
      <w:r w:rsidR="00EA0237">
        <w:rPr>
          <w:lang w:eastAsia="en-AU"/>
        </w:rPr>
        <w:t>S</w:t>
      </w:r>
      <w:r w:rsidR="00EA0237" w:rsidRPr="005911E2">
        <w:rPr>
          <w:lang w:eastAsia="en-AU"/>
        </w:rPr>
        <w:t xml:space="preserve">ervice </w:t>
      </w:r>
      <w:r w:rsidRPr="005911E2">
        <w:rPr>
          <w:lang w:eastAsia="en-AU"/>
        </w:rPr>
        <w:t>Centres who tend</w:t>
      </w:r>
      <w:r w:rsidR="00B81D60">
        <w:rPr>
          <w:lang w:eastAsia="en-AU"/>
        </w:rPr>
        <w:t>ed</w:t>
      </w:r>
      <w:r w:rsidRPr="005911E2">
        <w:rPr>
          <w:lang w:eastAsia="en-AU"/>
        </w:rPr>
        <w:t xml:space="preserve"> to be the first contact point for many of the clients </w:t>
      </w:r>
      <w:r w:rsidR="00C277C5">
        <w:rPr>
          <w:lang w:eastAsia="en-AU"/>
        </w:rPr>
        <w:t xml:space="preserve">once </w:t>
      </w:r>
      <w:r w:rsidRPr="005911E2">
        <w:rPr>
          <w:lang w:eastAsia="en-AU"/>
        </w:rPr>
        <w:t xml:space="preserve">they received notification that they </w:t>
      </w:r>
      <w:r w:rsidR="00B81D60">
        <w:rPr>
          <w:lang w:eastAsia="en-AU"/>
        </w:rPr>
        <w:t>were</w:t>
      </w:r>
      <w:r w:rsidR="00B81D60" w:rsidRPr="005911E2">
        <w:rPr>
          <w:lang w:eastAsia="en-AU"/>
        </w:rPr>
        <w:t xml:space="preserve"> </w:t>
      </w:r>
      <w:r w:rsidRPr="005911E2">
        <w:rPr>
          <w:lang w:eastAsia="en-AU"/>
        </w:rPr>
        <w:t xml:space="preserve">subject to </w:t>
      </w:r>
      <w:r w:rsidR="00F878E4">
        <w:rPr>
          <w:lang w:eastAsia="en-AU"/>
        </w:rPr>
        <w:t>income managemen</w:t>
      </w:r>
      <w:r w:rsidR="00EA0237">
        <w:rPr>
          <w:lang w:eastAsia="en-AU"/>
        </w:rPr>
        <w:t>t</w:t>
      </w:r>
      <w:r w:rsidRPr="005911E2">
        <w:rPr>
          <w:lang w:eastAsia="en-AU"/>
        </w:rPr>
        <w:t xml:space="preserve">. </w:t>
      </w:r>
    </w:p>
    <w:p w:rsidR="00DA796D" w:rsidRPr="005911E2" w:rsidRDefault="00DA796D" w:rsidP="00DA796D">
      <w:pPr>
        <w:rPr>
          <w:lang w:eastAsia="en-AU"/>
        </w:rPr>
      </w:pPr>
      <w:r w:rsidRPr="005911E2">
        <w:rPr>
          <w:lang w:eastAsia="en-AU"/>
        </w:rPr>
        <w:t xml:space="preserve">A key aspect raised by a number of the Centrelink staff was the reaction of non-Indigenous people who had been placed onto </w:t>
      </w:r>
      <w:r w:rsidR="00F878E4">
        <w:rPr>
          <w:lang w:eastAsia="en-AU"/>
        </w:rPr>
        <w:t>income management</w:t>
      </w:r>
      <w:r w:rsidRPr="005911E2">
        <w:rPr>
          <w:lang w:eastAsia="en-AU"/>
        </w:rPr>
        <w:t>. Many of these saw the program as being something that was only for people from Indigenous backgrounds. Indigenous staff reported that they found these interactions to be particularly difficult.</w:t>
      </w:r>
    </w:p>
    <w:p w:rsidR="00DA796D" w:rsidRPr="005911E2" w:rsidRDefault="00DA796D" w:rsidP="00DA796D">
      <w:pPr>
        <w:keepNext/>
        <w:spacing w:after="120"/>
        <w:ind w:left="2325"/>
        <w:jc w:val="left"/>
        <w:rPr>
          <w:i/>
          <w:iCs/>
        </w:rPr>
      </w:pPr>
      <w:r w:rsidRPr="005911E2">
        <w:rPr>
          <w:i/>
          <w:iCs/>
        </w:rPr>
        <w:t>That was the reaction that I got from most of my customers that were transitioning to income management… I'm Indigenous myself and when they're like I'm not black and I don't drink and I don't smoke, you're kind of like well I don't do either of that. I don’t drink and I don't smoke. I don’t gamble. I've got a kid and I'm working full-time.</w:t>
      </w:r>
    </w:p>
    <w:p w:rsidR="00DA796D" w:rsidRPr="005911E2" w:rsidRDefault="00DA796D" w:rsidP="008E5400">
      <w:pPr>
        <w:pStyle w:val="mininame"/>
      </w:pPr>
      <w:r w:rsidRPr="005911E2">
        <w:t>Centrelink Customer Service Advis</w:t>
      </w:r>
      <w:r w:rsidR="00384A7D">
        <w:t>e</w:t>
      </w:r>
      <w:r w:rsidRPr="005911E2">
        <w:t>r</w:t>
      </w:r>
    </w:p>
    <w:p w:rsidR="00D96A58" w:rsidRDefault="00DA796D" w:rsidP="001246B9">
      <w:pPr>
        <w:spacing w:after="120"/>
        <w:rPr>
          <w:rFonts w:cstheme="minorHAnsi"/>
          <w:iCs/>
        </w:rPr>
      </w:pPr>
      <w:r w:rsidRPr="005911E2">
        <w:rPr>
          <w:rFonts w:cstheme="minorHAnsi"/>
          <w:iCs/>
        </w:rPr>
        <w:t xml:space="preserve">DCF staff also noted that the initial implementation of </w:t>
      </w:r>
      <w:r w:rsidR="004201D4">
        <w:rPr>
          <w:rFonts w:cstheme="minorHAnsi"/>
          <w:iCs/>
        </w:rPr>
        <w:t xml:space="preserve">the </w:t>
      </w:r>
      <w:r w:rsidR="00E146B5">
        <w:rPr>
          <w:rFonts w:cstheme="minorHAnsi"/>
          <w:iCs/>
        </w:rPr>
        <w:t>Child Protection Income Management</w:t>
      </w:r>
      <w:r w:rsidRPr="005911E2">
        <w:rPr>
          <w:rFonts w:cstheme="minorHAnsi"/>
          <w:iCs/>
        </w:rPr>
        <w:t xml:space="preserve"> had seemed very rushed within their agency, leading to a pause in its implementation a month after its introduction to allow for the policy to be further refined.</w:t>
      </w:r>
    </w:p>
    <w:p w:rsidR="00DA796D" w:rsidRPr="005911E2" w:rsidRDefault="00DA796D" w:rsidP="00DA796D">
      <w:pPr>
        <w:keepNext/>
        <w:spacing w:after="120"/>
        <w:ind w:left="2325"/>
        <w:jc w:val="left"/>
        <w:rPr>
          <w:i/>
          <w:iCs/>
        </w:rPr>
      </w:pPr>
      <w:r w:rsidRPr="005911E2">
        <w:rPr>
          <w:i/>
          <w:iCs/>
        </w:rPr>
        <w:t xml:space="preserve">We were told in June that we virtually had to come up with a brand new program. Fortunately we had Western Australia to go to for help. They were very very helpful to us in terms of resources and consultation. So we were told in June that this had to happen and implement it in September… </w:t>
      </w:r>
    </w:p>
    <w:p w:rsidR="00DA796D" w:rsidRPr="005911E2" w:rsidRDefault="00DA796D" w:rsidP="008E5400">
      <w:pPr>
        <w:pStyle w:val="mininame"/>
      </w:pPr>
      <w:r w:rsidRPr="005911E2">
        <w:t>DCF child protection staff member</w:t>
      </w:r>
    </w:p>
    <w:p w:rsidR="00DA796D" w:rsidRPr="005911E2" w:rsidRDefault="00DA796D" w:rsidP="00DA796D">
      <w:pPr>
        <w:rPr>
          <w:lang w:eastAsia="en-AU"/>
        </w:rPr>
      </w:pPr>
      <w:r w:rsidRPr="005911E2">
        <w:rPr>
          <w:lang w:eastAsia="en-AU"/>
        </w:rPr>
        <w:t xml:space="preserve">Five of the seven staff interviewed also commented on a lack of consultation around its implementation within the Department. </w:t>
      </w:r>
    </w:p>
    <w:p w:rsidR="00DA796D" w:rsidRPr="005911E2" w:rsidRDefault="00DA796D" w:rsidP="00DA796D">
      <w:pPr>
        <w:keepNext/>
        <w:spacing w:after="120"/>
        <w:ind w:left="2325"/>
        <w:jc w:val="left"/>
        <w:rPr>
          <w:i/>
          <w:iCs/>
        </w:rPr>
      </w:pPr>
      <w:r w:rsidRPr="005911E2">
        <w:rPr>
          <w:i/>
          <w:iCs/>
        </w:rPr>
        <w:t xml:space="preserve">It just popped up. We were sent to training, did all the training on how to do it and then virtually as soon as it was up and running, we were told to put it on hold again and then all of a sudden, we were told it was okay again. No consultations about anything. </w:t>
      </w:r>
    </w:p>
    <w:p w:rsidR="00DA796D" w:rsidRPr="005911E2" w:rsidRDefault="00DA796D" w:rsidP="008E5400">
      <w:pPr>
        <w:pStyle w:val="mininame"/>
      </w:pPr>
      <w:r w:rsidRPr="005911E2">
        <w:t>DCF child protection staff member</w:t>
      </w:r>
    </w:p>
    <w:p w:rsidR="00DA796D" w:rsidRPr="005911E2" w:rsidRDefault="00DA796D" w:rsidP="00DA796D">
      <w:pPr>
        <w:rPr>
          <w:lang w:eastAsia="en-AU"/>
        </w:rPr>
      </w:pPr>
      <w:r w:rsidRPr="005911E2">
        <w:rPr>
          <w:lang w:eastAsia="en-AU"/>
        </w:rPr>
        <w:t xml:space="preserve">Implementation issues in terms of the rollout were not discussed in great detail by </w:t>
      </w:r>
      <w:r w:rsidR="004201D4">
        <w:rPr>
          <w:lang w:eastAsia="en-AU"/>
        </w:rPr>
        <w:t>m</w:t>
      </w:r>
      <w:r w:rsidRPr="005911E2">
        <w:rPr>
          <w:lang w:eastAsia="en-AU"/>
        </w:rPr>
        <w:t xml:space="preserve">oney </w:t>
      </w:r>
      <w:r w:rsidR="004201D4">
        <w:rPr>
          <w:lang w:eastAsia="en-AU"/>
        </w:rPr>
        <w:t>m</w:t>
      </w:r>
      <w:r w:rsidRPr="005911E2">
        <w:rPr>
          <w:lang w:eastAsia="en-AU"/>
        </w:rPr>
        <w:t xml:space="preserve">anagement and financial counselling staff. This is probably because these service providers are not directly involved in implementing </w:t>
      </w:r>
      <w:r w:rsidR="00F878E4">
        <w:rPr>
          <w:lang w:eastAsia="en-AU"/>
        </w:rPr>
        <w:t>income management</w:t>
      </w:r>
      <w:r w:rsidRPr="005911E2">
        <w:rPr>
          <w:lang w:eastAsia="en-AU"/>
        </w:rPr>
        <w:t xml:space="preserve"> as a program, and a view that most of the people they worked with were already on some form of </w:t>
      </w:r>
      <w:r w:rsidR="00F878E4">
        <w:rPr>
          <w:lang w:eastAsia="en-AU"/>
        </w:rPr>
        <w:t>income management</w:t>
      </w:r>
      <w:r w:rsidRPr="005911E2">
        <w:rPr>
          <w:lang w:eastAsia="en-AU"/>
        </w:rPr>
        <w:t xml:space="preserve"> anyway. </w:t>
      </w:r>
    </w:p>
    <w:p w:rsidR="00DA796D" w:rsidRPr="005911E2" w:rsidRDefault="00DA796D" w:rsidP="00DA796D">
      <w:pPr>
        <w:rPr>
          <w:lang w:eastAsia="en-AU"/>
        </w:rPr>
      </w:pPr>
      <w:r w:rsidRPr="005911E2">
        <w:rPr>
          <w:lang w:eastAsia="en-AU"/>
        </w:rPr>
        <w:t xml:space="preserve">As has been discussed in Chapter 7, the main focus </w:t>
      </w:r>
      <w:r w:rsidR="004201D4">
        <w:rPr>
          <w:lang w:eastAsia="en-AU"/>
        </w:rPr>
        <w:t>of</w:t>
      </w:r>
      <w:r w:rsidRPr="005911E2">
        <w:rPr>
          <w:lang w:eastAsia="en-AU"/>
        </w:rPr>
        <w:t xml:space="preserve"> implementation for </w:t>
      </w:r>
      <w:r w:rsidR="004201D4">
        <w:rPr>
          <w:lang w:eastAsia="en-AU"/>
        </w:rPr>
        <w:t>m</w:t>
      </w:r>
      <w:r w:rsidRPr="005911E2">
        <w:rPr>
          <w:lang w:eastAsia="en-AU"/>
        </w:rPr>
        <w:t xml:space="preserve">oney </w:t>
      </w:r>
      <w:r w:rsidR="004201D4">
        <w:rPr>
          <w:lang w:eastAsia="en-AU"/>
        </w:rPr>
        <w:t>m</w:t>
      </w:r>
      <w:r w:rsidRPr="005911E2">
        <w:rPr>
          <w:lang w:eastAsia="en-AU"/>
        </w:rPr>
        <w:t xml:space="preserve">anagement and financial counsellors was around the content of the Money Business course and the service expected of them. </w:t>
      </w:r>
    </w:p>
    <w:p w:rsidR="00DA796D" w:rsidRPr="005911E2" w:rsidRDefault="00DA796D" w:rsidP="00DA796D">
      <w:pPr>
        <w:rPr>
          <w:lang w:eastAsia="en-AU"/>
        </w:rPr>
      </w:pPr>
      <w:r w:rsidRPr="005911E2">
        <w:rPr>
          <w:lang w:eastAsia="en-AU"/>
        </w:rPr>
        <w:t xml:space="preserve">Referrals were also a significant problem noted by both </w:t>
      </w:r>
      <w:r w:rsidR="004201D4">
        <w:rPr>
          <w:lang w:eastAsia="en-AU"/>
        </w:rPr>
        <w:t>m</w:t>
      </w:r>
      <w:r w:rsidRPr="005911E2">
        <w:rPr>
          <w:lang w:eastAsia="en-AU"/>
        </w:rPr>
        <w:t xml:space="preserve">oney </w:t>
      </w:r>
      <w:r w:rsidR="004201D4">
        <w:rPr>
          <w:lang w:eastAsia="en-AU"/>
        </w:rPr>
        <w:t>m</w:t>
      </w:r>
      <w:r w:rsidRPr="005911E2">
        <w:rPr>
          <w:lang w:eastAsia="en-AU"/>
        </w:rPr>
        <w:t>anagement workers and financial counsellors in the interviews. The content of the courses and referral issues have been discussed in detail in Chapter 7.</w:t>
      </w:r>
    </w:p>
    <w:p w:rsidR="00DA796D" w:rsidRPr="005911E2" w:rsidRDefault="00DA796D" w:rsidP="00DA796D">
      <w:pPr>
        <w:rPr>
          <w:lang w:eastAsia="en-AU"/>
        </w:rPr>
      </w:pPr>
      <w:r w:rsidRPr="005911E2">
        <w:rPr>
          <w:lang w:eastAsia="en-AU"/>
        </w:rPr>
        <w:t>In addition, comments were made about the levels of training provided to workers. These are discussed in greater detail in Section 9.3.5.</w:t>
      </w:r>
    </w:p>
    <w:p w:rsidR="00DA796D" w:rsidRPr="005911E2" w:rsidRDefault="00DA796D" w:rsidP="00BD6DFD">
      <w:pPr>
        <w:pStyle w:val="Heading3"/>
      </w:pPr>
      <w:r w:rsidRPr="005911E2">
        <w:t>Information provided to clients about NIM and their understandings of NIM</w:t>
      </w:r>
    </w:p>
    <w:p w:rsidR="00DA796D" w:rsidRPr="005911E2" w:rsidRDefault="00DA796D" w:rsidP="001246B9">
      <w:pPr>
        <w:keepLines/>
        <w:rPr>
          <w:lang w:eastAsia="en-AU"/>
        </w:rPr>
      </w:pPr>
      <w:r w:rsidRPr="005911E2">
        <w:rPr>
          <w:lang w:eastAsia="en-AU"/>
        </w:rPr>
        <w:t xml:space="preserve">The survey of Centrelink staff asked about the extent to which they agreed or disagreed with a series of questions about the adequacy of information provided to people on </w:t>
      </w:r>
      <w:r w:rsidR="00F878E4">
        <w:rPr>
          <w:lang w:eastAsia="en-AU"/>
        </w:rPr>
        <w:t>income management</w:t>
      </w:r>
      <w:r w:rsidRPr="005911E2">
        <w:rPr>
          <w:lang w:eastAsia="en-AU"/>
        </w:rPr>
        <w:t>. Th</w:t>
      </w:r>
      <w:r w:rsidR="004201D4">
        <w:rPr>
          <w:lang w:eastAsia="en-AU"/>
        </w:rPr>
        <w:t>is</w:t>
      </w:r>
      <w:r w:rsidRPr="005911E2">
        <w:rPr>
          <w:lang w:eastAsia="en-AU"/>
        </w:rPr>
        <w:t xml:space="preserve"> included: whether their clients understood why they are on </w:t>
      </w:r>
      <w:r w:rsidR="00F878E4">
        <w:rPr>
          <w:lang w:eastAsia="en-AU"/>
        </w:rPr>
        <w:t>income management</w:t>
      </w:r>
      <w:r w:rsidRPr="005911E2">
        <w:rPr>
          <w:lang w:eastAsia="en-AU"/>
        </w:rPr>
        <w:t xml:space="preserve">; and the extent of their clients’ understanding of various aspects of the operation of </w:t>
      </w:r>
      <w:r w:rsidR="00F878E4">
        <w:rPr>
          <w:lang w:eastAsia="en-AU"/>
        </w:rPr>
        <w:t>income management</w:t>
      </w:r>
      <w:r w:rsidRPr="005911E2">
        <w:rPr>
          <w:lang w:eastAsia="en-AU"/>
        </w:rPr>
        <w:t xml:space="preserve">. Table </w:t>
      </w:r>
      <w:r w:rsidRPr="005911E2">
        <w:rPr>
          <w:noProof/>
          <w:lang w:eastAsia="en-AU"/>
        </w:rPr>
        <w:t>9</w:t>
      </w:r>
      <w:r w:rsidRPr="005911E2">
        <w:rPr>
          <w:lang w:eastAsia="en-AU"/>
        </w:rPr>
        <w:noBreakHyphen/>
      </w:r>
      <w:r w:rsidRPr="005911E2">
        <w:rPr>
          <w:noProof/>
          <w:lang w:eastAsia="en-AU"/>
        </w:rPr>
        <w:t>6</w:t>
      </w:r>
      <w:r w:rsidRPr="005911E2">
        <w:rPr>
          <w:lang w:eastAsia="en-AU"/>
        </w:rPr>
        <w:t xml:space="preserve"> shows the responses of Centrelink staff to these questions.</w:t>
      </w:r>
    </w:p>
    <w:p w:rsidR="00DA796D" w:rsidRPr="005911E2" w:rsidRDefault="00DA796D" w:rsidP="00DA796D">
      <w:pPr>
        <w:pStyle w:val="tabfighead"/>
      </w:pPr>
      <w:bookmarkStart w:id="828" w:name="_Ref194068479"/>
      <w:bookmarkStart w:id="829" w:name="_Toc321254570"/>
      <w:bookmarkStart w:id="830" w:name="_Toc321430451"/>
      <w:bookmarkStart w:id="831" w:name="_Toc321761721"/>
      <w:bookmarkStart w:id="832" w:name="_Toc328601618"/>
      <w:bookmarkStart w:id="833" w:name="_Toc329051396"/>
      <w:bookmarkStart w:id="834" w:name="_Toc335915884"/>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9</w:t>
      </w:r>
      <w:r w:rsidR="00C7347D" w:rsidRPr="005911E2">
        <w:rPr>
          <w:noProof/>
        </w:rPr>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6</w:t>
      </w:r>
      <w:r w:rsidR="00C7347D" w:rsidRPr="005911E2">
        <w:rPr>
          <w:noProof/>
        </w:rPr>
        <w:fldChar w:fldCharType="end"/>
      </w:r>
      <w:bookmarkEnd w:id="828"/>
      <w:r w:rsidRPr="005911E2">
        <w:t xml:space="preserve"> </w:t>
      </w:r>
      <w:r w:rsidRPr="005911E2">
        <w:tab/>
        <w:t>Centrelink staff perceptions of how well clients are informed about and understand income management</w:t>
      </w:r>
      <w:bookmarkEnd w:id="829"/>
      <w:bookmarkEnd w:id="830"/>
      <w:bookmarkEnd w:id="831"/>
      <w:bookmarkEnd w:id="832"/>
      <w:bookmarkEnd w:id="833"/>
      <w:bookmarkEnd w:id="834"/>
    </w:p>
    <w:tbl>
      <w:tblPr>
        <w:tblW w:w="0" w:type="auto"/>
        <w:jc w:val="right"/>
        <w:tblInd w:w="295" w:type="dxa"/>
        <w:tblLayout w:type="fixed"/>
        <w:tblLook w:val="04A0" w:firstRow="1" w:lastRow="0" w:firstColumn="1" w:lastColumn="0" w:noHBand="0" w:noVBand="1"/>
      </w:tblPr>
      <w:tblGrid>
        <w:gridCol w:w="3924"/>
        <w:gridCol w:w="992"/>
        <w:gridCol w:w="851"/>
        <w:gridCol w:w="992"/>
        <w:gridCol w:w="992"/>
        <w:gridCol w:w="810"/>
      </w:tblGrid>
      <w:tr w:rsidR="00DA796D" w:rsidRPr="008E5400" w:rsidTr="008E5400">
        <w:trPr>
          <w:jc w:val="right"/>
        </w:trPr>
        <w:tc>
          <w:tcPr>
            <w:tcW w:w="3924" w:type="dxa"/>
            <w:tcBorders>
              <w:top w:val="single" w:sz="4" w:space="0" w:color="auto"/>
              <w:bottom w:val="single" w:sz="4" w:space="0" w:color="auto"/>
            </w:tcBorders>
            <w:hideMark/>
          </w:tcPr>
          <w:p w:rsidR="00DA796D" w:rsidRPr="008E5400" w:rsidRDefault="00DA796D" w:rsidP="008E5400">
            <w:pPr>
              <w:pStyle w:val="braytabletext"/>
            </w:pPr>
            <w:r w:rsidRPr="008E5400">
              <w:t> Perception of understanding</w:t>
            </w:r>
          </w:p>
        </w:tc>
        <w:tc>
          <w:tcPr>
            <w:tcW w:w="992" w:type="dxa"/>
            <w:tcBorders>
              <w:top w:val="single" w:sz="4" w:space="0" w:color="auto"/>
              <w:bottom w:val="single" w:sz="4" w:space="0" w:color="auto"/>
            </w:tcBorders>
            <w:hideMark/>
          </w:tcPr>
          <w:p w:rsidR="00DA796D" w:rsidRPr="008E5400" w:rsidRDefault="00DA796D" w:rsidP="008E5400">
            <w:pPr>
              <w:pStyle w:val="braytabletext"/>
              <w:jc w:val="right"/>
            </w:pPr>
            <w:r w:rsidRPr="008E5400">
              <w:t xml:space="preserve">Strongly agree </w:t>
            </w:r>
          </w:p>
        </w:tc>
        <w:tc>
          <w:tcPr>
            <w:tcW w:w="851" w:type="dxa"/>
            <w:tcBorders>
              <w:top w:val="single" w:sz="4" w:space="0" w:color="auto"/>
              <w:bottom w:val="single" w:sz="4" w:space="0" w:color="auto"/>
            </w:tcBorders>
            <w:hideMark/>
          </w:tcPr>
          <w:p w:rsidR="00DA796D" w:rsidRPr="008E5400" w:rsidRDefault="00DA796D" w:rsidP="008E5400">
            <w:pPr>
              <w:pStyle w:val="braytabletext"/>
              <w:jc w:val="right"/>
            </w:pPr>
            <w:r w:rsidRPr="008E5400">
              <w:t xml:space="preserve">Mostly agree </w:t>
            </w:r>
          </w:p>
        </w:tc>
        <w:tc>
          <w:tcPr>
            <w:tcW w:w="992" w:type="dxa"/>
            <w:tcBorders>
              <w:top w:val="single" w:sz="4" w:space="0" w:color="auto"/>
              <w:bottom w:val="single" w:sz="4" w:space="0" w:color="auto"/>
            </w:tcBorders>
            <w:hideMark/>
          </w:tcPr>
          <w:p w:rsidR="00DA796D" w:rsidRPr="008E5400" w:rsidRDefault="00DA796D" w:rsidP="008E5400">
            <w:pPr>
              <w:pStyle w:val="braytabletext"/>
              <w:jc w:val="right"/>
            </w:pPr>
            <w:r w:rsidRPr="008E5400">
              <w:t xml:space="preserve">Mostly disagree </w:t>
            </w:r>
          </w:p>
        </w:tc>
        <w:tc>
          <w:tcPr>
            <w:tcW w:w="992" w:type="dxa"/>
            <w:tcBorders>
              <w:top w:val="single" w:sz="4" w:space="0" w:color="auto"/>
              <w:bottom w:val="single" w:sz="4" w:space="0" w:color="auto"/>
            </w:tcBorders>
            <w:hideMark/>
          </w:tcPr>
          <w:p w:rsidR="00DA796D" w:rsidRPr="008E5400" w:rsidRDefault="00DA796D" w:rsidP="008E5400">
            <w:pPr>
              <w:pStyle w:val="braytabletext"/>
              <w:jc w:val="right"/>
            </w:pPr>
            <w:r w:rsidRPr="008E5400">
              <w:t xml:space="preserve">Strongly disagree </w:t>
            </w:r>
          </w:p>
        </w:tc>
        <w:tc>
          <w:tcPr>
            <w:tcW w:w="810" w:type="dxa"/>
            <w:tcBorders>
              <w:top w:val="single" w:sz="4" w:space="0" w:color="auto"/>
              <w:bottom w:val="single" w:sz="4" w:space="0" w:color="auto"/>
            </w:tcBorders>
          </w:tcPr>
          <w:p w:rsidR="00DA796D" w:rsidRPr="008E5400" w:rsidRDefault="00DA796D" w:rsidP="008E5400">
            <w:pPr>
              <w:pStyle w:val="braytabletext"/>
              <w:jc w:val="right"/>
            </w:pPr>
            <w:r w:rsidRPr="008E5400">
              <w:t>Total</w:t>
            </w:r>
          </w:p>
        </w:tc>
      </w:tr>
      <w:tr w:rsidR="00DA796D" w:rsidRPr="008E5400" w:rsidTr="00783DF8">
        <w:trPr>
          <w:jc w:val="right"/>
        </w:trPr>
        <w:tc>
          <w:tcPr>
            <w:tcW w:w="3924" w:type="dxa"/>
            <w:tcBorders>
              <w:top w:val="single" w:sz="4" w:space="0" w:color="auto"/>
            </w:tcBorders>
            <w:hideMark/>
          </w:tcPr>
          <w:p w:rsidR="00DA796D" w:rsidRPr="008E5400" w:rsidRDefault="00DA796D" w:rsidP="008E5400">
            <w:pPr>
              <w:pStyle w:val="braytabletext"/>
            </w:pPr>
          </w:p>
        </w:tc>
        <w:tc>
          <w:tcPr>
            <w:tcW w:w="4637" w:type="dxa"/>
            <w:gridSpan w:val="5"/>
            <w:tcBorders>
              <w:top w:val="single" w:sz="4" w:space="0" w:color="auto"/>
            </w:tcBorders>
            <w:vAlign w:val="center"/>
            <w:hideMark/>
          </w:tcPr>
          <w:p w:rsidR="00DA796D" w:rsidRPr="008E5400" w:rsidRDefault="00DA796D" w:rsidP="00783DF8">
            <w:pPr>
              <w:pStyle w:val="braytabletext"/>
              <w:jc w:val="center"/>
            </w:pPr>
            <w:r w:rsidRPr="008E5400">
              <w:t>- % -</w:t>
            </w:r>
          </w:p>
        </w:tc>
      </w:tr>
      <w:tr w:rsidR="00DA796D" w:rsidRPr="008E5400" w:rsidTr="008E5400">
        <w:trPr>
          <w:jc w:val="right"/>
        </w:trPr>
        <w:tc>
          <w:tcPr>
            <w:tcW w:w="3924" w:type="dxa"/>
            <w:vAlign w:val="bottom"/>
            <w:hideMark/>
          </w:tcPr>
          <w:p w:rsidR="00DA796D" w:rsidRPr="008E5400" w:rsidRDefault="00DA796D" w:rsidP="008E5400">
            <w:pPr>
              <w:pStyle w:val="braytabletext"/>
            </w:pPr>
            <w:r w:rsidRPr="008E5400">
              <w:t>Clients are given adequate information about why they are on new income management</w:t>
            </w:r>
          </w:p>
        </w:tc>
        <w:tc>
          <w:tcPr>
            <w:tcW w:w="992" w:type="dxa"/>
            <w:vAlign w:val="bottom"/>
            <w:hideMark/>
          </w:tcPr>
          <w:p w:rsidR="00DA796D" w:rsidRPr="008E5400" w:rsidRDefault="00DA796D" w:rsidP="008E5400">
            <w:pPr>
              <w:pStyle w:val="braytabletext"/>
              <w:jc w:val="right"/>
            </w:pPr>
            <w:r w:rsidRPr="008E5400">
              <w:t>19</w:t>
            </w:r>
          </w:p>
        </w:tc>
        <w:tc>
          <w:tcPr>
            <w:tcW w:w="851" w:type="dxa"/>
            <w:vAlign w:val="bottom"/>
            <w:hideMark/>
          </w:tcPr>
          <w:p w:rsidR="00DA796D" w:rsidRPr="008E5400" w:rsidRDefault="00DA796D" w:rsidP="008E5400">
            <w:pPr>
              <w:pStyle w:val="braytabletext"/>
              <w:jc w:val="right"/>
            </w:pPr>
            <w:r w:rsidRPr="008E5400">
              <w:t>62</w:t>
            </w:r>
          </w:p>
        </w:tc>
        <w:tc>
          <w:tcPr>
            <w:tcW w:w="992" w:type="dxa"/>
            <w:vAlign w:val="bottom"/>
            <w:hideMark/>
          </w:tcPr>
          <w:p w:rsidR="00DA796D" w:rsidRPr="008E5400" w:rsidRDefault="00DA796D" w:rsidP="008E5400">
            <w:pPr>
              <w:pStyle w:val="braytabletext"/>
              <w:jc w:val="right"/>
            </w:pPr>
            <w:r w:rsidRPr="008E5400">
              <w:t>14</w:t>
            </w:r>
          </w:p>
        </w:tc>
        <w:tc>
          <w:tcPr>
            <w:tcW w:w="992" w:type="dxa"/>
            <w:vAlign w:val="bottom"/>
            <w:hideMark/>
          </w:tcPr>
          <w:p w:rsidR="00DA796D" w:rsidRPr="008E5400" w:rsidRDefault="00DA796D" w:rsidP="008E5400">
            <w:pPr>
              <w:pStyle w:val="braytabletext"/>
              <w:jc w:val="right"/>
            </w:pPr>
            <w:r w:rsidRPr="008E5400">
              <w:t>5</w:t>
            </w:r>
          </w:p>
        </w:tc>
        <w:tc>
          <w:tcPr>
            <w:tcW w:w="810" w:type="dxa"/>
            <w:vAlign w:val="bottom"/>
          </w:tcPr>
          <w:p w:rsidR="00DA796D" w:rsidRPr="008E5400" w:rsidRDefault="00DA796D" w:rsidP="008E5400">
            <w:pPr>
              <w:pStyle w:val="braytabletext"/>
              <w:jc w:val="right"/>
            </w:pPr>
            <w:r w:rsidRPr="008E5400">
              <w:t>100</w:t>
            </w:r>
          </w:p>
        </w:tc>
      </w:tr>
      <w:tr w:rsidR="00DA796D" w:rsidRPr="008E5400" w:rsidTr="008E5400">
        <w:trPr>
          <w:jc w:val="right"/>
        </w:trPr>
        <w:tc>
          <w:tcPr>
            <w:tcW w:w="3924" w:type="dxa"/>
            <w:vAlign w:val="bottom"/>
            <w:hideMark/>
          </w:tcPr>
          <w:p w:rsidR="00DA796D" w:rsidRPr="008E5400" w:rsidRDefault="00DA796D" w:rsidP="008E5400">
            <w:pPr>
              <w:pStyle w:val="braytabletext"/>
            </w:pPr>
            <w:r w:rsidRPr="008E5400">
              <w:t>Clients have a good understanding about why they are on new income management</w:t>
            </w:r>
          </w:p>
        </w:tc>
        <w:tc>
          <w:tcPr>
            <w:tcW w:w="992" w:type="dxa"/>
            <w:vAlign w:val="bottom"/>
            <w:hideMark/>
          </w:tcPr>
          <w:p w:rsidR="00DA796D" w:rsidRPr="008E5400" w:rsidRDefault="00DA796D" w:rsidP="008E5400">
            <w:pPr>
              <w:pStyle w:val="braytabletext"/>
              <w:jc w:val="right"/>
            </w:pPr>
            <w:r w:rsidRPr="008E5400">
              <w:t>10</w:t>
            </w:r>
          </w:p>
        </w:tc>
        <w:tc>
          <w:tcPr>
            <w:tcW w:w="851" w:type="dxa"/>
            <w:vAlign w:val="bottom"/>
            <w:hideMark/>
          </w:tcPr>
          <w:p w:rsidR="00DA796D" w:rsidRPr="008E5400" w:rsidRDefault="00DA796D" w:rsidP="008E5400">
            <w:pPr>
              <w:pStyle w:val="braytabletext"/>
              <w:jc w:val="right"/>
            </w:pPr>
            <w:r w:rsidRPr="008E5400">
              <w:t>55</w:t>
            </w:r>
          </w:p>
        </w:tc>
        <w:tc>
          <w:tcPr>
            <w:tcW w:w="992" w:type="dxa"/>
            <w:vAlign w:val="bottom"/>
            <w:hideMark/>
          </w:tcPr>
          <w:p w:rsidR="00DA796D" w:rsidRPr="008E5400" w:rsidRDefault="00DA796D" w:rsidP="008E5400">
            <w:pPr>
              <w:pStyle w:val="braytabletext"/>
              <w:jc w:val="right"/>
            </w:pPr>
            <w:r w:rsidRPr="008E5400">
              <w:t>28</w:t>
            </w:r>
          </w:p>
        </w:tc>
        <w:tc>
          <w:tcPr>
            <w:tcW w:w="992" w:type="dxa"/>
            <w:vAlign w:val="bottom"/>
            <w:hideMark/>
          </w:tcPr>
          <w:p w:rsidR="00DA796D" w:rsidRPr="008E5400" w:rsidRDefault="00DA796D" w:rsidP="008E5400">
            <w:pPr>
              <w:pStyle w:val="braytabletext"/>
              <w:jc w:val="right"/>
            </w:pPr>
            <w:r w:rsidRPr="008E5400">
              <w:t>6</w:t>
            </w:r>
          </w:p>
        </w:tc>
        <w:tc>
          <w:tcPr>
            <w:tcW w:w="810" w:type="dxa"/>
            <w:vAlign w:val="bottom"/>
          </w:tcPr>
          <w:p w:rsidR="00DA796D" w:rsidRPr="008E5400" w:rsidRDefault="00DA796D" w:rsidP="008E5400">
            <w:pPr>
              <w:pStyle w:val="braytabletext"/>
              <w:jc w:val="right"/>
            </w:pPr>
            <w:r w:rsidRPr="008E5400">
              <w:t>100</w:t>
            </w:r>
          </w:p>
        </w:tc>
      </w:tr>
      <w:tr w:rsidR="00DA796D" w:rsidRPr="008E5400" w:rsidTr="008E5400">
        <w:trPr>
          <w:jc w:val="right"/>
        </w:trPr>
        <w:tc>
          <w:tcPr>
            <w:tcW w:w="3924" w:type="dxa"/>
            <w:vAlign w:val="bottom"/>
            <w:hideMark/>
          </w:tcPr>
          <w:p w:rsidR="00DA796D" w:rsidRPr="008E5400" w:rsidRDefault="00DA796D" w:rsidP="008E5400">
            <w:pPr>
              <w:pStyle w:val="braytabletext"/>
            </w:pPr>
            <w:r w:rsidRPr="008E5400">
              <w:t>Clients are given information about their rights in regard to new income management</w:t>
            </w:r>
          </w:p>
        </w:tc>
        <w:tc>
          <w:tcPr>
            <w:tcW w:w="992" w:type="dxa"/>
            <w:vAlign w:val="bottom"/>
            <w:hideMark/>
          </w:tcPr>
          <w:p w:rsidR="00DA796D" w:rsidRPr="008E5400" w:rsidRDefault="00DA796D" w:rsidP="008E5400">
            <w:pPr>
              <w:pStyle w:val="braytabletext"/>
              <w:jc w:val="right"/>
            </w:pPr>
            <w:r w:rsidRPr="008E5400">
              <w:t>21</w:t>
            </w:r>
          </w:p>
        </w:tc>
        <w:tc>
          <w:tcPr>
            <w:tcW w:w="851" w:type="dxa"/>
            <w:vAlign w:val="bottom"/>
            <w:hideMark/>
          </w:tcPr>
          <w:p w:rsidR="00DA796D" w:rsidRPr="008E5400" w:rsidRDefault="00DA796D" w:rsidP="008E5400">
            <w:pPr>
              <w:pStyle w:val="braytabletext"/>
              <w:jc w:val="right"/>
            </w:pPr>
            <w:r w:rsidRPr="008E5400">
              <w:t>60</w:t>
            </w:r>
          </w:p>
        </w:tc>
        <w:tc>
          <w:tcPr>
            <w:tcW w:w="992" w:type="dxa"/>
            <w:vAlign w:val="bottom"/>
            <w:hideMark/>
          </w:tcPr>
          <w:p w:rsidR="00DA796D" w:rsidRPr="008E5400" w:rsidRDefault="00DA796D" w:rsidP="008E5400">
            <w:pPr>
              <w:pStyle w:val="braytabletext"/>
              <w:jc w:val="right"/>
            </w:pPr>
            <w:r w:rsidRPr="008E5400">
              <w:t>14</w:t>
            </w:r>
          </w:p>
        </w:tc>
        <w:tc>
          <w:tcPr>
            <w:tcW w:w="992" w:type="dxa"/>
            <w:vAlign w:val="bottom"/>
            <w:hideMark/>
          </w:tcPr>
          <w:p w:rsidR="00DA796D" w:rsidRPr="008E5400" w:rsidRDefault="00DA796D" w:rsidP="008E5400">
            <w:pPr>
              <w:pStyle w:val="braytabletext"/>
              <w:jc w:val="right"/>
            </w:pPr>
            <w:r w:rsidRPr="008E5400">
              <w:t>5</w:t>
            </w:r>
          </w:p>
        </w:tc>
        <w:tc>
          <w:tcPr>
            <w:tcW w:w="810" w:type="dxa"/>
            <w:vAlign w:val="bottom"/>
          </w:tcPr>
          <w:p w:rsidR="00DA796D" w:rsidRPr="008E5400" w:rsidRDefault="00DA796D" w:rsidP="008E5400">
            <w:pPr>
              <w:pStyle w:val="braytabletext"/>
              <w:jc w:val="right"/>
            </w:pPr>
            <w:r w:rsidRPr="008E5400">
              <w:t>100</w:t>
            </w:r>
          </w:p>
        </w:tc>
      </w:tr>
      <w:tr w:rsidR="00DA796D" w:rsidRPr="008E5400" w:rsidTr="008E5400">
        <w:trPr>
          <w:jc w:val="right"/>
        </w:trPr>
        <w:tc>
          <w:tcPr>
            <w:tcW w:w="3924" w:type="dxa"/>
            <w:vAlign w:val="bottom"/>
            <w:hideMark/>
          </w:tcPr>
          <w:p w:rsidR="00DA796D" w:rsidRPr="008E5400" w:rsidRDefault="00DA796D" w:rsidP="008E5400">
            <w:pPr>
              <w:pStyle w:val="braytabletext"/>
            </w:pPr>
            <w:r w:rsidRPr="008E5400">
              <w:t>Clients are aware of the appeal processes and advocacy services (e.g. Welfare Rights Centre) available to them</w:t>
            </w:r>
          </w:p>
        </w:tc>
        <w:tc>
          <w:tcPr>
            <w:tcW w:w="992" w:type="dxa"/>
            <w:vAlign w:val="bottom"/>
            <w:hideMark/>
          </w:tcPr>
          <w:p w:rsidR="00DA796D" w:rsidRPr="008E5400" w:rsidRDefault="00DA796D" w:rsidP="008E5400">
            <w:pPr>
              <w:pStyle w:val="braytabletext"/>
              <w:jc w:val="right"/>
            </w:pPr>
            <w:r w:rsidRPr="008E5400">
              <w:t>13</w:t>
            </w:r>
          </w:p>
        </w:tc>
        <w:tc>
          <w:tcPr>
            <w:tcW w:w="851" w:type="dxa"/>
            <w:vAlign w:val="bottom"/>
            <w:hideMark/>
          </w:tcPr>
          <w:p w:rsidR="00DA796D" w:rsidRPr="008E5400" w:rsidRDefault="00DA796D" w:rsidP="008E5400">
            <w:pPr>
              <w:pStyle w:val="braytabletext"/>
              <w:jc w:val="right"/>
            </w:pPr>
            <w:r w:rsidRPr="008E5400">
              <w:t>50</w:t>
            </w:r>
          </w:p>
        </w:tc>
        <w:tc>
          <w:tcPr>
            <w:tcW w:w="992" w:type="dxa"/>
            <w:vAlign w:val="bottom"/>
            <w:hideMark/>
          </w:tcPr>
          <w:p w:rsidR="00DA796D" w:rsidRPr="008E5400" w:rsidRDefault="00DA796D" w:rsidP="008E5400">
            <w:pPr>
              <w:pStyle w:val="braytabletext"/>
              <w:jc w:val="right"/>
            </w:pPr>
            <w:r w:rsidRPr="008E5400">
              <w:t>31</w:t>
            </w:r>
          </w:p>
        </w:tc>
        <w:tc>
          <w:tcPr>
            <w:tcW w:w="992" w:type="dxa"/>
            <w:vAlign w:val="bottom"/>
            <w:hideMark/>
          </w:tcPr>
          <w:p w:rsidR="00DA796D" w:rsidRPr="008E5400" w:rsidRDefault="00DA796D" w:rsidP="008E5400">
            <w:pPr>
              <w:pStyle w:val="braytabletext"/>
              <w:jc w:val="right"/>
            </w:pPr>
            <w:r w:rsidRPr="008E5400">
              <w:t>7</w:t>
            </w:r>
          </w:p>
        </w:tc>
        <w:tc>
          <w:tcPr>
            <w:tcW w:w="810" w:type="dxa"/>
            <w:vAlign w:val="bottom"/>
          </w:tcPr>
          <w:p w:rsidR="00DA796D" w:rsidRPr="008E5400" w:rsidRDefault="00DA796D" w:rsidP="008E5400">
            <w:pPr>
              <w:pStyle w:val="braytabletext"/>
              <w:jc w:val="right"/>
            </w:pPr>
            <w:r w:rsidRPr="008E5400">
              <w:t>100</w:t>
            </w:r>
          </w:p>
        </w:tc>
      </w:tr>
      <w:tr w:rsidR="00DA796D" w:rsidRPr="008E5400" w:rsidTr="008E5400">
        <w:trPr>
          <w:jc w:val="right"/>
        </w:trPr>
        <w:tc>
          <w:tcPr>
            <w:tcW w:w="3924" w:type="dxa"/>
            <w:vAlign w:val="bottom"/>
            <w:hideMark/>
          </w:tcPr>
          <w:p w:rsidR="00DA796D" w:rsidRPr="008E5400" w:rsidRDefault="00DA796D" w:rsidP="008E5400">
            <w:pPr>
              <w:pStyle w:val="braytabletext"/>
            </w:pPr>
            <w:r w:rsidRPr="008E5400">
              <w:t>Clients are given adequate information about how income management works</w:t>
            </w:r>
          </w:p>
        </w:tc>
        <w:tc>
          <w:tcPr>
            <w:tcW w:w="992" w:type="dxa"/>
            <w:vAlign w:val="bottom"/>
            <w:hideMark/>
          </w:tcPr>
          <w:p w:rsidR="00DA796D" w:rsidRPr="008E5400" w:rsidRDefault="00DA796D" w:rsidP="008E5400">
            <w:pPr>
              <w:pStyle w:val="braytabletext"/>
              <w:jc w:val="right"/>
            </w:pPr>
            <w:r w:rsidRPr="008E5400">
              <w:t>22</w:t>
            </w:r>
          </w:p>
        </w:tc>
        <w:tc>
          <w:tcPr>
            <w:tcW w:w="851" w:type="dxa"/>
            <w:vAlign w:val="bottom"/>
            <w:hideMark/>
          </w:tcPr>
          <w:p w:rsidR="00DA796D" w:rsidRPr="008E5400" w:rsidRDefault="00DA796D" w:rsidP="008E5400">
            <w:pPr>
              <w:pStyle w:val="braytabletext"/>
              <w:jc w:val="right"/>
            </w:pPr>
            <w:r w:rsidRPr="008E5400">
              <w:t>62</w:t>
            </w:r>
          </w:p>
        </w:tc>
        <w:tc>
          <w:tcPr>
            <w:tcW w:w="992" w:type="dxa"/>
            <w:vAlign w:val="bottom"/>
            <w:hideMark/>
          </w:tcPr>
          <w:p w:rsidR="00DA796D" w:rsidRPr="008E5400" w:rsidRDefault="00DA796D" w:rsidP="008E5400">
            <w:pPr>
              <w:pStyle w:val="braytabletext"/>
              <w:jc w:val="right"/>
            </w:pPr>
            <w:r w:rsidRPr="008E5400">
              <w:t>13</w:t>
            </w:r>
          </w:p>
        </w:tc>
        <w:tc>
          <w:tcPr>
            <w:tcW w:w="992" w:type="dxa"/>
            <w:vAlign w:val="bottom"/>
            <w:hideMark/>
          </w:tcPr>
          <w:p w:rsidR="00DA796D" w:rsidRPr="008E5400" w:rsidRDefault="00DA796D" w:rsidP="008E5400">
            <w:pPr>
              <w:pStyle w:val="braytabletext"/>
              <w:jc w:val="right"/>
            </w:pPr>
            <w:r w:rsidRPr="008E5400">
              <w:t>3</w:t>
            </w:r>
          </w:p>
        </w:tc>
        <w:tc>
          <w:tcPr>
            <w:tcW w:w="810" w:type="dxa"/>
            <w:vAlign w:val="bottom"/>
          </w:tcPr>
          <w:p w:rsidR="00DA796D" w:rsidRPr="008E5400" w:rsidRDefault="00DA796D" w:rsidP="008E5400">
            <w:pPr>
              <w:pStyle w:val="braytabletext"/>
              <w:jc w:val="right"/>
            </w:pPr>
            <w:r w:rsidRPr="008E5400">
              <w:t>100</w:t>
            </w:r>
          </w:p>
        </w:tc>
      </w:tr>
      <w:tr w:rsidR="00DA796D" w:rsidRPr="008E5400" w:rsidTr="008E5400">
        <w:trPr>
          <w:jc w:val="right"/>
        </w:trPr>
        <w:tc>
          <w:tcPr>
            <w:tcW w:w="3924" w:type="dxa"/>
            <w:tcBorders>
              <w:bottom w:val="single" w:sz="4" w:space="0" w:color="auto"/>
            </w:tcBorders>
            <w:vAlign w:val="bottom"/>
            <w:hideMark/>
          </w:tcPr>
          <w:p w:rsidR="00DA796D" w:rsidRPr="008E5400" w:rsidRDefault="00DA796D" w:rsidP="008E5400">
            <w:pPr>
              <w:pStyle w:val="braytabletext"/>
            </w:pPr>
            <w:r w:rsidRPr="008E5400">
              <w:t>Clients have a good understanding about how they can manage their income managed funds</w:t>
            </w:r>
          </w:p>
        </w:tc>
        <w:tc>
          <w:tcPr>
            <w:tcW w:w="992" w:type="dxa"/>
            <w:tcBorders>
              <w:bottom w:val="single" w:sz="4" w:space="0" w:color="auto"/>
            </w:tcBorders>
            <w:vAlign w:val="bottom"/>
            <w:hideMark/>
          </w:tcPr>
          <w:p w:rsidR="00DA796D" w:rsidRPr="008E5400" w:rsidRDefault="00DA796D" w:rsidP="008E5400">
            <w:pPr>
              <w:pStyle w:val="braytabletext"/>
              <w:jc w:val="right"/>
            </w:pPr>
            <w:r w:rsidRPr="008E5400">
              <w:t>18</w:t>
            </w:r>
          </w:p>
        </w:tc>
        <w:tc>
          <w:tcPr>
            <w:tcW w:w="851" w:type="dxa"/>
            <w:tcBorders>
              <w:bottom w:val="single" w:sz="4" w:space="0" w:color="auto"/>
            </w:tcBorders>
            <w:vAlign w:val="bottom"/>
            <w:hideMark/>
          </w:tcPr>
          <w:p w:rsidR="00DA796D" w:rsidRPr="008E5400" w:rsidRDefault="00DA796D" w:rsidP="008E5400">
            <w:pPr>
              <w:pStyle w:val="braytabletext"/>
              <w:jc w:val="right"/>
            </w:pPr>
            <w:r w:rsidRPr="008E5400">
              <w:t>55</w:t>
            </w:r>
          </w:p>
        </w:tc>
        <w:tc>
          <w:tcPr>
            <w:tcW w:w="992" w:type="dxa"/>
            <w:tcBorders>
              <w:bottom w:val="single" w:sz="4" w:space="0" w:color="auto"/>
            </w:tcBorders>
            <w:vAlign w:val="bottom"/>
            <w:hideMark/>
          </w:tcPr>
          <w:p w:rsidR="00DA796D" w:rsidRPr="008E5400" w:rsidRDefault="00DA796D" w:rsidP="008E5400">
            <w:pPr>
              <w:pStyle w:val="braytabletext"/>
              <w:jc w:val="right"/>
            </w:pPr>
            <w:r w:rsidRPr="008E5400">
              <w:t>21</w:t>
            </w:r>
          </w:p>
        </w:tc>
        <w:tc>
          <w:tcPr>
            <w:tcW w:w="992" w:type="dxa"/>
            <w:tcBorders>
              <w:bottom w:val="single" w:sz="4" w:space="0" w:color="auto"/>
            </w:tcBorders>
            <w:vAlign w:val="bottom"/>
            <w:hideMark/>
          </w:tcPr>
          <w:p w:rsidR="00DA796D" w:rsidRPr="008E5400" w:rsidRDefault="00DA796D" w:rsidP="008E5400">
            <w:pPr>
              <w:pStyle w:val="braytabletext"/>
              <w:jc w:val="right"/>
            </w:pPr>
            <w:r w:rsidRPr="008E5400">
              <w:t>6</w:t>
            </w:r>
          </w:p>
        </w:tc>
        <w:tc>
          <w:tcPr>
            <w:tcW w:w="810" w:type="dxa"/>
            <w:tcBorders>
              <w:bottom w:val="single" w:sz="4" w:space="0" w:color="auto"/>
            </w:tcBorders>
            <w:vAlign w:val="bottom"/>
          </w:tcPr>
          <w:p w:rsidR="00DA796D" w:rsidRPr="008E5400" w:rsidRDefault="00DA796D" w:rsidP="008E5400">
            <w:pPr>
              <w:pStyle w:val="braytabletext"/>
              <w:jc w:val="right"/>
            </w:pPr>
            <w:r w:rsidRPr="008E5400">
              <w:t>100</w:t>
            </w:r>
          </w:p>
        </w:tc>
      </w:tr>
    </w:tbl>
    <w:p w:rsidR="00DA796D" w:rsidRPr="005911E2" w:rsidRDefault="00DA796D" w:rsidP="00CF518E">
      <w:pPr>
        <w:pStyle w:val="tablefootnotes"/>
      </w:pPr>
      <w:r w:rsidRPr="005911E2">
        <w:t xml:space="preserve">Notes: </w:t>
      </w:r>
      <w:r w:rsidRPr="005911E2">
        <w:tab/>
        <w:t xml:space="preserve">128 respondents. The proportion of ‘can’t say/don’t know’ responses ranged from 2 per cent to 4 per cent for these items. These responses are excluded from this table. </w:t>
      </w:r>
    </w:p>
    <w:p w:rsidR="00DA796D" w:rsidRPr="005911E2" w:rsidRDefault="00DA796D" w:rsidP="00CF518E">
      <w:pPr>
        <w:pStyle w:val="tablefootnotes"/>
      </w:pPr>
      <w:r w:rsidRPr="005911E2">
        <w:t xml:space="preserve">Source: </w:t>
      </w:r>
      <w:r w:rsidR="00EA0237">
        <w:tab/>
      </w:r>
      <w:r w:rsidRPr="005911E2">
        <w:t xml:space="preserve">Survey of Centrelink </w:t>
      </w:r>
      <w:r w:rsidR="004201D4">
        <w:t>s</w:t>
      </w:r>
      <w:r w:rsidRPr="005911E2">
        <w:t>taff 2011.</w:t>
      </w:r>
    </w:p>
    <w:p w:rsidR="00DA796D" w:rsidRPr="005911E2" w:rsidRDefault="00DA796D" w:rsidP="00DA796D">
      <w:pPr>
        <w:spacing w:after="0" w:line="264" w:lineRule="auto"/>
        <w:ind w:left="2552" w:hanging="851"/>
        <w:rPr>
          <w:sz w:val="18"/>
        </w:rPr>
      </w:pPr>
    </w:p>
    <w:p w:rsidR="00B81D60" w:rsidRPr="005911E2" w:rsidRDefault="00B81D60" w:rsidP="00B81D60">
      <w:pPr>
        <w:rPr>
          <w:lang w:eastAsia="en-AU"/>
        </w:rPr>
      </w:pPr>
      <w:r w:rsidRPr="005911E2">
        <w:rPr>
          <w:lang w:eastAsia="en-AU"/>
        </w:rPr>
        <w:t xml:space="preserve">The majority of Centrelink staff interviewed either strongly or mostly agreed that people subject to </w:t>
      </w:r>
      <w:r>
        <w:rPr>
          <w:lang w:eastAsia="en-AU"/>
        </w:rPr>
        <w:t>income management</w:t>
      </w:r>
      <w:r w:rsidRPr="005911E2">
        <w:rPr>
          <w:lang w:eastAsia="en-AU"/>
        </w:rPr>
        <w:t xml:space="preserve"> were given adequate information about:</w:t>
      </w:r>
    </w:p>
    <w:p w:rsidR="00B81D60" w:rsidRPr="005911E2" w:rsidRDefault="00B81D60" w:rsidP="00EF6C17">
      <w:pPr>
        <w:pStyle w:val="ListBullet"/>
      </w:pPr>
      <w:r w:rsidRPr="005911E2">
        <w:t>how income management works (84 per cent agreement)</w:t>
      </w:r>
    </w:p>
    <w:p w:rsidR="00B81D60" w:rsidRPr="005911E2" w:rsidRDefault="00B81D60" w:rsidP="00EF6C17">
      <w:pPr>
        <w:pStyle w:val="ListBullet"/>
      </w:pPr>
      <w:r w:rsidRPr="005911E2">
        <w:t>their rights in regard to income management (81 per cent)</w:t>
      </w:r>
    </w:p>
    <w:p w:rsidR="00B81D60" w:rsidRPr="005911E2" w:rsidRDefault="00B81D60" w:rsidP="00EF6C17">
      <w:pPr>
        <w:pStyle w:val="ListBullet"/>
      </w:pPr>
      <w:r w:rsidRPr="005911E2">
        <w:t>why they are on new income management (81 per cent)</w:t>
      </w:r>
    </w:p>
    <w:p w:rsidR="00B81D60" w:rsidRPr="005911E2" w:rsidRDefault="00B81D60" w:rsidP="00EF6C17">
      <w:pPr>
        <w:pStyle w:val="ListBullet"/>
      </w:pPr>
      <w:r w:rsidRPr="005911E2">
        <w:t>how they can manage their income managed funds (73 per cent).</w:t>
      </w:r>
    </w:p>
    <w:p w:rsidR="00B81D60" w:rsidRPr="005911E2" w:rsidRDefault="00B81D60" w:rsidP="00B81D60">
      <w:pPr>
        <w:rPr>
          <w:lang w:eastAsia="en-AU"/>
        </w:rPr>
      </w:pPr>
      <w:r w:rsidRPr="005911E2">
        <w:rPr>
          <w:lang w:eastAsia="en-AU"/>
        </w:rPr>
        <w:t xml:space="preserve">While there was general agreement that people subject to </w:t>
      </w:r>
      <w:r>
        <w:rPr>
          <w:lang w:eastAsia="en-AU"/>
        </w:rPr>
        <w:t>income management</w:t>
      </w:r>
      <w:r w:rsidRPr="005911E2">
        <w:rPr>
          <w:lang w:eastAsia="en-AU"/>
        </w:rPr>
        <w:t xml:space="preserve"> had adequate information and a good understanding of </w:t>
      </w:r>
      <w:r>
        <w:rPr>
          <w:lang w:eastAsia="en-AU"/>
        </w:rPr>
        <w:t>income management</w:t>
      </w:r>
      <w:r w:rsidRPr="005911E2">
        <w:rPr>
          <w:lang w:eastAsia="en-AU"/>
        </w:rPr>
        <w:t xml:space="preserve">, the Centrelink staff were much more likely to </w:t>
      </w:r>
      <w:r>
        <w:rPr>
          <w:lang w:eastAsia="en-AU"/>
        </w:rPr>
        <w:t>‘</w:t>
      </w:r>
      <w:r w:rsidRPr="005911E2">
        <w:rPr>
          <w:lang w:eastAsia="en-AU"/>
        </w:rPr>
        <w:t>mostly agree</w:t>
      </w:r>
      <w:r>
        <w:rPr>
          <w:lang w:eastAsia="en-AU"/>
        </w:rPr>
        <w:t>’</w:t>
      </w:r>
      <w:r w:rsidRPr="005911E2">
        <w:rPr>
          <w:lang w:eastAsia="en-AU"/>
        </w:rPr>
        <w:t xml:space="preserve"> than to </w:t>
      </w:r>
      <w:r>
        <w:rPr>
          <w:lang w:eastAsia="en-AU"/>
        </w:rPr>
        <w:t>‘</w:t>
      </w:r>
      <w:r w:rsidRPr="005911E2">
        <w:rPr>
          <w:lang w:eastAsia="en-AU"/>
        </w:rPr>
        <w:t>strongly agree</w:t>
      </w:r>
      <w:r>
        <w:rPr>
          <w:lang w:eastAsia="en-AU"/>
        </w:rPr>
        <w:t>’</w:t>
      </w:r>
      <w:r w:rsidRPr="005911E2">
        <w:rPr>
          <w:lang w:eastAsia="en-AU"/>
        </w:rPr>
        <w:t xml:space="preserve"> with the statements.</w:t>
      </w:r>
    </w:p>
    <w:p w:rsidR="00B81D60" w:rsidRPr="005911E2" w:rsidRDefault="00B81D60" w:rsidP="00B81D60">
      <w:pPr>
        <w:rPr>
          <w:lang w:eastAsia="en-AU"/>
        </w:rPr>
      </w:pPr>
      <w:r w:rsidRPr="005911E2">
        <w:rPr>
          <w:lang w:eastAsia="en-AU"/>
        </w:rPr>
        <w:t xml:space="preserve">There was less agreement on the extent to which their clients understood why they </w:t>
      </w:r>
      <w:r>
        <w:rPr>
          <w:lang w:eastAsia="en-AU"/>
        </w:rPr>
        <w:t>we</w:t>
      </w:r>
      <w:r w:rsidRPr="005911E2">
        <w:rPr>
          <w:lang w:eastAsia="en-AU"/>
        </w:rPr>
        <w:t xml:space="preserve">re on </w:t>
      </w:r>
      <w:r>
        <w:rPr>
          <w:lang w:eastAsia="en-AU"/>
        </w:rPr>
        <w:t>income management</w:t>
      </w:r>
      <w:r w:rsidRPr="005911E2">
        <w:rPr>
          <w:lang w:eastAsia="en-AU"/>
        </w:rPr>
        <w:t xml:space="preserve"> (66 per cent agreed) and whether people were aware of the appeals and advocacy processes available to them (59 per cent). </w:t>
      </w:r>
    </w:p>
    <w:p w:rsidR="00B81D60" w:rsidRPr="005911E2" w:rsidRDefault="00B81D60" w:rsidP="00B81D60">
      <w:pPr>
        <w:rPr>
          <w:lang w:eastAsia="en-AU"/>
        </w:rPr>
      </w:pPr>
      <w:r w:rsidRPr="005911E2">
        <w:rPr>
          <w:lang w:eastAsia="en-AU"/>
        </w:rPr>
        <w:t>Despite these overall high levels of agreement by Centrelink staff that the provision of information to their clients was adequate, these results suggest that there is scope for some further development in this area. In particular</w:t>
      </w:r>
      <w:r>
        <w:rPr>
          <w:lang w:eastAsia="en-AU"/>
        </w:rPr>
        <w:t>,</w:t>
      </w:r>
      <w:r w:rsidRPr="005911E2">
        <w:rPr>
          <w:lang w:eastAsia="en-AU"/>
        </w:rPr>
        <w:t xml:space="preserve"> the level of 'strong agreement' was low, and other data from respondents and </w:t>
      </w:r>
      <w:r>
        <w:rPr>
          <w:lang w:eastAsia="en-AU"/>
        </w:rPr>
        <w:t xml:space="preserve">from </w:t>
      </w:r>
      <w:r w:rsidRPr="005911E2">
        <w:rPr>
          <w:lang w:eastAsia="en-AU"/>
        </w:rPr>
        <w:t xml:space="preserve">the qualitative data suggest that there continues to be less than optimal understanding of the </w:t>
      </w:r>
      <w:r>
        <w:rPr>
          <w:lang w:eastAsia="en-AU"/>
        </w:rPr>
        <w:t>income management</w:t>
      </w:r>
      <w:r w:rsidRPr="005911E2">
        <w:rPr>
          <w:lang w:eastAsia="en-AU"/>
        </w:rPr>
        <w:t xml:space="preserve"> program by many of those subject to it.</w:t>
      </w:r>
    </w:p>
    <w:p w:rsidR="00DA796D" w:rsidRPr="005911E2" w:rsidRDefault="00DA796D" w:rsidP="00DA796D">
      <w:pPr>
        <w:rPr>
          <w:lang w:eastAsia="en-AU"/>
        </w:rPr>
      </w:pPr>
      <w:r w:rsidRPr="005911E2">
        <w:rPr>
          <w:lang w:eastAsia="en-AU"/>
        </w:rPr>
        <w:t xml:space="preserve">The survey of Centrelink staff also asked about the usefulness of a range of approaches to enable people to better understand how income management works. More than half of Centrelink staff who responded to these items reported that talking to their clients about the benefits of NIM (53 per cent) and talking about changing the way they allocate their </w:t>
      </w:r>
      <w:r w:rsidR="00F878E4">
        <w:rPr>
          <w:lang w:eastAsia="en-AU"/>
        </w:rPr>
        <w:t>income management</w:t>
      </w:r>
      <w:r w:rsidRPr="005911E2">
        <w:rPr>
          <w:lang w:eastAsia="en-AU"/>
        </w:rPr>
        <w:t xml:space="preserve"> funds (52 per cent) were greatly useful approaches (Table </w:t>
      </w:r>
      <w:r w:rsidRPr="005911E2">
        <w:rPr>
          <w:noProof/>
          <w:lang w:eastAsia="en-AU"/>
        </w:rPr>
        <w:t>9</w:t>
      </w:r>
      <w:r w:rsidRPr="005911E2">
        <w:rPr>
          <w:lang w:eastAsia="en-AU"/>
        </w:rPr>
        <w:noBreakHyphen/>
      </w:r>
      <w:r w:rsidRPr="005911E2">
        <w:rPr>
          <w:noProof/>
          <w:lang w:eastAsia="en-AU"/>
        </w:rPr>
        <w:t>7</w:t>
      </w:r>
      <w:r w:rsidRPr="005911E2">
        <w:rPr>
          <w:lang w:eastAsia="en-AU"/>
        </w:rPr>
        <w:t>).</w:t>
      </w:r>
    </w:p>
    <w:p w:rsidR="00DA796D" w:rsidRPr="005911E2" w:rsidRDefault="00DA796D" w:rsidP="00EA1CD7">
      <w:pPr>
        <w:pStyle w:val="tabfighead"/>
      </w:pPr>
      <w:bookmarkStart w:id="835" w:name="_Ref194069391"/>
      <w:bookmarkStart w:id="836" w:name="_Toc321254571"/>
      <w:bookmarkStart w:id="837" w:name="_Toc321430452"/>
      <w:bookmarkStart w:id="838" w:name="_Toc321761722"/>
      <w:bookmarkStart w:id="839" w:name="_Toc328601619"/>
      <w:bookmarkStart w:id="840" w:name="_Toc329051397"/>
      <w:bookmarkStart w:id="841" w:name="_Toc335915885"/>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9</w:t>
      </w:r>
      <w:r w:rsidR="00C7347D" w:rsidRPr="005911E2">
        <w:rPr>
          <w:noProof/>
        </w:rPr>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7</w:t>
      </w:r>
      <w:r w:rsidR="00C7347D" w:rsidRPr="005911E2">
        <w:rPr>
          <w:noProof/>
        </w:rPr>
        <w:fldChar w:fldCharType="end"/>
      </w:r>
      <w:bookmarkEnd w:id="835"/>
      <w:r w:rsidRPr="005911E2">
        <w:tab/>
        <w:t>Usefulness of approaches used by Centrelink staff to help clients better understand income management</w:t>
      </w:r>
      <w:bookmarkEnd w:id="836"/>
      <w:bookmarkEnd w:id="837"/>
      <w:bookmarkEnd w:id="838"/>
      <w:bookmarkEnd w:id="839"/>
      <w:bookmarkEnd w:id="840"/>
      <w:bookmarkEnd w:id="841"/>
      <w:r w:rsidRPr="005911E2">
        <w:t xml:space="preserve"> </w:t>
      </w:r>
    </w:p>
    <w:tbl>
      <w:tblPr>
        <w:tblW w:w="0" w:type="auto"/>
        <w:jc w:val="right"/>
        <w:tblInd w:w="959" w:type="dxa"/>
        <w:tblLook w:val="04A0" w:firstRow="1" w:lastRow="0" w:firstColumn="1" w:lastColumn="0" w:noHBand="0" w:noVBand="1"/>
      </w:tblPr>
      <w:tblGrid>
        <w:gridCol w:w="3895"/>
        <w:gridCol w:w="848"/>
        <w:gridCol w:w="652"/>
        <w:gridCol w:w="1008"/>
        <w:gridCol w:w="732"/>
        <w:gridCol w:w="572"/>
      </w:tblGrid>
      <w:tr w:rsidR="00DA796D" w:rsidRPr="005911E2" w:rsidTr="00E24340">
        <w:trPr>
          <w:jc w:val="right"/>
        </w:trPr>
        <w:tc>
          <w:tcPr>
            <w:tcW w:w="3895" w:type="dxa"/>
            <w:tcBorders>
              <w:top w:val="single" w:sz="4" w:space="0" w:color="auto"/>
              <w:left w:val="nil"/>
              <w:bottom w:val="single" w:sz="4" w:space="0" w:color="auto"/>
              <w:right w:val="nil"/>
            </w:tcBorders>
            <w:shd w:val="clear" w:color="auto" w:fill="auto"/>
            <w:vAlign w:val="center"/>
            <w:hideMark/>
          </w:tcPr>
          <w:p w:rsidR="00DA796D" w:rsidRPr="005911E2" w:rsidRDefault="00DA796D" w:rsidP="008E5400">
            <w:pPr>
              <w:pStyle w:val="braytabletext"/>
            </w:pPr>
            <w:r w:rsidRPr="005911E2">
              <w:t> </w:t>
            </w:r>
          </w:p>
        </w:tc>
        <w:tc>
          <w:tcPr>
            <w:tcW w:w="0" w:type="auto"/>
            <w:tcBorders>
              <w:top w:val="single" w:sz="4" w:space="0" w:color="auto"/>
              <w:left w:val="nil"/>
              <w:bottom w:val="single" w:sz="4" w:space="0" w:color="auto"/>
              <w:right w:val="nil"/>
            </w:tcBorders>
            <w:shd w:val="clear" w:color="auto" w:fill="auto"/>
            <w:hideMark/>
          </w:tcPr>
          <w:p w:rsidR="00DA796D" w:rsidRPr="005911E2" w:rsidRDefault="00DA796D" w:rsidP="008E5400">
            <w:pPr>
              <w:pStyle w:val="braytabletext"/>
              <w:jc w:val="right"/>
            </w:pPr>
            <w:r w:rsidRPr="005911E2">
              <w:t xml:space="preserve">Not at all </w:t>
            </w:r>
          </w:p>
        </w:tc>
        <w:tc>
          <w:tcPr>
            <w:tcW w:w="0" w:type="auto"/>
            <w:tcBorders>
              <w:top w:val="single" w:sz="4" w:space="0" w:color="auto"/>
              <w:left w:val="nil"/>
              <w:bottom w:val="single" w:sz="4" w:space="0" w:color="auto"/>
              <w:right w:val="nil"/>
            </w:tcBorders>
            <w:shd w:val="clear" w:color="auto" w:fill="auto"/>
            <w:hideMark/>
          </w:tcPr>
          <w:p w:rsidR="00DA796D" w:rsidRPr="005911E2" w:rsidRDefault="00DA796D" w:rsidP="008E5400">
            <w:pPr>
              <w:pStyle w:val="braytabletext"/>
              <w:jc w:val="right"/>
            </w:pPr>
            <w:r w:rsidRPr="005911E2">
              <w:t xml:space="preserve">A little </w:t>
            </w:r>
          </w:p>
        </w:tc>
        <w:tc>
          <w:tcPr>
            <w:tcW w:w="0" w:type="auto"/>
            <w:tcBorders>
              <w:top w:val="single" w:sz="4" w:space="0" w:color="auto"/>
              <w:left w:val="nil"/>
              <w:bottom w:val="single" w:sz="4" w:space="0" w:color="auto"/>
              <w:right w:val="nil"/>
            </w:tcBorders>
            <w:shd w:val="clear" w:color="auto" w:fill="auto"/>
            <w:hideMark/>
          </w:tcPr>
          <w:p w:rsidR="00DA796D" w:rsidRPr="005911E2" w:rsidRDefault="00DA796D" w:rsidP="008E5400">
            <w:pPr>
              <w:pStyle w:val="braytabletext"/>
              <w:jc w:val="right"/>
            </w:pPr>
            <w:r w:rsidRPr="005911E2">
              <w:t xml:space="preserve">Moderately </w:t>
            </w:r>
          </w:p>
        </w:tc>
        <w:tc>
          <w:tcPr>
            <w:tcW w:w="0" w:type="auto"/>
            <w:tcBorders>
              <w:top w:val="single" w:sz="4" w:space="0" w:color="auto"/>
              <w:left w:val="nil"/>
              <w:bottom w:val="single" w:sz="4" w:space="0" w:color="auto"/>
              <w:right w:val="nil"/>
            </w:tcBorders>
            <w:shd w:val="clear" w:color="auto" w:fill="auto"/>
            <w:hideMark/>
          </w:tcPr>
          <w:p w:rsidR="00DA796D" w:rsidRPr="005911E2" w:rsidRDefault="00DA796D" w:rsidP="008E5400">
            <w:pPr>
              <w:pStyle w:val="braytabletext"/>
              <w:jc w:val="right"/>
            </w:pPr>
            <w:r w:rsidRPr="005911E2">
              <w:t>Greatly</w:t>
            </w:r>
          </w:p>
        </w:tc>
        <w:tc>
          <w:tcPr>
            <w:tcW w:w="0" w:type="auto"/>
            <w:tcBorders>
              <w:top w:val="single" w:sz="4" w:space="0" w:color="auto"/>
              <w:left w:val="nil"/>
              <w:bottom w:val="single" w:sz="4" w:space="0" w:color="auto"/>
              <w:right w:val="nil"/>
            </w:tcBorders>
          </w:tcPr>
          <w:p w:rsidR="00DA796D" w:rsidRPr="005911E2" w:rsidRDefault="00DA796D" w:rsidP="008E5400">
            <w:pPr>
              <w:pStyle w:val="braytabletext"/>
              <w:jc w:val="right"/>
            </w:pPr>
            <w:r w:rsidRPr="005911E2">
              <w:t>Total</w:t>
            </w:r>
          </w:p>
        </w:tc>
      </w:tr>
      <w:tr w:rsidR="00DA796D" w:rsidRPr="005911E2" w:rsidTr="00783DF8">
        <w:trPr>
          <w:jc w:val="right"/>
        </w:trPr>
        <w:tc>
          <w:tcPr>
            <w:tcW w:w="3895" w:type="dxa"/>
            <w:tcBorders>
              <w:top w:val="nil"/>
              <w:left w:val="nil"/>
              <w:right w:val="nil"/>
            </w:tcBorders>
            <w:shd w:val="clear" w:color="auto" w:fill="auto"/>
            <w:vAlign w:val="center"/>
            <w:hideMark/>
          </w:tcPr>
          <w:p w:rsidR="00DA796D" w:rsidRPr="005911E2" w:rsidRDefault="00DA796D" w:rsidP="008E5400">
            <w:pPr>
              <w:pStyle w:val="braytabletext"/>
            </w:pPr>
          </w:p>
        </w:tc>
        <w:tc>
          <w:tcPr>
            <w:tcW w:w="0" w:type="auto"/>
            <w:gridSpan w:val="5"/>
            <w:tcBorders>
              <w:top w:val="single" w:sz="4" w:space="0" w:color="auto"/>
              <w:left w:val="nil"/>
              <w:right w:val="nil"/>
            </w:tcBorders>
            <w:shd w:val="clear" w:color="auto" w:fill="auto"/>
            <w:vAlign w:val="center"/>
            <w:hideMark/>
          </w:tcPr>
          <w:p w:rsidR="00DA796D" w:rsidRPr="005911E2" w:rsidRDefault="00DA796D" w:rsidP="00783DF8">
            <w:pPr>
              <w:pStyle w:val="braytabletext"/>
              <w:jc w:val="center"/>
            </w:pPr>
            <w:r w:rsidRPr="005911E2">
              <w:t>- % -</w:t>
            </w:r>
          </w:p>
        </w:tc>
      </w:tr>
      <w:tr w:rsidR="00DA796D" w:rsidRPr="005911E2" w:rsidTr="00E24340">
        <w:trPr>
          <w:jc w:val="right"/>
        </w:trPr>
        <w:tc>
          <w:tcPr>
            <w:tcW w:w="3895" w:type="dxa"/>
            <w:vAlign w:val="bottom"/>
            <w:hideMark/>
          </w:tcPr>
          <w:p w:rsidR="00DA796D" w:rsidRPr="005911E2" w:rsidRDefault="00DA796D" w:rsidP="008E5400">
            <w:pPr>
              <w:pStyle w:val="braytabletext"/>
            </w:pPr>
            <w:r w:rsidRPr="005911E2">
              <w:t>Talking to the client about the benefits of New Income Management</w:t>
            </w:r>
          </w:p>
        </w:tc>
        <w:tc>
          <w:tcPr>
            <w:tcW w:w="0" w:type="auto"/>
            <w:vAlign w:val="bottom"/>
            <w:hideMark/>
          </w:tcPr>
          <w:p w:rsidR="00DA796D" w:rsidRPr="005911E2" w:rsidRDefault="00DA796D" w:rsidP="008E5400">
            <w:pPr>
              <w:pStyle w:val="braytabletext"/>
              <w:jc w:val="right"/>
            </w:pPr>
            <w:r w:rsidRPr="005911E2">
              <w:t>2</w:t>
            </w:r>
          </w:p>
        </w:tc>
        <w:tc>
          <w:tcPr>
            <w:tcW w:w="0" w:type="auto"/>
            <w:vAlign w:val="bottom"/>
            <w:hideMark/>
          </w:tcPr>
          <w:p w:rsidR="00DA796D" w:rsidRPr="005911E2" w:rsidRDefault="00DA796D" w:rsidP="008E5400">
            <w:pPr>
              <w:pStyle w:val="braytabletext"/>
              <w:jc w:val="right"/>
            </w:pPr>
            <w:r w:rsidRPr="005911E2">
              <w:t>16</w:t>
            </w:r>
          </w:p>
        </w:tc>
        <w:tc>
          <w:tcPr>
            <w:tcW w:w="0" w:type="auto"/>
            <w:vAlign w:val="bottom"/>
            <w:hideMark/>
          </w:tcPr>
          <w:p w:rsidR="00DA796D" w:rsidRPr="005911E2" w:rsidRDefault="00DA796D" w:rsidP="008E5400">
            <w:pPr>
              <w:pStyle w:val="braytabletext"/>
              <w:jc w:val="right"/>
            </w:pPr>
            <w:r w:rsidRPr="005911E2">
              <w:t>29</w:t>
            </w:r>
          </w:p>
        </w:tc>
        <w:tc>
          <w:tcPr>
            <w:tcW w:w="0" w:type="auto"/>
            <w:vAlign w:val="bottom"/>
            <w:hideMark/>
          </w:tcPr>
          <w:p w:rsidR="00DA796D" w:rsidRPr="005911E2" w:rsidRDefault="00DA796D" w:rsidP="008E5400">
            <w:pPr>
              <w:pStyle w:val="braytabletext"/>
              <w:jc w:val="right"/>
            </w:pPr>
            <w:r w:rsidRPr="005911E2">
              <w:t>53</w:t>
            </w:r>
          </w:p>
        </w:tc>
        <w:tc>
          <w:tcPr>
            <w:tcW w:w="0" w:type="auto"/>
            <w:vAlign w:val="bottom"/>
          </w:tcPr>
          <w:p w:rsidR="00DA796D" w:rsidRPr="005911E2" w:rsidRDefault="00DA796D" w:rsidP="008E5400">
            <w:pPr>
              <w:pStyle w:val="braytabletext"/>
              <w:jc w:val="right"/>
            </w:pPr>
            <w:r w:rsidRPr="005911E2">
              <w:t>100</w:t>
            </w:r>
          </w:p>
        </w:tc>
      </w:tr>
      <w:tr w:rsidR="00DA796D" w:rsidRPr="005911E2" w:rsidTr="00E24340">
        <w:trPr>
          <w:jc w:val="right"/>
        </w:trPr>
        <w:tc>
          <w:tcPr>
            <w:tcW w:w="3895" w:type="dxa"/>
            <w:vAlign w:val="bottom"/>
            <w:hideMark/>
          </w:tcPr>
          <w:p w:rsidR="00DA796D" w:rsidRPr="005911E2" w:rsidRDefault="00DA796D" w:rsidP="008E5400">
            <w:pPr>
              <w:pStyle w:val="braytabletext"/>
            </w:pPr>
            <w:r w:rsidRPr="005911E2">
              <w:t>Talking to the client about how they are finding New Income Management</w:t>
            </w:r>
          </w:p>
        </w:tc>
        <w:tc>
          <w:tcPr>
            <w:tcW w:w="0" w:type="auto"/>
            <w:vAlign w:val="bottom"/>
            <w:hideMark/>
          </w:tcPr>
          <w:p w:rsidR="00DA796D" w:rsidRPr="005911E2" w:rsidRDefault="00DA796D" w:rsidP="008E5400">
            <w:pPr>
              <w:pStyle w:val="braytabletext"/>
              <w:jc w:val="right"/>
            </w:pPr>
            <w:r w:rsidRPr="005911E2">
              <w:t>4</w:t>
            </w:r>
          </w:p>
        </w:tc>
        <w:tc>
          <w:tcPr>
            <w:tcW w:w="0" w:type="auto"/>
            <w:vAlign w:val="bottom"/>
            <w:hideMark/>
          </w:tcPr>
          <w:p w:rsidR="00DA796D" w:rsidRPr="005911E2" w:rsidRDefault="00DA796D" w:rsidP="008E5400">
            <w:pPr>
              <w:pStyle w:val="braytabletext"/>
              <w:jc w:val="right"/>
            </w:pPr>
            <w:r w:rsidRPr="005911E2">
              <w:t>16</w:t>
            </w:r>
          </w:p>
        </w:tc>
        <w:tc>
          <w:tcPr>
            <w:tcW w:w="0" w:type="auto"/>
            <w:vAlign w:val="bottom"/>
            <w:hideMark/>
          </w:tcPr>
          <w:p w:rsidR="00DA796D" w:rsidRPr="005911E2" w:rsidRDefault="00DA796D" w:rsidP="008E5400">
            <w:pPr>
              <w:pStyle w:val="braytabletext"/>
              <w:jc w:val="right"/>
            </w:pPr>
            <w:r w:rsidRPr="005911E2">
              <w:t>38</w:t>
            </w:r>
          </w:p>
        </w:tc>
        <w:tc>
          <w:tcPr>
            <w:tcW w:w="0" w:type="auto"/>
            <w:vAlign w:val="bottom"/>
            <w:hideMark/>
          </w:tcPr>
          <w:p w:rsidR="00DA796D" w:rsidRPr="005911E2" w:rsidRDefault="00DA796D" w:rsidP="008E5400">
            <w:pPr>
              <w:pStyle w:val="braytabletext"/>
              <w:jc w:val="right"/>
            </w:pPr>
            <w:r w:rsidRPr="005911E2">
              <w:t>42</w:t>
            </w:r>
          </w:p>
        </w:tc>
        <w:tc>
          <w:tcPr>
            <w:tcW w:w="0" w:type="auto"/>
            <w:vAlign w:val="bottom"/>
          </w:tcPr>
          <w:p w:rsidR="00DA796D" w:rsidRPr="005911E2" w:rsidRDefault="00DA796D" w:rsidP="008E5400">
            <w:pPr>
              <w:pStyle w:val="braytabletext"/>
              <w:jc w:val="right"/>
            </w:pPr>
            <w:r w:rsidRPr="005911E2">
              <w:t>100</w:t>
            </w:r>
          </w:p>
        </w:tc>
      </w:tr>
      <w:tr w:rsidR="00DA796D" w:rsidRPr="005911E2" w:rsidTr="00E24340">
        <w:trPr>
          <w:jc w:val="right"/>
        </w:trPr>
        <w:tc>
          <w:tcPr>
            <w:tcW w:w="3895" w:type="dxa"/>
            <w:vAlign w:val="bottom"/>
            <w:hideMark/>
          </w:tcPr>
          <w:p w:rsidR="00DA796D" w:rsidRPr="005911E2" w:rsidRDefault="00DA796D" w:rsidP="008E5400">
            <w:pPr>
              <w:pStyle w:val="braytabletext"/>
            </w:pPr>
            <w:r w:rsidRPr="005911E2">
              <w:t xml:space="preserve">Talking to the client about changing the way they allocate their </w:t>
            </w:r>
            <w:r w:rsidR="00F878E4">
              <w:t>income management</w:t>
            </w:r>
            <w:r w:rsidRPr="005911E2">
              <w:t xml:space="preserve"> funds</w:t>
            </w:r>
          </w:p>
        </w:tc>
        <w:tc>
          <w:tcPr>
            <w:tcW w:w="0" w:type="auto"/>
            <w:vAlign w:val="bottom"/>
            <w:hideMark/>
          </w:tcPr>
          <w:p w:rsidR="00DA796D" w:rsidRPr="005911E2" w:rsidRDefault="00DA796D" w:rsidP="008E5400">
            <w:pPr>
              <w:pStyle w:val="braytabletext"/>
              <w:jc w:val="right"/>
            </w:pPr>
            <w:r w:rsidRPr="005911E2">
              <w:t>2</w:t>
            </w:r>
          </w:p>
        </w:tc>
        <w:tc>
          <w:tcPr>
            <w:tcW w:w="0" w:type="auto"/>
            <w:vAlign w:val="bottom"/>
            <w:hideMark/>
          </w:tcPr>
          <w:p w:rsidR="00DA796D" w:rsidRPr="005911E2" w:rsidRDefault="00DA796D" w:rsidP="008E5400">
            <w:pPr>
              <w:pStyle w:val="braytabletext"/>
              <w:jc w:val="right"/>
            </w:pPr>
            <w:r w:rsidRPr="005911E2">
              <w:t>9</w:t>
            </w:r>
          </w:p>
        </w:tc>
        <w:tc>
          <w:tcPr>
            <w:tcW w:w="0" w:type="auto"/>
            <w:vAlign w:val="bottom"/>
            <w:hideMark/>
          </w:tcPr>
          <w:p w:rsidR="00DA796D" w:rsidRPr="005911E2" w:rsidRDefault="00DA796D" w:rsidP="008E5400">
            <w:pPr>
              <w:pStyle w:val="braytabletext"/>
              <w:jc w:val="right"/>
            </w:pPr>
            <w:r w:rsidRPr="005911E2">
              <w:t>38</w:t>
            </w:r>
          </w:p>
        </w:tc>
        <w:tc>
          <w:tcPr>
            <w:tcW w:w="0" w:type="auto"/>
            <w:vAlign w:val="bottom"/>
            <w:hideMark/>
          </w:tcPr>
          <w:p w:rsidR="00DA796D" w:rsidRPr="005911E2" w:rsidRDefault="00DA796D" w:rsidP="008E5400">
            <w:pPr>
              <w:pStyle w:val="braytabletext"/>
              <w:jc w:val="right"/>
            </w:pPr>
            <w:r w:rsidRPr="005911E2">
              <w:t>52</w:t>
            </w:r>
          </w:p>
        </w:tc>
        <w:tc>
          <w:tcPr>
            <w:tcW w:w="0" w:type="auto"/>
            <w:vAlign w:val="bottom"/>
          </w:tcPr>
          <w:p w:rsidR="00DA796D" w:rsidRPr="005911E2" w:rsidRDefault="00DA796D" w:rsidP="008E5400">
            <w:pPr>
              <w:pStyle w:val="braytabletext"/>
              <w:jc w:val="right"/>
            </w:pPr>
            <w:r w:rsidRPr="005911E2">
              <w:t>100</w:t>
            </w:r>
          </w:p>
        </w:tc>
      </w:tr>
      <w:tr w:rsidR="00DA796D" w:rsidRPr="005911E2" w:rsidTr="00E24340">
        <w:trPr>
          <w:jc w:val="right"/>
        </w:trPr>
        <w:tc>
          <w:tcPr>
            <w:tcW w:w="3895" w:type="dxa"/>
            <w:vAlign w:val="bottom"/>
            <w:hideMark/>
          </w:tcPr>
          <w:p w:rsidR="00DA796D" w:rsidRPr="005911E2" w:rsidRDefault="00DA796D" w:rsidP="008E5400">
            <w:pPr>
              <w:pStyle w:val="braytabletext"/>
            </w:pPr>
            <w:r w:rsidRPr="005911E2">
              <w:t xml:space="preserve">Referring clients to </w:t>
            </w:r>
            <w:r w:rsidR="002222B4">
              <w:t>m</w:t>
            </w:r>
            <w:r w:rsidRPr="005911E2">
              <w:t xml:space="preserve">oney </w:t>
            </w:r>
            <w:r w:rsidR="002222B4">
              <w:t>m</w:t>
            </w:r>
            <w:r w:rsidRPr="005911E2">
              <w:t>anagement</w:t>
            </w:r>
            <w:r w:rsidR="00B62B2D">
              <w:t xml:space="preserve"> </w:t>
            </w:r>
            <w:r w:rsidR="002222B4">
              <w:t xml:space="preserve">and </w:t>
            </w:r>
            <w:r w:rsidRPr="005911E2">
              <w:t>financial counselling services</w:t>
            </w:r>
          </w:p>
        </w:tc>
        <w:tc>
          <w:tcPr>
            <w:tcW w:w="0" w:type="auto"/>
            <w:vAlign w:val="bottom"/>
            <w:hideMark/>
          </w:tcPr>
          <w:p w:rsidR="00DA796D" w:rsidRPr="005911E2" w:rsidRDefault="00DA796D" w:rsidP="008E5400">
            <w:pPr>
              <w:pStyle w:val="braytabletext"/>
              <w:jc w:val="right"/>
            </w:pPr>
            <w:r w:rsidRPr="005911E2">
              <w:t>29</w:t>
            </w:r>
          </w:p>
        </w:tc>
        <w:tc>
          <w:tcPr>
            <w:tcW w:w="0" w:type="auto"/>
            <w:vAlign w:val="bottom"/>
            <w:hideMark/>
          </w:tcPr>
          <w:p w:rsidR="00DA796D" w:rsidRPr="005911E2" w:rsidRDefault="00DA796D" w:rsidP="008E5400">
            <w:pPr>
              <w:pStyle w:val="braytabletext"/>
              <w:jc w:val="right"/>
            </w:pPr>
            <w:r w:rsidRPr="005911E2">
              <w:t>33</w:t>
            </w:r>
          </w:p>
        </w:tc>
        <w:tc>
          <w:tcPr>
            <w:tcW w:w="0" w:type="auto"/>
            <w:vAlign w:val="bottom"/>
            <w:hideMark/>
          </w:tcPr>
          <w:p w:rsidR="00DA796D" w:rsidRPr="005911E2" w:rsidRDefault="00DA796D" w:rsidP="008E5400">
            <w:pPr>
              <w:pStyle w:val="braytabletext"/>
              <w:jc w:val="right"/>
            </w:pPr>
            <w:r w:rsidRPr="005911E2">
              <w:t>25</w:t>
            </w:r>
          </w:p>
        </w:tc>
        <w:tc>
          <w:tcPr>
            <w:tcW w:w="0" w:type="auto"/>
            <w:vAlign w:val="bottom"/>
            <w:hideMark/>
          </w:tcPr>
          <w:p w:rsidR="00DA796D" w:rsidRPr="005911E2" w:rsidRDefault="00DA796D" w:rsidP="008E5400">
            <w:pPr>
              <w:pStyle w:val="braytabletext"/>
              <w:jc w:val="right"/>
            </w:pPr>
            <w:r w:rsidRPr="005911E2">
              <w:t>13</w:t>
            </w:r>
          </w:p>
        </w:tc>
        <w:tc>
          <w:tcPr>
            <w:tcW w:w="0" w:type="auto"/>
            <w:vAlign w:val="bottom"/>
          </w:tcPr>
          <w:p w:rsidR="00DA796D" w:rsidRPr="005911E2" w:rsidRDefault="00DA796D" w:rsidP="008E5400">
            <w:pPr>
              <w:pStyle w:val="braytabletext"/>
              <w:jc w:val="right"/>
            </w:pPr>
            <w:r w:rsidRPr="005911E2">
              <w:t>100</w:t>
            </w:r>
          </w:p>
        </w:tc>
      </w:tr>
      <w:tr w:rsidR="00DA796D" w:rsidRPr="005911E2" w:rsidTr="00E24340">
        <w:trPr>
          <w:jc w:val="right"/>
        </w:trPr>
        <w:tc>
          <w:tcPr>
            <w:tcW w:w="3895" w:type="dxa"/>
            <w:tcBorders>
              <w:bottom w:val="single" w:sz="4" w:space="0" w:color="auto"/>
            </w:tcBorders>
            <w:vAlign w:val="bottom"/>
            <w:hideMark/>
          </w:tcPr>
          <w:p w:rsidR="00DA796D" w:rsidRPr="005911E2" w:rsidRDefault="00DA796D" w:rsidP="008E5400">
            <w:pPr>
              <w:pStyle w:val="braytabletext"/>
            </w:pPr>
            <w:r w:rsidRPr="005911E2">
              <w:t>Referring to other support services</w:t>
            </w:r>
          </w:p>
        </w:tc>
        <w:tc>
          <w:tcPr>
            <w:tcW w:w="0" w:type="auto"/>
            <w:tcBorders>
              <w:bottom w:val="single" w:sz="4" w:space="0" w:color="auto"/>
            </w:tcBorders>
            <w:vAlign w:val="bottom"/>
            <w:hideMark/>
          </w:tcPr>
          <w:p w:rsidR="00DA796D" w:rsidRPr="005911E2" w:rsidRDefault="00DA796D" w:rsidP="008E5400">
            <w:pPr>
              <w:pStyle w:val="braytabletext"/>
              <w:jc w:val="right"/>
            </w:pPr>
            <w:r w:rsidRPr="005911E2">
              <w:t>13</w:t>
            </w:r>
          </w:p>
        </w:tc>
        <w:tc>
          <w:tcPr>
            <w:tcW w:w="0" w:type="auto"/>
            <w:tcBorders>
              <w:bottom w:val="single" w:sz="4" w:space="0" w:color="auto"/>
            </w:tcBorders>
            <w:vAlign w:val="bottom"/>
            <w:hideMark/>
          </w:tcPr>
          <w:p w:rsidR="00DA796D" w:rsidRPr="005911E2" w:rsidRDefault="00DA796D" w:rsidP="008E5400">
            <w:pPr>
              <w:pStyle w:val="braytabletext"/>
              <w:jc w:val="right"/>
            </w:pPr>
            <w:r w:rsidRPr="005911E2">
              <w:t>42</w:t>
            </w:r>
          </w:p>
        </w:tc>
        <w:tc>
          <w:tcPr>
            <w:tcW w:w="0" w:type="auto"/>
            <w:tcBorders>
              <w:bottom w:val="single" w:sz="4" w:space="0" w:color="auto"/>
            </w:tcBorders>
            <w:vAlign w:val="bottom"/>
            <w:hideMark/>
          </w:tcPr>
          <w:p w:rsidR="00DA796D" w:rsidRPr="005911E2" w:rsidRDefault="00DA796D" w:rsidP="008E5400">
            <w:pPr>
              <w:pStyle w:val="braytabletext"/>
              <w:jc w:val="right"/>
            </w:pPr>
            <w:r w:rsidRPr="005911E2">
              <w:t>32</w:t>
            </w:r>
          </w:p>
        </w:tc>
        <w:tc>
          <w:tcPr>
            <w:tcW w:w="0" w:type="auto"/>
            <w:tcBorders>
              <w:bottom w:val="single" w:sz="4" w:space="0" w:color="auto"/>
            </w:tcBorders>
            <w:vAlign w:val="bottom"/>
            <w:hideMark/>
          </w:tcPr>
          <w:p w:rsidR="00DA796D" w:rsidRPr="005911E2" w:rsidRDefault="00DA796D" w:rsidP="008E5400">
            <w:pPr>
              <w:pStyle w:val="braytabletext"/>
              <w:jc w:val="right"/>
            </w:pPr>
            <w:r w:rsidRPr="005911E2">
              <w:t>12</w:t>
            </w:r>
          </w:p>
        </w:tc>
        <w:tc>
          <w:tcPr>
            <w:tcW w:w="0" w:type="auto"/>
            <w:tcBorders>
              <w:bottom w:val="single" w:sz="4" w:space="0" w:color="auto"/>
            </w:tcBorders>
            <w:vAlign w:val="bottom"/>
          </w:tcPr>
          <w:p w:rsidR="00DA796D" w:rsidRPr="005911E2" w:rsidRDefault="00DA796D" w:rsidP="008E5400">
            <w:pPr>
              <w:pStyle w:val="braytabletext"/>
              <w:jc w:val="right"/>
            </w:pPr>
            <w:r w:rsidRPr="005911E2">
              <w:t>100</w:t>
            </w:r>
          </w:p>
        </w:tc>
      </w:tr>
    </w:tbl>
    <w:p w:rsidR="00DA796D" w:rsidRPr="005911E2" w:rsidRDefault="00DA796D" w:rsidP="00CF518E">
      <w:pPr>
        <w:pStyle w:val="tablefootnotes"/>
      </w:pPr>
      <w:r w:rsidRPr="005911E2">
        <w:t xml:space="preserve">Notes: </w:t>
      </w:r>
      <w:r w:rsidRPr="005911E2">
        <w:tab/>
        <w:t>128 respondents. The proportion of ‘have not used these approaches’ responses ranged from 2 per cent to 5 per cent for these items. These responses are excluded from this table.</w:t>
      </w:r>
    </w:p>
    <w:p w:rsidR="00DA796D" w:rsidRPr="005911E2" w:rsidRDefault="00DA796D" w:rsidP="00CF518E">
      <w:pPr>
        <w:pStyle w:val="tablefootnotes"/>
      </w:pPr>
      <w:r w:rsidRPr="005911E2">
        <w:t xml:space="preserve">Source: </w:t>
      </w:r>
      <w:r w:rsidR="00EA0237">
        <w:tab/>
      </w:r>
      <w:r w:rsidRPr="005911E2">
        <w:t>Survey of Centrelink Staff 2011.</w:t>
      </w:r>
    </w:p>
    <w:p w:rsidR="00DA796D" w:rsidRDefault="00DA796D" w:rsidP="00CF518E">
      <w:pPr>
        <w:pStyle w:val="tablefootnotes"/>
      </w:pPr>
    </w:p>
    <w:p w:rsidR="00B81D60" w:rsidRPr="005911E2" w:rsidRDefault="00B81D60" w:rsidP="00B81D60">
      <w:pPr>
        <w:rPr>
          <w:lang w:eastAsia="en-AU"/>
        </w:rPr>
      </w:pPr>
      <w:r w:rsidRPr="005911E2">
        <w:rPr>
          <w:lang w:eastAsia="en-AU"/>
        </w:rPr>
        <w:t xml:space="preserve">Centrelink staff regarded referring clients to </w:t>
      </w:r>
      <w:r>
        <w:rPr>
          <w:lang w:eastAsia="en-AU"/>
        </w:rPr>
        <w:t>m</w:t>
      </w:r>
      <w:r w:rsidRPr="005911E2">
        <w:rPr>
          <w:lang w:eastAsia="en-AU"/>
        </w:rPr>
        <w:t xml:space="preserve">oney </w:t>
      </w:r>
      <w:r>
        <w:rPr>
          <w:lang w:eastAsia="en-AU"/>
        </w:rPr>
        <w:t>m</w:t>
      </w:r>
      <w:r w:rsidRPr="005911E2">
        <w:rPr>
          <w:lang w:eastAsia="en-AU"/>
        </w:rPr>
        <w:t>anagement</w:t>
      </w:r>
      <w:r>
        <w:rPr>
          <w:lang w:eastAsia="en-AU"/>
        </w:rPr>
        <w:t xml:space="preserve"> and </w:t>
      </w:r>
      <w:r w:rsidRPr="005911E2">
        <w:rPr>
          <w:lang w:eastAsia="en-AU"/>
        </w:rPr>
        <w:t>financial counselling services as being the least useful approach (13 per cent reported this as being very useful and 25 per cent as moderately useful) compared to the other approaches listed in the survey.</w:t>
      </w:r>
    </w:p>
    <w:p w:rsidR="00DA796D" w:rsidRPr="005911E2" w:rsidRDefault="00DA796D" w:rsidP="00BD6DFD">
      <w:pPr>
        <w:pStyle w:val="Heading3"/>
      </w:pPr>
      <w:r w:rsidRPr="005911E2">
        <w:t xml:space="preserve">Working with clients during the NIM implementation period </w:t>
      </w:r>
    </w:p>
    <w:p w:rsidR="00DA796D" w:rsidRPr="005911E2" w:rsidRDefault="00DA796D" w:rsidP="00DA796D">
      <w:pPr>
        <w:rPr>
          <w:lang w:eastAsia="en-AU"/>
        </w:rPr>
      </w:pPr>
      <w:r w:rsidRPr="005911E2">
        <w:rPr>
          <w:lang w:eastAsia="en-AU"/>
        </w:rPr>
        <w:t xml:space="preserve">Centrelink staff often reported that they had experienced strong reactions from people who were new to </w:t>
      </w:r>
      <w:r w:rsidR="00F878E4">
        <w:rPr>
          <w:lang w:eastAsia="en-AU"/>
        </w:rPr>
        <w:t>income management</w:t>
      </w:r>
      <w:r w:rsidRPr="005911E2">
        <w:rPr>
          <w:lang w:eastAsia="en-AU"/>
        </w:rPr>
        <w:t xml:space="preserve">. They interpreted this as being because these people had little understanding of </w:t>
      </w:r>
      <w:r w:rsidR="00F878E4">
        <w:rPr>
          <w:lang w:eastAsia="en-AU"/>
        </w:rPr>
        <w:t>income management</w:t>
      </w:r>
      <w:r w:rsidRPr="005911E2">
        <w:rPr>
          <w:lang w:eastAsia="en-AU"/>
        </w:rPr>
        <w:t xml:space="preserve">. Hence, these negative responses were generally perceived by these Centrelink staff as an initial reaction that could be overcome by working with people new to </w:t>
      </w:r>
      <w:r w:rsidR="00F878E4">
        <w:rPr>
          <w:lang w:eastAsia="en-AU"/>
        </w:rPr>
        <w:t>income management</w:t>
      </w:r>
      <w:r w:rsidRPr="005911E2">
        <w:rPr>
          <w:lang w:eastAsia="en-AU"/>
        </w:rPr>
        <w:t xml:space="preserve"> to improve their understanding of </w:t>
      </w:r>
      <w:r w:rsidR="0059459E">
        <w:rPr>
          <w:lang w:eastAsia="en-AU"/>
        </w:rPr>
        <w:t>what it</w:t>
      </w:r>
      <w:r w:rsidR="00B62B2D">
        <w:rPr>
          <w:lang w:eastAsia="en-AU"/>
        </w:rPr>
        <w:t xml:space="preserve"> </w:t>
      </w:r>
      <w:r w:rsidRPr="005911E2">
        <w:rPr>
          <w:lang w:eastAsia="en-AU"/>
        </w:rPr>
        <w:t xml:space="preserve">involved and its potential benefits. </w:t>
      </w:r>
    </w:p>
    <w:p w:rsidR="00DA796D" w:rsidRPr="005911E2" w:rsidRDefault="00DA796D" w:rsidP="00DA796D">
      <w:pPr>
        <w:keepNext/>
        <w:spacing w:after="120"/>
        <w:ind w:left="2325"/>
        <w:jc w:val="left"/>
        <w:rPr>
          <w:i/>
          <w:iCs/>
        </w:rPr>
      </w:pPr>
      <w:r w:rsidRPr="005911E2">
        <w:rPr>
          <w:i/>
          <w:iCs/>
        </w:rPr>
        <w:t>At first they think that the 50 per cent that goes to Income Management they can’t get. Once you explain to them you can get it, you just can’t use it on certain items they are sort of fine with it.</w:t>
      </w:r>
      <w:r w:rsidR="00B62B2D">
        <w:rPr>
          <w:i/>
          <w:iCs/>
        </w:rPr>
        <w:t xml:space="preserve"> </w:t>
      </w:r>
      <w:r w:rsidRPr="005911E2">
        <w:rPr>
          <w:i/>
          <w:iCs/>
        </w:rPr>
        <w:t xml:space="preserve">They pretty much get the gist. </w:t>
      </w:r>
    </w:p>
    <w:p w:rsidR="00DA796D" w:rsidRPr="005911E2" w:rsidRDefault="00DA796D" w:rsidP="008E5400">
      <w:pPr>
        <w:pStyle w:val="mininame"/>
      </w:pPr>
      <w:r w:rsidRPr="005911E2">
        <w:t>Centrelink Customer Service Adviser</w:t>
      </w:r>
    </w:p>
    <w:p w:rsidR="00DA796D" w:rsidRPr="005911E2" w:rsidRDefault="00DA796D" w:rsidP="00DA796D">
      <w:pPr>
        <w:keepNext/>
        <w:spacing w:after="120"/>
        <w:ind w:left="2325"/>
        <w:jc w:val="left"/>
        <w:rPr>
          <w:i/>
          <w:iCs/>
        </w:rPr>
      </w:pPr>
      <w:r w:rsidRPr="005911E2">
        <w:rPr>
          <w:i/>
          <w:iCs/>
        </w:rPr>
        <w:t>The majority of our customers want to stay on it like I’ve seen quite a few that want to stay on it. I guess the in town customers are the ones that aren’t used to having their - income managed are the ones that will kick up a stink about it.</w:t>
      </w:r>
    </w:p>
    <w:p w:rsidR="00DA796D" w:rsidRPr="005911E2" w:rsidRDefault="00DA796D" w:rsidP="008E5400">
      <w:pPr>
        <w:pStyle w:val="mininame"/>
      </w:pPr>
      <w:r w:rsidRPr="005911E2">
        <w:t>Centrelink Customer Service Adviser</w:t>
      </w:r>
    </w:p>
    <w:p w:rsidR="00DA796D" w:rsidRPr="005911E2" w:rsidRDefault="00DA796D" w:rsidP="00DA796D">
      <w:pPr>
        <w:rPr>
          <w:lang w:eastAsia="en-AU"/>
        </w:rPr>
      </w:pPr>
      <w:r w:rsidRPr="005911E2">
        <w:rPr>
          <w:lang w:eastAsia="en-AU"/>
        </w:rPr>
        <w:t>The issue of client responses when transitioning to NIM from NTER is discussed in detail in Section 9.3.4.</w:t>
      </w:r>
    </w:p>
    <w:p w:rsidR="00DA796D" w:rsidRPr="005911E2" w:rsidRDefault="00DA796D" w:rsidP="00DA796D">
      <w:pPr>
        <w:rPr>
          <w:lang w:eastAsia="en-AU"/>
        </w:rPr>
      </w:pPr>
      <w:r w:rsidRPr="005911E2">
        <w:rPr>
          <w:lang w:eastAsia="en-AU"/>
        </w:rPr>
        <w:t xml:space="preserve">Centrelink staff generally were of the view that it was important to work with their clients in the initial stages </w:t>
      </w:r>
      <w:r w:rsidR="00B81D60">
        <w:rPr>
          <w:lang w:eastAsia="en-AU"/>
        </w:rPr>
        <w:t xml:space="preserve">of </w:t>
      </w:r>
      <w:r w:rsidRPr="005911E2">
        <w:rPr>
          <w:lang w:eastAsia="en-AU"/>
        </w:rPr>
        <w:t xml:space="preserve">NIM to assist them to understand the policy and how they could make it work. </w:t>
      </w:r>
    </w:p>
    <w:p w:rsidR="00DA796D" w:rsidRPr="005911E2" w:rsidRDefault="00DA796D" w:rsidP="00DA796D">
      <w:pPr>
        <w:keepNext/>
        <w:spacing w:after="120"/>
        <w:ind w:left="2325"/>
        <w:jc w:val="left"/>
        <w:rPr>
          <w:i/>
          <w:iCs/>
        </w:rPr>
      </w:pPr>
      <w:r w:rsidRPr="005911E2">
        <w:rPr>
          <w:i/>
          <w:iCs/>
        </w:rPr>
        <w:t>A lot of the job involves education, educating them what it's actually for, why it's being done and how to best use it.</w:t>
      </w:r>
      <w:r w:rsidR="00B62B2D">
        <w:rPr>
          <w:i/>
          <w:iCs/>
        </w:rPr>
        <w:t xml:space="preserve"> </w:t>
      </w:r>
    </w:p>
    <w:p w:rsidR="00DA796D" w:rsidRPr="005911E2" w:rsidRDefault="00DA796D" w:rsidP="008E5400">
      <w:pPr>
        <w:pStyle w:val="mininame"/>
      </w:pPr>
      <w:r w:rsidRPr="005911E2">
        <w:t>Centrelink Customer Service Adviser</w:t>
      </w:r>
    </w:p>
    <w:p w:rsidR="00DA796D" w:rsidRPr="005911E2" w:rsidRDefault="00DA796D" w:rsidP="00DA796D">
      <w:pPr>
        <w:keepNext/>
        <w:spacing w:after="120"/>
        <w:ind w:left="2325"/>
        <w:jc w:val="left"/>
        <w:rPr>
          <w:rFonts w:eastAsiaTheme="minorEastAsia"/>
          <w:i/>
          <w:iCs/>
          <w:lang w:bidi="ar-SA"/>
        </w:rPr>
      </w:pPr>
      <w:r w:rsidRPr="005911E2">
        <w:rPr>
          <w:rFonts w:eastAsiaTheme="minorEastAsia"/>
          <w:i/>
          <w:iCs/>
          <w:lang w:bidi="ar-SA"/>
        </w:rPr>
        <w:t xml:space="preserve">Discussing the concept of income management and why they're on income management explaining the specific criteria behind the measure that they're on. That can be a little difficult sometimes. </w:t>
      </w:r>
    </w:p>
    <w:p w:rsidR="00DA796D" w:rsidRPr="005911E2" w:rsidRDefault="00DA796D" w:rsidP="008E5400">
      <w:pPr>
        <w:pStyle w:val="mininame"/>
      </w:pPr>
      <w:r w:rsidRPr="005911E2">
        <w:t>Centrelink Customer Service Adviser</w:t>
      </w:r>
    </w:p>
    <w:p w:rsidR="00DA796D" w:rsidRPr="005911E2" w:rsidRDefault="00DA796D" w:rsidP="00DA796D">
      <w:pPr>
        <w:rPr>
          <w:lang w:eastAsia="en-AU"/>
        </w:rPr>
      </w:pPr>
      <w:r w:rsidRPr="005911E2">
        <w:rPr>
          <w:lang w:eastAsia="en-AU"/>
        </w:rPr>
        <w:t xml:space="preserve">Many of the Centrelink staff interviewed were strong advocates of the benefits of the policy in cases where people’s allocations were set up correctly and reflected their household’s needs. They reported that they viewed doing this properly was important both for their acceptance of </w:t>
      </w:r>
      <w:r w:rsidR="00F878E4">
        <w:rPr>
          <w:lang w:eastAsia="en-AU"/>
        </w:rPr>
        <w:t>income management</w:t>
      </w:r>
      <w:r w:rsidRPr="005911E2">
        <w:rPr>
          <w:lang w:eastAsia="en-AU"/>
        </w:rPr>
        <w:t xml:space="preserve"> but also to allow people to get the best out of the policy as well.</w:t>
      </w:r>
    </w:p>
    <w:p w:rsidR="00DA796D" w:rsidRPr="005911E2" w:rsidRDefault="00DA796D" w:rsidP="00DA796D">
      <w:pPr>
        <w:keepNext/>
        <w:spacing w:after="120"/>
        <w:ind w:left="2325"/>
        <w:jc w:val="left"/>
        <w:rPr>
          <w:rFonts w:eastAsiaTheme="minorEastAsia"/>
          <w:i/>
          <w:iCs/>
          <w:lang w:bidi="ar-SA"/>
        </w:rPr>
      </w:pPr>
      <w:r w:rsidRPr="005911E2">
        <w:rPr>
          <w:rFonts w:eastAsiaTheme="minorEastAsia"/>
          <w:i/>
          <w:iCs/>
          <w:lang w:bidi="ar-SA"/>
        </w:rPr>
        <w:t>I guess the idea is they set up all their expenses and they try to put as much as possible into income management so they get maximum amount of discretionary funds in the bank.</w:t>
      </w:r>
    </w:p>
    <w:p w:rsidR="00DA796D" w:rsidRPr="005911E2" w:rsidRDefault="00DA796D" w:rsidP="008E5400">
      <w:pPr>
        <w:pStyle w:val="mininame"/>
      </w:pPr>
      <w:r w:rsidRPr="005911E2">
        <w:t>Centrelink Customer Service Adviser</w:t>
      </w:r>
    </w:p>
    <w:p w:rsidR="00DA796D" w:rsidRPr="005911E2" w:rsidRDefault="00DA796D" w:rsidP="00DA796D">
      <w:pPr>
        <w:keepNext/>
        <w:spacing w:after="120"/>
        <w:ind w:left="2325"/>
        <w:jc w:val="left"/>
        <w:rPr>
          <w:i/>
          <w:iCs/>
        </w:rPr>
      </w:pPr>
      <w:r w:rsidRPr="005911E2">
        <w:rPr>
          <w:i/>
          <w:iCs/>
        </w:rPr>
        <w:t>You can have the measure applied in that it continues to allow exploitation. Or you can have the measure applied in terms of how you allocate that actually mitigates the likelihood of someone being exploited, or improves their ability to manage their money.</w:t>
      </w:r>
    </w:p>
    <w:p w:rsidR="00DA796D" w:rsidRPr="005911E2" w:rsidRDefault="00DA796D" w:rsidP="008E5400">
      <w:pPr>
        <w:pStyle w:val="mininame"/>
      </w:pPr>
      <w:r w:rsidRPr="005911E2">
        <w:t>Centrelink Customer Service Adviser</w:t>
      </w:r>
    </w:p>
    <w:p w:rsidR="00DA796D" w:rsidRPr="005911E2" w:rsidRDefault="00DA796D" w:rsidP="00DA796D">
      <w:r w:rsidRPr="005911E2">
        <w:t xml:space="preserve">A large proportion of Centrelink staff interviewed believed that people were able to see the benefits after having experienced being on </w:t>
      </w:r>
      <w:r w:rsidR="00F878E4">
        <w:t>income management</w:t>
      </w:r>
      <w:r w:rsidRPr="005911E2">
        <w:t xml:space="preserve"> for a while. </w:t>
      </w:r>
    </w:p>
    <w:p w:rsidR="00DA796D" w:rsidRPr="005911E2" w:rsidRDefault="00DA796D" w:rsidP="00DA796D">
      <w:pPr>
        <w:keepNext/>
        <w:spacing w:after="120"/>
        <w:ind w:left="2325"/>
        <w:jc w:val="left"/>
        <w:rPr>
          <w:i/>
          <w:iCs/>
        </w:rPr>
      </w:pPr>
      <w:r w:rsidRPr="005911E2">
        <w:rPr>
          <w:i/>
          <w:iCs/>
        </w:rPr>
        <w:t>A lot of people did have a problem with it at first.</w:t>
      </w:r>
      <w:r w:rsidR="00B62B2D">
        <w:rPr>
          <w:i/>
          <w:iCs/>
        </w:rPr>
        <w:t xml:space="preserve"> </w:t>
      </w:r>
      <w:r w:rsidRPr="005911E2">
        <w:rPr>
          <w:i/>
          <w:iCs/>
        </w:rPr>
        <w:t>But there are a lot of advantages to it and I think a lot of people have changed their minds about it.</w:t>
      </w:r>
      <w:r w:rsidR="00B62B2D">
        <w:rPr>
          <w:i/>
          <w:iCs/>
        </w:rPr>
        <w:t xml:space="preserve"> </w:t>
      </w:r>
      <w:r w:rsidRPr="005911E2">
        <w:rPr>
          <w:i/>
          <w:iCs/>
        </w:rPr>
        <w:t>We've even had positive feedback from customers who have been put on income management.</w:t>
      </w:r>
    </w:p>
    <w:p w:rsidR="00DA796D" w:rsidRPr="005911E2" w:rsidRDefault="00DA796D" w:rsidP="008E5400">
      <w:pPr>
        <w:pStyle w:val="mininame"/>
      </w:pPr>
      <w:r w:rsidRPr="005911E2">
        <w:t>Centrelink Customer Service Advis</w:t>
      </w:r>
      <w:r w:rsidR="00357105">
        <w:t>e</w:t>
      </w:r>
      <w:r w:rsidRPr="005911E2">
        <w:t>r</w:t>
      </w:r>
    </w:p>
    <w:p w:rsidR="00DA796D" w:rsidRPr="005911E2" w:rsidRDefault="00DA796D" w:rsidP="00DA796D">
      <w:pPr>
        <w:rPr>
          <w:noProof/>
          <w:lang w:eastAsia="en-AU"/>
        </w:rPr>
      </w:pPr>
      <w:r w:rsidRPr="005911E2">
        <w:rPr>
          <w:lang w:eastAsia="en-AU"/>
        </w:rPr>
        <w:t xml:space="preserve">However, some Centrelink staff also reported having clients who felt that their rights were being violated by being subject to </w:t>
      </w:r>
      <w:r w:rsidR="00F878E4">
        <w:rPr>
          <w:lang w:eastAsia="en-AU"/>
        </w:rPr>
        <w:t>income management</w:t>
      </w:r>
      <w:r w:rsidRPr="005911E2">
        <w:rPr>
          <w:lang w:eastAsia="en-AU"/>
        </w:rPr>
        <w:t>, others who felt that being compulsorily income managed was unfair when they had always managed their money well</w:t>
      </w:r>
      <w:r w:rsidR="0059459E">
        <w:rPr>
          <w:lang w:eastAsia="en-AU"/>
        </w:rPr>
        <w:t>,</w:t>
      </w:r>
      <w:r w:rsidRPr="005911E2">
        <w:rPr>
          <w:lang w:eastAsia="en-AU"/>
        </w:rPr>
        <w:t xml:space="preserve"> and others who had experienced a sense of shame from being on income management. These responses from people subject to IM were also reported by staff from </w:t>
      </w:r>
      <w:r w:rsidR="0059459E">
        <w:rPr>
          <w:lang w:eastAsia="en-AU"/>
        </w:rPr>
        <w:t>m</w:t>
      </w:r>
      <w:r w:rsidRPr="005911E2">
        <w:rPr>
          <w:lang w:eastAsia="en-AU"/>
        </w:rPr>
        <w:t xml:space="preserve">oney </w:t>
      </w:r>
      <w:r w:rsidR="0059459E">
        <w:rPr>
          <w:lang w:eastAsia="en-AU"/>
        </w:rPr>
        <w:t>m</w:t>
      </w:r>
      <w:r w:rsidRPr="005911E2">
        <w:rPr>
          <w:lang w:eastAsia="en-AU"/>
        </w:rPr>
        <w:t>anagement and financial counselling services, as well as some stakeholders who participated in the consultations.</w:t>
      </w:r>
      <w:r w:rsidRPr="005911E2">
        <w:rPr>
          <w:noProof/>
          <w:lang w:eastAsia="en-AU"/>
        </w:rPr>
        <w:t xml:space="preserve"> This was also one of the major concerns raised by people subject to </w:t>
      </w:r>
      <w:r w:rsidR="00F878E4">
        <w:rPr>
          <w:noProof/>
          <w:lang w:eastAsia="en-AU"/>
        </w:rPr>
        <w:t>income management</w:t>
      </w:r>
      <w:r w:rsidRPr="005911E2">
        <w:rPr>
          <w:noProof/>
          <w:lang w:eastAsia="en-AU"/>
        </w:rPr>
        <w:t xml:space="preserve"> in the</w:t>
      </w:r>
      <w:r w:rsidR="00EA0237">
        <w:rPr>
          <w:noProof/>
          <w:lang w:eastAsia="en-AU"/>
        </w:rPr>
        <w:t xml:space="preserve"> LSNIM </w:t>
      </w:r>
      <w:r w:rsidRPr="005911E2">
        <w:rPr>
          <w:noProof/>
          <w:lang w:eastAsia="en-AU"/>
        </w:rPr>
        <w:t>survey.</w:t>
      </w:r>
    </w:p>
    <w:p w:rsidR="00DA796D" w:rsidRPr="005911E2" w:rsidRDefault="00DA796D" w:rsidP="00BD6DFD">
      <w:pPr>
        <w:pStyle w:val="Heading3"/>
      </w:pPr>
      <w:bookmarkStart w:id="842" w:name="_Ref194102408"/>
      <w:r w:rsidRPr="005911E2">
        <w:t>Transitioning people from NTER</w:t>
      </w:r>
      <w:r w:rsidR="00F86AB1">
        <w:t xml:space="preserve"> IM</w:t>
      </w:r>
      <w:r w:rsidRPr="005911E2">
        <w:t xml:space="preserve"> to NIM</w:t>
      </w:r>
      <w:bookmarkEnd w:id="842"/>
    </w:p>
    <w:p w:rsidR="00DA796D" w:rsidRPr="005911E2" w:rsidRDefault="00DA796D" w:rsidP="00DA796D">
      <w:pPr>
        <w:rPr>
          <w:lang w:eastAsia="en-AU"/>
        </w:rPr>
      </w:pPr>
      <w:r w:rsidRPr="005911E2">
        <w:rPr>
          <w:lang w:eastAsia="en-AU"/>
        </w:rPr>
        <w:t xml:space="preserve">Centrelink staff reported a mix of reactions from people who had previously been subject to </w:t>
      </w:r>
      <w:r w:rsidR="00F878E4">
        <w:rPr>
          <w:lang w:eastAsia="en-AU"/>
        </w:rPr>
        <w:t>income management</w:t>
      </w:r>
      <w:r w:rsidRPr="005911E2">
        <w:rPr>
          <w:lang w:eastAsia="en-AU"/>
        </w:rPr>
        <w:t xml:space="preserve"> as part of NTER. Overall, most reported that those people who had been on </w:t>
      </w:r>
      <w:r w:rsidR="00F878E4">
        <w:rPr>
          <w:lang w:eastAsia="en-AU"/>
        </w:rPr>
        <w:t>income management</w:t>
      </w:r>
      <w:r w:rsidRPr="005911E2">
        <w:rPr>
          <w:lang w:eastAsia="en-AU"/>
        </w:rPr>
        <w:t xml:space="preserve"> during the NTER and were then subject to one of the compulsory measures were usually ‘accepting’ being transitioned to NIM. Some were surprised at how many people who were no longer required to be income managed as part of NIM opted-in to Voluntary </w:t>
      </w:r>
      <w:r w:rsidR="0059459E">
        <w:rPr>
          <w:lang w:eastAsia="en-AU"/>
        </w:rPr>
        <w:t>I</w:t>
      </w:r>
      <w:r w:rsidR="00F878E4">
        <w:rPr>
          <w:lang w:eastAsia="en-AU"/>
        </w:rPr>
        <w:t xml:space="preserve">ncome </w:t>
      </w:r>
      <w:r w:rsidR="0059459E">
        <w:rPr>
          <w:lang w:eastAsia="en-AU"/>
        </w:rPr>
        <w:t>M</w:t>
      </w:r>
      <w:r w:rsidR="00F878E4">
        <w:rPr>
          <w:lang w:eastAsia="en-AU"/>
        </w:rPr>
        <w:t>anagement</w:t>
      </w:r>
      <w:r w:rsidRPr="005911E2">
        <w:rPr>
          <w:lang w:eastAsia="en-AU"/>
        </w:rPr>
        <w:t xml:space="preserve">. Some Centrelink staff interviewed interpreted this as </w:t>
      </w:r>
      <w:r w:rsidR="0059459E">
        <w:rPr>
          <w:lang w:eastAsia="en-AU"/>
        </w:rPr>
        <w:t xml:space="preserve">a </w:t>
      </w:r>
      <w:r w:rsidRPr="005911E2">
        <w:rPr>
          <w:lang w:eastAsia="en-AU"/>
        </w:rPr>
        <w:t>client</w:t>
      </w:r>
      <w:r w:rsidR="00B81D60">
        <w:rPr>
          <w:lang w:eastAsia="en-AU"/>
        </w:rPr>
        <w:t>’</w:t>
      </w:r>
      <w:r w:rsidRPr="005911E2">
        <w:rPr>
          <w:lang w:eastAsia="en-AU"/>
        </w:rPr>
        <w:t xml:space="preserve">s belief that that they had benefited from </w:t>
      </w:r>
      <w:r w:rsidR="00F878E4">
        <w:rPr>
          <w:lang w:eastAsia="en-AU"/>
        </w:rPr>
        <w:t>income management</w:t>
      </w:r>
      <w:r w:rsidRPr="005911E2">
        <w:rPr>
          <w:lang w:eastAsia="en-AU"/>
        </w:rPr>
        <w:t xml:space="preserve"> under the NTER and thus wanted to continue being income managed. However, other Centrelink staff interviewed suggested that the reasons were more complex than this.</w:t>
      </w:r>
    </w:p>
    <w:p w:rsidR="00DA796D" w:rsidRPr="005911E2" w:rsidRDefault="00DA796D" w:rsidP="00DA796D">
      <w:pPr>
        <w:keepNext/>
        <w:spacing w:after="120"/>
        <w:ind w:left="2325"/>
        <w:jc w:val="left"/>
        <w:rPr>
          <w:i/>
          <w:iCs/>
        </w:rPr>
      </w:pPr>
      <w:r w:rsidRPr="005911E2">
        <w:rPr>
          <w:i/>
          <w:iCs/>
        </w:rPr>
        <w:t>I would say that the vast majority of customers were indifferent to the changes because you’re talking about the major client group were already income managed under the NTER, so to them you’re talking about semantics. “It’s not compulsory any more for you. Do you want to stay on it? Yeah? Okay, great. So the majority of people responded really positively to yeah I want to stay on it.” Questions about trying to elicit what was good about it and why they wanted to stay on i</w:t>
      </w:r>
      <w:r w:rsidR="006C33D2">
        <w:rPr>
          <w:i/>
          <w:iCs/>
        </w:rPr>
        <w:t>t.</w:t>
      </w:r>
      <w:r w:rsidRPr="005911E2">
        <w:rPr>
          <w:i/>
          <w:iCs/>
        </w:rPr>
        <w:t xml:space="preserve"> The pragmatism of the client group it was like well it means I can eat more. Really basic essential needs were being met and that was repeated on many occasions. </w:t>
      </w:r>
    </w:p>
    <w:p w:rsidR="00DA796D" w:rsidRPr="005911E2" w:rsidRDefault="00DA796D" w:rsidP="008E5400">
      <w:pPr>
        <w:pStyle w:val="mininame"/>
      </w:pPr>
      <w:r w:rsidRPr="005911E2">
        <w:t>Centrelink Social Worker</w:t>
      </w:r>
    </w:p>
    <w:p w:rsidR="00DA796D" w:rsidRPr="005911E2" w:rsidRDefault="00DA796D" w:rsidP="00DA796D">
      <w:pPr>
        <w:keepNext/>
        <w:spacing w:after="120"/>
        <w:ind w:left="2325"/>
        <w:jc w:val="left"/>
        <w:rPr>
          <w:i/>
          <w:iCs/>
        </w:rPr>
      </w:pPr>
      <w:r w:rsidRPr="005911E2">
        <w:rPr>
          <w:i/>
          <w:iCs/>
        </w:rPr>
        <w:t xml:space="preserve">It’s hard to know why they choose to stay on. It might be the BasicsCard. But for lots of people staying on it, it’s a way of life for them, </w:t>
      </w:r>
      <w:r w:rsidR="005911E2" w:rsidRPr="005911E2">
        <w:rPr>
          <w:i/>
          <w:iCs/>
        </w:rPr>
        <w:t>it’s</w:t>
      </w:r>
      <w:r w:rsidRPr="005911E2">
        <w:rPr>
          <w:i/>
          <w:iCs/>
        </w:rPr>
        <w:t xml:space="preserve"> easy to have someone look after it all for you. </w:t>
      </w:r>
    </w:p>
    <w:p w:rsidR="00DA796D" w:rsidRPr="005911E2" w:rsidRDefault="00DA796D" w:rsidP="008E5400">
      <w:pPr>
        <w:pStyle w:val="mininame"/>
      </w:pPr>
      <w:r w:rsidRPr="005911E2">
        <w:t xml:space="preserve">Centrelink </w:t>
      </w:r>
      <w:r w:rsidR="007971F1">
        <w:t>M</w:t>
      </w:r>
      <w:r w:rsidRPr="005911E2">
        <w:t>anager</w:t>
      </w:r>
    </w:p>
    <w:p w:rsidR="00DA796D" w:rsidRPr="005911E2" w:rsidRDefault="00DA796D" w:rsidP="00DA796D">
      <w:pPr>
        <w:rPr>
          <w:lang w:eastAsia="en-AU"/>
        </w:rPr>
      </w:pPr>
      <w:r w:rsidRPr="005911E2">
        <w:rPr>
          <w:lang w:eastAsia="en-AU"/>
        </w:rPr>
        <w:t xml:space="preserve">As reflected in the above quote, many of the Centrelink staff interviewed reported that they believed that many people had chosen to stay on </w:t>
      </w:r>
      <w:r w:rsidR="00F878E4">
        <w:rPr>
          <w:lang w:eastAsia="en-AU"/>
        </w:rPr>
        <w:t>income management</w:t>
      </w:r>
      <w:r w:rsidRPr="005911E2">
        <w:rPr>
          <w:lang w:eastAsia="en-AU"/>
        </w:rPr>
        <w:t xml:space="preserve"> because it allowed them to have continued access to the BasicsCard. This issue has been discussed in more detail in Chapter 6.</w:t>
      </w:r>
    </w:p>
    <w:p w:rsidR="00DA796D" w:rsidRPr="005911E2" w:rsidRDefault="00DA796D" w:rsidP="00DA796D">
      <w:pPr>
        <w:rPr>
          <w:lang w:eastAsia="en-AU"/>
        </w:rPr>
      </w:pPr>
      <w:r w:rsidRPr="005911E2">
        <w:rPr>
          <w:lang w:eastAsia="en-AU"/>
        </w:rPr>
        <w:t xml:space="preserve">This view of </w:t>
      </w:r>
      <w:r w:rsidR="007971F1">
        <w:rPr>
          <w:lang w:eastAsia="en-AU"/>
        </w:rPr>
        <w:t>‘</w:t>
      </w:r>
      <w:r w:rsidRPr="005911E2">
        <w:rPr>
          <w:lang w:eastAsia="en-AU"/>
        </w:rPr>
        <w:t>acceptance</w:t>
      </w:r>
      <w:r w:rsidR="007971F1">
        <w:rPr>
          <w:lang w:eastAsia="en-AU"/>
        </w:rPr>
        <w:t>’</w:t>
      </w:r>
      <w:r w:rsidRPr="005911E2">
        <w:rPr>
          <w:lang w:eastAsia="en-AU"/>
        </w:rPr>
        <w:t xml:space="preserve"> by people who were transitioning from NTER IM was challenged by many of the </w:t>
      </w:r>
      <w:r w:rsidR="007971F1">
        <w:rPr>
          <w:lang w:eastAsia="en-AU"/>
        </w:rPr>
        <w:t>m</w:t>
      </w:r>
      <w:r w:rsidRPr="005911E2">
        <w:rPr>
          <w:lang w:eastAsia="en-AU"/>
        </w:rPr>
        <w:t xml:space="preserve">oney </w:t>
      </w:r>
      <w:r w:rsidR="007971F1">
        <w:rPr>
          <w:lang w:eastAsia="en-AU"/>
        </w:rPr>
        <w:t>m</w:t>
      </w:r>
      <w:r w:rsidRPr="005911E2">
        <w:rPr>
          <w:lang w:eastAsia="en-AU"/>
        </w:rPr>
        <w:t>anagement and financial counselling staff</w:t>
      </w:r>
      <w:r w:rsidR="007971F1">
        <w:rPr>
          <w:lang w:eastAsia="en-AU"/>
        </w:rPr>
        <w:t>,</w:t>
      </w:r>
      <w:r w:rsidRPr="005911E2">
        <w:rPr>
          <w:lang w:eastAsia="en-AU"/>
        </w:rPr>
        <w:t xml:space="preserve"> as well as most of those who participated in the stakeholder consultations. These groups queried how clearly the options had been explained to people transitioning </w:t>
      </w:r>
      <w:r w:rsidR="0057169A">
        <w:rPr>
          <w:lang w:eastAsia="en-AU"/>
        </w:rPr>
        <w:t>from</w:t>
      </w:r>
      <w:r w:rsidRPr="005911E2">
        <w:rPr>
          <w:lang w:eastAsia="en-AU"/>
        </w:rPr>
        <w:t xml:space="preserve"> NTER. Although it was also suggested by this group that the level of </w:t>
      </w:r>
      <w:r w:rsidR="0057169A">
        <w:rPr>
          <w:lang w:eastAsia="en-AU"/>
        </w:rPr>
        <w:t>‘</w:t>
      </w:r>
      <w:r w:rsidRPr="005911E2">
        <w:rPr>
          <w:lang w:eastAsia="en-AU"/>
        </w:rPr>
        <w:t>acceptance</w:t>
      </w:r>
      <w:r w:rsidR="0057169A">
        <w:rPr>
          <w:lang w:eastAsia="en-AU"/>
        </w:rPr>
        <w:t>’</w:t>
      </w:r>
      <w:r w:rsidRPr="005911E2">
        <w:rPr>
          <w:lang w:eastAsia="en-AU"/>
        </w:rPr>
        <w:t xml:space="preserve"> was increasing, this was often done with an implication that resistance was being worn down, rather than people embracing the policy.</w:t>
      </w:r>
    </w:p>
    <w:p w:rsidR="00DA796D" w:rsidRPr="005911E2" w:rsidRDefault="00DA796D" w:rsidP="00DA796D">
      <w:pPr>
        <w:keepNext/>
        <w:spacing w:after="120"/>
        <w:ind w:left="2325"/>
        <w:jc w:val="left"/>
        <w:rPr>
          <w:i/>
          <w:iCs/>
        </w:rPr>
      </w:pPr>
      <w:r w:rsidRPr="005911E2">
        <w:rPr>
          <w:i/>
          <w:iCs/>
        </w:rPr>
        <w:t xml:space="preserve">They </w:t>
      </w:r>
      <w:r w:rsidR="006C33D2" w:rsidRPr="005911E2">
        <w:rPr>
          <w:i/>
          <w:iCs/>
        </w:rPr>
        <w:t>said</w:t>
      </w:r>
      <w:r w:rsidR="00EA0237">
        <w:rPr>
          <w:i/>
          <w:iCs/>
        </w:rPr>
        <w:t xml:space="preserve"> ‘</w:t>
      </w:r>
      <w:r w:rsidRPr="005911E2">
        <w:rPr>
          <w:i/>
          <w:iCs/>
        </w:rPr>
        <w:t>alright, now you're coming off compulsory income management we've deemed you fit to come off compulsory income management. What would you like to do?</w:t>
      </w:r>
      <w:r w:rsidR="00EA0237">
        <w:rPr>
          <w:i/>
          <w:iCs/>
        </w:rPr>
        <w:t>’</w:t>
      </w:r>
      <w:r w:rsidRPr="005911E2">
        <w:rPr>
          <w:i/>
          <w:iCs/>
        </w:rPr>
        <w:t xml:space="preserve"> … …It doesn't actually leave a lot of time for people in community to actually have - create or get a clear understanding of what's being said. Aboriginal people will nod when you're talking to them. We think they're saying yes. No they're saying I'm hearing you but I haven't come back with an answer for you yet but I'm listening to you. That's what nodding is. But we go oh good, okay, done. Then before they know it their world's changed.</w:t>
      </w:r>
    </w:p>
    <w:p w:rsidR="00DA796D" w:rsidRPr="005911E2" w:rsidRDefault="00DA796D" w:rsidP="008E5400">
      <w:pPr>
        <w:pStyle w:val="mininame"/>
      </w:pPr>
      <w:r w:rsidRPr="005911E2">
        <w:t>Money management provider</w:t>
      </w:r>
    </w:p>
    <w:p w:rsidR="00DA796D" w:rsidRPr="005911E2" w:rsidRDefault="00DA796D" w:rsidP="00DA796D">
      <w:pPr>
        <w:rPr>
          <w:lang w:eastAsia="en-AU"/>
        </w:rPr>
      </w:pPr>
      <w:r w:rsidRPr="005911E2">
        <w:rPr>
          <w:lang w:eastAsia="en-AU"/>
        </w:rPr>
        <w:t xml:space="preserve">As discussed earlier in the report (Chapter 7), there was also a sense amongst </w:t>
      </w:r>
      <w:r w:rsidR="0057169A">
        <w:rPr>
          <w:lang w:eastAsia="en-AU"/>
        </w:rPr>
        <w:t>m</w:t>
      </w:r>
      <w:r w:rsidRPr="005911E2">
        <w:rPr>
          <w:lang w:eastAsia="en-AU"/>
        </w:rPr>
        <w:t xml:space="preserve">oney </w:t>
      </w:r>
      <w:r w:rsidR="0057169A">
        <w:rPr>
          <w:lang w:eastAsia="en-AU"/>
        </w:rPr>
        <w:t>m</w:t>
      </w:r>
      <w:r w:rsidRPr="005911E2">
        <w:rPr>
          <w:lang w:eastAsia="en-AU"/>
        </w:rPr>
        <w:t xml:space="preserve">anagement workers and financial counsellors that a large part of the appeal for remaining on income management for this group was maintaining access to the BasicsCard. </w:t>
      </w:r>
    </w:p>
    <w:p w:rsidR="00DA796D" w:rsidRPr="005911E2" w:rsidRDefault="00DA796D" w:rsidP="00DA796D">
      <w:pPr>
        <w:rPr>
          <w:lang w:eastAsia="en-AU"/>
        </w:rPr>
      </w:pPr>
      <w:r w:rsidRPr="005911E2">
        <w:rPr>
          <w:lang w:eastAsia="en-AU"/>
        </w:rPr>
        <w:t xml:space="preserve">In the context of NIM, many of the Centrelink staff viewed the expansion of </w:t>
      </w:r>
      <w:r w:rsidR="00F878E4">
        <w:rPr>
          <w:lang w:eastAsia="en-AU"/>
        </w:rPr>
        <w:t>income management</w:t>
      </w:r>
      <w:r w:rsidRPr="005911E2">
        <w:rPr>
          <w:lang w:eastAsia="en-AU"/>
        </w:rPr>
        <w:t xml:space="preserve"> beyond the communities prescribed by the NTER as being a very positive step, as it made </w:t>
      </w:r>
      <w:r w:rsidR="00F878E4">
        <w:rPr>
          <w:lang w:eastAsia="en-AU"/>
        </w:rPr>
        <w:t>income management</w:t>
      </w:r>
      <w:r w:rsidRPr="005911E2">
        <w:rPr>
          <w:lang w:eastAsia="en-AU"/>
        </w:rPr>
        <w:t xml:space="preserve"> inclusive of everyone and not just for people from Aboriginal and Torres Strait Islander backgrounds. </w:t>
      </w:r>
    </w:p>
    <w:p w:rsidR="00DA796D" w:rsidRPr="005911E2" w:rsidRDefault="00DA796D" w:rsidP="00DA796D">
      <w:pPr>
        <w:keepNext/>
        <w:spacing w:after="120"/>
        <w:ind w:left="2325"/>
        <w:jc w:val="left"/>
        <w:rPr>
          <w:rFonts w:eastAsiaTheme="minorEastAsia"/>
          <w:i/>
          <w:iCs/>
          <w:lang w:bidi="ar-SA"/>
        </w:rPr>
      </w:pPr>
      <w:r w:rsidRPr="005911E2">
        <w:rPr>
          <w:rFonts w:eastAsiaTheme="minorEastAsia"/>
          <w:i/>
          <w:iCs/>
          <w:lang w:bidi="ar-SA"/>
        </w:rPr>
        <w:t>It was a relief for us. The NTER had its problems in the perception of racism because, let's face it, if you have to suspend the Discrimination Act to do something you're probably doing the wrong thing or implementing it the wrong way. That led to a vast perception in the community that was inherently racist and a big us and them of, oh that</w:t>
      </w:r>
      <w:r w:rsidR="0031584C">
        <w:rPr>
          <w:rFonts w:eastAsiaTheme="minorEastAsia"/>
          <w:i/>
          <w:iCs/>
          <w:lang w:bidi="ar-SA"/>
        </w:rPr>
        <w:t>’s for</w:t>
      </w:r>
      <w:r w:rsidRPr="005911E2">
        <w:rPr>
          <w:rFonts w:eastAsiaTheme="minorEastAsia"/>
          <w:i/>
          <w:iCs/>
          <w:lang w:bidi="ar-SA"/>
        </w:rPr>
        <w:t xml:space="preserve"> a black fella.</w:t>
      </w:r>
      <w:r w:rsidR="00B62B2D">
        <w:rPr>
          <w:rFonts w:eastAsiaTheme="minorEastAsia"/>
          <w:i/>
          <w:iCs/>
          <w:lang w:bidi="ar-SA"/>
        </w:rPr>
        <w:t xml:space="preserve"> </w:t>
      </w:r>
      <w:r w:rsidRPr="005911E2">
        <w:rPr>
          <w:rFonts w:eastAsiaTheme="minorEastAsia"/>
          <w:i/>
          <w:iCs/>
          <w:lang w:bidi="ar-SA"/>
        </w:rPr>
        <w:t>Why do white fellas have to worry about it?</w:t>
      </w:r>
    </w:p>
    <w:p w:rsidR="00DA796D" w:rsidRPr="005911E2" w:rsidRDefault="00DA796D" w:rsidP="008E5400">
      <w:pPr>
        <w:pStyle w:val="mininame"/>
      </w:pPr>
      <w:r w:rsidRPr="005911E2">
        <w:rPr>
          <w:rFonts w:eastAsiaTheme="minorEastAsia"/>
          <w:lang w:bidi="ar-SA"/>
        </w:rPr>
        <w:t xml:space="preserve">Centrelink Customer Service </w:t>
      </w:r>
      <w:r w:rsidRPr="005911E2">
        <w:rPr>
          <w:rFonts w:eastAsiaTheme="minorEastAsia"/>
        </w:rPr>
        <w:t>Advis</w:t>
      </w:r>
      <w:r w:rsidR="0057169A">
        <w:rPr>
          <w:rFonts w:eastAsiaTheme="minorEastAsia"/>
        </w:rPr>
        <w:t>e</w:t>
      </w:r>
      <w:r w:rsidRPr="005911E2">
        <w:rPr>
          <w:rFonts w:eastAsiaTheme="minorEastAsia"/>
        </w:rPr>
        <w:t>r</w:t>
      </w:r>
    </w:p>
    <w:p w:rsidR="00DA796D" w:rsidRPr="005911E2" w:rsidRDefault="00DA796D" w:rsidP="00DA796D">
      <w:pPr>
        <w:rPr>
          <w:lang w:eastAsia="en-AU"/>
        </w:rPr>
      </w:pPr>
      <w:r w:rsidRPr="005911E2">
        <w:rPr>
          <w:lang w:eastAsia="en-AU"/>
        </w:rPr>
        <w:t xml:space="preserve">However, staff from </w:t>
      </w:r>
      <w:r w:rsidR="0057169A">
        <w:rPr>
          <w:lang w:eastAsia="en-AU"/>
        </w:rPr>
        <w:t>m</w:t>
      </w:r>
      <w:r w:rsidRPr="005911E2">
        <w:rPr>
          <w:lang w:eastAsia="en-AU"/>
        </w:rPr>
        <w:t xml:space="preserve">oney </w:t>
      </w:r>
      <w:r w:rsidR="0057169A">
        <w:rPr>
          <w:lang w:eastAsia="en-AU"/>
        </w:rPr>
        <w:t>m</w:t>
      </w:r>
      <w:r w:rsidRPr="005911E2">
        <w:rPr>
          <w:lang w:eastAsia="en-AU"/>
        </w:rPr>
        <w:t xml:space="preserve">anagement and financial counselling services and DCF child protection staff saw NIM as still primarily impacting on Indigenous people. They did not see the transition from NTER IM to NIM as having any real impact on shifting the focus of </w:t>
      </w:r>
      <w:r w:rsidR="00F878E4">
        <w:rPr>
          <w:lang w:eastAsia="en-AU"/>
        </w:rPr>
        <w:t>income management</w:t>
      </w:r>
      <w:r w:rsidRPr="005911E2">
        <w:rPr>
          <w:lang w:eastAsia="en-AU"/>
        </w:rPr>
        <w:t xml:space="preserve"> from Indigenous people to the </w:t>
      </w:r>
      <w:r w:rsidR="00BB552A">
        <w:rPr>
          <w:lang w:eastAsia="en-AU"/>
        </w:rPr>
        <w:t>income support</w:t>
      </w:r>
      <w:r w:rsidRPr="005911E2">
        <w:rPr>
          <w:lang w:eastAsia="en-AU"/>
        </w:rPr>
        <w:t xml:space="preserve"> population more broadly. To some extent this may also reflect that</w:t>
      </w:r>
      <w:r w:rsidR="0057169A">
        <w:rPr>
          <w:lang w:eastAsia="en-AU"/>
        </w:rPr>
        <w:t>,</w:t>
      </w:r>
      <w:r w:rsidRPr="005911E2">
        <w:rPr>
          <w:lang w:eastAsia="en-AU"/>
        </w:rPr>
        <w:t xml:space="preserve"> for most of the practitioners interviewed across these service types</w:t>
      </w:r>
      <w:r w:rsidR="0057169A">
        <w:rPr>
          <w:lang w:eastAsia="en-AU"/>
        </w:rPr>
        <w:t>,</w:t>
      </w:r>
      <w:r w:rsidRPr="005911E2">
        <w:rPr>
          <w:lang w:eastAsia="en-AU"/>
        </w:rPr>
        <w:t xml:space="preserve"> their clients were primarily from an Indigenous background.</w:t>
      </w:r>
    </w:p>
    <w:p w:rsidR="00DA796D" w:rsidRPr="005911E2" w:rsidRDefault="00DA796D" w:rsidP="00BD6DFD">
      <w:pPr>
        <w:pStyle w:val="Heading3"/>
      </w:pPr>
      <w:bookmarkStart w:id="843" w:name="_Ref194071043"/>
      <w:r w:rsidRPr="005911E2">
        <w:t>Staffing and training issues</w:t>
      </w:r>
      <w:bookmarkEnd w:id="843"/>
    </w:p>
    <w:p w:rsidR="00DA796D" w:rsidRPr="005911E2" w:rsidRDefault="00DA796D" w:rsidP="00DA796D">
      <w:pPr>
        <w:rPr>
          <w:lang w:eastAsia="en-AU"/>
        </w:rPr>
      </w:pPr>
      <w:r w:rsidRPr="005911E2">
        <w:rPr>
          <w:lang w:eastAsia="en-AU"/>
        </w:rPr>
        <w:t xml:space="preserve">Most of the respondents to </w:t>
      </w:r>
      <w:r w:rsidR="00B81D60">
        <w:rPr>
          <w:lang w:eastAsia="en-AU"/>
        </w:rPr>
        <w:t xml:space="preserve">the </w:t>
      </w:r>
      <w:r w:rsidR="0057169A">
        <w:rPr>
          <w:lang w:eastAsia="en-AU"/>
        </w:rPr>
        <w:t>s</w:t>
      </w:r>
      <w:r w:rsidRPr="005911E2">
        <w:rPr>
          <w:lang w:eastAsia="en-AU"/>
        </w:rPr>
        <w:t xml:space="preserve">urvey of Centrelink </w:t>
      </w:r>
      <w:r w:rsidR="0057169A">
        <w:rPr>
          <w:lang w:eastAsia="en-AU"/>
        </w:rPr>
        <w:t>s</w:t>
      </w:r>
      <w:r w:rsidRPr="005911E2">
        <w:rPr>
          <w:lang w:eastAsia="en-AU"/>
        </w:rPr>
        <w:t xml:space="preserve">taff said they had received enough information/training about NIM to be able to do their jobs. Only 3 per cent of respondents said they did not receive enough information or training (Table </w:t>
      </w:r>
      <w:r w:rsidRPr="005911E2">
        <w:rPr>
          <w:noProof/>
          <w:lang w:eastAsia="en-AU"/>
        </w:rPr>
        <w:t>9</w:t>
      </w:r>
      <w:r w:rsidRPr="005911E2">
        <w:rPr>
          <w:lang w:eastAsia="en-AU"/>
        </w:rPr>
        <w:noBreakHyphen/>
      </w:r>
      <w:r w:rsidRPr="005911E2">
        <w:rPr>
          <w:noProof/>
          <w:lang w:eastAsia="en-AU"/>
        </w:rPr>
        <w:t>8</w:t>
      </w:r>
      <w:r w:rsidRPr="005911E2">
        <w:rPr>
          <w:lang w:eastAsia="en-AU"/>
        </w:rPr>
        <w:t xml:space="preserve">). </w:t>
      </w:r>
    </w:p>
    <w:p w:rsidR="00DA796D" w:rsidRPr="005911E2" w:rsidRDefault="00DA796D" w:rsidP="00DA796D">
      <w:pPr>
        <w:rPr>
          <w:lang w:eastAsia="en-AU"/>
        </w:rPr>
      </w:pPr>
      <w:r w:rsidRPr="005911E2">
        <w:rPr>
          <w:lang w:eastAsia="en-AU"/>
        </w:rPr>
        <w:t xml:space="preserve">All respondents to the </w:t>
      </w:r>
      <w:r w:rsidR="0057169A">
        <w:rPr>
          <w:lang w:eastAsia="en-AU"/>
        </w:rPr>
        <w:t>s</w:t>
      </w:r>
      <w:r w:rsidRPr="005911E2">
        <w:rPr>
          <w:lang w:eastAsia="en-AU"/>
        </w:rPr>
        <w:t>urvey were asked what other training they would have liked</w:t>
      </w:r>
      <w:r w:rsidR="00614538" w:rsidRPr="005911E2">
        <w:rPr>
          <w:lang w:eastAsia="en-AU"/>
        </w:rPr>
        <w:t>.</w:t>
      </w:r>
      <w:r w:rsidR="00614538">
        <w:rPr>
          <w:lang w:eastAsia="en-AU"/>
        </w:rPr>
        <w:t xml:space="preserve"> </w:t>
      </w:r>
      <w:r w:rsidRPr="005911E2">
        <w:rPr>
          <w:lang w:eastAsia="en-AU"/>
        </w:rPr>
        <w:t>Fifty two respondents provided suggestions for additional training and/or information including: regular refresher training; assistance navigating the IT systems such as e-ref; ideas about how to work with difficult clients; financial management; exemption issues; and working with vulnerable customers.</w:t>
      </w:r>
    </w:p>
    <w:p w:rsidR="00DA796D" w:rsidRPr="005911E2" w:rsidRDefault="00DA796D" w:rsidP="00DA796D">
      <w:pPr>
        <w:rPr>
          <w:lang w:eastAsia="en-AU"/>
        </w:rPr>
      </w:pPr>
      <w:r w:rsidRPr="005911E2">
        <w:rPr>
          <w:lang w:eastAsia="en-AU"/>
        </w:rPr>
        <w:t xml:space="preserve">A number of respondents commented on the nature of the training saying they would like it to be more often provided face to face and that it should take more account of the experience of people working directly with clients. </w:t>
      </w:r>
    </w:p>
    <w:p w:rsidR="00DA796D" w:rsidRPr="005911E2" w:rsidRDefault="00DA796D" w:rsidP="00EA1CD7">
      <w:pPr>
        <w:pStyle w:val="tabfighead"/>
      </w:pPr>
      <w:bookmarkStart w:id="844" w:name="_Ref194666337"/>
      <w:bookmarkStart w:id="845" w:name="_Toc321254572"/>
      <w:bookmarkStart w:id="846" w:name="_Toc321430453"/>
      <w:bookmarkStart w:id="847" w:name="_Toc321761723"/>
      <w:bookmarkStart w:id="848" w:name="_Toc328601620"/>
      <w:bookmarkStart w:id="849" w:name="_Toc329051398"/>
      <w:bookmarkStart w:id="850" w:name="_Toc335915886"/>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9</w:t>
      </w:r>
      <w:r w:rsidR="00C7347D" w:rsidRPr="005911E2">
        <w:rPr>
          <w:noProof/>
        </w:rPr>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8</w:t>
      </w:r>
      <w:r w:rsidR="00C7347D" w:rsidRPr="005911E2">
        <w:rPr>
          <w:noProof/>
        </w:rPr>
        <w:fldChar w:fldCharType="end"/>
      </w:r>
      <w:bookmarkEnd w:id="844"/>
      <w:r w:rsidRPr="005911E2">
        <w:t xml:space="preserve"> </w:t>
      </w:r>
      <w:r w:rsidRPr="005911E2">
        <w:tab/>
        <w:t>Centrelink staff reports whether they had received information and training about NIM</w:t>
      </w:r>
      <w:bookmarkEnd w:id="845"/>
      <w:bookmarkEnd w:id="846"/>
      <w:bookmarkEnd w:id="847"/>
      <w:bookmarkEnd w:id="848"/>
      <w:bookmarkEnd w:id="849"/>
      <w:bookmarkEnd w:id="850"/>
      <w:r w:rsidRPr="005911E2">
        <w:t xml:space="preserve"> </w:t>
      </w:r>
    </w:p>
    <w:tbl>
      <w:tblPr>
        <w:tblW w:w="5103" w:type="dxa"/>
        <w:tblInd w:w="1803" w:type="dxa"/>
        <w:tblLook w:val="04A0" w:firstRow="1" w:lastRow="0" w:firstColumn="1" w:lastColumn="0" w:noHBand="0" w:noVBand="1"/>
      </w:tblPr>
      <w:tblGrid>
        <w:gridCol w:w="2977"/>
        <w:gridCol w:w="2126"/>
      </w:tblGrid>
      <w:tr w:rsidR="00DA796D" w:rsidRPr="008E5400" w:rsidTr="00783DF8">
        <w:trPr>
          <w:trHeight w:val="316"/>
        </w:trPr>
        <w:tc>
          <w:tcPr>
            <w:tcW w:w="2977" w:type="dxa"/>
            <w:tcBorders>
              <w:top w:val="single" w:sz="4" w:space="0" w:color="auto"/>
              <w:bottom w:val="single" w:sz="4" w:space="0" w:color="auto"/>
            </w:tcBorders>
            <w:shd w:val="clear" w:color="auto" w:fill="auto"/>
            <w:vAlign w:val="bottom"/>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Whether received training</w:t>
            </w:r>
          </w:p>
        </w:tc>
        <w:tc>
          <w:tcPr>
            <w:tcW w:w="2126" w:type="dxa"/>
            <w:tcBorders>
              <w:top w:val="single" w:sz="4" w:space="0" w:color="auto"/>
              <w:bottom w:val="single" w:sz="4" w:space="0" w:color="auto"/>
            </w:tcBorders>
            <w:shd w:val="clear" w:color="auto" w:fill="auto"/>
            <w:vAlign w:val="center"/>
            <w:hideMark/>
          </w:tcPr>
          <w:p w:rsidR="00DA796D" w:rsidRPr="008E5400" w:rsidRDefault="00DA796D" w:rsidP="00783DF8">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Responses</w:t>
            </w:r>
          </w:p>
        </w:tc>
      </w:tr>
      <w:tr w:rsidR="00DA796D" w:rsidRPr="008E5400" w:rsidTr="00B82B1F">
        <w:trPr>
          <w:trHeight w:val="300"/>
        </w:trPr>
        <w:tc>
          <w:tcPr>
            <w:tcW w:w="2977" w:type="dxa"/>
            <w:tcBorders>
              <w:top w:val="single" w:sz="4" w:space="0" w:color="auto"/>
            </w:tcBorders>
            <w:shd w:val="clear" w:color="auto" w:fill="auto"/>
            <w:vAlign w:val="bottom"/>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p>
        </w:tc>
        <w:tc>
          <w:tcPr>
            <w:tcW w:w="2126" w:type="dxa"/>
            <w:tcBorders>
              <w:top w:val="single" w:sz="4" w:space="0" w:color="auto"/>
            </w:tcBorders>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 % -</w:t>
            </w:r>
          </w:p>
        </w:tc>
      </w:tr>
      <w:tr w:rsidR="00DA796D" w:rsidRPr="008E5400" w:rsidTr="00B82B1F">
        <w:trPr>
          <w:trHeight w:val="300"/>
        </w:trPr>
        <w:tc>
          <w:tcPr>
            <w:tcW w:w="2977" w:type="dxa"/>
            <w:shd w:val="clear" w:color="auto" w:fill="auto"/>
            <w:vAlign w:val="bottom"/>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Yes, fully</w:t>
            </w:r>
          </w:p>
        </w:tc>
        <w:tc>
          <w:tcPr>
            <w:tcW w:w="2126"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75</w:t>
            </w:r>
          </w:p>
        </w:tc>
      </w:tr>
      <w:tr w:rsidR="00DA796D" w:rsidRPr="008E5400" w:rsidTr="00B82B1F">
        <w:trPr>
          <w:trHeight w:val="300"/>
        </w:trPr>
        <w:tc>
          <w:tcPr>
            <w:tcW w:w="2977" w:type="dxa"/>
            <w:shd w:val="clear" w:color="auto" w:fill="auto"/>
            <w:vAlign w:val="bottom"/>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Yes,</w:t>
            </w:r>
            <w:r w:rsidR="00B62B2D" w:rsidRPr="008E5400">
              <w:rPr>
                <w:rFonts w:cs="Arial"/>
                <w:color w:val="000000"/>
                <w:sz w:val="16"/>
                <w:szCs w:val="16"/>
                <w:lang w:eastAsia="en-AU" w:bidi="ar-SA"/>
              </w:rPr>
              <w:t xml:space="preserve"> </w:t>
            </w:r>
            <w:r w:rsidRPr="008E5400">
              <w:rPr>
                <w:rFonts w:cs="Arial"/>
                <w:color w:val="000000"/>
                <w:sz w:val="16"/>
                <w:szCs w:val="16"/>
                <w:lang w:eastAsia="en-AU" w:bidi="ar-SA"/>
              </w:rPr>
              <w:t>partially</w:t>
            </w:r>
          </w:p>
        </w:tc>
        <w:tc>
          <w:tcPr>
            <w:tcW w:w="2126"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22</w:t>
            </w:r>
          </w:p>
        </w:tc>
      </w:tr>
      <w:tr w:rsidR="00DA796D" w:rsidRPr="008E5400" w:rsidTr="00B82B1F">
        <w:trPr>
          <w:trHeight w:val="300"/>
        </w:trPr>
        <w:tc>
          <w:tcPr>
            <w:tcW w:w="2977" w:type="dxa"/>
            <w:shd w:val="clear" w:color="auto" w:fill="auto"/>
            <w:vAlign w:val="bottom"/>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No</w:t>
            </w:r>
          </w:p>
        </w:tc>
        <w:tc>
          <w:tcPr>
            <w:tcW w:w="2126"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3</w:t>
            </w:r>
          </w:p>
        </w:tc>
      </w:tr>
      <w:tr w:rsidR="00DA796D" w:rsidRPr="008E5400" w:rsidTr="00B82B1F">
        <w:trPr>
          <w:trHeight w:val="300"/>
        </w:trPr>
        <w:tc>
          <w:tcPr>
            <w:tcW w:w="2977" w:type="dxa"/>
            <w:tcBorders>
              <w:bottom w:val="single" w:sz="4" w:space="0" w:color="auto"/>
            </w:tcBorders>
            <w:shd w:val="clear" w:color="auto" w:fill="auto"/>
            <w:vAlign w:val="bottom"/>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Total</w:t>
            </w:r>
          </w:p>
        </w:tc>
        <w:tc>
          <w:tcPr>
            <w:tcW w:w="2126" w:type="dxa"/>
            <w:tcBorders>
              <w:bottom w:val="single" w:sz="4" w:space="0" w:color="auto"/>
            </w:tcBorders>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100</w:t>
            </w:r>
          </w:p>
        </w:tc>
      </w:tr>
      <w:tr w:rsidR="00DA796D" w:rsidRPr="008E5400" w:rsidTr="00B82B1F">
        <w:trPr>
          <w:trHeight w:val="300"/>
        </w:trPr>
        <w:tc>
          <w:tcPr>
            <w:tcW w:w="2977" w:type="dxa"/>
            <w:tcBorders>
              <w:top w:val="single" w:sz="4" w:space="0" w:color="auto"/>
              <w:bottom w:val="single" w:sz="4" w:space="0" w:color="auto"/>
            </w:tcBorders>
            <w:shd w:val="clear" w:color="auto" w:fill="auto"/>
            <w:vAlign w:val="bottom"/>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Number of respondents</w:t>
            </w:r>
          </w:p>
        </w:tc>
        <w:tc>
          <w:tcPr>
            <w:tcW w:w="2126" w:type="dxa"/>
            <w:tcBorders>
              <w:top w:val="single" w:sz="4" w:space="0" w:color="auto"/>
              <w:bottom w:val="single" w:sz="4" w:space="0" w:color="auto"/>
            </w:tcBorders>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128</w:t>
            </w:r>
          </w:p>
        </w:tc>
      </w:tr>
    </w:tbl>
    <w:p w:rsidR="00DA796D" w:rsidRPr="005911E2" w:rsidRDefault="00DA796D" w:rsidP="00CF518E">
      <w:pPr>
        <w:pStyle w:val="tablefootnotes"/>
      </w:pPr>
      <w:r w:rsidRPr="005911E2">
        <w:t>Source:</w:t>
      </w:r>
      <w:r w:rsidR="00FF16A3">
        <w:tab/>
      </w:r>
      <w:r w:rsidRPr="005911E2">
        <w:t xml:space="preserve"> Survey of Centrelink Staff 2011.</w:t>
      </w:r>
    </w:p>
    <w:p w:rsidR="00DA796D" w:rsidRPr="005911E2" w:rsidRDefault="00DA796D" w:rsidP="00DA796D">
      <w:pPr>
        <w:spacing w:after="0" w:line="264" w:lineRule="auto"/>
        <w:ind w:left="2552" w:hanging="851"/>
        <w:rPr>
          <w:sz w:val="18"/>
        </w:rPr>
      </w:pPr>
    </w:p>
    <w:p w:rsidR="00DA796D" w:rsidRPr="005911E2" w:rsidRDefault="00DA796D" w:rsidP="00DA796D">
      <w:pPr>
        <w:rPr>
          <w:lang w:eastAsia="en-AU"/>
        </w:rPr>
      </w:pPr>
      <w:r w:rsidRPr="005911E2">
        <w:rPr>
          <w:lang w:eastAsia="en-AU"/>
        </w:rPr>
        <w:t>The qualitative interviews with Centrelink staff generally reflected the positive results in the survey around the provision of information and training of staff.</w:t>
      </w:r>
    </w:p>
    <w:p w:rsidR="00DA796D" w:rsidRPr="005911E2" w:rsidRDefault="00DA796D" w:rsidP="00DA796D">
      <w:pPr>
        <w:keepNext/>
        <w:spacing w:after="120"/>
        <w:ind w:left="2325"/>
        <w:jc w:val="left"/>
        <w:rPr>
          <w:i/>
          <w:iCs/>
        </w:rPr>
      </w:pPr>
      <w:r w:rsidRPr="005911E2">
        <w:rPr>
          <w:i/>
          <w:iCs/>
        </w:rPr>
        <w:t>Yeah look the support in Centrelink is generally quite good.</w:t>
      </w:r>
      <w:r w:rsidR="00B62B2D">
        <w:rPr>
          <w:i/>
          <w:iCs/>
        </w:rPr>
        <w:t xml:space="preserve"> </w:t>
      </w:r>
      <w:r w:rsidRPr="005911E2">
        <w:rPr>
          <w:i/>
          <w:iCs/>
        </w:rPr>
        <w:t>We've received a lot of good training with regards to the new income management measures.</w:t>
      </w:r>
    </w:p>
    <w:p w:rsidR="00DA796D" w:rsidRPr="005911E2" w:rsidRDefault="00DA796D" w:rsidP="008E5400">
      <w:pPr>
        <w:pStyle w:val="mininame"/>
      </w:pPr>
      <w:r w:rsidRPr="005911E2">
        <w:t xml:space="preserve">Centrelink </w:t>
      </w:r>
      <w:r w:rsidR="0057169A" w:rsidRPr="005911E2">
        <w:rPr>
          <w:rFonts w:eastAsiaTheme="minorEastAsia"/>
          <w:lang w:bidi="ar-SA"/>
        </w:rPr>
        <w:t xml:space="preserve">Customer Service </w:t>
      </w:r>
      <w:r w:rsidR="0057169A" w:rsidRPr="005911E2">
        <w:rPr>
          <w:rFonts w:eastAsiaTheme="minorEastAsia"/>
        </w:rPr>
        <w:t>Advis</w:t>
      </w:r>
      <w:r w:rsidR="0057169A">
        <w:rPr>
          <w:rFonts w:eastAsiaTheme="minorEastAsia"/>
        </w:rPr>
        <w:t>e</w:t>
      </w:r>
      <w:r w:rsidR="0057169A" w:rsidRPr="005911E2">
        <w:rPr>
          <w:rFonts w:eastAsiaTheme="minorEastAsia"/>
        </w:rPr>
        <w:t>r</w:t>
      </w:r>
    </w:p>
    <w:p w:rsidR="00DA796D" w:rsidRPr="005911E2" w:rsidRDefault="00DA796D" w:rsidP="00DA796D">
      <w:pPr>
        <w:keepNext/>
        <w:spacing w:after="120"/>
        <w:ind w:left="2325"/>
        <w:jc w:val="left"/>
        <w:rPr>
          <w:i/>
          <w:iCs/>
        </w:rPr>
      </w:pPr>
      <w:r w:rsidRPr="005911E2">
        <w:rPr>
          <w:i/>
          <w:iCs/>
        </w:rPr>
        <w:t>Well I think the training was well received. I guess the one fault that we do have with Centrelink is we’ll often get the training months before an initiative rolls out, so by the time we actually get around to delivering the services we’ve sort of forgotten what we learned in training a few weeks ago…We’ve had several refreshers as well since it all came in.</w:t>
      </w:r>
      <w:r w:rsidR="00B62B2D">
        <w:rPr>
          <w:i/>
          <w:iCs/>
        </w:rPr>
        <w:t xml:space="preserve"> </w:t>
      </w:r>
      <w:r w:rsidRPr="005911E2">
        <w:rPr>
          <w:i/>
          <w:iCs/>
        </w:rPr>
        <w:t>I think you continue to need that because it changes.</w:t>
      </w:r>
    </w:p>
    <w:p w:rsidR="00DA796D" w:rsidRPr="005911E2" w:rsidRDefault="00DA796D" w:rsidP="008E5400">
      <w:pPr>
        <w:pStyle w:val="mininame"/>
      </w:pPr>
      <w:r w:rsidRPr="005911E2">
        <w:t xml:space="preserve">Centrelink </w:t>
      </w:r>
      <w:r w:rsidR="0057169A" w:rsidRPr="005911E2">
        <w:rPr>
          <w:rFonts w:eastAsiaTheme="minorEastAsia"/>
          <w:lang w:bidi="ar-SA"/>
        </w:rPr>
        <w:t xml:space="preserve">Customer Service </w:t>
      </w:r>
      <w:r w:rsidR="0057169A" w:rsidRPr="005911E2">
        <w:rPr>
          <w:rFonts w:eastAsiaTheme="minorEastAsia"/>
        </w:rPr>
        <w:t>Advis</w:t>
      </w:r>
      <w:r w:rsidR="0057169A">
        <w:rPr>
          <w:rFonts w:eastAsiaTheme="minorEastAsia"/>
        </w:rPr>
        <w:t>e</w:t>
      </w:r>
      <w:r w:rsidR="0057169A" w:rsidRPr="005911E2">
        <w:rPr>
          <w:rFonts w:eastAsiaTheme="minorEastAsia"/>
        </w:rPr>
        <w:t>r</w:t>
      </w:r>
    </w:p>
    <w:p w:rsidR="00DA796D" w:rsidRPr="005911E2" w:rsidRDefault="0057169A" w:rsidP="00DA796D">
      <w:r>
        <w:t xml:space="preserve">DCF </w:t>
      </w:r>
      <w:r w:rsidR="00357105">
        <w:t>c</w:t>
      </w:r>
      <w:r w:rsidR="00DA796D" w:rsidRPr="005911E2">
        <w:t>hild protection staff were generally critical of the training they received. This tended to reflect comments about the implementation more broadly</w:t>
      </w:r>
      <w:r>
        <w:t xml:space="preserve">; key issues included </w:t>
      </w:r>
      <w:r w:rsidR="00DA796D" w:rsidRPr="005911E2">
        <w:t>concerns about the process being rushed</w:t>
      </w:r>
      <w:r>
        <w:t>,</w:t>
      </w:r>
      <w:r w:rsidR="00DA796D" w:rsidRPr="005911E2">
        <w:t xml:space="preserve"> and </w:t>
      </w:r>
      <w:r>
        <w:t>the</w:t>
      </w:r>
      <w:r w:rsidR="00DA796D" w:rsidRPr="005911E2">
        <w:t xml:space="preserve"> lack of consultation with staff in the lead up to the implementation. </w:t>
      </w:r>
    </w:p>
    <w:p w:rsidR="00DA796D" w:rsidRPr="005911E2" w:rsidRDefault="00DA796D" w:rsidP="00DA796D">
      <w:pPr>
        <w:keepNext/>
        <w:spacing w:after="120"/>
        <w:ind w:left="2325"/>
        <w:jc w:val="left"/>
        <w:rPr>
          <w:i/>
          <w:iCs/>
        </w:rPr>
      </w:pPr>
      <w:r w:rsidRPr="005911E2">
        <w:rPr>
          <w:i/>
          <w:iCs/>
        </w:rPr>
        <w:t xml:space="preserve">[We needed] a lot more preparation around, this is what we're looking at to be doing and this is what we hope to achieve by introducing this. A lot of consultation and telling us about that because just suddenly out of the blue you attend training, there's a lot in it too. I mean, the </w:t>
      </w:r>
      <w:r w:rsidR="006C33D2" w:rsidRPr="005911E2">
        <w:rPr>
          <w:i/>
          <w:iCs/>
        </w:rPr>
        <w:t>ramifications of income management are</w:t>
      </w:r>
      <w:r w:rsidRPr="005911E2">
        <w:rPr>
          <w:i/>
          <w:iCs/>
        </w:rPr>
        <w:t xml:space="preserve"> huge on families. I think people need to have time to absorb all that information and have a really clear understanding of it.</w:t>
      </w:r>
    </w:p>
    <w:p w:rsidR="00DA796D" w:rsidRPr="005911E2" w:rsidRDefault="00DA796D" w:rsidP="008E5400">
      <w:pPr>
        <w:pStyle w:val="mininame"/>
      </w:pPr>
      <w:r w:rsidRPr="005911E2">
        <w:t>DCF child protection staff member</w:t>
      </w:r>
    </w:p>
    <w:p w:rsidR="00DA796D" w:rsidRPr="005911E2" w:rsidRDefault="00DA796D" w:rsidP="00DA796D">
      <w:r w:rsidRPr="005911E2">
        <w:t xml:space="preserve">It was also reported that many staff members expressed ethical objections to </w:t>
      </w:r>
      <w:r w:rsidR="00F878E4">
        <w:t>income management</w:t>
      </w:r>
      <w:r w:rsidRPr="005911E2">
        <w:t>.</w:t>
      </w:r>
      <w:r w:rsidR="00B62B2D">
        <w:t xml:space="preserve"> </w:t>
      </w:r>
      <w:r w:rsidRPr="005911E2">
        <w:t xml:space="preserve">Some of these – particularly those in leadership roles – </w:t>
      </w:r>
      <w:r w:rsidR="0057169A">
        <w:t xml:space="preserve">did </w:t>
      </w:r>
      <w:r w:rsidRPr="005911E2">
        <w:t>not attend the training prior to the implementation of the policy.</w:t>
      </w:r>
    </w:p>
    <w:p w:rsidR="00DA796D" w:rsidRPr="005911E2" w:rsidRDefault="00DA796D" w:rsidP="00DA796D">
      <w:pPr>
        <w:keepNext/>
        <w:spacing w:after="120"/>
        <w:ind w:left="2325"/>
        <w:jc w:val="left"/>
        <w:rPr>
          <w:i/>
          <w:iCs/>
        </w:rPr>
      </w:pPr>
      <w:r w:rsidRPr="005911E2">
        <w:rPr>
          <w:i/>
          <w:iCs/>
        </w:rPr>
        <w:t>We didn't get many team leaders or managers, so you've just got pockets of people who know about it and pockets of people that don't know about it and people who chose not to come, because they have an ethical - moral, whatever the word is - stance, political stance against it.</w:t>
      </w:r>
      <w:r w:rsidR="00B62B2D">
        <w:rPr>
          <w:i/>
          <w:iCs/>
        </w:rPr>
        <w:t xml:space="preserve"> </w:t>
      </w:r>
      <w:r w:rsidRPr="005911E2">
        <w:rPr>
          <w:i/>
          <w:iCs/>
        </w:rPr>
        <w:t>I'm never going to use it, so I'm not going to learn the training.</w:t>
      </w:r>
    </w:p>
    <w:p w:rsidR="00DA796D" w:rsidRPr="005911E2" w:rsidRDefault="00DA796D" w:rsidP="008E5400">
      <w:pPr>
        <w:pStyle w:val="mininame"/>
      </w:pPr>
      <w:r w:rsidRPr="005911E2">
        <w:t>DCF child protection staff member</w:t>
      </w:r>
    </w:p>
    <w:p w:rsidR="00DA796D" w:rsidRPr="005911E2" w:rsidRDefault="00DA796D" w:rsidP="00DA796D">
      <w:r w:rsidRPr="005911E2">
        <w:t xml:space="preserve">The comments around training of </w:t>
      </w:r>
      <w:r w:rsidR="0057169A">
        <w:t>m</w:t>
      </w:r>
      <w:r w:rsidRPr="005911E2">
        <w:t xml:space="preserve">oney </w:t>
      </w:r>
      <w:r w:rsidR="0057169A">
        <w:t>m</w:t>
      </w:r>
      <w:r w:rsidRPr="005911E2">
        <w:t>anagement and financial counsellors focused on two key themes. The first was related to the training provided to staff about the approved Money Business course. As discussed in Chapter 7 this tended to focus on dissatisfaction with the content of the course and its relevance to the communities and people that they were working with.</w:t>
      </w:r>
    </w:p>
    <w:p w:rsidR="00DA796D" w:rsidRPr="005911E2" w:rsidRDefault="00DA796D" w:rsidP="00DA796D">
      <w:pPr>
        <w:rPr>
          <w:lang w:eastAsia="en-AU"/>
        </w:rPr>
      </w:pPr>
      <w:r w:rsidRPr="005911E2">
        <w:rPr>
          <w:lang w:eastAsia="en-AU"/>
        </w:rPr>
        <w:t xml:space="preserve">The second theme was that staff in </w:t>
      </w:r>
      <w:r w:rsidR="0057169A">
        <w:rPr>
          <w:lang w:eastAsia="en-AU"/>
        </w:rPr>
        <w:t>m</w:t>
      </w:r>
      <w:r w:rsidRPr="005911E2">
        <w:rPr>
          <w:lang w:eastAsia="en-AU"/>
        </w:rPr>
        <w:t xml:space="preserve">oney </w:t>
      </w:r>
      <w:r w:rsidR="0057169A">
        <w:rPr>
          <w:lang w:eastAsia="en-AU"/>
        </w:rPr>
        <w:t>m</w:t>
      </w:r>
      <w:r w:rsidRPr="005911E2">
        <w:rPr>
          <w:lang w:eastAsia="en-AU"/>
        </w:rPr>
        <w:t xml:space="preserve">anagement services needed more training </w:t>
      </w:r>
      <w:r w:rsidR="00B81D60">
        <w:rPr>
          <w:lang w:eastAsia="en-AU"/>
        </w:rPr>
        <w:t xml:space="preserve">in </w:t>
      </w:r>
      <w:r w:rsidRPr="005911E2">
        <w:rPr>
          <w:lang w:eastAsia="en-AU"/>
        </w:rPr>
        <w:t xml:space="preserve">areas </w:t>
      </w:r>
      <w:r w:rsidR="00B81D60">
        <w:rPr>
          <w:lang w:eastAsia="en-AU"/>
        </w:rPr>
        <w:t>such as</w:t>
      </w:r>
      <w:r w:rsidRPr="005911E2">
        <w:rPr>
          <w:lang w:eastAsia="en-AU"/>
        </w:rPr>
        <w:t xml:space="preserve"> numeracy </w:t>
      </w:r>
      <w:r w:rsidR="00B81D60">
        <w:rPr>
          <w:lang w:eastAsia="en-AU"/>
        </w:rPr>
        <w:t xml:space="preserve">education </w:t>
      </w:r>
      <w:r w:rsidRPr="005911E2">
        <w:rPr>
          <w:lang w:eastAsia="en-AU"/>
        </w:rPr>
        <w:t xml:space="preserve">and recognising and working with some of the more complex issues that are also </w:t>
      </w:r>
      <w:r w:rsidR="00DA3786">
        <w:rPr>
          <w:lang w:eastAsia="en-AU"/>
        </w:rPr>
        <w:t>important and current</w:t>
      </w:r>
      <w:r w:rsidR="00DA3786" w:rsidRPr="005911E2">
        <w:rPr>
          <w:lang w:eastAsia="en-AU"/>
        </w:rPr>
        <w:t xml:space="preserve"> </w:t>
      </w:r>
      <w:r w:rsidRPr="005911E2">
        <w:rPr>
          <w:lang w:eastAsia="en-AU"/>
        </w:rPr>
        <w:t>for their clients.</w:t>
      </w:r>
    </w:p>
    <w:p w:rsidR="00DA796D" w:rsidRPr="005911E2" w:rsidRDefault="00DA796D" w:rsidP="00DA796D">
      <w:pPr>
        <w:keepNext/>
        <w:spacing w:after="120"/>
        <w:ind w:left="2325"/>
        <w:jc w:val="left"/>
        <w:rPr>
          <w:i/>
          <w:iCs/>
        </w:rPr>
      </w:pPr>
      <w:r w:rsidRPr="005911E2">
        <w:rPr>
          <w:i/>
          <w:iCs/>
        </w:rPr>
        <w:t xml:space="preserve">So there's a lot of different stuff that they need to start training your workers properly. Because you're not just dealing with </w:t>
      </w:r>
      <w:r w:rsidR="00DA3786">
        <w:rPr>
          <w:i/>
          <w:iCs/>
        </w:rPr>
        <w:t>m</w:t>
      </w:r>
      <w:r w:rsidRPr="005911E2">
        <w:rPr>
          <w:i/>
          <w:iCs/>
        </w:rPr>
        <w:t xml:space="preserve">oney </w:t>
      </w:r>
      <w:r w:rsidR="00DA3786">
        <w:rPr>
          <w:i/>
          <w:iCs/>
        </w:rPr>
        <w:t>m</w:t>
      </w:r>
      <w:r w:rsidRPr="005911E2">
        <w:rPr>
          <w:i/>
          <w:iCs/>
        </w:rPr>
        <w:t>anagement, you're dealing with a lot of social issues; you're dealing with a lot of emotional issues. You've got abuse issues; you've got substance abuse issues, all this other stuff that's in these people. It's not all straight up.</w:t>
      </w:r>
    </w:p>
    <w:p w:rsidR="00DA796D" w:rsidRPr="005911E2" w:rsidRDefault="00DA796D" w:rsidP="008E5400">
      <w:pPr>
        <w:pStyle w:val="mininame"/>
      </w:pPr>
      <w:r w:rsidRPr="005911E2">
        <w:t>Money management service provider</w:t>
      </w:r>
    </w:p>
    <w:p w:rsidR="00DA796D" w:rsidRPr="005911E2" w:rsidRDefault="00DA796D" w:rsidP="00DA796D">
      <w:pPr>
        <w:keepNext/>
        <w:spacing w:after="120"/>
        <w:ind w:left="2325"/>
        <w:jc w:val="left"/>
        <w:rPr>
          <w:i/>
          <w:iCs/>
        </w:rPr>
      </w:pPr>
      <w:r w:rsidRPr="005911E2">
        <w:rPr>
          <w:i/>
          <w:iCs/>
        </w:rPr>
        <w:t xml:space="preserve">Literacy &amp; Numeracy Training should be made available to all </w:t>
      </w:r>
      <w:r w:rsidR="00DA3786">
        <w:rPr>
          <w:i/>
          <w:iCs/>
        </w:rPr>
        <w:t>m</w:t>
      </w:r>
      <w:r w:rsidRPr="005911E2">
        <w:rPr>
          <w:i/>
          <w:iCs/>
        </w:rPr>
        <w:t xml:space="preserve">oney </w:t>
      </w:r>
      <w:r w:rsidR="00DA3786">
        <w:rPr>
          <w:i/>
          <w:iCs/>
        </w:rPr>
        <w:t>m</w:t>
      </w:r>
      <w:r w:rsidRPr="005911E2">
        <w:rPr>
          <w:i/>
          <w:iCs/>
        </w:rPr>
        <w:t xml:space="preserve">anagement </w:t>
      </w:r>
      <w:r w:rsidR="00DA3786">
        <w:rPr>
          <w:i/>
          <w:iCs/>
        </w:rPr>
        <w:t>p</w:t>
      </w:r>
      <w:r w:rsidRPr="005911E2">
        <w:rPr>
          <w:i/>
          <w:iCs/>
        </w:rPr>
        <w:t xml:space="preserve">rogram staff. More resources should be made available to engage the participants </w:t>
      </w:r>
      <w:r w:rsidR="00B81D60">
        <w:rPr>
          <w:i/>
          <w:iCs/>
        </w:rPr>
        <w:t>and</w:t>
      </w:r>
      <w:r w:rsidR="00B81D60" w:rsidRPr="005911E2">
        <w:rPr>
          <w:i/>
          <w:iCs/>
        </w:rPr>
        <w:t xml:space="preserve"> </w:t>
      </w:r>
      <w:r w:rsidRPr="005911E2">
        <w:rPr>
          <w:i/>
          <w:iCs/>
        </w:rPr>
        <w:t xml:space="preserve">keep them encouraged to remain in the program. </w:t>
      </w:r>
    </w:p>
    <w:p w:rsidR="00DA796D" w:rsidRPr="005911E2" w:rsidRDefault="00DA796D" w:rsidP="008E5400">
      <w:pPr>
        <w:pStyle w:val="mininame"/>
      </w:pPr>
      <w:r w:rsidRPr="005911E2">
        <w:t>Money management service provider</w:t>
      </w:r>
    </w:p>
    <w:p w:rsidR="00DA796D" w:rsidRPr="005911E2" w:rsidRDefault="00DA796D" w:rsidP="00DA796D">
      <w:pPr>
        <w:rPr>
          <w:lang w:eastAsia="en-AU"/>
        </w:rPr>
      </w:pPr>
      <w:r w:rsidRPr="005911E2">
        <w:rPr>
          <w:lang w:eastAsia="en-AU"/>
        </w:rPr>
        <w:t xml:space="preserve">Almost all of the Centrelink staff who completed the survey (99 per cent) said that they had the relevant tools to work with people subject to </w:t>
      </w:r>
      <w:r w:rsidR="00F878E4">
        <w:rPr>
          <w:lang w:eastAsia="en-AU"/>
        </w:rPr>
        <w:t>income management</w:t>
      </w:r>
      <w:r w:rsidRPr="005911E2">
        <w:rPr>
          <w:lang w:eastAsia="en-AU"/>
        </w:rPr>
        <w:t>.</w:t>
      </w:r>
    </w:p>
    <w:p w:rsidR="00DA796D" w:rsidRPr="005911E2" w:rsidRDefault="00DA796D" w:rsidP="004A0549">
      <w:pPr>
        <w:pStyle w:val="tabfighead"/>
      </w:pPr>
      <w:bookmarkStart w:id="851" w:name="_Toc321254573"/>
      <w:bookmarkStart w:id="852" w:name="_Toc321430454"/>
      <w:bookmarkStart w:id="853" w:name="_Toc321761724"/>
      <w:bookmarkStart w:id="854" w:name="_Toc328601621"/>
      <w:bookmarkStart w:id="855" w:name="_Toc329051399"/>
      <w:bookmarkStart w:id="856" w:name="_Toc335915887"/>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9</w:t>
      </w:r>
      <w:r w:rsidR="00C7347D" w:rsidRPr="005911E2">
        <w:rPr>
          <w:noProof/>
        </w:rPr>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9</w:t>
      </w:r>
      <w:r w:rsidR="00C7347D" w:rsidRPr="005911E2">
        <w:rPr>
          <w:noProof/>
        </w:rPr>
        <w:fldChar w:fldCharType="end"/>
      </w:r>
      <w:r w:rsidRPr="005911E2">
        <w:t xml:space="preserve"> </w:t>
      </w:r>
      <w:r w:rsidR="000F35F5">
        <w:tab/>
      </w:r>
      <w:r w:rsidRPr="005911E2">
        <w:t xml:space="preserve">Whether Centrelink staff have relevant tools to work with </w:t>
      </w:r>
      <w:r w:rsidR="00F878E4">
        <w:t>income management</w:t>
      </w:r>
      <w:r w:rsidRPr="005911E2">
        <w:t xml:space="preserve"> clients</w:t>
      </w:r>
      <w:bookmarkEnd w:id="851"/>
      <w:bookmarkEnd w:id="852"/>
      <w:bookmarkEnd w:id="853"/>
      <w:bookmarkEnd w:id="854"/>
      <w:bookmarkEnd w:id="855"/>
      <w:bookmarkEnd w:id="856"/>
      <w:r w:rsidRPr="005911E2">
        <w:t xml:space="preserve"> </w:t>
      </w:r>
    </w:p>
    <w:tbl>
      <w:tblPr>
        <w:tblW w:w="0" w:type="auto"/>
        <w:tblInd w:w="1803" w:type="dxa"/>
        <w:tblLook w:val="04A0" w:firstRow="1" w:lastRow="0" w:firstColumn="1" w:lastColumn="0" w:noHBand="0" w:noVBand="1"/>
      </w:tblPr>
      <w:tblGrid>
        <w:gridCol w:w="2727"/>
        <w:gridCol w:w="1117"/>
      </w:tblGrid>
      <w:tr w:rsidR="00DA796D" w:rsidRPr="008E5400" w:rsidTr="00B82B1F">
        <w:tc>
          <w:tcPr>
            <w:tcW w:w="2727" w:type="dxa"/>
            <w:tcBorders>
              <w:top w:val="single" w:sz="4" w:space="0" w:color="auto"/>
              <w:bottom w:val="single" w:sz="4" w:space="0" w:color="auto"/>
            </w:tcBorders>
            <w:shd w:val="clear" w:color="auto" w:fill="auto"/>
            <w:vAlign w:val="bottom"/>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Whether have adequate tools:</w:t>
            </w:r>
          </w:p>
        </w:tc>
        <w:tc>
          <w:tcPr>
            <w:tcW w:w="1117" w:type="dxa"/>
            <w:tcBorders>
              <w:top w:val="single" w:sz="4" w:space="0" w:color="auto"/>
              <w:bottom w:val="single" w:sz="4" w:space="0" w:color="auto"/>
            </w:tcBorders>
            <w:shd w:val="clear" w:color="auto" w:fill="auto"/>
            <w:noWrap/>
            <w:vAlign w:val="bottom"/>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Responses</w:t>
            </w:r>
          </w:p>
        </w:tc>
      </w:tr>
      <w:tr w:rsidR="00DA796D" w:rsidRPr="008E5400" w:rsidTr="00B82B1F">
        <w:tc>
          <w:tcPr>
            <w:tcW w:w="2727" w:type="dxa"/>
            <w:tcBorders>
              <w:top w:val="single" w:sz="4" w:space="0" w:color="auto"/>
            </w:tcBorders>
            <w:shd w:val="clear" w:color="auto" w:fill="auto"/>
            <w:noWrap/>
            <w:vAlign w:val="bottom"/>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 </w:t>
            </w:r>
          </w:p>
        </w:tc>
        <w:tc>
          <w:tcPr>
            <w:tcW w:w="1117" w:type="dxa"/>
            <w:tcBorders>
              <w:top w:val="single" w:sz="4" w:space="0" w:color="auto"/>
            </w:tcBorders>
            <w:shd w:val="clear" w:color="auto" w:fill="auto"/>
            <w:noWrap/>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 % -</w:t>
            </w:r>
          </w:p>
        </w:tc>
      </w:tr>
      <w:tr w:rsidR="00DA796D" w:rsidRPr="008E5400" w:rsidTr="00B82B1F">
        <w:tc>
          <w:tcPr>
            <w:tcW w:w="2727" w:type="dxa"/>
            <w:shd w:val="clear" w:color="auto" w:fill="auto"/>
            <w:noWrap/>
            <w:vAlign w:val="bottom"/>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Yes, fully</w:t>
            </w:r>
          </w:p>
        </w:tc>
        <w:tc>
          <w:tcPr>
            <w:tcW w:w="1117" w:type="dxa"/>
            <w:shd w:val="clear" w:color="auto" w:fill="auto"/>
            <w:noWrap/>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71</w:t>
            </w:r>
          </w:p>
        </w:tc>
      </w:tr>
      <w:tr w:rsidR="00DA796D" w:rsidRPr="008E5400" w:rsidTr="00B82B1F">
        <w:tc>
          <w:tcPr>
            <w:tcW w:w="2727" w:type="dxa"/>
            <w:shd w:val="clear" w:color="auto" w:fill="auto"/>
            <w:noWrap/>
            <w:vAlign w:val="bottom"/>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Yes, partially</w:t>
            </w:r>
          </w:p>
        </w:tc>
        <w:tc>
          <w:tcPr>
            <w:tcW w:w="1117" w:type="dxa"/>
            <w:shd w:val="clear" w:color="auto" w:fill="auto"/>
            <w:noWrap/>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27</w:t>
            </w:r>
          </w:p>
        </w:tc>
      </w:tr>
      <w:tr w:rsidR="00DA796D" w:rsidRPr="008E5400" w:rsidTr="00B82B1F">
        <w:tc>
          <w:tcPr>
            <w:tcW w:w="2727" w:type="dxa"/>
            <w:shd w:val="clear" w:color="auto" w:fill="auto"/>
            <w:noWrap/>
            <w:vAlign w:val="bottom"/>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No</w:t>
            </w:r>
          </w:p>
        </w:tc>
        <w:tc>
          <w:tcPr>
            <w:tcW w:w="1117" w:type="dxa"/>
            <w:shd w:val="clear" w:color="auto" w:fill="auto"/>
            <w:noWrap/>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2</w:t>
            </w:r>
          </w:p>
        </w:tc>
      </w:tr>
      <w:tr w:rsidR="00DA796D" w:rsidRPr="008E5400" w:rsidTr="00B82B1F">
        <w:tc>
          <w:tcPr>
            <w:tcW w:w="2727" w:type="dxa"/>
            <w:tcBorders>
              <w:bottom w:val="single" w:sz="4" w:space="0" w:color="auto"/>
            </w:tcBorders>
            <w:shd w:val="clear" w:color="auto" w:fill="auto"/>
            <w:noWrap/>
            <w:vAlign w:val="bottom"/>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Total</w:t>
            </w:r>
          </w:p>
        </w:tc>
        <w:tc>
          <w:tcPr>
            <w:tcW w:w="1117" w:type="dxa"/>
            <w:tcBorders>
              <w:bottom w:val="single" w:sz="4" w:space="0" w:color="auto"/>
            </w:tcBorders>
            <w:shd w:val="clear" w:color="auto" w:fill="auto"/>
            <w:noWrap/>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100</w:t>
            </w:r>
          </w:p>
        </w:tc>
      </w:tr>
      <w:tr w:rsidR="00DA796D" w:rsidRPr="008E5400" w:rsidTr="00B82B1F">
        <w:tc>
          <w:tcPr>
            <w:tcW w:w="2727" w:type="dxa"/>
            <w:tcBorders>
              <w:top w:val="single" w:sz="4" w:space="0" w:color="auto"/>
              <w:bottom w:val="single" w:sz="4" w:space="0" w:color="auto"/>
            </w:tcBorders>
            <w:shd w:val="clear" w:color="auto" w:fill="auto"/>
            <w:noWrap/>
            <w:vAlign w:val="bottom"/>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Number of respondents</w:t>
            </w:r>
          </w:p>
        </w:tc>
        <w:tc>
          <w:tcPr>
            <w:tcW w:w="1117" w:type="dxa"/>
            <w:tcBorders>
              <w:top w:val="single" w:sz="4" w:space="0" w:color="auto"/>
              <w:bottom w:val="single" w:sz="4" w:space="0" w:color="auto"/>
            </w:tcBorders>
            <w:shd w:val="clear" w:color="auto" w:fill="auto"/>
            <w:noWrap/>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128</w:t>
            </w:r>
          </w:p>
        </w:tc>
      </w:tr>
    </w:tbl>
    <w:p w:rsidR="00DA796D" w:rsidRPr="005911E2" w:rsidRDefault="00DA796D" w:rsidP="00CF518E">
      <w:pPr>
        <w:pStyle w:val="tablefootnotes"/>
      </w:pPr>
      <w:r w:rsidRPr="005911E2">
        <w:t xml:space="preserve">Source: </w:t>
      </w:r>
      <w:r w:rsidR="00FF16A3">
        <w:tab/>
      </w:r>
      <w:r w:rsidRPr="005911E2">
        <w:t>Survey of Centrelink Staff 2011.</w:t>
      </w:r>
    </w:p>
    <w:p w:rsidR="00DA796D" w:rsidRPr="00460C86" w:rsidRDefault="00DA796D" w:rsidP="00CF518E">
      <w:pPr>
        <w:pStyle w:val="tablefootnotes"/>
        <w:rPr>
          <w:sz w:val="28"/>
          <w:szCs w:val="28"/>
        </w:rPr>
      </w:pPr>
    </w:p>
    <w:p w:rsidR="00EF6C17" w:rsidRPr="00460C86" w:rsidRDefault="00EF6C17" w:rsidP="00460C86">
      <w:pPr>
        <w:pStyle w:val="FootnoteText"/>
        <w:ind w:left="0" w:firstLine="0"/>
        <w:rPr>
          <w:sz w:val="28"/>
          <w:szCs w:val="28"/>
        </w:rPr>
      </w:pPr>
    </w:p>
    <w:p w:rsidR="00DA796D" w:rsidRPr="005911E2" w:rsidRDefault="00DA796D" w:rsidP="00DA796D">
      <w:pPr>
        <w:rPr>
          <w:lang w:eastAsia="en-AU"/>
        </w:rPr>
      </w:pPr>
      <w:r w:rsidRPr="005911E2">
        <w:rPr>
          <w:lang w:eastAsia="en-AU"/>
        </w:rPr>
        <w:t xml:space="preserve">In the qualitative interviews most respondents had little to say about the tools they had available. The exception to this was </w:t>
      </w:r>
      <w:r w:rsidR="00DA3786">
        <w:rPr>
          <w:lang w:eastAsia="en-AU"/>
        </w:rPr>
        <w:t>m</w:t>
      </w:r>
      <w:r w:rsidRPr="005911E2">
        <w:rPr>
          <w:lang w:eastAsia="en-AU"/>
        </w:rPr>
        <w:t xml:space="preserve">oney </w:t>
      </w:r>
      <w:r w:rsidR="00DA3786">
        <w:rPr>
          <w:lang w:eastAsia="en-AU"/>
        </w:rPr>
        <w:t>m</w:t>
      </w:r>
      <w:r w:rsidRPr="005911E2">
        <w:rPr>
          <w:lang w:eastAsia="en-AU"/>
        </w:rPr>
        <w:t>anagement workers who had strong views about the efficacy and appropriateness of the approved Money Business course that they were expected to deliver to clients. These concerns have been discussed in detail in Chapter 7.</w:t>
      </w:r>
    </w:p>
    <w:p w:rsidR="00DA796D" w:rsidRPr="005911E2" w:rsidRDefault="00DA796D" w:rsidP="00616B0F">
      <w:pPr>
        <w:pStyle w:val="Heading2"/>
      </w:pPr>
      <w:bookmarkStart w:id="857" w:name="_Toc321225150"/>
      <w:bookmarkStart w:id="858" w:name="_Toc321254493"/>
      <w:bookmarkStart w:id="859" w:name="_Toc321761635"/>
      <w:bookmarkStart w:id="860" w:name="_Toc328601518"/>
      <w:bookmarkStart w:id="861" w:name="_Toc329870399"/>
      <w:bookmarkStart w:id="862" w:name="_Toc335915785"/>
      <w:r w:rsidRPr="005911E2">
        <w:t>Availability and capacity of services</w:t>
      </w:r>
      <w:bookmarkEnd w:id="857"/>
      <w:bookmarkEnd w:id="858"/>
      <w:bookmarkEnd w:id="859"/>
      <w:bookmarkEnd w:id="860"/>
      <w:bookmarkEnd w:id="861"/>
      <w:bookmarkEnd w:id="862"/>
      <w:r w:rsidRPr="005911E2">
        <w:t xml:space="preserve"> </w:t>
      </w:r>
    </w:p>
    <w:p w:rsidR="00DA796D" w:rsidRPr="005911E2" w:rsidRDefault="00DA796D" w:rsidP="00DA796D">
      <w:pPr>
        <w:rPr>
          <w:lang w:eastAsia="en-AU"/>
        </w:rPr>
      </w:pPr>
      <w:r w:rsidRPr="005911E2">
        <w:rPr>
          <w:lang w:eastAsia="en-AU"/>
        </w:rPr>
        <w:t xml:space="preserve">The </w:t>
      </w:r>
      <w:r w:rsidR="00DA3786">
        <w:rPr>
          <w:lang w:eastAsia="en-AU"/>
        </w:rPr>
        <w:t>s</w:t>
      </w:r>
      <w:r w:rsidRPr="005911E2">
        <w:rPr>
          <w:lang w:eastAsia="en-AU"/>
        </w:rPr>
        <w:t xml:space="preserve">urvey of Centrelink </w:t>
      </w:r>
      <w:r w:rsidR="00DA3786">
        <w:rPr>
          <w:lang w:eastAsia="en-AU"/>
        </w:rPr>
        <w:t>s</w:t>
      </w:r>
      <w:r w:rsidRPr="005911E2">
        <w:rPr>
          <w:lang w:eastAsia="en-AU"/>
        </w:rPr>
        <w:t xml:space="preserve">taff included a question which asked them to indicate their capacity </w:t>
      </w:r>
      <w:r w:rsidR="00DA3786">
        <w:rPr>
          <w:lang w:eastAsia="en-AU"/>
        </w:rPr>
        <w:t xml:space="preserve">to </w:t>
      </w:r>
      <w:r w:rsidRPr="005911E2">
        <w:rPr>
          <w:lang w:eastAsia="en-AU"/>
        </w:rPr>
        <w:t xml:space="preserve">refer their clients to suitable services to address a range of issues. </w:t>
      </w:r>
    </w:p>
    <w:p w:rsidR="00DA796D" w:rsidRPr="005911E2" w:rsidRDefault="00DA796D" w:rsidP="00DA796D">
      <w:pPr>
        <w:rPr>
          <w:szCs w:val="20"/>
        </w:rPr>
      </w:pPr>
      <w:r w:rsidRPr="005911E2">
        <w:rPr>
          <w:szCs w:val="20"/>
        </w:rPr>
        <w:t>Centrelink staff were most likely to agree (strongly or mostly) that they were able to refer people to services to:</w:t>
      </w:r>
    </w:p>
    <w:p w:rsidR="00DA796D" w:rsidRPr="005911E2" w:rsidRDefault="00DA796D" w:rsidP="00EF6C17">
      <w:pPr>
        <w:pStyle w:val="ListBullet"/>
      </w:pPr>
      <w:r w:rsidRPr="005911E2">
        <w:t>improve their job skills (70 per cent)</w:t>
      </w:r>
    </w:p>
    <w:p w:rsidR="00DA796D" w:rsidRPr="005911E2" w:rsidRDefault="00DA796D" w:rsidP="00EF6C17">
      <w:pPr>
        <w:pStyle w:val="ListBullet"/>
      </w:pPr>
      <w:r w:rsidRPr="005911E2">
        <w:t>assist with housing issues (69 per cent)</w:t>
      </w:r>
    </w:p>
    <w:p w:rsidR="00DA796D" w:rsidRPr="005911E2" w:rsidRDefault="00DA796D" w:rsidP="00EF6C17">
      <w:pPr>
        <w:pStyle w:val="ListBullet"/>
      </w:pPr>
      <w:r w:rsidRPr="005911E2">
        <w:t>improve their money management skills (65 per cent)</w:t>
      </w:r>
    </w:p>
    <w:p w:rsidR="00DA796D" w:rsidRPr="005911E2" w:rsidRDefault="00DA796D" w:rsidP="00EF6C17">
      <w:pPr>
        <w:pStyle w:val="ListBullet"/>
      </w:pPr>
      <w:r w:rsidRPr="005911E2">
        <w:t>assist with children’s school attendance issues (61 per cent).</w:t>
      </w:r>
    </w:p>
    <w:p w:rsidR="00DA796D" w:rsidRPr="005911E2" w:rsidRDefault="00DA3786" w:rsidP="00DA796D">
      <w:pPr>
        <w:rPr>
          <w:lang w:eastAsia="en-AU"/>
        </w:rPr>
      </w:pPr>
      <w:r>
        <w:rPr>
          <w:lang w:eastAsia="en-AU"/>
        </w:rPr>
        <w:t>Other s</w:t>
      </w:r>
      <w:r w:rsidR="00DA796D" w:rsidRPr="005911E2">
        <w:rPr>
          <w:lang w:eastAsia="en-AU"/>
        </w:rPr>
        <w:t>ervice</w:t>
      </w:r>
      <w:r>
        <w:rPr>
          <w:lang w:eastAsia="en-AU"/>
        </w:rPr>
        <w:t>s</w:t>
      </w:r>
      <w:r w:rsidR="00DA796D" w:rsidRPr="005911E2">
        <w:rPr>
          <w:lang w:eastAsia="en-AU"/>
        </w:rPr>
        <w:t xml:space="preserve"> that Centrelink respondents were able to refer clients to included:</w:t>
      </w:r>
    </w:p>
    <w:p w:rsidR="00DA796D" w:rsidRPr="005911E2" w:rsidRDefault="00DA796D" w:rsidP="00EF6C17">
      <w:pPr>
        <w:pStyle w:val="ListBullet"/>
      </w:pPr>
      <w:r w:rsidRPr="005911E2">
        <w:t>assistance with gambling issues (37 per cent)</w:t>
      </w:r>
    </w:p>
    <w:p w:rsidR="00DA796D" w:rsidRPr="005911E2" w:rsidRDefault="00DA796D" w:rsidP="00EF6C17">
      <w:pPr>
        <w:pStyle w:val="ListBullet"/>
      </w:pPr>
      <w:r w:rsidRPr="005911E2">
        <w:t>services to improve clients’ understanding of health and hygiene (37 per cent)</w:t>
      </w:r>
    </w:p>
    <w:p w:rsidR="00DA796D" w:rsidRPr="005911E2" w:rsidRDefault="00DA796D" w:rsidP="00EF6C17">
      <w:pPr>
        <w:pStyle w:val="ListBullet"/>
      </w:pPr>
      <w:r w:rsidRPr="005911E2">
        <w:t xml:space="preserve">parenting skills (38 per cent) </w:t>
      </w:r>
    </w:p>
    <w:p w:rsidR="00DA796D" w:rsidRPr="005911E2" w:rsidRDefault="00DA796D" w:rsidP="00EF6C17">
      <w:pPr>
        <w:pStyle w:val="ListBullet"/>
      </w:pPr>
      <w:r w:rsidRPr="005911E2">
        <w:t>assistance</w:t>
      </w:r>
      <w:r w:rsidRPr="005911E2">
        <w:rPr>
          <w:rFonts w:cs="Arial"/>
          <w:color w:val="000000"/>
        </w:rPr>
        <w:t xml:space="preserve"> with children’s developmental issues (46 per cent).</w:t>
      </w:r>
    </w:p>
    <w:p w:rsidR="00DA796D" w:rsidRDefault="00DA796D" w:rsidP="00DA796D">
      <w:pPr>
        <w:rPr>
          <w:lang w:eastAsia="en-AU"/>
        </w:rPr>
      </w:pPr>
      <w:r w:rsidRPr="005911E2">
        <w:rPr>
          <w:lang w:eastAsia="en-AU"/>
        </w:rPr>
        <w:t xml:space="preserve">The overall pattern of responses to the items presented in Table </w:t>
      </w:r>
      <w:r w:rsidRPr="005911E2">
        <w:rPr>
          <w:noProof/>
          <w:lang w:eastAsia="en-AU"/>
        </w:rPr>
        <w:t>9</w:t>
      </w:r>
      <w:r w:rsidRPr="005911E2">
        <w:rPr>
          <w:lang w:eastAsia="en-AU"/>
        </w:rPr>
        <w:noBreakHyphen/>
      </w:r>
      <w:r w:rsidRPr="005911E2">
        <w:rPr>
          <w:noProof/>
          <w:lang w:eastAsia="en-AU"/>
        </w:rPr>
        <w:t>10</w:t>
      </w:r>
      <w:r w:rsidRPr="005911E2">
        <w:rPr>
          <w:lang w:eastAsia="en-AU"/>
        </w:rPr>
        <w:t xml:space="preserve"> suggests that there is a gap in service availability for some people in need of assistance beyond income management. </w:t>
      </w:r>
    </w:p>
    <w:p w:rsidR="008E5400" w:rsidRPr="005911E2" w:rsidRDefault="008E5400" w:rsidP="008E5400">
      <w:pPr>
        <w:rPr>
          <w:lang w:eastAsia="en-AU"/>
        </w:rPr>
      </w:pPr>
      <w:r w:rsidRPr="005911E2">
        <w:rPr>
          <w:lang w:eastAsia="en-AU"/>
        </w:rPr>
        <w:t>This perception by Centrelink staff of a gap in services was strongly supported by participants in qualitative interviews with Centrelink staff, child protection workers</w:t>
      </w:r>
      <w:r>
        <w:rPr>
          <w:lang w:eastAsia="en-AU"/>
        </w:rPr>
        <w:t>,</w:t>
      </w:r>
      <w:r w:rsidRPr="005911E2">
        <w:rPr>
          <w:lang w:eastAsia="en-AU"/>
        </w:rPr>
        <w:t xml:space="preserve"> and </w:t>
      </w:r>
      <w:r>
        <w:rPr>
          <w:lang w:eastAsia="en-AU"/>
        </w:rPr>
        <w:t>m</w:t>
      </w:r>
      <w:r w:rsidRPr="005911E2">
        <w:rPr>
          <w:lang w:eastAsia="en-AU"/>
        </w:rPr>
        <w:t xml:space="preserve">oney </w:t>
      </w:r>
      <w:r>
        <w:rPr>
          <w:lang w:eastAsia="en-AU"/>
        </w:rPr>
        <w:t>m</w:t>
      </w:r>
      <w:r w:rsidRPr="005911E2">
        <w:rPr>
          <w:lang w:eastAsia="en-AU"/>
        </w:rPr>
        <w:t xml:space="preserve">anagement and financial counselling service providers. A lack of appropriate available services was seen as a significant barrier to working with people to address the issues that may have led to them being subject to </w:t>
      </w:r>
      <w:r>
        <w:rPr>
          <w:lang w:eastAsia="en-AU"/>
        </w:rPr>
        <w:t>income management</w:t>
      </w:r>
      <w:r w:rsidRPr="005911E2">
        <w:rPr>
          <w:lang w:eastAsia="en-AU"/>
        </w:rPr>
        <w:t xml:space="preserve"> in the first place. </w:t>
      </w:r>
    </w:p>
    <w:p w:rsidR="008E5400" w:rsidRPr="005911E2" w:rsidRDefault="008E5400" w:rsidP="00DA796D">
      <w:pPr>
        <w:rPr>
          <w:lang w:eastAsia="en-AU"/>
        </w:rPr>
      </w:pPr>
    </w:p>
    <w:p w:rsidR="00DA796D" w:rsidRPr="005911E2" w:rsidRDefault="00DA796D" w:rsidP="00EA1CD7">
      <w:pPr>
        <w:pStyle w:val="tabfighead"/>
      </w:pPr>
      <w:bookmarkStart w:id="863" w:name="_Ref320544140"/>
      <w:bookmarkStart w:id="864" w:name="_Toc321254574"/>
      <w:bookmarkStart w:id="865" w:name="_Toc321430455"/>
      <w:bookmarkStart w:id="866" w:name="_Toc321761725"/>
      <w:bookmarkStart w:id="867" w:name="_Toc328601622"/>
      <w:bookmarkStart w:id="868" w:name="_Toc329051400"/>
      <w:bookmarkStart w:id="869" w:name="_Toc335915888"/>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9</w:t>
      </w:r>
      <w:r w:rsidR="00C7347D" w:rsidRPr="005911E2">
        <w:rPr>
          <w:noProof/>
        </w:rPr>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10</w:t>
      </w:r>
      <w:r w:rsidR="00C7347D" w:rsidRPr="005911E2">
        <w:rPr>
          <w:noProof/>
        </w:rPr>
        <w:fldChar w:fldCharType="end"/>
      </w:r>
      <w:bookmarkEnd w:id="863"/>
      <w:r w:rsidRPr="005911E2">
        <w:t xml:space="preserve"> Centrelink staff perceptions of availability of different service types to assist their clients</w:t>
      </w:r>
      <w:bookmarkEnd w:id="864"/>
      <w:bookmarkEnd w:id="865"/>
      <w:bookmarkEnd w:id="866"/>
      <w:bookmarkEnd w:id="867"/>
      <w:bookmarkEnd w:id="868"/>
      <w:bookmarkEnd w:id="869"/>
    </w:p>
    <w:tbl>
      <w:tblPr>
        <w:tblW w:w="8789" w:type="dxa"/>
        <w:jc w:val="right"/>
        <w:tblInd w:w="250" w:type="dxa"/>
        <w:tblLook w:val="04A0" w:firstRow="1" w:lastRow="0" w:firstColumn="1" w:lastColumn="0" w:noHBand="0" w:noVBand="1"/>
      </w:tblPr>
      <w:tblGrid>
        <w:gridCol w:w="4536"/>
        <w:gridCol w:w="877"/>
        <w:gridCol w:w="824"/>
        <w:gridCol w:w="907"/>
        <w:gridCol w:w="936"/>
        <w:gridCol w:w="709"/>
      </w:tblGrid>
      <w:tr w:rsidR="00DA796D" w:rsidRPr="008E5400" w:rsidTr="00E24340">
        <w:trPr>
          <w:jc w:val="right"/>
        </w:trPr>
        <w:tc>
          <w:tcPr>
            <w:tcW w:w="4536" w:type="dxa"/>
            <w:tcBorders>
              <w:top w:val="single" w:sz="4" w:space="0" w:color="auto"/>
              <w:bottom w:val="single" w:sz="4" w:space="0" w:color="auto"/>
            </w:tcBorders>
            <w:shd w:val="clear" w:color="auto" w:fill="auto"/>
            <w:vAlign w:val="center"/>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 I am able to refer clients to suitable services…</w:t>
            </w:r>
          </w:p>
        </w:tc>
        <w:tc>
          <w:tcPr>
            <w:tcW w:w="877" w:type="dxa"/>
            <w:tcBorders>
              <w:top w:val="single" w:sz="4" w:space="0" w:color="auto"/>
              <w:bottom w:val="single" w:sz="4" w:space="0" w:color="auto"/>
            </w:tcBorders>
            <w:shd w:val="clear" w:color="auto" w:fill="auto"/>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Strongly agree</w:t>
            </w:r>
          </w:p>
        </w:tc>
        <w:tc>
          <w:tcPr>
            <w:tcW w:w="824" w:type="dxa"/>
            <w:tcBorders>
              <w:top w:val="single" w:sz="4" w:space="0" w:color="auto"/>
              <w:bottom w:val="single" w:sz="4" w:space="0" w:color="auto"/>
            </w:tcBorders>
            <w:shd w:val="clear" w:color="auto" w:fill="auto"/>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 xml:space="preserve">Mostly agree </w:t>
            </w:r>
          </w:p>
        </w:tc>
        <w:tc>
          <w:tcPr>
            <w:tcW w:w="907" w:type="dxa"/>
            <w:tcBorders>
              <w:top w:val="single" w:sz="4" w:space="0" w:color="auto"/>
              <w:bottom w:val="single" w:sz="4" w:space="0" w:color="auto"/>
            </w:tcBorders>
            <w:shd w:val="clear" w:color="auto" w:fill="auto"/>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Mostly disagree</w:t>
            </w:r>
          </w:p>
        </w:tc>
        <w:tc>
          <w:tcPr>
            <w:tcW w:w="936" w:type="dxa"/>
            <w:tcBorders>
              <w:top w:val="single" w:sz="4" w:space="0" w:color="auto"/>
              <w:bottom w:val="single" w:sz="4" w:space="0" w:color="auto"/>
            </w:tcBorders>
            <w:shd w:val="clear" w:color="auto" w:fill="auto"/>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Strongly disagree</w:t>
            </w:r>
          </w:p>
        </w:tc>
        <w:tc>
          <w:tcPr>
            <w:tcW w:w="709" w:type="dxa"/>
            <w:tcBorders>
              <w:top w:val="single" w:sz="4" w:space="0" w:color="auto"/>
              <w:bottom w:val="single" w:sz="4" w:space="0" w:color="auto"/>
            </w:tcBorders>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Total</w:t>
            </w:r>
          </w:p>
        </w:tc>
      </w:tr>
      <w:tr w:rsidR="00DA796D" w:rsidRPr="008E5400" w:rsidTr="00783DF8">
        <w:trPr>
          <w:jc w:val="right"/>
        </w:trPr>
        <w:tc>
          <w:tcPr>
            <w:tcW w:w="4536" w:type="dxa"/>
            <w:tcBorders>
              <w:top w:val="single" w:sz="4" w:space="0" w:color="auto"/>
            </w:tcBorders>
            <w:shd w:val="clear" w:color="auto" w:fill="auto"/>
            <w:vAlign w:val="center"/>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p>
        </w:tc>
        <w:tc>
          <w:tcPr>
            <w:tcW w:w="4253" w:type="dxa"/>
            <w:gridSpan w:val="5"/>
            <w:tcBorders>
              <w:top w:val="single" w:sz="4" w:space="0" w:color="auto"/>
            </w:tcBorders>
            <w:shd w:val="clear" w:color="auto" w:fill="auto"/>
            <w:vAlign w:val="center"/>
            <w:hideMark/>
          </w:tcPr>
          <w:p w:rsidR="00DA796D" w:rsidRPr="008E5400" w:rsidRDefault="00DA796D" w:rsidP="00783DF8">
            <w:pPr>
              <w:keepNext/>
              <w:keepLines/>
              <w:spacing w:after="60" w:line="240" w:lineRule="auto"/>
              <w:ind w:left="0"/>
              <w:jc w:val="center"/>
              <w:rPr>
                <w:rFonts w:cs="Arial"/>
                <w:color w:val="000000"/>
                <w:sz w:val="16"/>
                <w:szCs w:val="16"/>
                <w:lang w:eastAsia="en-AU" w:bidi="ar-SA"/>
              </w:rPr>
            </w:pPr>
            <w:r w:rsidRPr="008E5400">
              <w:rPr>
                <w:rFonts w:cs="Arial"/>
                <w:color w:val="000000"/>
                <w:sz w:val="16"/>
                <w:szCs w:val="16"/>
                <w:lang w:eastAsia="en-AU" w:bidi="ar-SA"/>
              </w:rPr>
              <w:t>- % -</w:t>
            </w:r>
          </w:p>
        </w:tc>
      </w:tr>
      <w:tr w:rsidR="00DA796D" w:rsidRPr="008E5400" w:rsidTr="00E24340">
        <w:trPr>
          <w:jc w:val="right"/>
        </w:trPr>
        <w:tc>
          <w:tcPr>
            <w:tcW w:w="4536" w:type="dxa"/>
            <w:shd w:val="clear" w:color="auto" w:fill="auto"/>
            <w:vAlign w:val="center"/>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 xml:space="preserve">To improve their money management skills </w:t>
            </w:r>
          </w:p>
        </w:tc>
        <w:tc>
          <w:tcPr>
            <w:tcW w:w="877"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18</w:t>
            </w:r>
          </w:p>
        </w:tc>
        <w:tc>
          <w:tcPr>
            <w:tcW w:w="824"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47</w:t>
            </w:r>
          </w:p>
        </w:tc>
        <w:tc>
          <w:tcPr>
            <w:tcW w:w="907"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20</w:t>
            </w:r>
          </w:p>
        </w:tc>
        <w:tc>
          <w:tcPr>
            <w:tcW w:w="936"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15</w:t>
            </w:r>
          </w:p>
        </w:tc>
        <w:tc>
          <w:tcPr>
            <w:tcW w:w="709" w:type="dxa"/>
            <w:vAlign w:val="bottom"/>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100</w:t>
            </w:r>
          </w:p>
        </w:tc>
      </w:tr>
      <w:tr w:rsidR="00DA796D" w:rsidRPr="008E5400" w:rsidTr="00E24340">
        <w:trPr>
          <w:jc w:val="right"/>
        </w:trPr>
        <w:tc>
          <w:tcPr>
            <w:tcW w:w="4536" w:type="dxa"/>
            <w:shd w:val="clear" w:color="auto" w:fill="auto"/>
            <w:vAlign w:val="center"/>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To improve parenting skills</w:t>
            </w:r>
          </w:p>
        </w:tc>
        <w:tc>
          <w:tcPr>
            <w:tcW w:w="877"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7</w:t>
            </w:r>
          </w:p>
        </w:tc>
        <w:tc>
          <w:tcPr>
            <w:tcW w:w="824"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31</w:t>
            </w:r>
          </w:p>
        </w:tc>
        <w:tc>
          <w:tcPr>
            <w:tcW w:w="907"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39</w:t>
            </w:r>
          </w:p>
        </w:tc>
        <w:tc>
          <w:tcPr>
            <w:tcW w:w="936"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23</w:t>
            </w:r>
          </w:p>
        </w:tc>
        <w:tc>
          <w:tcPr>
            <w:tcW w:w="709" w:type="dxa"/>
            <w:vAlign w:val="bottom"/>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100</w:t>
            </w:r>
          </w:p>
        </w:tc>
      </w:tr>
      <w:tr w:rsidR="00DA796D" w:rsidRPr="008E5400" w:rsidTr="00E24340">
        <w:trPr>
          <w:jc w:val="right"/>
        </w:trPr>
        <w:tc>
          <w:tcPr>
            <w:tcW w:w="4536" w:type="dxa"/>
            <w:shd w:val="clear" w:color="auto" w:fill="auto"/>
            <w:vAlign w:val="center"/>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To improve their understanding of health and hygiene</w:t>
            </w:r>
          </w:p>
        </w:tc>
        <w:tc>
          <w:tcPr>
            <w:tcW w:w="877"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8</w:t>
            </w:r>
          </w:p>
        </w:tc>
        <w:tc>
          <w:tcPr>
            <w:tcW w:w="824"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29</w:t>
            </w:r>
          </w:p>
        </w:tc>
        <w:tc>
          <w:tcPr>
            <w:tcW w:w="907"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40</w:t>
            </w:r>
          </w:p>
        </w:tc>
        <w:tc>
          <w:tcPr>
            <w:tcW w:w="936"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23</w:t>
            </w:r>
          </w:p>
        </w:tc>
        <w:tc>
          <w:tcPr>
            <w:tcW w:w="709" w:type="dxa"/>
            <w:vAlign w:val="bottom"/>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100</w:t>
            </w:r>
          </w:p>
        </w:tc>
      </w:tr>
      <w:tr w:rsidR="00DA796D" w:rsidRPr="008E5400" w:rsidTr="00E24340">
        <w:trPr>
          <w:jc w:val="right"/>
        </w:trPr>
        <w:tc>
          <w:tcPr>
            <w:tcW w:w="4536" w:type="dxa"/>
            <w:shd w:val="clear" w:color="auto" w:fill="auto"/>
            <w:vAlign w:val="center"/>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To improve their family relationships</w:t>
            </w:r>
          </w:p>
        </w:tc>
        <w:tc>
          <w:tcPr>
            <w:tcW w:w="877"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8</w:t>
            </w:r>
          </w:p>
        </w:tc>
        <w:tc>
          <w:tcPr>
            <w:tcW w:w="824"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37</w:t>
            </w:r>
          </w:p>
        </w:tc>
        <w:tc>
          <w:tcPr>
            <w:tcW w:w="907"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36</w:t>
            </w:r>
          </w:p>
        </w:tc>
        <w:tc>
          <w:tcPr>
            <w:tcW w:w="936"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19</w:t>
            </w:r>
          </w:p>
        </w:tc>
        <w:tc>
          <w:tcPr>
            <w:tcW w:w="709" w:type="dxa"/>
            <w:vAlign w:val="bottom"/>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100</w:t>
            </w:r>
          </w:p>
        </w:tc>
      </w:tr>
      <w:tr w:rsidR="00DA796D" w:rsidRPr="008E5400" w:rsidTr="00E24340">
        <w:trPr>
          <w:jc w:val="right"/>
        </w:trPr>
        <w:tc>
          <w:tcPr>
            <w:tcW w:w="4536" w:type="dxa"/>
            <w:shd w:val="clear" w:color="auto" w:fill="auto"/>
            <w:vAlign w:val="center"/>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To assist with drug and/or alcohol issues</w:t>
            </w:r>
          </w:p>
        </w:tc>
        <w:tc>
          <w:tcPr>
            <w:tcW w:w="877"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13</w:t>
            </w:r>
          </w:p>
        </w:tc>
        <w:tc>
          <w:tcPr>
            <w:tcW w:w="824"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39</w:t>
            </w:r>
          </w:p>
        </w:tc>
        <w:tc>
          <w:tcPr>
            <w:tcW w:w="907"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34</w:t>
            </w:r>
          </w:p>
        </w:tc>
        <w:tc>
          <w:tcPr>
            <w:tcW w:w="936"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15</w:t>
            </w:r>
          </w:p>
        </w:tc>
        <w:tc>
          <w:tcPr>
            <w:tcW w:w="709" w:type="dxa"/>
            <w:vAlign w:val="bottom"/>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100</w:t>
            </w:r>
          </w:p>
        </w:tc>
      </w:tr>
      <w:tr w:rsidR="00DA796D" w:rsidRPr="008E5400" w:rsidTr="00E24340">
        <w:trPr>
          <w:jc w:val="right"/>
        </w:trPr>
        <w:tc>
          <w:tcPr>
            <w:tcW w:w="4536" w:type="dxa"/>
            <w:shd w:val="clear" w:color="auto" w:fill="auto"/>
            <w:vAlign w:val="center"/>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To assist with mental health issues</w:t>
            </w:r>
          </w:p>
        </w:tc>
        <w:tc>
          <w:tcPr>
            <w:tcW w:w="877"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10</w:t>
            </w:r>
          </w:p>
        </w:tc>
        <w:tc>
          <w:tcPr>
            <w:tcW w:w="824"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42</w:t>
            </w:r>
          </w:p>
        </w:tc>
        <w:tc>
          <w:tcPr>
            <w:tcW w:w="907"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32</w:t>
            </w:r>
          </w:p>
        </w:tc>
        <w:tc>
          <w:tcPr>
            <w:tcW w:w="936"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16</w:t>
            </w:r>
          </w:p>
        </w:tc>
        <w:tc>
          <w:tcPr>
            <w:tcW w:w="709" w:type="dxa"/>
            <w:vAlign w:val="bottom"/>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100</w:t>
            </w:r>
          </w:p>
        </w:tc>
      </w:tr>
      <w:tr w:rsidR="00DA796D" w:rsidRPr="008E5400" w:rsidTr="00E24340">
        <w:trPr>
          <w:jc w:val="right"/>
        </w:trPr>
        <w:tc>
          <w:tcPr>
            <w:tcW w:w="4536" w:type="dxa"/>
            <w:shd w:val="clear" w:color="auto" w:fill="auto"/>
            <w:vAlign w:val="center"/>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To assist with family violence issues</w:t>
            </w:r>
          </w:p>
        </w:tc>
        <w:tc>
          <w:tcPr>
            <w:tcW w:w="877"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8</w:t>
            </w:r>
          </w:p>
        </w:tc>
        <w:tc>
          <w:tcPr>
            <w:tcW w:w="824"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42</w:t>
            </w:r>
          </w:p>
        </w:tc>
        <w:tc>
          <w:tcPr>
            <w:tcW w:w="907"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34</w:t>
            </w:r>
          </w:p>
        </w:tc>
        <w:tc>
          <w:tcPr>
            <w:tcW w:w="936"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15</w:t>
            </w:r>
          </w:p>
        </w:tc>
        <w:tc>
          <w:tcPr>
            <w:tcW w:w="709" w:type="dxa"/>
            <w:vAlign w:val="bottom"/>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100</w:t>
            </w:r>
          </w:p>
        </w:tc>
      </w:tr>
      <w:tr w:rsidR="00DA796D" w:rsidRPr="008E5400" w:rsidTr="00E24340">
        <w:trPr>
          <w:jc w:val="right"/>
        </w:trPr>
        <w:tc>
          <w:tcPr>
            <w:tcW w:w="4536" w:type="dxa"/>
            <w:shd w:val="clear" w:color="auto" w:fill="auto"/>
            <w:vAlign w:val="center"/>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To improve their job skills</w:t>
            </w:r>
          </w:p>
        </w:tc>
        <w:tc>
          <w:tcPr>
            <w:tcW w:w="877"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18</w:t>
            </w:r>
          </w:p>
        </w:tc>
        <w:tc>
          <w:tcPr>
            <w:tcW w:w="824"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51</w:t>
            </w:r>
          </w:p>
        </w:tc>
        <w:tc>
          <w:tcPr>
            <w:tcW w:w="907"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21</w:t>
            </w:r>
          </w:p>
        </w:tc>
        <w:tc>
          <w:tcPr>
            <w:tcW w:w="936"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10</w:t>
            </w:r>
          </w:p>
        </w:tc>
        <w:tc>
          <w:tcPr>
            <w:tcW w:w="709" w:type="dxa"/>
            <w:vAlign w:val="bottom"/>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100</w:t>
            </w:r>
          </w:p>
        </w:tc>
      </w:tr>
      <w:tr w:rsidR="00DA796D" w:rsidRPr="008E5400" w:rsidTr="00E24340">
        <w:trPr>
          <w:jc w:val="right"/>
        </w:trPr>
        <w:tc>
          <w:tcPr>
            <w:tcW w:w="4536" w:type="dxa"/>
            <w:shd w:val="clear" w:color="auto" w:fill="auto"/>
            <w:vAlign w:val="center"/>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To assist with gambling issues</w:t>
            </w:r>
          </w:p>
        </w:tc>
        <w:tc>
          <w:tcPr>
            <w:tcW w:w="877"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14</w:t>
            </w:r>
          </w:p>
        </w:tc>
        <w:tc>
          <w:tcPr>
            <w:tcW w:w="824"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22</w:t>
            </w:r>
          </w:p>
        </w:tc>
        <w:tc>
          <w:tcPr>
            <w:tcW w:w="907"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41</w:t>
            </w:r>
          </w:p>
        </w:tc>
        <w:tc>
          <w:tcPr>
            <w:tcW w:w="936"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22</w:t>
            </w:r>
          </w:p>
        </w:tc>
        <w:tc>
          <w:tcPr>
            <w:tcW w:w="709" w:type="dxa"/>
            <w:vAlign w:val="bottom"/>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100</w:t>
            </w:r>
          </w:p>
        </w:tc>
      </w:tr>
      <w:tr w:rsidR="00DA796D" w:rsidRPr="008E5400" w:rsidTr="00E24340">
        <w:trPr>
          <w:jc w:val="right"/>
        </w:trPr>
        <w:tc>
          <w:tcPr>
            <w:tcW w:w="4536" w:type="dxa"/>
            <w:shd w:val="clear" w:color="auto" w:fill="auto"/>
            <w:vAlign w:val="center"/>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To assist with housing issues</w:t>
            </w:r>
          </w:p>
        </w:tc>
        <w:tc>
          <w:tcPr>
            <w:tcW w:w="877"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12</w:t>
            </w:r>
          </w:p>
        </w:tc>
        <w:tc>
          <w:tcPr>
            <w:tcW w:w="824"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57</w:t>
            </w:r>
          </w:p>
        </w:tc>
        <w:tc>
          <w:tcPr>
            <w:tcW w:w="907"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19</w:t>
            </w:r>
          </w:p>
        </w:tc>
        <w:tc>
          <w:tcPr>
            <w:tcW w:w="936" w:type="dxa"/>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12</w:t>
            </w:r>
          </w:p>
        </w:tc>
        <w:tc>
          <w:tcPr>
            <w:tcW w:w="709" w:type="dxa"/>
            <w:vAlign w:val="bottom"/>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100</w:t>
            </w:r>
          </w:p>
        </w:tc>
      </w:tr>
      <w:tr w:rsidR="00DA796D" w:rsidRPr="008E5400" w:rsidTr="00E24340">
        <w:trPr>
          <w:jc w:val="right"/>
        </w:trPr>
        <w:tc>
          <w:tcPr>
            <w:tcW w:w="4536" w:type="dxa"/>
            <w:shd w:val="clear" w:color="auto" w:fill="auto"/>
            <w:vAlign w:val="center"/>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To assist with children’s school attendance issues</w:t>
            </w:r>
          </w:p>
        </w:tc>
        <w:tc>
          <w:tcPr>
            <w:tcW w:w="877" w:type="dxa"/>
            <w:shd w:val="clear" w:color="auto" w:fill="auto"/>
            <w:noWrap/>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17</w:t>
            </w:r>
          </w:p>
        </w:tc>
        <w:tc>
          <w:tcPr>
            <w:tcW w:w="824" w:type="dxa"/>
            <w:shd w:val="clear" w:color="auto" w:fill="auto"/>
            <w:noWrap/>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44</w:t>
            </w:r>
          </w:p>
        </w:tc>
        <w:tc>
          <w:tcPr>
            <w:tcW w:w="907" w:type="dxa"/>
            <w:shd w:val="clear" w:color="auto" w:fill="auto"/>
            <w:noWrap/>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28</w:t>
            </w:r>
          </w:p>
        </w:tc>
        <w:tc>
          <w:tcPr>
            <w:tcW w:w="936" w:type="dxa"/>
            <w:shd w:val="clear" w:color="auto" w:fill="auto"/>
            <w:noWrap/>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11</w:t>
            </w:r>
          </w:p>
        </w:tc>
        <w:tc>
          <w:tcPr>
            <w:tcW w:w="709" w:type="dxa"/>
            <w:vAlign w:val="bottom"/>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100</w:t>
            </w:r>
          </w:p>
        </w:tc>
      </w:tr>
      <w:tr w:rsidR="00DA796D" w:rsidRPr="008E5400" w:rsidTr="00E24340">
        <w:trPr>
          <w:jc w:val="right"/>
        </w:trPr>
        <w:tc>
          <w:tcPr>
            <w:tcW w:w="4536" w:type="dxa"/>
            <w:tcBorders>
              <w:bottom w:val="single" w:sz="4" w:space="0" w:color="auto"/>
            </w:tcBorders>
            <w:shd w:val="clear" w:color="auto" w:fill="auto"/>
            <w:vAlign w:val="center"/>
            <w:hideMark/>
          </w:tcPr>
          <w:p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To assist with children’s developmental issues</w:t>
            </w:r>
          </w:p>
        </w:tc>
        <w:tc>
          <w:tcPr>
            <w:tcW w:w="877" w:type="dxa"/>
            <w:tcBorders>
              <w:bottom w:val="single" w:sz="4" w:space="0" w:color="auto"/>
            </w:tcBorders>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12</w:t>
            </w:r>
          </w:p>
        </w:tc>
        <w:tc>
          <w:tcPr>
            <w:tcW w:w="824" w:type="dxa"/>
            <w:tcBorders>
              <w:bottom w:val="single" w:sz="4" w:space="0" w:color="auto"/>
            </w:tcBorders>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34</w:t>
            </w:r>
          </w:p>
        </w:tc>
        <w:tc>
          <w:tcPr>
            <w:tcW w:w="907" w:type="dxa"/>
            <w:tcBorders>
              <w:bottom w:val="single" w:sz="4" w:space="0" w:color="auto"/>
            </w:tcBorders>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38</w:t>
            </w:r>
          </w:p>
        </w:tc>
        <w:tc>
          <w:tcPr>
            <w:tcW w:w="936" w:type="dxa"/>
            <w:tcBorders>
              <w:bottom w:val="single" w:sz="4" w:space="0" w:color="auto"/>
            </w:tcBorders>
            <w:shd w:val="clear" w:color="auto" w:fill="auto"/>
            <w:vAlign w:val="bottom"/>
            <w:hideMark/>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17</w:t>
            </w:r>
          </w:p>
        </w:tc>
        <w:tc>
          <w:tcPr>
            <w:tcW w:w="709" w:type="dxa"/>
            <w:tcBorders>
              <w:bottom w:val="single" w:sz="4" w:space="0" w:color="auto"/>
            </w:tcBorders>
            <w:vAlign w:val="bottom"/>
          </w:tcPr>
          <w:p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100</w:t>
            </w:r>
          </w:p>
        </w:tc>
      </w:tr>
    </w:tbl>
    <w:p w:rsidR="00DA796D" w:rsidRPr="005911E2" w:rsidRDefault="00DA796D" w:rsidP="00CF518E">
      <w:pPr>
        <w:pStyle w:val="tablefootnotes"/>
      </w:pPr>
      <w:r w:rsidRPr="005911E2">
        <w:t xml:space="preserve">Notes: </w:t>
      </w:r>
      <w:r w:rsidRPr="005911E2">
        <w:tab/>
        <w:t>128 respondents. The proportion of ‘can’t say/don’t know’ responses ranged from 5 per cent to 23 per cent for these items. These responses are excluded from this table.</w:t>
      </w:r>
    </w:p>
    <w:p w:rsidR="00DA796D" w:rsidRPr="005911E2" w:rsidRDefault="00DA796D" w:rsidP="00CF518E">
      <w:pPr>
        <w:pStyle w:val="tablefootnotes"/>
      </w:pPr>
      <w:r w:rsidRPr="005911E2">
        <w:tab/>
        <w:t xml:space="preserve">Items where there were 20 per cent or more of ‘can’t say/don’t know’ responses included ‘to improve parenting skills’, ‘to improve their understanding of health and hygiene’, ‘to improve their family relationships’, ‘to assist with gambling issues’ and ‘to assist with children’s developmental issues’. </w:t>
      </w:r>
    </w:p>
    <w:p w:rsidR="00DA796D" w:rsidRPr="005911E2" w:rsidRDefault="00DA796D" w:rsidP="008E5400">
      <w:pPr>
        <w:pStyle w:val="tablefootnoteslastline"/>
      </w:pPr>
      <w:r w:rsidRPr="005911E2">
        <w:t xml:space="preserve">Source: </w:t>
      </w:r>
      <w:r w:rsidRPr="005911E2">
        <w:tab/>
        <w:t xml:space="preserve">Survey of Centrelink </w:t>
      </w:r>
      <w:r w:rsidR="00DA3786">
        <w:t>s</w:t>
      </w:r>
      <w:r w:rsidRPr="005911E2">
        <w:t>taff 2011.</w:t>
      </w:r>
    </w:p>
    <w:p w:rsidR="00DA796D" w:rsidRPr="005911E2" w:rsidRDefault="00DA796D" w:rsidP="00CF518E">
      <w:pPr>
        <w:pStyle w:val="tablefootnotes"/>
        <w:rPr>
          <w:lang w:eastAsia="en-AU"/>
        </w:rPr>
      </w:pPr>
    </w:p>
    <w:p w:rsidR="00DA796D" w:rsidRPr="005911E2" w:rsidRDefault="00DA796D" w:rsidP="00DA796D">
      <w:pPr>
        <w:rPr>
          <w:lang w:eastAsia="en-AU"/>
        </w:rPr>
      </w:pPr>
      <w:r w:rsidRPr="005911E2">
        <w:rPr>
          <w:lang w:eastAsia="en-AU"/>
        </w:rPr>
        <w:t xml:space="preserve">The participants in the qualitative interviews reported that in their view there are not enough services on the ground. The lack of services was seen as being most severe in remote communities, but was also an issue in non-remote areas. </w:t>
      </w:r>
      <w:r w:rsidR="009734E9">
        <w:rPr>
          <w:lang w:eastAsia="en-AU"/>
        </w:rPr>
        <w:t>Issues such as</w:t>
      </w:r>
      <w:r w:rsidRPr="005911E2">
        <w:rPr>
          <w:lang w:eastAsia="en-AU"/>
        </w:rPr>
        <w:t xml:space="preserve"> services only visiting a community once every few months and clients needing to travel long distance</w:t>
      </w:r>
      <w:r w:rsidR="009734E9">
        <w:rPr>
          <w:lang w:eastAsia="en-AU"/>
        </w:rPr>
        <w:t>s</w:t>
      </w:r>
      <w:r w:rsidRPr="005911E2">
        <w:rPr>
          <w:lang w:eastAsia="en-AU"/>
        </w:rPr>
        <w:t xml:space="preserve"> to access services</w:t>
      </w:r>
      <w:r w:rsidR="009734E9">
        <w:rPr>
          <w:lang w:eastAsia="en-AU"/>
        </w:rPr>
        <w:t xml:space="preserve">, were </w:t>
      </w:r>
      <w:r w:rsidRPr="005911E2">
        <w:rPr>
          <w:lang w:eastAsia="en-AU"/>
        </w:rPr>
        <w:t xml:space="preserve">raised in the </w:t>
      </w:r>
      <w:r w:rsidR="006C33D2" w:rsidRPr="005911E2">
        <w:rPr>
          <w:lang w:eastAsia="en-AU"/>
        </w:rPr>
        <w:t>participants’</w:t>
      </w:r>
      <w:r w:rsidR="009734E9">
        <w:rPr>
          <w:lang w:eastAsia="en-AU"/>
        </w:rPr>
        <w:t xml:space="preserve"> interviews and have long been recognised as pro</w:t>
      </w:r>
      <w:r w:rsidRPr="005911E2">
        <w:rPr>
          <w:lang w:eastAsia="en-AU"/>
        </w:rPr>
        <w:t>blem</w:t>
      </w:r>
      <w:r w:rsidR="009734E9">
        <w:rPr>
          <w:lang w:eastAsia="en-AU"/>
        </w:rPr>
        <w:t>s</w:t>
      </w:r>
      <w:r w:rsidRPr="005911E2">
        <w:rPr>
          <w:lang w:eastAsia="en-AU"/>
        </w:rPr>
        <w:t>.</w:t>
      </w:r>
    </w:p>
    <w:p w:rsidR="00DA796D" w:rsidRPr="005911E2" w:rsidRDefault="00DA796D" w:rsidP="00DA796D">
      <w:pPr>
        <w:keepNext/>
        <w:spacing w:after="120"/>
        <w:ind w:left="2325"/>
        <w:jc w:val="left"/>
        <w:rPr>
          <w:i/>
          <w:iCs/>
        </w:rPr>
      </w:pPr>
      <w:r w:rsidRPr="005911E2">
        <w:rPr>
          <w:i/>
          <w:iCs/>
        </w:rPr>
        <w:t>Currently I don't believe we have the support services to refer people to for the ongoing stuff that they need.</w:t>
      </w:r>
      <w:r w:rsidR="00B62B2D">
        <w:rPr>
          <w:i/>
          <w:iCs/>
        </w:rPr>
        <w:t xml:space="preserve"> </w:t>
      </w:r>
    </w:p>
    <w:p w:rsidR="00DA796D" w:rsidRPr="005911E2" w:rsidRDefault="00DA796D" w:rsidP="008E5400">
      <w:pPr>
        <w:pStyle w:val="mininame"/>
      </w:pPr>
      <w:r w:rsidRPr="005911E2">
        <w:t>DCF child protection staff member</w:t>
      </w:r>
    </w:p>
    <w:p w:rsidR="00DA796D" w:rsidRPr="005911E2" w:rsidRDefault="00DA796D" w:rsidP="00DA796D">
      <w:pPr>
        <w:keepNext/>
        <w:spacing w:after="120"/>
        <w:ind w:left="2325"/>
        <w:jc w:val="left"/>
        <w:rPr>
          <w:i/>
          <w:iCs/>
        </w:rPr>
      </w:pPr>
      <w:r w:rsidRPr="005911E2">
        <w:rPr>
          <w:i/>
          <w:iCs/>
        </w:rPr>
        <w:t>There's not a lot of organisations who offer those sort</w:t>
      </w:r>
      <w:r w:rsidR="00840E77">
        <w:rPr>
          <w:i/>
          <w:iCs/>
        </w:rPr>
        <w:t>s</w:t>
      </w:r>
      <w:r w:rsidRPr="005911E2">
        <w:rPr>
          <w:i/>
          <w:iCs/>
        </w:rPr>
        <w:t xml:space="preserve"> of services to parents to seek those exemptions</w:t>
      </w:r>
      <w:r w:rsidR="00840E77">
        <w:rPr>
          <w:i/>
          <w:iCs/>
        </w:rPr>
        <w:t>.</w:t>
      </w:r>
    </w:p>
    <w:p w:rsidR="00DA796D" w:rsidRPr="005911E2" w:rsidRDefault="00DA796D" w:rsidP="008E5400">
      <w:pPr>
        <w:pStyle w:val="mininame"/>
      </w:pPr>
      <w:r w:rsidRPr="005911E2">
        <w:t>Centrelink Customer Service Advis</w:t>
      </w:r>
      <w:r w:rsidR="00384A7D">
        <w:t>e</w:t>
      </w:r>
      <w:r w:rsidRPr="005911E2">
        <w:t>r</w:t>
      </w:r>
    </w:p>
    <w:p w:rsidR="00DA796D" w:rsidRPr="005911E2" w:rsidRDefault="00DA796D" w:rsidP="00DA796D">
      <w:pPr>
        <w:keepNext/>
        <w:spacing w:after="120"/>
        <w:ind w:left="2325"/>
        <w:jc w:val="left"/>
        <w:rPr>
          <w:i/>
          <w:iCs/>
        </w:rPr>
      </w:pPr>
      <w:r w:rsidRPr="005911E2">
        <w:rPr>
          <w:i/>
          <w:iCs/>
        </w:rPr>
        <w:t>Travel is a big issue. Some clients have problems getting here.</w:t>
      </w:r>
    </w:p>
    <w:p w:rsidR="00DA796D" w:rsidRPr="005911E2" w:rsidRDefault="00DA796D" w:rsidP="008E5400">
      <w:pPr>
        <w:pStyle w:val="mininame"/>
      </w:pPr>
      <w:r w:rsidRPr="005911E2">
        <w:t>Financial counsellor</w:t>
      </w:r>
    </w:p>
    <w:p w:rsidR="00DA796D" w:rsidRPr="005911E2" w:rsidRDefault="00DA796D" w:rsidP="00DA796D">
      <w:pPr>
        <w:rPr>
          <w:lang w:eastAsia="en-AU"/>
        </w:rPr>
      </w:pPr>
      <w:r w:rsidRPr="005911E2">
        <w:rPr>
          <w:lang w:eastAsia="en-AU"/>
        </w:rPr>
        <w:t xml:space="preserve">Staff from Centrelink, child protection workers, </w:t>
      </w:r>
      <w:r w:rsidR="00840E77">
        <w:rPr>
          <w:lang w:eastAsia="en-AU"/>
        </w:rPr>
        <w:t>m</w:t>
      </w:r>
      <w:r w:rsidRPr="005911E2">
        <w:rPr>
          <w:lang w:eastAsia="en-AU"/>
        </w:rPr>
        <w:t xml:space="preserve">oney </w:t>
      </w:r>
      <w:r w:rsidR="00840E77">
        <w:rPr>
          <w:lang w:eastAsia="en-AU"/>
        </w:rPr>
        <w:t>m</w:t>
      </w:r>
      <w:r w:rsidRPr="005911E2">
        <w:rPr>
          <w:lang w:eastAsia="en-AU"/>
        </w:rPr>
        <w:t xml:space="preserve">anagement and financial counsellors frequently commented that they had many clients who they viewed as having multiple and complex issues that needed a coordinated response. This was seen as being particularly important as these clients were often described as needing to attend multiple services to have their needs met and to address the issues that may have led them to be subject to </w:t>
      </w:r>
      <w:r w:rsidR="00F878E4">
        <w:rPr>
          <w:lang w:eastAsia="en-AU"/>
        </w:rPr>
        <w:t>income management</w:t>
      </w:r>
      <w:r w:rsidRPr="005911E2">
        <w:rPr>
          <w:lang w:eastAsia="en-AU"/>
        </w:rPr>
        <w:t>. This was reported as imposing a significant burden on families who were already struggling with aspects of their lives. Respondents also indicated a view that even where some specific services were available, services that had the capacity to work with individuals to address the complexity of their needs were not.</w:t>
      </w:r>
      <w:r w:rsidRPr="005911E2">
        <w:rPr>
          <w:rFonts w:asciiTheme="minorHAnsi" w:hAnsiTheme="minorHAnsi"/>
          <w:vertAlign w:val="superscript"/>
          <w:lang w:eastAsia="en-AU"/>
        </w:rPr>
        <w:footnoteReference w:id="90"/>
      </w:r>
      <w:r w:rsidRPr="005911E2">
        <w:rPr>
          <w:lang w:eastAsia="en-AU"/>
        </w:rPr>
        <w:t xml:space="preserve"> </w:t>
      </w:r>
    </w:p>
    <w:p w:rsidR="00DA796D" w:rsidRPr="005911E2" w:rsidRDefault="00DA796D" w:rsidP="00DA796D">
      <w:pPr>
        <w:keepNext/>
        <w:spacing w:after="120"/>
        <w:ind w:left="2325"/>
        <w:jc w:val="left"/>
        <w:rPr>
          <w:i/>
          <w:iCs/>
        </w:rPr>
      </w:pPr>
      <w:r w:rsidRPr="005911E2">
        <w:rPr>
          <w:i/>
          <w:iCs/>
        </w:rPr>
        <w:t>I think there should be an intensive family support program…I think we need a broader program that covers much more than just our issues.</w:t>
      </w:r>
    </w:p>
    <w:p w:rsidR="00DA796D" w:rsidRPr="005911E2" w:rsidRDefault="00DA796D" w:rsidP="008E5400">
      <w:pPr>
        <w:pStyle w:val="mininame"/>
      </w:pPr>
      <w:r w:rsidRPr="005911E2">
        <w:t>DCF child protection staff member</w:t>
      </w:r>
    </w:p>
    <w:p w:rsidR="00DA796D" w:rsidRPr="005911E2" w:rsidRDefault="00DA796D" w:rsidP="00DA796D">
      <w:pPr>
        <w:keepNext/>
        <w:spacing w:after="120"/>
        <w:ind w:left="2325"/>
        <w:jc w:val="left"/>
        <w:rPr>
          <w:i/>
          <w:iCs/>
        </w:rPr>
      </w:pPr>
      <w:r w:rsidRPr="005911E2">
        <w:rPr>
          <w:i/>
          <w:iCs/>
        </w:rPr>
        <w:t xml:space="preserve">If you expect them to attend other services, it's not going to happen. They're in </w:t>
      </w:r>
      <w:r w:rsidR="00B81D60">
        <w:rPr>
          <w:i/>
          <w:iCs/>
        </w:rPr>
        <w:t>a</w:t>
      </w:r>
      <w:r w:rsidR="00B81D60" w:rsidRPr="005911E2">
        <w:rPr>
          <w:i/>
          <w:iCs/>
        </w:rPr>
        <w:t xml:space="preserve"> </w:t>
      </w:r>
      <w:r w:rsidRPr="005911E2">
        <w:rPr>
          <w:i/>
          <w:iCs/>
        </w:rPr>
        <w:t xml:space="preserve">crisis in their life…they need people to actually come to them and start the process. </w:t>
      </w:r>
    </w:p>
    <w:p w:rsidR="00DA796D" w:rsidRPr="005911E2" w:rsidRDefault="00DA796D" w:rsidP="008E5400">
      <w:pPr>
        <w:pStyle w:val="mininame"/>
      </w:pPr>
      <w:r w:rsidRPr="005911E2">
        <w:t>DCF child protection staff member</w:t>
      </w:r>
    </w:p>
    <w:p w:rsidR="00DA796D" w:rsidRPr="005911E2" w:rsidRDefault="00DA796D" w:rsidP="00DA796D">
      <w:pPr>
        <w:rPr>
          <w:lang w:eastAsia="en-AU"/>
        </w:rPr>
      </w:pPr>
      <w:r w:rsidRPr="005911E2">
        <w:rPr>
          <w:lang w:eastAsia="en-AU"/>
        </w:rPr>
        <w:t xml:space="preserve">Appropriateness of service delivery was also a strong theme in regard to </w:t>
      </w:r>
      <w:r w:rsidR="00840E77">
        <w:rPr>
          <w:lang w:eastAsia="en-AU"/>
        </w:rPr>
        <w:t>m</w:t>
      </w:r>
      <w:r w:rsidRPr="005911E2">
        <w:rPr>
          <w:lang w:eastAsia="en-AU"/>
        </w:rPr>
        <w:t xml:space="preserve">oney </w:t>
      </w:r>
      <w:r w:rsidR="00840E77">
        <w:rPr>
          <w:lang w:eastAsia="en-AU"/>
        </w:rPr>
        <w:t>m</w:t>
      </w:r>
      <w:r w:rsidRPr="005911E2">
        <w:rPr>
          <w:lang w:eastAsia="en-AU"/>
        </w:rPr>
        <w:t xml:space="preserve">anagement services where workers reported that their services were not able to address some of the more basic and intensive needs in order to assist their clients to move off </w:t>
      </w:r>
      <w:r w:rsidR="00F878E4">
        <w:rPr>
          <w:lang w:eastAsia="en-AU"/>
        </w:rPr>
        <w:t>income management</w:t>
      </w:r>
      <w:r w:rsidRPr="005911E2">
        <w:rPr>
          <w:lang w:eastAsia="en-AU"/>
        </w:rPr>
        <w:t>.</w:t>
      </w:r>
    </w:p>
    <w:p w:rsidR="00DA796D" w:rsidRPr="005911E2" w:rsidRDefault="00DA796D" w:rsidP="00DA796D">
      <w:pPr>
        <w:keepNext/>
        <w:spacing w:after="120"/>
        <w:ind w:left="2325"/>
        <w:jc w:val="left"/>
        <w:rPr>
          <w:i/>
          <w:iCs/>
        </w:rPr>
      </w:pPr>
      <w:r w:rsidRPr="005911E2">
        <w:rPr>
          <w:i/>
          <w:iCs/>
        </w:rPr>
        <w:t>I really believe in order for people to be helped on the sort of level that we're trying to achieve, it's not just like tailoring people's finances but paving their whole lifestyle, from home right through.</w:t>
      </w:r>
      <w:r w:rsidR="00B62B2D">
        <w:rPr>
          <w:i/>
          <w:iCs/>
        </w:rPr>
        <w:t xml:space="preserve"> </w:t>
      </w:r>
      <w:r w:rsidRPr="005911E2">
        <w:rPr>
          <w:i/>
          <w:iCs/>
        </w:rPr>
        <w:t>It's not something that you can just get in there once off, it's something that, in reality, is going to probably take generations and a lot of consistency to change.</w:t>
      </w:r>
      <w:r w:rsidR="00B62B2D">
        <w:rPr>
          <w:i/>
          <w:iCs/>
        </w:rPr>
        <w:t xml:space="preserve"> </w:t>
      </w:r>
    </w:p>
    <w:p w:rsidR="00DA796D" w:rsidRPr="005911E2" w:rsidRDefault="00DA796D" w:rsidP="008E5400">
      <w:pPr>
        <w:pStyle w:val="mininame"/>
      </w:pPr>
      <w:r w:rsidRPr="005911E2">
        <w:t>Money management service provider</w:t>
      </w:r>
    </w:p>
    <w:p w:rsidR="00DA796D" w:rsidRPr="005911E2" w:rsidRDefault="00DA796D" w:rsidP="00DA796D">
      <w:pPr>
        <w:rPr>
          <w:lang w:eastAsia="en-AU"/>
        </w:rPr>
      </w:pPr>
      <w:r w:rsidRPr="005911E2">
        <w:rPr>
          <w:lang w:eastAsia="en-AU"/>
        </w:rPr>
        <w:t>Another theme in the qualitative interviews related to the ways that services work together to address the needs of their clients. There was a mix of views and experiences in regard to this theme. Some respondents talked about a lack of cooperation between services. In the discussions a number of factors were suggested as contributing to this</w:t>
      </w:r>
      <w:r w:rsidR="00746817">
        <w:rPr>
          <w:lang w:eastAsia="en-AU"/>
        </w:rPr>
        <w:t xml:space="preserve"> lack of cooperation</w:t>
      </w:r>
      <w:r w:rsidR="00840E77">
        <w:rPr>
          <w:lang w:eastAsia="en-AU"/>
        </w:rPr>
        <w:t>,</w:t>
      </w:r>
      <w:r w:rsidRPr="005911E2">
        <w:rPr>
          <w:lang w:eastAsia="en-AU"/>
        </w:rPr>
        <w:t xml:space="preserve"> </w:t>
      </w:r>
      <w:r w:rsidR="005911E2" w:rsidRPr="005911E2">
        <w:rPr>
          <w:lang w:eastAsia="en-AU"/>
        </w:rPr>
        <w:t>including</w:t>
      </w:r>
      <w:r w:rsidR="00746817">
        <w:rPr>
          <w:lang w:eastAsia="en-AU"/>
        </w:rPr>
        <w:t>:</w:t>
      </w:r>
      <w:r w:rsidRPr="005911E2">
        <w:rPr>
          <w:lang w:eastAsia="en-AU"/>
        </w:rPr>
        <w:t xml:space="preserve"> the competitive nature of funding models</w:t>
      </w:r>
      <w:r w:rsidR="00746817">
        <w:rPr>
          <w:lang w:eastAsia="en-AU"/>
        </w:rPr>
        <w:t>;</w:t>
      </w:r>
      <w:r w:rsidRPr="005911E2">
        <w:rPr>
          <w:lang w:eastAsia="en-AU"/>
        </w:rPr>
        <w:t xml:space="preserve"> the tendency to work in silos</w:t>
      </w:r>
      <w:r w:rsidR="00746817">
        <w:rPr>
          <w:lang w:eastAsia="en-AU"/>
        </w:rPr>
        <w:t>;</w:t>
      </w:r>
      <w:r w:rsidRPr="005911E2">
        <w:rPr>
          <w:lang w:eastAsia="en-AU"/>
        </w:rPr>
        <w:t xml:space="preserve"> and the difficulties in being able to share information.</w:t>
      </w:r>
      <w:r w:rsidR="00B62B2D">
        <w:rPr>
          <w:lang w:eastAsia="en-AU"/>
        </w:rPr>
        <w:t xml:space="preserve"> </w:t>
      </w:r>
    </w:p>
    <w:p w:rsidR="00DA796D" w:rsidRPr="005911E2" w:rsidRDefault="00DA796D" w:rsidP="00DA796D">
      <w:pPr>
        <w:keepNext/>
        <w:spacing w:after="120"/>
        <w:ind w:left="2325"/>
        <w:jc w:val="left"/>
        <w:rPr>
          <w:i/>
          <w:iCs/>
        </w:rPr>
      </w:pPr>
      <w:r w:rsidRPr="005911E2">
        <w:rPr>
          <w:i/>
          <w:iCs/>
        </w:rPr>
        <w:t>There's a lack of support services</w:t>
      </w:r>
      <w:r w:rsidR="00C96922">
        <w:rPr>
          <w:i/>
          <w:iCs/>
        </w:rPr>
        <w:t xml:space="preserve"> </w:t>
      </w:r>
      <w:r w:rsidR="00614538" w:rsidRPr="005911E2">
        <w:rPr>
          <w:i/>
          <w:iCs/>
        </w:rPr>
        <w:t>.</w:t>
      </w:r>
      <w:r w:rsidR="00C96922">
        <w:rPr>
          <w:i/>
          <w:iCs/>
        </w:rPr>
        <w:t>..</w:t>
      </w:r>
      <w:r w:rsidRPr="005911E2">
        <w:rPr>
          <w:i/>
          <w:iCs/>
        </w:rPr>
        <w:t xml:space="preserve"> we've raised that there's a lack of support services that are connected up with one another.</w:t>
      </w:r>
      <w:r w:rsidR="00B62B2D">
        <w:rPr>
          <w:i/>
          <w:iCs/>
        </w:rPr>
        <w:t xml:space="preserve"> </w:t>
      </w:r>
      <w:r w:rsidRPr="005911E2">
        <w:rPr>
          <w:i/>
          <w:iCs/>
        </w:rPr>
        <w:t>Service providers from my one eyed view seem to be working in isolation of one another.</w:t>
      </w:r>
      <w:r w:rsidR="00B62B2D">
        <w:rPr>
          <w:i/>
          <w:iCs/>
        </w:rPr>
        <w:t xml:space="preserve"> </w:t>
      </w:r>
      <w:r w:rsidRPr="005911E2">
        <w:rPr>
          <w:i/>
          <w:iCs/>
        </w:rPr>
        <w:t>I may be wrong but that's what I get.</w:t>
      </w:r>
    </w:p>
    <w:p w:rsidR="00DA796D" w:rsidRPr="005911E2" w:rsidRDefault="00DA796D" w:rsidP="008E5400">
      <w:pPr>
        <w:pStyle w:val="mininame"/>
      </w:pPr>
      <w:r w:rsidRPr="005911E2">
        <w:t>DCF child protection staff member</w:t>
      </w:r>
    </w:p>
    <w:p w:rsidR="00DA796D" w:rsidRPr="005911E2" w:rsidRDefault="00DA796D" w:rsidP="00DA796D">
      <w:r w:rsidRPr="005911E2">
        <w:t xml:space="preserve">However, there were also accounts of positive working relationships between service providers to work with people subject to </w:t>
      </w:r>
      <w:r w:rsidR="00F878E4">
        <w:t>income management</w:t>
      </w:r>
      <w:r w:rsidRPr="005911E2">
        <w:t xml:space="preserve">. </w:t>
      </w:r>
    </w:p>
    <w:p w:rsidR="00DA796D" w:rsidRPr="005911E2" w:rsidRDefault="00DA796D" w:rsidP="00616B0F">
      <w:pPr>
        <w:pStyle w:val="Heading2"/>
      </w:pPr>
      <w:bookmarkStart w:id="870" w:name="_Toc321225151"/>
      <w:bookmarkStart w:id="871" w:name="_Toc321254494"/>
      <w:bookmarkStart w:id="872" w:name="_Toc321761636"/>
      <w:bookmarkStart w:id="873" w:name="_Toc328601519"/>
      <w:bookmarkStart w:id="874" w:name="_Toc329870400"/>
      <w:bookmarkStart w:id="875" w:name="_Toc335915786"/>
      <w:r w:rsidRPr="005911E2">
        <w:t xml:space="preserve">Comments on different </w:t>
      </w:r>
      <w:r w:rsidR="00F878E4">
        <w:t>income management</w:t>
      </w:r>
      <w:r w:rsidRPr="005911E2">
        <w:t xml:space="preserve"> measures</w:t>
      </w:r>
      <w:bookmarkEnd w:id="870"/>
      <w:bookmarkEnd w:id="871"/>
      <w:bookmarkEnd w:id="872"/>
      <w:bookmarkEnd w:id="873"/>
      <w:bookmarkEnd w:id="874"/>
      <w:bookmarkEnd w:id="875"/>
    </w:p>
    <w:p w:rsidR="00DA796D" w:rsidRPr="005911E2" w:rsidRDefault="00DA796D" w:rsidP="00DA796D">
      <w:pPr>
        <w:rPr>
          <w:lang w:eastAsia="en-AU"/>
        </w:rPr>
      </w:pPr>
      <w:r w:rsidRPr="005911E2">
        <w:rPr>
          <w:lang w:eastAsia="en-AU"/>
        </w:rPr>
        <w:t>This section considers the views of the different service provider</w:t>
      </w:r>
      <w:r w:rsidR="00746817">
        <w:rPr>
          <w:lang w:eastAsia="en-AU"/>
        </w:rPr>
        <w:t>s</w:t>
      </w:r>
      <w:r w:rsidRPr="005911E2">
        <w:rPr>
          <w:lang w:eastAsia="en-AU"/>
        </w:rPr>
        <w:t xml:space="preserve"> about each of the </w:t>
      </w:r>
      <w:r w:rsidR="00F878E4">
        <w:rPr>
          <w:lang w:eastAsia="en-AU"/>
        </w:rPr>
        <w:t>income management</w:t>
      </w:r>
      <w:r w:rsidRPr="005911E2">
        <w:rPr>
          <w:lang w:eastAsia="en-AU"/>
        </w:rPr>
        <w:t xml:space="preserve"> measures. While most of the information used here is drawn from the qualitative interviews, some survey items about the reasons why people may choose to go on to </w:t>
      </w:r>
      <w:r w:rsidR="002B5A5C">
        <w:rPr>
          <w:lang w:eastAsia="en-AU"/>
        </w:rPr>
        <w:t>Voluntary Income Management</w:t>
      </w:r>
      <w:r w:rsidRPr="005911E2">
        <w:rPr>
          <w:lang w:eastAsia="en-AU"/>
        </w:rPr>
        <w:t xml:space="preserve"> are also discussed.</w:t>
      </w:r>
    </w:p>
    <w:p w:rsidR="00DA796D" w:rsidRPr="005911E2" w:rsidRDefault="00DA796D" w:rsidP="00DA796D">
      <w:pPr>
        <w:rPr>
          <w:lang w:eastAsia="en-AU"/>
        </w:rPr>
      </w:pPr>
      <w:r w:rsidRPr="005911E2">
        <w:rPr>
          <w:lang w:eastAsia="en-AU"/>
        </w:rPr>
        <w:t xml:space="preserve">Overall, across the service types, views varied according to the type of </w:t>
      </w:r>
      <w:r w:rsidR="00F878E4">
        <w:rPr>
          <w:lang w:eastAsia="en-AU"/>
        </w:rPr>
        <w:t>income management</w:t>
      </w:r>
      <w:r w:rsidRPr="005911E2">
        <w:rPr>
          <w:lang w:eastAsia="en-AU"/>
        </w:rPr>
        <w:t xml:space="preserve"> being discussed. Most participants saw </w:t>
      </w:r>
      <w:r w:rsidR="002B5A5C">
        <w:rPr>
          <w:lang w:eastAsia="en-AU"/>
        </w:rPr>
        <w:t>Voluntary Income Management</w:t>
      </w:r>
      <w:r w:rsidRPr="005911E2">
        <w:rPr>
          <w:lang w:eastAsia="en-AU"/>
        </w:rPr>
        <w:t xml:space="preserve"> as a potentially positive measure. However, views about the compulsory measures (</w:t>
      </w:r>
      <w:r w:rsidR="00E146B5">
        <w:rPr>
          <w:lang w:eastAsia="en-AU"/>
        </w:rPr>
        <w:t>Child Protection Income Management</w:t>
      </w:r>
      <w:r w:rsidRPr="005911E2">
        <w:rPr>
          <w:lang w:eastAsia="en-AU"/>
        </w:rPr>
        <w:t xml:space="preserve">, </w:t>
      </w:r>
      <w:r w:rsidR="00E2340D">
        <w:rPr>
          <w:lang w:eastAsia="en-AU"/>
        </w:rPr>
        <w:t>Vulnerable Income Management</w:t>
      </w:r>
      <w:r w:rsidRPr="005911E2">
        <w:rPr>
          <w:lang w:eastAsia="en-AU"/>
        </w:rPr>
        <w:t xml:space="preserve"> and </w:t>
      </w:r>
      <w:r w:rsidR="004808B3">
        <w:rPr>
          <w:lang w:eastAsia="en-AU"/>
        </w:rPr>
        <w:t>Compulsory Income Management</w:t>
      </w:r>
      <w:r w:rsidRPr="005911E2">
        <w:rPr>
          <w:lang w:eastAsia="en-AU"/>
        </w:rPr>
        <w:t xml:space="preserve">) were more mixed. </w:t>
      </w:r>
    </w:p>
    <w:p w:rsidR="00DA796D" w:rsidRPr="005911E2" w:rsidRDefault="00DA796D" w:rsidP="002636B4">
      <w:pPr>
        <w:pStyle w:val="Heading3"/>
      </w:pPr>
      <w:bookmarkStart w:id="876" w:name="_Ref194371847"/>
      <w:r w:rsidRPr="005911E2">
        <w:t>Voluntary Income Management</w:t>
      </w:r>
      <w:bookmarkEnd w:id="876"/>
    </w:p>
    <w:p w:rsidR="00DA796D" w:rsidRPr="005911E2" w:rsidRDefault="00DA796D" w:rsidP="00DA796D">
      <w:pPr>
        <w:rPr>
          <w:lang w:eastAsia="en-AU"/>
        </w:rPr>
      </w:pPr>
      <w:r w:rsidRPr="005911E2">
        <w:rPr>
          <w:lang w:eastAsia="en-AU"/>
        </w:rPr>
        <w:t xml:space="preserve">The </w:t>
      </w:r>
      <w:r w:rsidR="00746817">
        <w:rPr>
          <w:lang w:eastAsia="en-AU"/>
        </w:rPr>
        <w:t>s</w:t>
      </w:r>
      <w:r w:rsidRPr="005911E2">
        <w:rPr>
          <w:lang w:eastAsia="en-AU"/>
        </w:rPr>
        <w:t xml:space="preserve">urvey of Centrelink </w:t>
      </w:r>
      <w:r w:rsidR="00746817">
        <w:rPr>
          <w:lang w:eastAsia="en-AU"/>
        </w:rPr>
        <w:t>s</w:t>
      </w:r>
      <w:r w:rsidRPr="005911E2">
        <w:rPr>
          <w:lang w:eastAsia="en-AU"/>
        </w:rPr>
        <w:t xml:space="preserve">taff asked respondents to indicate the extent to which they agreed with a list of reasons why they thought people choose to go onto Voluntary Income Management (see Table </w:t>
      </w:r>
      <w:r w:rsidRPr="005911E2">
        <w:rPr>
          <w:noProof/>
          <w:lang w:eastAsia="en-AU"/>
        </w:rPr>
        <w:t>9</w:t>
      </w:r>
      <w:r w:rsidRPr="005911E2">
        <w:rPr>
          <w:lang w:eastAsia="en-AU"/>
        </w:rPr>
        <w:noBreakHyphen/>
      </w:r>
      <w:r w:rsidRPr="005911E2">
        <w:rPr>
          <w:noProof/>
          <w:lang w:eastAsia="en-AU"/>
        </w:rPr>
        <w:t>11</w:t>
      </w:r>
      <w:r w:rsidRPr="005911E2">
        <w:rPr>
          <w:lang w:eastAsia="en-AU"/>
        </w:rPr>
        <w:t>).</w:t>
      </w:r>
    </w:p>
    <w:p w:rsidR="00DA796D" w:rsidRPr="005911E2" w:rsidRDefault="00DA796D" w:rsidP="00EA1CD7">
      <w:pPr>
        <w:pStyle w:val="tabfighead"/>
      </w:pPr>
      <w:bookmarkStart w:id="877" w:name="_Ref194108825"/>
      <w:bookmarkStart w:id="878" w:name="_Ref194108799"/>
      <w:bookmarkStart w:id="879" w:name="_Toc321254575"/>
      <w:bookmarkStart w:id="880" w:name="_Toc321430456"/>
      <w:bookmarkStart w:id="881" w:name="_Toc321761726"/>
      <w:bookmarkStart w:id="882" w:name="_Toc328601623"/>
      <w:bookmarkStart w:id="883" w:name="_Toc329051401"/>
      <w:bookmarkStart w:id="884" w:name="_Toc335915889"/>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9</w:t>
      </w:r>
      <w:r w:rsidR="00C7347D" w:rsidRPr="005911E2">
        <w:rPr>
          <w:noProof/>
        </w:rPr>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11</w:t>
      </w:r>
      <w:r w:rsidR="00C7347D" w:rsidRPr="005911E2">
        <w:rPr>
          <w:noProof/>
        </w:rPr>
        <w:fldChar w:fldCharType="end"/>
      </w:r>
      <w:bookmarkEnd w:id="877"/>
      <w:r w:rsidRPr="005911E2">
        <w:t xml:space="preserve"> Centrelink staff views about why people go onto Voluntary Income Management</w:t>
      </w:r>
      <w:bookmarkEnd w:id="878"/>
      <w:bookmarkEnd w:id="879"/>
      <w:bookmarkEnd w:id="880"/>
      <w:bookmarkEnd w:id="881"/>
      <w:bookmarkEnd w:id="882"/>
      <w:bookmarkEnd w:id="883"/>
      <w:bookmarkEnd w:id="884"/>
    </w:p>
    <w:tbl>
      <w:tblPr>
        <w:tblStyle w:val="LightShading11"/>
        <w:tblW w:w="4421" w:type="pct"/>
        <w:tblInd w:w="1054" w:type="dxa"/>
        <w:tblBorders>
          <w:top w:val="none" w:sz="0" w:space="0" w:color="auto"/>
          <w:bottom w:val="none" w:sz="0" w:space="0" w:color="auto"/>
        </w:tblBorders>
        <w:tblLook w:val="06A0" w:firstRow="1" w:lastRow="0" w:firstColumn="1" w:lastColumn="0" w:noHBand="1" w:noVBand="1"/>
        <w:tblCaption w:val="Table 9-11 Centrelink staff views about why people go onto Voluntary Income Management"/>
        <w:tblDescription w:val="Table 9-11 Centrelink staff views about why people go onto Voluntary Income Management"/>
      </w:tblPr>
      <w:tblGrid>
        <w:gridCol w:w="3688"/>
        <w:gridCol w:w="897"/>
        <w:gridCol w:w="849"/>
        <w:gridCol w:w="933"/>
        <w:gridCol w:w="909"/>
        <w:gridCol w:w="766"/>
      </w:tblGrid>
      <w:tr w:rsidR="00DA796D" w:rsidRPr="008E5400" w:rsidTr="009D15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93" w:type="pct"/>
            <w:tcBorders>
              <w:top w:val="single" w:sz="4" w:space="0" w:color="auto"/>
              <w:left w:val="none" w:sz="0" w:space="0" w:color="auto"/>
              <w:bottom w:val="single" w:sz="4" w:space="0" w:color="auto"/>
              <w:right w:val="none" w:sz="0" w:space="0" w:color="auto"/>
            </w:tcBorders>
            <w:noWrap/>
            <w:hideMark/>
          </w:tcPr>
          <w:p w:rsidR="00DA796D" w:rsidRPr="008E5400" w:rsidRDefault="00DA796D" w:rsidP="008E5400">
            <w:pPr>
              <w:pStyle w:val="braytabletext"/>
              <w:rPr>
                <w:b w:val="0"/>
              </w:rPr>
            </w:pPr>
            <w:r w:rsidRPr="008E5400">
              <w:rPr>
                <w:b w:val="0"/>
              </w:rPr>
              <w:t> </w:t>
            </w:r>
          </w:p>
        </w:tc>
        <w:tc>
          <w:tcPr>
            <w:tcW w:w="558" w:type="pct"/>
            <w:tcBorders>
              <w:top w:val="single" w:sz="4" w:space="0" w:color="auto"/>
              <w:left w:val="none" w:sz="0" w:space="0" w:color="auto"/>
              <w:bottom w:val="single" w:sz="4" w:space="0" w:color="auto"/>
              <w:right w:val="none" w:sz="0" w:space="0" w:color="auto"/>
            </w:tcBorders>
            <w:hideMark/>
          </w:tcPr>
          <w:p w:rsidR="00DA796D" w:rsidRPr="008E5400" w:rsidRDefault="00DA796D" w:rsidP="008E5400">
            <w:pPr>
              <w:pStyle w:val="braytabletext"/>
              <w:jc w:val="right"/>
              <w:cnfStyle w:val="100000000000" w:firstRow="1" w:lastRow="0" w:firstColumn="0" w:lastColumn="0" w:oddVBand="0" w:evenVBand="0" w:oddHBand="0" w:evenHBand="0" w:firstRowFirstColumn="0" w:firstRowLastColumn="0" w:lastRowFirstColumn="0" w:lastRowLastColumn="0"/>
              <w:rPr>
                <w:b w:val="0"/>
              </w:rPr>
            </w:pPr>
            <w:r w:rsidRPr="008E5400">
              <w:rPr>
                <w:b w:val="0"/>
              </w:rPr>
              <w:t>Strongly agree</w:t>
            </w:r>
          </w:p>
        </w:tc>
        <w:tc>
          <w:tcPr>
            <w:tcW w:w="528" w:type="pct"/>
            <w:tcBorders>
              <w:top w:val="single" w:sz="4" w:space="0" w:color="auto"/>
              <w:left w:val="none" w:sz="0" w:space="0" w:color="auto"/>
              <w:bottom w:val="single" w:sz="4" w:space="0" w:color="auto"/>
              <w:right w:val="none" w:sz="0" w:space="0" w:color="auto"/>
            </w:tcBorders>
            <w:hideMark/>
          </w:tcPr>
          <w:p w:rsidR="00DA796D" w:rsidRPr="008E5400" w:rsidRDefault="00DA796D" w:rsidP="008E5400">
            <w:pPr>
              <w:pStyle w:val="braytabletext"/>
              <w:jc w:val="right"/>
              <w:cnfStyle w:val="100000000000" w:firstRow="1" w:lastRow="0" w:firstColumn="0" w:lastColumn="0" w:oddVBand="0" w:evenVBand="0" w:oddHBand="0" w:evenHBand="0" w:firstRowFirstColumn="0" w:firstRowLastColumn="0" w:lastRowFirstColumn="0" w:lastRowLastColumn="0"/>
              <w:rPr>
                <w:b w:val="0"/>
              </w:rPr>
            </w:pPr>
            <w:r w:rsidRPr="008E5400">
              <w:rPr>
                <w:b w:val="0"/>
              </w:rPr>
              <w:t xml:space="preserve">Mostly agree </w:t>
            </w:r>
          </w:p>
        </w:tc>
        <w:tc>
          <w:tcPr>
            <w:tcW w:w="580" w:type="pct"/>
            <w:tcBorders>
              <w:top w:val="single" w:sz="4" w:space="0" w:color="auto"/>
              <w:left w:val="none" w:sz="0" w:space="0" w:color="auto"/>
              <w:bottom w:val="single" w:sz="4" w:space="0" w:color="auto"/>
              <w:right w:val="none" w:sz="0" w:space="0" w:color="auto"/>
            </w:tcBorders>
            <w:hideMark/>
          </w:tcPr>
          <w:p w:rsidR="00DA796D" w:rsidRPr="008E5400" w:rsidRDefault="00DA796D" w:rsidP="008E5400">
            <w:pPr>
              <w:pStyle w:val="braytabletext"/>
              <w:jc w:val="right"/>
              <w:cnfStyle w:val="100000000000" w:firstRow="1" w:lastRow="0" w:firstColumn="0" w:lastColumn="0" w:oddVBand="0" w:evenVBand="0" w:oddHBand="0" w:evenHBand="0" w:firstRowFirstColumn="0" w:firstRowLastColumn="0" w:lastRowFirstColumn="0" w:lastRowLastColumn="0"/>
              <w:rPr>
                <w:b w:val="0"/>
              </w:rPr>
            </w:pPr>
            <w:r w:rsidRPr="008E5400">
              <w:rPr>
                <w:b w:val="0"/>
              </w:rPr>
              <w:t>Mostly disagree</w:t>
            </w:r>
          </w:p>
        </w:tc>
        <w:tc>
          <w:tcPr>
            <w:tcW w:w="565" w:type="pct"/>
            <w:tcBorders>
              <w:top w:val="single" w:sz="4" w:space="0" w:color="auto"/>
              <w:left w:val="none" w:sz="0" w:space="0" w:color="auto"/>
              <w:bottom w:val="single" w:sz="4" w:space="0" w:color="auto"/>
              <w:right w:val="none" w:sz="0" w:space="0" w:color="auto"/>
            </w:tcBorders>
            <w:hideMark/>
          </w:tcPr>
          <w:p w:rsidR="00DA796D" w:rsidRPr="008E5400" w:rsidRDefault="00DA796D" w:rsidP="008E5400">
            <w:pPr>
              <w:pStyle w:val="braytabletext"/>
              <w:jc w:val="right"/>
              <w:cnfStyle w:val="100000000000" w:firstRow="1" w:lastRow="0" w:firstColumn="0" w:lastColumn="0" w:oddVBand="0" w:evenVBand="0" w:oddHBand="0" w:evenHBand="0" w:firstRowFirstColumn="0" w:firstRowLastColumn="0" w:lastRowFirstColumn="0" w:lastRowLastColumn="0"/>
              <w:rPr>
                <w:b w:val="0"/>
              </w:rPr>
            </w:pPr>
            <w:r w:rsidRPr="008E5400">
              <w:rPr>
                <w:b w:val="0"/>
              </w:rPr>
              <w:t>Strongly disagree</w:t>
            </w:r>
          </w:p>
        </w:tc>
        <w:tc>
          <w:tcPr>
            <w:tcW w:w="476" w:type="pct"/>
            <w:tcBorders>
              <w:top w:val="single" w:sz="4" w:space="0" w:color="auto"/>
              <w:left w:val="none" w:sz="0" w:space="0" w:color="auto"/>
              <w:bottom w:val="single" w:sz="4" w:space="0" w:color="auto"/>
              <w:right w:val="none" w:sz="0" w:space="0" w:color="auto"/>
            </w:tcBorders>
          </w:tcPr>
          <w:p w:rsidR="00DA796D" w:rsidRPr="008E5400" w:rsidRDefault="00DA796D" w:rsidP="008E5400">
            <w:pPr>
              <w:pStyle w:val="braytabletext"/>
              <w:jc w:val="right"/>
              <w:cnfStyle w:val="100000000000" w:firstRow="1" w:lastRow="0" w:firstColumn="0" w:lastColumn="0" w:oddVBand="0" w:evenVBand="0" w:oddHBand="0" w:evenHBand="0" w:firstRowFirstColumn="0" w:firstRowLastColumn="0" w:lastRowFirstColumn="0" w:lastRowLastColumn="0"/>
              <w:rPr>
                <w:b w:val="0"/>
              </w:rPr>
            </w:pPr>
            <w:r w:rsidRPr="008E5400">
              <w:rPr>
                <w:b w:val="0"/>
              </w:rPr>
              <w:t>Total</w:t>
            </w:r>
          </w:p>
        </w:tc>
      </w:tr>
      <w:tr w:rsidR="00DA796D" w:rsidRPr="008E5400" w:rsidTr="00783DF8">
        <w:tc>
          <w:tcPr>
            <w:cnfStyle w:val="001000000000" w:firstRow="0" w:lastRow="0" w:firstColumn="1" w:lastColumn="0" w:oddVBand="0" w:evenVBand="0" w:oddHBand="0" w:evenHBand="0" w:firstRowFirstColumn="0" w:firstRowLastColumn="0" w:lastRowFirstColumn="0" w:lastRowLastColumn="0"/>
            <w:tcW w:w="2293" w:type="pct"/>
            <w:tcBorders>
              <w:top w:val="single" w:sz="4" w:space="0" w:color="auto"/>
            </w:tcBorders>
            <w:hideMark/>
          </w:tcPr>
          <w:p w:rsidR="00DA796D" w:rsidRPr="008E5400" w:rsidRDefault="00DA796D" w:rsidP="008E5400">
            <w:pPr>
              <w:pStyle w:val="braytabletext"/>
              <w:rPr>
                <w:b w:val="0"/>
              </w:rPr>
            </w:pPr>
          </w:p>
        </w:tc>
        <w:tc>
          <w:tcPr>
            <w:tcW w:w="2707" w:type="pct"/>
            <w:gridSpan w:val="5"/>
            <w:tcBorders>
              <w:top w:val="single" w:sz="4" w:space="0" w:color="auto"/>
            </w:tcBorders>
            <w:noWrap/>
            <w:vAlign w:val="center"/>
            <w:hideMark/>
          </w:tcPr>
          <w:p w:rsidR="00DA796D" w:rsidRPr="008E5400" w:rsidRDefault="00DA796D" w:rsidP="00783DF8">
            <w:pPr>
              <w:pStyle w:val="braytabletext"/>
              <w:jc w:val="center"/>
              <w:cnfStyle w:val="000000000000" w:firstRow="0" w:lastRow="0" w:firstColumn="0" w:lastColumn="0" w:oddVBand="0" w:evenVBand="0" w:oddHBand="0" w:evenHBand="0" w:firstRowFirstColumn="0" w:firstRowLastColumn="0" w:lastRowFirstColumn="0" w:lastRowLastColumn="0"/>
            </w:pPr>
            <w:r w:rsidRPr="008E5400">
              <w:t>-</w:t>
            </w:r>
            <w:r w:rsidR="006435C8">
              <w:t xml:space="preserve"> </w:t>
            </w:r>
            <w:r w:rsidRPr="008E5400">
              <w:t>%</w:t>
            </w:r>
            <w:r w:rsidR="006435C8">
              <w:t xml:space="preserve"> </w:t>
            </w:r>
            <w:r w:rsidRPr="008E5400">
              <w:t>-</w:t>
            </w:r>
          </w:p>
        </w:tc>
      </w:tr>
      <w:tr w:rsidR="00DA796D" w:rsidRPr="008E5400" w:rsidTr="008E57A0">
        <w:tc>
          <w:tcPr>
            <w:cnfStyle w:val="001000000000" w:firstRow="0" w:lastRow="0" w:firstColumn="1" w:lastColumn="0" w:oddVBand="0" w:evenVBand="0" w:oddHBand="0" w:evenHBand="0" w:firstRowFirstColumn="0" w:firstRowLastColumn="0" w:lastRowFirstColumn="0" w:lastRowLastColumn="0"/>
            <w:tcW w:w="2293" w:type="pct"/>
            <w:vAlign w:val="bottom"/>
            <w:hideMark/>
          </w:tcPr>
          <w:p w:rsidR="00DA796D" w:rsidRPr="008E5400" w:rsidRDefault="00DA796D" w:rsidP="008E5400">
            <w:pPr>
              <w:pStyle w:val="braytabletext"/>
              <w:rPr>
                <w:b w:val="0"/>
              </w:rPr>
            </w:pPr>
            <w:r w:rsidRPr="008E5400">
              <w:rPr>
                <w:b w:val="0"/>
              </w:rPr>
              <w:t>They have been on voluntary income management before</w:t>
            </w:r>
          </w:p>
        </w:tc>
        <w:tc>
          <w:tcPr>
            <w:tcW w:w="558" w:type="pct"/>
            <w:noWrap/>
            <w:vAlign w:val="bottom"/>
            <w:hideMark/>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16</w:t>
            </w:r>
          </w:p>
        </w:tc>
        <w:tc>
          <w:tcPr>
            <w:tcW w:w="528" w:type="pct"/>
            <w:noWrap/>
            <w:vAlign w:val="bottom"/>
            <w:hideMark/>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64</w:t>
            </w:r>
          </w:p>
        </w:tc>
        <w:tc>
          <w:tcPr>
            <w:tcW w:w="580" w:type="pct"/>
            <w:noWrap/>
            <w:vAlign w:val="bottom"/>
            <w:hideMark/>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14</w:t>
            </w:r>
          </w:p>
        </w:tc>
        <w:tc>
          <w:tcPr>
            <w:tcW w:w="565" w:type="pct"/>
            <w:noWrap/>
            <w:vAlign w:val="bottom"/>
            <w:hideMark/>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7</w:t>
            </w:r>
          </w:p>
        </w:tc>
        <w:tc>
          <w:tcPr>
            <w:tcW w:w="476" w:type="pct"/>
            <w:vAlign w:val="bottom"/>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100</w:t>
            </w:r>
          </w:p>
        </w:tc>
      </w:tr>
      <w:tr w:rsidR="00DA796D" w:rsidRPr="008E5400" w:rsidTr="008E57A0">
        <w:tc>
          <w:tcPr>
            <w:cnfStyle w:val="001000000000" w:firstRow="0" w:lastRow="0" w:firstColumn="1" w:lastColumn="0" w:oddVBand="0" w:evenVBand="0" w:oddHBand="0" w:evenHBand="0" w:firstRowFirstColumn="0" w:firstRowLastColumn="0" w:lastRowFirstColumn="0" w:lastRowLastColumn="0"/>
            <w:tcW w:w="2293" w:type="pct"/>
            <w:vAlign w:val="bottom"/>
            <w:hideMark/>
          </w:tcPr>
          <w:p w:rsidR="00DA796D" w:rsidRPr="008E5400" w:rsidRDefault="00DA796D" w:rsidP="008E5400">
            <w:pPr>
              <w:pStyle w:val="braytabletext"/>
              <w:rPr>
                <w:b w:val="0"/>
              </w:rPr>
            </w:pPr>
            <w:r w:rsidRPr="008E5400">
              <w:rPr>
                <w:b w:val="0"/>
              </w:rPr>
              <w:t>They have been on another type of income management before</w:t>
            </w:r>
          </w:p>
        </w:tc>
        <w:tc>
          <w:tcPr>
            <w:tcW w:w="558" w:type="pct"/>
            <w:noWrap/>
            <w:vAlign w:val="bottom"/>
            <w:hideMark/>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35</w:t>
            </w:r>
          </w:p>
        </w:tc>
        <w:tc>
          <w:tcPr>
            <w:tcW w:w="528" w:type="pct"/>
            <w:noWrap/>
            <w:vAlign w:val="bottom"/>
            <w:hideMark/>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54</w:t>
            </w:r>
          </w:p>
        </w:tc>
        <w:tc>
          <w:tcPr>
            <w:tcW w:w="580" w:type="pct"/>
            <w:noWrap/>
            <w:vAlign w:val="bottom"/>
            <w:hideMark/>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7</w:t>
            </w:r>
          </w:p>
        </w:tc>
        <w:tc>
          <w:tcPr>
            <w:tcW w:w="565" w:type="pct"/>
            <w:noWrap/>
            <w:vAlign w:val="bottom"/>
            <w:hideMark/>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4</w:t>
            </w:r>
          </w:p>
        </w:tc>
        <w:tc>
          <w:tcPr>
            <w:tcW w:w="476" w:type="pct"/>
            <w:vAlign w:val="bottom"/>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100</w:t>
            </w:r>
          </w:p>
        </w:tc>
      </w:tr>
      <w:tr w:rsidR="00DA796D" w:rsidRPr="008E5400" w:rsidTr="008E57A0">
        <w:tc>
          <w:tcPr>
            <w:cnfStyle w:val="001000000000" w:firstRow="0" w:lastRow="0" w:firstColumn="1" w:lastColumn="0" w:oddVBand="0" w:evenVBand="0" w:oddHBand="0" w:evenHBand="0" w:firstRowFirstColumn="0" w:firstRowLastColumn="0" w:lastRowFirstColumn="0" w:lastRowLastColumn="0"/>
            <w:tcW w:w="2293" w:type="pct"/>
            <w:vAlign w:val="bottom"/>
            <w:hideMark/>
          </w:tcPr>
          <w:p w:rsidR="00DA796D" w:rsidRPr="008E5400" w:rsidRDefault="00DA796D" w:rsidP="008E5400">
            <w:pPr>
              <w:pStyle w:val="braytabletext"/>
              <w:rPr>
                <w:b w:val="0"/>
              </w:rPr>
            </w:pPr>
            <w:r w:rsidRPr="008E5400">
              <w:rPr>
                <w:b w:val="0"/>
              </w:rPr>
              <w:t>To avoid humbugging</w:t>
            </w:r>
          </w:p>
        </w:tc>
        <w:tc>
          <w:tcPr>
            <w:tcW w:w="558" w:type="pct"/>
            <w:noWrap/>
            <w:vAlign w:val="bottom"/>
            <w:hideMark/>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29</w:t>
            </w:r>
          </w:p>
        </w:tc>
        <w:tc>
          <w:tcPr>
            <w:tcW w:w="528" w:type="pct"/>
            <w:noWrap/>
            <w:vAlign w:val="bottom"/>
            <w:hideMark/>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51</w:t>
            </w:r>
          </w:p>
        </w:tc>
        <w:tc>
          <w:tcPr>
            <w:tcW w:w="580" w:type="pct"/>
            <w:noWrap/>
            <w:vAlign w:val="bottom"/>
            <w:hideMark/>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15</w:t>
            </w:r>
          </w:p>
        </w:tc>
        <w:tc>
          <w:tcPr>
            <w:tcW w:w="565" w:type="pct"/>
            <w:noWrap/>
            <w:vAlign w:val="bottom"/>
            <w:hideMark/>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5</w:t>
            </w:r>
          </w:p>
        </w:tc>
        <w:tc>
          <w:tcPr>
            <w:tcW w:w="476" w:type="pct"/>
            <w:vAlign w:val="bottom"/>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100</w:t>
            </w:r>
          </w:p>
        </w:tc>
      </w:tr>
      <w:tr w:rsidR="00DA796D" w:rsidRPr="008E5400" w:rsidTr="008E57A0">
        <w:tc>
          <w:tcPr>
            <w:cnfStyle w:val="001000000000" w:firstRow="0" w:lastRow="0" w:firstColumn="1" w:lastColumn="0" w:oddVBand="0" w:evenVBand="0" w:oddHBand="0" w:evenHBand="0" w:firstRowFirstColumn="0" w:firstRowLastColumn="0" w:lastRowFirstColumn="0" w:lastRowLastColumn="0"/>
            <w:tcW w:w="2293" w:type="pct"/>
            <w:vAlign w:val="bottom"/>
            <w:hideMark/>
          </w:tcPr>
          <w:p w:rsidR="00DA796D" w:rsidRPr="008E5400" w:rsidRDefault="00DA796D" w:rsidP="008E5400">
            <w:pPr>
              <w:pStyle w:val="braytabletext"/>
              <w:rPr>
                <w:b w:val="0"/>
              </w:rPr>
            </w:pPr>
            <w:r w:rsidRPr="008E5400">
              <w:rPr>
                <w:b w:val="0"/>
              </w:rPr>
              <w:t>To save money</w:t>
            </w:r>
          </w:p>
        </w:tc>
        <w:tc>
          <w:tcPr>
            <w:tcW w:w="558" w:type="pct"/>
            <w:noWrap/>
            <w:vAlign w:val="bottom"/>
            <w:hideMark/>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16</w:t>
            </w:r>
          </w:p>
        </w:tc>
        <w:tc>
          <w:tcPr>
            <w:tcW w:w="528" w:type="pct"/>
            <w:noWrap/>
            <w:vAlign w:val="bottom"/>
            <w:hideMark/>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48</w:t>
            </w:r>
          </w:p>
        </w:tc>
        <w:tc>
          <w:tcPr>
            <w:tcW w:w="580" w:type="pct"/>
            <w:noWrap/>
            <w:vAlign w:val="bottom"/>
            <w:hideMark/>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28</w:t>
            </w:r>
          </w:p>
        </w:tc>
        <w:tc>
          <w:tcPr>
            <w:tcW w:w="565" w:type="pct"/>
            <w:noWrap/>
            <w:vAlign w:val="bottom"/>
            <w:hideMark/>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9</w:t>
            </w:r>
          </w:p>
        </w:tc>
        <w:tc>
          <w:tcPr>
            <w:tcW w:w="476" w:type="pct"/>
            <w:vAlign w:val="bottom"/>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100</w:t>
            </w:r>
          </w:p>
        </w:tc>
      </w:tr>
      <w:tr w:rsidR="00DA796D" w:rsidRPr="008E5400" w:rsidTr="008E57A0">
        <w:tc>
          <w:tcPr>
            <w:cnfStyle w:val="001000000000" w:firstRow="0" w:lastRow="0" w:firstColumn="1" w:lastColumn="0" w:oddVBand="0" w:evenVBand="0" w:oddHBand="0" w:evenHBand="0" w:firstRowFirstColumn="0" w:firstRowLastColumn="0" w:lastRowFirstColumn="0" w:lastRowLastColumn="0"/>
            <w:tcW w:w="2293" w:type="pct"/>
            <w:vAlign w:val="bottom"/>
            <w:hideMark/>
          </w:tcPr>
          <w:p w:rsidR="00DA796D" w:rsidRPr="008E5400" w:rsidRDefault="00DA796D" w:rsidP="008E5400">
            <w:pPr>
              <w:pStyle w:val="braytabletext"/>
              <w:rPr>
                <w:b w:val="0"/>
              </w:rPr>
            </w:pPr>
            <w:r w:rsidRPr="008E5400">
              <w:rPr>
                <w:b w:val="0"/>
              </w:rPr>
              <w:t>They have heard positive things about it</w:t>
            </w:r>
          </w:p>
        </w:tc>
        <w:tc>
          <w:tcPr>
            <w:tcW w:w="558" w:type="pct"/>
            <w:noWrap/>
            <w:vAlign w:val="bottom"/>
            <w:hideMark/>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15</w:t>
            </w:r>
          </w:p>
        </w:tc>
        <w:tc>
          <w:tcPr>
            <w:tcW w:w="528" w:type="pct"/>
            <w:noWrap/>
            <w:vAlign w:val="bottom"/>
            <w:hideMark/>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56</w:t>
            </w:r>
          </w:p>
        </w:tc>
        <w:tc>
          <w:tcPr>
            <w:tcW w:w="580" w:type="pct"/>
            <w:noWrap/>
            <w:vAlign w:val="bottom"/>
            <w:hideMark/>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20</w:t>
            </w:r>
          </w:p>
        </w:tc>
        <w:tc>
          <w:tcPr>
            <w:tcW w:w="565" w:type="pct"/>
            <w:noWrap/>
            <w:vAlign w:val="bottom"/>
            <w:hideMark/>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8</w:t>
            </w:r>
          </w:p>
        </w:tc>
        <w:tc>
          <w:tcPr>
            <w:tcW w:w="476" w:type="pct"/>
            <w:vAlign w:val="bottom"/>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100</w:t>
            </w:r>
          </w:p>
        </w:tc>
      </w:tr>
      <w:tr w:rsidR="00DA796D" w:rsidRPr="008E5400" w:rsidTr="008E57A0">
        <w:tc>
          <w:tcPr>
            <w:cnfStyle w:val="001000000000" w:firstRow="0" w:lastRow="0" w:firstColumn="1" w:lastColumn="0" w:oddVBand="0" w:evenVBand="0" w:oddHBand="0" w:evenHBand="0" w:firstRowFirstColumn="0" w:firstRowLastColumn="0" w:lastRowFirstColumn="0" w:lastRowLastColumn="0"/>
            <w:tcW w:w="2293" w:type="pct"/>
            <w:vAlign w:val="bottom"/>
            <w:hideMark/>
          </w:tcPr>
          <w:p w:rsidR="00DA796D" w:rsidRPr="008E5400" w:rsidRDefault="00DA796D" w:rsidP="008E5400">
            <w:pPr>
              <w:pStyle w:val="braytabletext"/>
              <w:rPr>
                <w:b w:val="0"/>
              </w:rPr>
            </w:pPr>
            <w:r w:rsidRPr="008E5400">
              <w:rPr>
                <w:b w:val="0"/>
              </w:rPr>
              <w:t>They would like to access the BasicsCard</w:t>
            </w:r>
          </w:p>
        </w:tc>
        <w:tc>
          <w:tcPr>
            <w:tcW w:w="558" w:type="pct"/>
            <w:noWrap/>
            <w:vAlign w:val="bottom"/>
            <w:hideMark/>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48</w:t>
            </w:r>
          </w:p>
        </w:tc>
        <w:tc>
          <w:tcPr>
            <w:tcW w:w="528" w:type="pct"/>
            <w:noWrap/>
            <w:vAlign w:val="bottom"/>
            <w:hideMark/>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43</w:t>
            </w:r>
          </w:p>
        </w:tc>
        <w:tc>
          <w:tcPr>
            <w:tcW w:w="580" w:type="pct"/>
            <w:noWrap/>
            <w:vAlign w:val="bottom"/>
            <w:hideMark/>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6</w:t>
            </w:r>
          </w:p>
        </w:tc>
        <w:tc>
          <w:tcPr>
            <w:tcW w:w="565" w:type="pct"/>
            <w:noWrap/>
            <w:vAlign w:val="bottom"/>
            <w:hideMark/>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3</w:t>
            </w:r>
          </w:p>
        </w:tc>
        <w:tc>
          <w:tcPr>
            <w:tcW w:w="476" w:type="pct"/>
            <w:vAlign w:val="bottom"/>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100</w:t>
            </w:r>
          </w:p>
        </w:tc>
      </w:tr>
      <w:tr w:rsidR="00DA796D" w:rsidRPr="008E5400" w:rsidTr="008E57A0">
        <w:tc>
          <w:tcPr>
            <w:cnfStyle w:val="001000000000" w:firstRow="0" w:lastRow="0" w:firstColumn="1" w:lastColumn="0" w:oddVBand="0" w:evenVBand="0" w:oddHBand="0" w:evenHBand="0" w:firstRowFirstColumn="0" w:firstRowLastColumn="0" w:lastRowFirstColumn="0" w:lastRowLastColumn="0"/>
            <w:tcW w:w="2293" w:type="pct"/>
            <w:vAlign w:val="bottom"/>
            <w:hideMark/>
          </w:tcPr>
          <w:p w:rsidR="00DA796D" w:rsidRPr="008E5400" w:rsidRDefault="00DA796D" w:rsidP="008E5400">
            <w:pPr>
              <w:pStyle w:val="braytabletext"/>
              <w:rPr>
                <w:b w:val="0"/>
              </w:rPr>
            </w:pPr>
            <w:r w:rsidRPr="008E5400">
              <w:rPr>
                <w:b w:val="0"/>
              </w:rPr>
              <w:t>They would like to access the voluntary income management incentive payment</w:t>
            </w:r>
          </w:p>
        </w:tc>
        <w:tc>
          <w:tcPr>
            <w:tcW w:w="558" w:type="pct"/>
            <w:noWrap/>
            <w:vAlign w:val="bottom"/>
            <w:hideMark/>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19</w:t>
            </w:r>
          </w:p>
        </w:tc>
        <w:tc>
          <w:tcPr>
            <w:tcW w:w="528" w:type="pct"/>
            <w:noWrap/>
            <w:vAlign w:val="bottom"/>
            <w:hideMark/>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41</w:t>
            </w:r>
          </w:p>
        </w:tc>
        <w:tc>
          <w:tcPr>
            <w:tcW w:w="580" w:type="pct"/>
            <w:noWrap/>
            <w:vAlign w:val="bottom"/>
            <w:hideMark/>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31</w:t>
            </w:r>
          </w:p>
        </w:tc>
        <w:tc>
          <w:tcPr>
            <w:tcW w:w="565" w:type="pct"/>
            <w:noWrap/>
            <w:vAlign w:val="bottom"/>
            <w:hideMark/>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10</w:t>
            </w:r>
          </w:p>
        </w:tc>
        <w:tc>
          <w:tcPr>
            <w:tcW w:w="476" w:type="pct"/>
            <w:vAlign w:val="bottom"/>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100</w:t>
            </w:r>
          </w:p>
        </w:tc>
      </w:tr>
      <w:tr w:rsidR="00DA796D" w:rsidRPr="008E5400" w:rsidTr="008E57A0">
        <w:tc>
          <w:tcPr>
            <w:cnfStyle w:val="001000000000" w:firstRow="0" w:lastRow="0" w:firstColumn="1" w:lastColumn="0" w:oddVBand="0" w:evenVBand="0" w:oddHBand="0" w:evenHBand="0" w:firstRowFirstColumn="0" w:firstRowLastColumn="0" w:lastRowFirstColumn="0" w:lastRowLastColumn="0"/>
            <w:tcW w:w="2293" w:type="pct"/>
            <w:vAlign w:val="bottom"/>
            <w:hideMark/>
          </w:tcPr>
          <w:p w:rsidR="00DA796D" w:rsidRPr="008E5400" w:rsidRDefault="00DA796D" w:rsidP="008E5400">
            <w:pPr>
              <w:pStyle w:val="braytabletext"/>
              <w:rPr>
                <w:b w:val="0"/>
              </w:rPr>
            </w:pPr>
            <w:r w:rsidRPr="008E5400">
              <w:rPr>
                <w:b w:val="0"/>
              </w:rPr>
              <w:t xml:space="preserve"> To make sure there’s enough money available for children’s needs</w:t>
            </w:r>
          </w:p>
        </w:tc>
        <w:tc>
          <w:tcPr>
            <w:tcW w:w="558" w:type="pct"/>
            <w:noWrap/>
            <w:vAlign w:val="bottom"/>
            <w:hideMark/>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17</w:t>
            </w:r>
          </w:p>
        </w:tc>
        <w:tc>
          <w:tcPr>
            <w:tcW w:w="528" w:type="pct"/>
            <w:noWrap/>
            <w:vAlign w:val="bottom"/>
            <w:hideMark/>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64</w:t>
            </w:r>
          </w:p>
        </w:tc>
        <w:tc>
          <w:tcPr>
            <w:tcW w:w="580" w:type="pct"/>
            <w:noWrap/>
            <w:vAlign w:val="bottom"/>
            <w:hideMark/>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16</w:t>
            </w:r>
          </w:p>
        </w:tc>
        <w:tc>
          <w:tcPr>
            <w:tcW w:w="565" w:type="pct"/>
            <w:noWrap/>
            <w:vAlign w:val="bottom"/>
            <w:hideMark/>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3</w:t>
            </w:r>
          </w:p>
        </w:tc>
        <w:tc>
          <w:tcPr>
            <w:tcW w:w="476" w:type="pct"/>
            <w:vAlign w:val="bottom"/>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100</w:t>
            </w:r>
          </w:p>
        </w:tc>
      </w:tr>
      <w:tr w:rsidR="00DA796D" w:rsidRPr="008E5400" w:rsidTr="008E57A0">
        <w:tc>
          <w:tcPr>
            <w:cnfStyle w:val="001000000000" w:firstRow="0" w:lastRow="0" w:firstColumn="1" w:lastColumn="0" w:oddVBand="0" w:evenVBand="0" w:oddHBand="0" w:evenHBand="0" w:firstRowFirstColumn="0" w:firstRowLastColumn="0" w:lastRowFirstColumn="0" w:lastRowLastColumn="0"/>
            <w:tcW w:w="2293" w:type="pct"/>
            <w:tcBorders>
              <w:bottom w:val="single" w:sz="4" w:space="0" w:color="auto"/>
            </w:tcBorders>
            <w:vAlign w:val="bottom"/>
            <w:hideMark/>
          </w:tcPr>
          <w:p w:rsidR="00DA796D" w:rsidRPr="008E5400" w:rsidRDefault="00DA796D" w:rsidP="008E5400">
            <w:pPr>
              <w:pStyle w:val="braytabletext"/>
              <w:rPr>
                <w:b w:val="0"/>
              </w:rPr>
            </w:pPr>
            <w:r w:rsidRPr="008E5400">
              <w:rPr>
                <w:b w:val="0"/>
              </w:rPr>
              <w:t>To make sure there’s enough money to pay the rent</w:t>
            </w:r>
          </w:p>
        </w:tc>
        <w:tc>
          <w:tcPr>
            <w:tcW w:w="558" w:type="pct"/>
            <w:tcBorders>
              <w:bottom w:val="single" w:sz="4" w:space="0" w:color="auto"/>
            </w:tcBorders>
            <w:noWrap/>
            <w:vAlign w:val="bottom"/>
            <w:hideMark/>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13</w:t>
            </w:r>
          </w:p>
        </w:tc>
        <w:tc>
          <w:tcPr>
            <w:tcW w:w="528" w:type="pct"/>
            <w:tcBorders>
              <w:bottom w:val="single" w:sz="4" w:space="0" w:color="auto"/>
            </w:tcBorders>
            <w:noWrap/>
            <w:vAlign w:val="bottom"/>
            <w:hideMark/>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49</w:t>
            </w:r>
          </w:p>
        </w:tc>
        <w:tc>
          <w:tcPr>
            <w:tcW w:w="580" w:type="pct"/>
            <w:tcBorders>
              <w:bottom w:val="single" w:sz="4" w:space="0" w:color="auto"/>
            </w:tcBorders>
            <w:noWrap/>
            <w:vAlign w:val="bottom"/>
            <w:hideMark/>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28</w:t>
            </w:r>
          </w:p>
        </w:tc>
        <w:tc>
          <w:tcPr>
            <w:tcW w:w="565" w:type="pct"/>
            <w:tcBorders>
              <w:bottom w:val="single" w:sz="4" w:space="0" w:color="auto"/>
            </w:tcBorders>
            <w:noWrap/>
            <w:vAlign w:val="bottom"/>
            <w:hideMark/>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10</w:t>
            </w:r>
          </w:p>
        </w:tc>
        <w:tc>
          <w:tcPr>
            <w:tcW w:w="476" w:type="pct"/>
            <w:tcBorders>
              <w:bottom w:val="single" w:sz="4" w:space="0" w:color="auto"/>
            </w:tcBorders>
            <w:vAlign w:val="bottom"/>
          </w:tcPr>
          <w:p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100</w:t>
            </w:r>
          </w:p>
        </w:tc>
      </w:tr>
    </w:tbl>
    <w:p w:rsidR="00DA796D" w:rsidRPr="005911E2" w:rsidRDefault="00DA796D" w:rsidP="00CF518E">
      <w:pPr>
        <w:pStyle w:val="tablefootnotes"/>
        <w:rPr>
          <w:color w:val="000000"/>
          <w:lang w:bidi="ar-SA"/>
        </w:rPr>
      </w:pPr>
      <w:r w:rsidRPr="005911E2">
        <w:t xml:space="preserve">Notes: </w:t>
      </w:r>
      <w:r w:rsidR="00FF16A3">
        <w:tab/>
      </w:r>
      <w:r w:rsidRPr="005911E2">
        <w:t xml:space="preserve">128 respondents. There was one missing response to this question. The proportion of ‘no </w:t>
      </w:r>
      <w:r w:rsidR="002B5A5C">
        <w:t>Voluntary Income Management</w:t>
      </w:r>
      <w:r w:rsidRPr="005911E2">
        <w:t xml:space="preserve"> clients’ responses ranged from 2 per cent to 5 per cent for these items. These responses are excluded from this table.</w:t>
      </w:r>
    </w:p>
    <w:p w:rsidR="00DA796D" w:rsidRPr="005911E2" w:rsidRDefault="00DA796D" w:rsidP="00CF518E">
      <w:pPr>
        <w:pStyle w:val="tablefootnotes"/>
        <w:rPr>
          <w:rFonts w:ascii="Calibri" w:hAnsi="Calibri"/>
          <w:color w:val="000000"/>
          <w:lang w:bidi="ar-SA"/>
        </w:rPr>
      </w:pPr>
      <w:r w:rsidRPr="005911E2">
        <w:rPr>
          <w:rFonts w:ascii="Calibri" w:hAnsi="Calibri"/>
          <w:color w:val="000000"/>
          <w:lang w:bidi="ar-SA"/>
        </w:rPr>
        <w:t>Source:</w:t>
      </w:r>
      <w:r w:rsidR="00FF16A3">
        <w:rPr>
          <w:rFonts w:ascii="Calibri" w:hAnsi="Calibri"/>
          <w:color w:val="000000"/>
          <w:lang w:bidi="ar-SA"/>
        </w:rPr>
        <w:tab/>
      </w:r>
      <w:r w:rsidRPr="005911E2">
        <w:t xml:space="preserve"> Survey of Centrelink Staff 2011.</w:t>
      </w:r>
    </w:p>
    <w:p w:rsidR="00DA796D" w:rsidRPr="005911E2" w:rsidRDefault="00DA796D" w:rsidP="00CF518E">
      <w:pPr>
        <w:pStyle w:val="tablefootnotes"/>
      </w:pPr>
    </w:p>
    <w:p w:rsidR="001246B9" w:rsidRPr="005911E2" w:rsidRDefault="001246B9" w:rsidP="001246B9">
      <w:pPr>
        <w:rPr>
          <w:lang w:eastAsia="en-AU"/>
        </w:rPr>
      </w:pPr>
      <w:r w:rsidRPr="005911E2">
        <w:rPr>
          <w:lang w:eastAsia="en-AU"/>
        </w:rPr>
        <w:t xml:space="preserve">Centrelink staff overwhelmingly strongly or mostly agreed with </w:t>
      </w:r>
      <w:r>
        <w:rPr>
          <w:lang w:eastAsia="en-AU"/>
        </w:rPr>
        <w:t xml:space="preserve">the </w:t>
      </w:r>
      <w:r w:rsidRPr="005911E2">
        <w:rPr>
          <w:lang w:eastAsia="en-AU"/>
        </w:rPr>
        <w:t xml:space="preserve">statement that people choose to go onto </w:t>
      </w:r>
      <w:r>
        <w:rPr>
          <w:lang w:eastAsia="en-AU"/>
        </w:rPr>
        <w:t>Voluntary Income Management</w:t>
      </w:r>
      <w:r w:rsidRPr="005911E2">
        <w:rPr>
          <w:lang w:eastAsia="en-AU"/>
        </w:rPr>
        <w:t xml:space="preserve"> because they </w:t>
      </w:r>
      <w:r>
        <w:rPr>
          <w:lang w:eastAsia="en-AU"/>
        </w:rPr>
        <w:t>‘</w:t>
      </w:r>
      <w:r w:rsidRPr="005911E2">
        <w:rPr>
          <w:lang w:eastAsia="en-AU"/>
        </w:rPr>
        <w:t>would like to access the BasicsCard</w:t>
      </w:r>
      <w:r>
        <w:rPr>
          <w:lang w:eastAsia="en-AU"/>
        </w:rPr>
        <w:t>’</w:t>
      </w:r>
      <w:r w:rsidRPr="005911E2">
        <w:rPr>
          <w:lang w:eastAsia="en-AU"/>
        </w:rPr>
        <w:t xml:space="preserve"> (91 per cent mostly or strongly agree). This was followed by </w:t>
      </w:r>
      <w:r>
        <w:rPr>
          <w:lang w:eastAsia="en-AU"/>
        </w:rPr>
        <w:t>‘</w:t>
      </w:r>
      <w:r w:rsidRPr="005911E2">
        <w:rPr>
          <w:lang w:eastAsia="en-AU"/>
        </w:rPr>
        <w:t>they have been on income management before</w:t>
      </w:r>
      <w:r>
        <w:rPr>
          <w:lang w:eastAsia="en-AU"/>
        </w:rPr>
        <w:t>’</w:t>
      </w:r>
      <w:r w:rsidRPr="005911E2">
        <w:rPr>
          <w:lang w:eastAsia="en-AU"/>
        </w:rPr>
        <w:t xml:space="preserve"> (35 per cent strongly agree and 54 per cent mostly agree). While this is not directly a reason to choose </w:t>
      </w:r>
      <w:r>
        <w:rPr>
          <w:lang w:eastAsia="en-AU"/>
        </w:rPr>
        <w:t>Voluntary Income Management,</w:t>
      </w:r>
      <w:r w:rsidRPr="005911E2">
        <w:rPr>
          <w:lang w:eastAsia="en-AU"/>
        </w:rPr>
        <w:t xml:space="preserve"> it is consistent with the data presented in Chapter 10 that some people on NTER IM became used to being income managed and therefore almost by default chose to go onto </w:t>
      </w:r>
      <w:r>
        <w:rPr>
          <w:lang w:eastAsia="en-AU"/>
        </w:rPr>
        <w:t>Voluntary Income Management</w:t>
      </w:r>
      <w:r w:rsidRPr="005911E2">
        <w:rPr>
          <w:lang w:eastAsia="en-AU"/>
        </w:rPr>
        <w:t xml:space="preserve">. </w:t>
      </w:r>
    </w:p>
    <w:p w:rsidR="001246B9" w:rsidRPr="005911E2" w:rsidRDefault="001246B9" w:rsidP="001246B9">
      <w:pPr>
        <w:rPr>
          <w:lang w:eastAsia="en-AU"/>
        </w:rPr>
      </w:pPr>
      <w:r w:rsidRPr="005911E2">
        <w:rPr>
          <w:lang w:eastAsia="en-AU"/>
        </w:rPr>
        <w:t>Other reasons commonly cited included: avoiding humbugging; ensuring there was enough money to meet the needs of their children; and hearing positive things about it.</w:t>
      </w:r>
      <w:r>
        <w:rPr>
          <w:lang w:eastAsia="en-AU"/>
        </w:rPr>
        <w:t xml:space="preserve"> </w:t>
      </w:r>
      <w:r w:rsidRPr="005911E2">
        <w:rPr>
          <w:lang w:eastAsia="en-AU"/>
        </w:rPr>
        <w:t>Around 60 per cent of Centrelink staff also agreed that saving money, having enough money to pay the rent</w:t>
      </w:r>
      <w:r>
        <w:rPr>
          <w:lang w:eastAsia="en-AU"/>
        </w:rPr>
        <w:t>,</w:t>
      </w:r>
      <w:r w:rsidRPr="005911E2">
        <w:rPr>
          <w:lang w:eastAsia="en-AU"/>
        </w:rPr>
        <w:t xml:space="preserve"> and accessing the incentive payments were reasons people cho</w:t>
      </w:r>
      <w:r>
        <w:rPr>
          <w:lang w:eastAsia="en-AU"/>
        </w:rPr>
        <w:t>o</w:t>
      </w:r>
      <w:r w:rsidRPr="005911E2">
        <w:rPr>
          <w:lang w:eastAsia="en-AU"/>
        </w:rPr>
        <w:t xml:space="preserve">se to go onto </w:t>
      </w:r>
      <w:r>
        <w:rPr>
          <w:lang w:eastAsia="en-AU"/>
        </w:rPr>
        <w:t>Voluntary Income Management</w:t>
      </w:r>
      <w:r w:rsidRPr="005911E2">
        <w:rPr>
          <w:lang w:eastAsia="en-AU"/>
        </w:rPr>
        <w:t>.</w:t>
      </w:r>
    </w:p>
    <w:p w:rsidR="001246B9" w:rsidRPr="005911E2" w:rsidRDefault="001246B9" w:rsidP="001246B9">
      <w:pPr>
        <w:rPr>
          <w:lang w:eastAsia="en-AU"/>
        </w:rPr>
      </w:pPr>
      <w:r w:rsidRPr="005911E2">
        <w:rPr>
          <w:lang w:eastAsia="en-AU"/>
        </w:rPr>
        <w:t xml:space="preserve">Respondents were also able to nominate other reasons why people might choose to go onto </w:t>
      </w:r>
      <w:r>
        <w:rPr>
          <w:lang w:eastAsia="en-AU"/>
        </w:rPr>
        <w:t>Voluntary Income Management</w:t>
      </w:r>
      <w:r w:rsidRPr="005911E2">
        <w:rPr>
          <w:lang w:eastAsia="en-AU"/>
        </w:rPr>
        <w:t>. The 32 responses provided included:</w:t>
      </w:r>
    </w:p>
    <w:p w:rsidR="001246B9" w:rsidRPr="005911E2" w:rsidRDefault="001246B9" w:rsidP="00EF6C17">
      <w:pPr>
        <w:pStyle w:val="ListBullet"/>
      </w:pPr>
      <w:r>
        <w:t>o</w:t>
      </w:r>
      <w:r w:rsidRPr="005911E2">
        <w:t>btaining a BasicsCard which provides fee free banking services (see Chapter 6)</w:t>
      </w:r>
    </w:p>
    <w:p w:rsidR="001246B9" w:rsidRPr="005911E2" w:rsidRDefault="001246B9" w:rsidP="00EF6C17">
      <w:pPr>
        <w:pStyle w:val="ListBullet"/>
      </w:pPr>
      <w:r>
        <w:t>a</w:t>
      </w:r>
      <w:r w:rsidRPr="005911E2">
        <w:t>ssisting people to</w:t>
      </w:r>
      <w:r>
        <w:t xml:space="preserve"> </w:t>
      </w:r>
      <w:r w:rsidRPr="005911E2">
        <w:t>control their finances and pay for essentials such as food</w:t>
      </w:r>
      <w:r>
        <w:t>,</w:t>
      </w:r>
      <w:r w:rsidRPr="005911E2">
        <w:t xml:space="preserve"> and to make their money last for the fortnight</w:t>
      </w:r>
    </w:p>
    <w:p w:rsidR="001246B9" w:rsidRPr="005911E2" w:rsidRDefault="001246B9" w:rsidP="00EF6C17">
      <w:pPr>
        <w:pStyle w:val="ListBullet"/>
      </w:pPr>
      <w:r>
        <w:t>t</w:t>
      </w:r>
      <w:r w:rsidRPr="005911E2">
        <w:t xml:space="preserve">hat family and friends influence their decisions. </w:t>
      </w:r>
    </w:p>
    <w:p w:rsidR="00DA796D" w:rsidRPr="005911E2" w:rsidRDefault="00DA796D" w:rsidP="00DA796D">
      <w:pPr>
        <w:rPr>
          <w:lang w:eastAsia="en-AU"/>
        </w:rPr>
      </w:pPr>
      <w:r w:rsidRPr="005911E2">
        <w:rPr>
          <w:lang w:eastAsia="en-AU"/>
        </w:rPr>
        <w:t xml:space="preserve">There was also much discussion about </w:t>
      </w:r>
      <w:r w:rsidR="002B5A5C">
        <w:rPr>
          <w:lang w:eastAsia="en-AU"/>
        </w:rPr>
        <w:t>Voluntary Income Management</w:t>
      </w:r>
      <w:r w:rsidRPr="005911E2">
        <w:rPr>
          <w:lang w:eastAsia="en-AU"/>
        </w:rPr>
        <w:t xml:space="preserve"> in the qualitative interviews. This centred around two key themes. The first, as discussed in regard to the transition to NIM from NTER (see Section 9.3.4) was the extent to which </w:t>
      </w:r>
      <w:r w:rsidR="002B5A5C">
        <w:rPr>
          <w:lang w:eastAsia="en-AU"/>
        </w:rPr>
        <w:t>Voluntary Income Management</w:t>
      </w:r>
      <w:r w:rsidRPr="005911E2">
        <w:rPr>
          <w:lang w:eastAsia="en-AU"/>
        </w:rPr>
        <w:t xml:space="preserve"> is actually voluntary. Where </w:t>
      </w:r>
      <w:r w:rsidR="002B5A5C">
        <w:rPr>
          <w:lang w:eastAsia="en-AU"/>
        </w:rPr>
        <w:t>Voluntary Income Management</w:t>
      </w:r>
      <w:r w:rsidRPr="005911E2">
        <w:rPr>
          <w:lang w:eastAsia="en-AU"/>
        </w:rPr>
        <w:t xml:space="preserve"> was seen as being truly voluntary, most respondents supported this approach. It was seen as providing people on very low incomes with assistance in making ends meet.</w:t>
      </w:r>
    </w:p>
    <w:p w:rsidR="00DA796D" w:rsidRPr="005911E2" w:rsidRDefault="00DA796D" w:rsidP="00DA796D">
      <w:pPr>
        <w:keepNext/>
        <w:keepLines/>
        <w:spacing w:after="120"/>
        <w:ind w:left="2325"/>
        <w:jc w:val="left"/>
        <w:rPr>
          <w:i/>
          <w:iCs/>
        </w:rPr>
      </w:pPr>
      <w:r w:rsidRPr="005911E2">
        <w:rPr>
          <w:i/>
          <w:iCs/>
        </w:rPr>
        <w:t>In the big picture it is helping people because they are surviving on minimal amounts of money to survive and to have money for the kids.</w:t>
      </w:r>
    </w:p>
    <w:p w:rsidR="00DA796D" w:rsidRPr="005911E2" w:rsidRDefault="00DA796D" w:rsidP="008E5400">
      <w:pPr>
        <w:pStyle w:val="mininame"/>
      </w:pPr>
      <w:r w:rsidRPr="005911E2">
        <w:t>Financial counsellor</w:t>
      </w:r>
    </w:p>
    <w:p w:rsidR="00DA796D" w:rsidRPr="005911E2" w:rsidRDefault="002B5A5C" w:rsidP="00DA796D">
      <w:pPr>
        <w:rPr>
          <w:lang w:eastAsia="en-AU"/>
        </w:rPr>
      </w:pPr>
      <w:r>
        <w:rPr>
          <w:lang w:eastAsia="en-AU"/>
        </w:rPr>
        <w:t>Voluntary Income Management</w:t>
      </w:r>
      <w:r w:rsidR="00DA796D" w:rsidRPr="005911E2">
        <w:rPr>
          <w:lang w:eastAsia="en-AU"/>
        </w:rPr>
        <w:t xml:space="preserve"> was also seen by social workers, counsellors and child protection workers as a preferable approach to the compulsory measures. This can be interpreted as fitting in with the broad philosophies of their disciplines that sought to allow clients to have autonomy and decision-making capacities. In cases where a compulsory measure was being considered for a client, many reported that they sought to encourage people to choose </w:t>
      </w:r>
      <w:r>
        <w:rPr>
          <w:lang w:eastAsia="en-AU"/>
        </w:rPr>
        <w:t>Voluntary Income Management</w:t>
      </w:r>
      <w:r w:rsidR="00DA796D" w:rsidRPr="005911E2">
        <w:rPr>
          <w:lang w:eastAsia="en-AU"/>
        </w:rPr>
        <w:t xml:space="preserve"> in the first instance. If their client refused or they tried </w:t>
      </w:r>
      <w:r>
        <w:rPr>
          <w:lang w:eastAsia="en-AU"/>
        </w:rPr>
        <w:t>Voluntary Income Management</w:t>
      </w:r>
      <w:r w:rsidR="00DA796D" w:rsidRPr="005911E2">
        <w:rPr>
          <w:lang w:eastAsia="en-AU"/>
        </w:rPr>
        <w:t xml:space="preserve"> and it wasn’t working as hoped, the practitioner would then consider the appropriateness of the compulsory options. </w:t>
      </w:r>
    </w:p>
    <w:p w:rsidR="00DA796D" w:rsidRPr="005911E2" w:rsidRDefault="00DA796D" w:rsidP="00DA796D">
      <w:pPr>
        <w:keepNext/>
        <w:spacing w:after="120"/>
        <w:ind w:left="2325"/>
        <w:jc w:val="left"/>
        <w:rPr>
          <w:i/>
          <w:iCs/>
        </w:rPr>
      </w:pPr>
      <w:r w:rsidRPr="005911E2">
        <w:rPr>
          <w:i/>
          <w:iCs/>
        </w:rPr>
        <w:t>Voluntary payments are a better way to empower women</w:t>
      </w:r>
      <w:r w:rsidR="00746817">
        <w:rPr>
          <w:i/>
          <w:iCs/>
        </w:rPr>
        <w:t>,</w:t>
      </w:r>
      <w:r w:rsidRPr="005911E2">
        <w:rPr>
          <w:i/>
          <w:iCs/>
        </w:rPr>
        <w:t xml:space="preserve"> stop taking their decision making away.</w:t>
      </w:r>
    </w:p>
    <w:p w:rsidR="00DA796D" w:rsidRPr="005911E2" w:rsidRDefault="00DA796D" w:rsidP="008E5400">
      <w:pPr>
        <w:pStyle w:val="mininame"/>
      </w:pPr>
      <w:r w:rsidRPr="005911E2">
        <w:t>DCF child protection staff member</w:t>
      </w:r>
    </w:p>
    <w:p w:rsidR="00DA796D" w:rsidRPr="005911E2" w:rsidRDefault="00DA796D" w:rsidP="00DA796D">
      <w:pPr>
        <w:keepNext/>
        <w:spacing w:after="120"/>
        <w:ind w:left="2325"/>
        <w:jc w:val="left"/>
        <w:rPr>
          <w:i/>
          <w:iCs/>
          <w:lang w:bidi="ar-SA"/>
        </w:rPr>
      </w:pPr>
      <w:r w:rsidRPr="005911E2">
        <w:rPr>
          <w:i/>
          <w:iCs/>
          <w:lang w:bidi="ar-SA"/>
        </w:rPr>
        <w:t>We would prefer and I haven't met a social worker who works for Centrelink who has also not preferred voluntary as the first measure which we've always appreciated…Generally overall it's more a positive response, pretty welcoming with the idea. In the discussion, we'd probably highlight the incentive payment.</w:t>
      </w:r>
    </w:p>
    <w:p w:rsidR="00DA796D" w:rsidRPr="005911E2" w:rsidRDefault="00DA796D" w:rsidP="008E5400">
      <w:pPr>
        <w:pStyle w:val="mininame"/>
      </w:pPr>
      <w:r w:rsidRPr="005911E2">
        <w:t>Centrelink Social Worker</w:t>
      </w:r>
    </w:p>
    <w:p w:rsidR="00DA796D" w:rsidRPr="005911E2" w:rsidRDefault="00DA796D" w:rsidP="00DA796D">
      <w:pPr>
        <w:rPr>
          <w:lang w:eastAsia="en-AU"/>
        </w:rPr>
      </w:pPr>
      <w:r w:rsidRPr="005911E2">
        <w:rPr>
          <w:lang w:eastAsia="en-AU"/>
        </w:rPr>
        <w:t xml:space="preserve">As indicated in the quote above, the incentives paid as part of </w:t>
      </w:r>
      <w:r w:rsidR="002B5A5C">
        <w:rPr>
          <w:lang w:eastAsia="en-AU"/>
        </w:rPr>
        <w:t>Voluntary Income Management</w:t>
      </w:r>
      <w:r w:rsidRPr="005911E2">
        <w:rPr>
          <w:lang w:eastAsia="en-AU"/>
        </w:rPr>
        <w:t xml:space="preserve"> were also seen as being a bonus for people subject to </w:t>
      </w:r>
      <w:r w:rsidR="00F878E4">
        <w:rPr>
          <w:lang w:eastAsia="en-AU"/>
        </w:rPr>
        <w:t>income management</w:t>
      </w:r>
      <w:r w:rsidRPr="005911E2">
        <w:rPr>
          <w:lang w:eastAsia="en-AU"/>
        </w:rPr>
        <w:t xml:space="preserve"> and some Centrelink staff gave examples of people who had successfully applied for exemptions but then chosen to go on to </w:t>
      </w:r>
      <w:r w:rsidR="002B5A5C">
        <w:rPr>
          <w:lang w:eastAsia="en-AU"/>
        </w:rPr>
        <w:t>Voluntary Income Management</w:t>
      </w:r>
      <w:r w:rsidRPr="005911E2">
        <w:rPr>
          <w:lang w:eastAsia="en-AU"/>
        </w:rPr>
        <w:t xml:space="preserve"> to allow them to access the incentive payments.</w:t>
      </w:r>
    </w:p>
    <w:p w:rsidR="00DA796D" w:rsidRPr="005911E2" w:rsidRDefault="00DA796D" w:rsidP="00DA796D">
      <w:pPr>
        <w:keepNext/>
        <w:spacing w:after="120"/>
        <w:ind w:left="2325"/>
        <w:jc w:val="left"/>
        <w:rPr>
          <w:i/>
          <w:iCs/>
        </w:rPr>
      </w:pPr>
      <w:r w:rsidRPr="005911E2">
        <w:rPr>
          <w:i/>
          <w:iCs/>
        </w:rPr>
        <w:t xml:space="preserve">There’s one lady - she’s brilliant - absolutely brilliant - she’s an Indigenous lady, Parenting Payment Single, Family Tax Benefit, had kids, applied for the exemption, got the exemption and went on </w:t>
      </w:r>
      <w:r w:rsidR="004E506E">
        <w:rPr>
          <w:i/>
          <w:iCs/>
        </w:rPr>
        <w:t>V</w:t>
      </w:r>
      <w:r w:rsidRPr="005911E2">
        <w:rPr>
          <w:i/>
          <w:iCs/>
        </w:rPr>
        <w:t>oluntary Income Management to get the incentive payments.</w:t>
      </w:r>
    </w:p>
    <w:p w:rsidR="00DA796D" w:rsidRPr="005911E2" w:rsidRDefault="00DA796D" w:rsidP="008E5400">
      <w:pPr>
        <w:pStyle w:val="mininame"/>
      </w:pPr>
      <w:r w:rsidRPr="005911E2">
        <w:t>Centrelink Customer Service Advis</w:t>
      </w:r>
      <w:r w:rsidR="004E506E">
        <w:t>e</w:t>
      </w:r>
      <w:r w:rsidRPr="005911E2">
        <w:t>r</w:t>
      </w:r>
    </w:p>
    <w:p w:rsidR="00DA796D" w:rsidRPr="005911E2" w:rsidRDefault="00DA796D" w:rsidP="00DA796D">
      <w:pPr>
        <w:rPr>
          <w:lang w:eastAsia="en-AU"/>
        </w:rPr>
      </w:pPr>
      <w:r w:rsidRPr="005911E2">
        <w:rPr>
          <w:lang w:eastAsia="en-AU"/>
        </w:rPr>
        <w:t xml:space="preserve">As discussed in Chapter 6, the popularity of </w:t>
      </w:r>
      <w:r w:rsidR="002B5A5C">
        <w:rPr>
          <w:lang w:eastAsia="en-AU"/>
        </w:rPr>
        <w:t>Voluntary Income Management</w:t>
      </w:r>
      <w:r w:rsidRPr="005911E2">
        <w:rPr>
          <w:lang w:eastAsia="en-AU"/>
        </w:rPr>
        <w:t xml:space="preserve"> was also linked to the desire of many clients to access the Basics</w:t>
      </w:r>
      <w:r w:rsidR="00357105">
        <w:rPr>
          <w:lang w:eastAsia="en-AU"/>
        </w:rPr>
        <w:t>C</w:t>
      </w:r>
      <w:r w:rsidRPr="005911E2">
        <w:rPr>
          <w:lang w:eastAsia="en-AU"/>
        </w:rPr>
        <w:t>ard.</w:t>
      </w:r>
    </w:p>
    <w:p w:rsidR="00DA796D" w:rsidRPr="005911E2" w:rsidRDefault="00DA796D" w:rsidP="00BD6DFD">
      <w:pPr>
        <w:pStyle w:val="Heading3"/>
      </w:pPr>
      <w:r w:rsidRPr="005911E2">
        <w:t xml:space="preserve">Child </w:t>
      </w:r>
      <w:r w:rsidR="00F55EB2">
        <w:t>P</w:t>
      </w:r>
      <w:r w:rsidRPr="005911E2">
        <w:t xml:space="preserve">rotection </w:t>
      </w:r>
      <w:r w:rsidR="00F55EB2">
        <w:t>I</w:t>
      </w:r>
      <w:r w:rsidRPr="005911E2">
        <w:t xml:space="preserve">ncome </w:t>
      </w:r>
      <w:r w:rsidR="00F55EB2">
        <w:t>M</w:t>
      </w:r>
      <w:r w:rsidRPr="005911E2">
        <w:t>anagement</w:t>
      </w:r>
    </w:p>
    <w:p w:rsidR="00DA796D" w:rsidRPr="005911E2" w:rsidRDefault="00DA796D" w:rsidP="00DA796D">
      <w:pPr>
        <w:rPr>
          <w:lang w:eastAsia="en-AU"/>
        </w:rPr>
      </w:pPr>
      <w:r w:rsidRPr="005911E2">
        <w:rPr>
          <w:lang w:eastAsia="en-AU"/>
        </w:rPr>
        <w:t xml:space="preserve">As discussed in Chapter 2, the </w:t>
      </w:r>
      <w:r w:rsidR="00E146B5">
        <w:rPr>
          <w:lang w:eastAsia="en-AU"/>
        </w:rPr>
        <w:t>Child Protection Income Management</w:t>
      </w:r>
      <w:r w:rsidRPr="005911E2">
        <w:rPr>
          <w:lang w:eastAsia="en-AU"/>
        </w:rPr>
        <w:t xml:space="preserve"> measure involves quarantining 70 per cent of clients’ incomes. In the first instance, child protection workers identify families as being suitable for the measure. The worker also decides on the period of time for which the family member will be income managed through the </w:t>
      </w:r>
      <w:r w:rsidR="00B81D60">
        <w:rPr>
          <w:lang w:eastAsia="en-AU"/>
        </w:rPr>
        <w:t>child protection</w:t>
      </w:r>
      <w:r w:rsidR="00B81D60" w:rsidRPr="005911E2">
        <w:rPr>
          <w:lang w:eastAsia="en-AU"/>
        </w:rPr>
        <w:t xml:space="preserve"> </w:t>
      </w:r>
      <w:r w:rsidRPr="005911E2">
        <w:rPr>
          <w:lang w:eastAsia="en-AU"/>
        </w:rPr>
        <w:t>measure. A referral is then made to Centrelink who contacts the client and arranges to set up their income management allocations.</w:t>
      </w:r>
    </w:p>
    <w:p w:rsidR="00DA796D" w:rsidRPr="005911E2" w:rsidRDefault="00DA796D" w:rsidP="00DA796D">
      <w:pPr>
        <w:rPr>
          <w:lang w:eastAsia="en-AU"/>
        </w:rPr>
      </w:pPr>
      <w:r w:rsidRPr="005911E2">
        <w:rPr>
          <w:lang w:eastAsia="en-AU"/>
        </w:rPr>
        <w:t xml:space="preserve">Child protection workers participating in the interviews expressed mixed views about the value of </w:t>
      </w:r>
      <w:r w:rsidR="00E146B5">
        <w:rPr>
          <w:lang w:eastAsia="en-AU"/>
        </w:rPr>
        <w:t>Child Protection Income Management</w:t>
      </w:r>
      <w:r w:rsidRPr="005911E2">
        <w:rPr>
          <w:lang w:eastAsia="en-AU"/>
        </w:rPr>
        <w:t xml:space="preserve">. All seven participants described it as a case management tool that could be of use for working with families where child neglect was an issue. </w:t>
      </w:r>
    </w:p>
    <w:p w:rsidR="00DA796D" w:rsidRPr="005911E2" w:rsidRDefault="00DA796D" w:rsidP="00DA796D">
      <w:pPr>
        <w:keepNext/>
        <w:spacing w:after="120"/>
        <w:ind w:left="2325"/>
        <w:jc w:val="left"/>
        <w:rPr>
          <w:i/>
          <w:iCs/>
        </w:rPr>
      </w:pPr>
      <w:r w:rsidRPr="005911E2">
        <w:rPr>
          <w:i/>
          <w:iCs/>
        </w:rPr>
        <w:t xml:space="preserve">The </w:t>
      </w:r>
      <w:r w:rsidR="004E506E">
        <w:rPr>
          <w:i/>
          <w:iCs/>
        </w:rPr>
        <w:t>Child Protection Income Management measure</w:t>
      </w:r>
      <w:r w:rsidR="004E506E" w:rsidRPr="005911E2">
        <w:rPr>
          <w:i/>
          <w:iCs/>
        </w:rPr>
        <w:t xml:space="preserve"> </w:t>
      </w:r>
      <w:r w:rsidRPr="005911E2">
        <w:rPr>
          <w:i/>
          <w:iCs/>
        </w:rPr>
        <w:t xml:space="preserve">is </w:t>
      </w:r>
      <w:r w:rsidR="00B81D60">
        <w:rPr>
          <w:i/>
          <w:iCs/>
        </w:rPr>
        <w:t xml:space="preserve">a </w:t>
      </w:r>
      <w:r w:rsidRPr="005911E2">
        <w:rPr>
          <w:i/>
          <w:iCs/>
        </w:rPr>
        <w:t xml:space="preserve">case management tool that child protection workers can use - one of a range of case management tools that they could use to assist a family get back on its feet. </w:t>
      </w:r>
    </w:p>
    <w:p w:rsidR="00DA796D" w:rsidRPr="005911E2" w:rsidRDefault="00DA796D" w:rsidP="008E5400">
      <w:pPr>
        <w:pStyle w:val="mininame"/>
      </w:pPr>
      <w:r w:rsidRPr="005911E2">
        <w:t>DCF child protection staff member</w:t>
      </w:r>
    </w:p>
    <w:p w:rsidR="00DA796D" w:rsidRPr="005911E2" w:rsidRDefault="00DA796D" w:rsidP="00DA796D">
      <w:pPr>
        <w:keepNext/>
        <w:spacing w:after="120"/>
        <w:ind w:left="2325"/>
        <w:jc w:val="left"/>
        <w:rPr>
          <w:i/>
          <w:iCs/>
        </w:rPr>
      </w:pPr>
      <w:r w:rsidRPr="005911E2">
        <w:rPr>
          <w:i/>
          <w:iCs/>
        </w:rPr>
        <w:t xml:space="preserve">Its primary purpose is around child protection cases where the issues for the children are around neglect or abusive or another source due to the parents' mismanagement of their income. But I could also see that there would be abuse cases where the money's going on alcohol and then you've got the violence that goes with that, or gambling issues. </w:t>
      </w:r>
    </w:p>
    <w:p w:rsidR="00DA796D" w:rsidRPr="005911E2" w:rsidRDefault="00DA796D" w:rsidP="008E5400">
      <w:pPr>
        <w:pStyle w:val="mininame"/>
      </w:pPr>
      <w:r w:rsidRPr="005911E2">
        <w:t>DCF child protection staff member</w:t>
      </w:r>
    </w:p>
    <w:p w:rsidR="00DA796D" w:rsidRPr="005911E2" w:rsidRDefault="00DA796D" w:rsidP="00DA796D">
      <w:pPr>
        <w:rPr>
          <w:lang w:eastAsia="en-AU"/>
        </w:rPr>
      </w:pPr>
      <w:r w:rsidRPr="005911E2">
        <w:rPr>
          <w:lang w:eastAsia="en-AU"/>
        </w:rPr>
        <w:t xml:space="preserve">However, while acknowledging the potential for it as a tool, there was diversity in thinking amongst practitioners about whether it was a tool that should be a regular part of their practice or something to use </w:t>
      </w:r>
      <w:r w:rsidR="004E506E">
        <w:rPr>
          <w:lang w:eastAsia="en-AU"/>
        </w:rPr>
        <w:t>‘</w:t>
      </w:r>
      <w:r w:rsidRPr="005911E2">
        <w:rPr>
          <w:lang w:eastAsia="en-AU"/>
        </w:rPr>
        <w:t>as a last resort</w:t>
      </w:r>
      <w:r w:rsidR="004E506E">
        <w:rPr>
          <w:lang w:eastAsia="en-AU"/>
        </w:rPr>
        <w:t>’</w:t>
      </w:r>
      <w:r w:rsidRPr="005911E2">
        <w:rPr>
          <w:lang w:eastAsia="en-AU"/>
        </w:rPr>
        <w:t xml:space="preserve">. In one office where interviews were conducted, the manager spoke about actively encouraging the use of </w:t>
      </w:r>
      <w:r w:rsidR="00E146B5">
        <w:rPr>
          <w:lang w:eastAsia="en-AU"/>
        </w:rPr>
        <w:t>Child Protection Income Management</w:t>
      </w:r>
      <w:r w:rsidRPr="005911E2">
        <w:rPr>
          <w:lang w:eastAsia="en-AU"/>
        </w:rPr>
        <w:t xml:space="preserve"> as part of everyday practice when working with neglect cases.</w:t>
      </w:r>
    </w:p>
    <w:p w:rsidR="00DA796D" w:rsidRPr="005911E2" w:rsidRDefault="00DA796D" w:rsidP="00DA796D">
      <w:pPr>
        <w:keepNext/>
        <w:spacing w:after="120"/>
        <w:ind w:left="2325"/>
        <w:jc w:val="left"/>
        <w:rPr>
          <w:i/>
          <w:iCs/>
        </w:rPr>
      </w:pPr>
      <w:r w:rsidRPr="005911E2">
        <w:rPr>
          <w:i/>
          <w:iCs/>
        </w:rPr>
        <w:t>We’ve adjusted our practices to suit our type of work. Now we're saying that any notification that comes into the system that is substantiated for either neglect, serious neglect, failure to thrive, drug and alcohol or gambling issues, they automatically become referrals for income management.</w:t>
      </w:r>
    </w:p>
    <w:p w:rsidR="00DA796D" w:rsidRPr="005911E2" w:rsidRDefault="00DA796D" w:rsidP="008E5400">
      <w:pPr>
        <w:pStyle w:val="mininame"/>
      </w:pPr>
      <w:r w:rsidRPr="005911E2">
        <w:t>DCF child protection staff member</w:t>
      </w:r>
    </w:p>
    <w:p w:rsidR="00DA796D" w:rsidRPr="005911E2" w:rsidRDefault="00DA796D" w:rsidP="00DA796D">
      <w:pPr>
        <w:rPr>
          <w:lang w:eastAsia="en-AU"/>
        </w:rPr>
      </w:pPr>
      <w:r w:rsidRPr="005911E2">
        <w:rPr>
          <w:lang w:eastAsia="en-AU"/>
        </w:rPr>
        <w:t xml:space="preserve">In another office, the manager had a different view, with staff encouraged to see </w:t>
      </w:r>
      <w:r w:rsidR="00E146B5">
        <w:rPr>
          <w:lang w:eastAsia="en-AU"/>
        </w:rPr>
        <w:t>Child Protection Income Management</w:t>
      </w:r>
      <w:r w:rsidRPr="005911E2">
        <w:rPr>
          <w:lang w:eastAsia="en-AU"/>
        </w:rPr>
        <w:t xml:space="preserve"> as a measure of last </w:t>
      </w:r>
      <w:r w:rsidR="00B81D60" w:rsidRPr="005911E2">
        <w:rPr>
          <w:lang w:eastAsia="en-AU"/>
        </w:rPr>
        <w:t>reso</w:t>
      </w:r>
      <w:r w:rsidR="00B81D60">
        <w:rPr>
          <w:lang w:eastAsia="en-AU"/>
        </w:rPr>
        <w:t>rt</w:t>
      </w:r>
      <w:r w:rsidRPr="005911E2">
        <w:rPr>
          <w:lang w:eastAsia="en-AU"/>
        </w:rPr>
        <w:t xml:space="preserve">. </w:t>
      </w:r>
    </w:p>
    <w:p w:rsidR="00DA796D" w:rsidRPr="005911E2" w:rsidRDefault="00DA796D" w:rsidP="00DA796D">
      <w:pPr>
        <w:keepNext/>
        <w:spacing w:after="120"/>
        <w:ind w:left="2325"/>
        <w:jc w:val="left"/>
        <w:rPr>
          <w:i/>
          <w:iCs/>
        </w:rPr>
      </w:pPr>
      <w:r w:rsidRPr="005911E2">
        <w:rPr>
          <w:i/>
          <w:iCs/>
        </w:rPr>
        <w:t xml:space="preserve">I guess it's designed to actually ensure that families get money for food. I guess its intent was to help reduce neglect issues with children and families. I guess it's just one more tool that's available for child protection workers to make use of… </w:t>
      </w:r>
      <w:r w:rsidR="0031584C" w:rsidRPr="005911E2">
        <w:rPr>
          <w:i/>
          <w:iCs/>
        </w:rPr>
        <w:t>It's also a very intrusive, it's exceptionally paternalistic, …</w:t>
      </w:r>
      <w:r w:rsidR="0031584C">
        <w:rPr>
          <w:i/>
          <w:iCs/>
        </w:rPr>
        <w:t xml:space="preserve"> </w:t>
      </w:r>
      <w:r w:rsidR="0031584C" w:rsidRPr="005911E2">
        <w:rPr>
          <w:i/>
          <w:iCs/>
        </w:rPr>
        <w:t xml:space="preserve">it really is a tool of last resort after many other interventions have been tried. </w:t>
      </w:r>
    </w:p>
    <w:p w:rsidR="00DA796D" w:rsidRPr="005911E2" w:rsidRDefault="00DA796D" w:rsidP="008E5400">
      <w:pPr>
        <w:pStyle w:val="mininame"/>
      </w:pPr>
      <w:r w:rsidRPr="005911E2">
        <w:t>DCF child protection staff member</w:t>
      </w:r>
    </w:p>
    <w:p w:rsidR="00DA796D" w:rsidRPr="005911E2" w:rsidRDefault="00DA796D" w:rsidP="00DA796D">
      <w:pPr>
        <w:rPr>
          <w:lang w:eastAsia="en-AU"/>
        </w:rPr>
      </w:pPr>
      <w:r w:rsidRPr="005911E2">
        <w:rPr>
          <w:lang w:eastAsia="en-AU"/>
        </w:rPr>
        <w:t xml:space="preserve">As discussed in Chapter 2, a small number of referrals have been made to Centrelink for </w:t>
      </w:r>
      <w:r w:rsidR="00E146B5">
        <w:rPr>
          <w:lang w:eastAsia="en-AU"/>
        </w:rPr>
        <w:t>Child Protection Income Management</w:t>
      </w:r>
      <w:r w:rsidRPr="005911E2">
        <w:rPr>
          <w:lang w:eastAsia="en-AU"/>
        </w:rPr>
        <w:t xml:space="preserve">. Child protection staff who participated in interviews identified a number of factors that they felt could be influencing this relatively low referral rate. </w:t>
      </w:r>
    </w:p>
    <w:p w:rsidR="00DA796D" w:rsidRPr="005911E2" w:rsidRDefault="00DA796D" w:rsidP="00DA796D">
      <w:pPr>
        <w:rPr>
          <w:lang w:eastAsia="en-AU"/>
        </w:rPr>
      </w:pPr>
      <w:r w:rsidRPr="005911E2">
        <w:rPr>
          <w:lang w:eastAsia="en-AU"/>
        </w:rPr>
        <w:t xml:space="preserve">When clients are referred to </w:t>
      </w:r>
      <w:r w:rsidR="00E146B5">
        <w:rPr>
          <w:lang w:eastAsia="en-AU"/>
        </w:rPr>
        <w:t>Child Protection Income Management</w:t>
      </w:r>
      <w:r w:rsidRPr="005911E2">
        <w:rPr>
          <w:lang w:eastAsia="en-AU"/>
        </w:rPr>
        <w:t xml:space="preserve">, their case is required to stay open and active for the period that the family member is being income managed under the measure. Child protection staff believed that these cases would not normally be active if they were not subject to </w:t>
      </w:r>
      <w:r w:rsidR="00E146B5">
        <w:rPr>
          <w:lang w:eastAsia="en-AU"/>
        </w:rPr>
        <w:t>Child Protection Income Management</w:t>
      </w:r>
      <w:r w:rsidRPr="005911E2">
        <w:rPr>
          <w:lang w:eastAsia="en-AU"/>
        </w:rPr>
        <w:t xml:space="preserve">. They were concerned that this would significantly increase their caseloads and prevent them from working with other families with more significant needs. </w:t>
      </w:r>
    </w:p>
    <w:p w:rsidR="00DA796D" w:rsidRPr="005911E2" w:rsidRDefault="00DA796D" w:rsidP="00DA796D">
      <w:pPr>
        <w:keepNext/>
        <w:spacing w:after="120"/>
        <w:ind w:left="2325"/>
        <w:jc w:val="left"/>
        <w:rPr>
          <w:i/>
          <w:iCs/>
        </w:rPr>
      </w:pPr>
      <w:r w:rsidRPr="005911E2">
        <w:rPr>
          <w:i/>
          <w:iCs/>
        </w:rPr>
        <w:t xml:space="preserve">So for our workers actually where they might have closed a case after four weeks, because it's neglect… they're now having to keep it open longer. So it's actually </w:t>
      </w:r>
      <w:r w:rsidR="00B81D60" w:rsidRPr="005911E2">
        <w:rPr>
          <w:i/>
          <w:iCs/>
        </w:rPr>
        <w:t>considerabl</w:t>
      </w:r>
      <w:r w:rsidR="00B81D60">
        <w:rPr>
          <w:i/>
          <w:iCs/>
        </w:rPr>
        <w:t>y</w:t>
      </w:r>
      <w:r w:rsidR="00B81D60" w:rsidRPr="005911E2">
        <w:rPr>
          <w:i/>
          <w:iCs/>
        </w:rPr>
        <w:t xml:space="preserve"> </w:t>
      </w:r>
      <w:r w:rsidRPr="005911E2">
        <w:rPr>
          <w:i/>
          <w:iCs/>
        </w:rPr>
        <w:t>more work. That doesn't mean it's necessarily negative.</w:t>
      </w:r>
    </w:p>
    <w:p w:rsidR="00DA796D" w:rsidRPr="005911E2" w:rsidRDefault="00DA796D" w:rsidP="008E5400">
      <w:pPr>
        <w:pStyle w:val="mininame"/>
      </w:pPr>
      <w:r w:rsidRPr="005911E2">
        <w:t>DCF child protection staff member</w:t>
      </w:r>
    </w:p>
    <w:p w:rsidR="00DA796D" w:rsidRPr="005911E2" w:rsidRDefault="00DA796D" w:rsidP="00DA796D">
      <w:pPr>
        <w:keepNext/>
        <w:spacing w:after="120"/>
        <w:ind w:left="2325"/>
        <w:jc w:val="left"/>
        <w:rPr>
          <w:i/>
          <w:iCs/>
        </w:rPr>
      </w:pPr>
      <w:r w:rsidRPr="005911E2">
        <w:rPr>
          <w:i/>
          <w:iCs/>
        </w:rPr>
        <w:t>One of the problems will be the expectation that we keep our cases open for that length of time whilst this goes on.</w:t>
      </w:r>
      <w:r w:rsidR="00B62B2D">
        <w:rPr>
          <w:i/>
          <w:iCs/>
        </w:rPr>
        <w:t xml:space="preserve"> </w:t>
      </w:r>
      <w:r w:rsidRPr="005911E2">
        <w:rPr>
          <w:i/>
          <w:iCs/>
        </w:rPr>
        <w:t>Now, that's in direct contradiction to all the pressure that we receive to achieve through-put with our child protection cases.</w:t>
      </w:r>
      <w:r w:rsidR="00B62B2D">
        <w:rPr>
          <w:i/>
          <w:iCs/>
        </w:rPr>
        <w:t xml:space="preserve"> </w:t>
      </w:r>
    </w:p>
    <w:p w:rsidR="00DA796D" w:rsidRPr="005911E2" w:rsidRDefault="00DA796D" w:rsidP="008E5400">
      <w:pPr>
        <w:pStyle w:val="mininame"/>
      </w:pPr>
      <w:r w:rsidRPr="005911E2">
        <w:t>DCF child protection staff member</w:t>
      </w:r>
    </w:p>
    <w:p w:rsidR="00DA796D" w:rsidRPr="005911E2" w:rsidRDefault="00DA796D" w:rsidP="00DA796D">
      <w:pPr>
        <w:rPr>
          <w:lang w:eastAsia="en-AU"/>
        </w:rPr>
      </w:pPr>
      <w:r w:rsidRPr="005911E2">
        <w:rPr>
          <w:lang w:eastAsia="en-AU"/>
        </w:rPr>
        <w:t xml:space="preserve">Part of the concern also related to what resources were available to work with families subject to </w:t>
      </w:r>
      <w:r w:rsidR="00E146B5">
        <w:rPr>
          <w:lang w:eastAsia="en-AU"/>
        </w:rPr>
        <w:t>Child Protection Income Management</w:t>
      </w:r>
      <w:r w:rsidRPr="005911E2">
        <w:rPr>
          <w:lang w:eastAsia="en-AU"/>
        </w:rPr>
        <w:t xml:space="preserve"> during the time they are being income managed. There was a sense that income managing people</w:t>
      </w:r>
      <w:r w:rsidR="004E506E">
        <w:rPr>
          <w:lang w:eastAsia="en-AU"/>
        </w:rPr>
        <w:t>,</w:t>
      </w:r>
      <w:r w:rsidRPr="005911E2">
        <w:rPr>
          <w:lang w:eastAsia="en-AU"/>
        </w:rPr>
        <w:t xml:space="preserve"> without providing these services</w:t>
      </w:r>
      <w:r w:rsidR="004E506E">
        <w:rPr>
          <w:lang w:eastAsia="en-AU"/>
        </w:rPr>
        <w:t>,</w:t>
      </w:r>
      <w:r w:rsidRPr="005911E2">
        <w:rPr>
          <w:lang w:eastAsia="en-AU"/>
        </w:rPr>
        <w:t xml:space="preserve"> had little value.</w:t>
      </w:r>
    </w:p>
    <w:p w:rsidR="00DA796D" w:rsidRPr="005911E2" w:rsidRDefault="00DA796D" w:rsidP="00DA796D">
      <w:pPr>
        <w:keepNext/>
        <w:spacing w:after="120"/>
        <w:ind w:left="2325"/>
        <w:jc w:val="left"/>
        <w:rPr>
          <w:i/>
          <w:iCs/>
        </w:rPr>
      </w:pPr>
      <w:r w:rsidRPr="005911E2">
        <w:rPr>
          <w:i/>
          <w:iCs/>
        </w:rPr>
        <w:t>The problem is the services that are available to support these is extremely limited…If we had services to work with them over a period of six to 12 months, then the outcome would be considerably better but without the services in there, it's just punishment.</w:t>
      </w:r>
    </w:p>
    <w:p w:rsidR="00DA796D" w:rsidRPr="005911E2" w:rsidRDefault="00DA796D" w:rsidP="008E5400">
      <w:pPr>
        <w:pStyle w:val="mininame"/>
      </w:pPr>
      <w:r w:rsidRPr="005911E2">
        <w:t>DCF child protection staff member</w:t>
      </w:r>
    </w:p>
    <w:p w:rsidR="00DA796D" w:rsidRPr="005911E2" w:rsidRDefault="00DA796D" w:rsidP="00DA796D">
      <w:pPr>
        <w:keepNext/>
        <w:spacing w:after="120"/>
        <w:ind w:left="2325"/>
        <w:jc w:val="left"/>
        <w:rPr>
          <w:i/>
          <w:iCs/>
        </w:rPr>
      </w:pPr>
      <w:r w:rsidRPr="005911E2">
        <w:rPr>
          <w:i/>
          <w:iCs/>
        </w:rPr>
        <w:t>If we're going to take people's money off them and manage it we must have the programs to refer them to so that they do get the education and the knowledge and the capacity to actually change their lifestyle and be able to go on and do that themselves once they get full access to their income again.</w:t>
      </w:r>
      <w:r w:rsidR="00B62B2D">
        <w:rPr>
          <w:i/>
          <w:iCs/>
        </w:rPr>
        <w:t xml:space="preserve"> </w:t>
      </w:r>
    </w:p>
    <w:p w:rsidR="00DA796D" w:rsidRPr="005911E2" w:rsidRDefault="00DA796D" w:rsidP="008E5400">
      <w:pPr>
        <w:pStyle w:val="mininame"/>
      </w:pPr>
      <w:r w:rsidRPr="005911E2">
        <w:t>DCF child protection staff member</w:t>
      </w:r>
    </w:p>
    <w:p w:rsidR="00DA796D" w:rsidRPr="005911E2" w:rsidRDefault="004E506E" w:rsidP="00DA796D">
      <w:pPr>
        <w:rPr>
          <w:lang w:eastAsia="en-AU"/>
        </w:rPr>
      </w:pPr>
      <w:r>
        <w:rPr>
          <w:lang w:eastAsia="en-AU"/>
        </w:rPr>
        <w:t>However, i</w:t>
      </w:r>
      <w:r w:rsidR="00DA796D" w:rsidRPr="005911E2">
        <w:rPr>
          <w:lang w:eastAsia="en-AU"/>
        </w:rPr>
        <w:t xml:space="preserve">f they did not continue to actively engage with families on </w:t>
      </w:r>
      <w:r w:rsidR="00E146B5">
        <w:rPr>
          <w:lang w:eastAsia="en-AU"/>
        </w:rPr>
        <w:t>Child Protection Income Management</w:t>
      </w:r>
      <w:r w:rsidR="00DA796D" w:rsidRPr="005911E2">
        <w:rPr>
          <w:lang w:eastAsia="en-AU"/>
        </w:rPr>
        <w:t xml:space="preserve">, they felt that they were at risk of being blamed if something </w:t>
      </w:r>
      <w:r>
        <w:rPr>
          <w:lang w:eastAsia="en-AU"/>
        </w:rPr>
        <w:t>‘</w:t>
      </w:r>
      <w:r w:rsidR="00DA796D" w:rsidRPr="005911E2">
        <w:rPr>
          <w:lang w:eastAsia="en-AU"/>
        </w:rPr>
        <w:t>went wrong</w:t>
      </w:r>
      <w:r>
        <w:rPr>
          <w:lang w:eastAsia="en-AU"/>
        </w:rPr>
        <w:t>’</w:t>
      </w:r>
      <w:r w:rsidR="00DA796D" w:rsidRPr="005911E2">
        <w:rPr>
          <w:lang w:eastAsia="en-AU"/>
        </w:rPr>
        <w:t xml:space="preserve"> within these families. These service providers frequently expressed a preference that Centrelink social workers should take ongoing responsibility for managing the </w:t>
      </w:r>
      <w:r w:rsidR="00F878E4">
        <w:rPr>
          <w:lang w:eastAsia="en-AU"/>
        </w:rPr>
        <w:t>income management</w:t>
      </w:r>
      <w:r w:rsidR="00DA796D" w:rsidRPr="005911E2">
        <w:rPr>
          <w:lang w:eastAsia="en-AU"/>
        </w:rPr>
        <w:t xml:space="preserve"> aspect of these cases</w:t>
      </w:r>
      <w:r w:rsidR="00B81D60">
        <w:rPr>
          <w:lang w:eastAsia="en-AU"/>
        </w:rPr>
        <w:t>,</w:t>
      </w:r>
      <w:r w:rsidR="00DA796D" w:rsidRPr="005911E2">
        <w:rPr>
          <w:lang w:eastAsia="en-AU"/>
        </w:rPr>
        <w:t xml:space="preserve"> once a referral was made and all other child protection issues have been resolved. It was also suggested that having Centrelink involved</w:t>
      </w:r>
      <w:r w:rsidR="00B81D60">
        <w:rPr>
          <w:lang w:eastAsia="en-AU"/>
        </w:rPr>
        <w:t>,</w:t>
      </w:r>
      <w:r w:rsidR="00DA796D" w:rsidRPr="005911E2">
        <w:rPr>
          <w:lang w:eastAsia="en-AU"/>
        </w:rPr>
        <w:t xml:space="preserve"> rather than DCF child protection staff keeping the case within the child protection system when all other child protection issues have been resolved</w:t>
      </w:r>
      <w:r w:rsidR="00B81D60">
        <w:rPr>
          <w:lang w:eastAsia="en-AU"/>
        </w:rPr>
        <w:t>,</w:t>
      </w:r>
      <w:r w:rsidR="00DA796D" w:rsidRPr="005911E2">
        <w:rPr>
          <w:lang w:eastAsia="en-AU"/>
        </w:rPr>
        <w:t xml:space="preserve"> may be a preferable pathway for people who are subject to </w:t>
      </w:r>
      <w:r w:rsidR="00B81D60">
        <w:rPr>
          <w:lang w:eastAsia="en-AU"/>
        </w:rPr>
        <w:t>income management</w:t>
      </w:r>
      <w:r w:rsidR="00DA796D" w:rsidRPr="005911E2">
        <w:rPr>
          <w:lang w:eastAsia="en-AU"/>
        </w:rPr>
        <w:t>.</w:t>
      </w:r>
    </w:p>
    <w:p w:rsidR="00DA796D" w:rsidRPr="005911E2" w:rsidRDefault="00DA796D" w:rsidP="00DA796D">
      <w:pPr>
        <w:keepNext/>
        <w:spacing w:after="120"/>
        <w:ind w:left="2325"/>
        <w:jc w:val="left"/>
        <w:rPr>
          <w:i/>
          <w:iCs/>
        </w:rPr>
      </w:pPr>
      <w:r w:rsidRPr="005911E2">
        <w:rPr>
          <w:i/>
          <w:iCs/>
        </w:rPr>
        <w:t>I think the clients probably prefer to be working with Centrelink and the family support services than have us in their face all the time.</w:t>
      </w:r>
      <w:r w:rsidR="00B62B2D">
        <w:rPr>
          <w:i/>
          <w:iCs/>
        </w:rPr>
        <w:t xml:space="preserve"> </w:t>
      </w:r>
      <w:r w:rsidRPr="005911E2">
        <w:rPr>
          <w:i/>
          <w:iCs/>
        </w:rPr>
        <w:t>I mean, nobody likes us... I think clients would much prefer to work with Centrelink and the supporting services than have child protection workers on their doorstep and in their lives for the next six or 12 months.</w:t>
      </w:r>
      <w:r w:rsidR="00B62B2D">
        <w:rPr>
          <w:i/>
          <w:iCs/>
        </w:rPr>
        <w:t xml:space="preserve"> </w:t>
      </w:r>
      <w:r w:rsidRPr="005911E2">
        <w:rPr>
          <w:i/>
          <w:iCs/>
        </w:rPr>
        <w:t>That's a long time for us to be on people's doorsteps.</w:t>
      </w:r>
    </w:p>
    <w:p w:rsidR="00DA796D" w:rsidRPr="005911E2" w:rsidRDefault="00DA796D" w:rsidP="008E5400">
      <w:pPr>
        <w:pStyle w:val="mininame"/>
      </w:pPr>
      <w:r w:rsidRPr="005911E2">
        <w:t>DCF child protection staff member</w:t>
      </w:r>
    </w:p>
    <w:p w:rsidR="00DA796D" w:rsidRPr="005911E2" w:rsidRDefault="00DA796D" w:rsidP="00DA796D">
      <w:r w:rsidRPr="005911E2">
        <w:t xml:space="preserve">As discussed above, there was also a strong preference amongst child protection practitioners to have clients choose </w:t>
      </w:r>
      <w:r w:rsidR="002B5A5C">
        <w:t>Voluntary Income Management</w:t>
      </w:r>
      <w:r w:rsidRPr="005911E2">
        <w:t xml:space="preserve"> rather than be subject to </w:t>
      </w:r>
      <w:r w:rsidR="00E146B5">
        <w:t>Child Protection Income Management</w:t>
      </w:r>
      <w:r w:rsidRPr="005911E2">
        <w:t xml:space="preserve">. This seemed to be the primary barrier to practitioners making referrals to </w:t>
      </w:r>
      <w:r w:rsidR="00E146B5">
        <w:t>Child Protection Income Management</w:t>
      </w:r>
      <w:r w:rsidRPr="005911E2">
        <w:t xml:space="preserve">. Most interview respondents also noted that most of the families they engaged with were already on some form of </w:t>
      </w:r>
      <w:r w:rsidR="00F878E4">
        <w:t>income management</w:t>
      </w:r>
      <w:r w:rsidRPr="005911E2">
        <w:t xml:space="preserve"> prior to engaging with them.</w:t>
      </w:r>
    </w:p>
    <w:p w:rsidR="00DA796D" w:rsidRPr="005911E2" w:rsidRDefault="00DA796D" w:rsidP="00DA796D">
      <w:pPr>
        <w:keepNext/>
        <w:spacing w:after="120"/>
        <w:ind w:left="2325"/>
        <w:jc w:val="left"/>
        <w:rPr>
          <w:i/>
          <w:iCs/>
        </w:rPr>
      </w:pPr>
      <w:r w:rsidRPr="005911E2">
        <w:rPr>
          <w:i/>
          <w:iCs/>
        </w:rPr>
        <w:t>We try to get them to voluntarily go in and even more we try and get them to do the Centrepay type stuff… which really is about trying to get people to voluntarily improve their situation as opposed to – “okay, we're going to do this to you”</w:t>
      </w:r>
    </w:p>
    <w:p w:rsidR="00DA796D" w:rsidRPr="005911E2" w:rsidRDefault="00DA796D" w:rsidP="008E5400">
      <w:pPr>
        <w:pStyle w:val="mininame"/>
      </w:pPr>
      <w:r w:rsidRPr="005911E2">
        <w:t>DCF child protection staff member</w:t>
      </w:r>
    </w:p>
    <w:p w:rsidR="00DA796D" w:rsidRPr="005911E2" w:rsidRDefault="00DA796D" w:rsidP="00DA796D">
      <w:pPr>
        <w:keepNext/>
        <w:spacing w:after="120"/>
        <w:ind w:left="2325"/>
        <w:jc w:val="left"/>
        <w:rPr>
          <w:i/>
          <w:iCs/>
        </w:rPr>
      </w:pPr>
      <w:r w:rsidRPr="005911E2">
        <w:rPr>
          <w:i/>
          <w:iCs/>
        </w:rPr>
        <w:t>I think the preference would be if people would volunteer, like go voluntary with it, makes it easier to work with.</w:t>
      </w:r>
      <w:r w:rsidR="00B62B2D">
        <w:rPr>
          <w:i/>
          <w:iCs/>
        </w:rPr>
        <w:t xml:space="preserve"> </w:t>
      </w:r>
    </w:p>
    <w:p w:rsidR="00DA796D" w:rsidRPr="005911E2" w:rsidRDefault="00DA796D" w:rsidP="008E5400">
      <w:pPr>
        <w:pStyle w:val="mininame"/>
      </w:pPr>
      <w:r w:rsidRPr="005911E2">
        <w:t>DCF child protection staff member</w:t>
      </w:r>
    </w:p>
    <w:p w:rsidR="00DA796D" w:rsidRPr="005911E2" w:rsidRDefault="00E2340D" w:rsidP="00BD6DFD">
      <w:pPr>
        <w:pStyle w:val="Heading3"/>
      </w:pPr>
      <w:r>
        <w:t>Vulnerable</w:t>
      </w:r>
      <w:r w:rsidR="001732D1">
        <w:t xml:space="preserve"> </w:t>
      </w:r>
      <w:r>
        <w:t>Income Management</w:t>
      </w:r>
      <w:r w:rsidR="001732D1">
        <w:t xml:space="preserve"> (Vulnerable Welfare Payment Recipients Measure)</w:t>
      </w:r>
    </w:p>
    <w:p w:rsidR="00DA796D" w:rsidRPr="005911E2" w:rsidRDefault="00DA796D" w:rsidP="00DA796D">
      <w:pPr>
        <w:rPr>
          <w:lang w:eastAsia="en-AU"/>
        </w:rPr>
      </w:pPr>
      <w:r w:rsidRPr="005911E2">
        <w:rPr>
          <w:lang w:eastAsia="en-AU"/>
        </w:rPr>
        <w:t xml:space="preserve">Vulnerable Income Management is a compulsory form of income management applied after an assessment made by a Centrelink social worker. These assessments are based on indicators of vulnerability such as financial hardship; financial exploitation; failure to undertake reasonable self-care; or homelessness or risk of homelessness (see Chapter 2 for a more detailed explanation of the assessment process). </w:t>
      </w:r>
    </w:p>
    <w:p w:rsidR="00DA796D" w:rsidRPr="005911E2" w:rsidRDefault="00DA796D" w:rsidP="00DA796D">
      <w:pPr>
        <w:rPr>
          <w:lang w:eastAsia="en-AU"/>
        </w:rPr>
      </w:pPr>
      <w:r w:rsidRPr="005911E2">
        <w:rPr>
          <w:lang w:eastAsia="en-AU"/>
        </w:rPr>
        <w:t xml:space="preserve">Centrelink staff reported that they considered most of the clients who were subject to </w:t>
      </w:r>
      <w:r w:rsidR="00E2340D">
        <w:rPr>
          <w:lang w:eastAsia="en-AU"/>
        </w:rPr>
        <w:t>Vulnerable Income Management</w:t>
      </w:r>
      <w:r w:rsidRPr="005911E2">
        <w:rPr>
          <w:lang w:eastAsia="en-AU"/>
        </w:rPr>
        <w:t xml:space="preserve"> had current or previous alcohol or drug issues, which may have also led to forms of brain injury. The other group likely to </w:t>
      </w:r>
      <w:r w:rsidR="00B81D60">
        <w:rPr>
          <w:lang w:eastAsia="en-AU"/>
        </w:rPr>
        <w:t xml:space="preserve">be </w:t>
      </w:r>
      <w:r w:rsidR="00EF0617">
        <w:rPr>
          <w:lang w:eastAsia="en-AU"/>
        </w:rPr>
        <w:t>subject to</w:t>
      </w:r>
      <w:r w:rsidR="00B62B2D">
        <w:rPr>
          <w:lang w:eastAsia="en-AU"/>
        </w:rPr>
        <w:t xml:space="preserve"> </w:t>
      </w:r>
      <w:r w:rsidR="00E2340D">
        <w:rPr>
          <w:lang w:eastAsia="en-AU"/>
        </w:rPr>
        <w:t>Vulnerable Income Management</w:t>
      </w:r>
      <w:r w:rsidRPr="005911E2">
        <w:rPr>
          <w:lang w:eastAsia="en-AU"/>
        </w:rPr>
        <w:t xml:space="preserve"> was the very elderly</w:t>
      </w:r>
      <w:r w:rsidR="00FA5A6B">
        <w:rPr>
          <w:lang w:eastAsia="en-AU"/>
        </w:rPr>
        <w:t>.</w:t>
      </w:r>
      <w:r w:rsidR="00BE5ECB">
        <w:rPr>
          <w:rStyle w:val="FootnoteReference"/>
          <w:lang w:eastAsia="en-AU"/>
        </w:rPr>
        <w:footnoteReference w:id="91"/>
      </w:r>
      <w:r w:rsidRPr="005911E2">
        <w:rPr>
          <w:lang w:eastAsia="en-AU"/>
        </w:rPr>
        <w:t xml:space="preserve"> These groups were seen to need a lot of support to ensure that they were able to meet their basic needs around having enough food. Many of the people in this group did not have stable housing. The measure was also seen as giving a halfway house between doing nothing and proposing guardianship arrangements for many</w:t>
      </w:r>
      <w:r w:rsidR="00BE5ECB">
        <w:rPr>
          <w:lang w:eastAsia="en-AU"/>
        </w:rPr>
        <w:t>,</w:t>
      </w:r>
      <w:r w:rsidRPr="005911E2">
        <w:rPr>
          <w:lang w:eastAsia="en-AU"/>
        </w:rPr>
        <w:t xml:space="preserve"> particularly vulnerable people.</w:t>
      </w:r>
    </w:p>
    <w:p w:rsidR="00DA796D" w:rsidRPr="005911E2" w:rsidRDefault="00DA796D" w:rsidP="00DA796D">
      <w:pPr>
        <w:keepNext/>
        <w:spacing w:after="120"/>
        <w:ind w:left="2325"/>
        <w:jc w:val="left"/>
        <w:rPr>
          <w:i/>
          <w:iCs/>
        </w:rPr>
      </w:pPr>
      <w:r w:rsidRPr="005911E2">
        <w:rPr>
          <w:i/>
          <w:iCs/>
        </w:rPr>
        <w:t xml:space="preserve">Yes, a lot of DSP </w:t>
      </w:r>
      <w:r w:rsidR="00EF0617">
        <w:rPr>
          <w:i/>
          <w:iCs/>
        </w:rPr>
        <w:t>[Disability Support Pension]</w:t>
      </w:r>
      <w:r w:rsidR="00EF0617" w:rsidRPr="005911E2">
        <w:rPr>
          <w:i/>
          <w:iCs/>
        </w:rPr>
        <w:t xml:space="preserve"> </w:t>
      </w:r>
      <w:r w:rsidRPr="005911E2">
        <w:rPr>
          <w:i/>
          <w:iCs/>
        </w:rPr>
        <w:t>customers that are indigenous that are very alcohol dependent.</w:t>
      </w:r>
      <w:r w:rsidR="00B62B2D">
        <w:rPr>
          <w:i/>
          <w:iCs/>
        </w:rPr>
        <w:t xml:space="preserve"> </w:t>
      </w:r>
      <w:r w:rsidRPr="005911E2">
        <w:rPr>
          <w:i/>
          <w:iCs/>
        </w:rPr>
        <w:t>Being put on a BasicsCard for Vulnerable measure has been really good for some of them.</w:t>
      </w:r>
      <w:r w:rsidR="00B62B2D">
        <w:rPr>
          <w:i/>
          <w:iCs/>
        </w:rPr>
        <w:t xml:space="preserve"> </w:t>
      </w:r>
      <w:r w:rsidRPr="005911E2">
        <w:rPr>
          <w:i/>
          <w:iCs/>
        </w:rPr>
        <w:t>They’re not as drunk most of the time when they come in.</w:t>
      </w:r>
      <w:r w:rsidR="00B62B2D">
        <w:rPr>
          <w:i/>
          <w:iCs/>
        </w:rPr>
        <w:t xml:space="preserve"> </w:t>
      </w:r>
      <w:r w:rsidRPr="005911E2">
        <w:rPr>
          <w:i/>
          <w:iCs/>
        </w:rPr>
        <w:t xml:space="preserve">We can book a night’s accommodation for them and pay for it from </w:t>
      </w:r>
      <w:r w:rsidR="00EF0617">
        <w:rPr>
          <w:i/>
          <w:iCs/>
        </w:rPr>
        <w:t>i</w:t>
      </w:r>
      <w:r w:rsidRPr="005911E2">
        <w:rPr>
          <w:i/>
          <w:iCs/>
        </w:rPr>
        <w:t xml:space="preserve">ncome </w:t>
      </w:r>
      <w:r w:rsidR="00EF0617">
        <w:rPr>
          <w:i/>
          <w:iCs/>
        </w:rPr>
        <w:t>m</w:t>
      </w:r>
      <w:r w:rsidRPr="005911E2">
        <w:rPr>
          <w:i/>
          <w:iCs/>
        </w:rPr>
        <w:t>anagement for them to sleep under a roof for the night.</w:t>
      </w:r>
    </w:p>
    <w:p w:rsidR="00DA796D" w:rsidRPr="005911E2" w:rsidRDefault="00DA796D" w:rsidP="008E5400">
      <w:pPr>
        <w:pStyle w:val="mininame"/>
      </w:pPr>
      <w:r w:rsidRPr="005911E2">
        <w:t>Centrelink Customer Service Advis</w:t>
      </w:r>
      <w:r w:rsidR="00EF0617">
        <w:t>e</w:t>
      </w:r>
      <w:r w:rsidRPr="005911E2">
        <w:t>r</w:t>
      </w:r>
    </w:p>
    <w:p w:rsidR="00DA796D" w:rsidRPr="005911E2" w:rsidRDefault="00DA796D" w:rsidP="00DA796D">
      <w:r w:rsidRPr="005911E2">
        <w:t xml:space="preserve">As discussed in Chapter 6, one aspect of </w:t>
      </w:r>
      <w:r w:rsidR="00F878E4">
        <w:t>income management</w:t>
      </w:r>
      <w:r w:rsidRPr="005911E2">
        <w:t xml:space="preserve"> that was identified by Centrelink staff as being particularly useful was the ability to have small amounts of money allocated to people’s BasicsCard on a daily basis. This is seen to protect clients who have their cards lost or stolen on a regular basis or to minimise the amount of money available on the card for another person to make use of.</w:t>
      </w:r>
      <w:r w:rsidR="00B62B2D">
        <w:t xml:space="preserve"> </w:t>
      </w:r>
    </w:p>
    <w:p w:rsidR="00DA796D" w:rsidRPr="005911E2" w:rsidRDefault="00DA796D" w:rsidP="00DA796D">
      <w:pPr>
        <w:keepNext/>
        <w:spacing w:after="120"/>
        <w:ind w:left="2325"/>
        <w:jc w:val="left"/>
        <w:rPr>
          <w:rFonts w:eastAsiaTheme="minorEastAsia"/>
          <w:i/>
          <w:iCs/>
          <w:lang w:bidi="ar-SA"/>
        </w:rPr>
      </w:pPr>
      <w:r w:rsidRPr="005911E2">
        <w:rPr>
          <w:rFonts w:eastAsiaTheme="minorEastAsia"/>
          <w:i/>
          <w:iCs/>
          <w:lang w:bidi="ar-SA"/>
        </w:rPr>
        <w:t>We can even set up daily allocations to the BasicsCard.</w:t>
      </w:r>
      <w:r w:rsidR="00B62B2D">
        <w:rPr>
          <w:rFonts w:eastAsiaTheme="minorEastAsia"/>
          <w:i/>
          <w:iCs/>
          <w:lang w:bidi="ar-SA"/>
        </w:rPr>
        <w:t xml:space="preserve"> </w:t>
      </w:r>
      <w:r w:rsidRPr="005911E2">
        <w:rPr>
          <w:rFonts w:eastAsiaTheme="minorEastAsia"/>
          <w:i/>
          <w:iCs/>
          <w:lang w:bidi="ar-SA"/>
        </w:rPr>
        <w:t>So for those really vulnerable customers they can get like you know $25 a day which is obviously beneficial.</w:t>
      </w:r>
    </w:p>
    <w:p w:rsidR="00DA796D" w:rsidRPr="005911E2" w:rsidRDefault="00DA796D" w:rsidP="008E5400">
      <w:pPr>
        <w:pStyle w:val="mininame"/>
      </w:pPr>
      <w:r w:rsidRPr="005911E2">
        <w:t>Centrelink Customer Service Advis</w:t>
      </w:r>
      <w:r w:rsidR="00384A7D">
        <w:t>e</w:t>
      </w:r>
      <w:r w:rsidRPr="005911E2">
        <w:t>r</w:t>
      </w:r>
    </w:p>
    <w:p w:rsidR="00DA796D" w:rsidRPr="005911E2" w:rsidRDefault="00DA796D" w:rsidP="00DA796D">
      <w:pPr>
        <w:rPr>
          <w:rFonts w:eastAsiaTheme="minorEastAsia"/>
        </w:rPr>
      </w:pPr>
      <w:r w:rsidRPr="005911E2">
        <w:rPr>
          <w:rFonts w:eastAsiaTheme="minorEastAsia"/>
          <w:lang w:bidi="ar-SA"/>
        </w:rPr>
        <w:t>People</w:t>
      </w:r>
      <w:r w:rsidRPr="005911E2">
        <w:rPr>
          <w:rFonts w:eastAsiaTheme="minorEastAsia"/>
        </w:rPr>
        <w:t xml:space="preserve"> subject to </w:t>
      </w:r>
      <w:r w:rsidR="00E2340D">
        <w:rPr>
          <w:rFonts w:eastAsiaTheme="minorEastAsia"/>
        </w:rPr>
        <w:t>Vulnerable Income Management</w:t>
      </w:r>
      <w:r w:rsidRPr="005911E2">
        <w:rPr>
          <w:rFonts w:eastAsiaTheme="minorEastAsia"/>
        </w:rPr>
        <w:t xml:space="preserve"> were likely to have very regular interactions with Centrelink – checking their balances, seeking replacement cards and asking for more money to be put on their cards for food or other needs. While many Centrelink staff reflected on the extra workload this had brought to their offices since the introduction of </w:t>
      </w:r>
      <w:r w:rsidR="00F878E4">
        <w:rPr>
          <w:rFonts w:eastAsiaTheme="minorEastAsia"/>
        </w:rPr>
        <w:t>income management</w:t>
      </w:r>
      <w:r w:rsidRPr="005911E2">
        <w:rPr>
          <w:rFonts w:eastAsiaTheme="minorEastAsia"/>
        </w:rPr>
        <w:t xml:space="preserve">, it was also seen as an opportunity to be able to work with these clients on other issues and needs when they came in for </w:t>
      </w:r>
      <w:r w:rsidR="00F878E4">
        <w:rPr>
          <w:rFonts w:eastAsiaTheme="minorEastAsia"/>
        </w:rPr>
        <w:t>income management</w:t>
      </w:r>
      <w:r w:rsidRPr="005911E2">
        <w:rPr>
          <w:rFonts w:eastAsiaTheme="minorEastAsia"/>
        </w:rPr>
        <w:t xml:space="preserve"> related assistance. </w:t>
      </w:r>
    </w:p>
    <w:p w:rsidR="00DA796D" w:rsidRPr="005911E2" w:rsidRDefault="00DA796D" w:rsidP="00DA796D">
      <w:pPr>
        <w:keepNext/>
        <w:spacing w:after="120"/>
        <w:ind w:left="2325"/>
        <w:jc w:val="left"/>
        <w:rPr>
          <w:rFonts w:eastAsiaTheme="minorEastAsia"/>
          <w:i/>
          <w:iCs/>
          <w:lang w:bidi="ar-SA"/>
        </w:rPr>
      </w:pPr>
      <w:r w:rsidRPr="005911E2">
        <w:rPr>
          <w:rFonts w:eastAsiaTheme="minorEastAsia"/>
          <w:i/>
          <w:iCs/>
          <w:lang w:bidi="ar-SA"/>
        </w:rPr>
        <w:t xml:space="preserve">It's mainly our vulnerable customers that we get in, like on an everyday basis, for replacement BasicsCard and income management enquiries </w:t>
      </w:r>
      <w:r w:rsidR="0031584C" w:rsidRPr="005911E2">
        <w:rPr>
          <w:rFonts w:eastAsiaTheme="minorEastAsia"/>
          <w:i/>
          <w:iCs/>
          <w:lang w:bidi="ar-SA"/>
        </w:rPr>
        <w:t>… [</w:t>
      </w:r>
      <w:r w:rsidRPr="005911E2">
        <w:rPr>
          <w:rFonts w:eastAsiaTheme="minorEastAsia"/>
          <w:i/>
          <w:iCs/>
          <w:lang w:bidi="ar-SA"/>
        </w:rPr>
        <w:t>and] Yeah, on a daily basis to check their BasicsCard and things that I guess vulnerable customers wouldn't over the phone.</w:t>
      </w:r>
    </w:p>
    <w:p w:rsidR="00DA796D" w:rsidRPr="005911E2" w:rsidRDefault="00DA796D" w:rsidP="008E5400">
      <w:pPr>
        <w:pStyle w:val="mininame"/>
      </w:pPr>
      <w:r w:rsidRPr="005911E2">
        <w:t>Centrelink Customer Service Advis</w:t>
      </w:r>
      <w:r w:rsidR="00EF0617">
        <w:t>e</w:t>
      </w:r>
      <w:r w:rsidRPr="005911E2">
        <w:t>r</w:t>
      </w:r>
    </w:p>
    <w:p w:rsidR="00DA796D" w:rsidRPr="005911E2" w:rsidRDefault="00DA796D" w:rsidP="00DA796D">
      <w:pPr>
        <w:keepNext/>
        <w:spacing w:after="120"/>
        <w:ind w:left="2325"/>
        <w:jc w:val="left"/>
        <w:rPr>
          <w:rFonts w:eastAsiaTheme="minorEastAsia"/>
          <w:i/>
          <w:iCs/>
          <w:lang w:bidi="ar-SA"/>
        </w:rPr>
      </w:pPr>
      <w:r w:rsidRPr="005911E2">
        <w:rPr>
          <w:rFonts w:eastAsiaTheme="minorEastAsia"/>
          <w:i/>
          <w:iCs/>
          <w:lang w:bidi="ar-SA"/>
        </w:rPr>
        <w:t>Now I know that that’s not very cost effective for the organisation but that’s the way it is unfortunately.</w:t>
      </w:r>
    </w:p>
    <w:p w:rsidR="00DA796D" w:rsidRPr="005911E2" w:rsidRDefault="00DA796D" w:rsidP="008E5400">
      <w:pPr>
        <w:pStyle w:val="mininame"/>
      </w:pPr>
      <w:r w:rsidRPr="005911E2">
        <w:t>Centrelink Customer Service Advis</w:t>
      </w:r>
      <w:r w:rsidR="00EF0617">
        <w:t>e</w:t>
      </w:r>
      <w:r w:rsidRPr="005911E2">
        <w:t>r</w:t>
      </w:r>
    </w:p>
    <w:p w:rsidR="00DA796D" w:rsidRPr="005911E2" w:rsidRDefault="00DA796D" w:rsidP="00DA796D">
      <w:r w:rsidRPr="005911E2">
        <w:t xml:space="preserve">As discussed in section 9.5.1, Centrelink social workers expressed a preference for these people to choose </w:t>
      </w:r>
      <w:r w:rsidR="002B5A5C">
        <w:t>Voluntary Income Management</w:t>
      </w:r>
      <w:r w:rsidRPr="005911E2">
        <w:t xml:space="preserve"> rather than </w:t>
      </w:r>
      <w:r w:rsidR="00E2340D">
        <w:t>Vulnerable Income Management</w:t>
      </w:r>
      <w:r w:rsidRPr="005911E2">
        <w:t xml:space="preserve"> to allow for the person to have a greater sense of control over their lives. However, many Centrelink staff noted that in some cases this was not always possible. </w:t>
      </w:r>
    </w:p>
    <w:p w:rsidR="00DA796D" w:rsidRPr="005911E2" w:rsidRDefault="00DA796D" w:rsidP="00DA796D">
      <w:pPr>
        <w:keepNext/>
        <w:spacing w:after="120"/>
        <w:ind w:left="2325"/>
        <w:jc w:val="left"/>
        <w:rPr>
          <w:i/>
          <w:iCs/>
        </w:rPr>
      </w:pPr>
      <w:r w:rsidRPr="005911E2">
        <w:rPr>
          <w:i/>
          <w:iCs/>
        </w:rPr>
        <w:t xml:space="preserve">I think very few customers I work with actually have the [vulnerable measure] applied. They’re </w:t>
      </w:r>
      <w:r w:rsidR="002B5A5C">
        <w:rPr>
          <w:i/>
          <w:iCs/>
        </w:rPr>
        <w:t>Voluntary Income Management</w:t>
      </w:r>
      <w:r w:rsidRPr="005911E2">
        <w:rPr>
          <w:i/>
          <w:iCs/>
        </w:rPr>
        <w:t xml:space="preserve"> customers who are well supported by </w:t>
      </w:r>
      <w:r w:rsidR="002B5A5C">
        <w:rPr>
          <w:i/>
          <w:iCs/>
        </w:rPr>
        <w:t>Voluntary Income Management</w:t>
      </w:r>
      <w:r w:rsidRPr="005911E2">
        <w:rPr>
          <w:i/>
          <w:iCs/>
        </w:rPr>
        <w:t xml:space="preserve"> arrangements. If the person has elected to exit from </w:t>
      </w:r>
      <w:r w:rsidR="002B5A5C">
        <w:rPr>
          <w:i/>
          <w:iCs/>
        </w:rPr>
        <w:t>Voluntary Income Management</w:t>
      </w:r>
      <w:r w:rsidRPr="005911E2">
        <w:rPr>
          <w:i/>
          <w:iCs/>
        </w:rPr>
        <w:t xml:space="preserve"> I would have serious concerns for their capacity to maintain adequate self-care and not be extremely vulnerable</w:t>
      </w:r>
      <w:r w:rsidR="00EF0617">
        <w:rPr>
          <w:i/>
          <w:iCs/>
        </w:rPr>
        <w:t>.</w:t>
      </w:r>
    </w:p>
    <w:p w:rsidR="00DA796D" w:rsidRPr="005911E2" w:rsidRDefault="00DA796D" w:rsidP="008E5400">
      <w:pPr>
        <w:pStyle w:val="mininame"/>
      </w:pPr>
      <w:r w:rsidRPr="005911E2">
        <w:t>Centrelink Social Worker</w:t>
      </w:r>
    </w:p>
    <w:p w:rsidR="00DA796D" w:rsidRPr="005911E2" w:rsidRDefault="00DA796D" w:rsidP="00DA796D">
      <w:pPr>
        <w:rPr>
          <w:lang w:bidi="ar-SA"/>
        </w:rPr>
      </w:pPr>
      <w:r w:rsidRPr="005911E2">
        <w:rPr>
          <w:lang w:bidi="ar-SA"/>
        </w:rPr>
        <w:t xml:space="preserve">Few </w:t>
      </w:r>
      <w:r w:rsidR="00EF0617">
        <w:rPr>
          <w:lang w:bidi="ar-SA"/>
        </w:rPr>
        <w:t>m</w:t>
      </w:r>
      <w:r w:rsidRPr="005911E2">
        <w:rPr>
          <w:lang w:bidi="ar-SA"/>
        </w:rPr>
        <w:t xml:space="preserve">oney </w:t>
      </w:r>
      <w:r w:rsidR="00EF0617">
        <w:rPr>
          <w:lang w:bidi="ar-SA"/>
        </w:rPr>
        <w:t>m</w:t>
      </w:r>
      <w:r w:rsidRPr="005911E2">
        <w:rPr>
          <w:lang w:bidi="ar-SA"/>
        </w:rPr>
        <w:t xml:space="preserve">anagement workers, financial </w:t>
      </w:r>
      <w:r w:rsidR="005911E2" w:rsidRPr="005911E2">
        <w:rPr>
          <w:lang w:bidi="ar-SA"/>
        </w:rPr>
        <w:t>counsellors</w:t>
      </w:r>
      <w:r w:rsidRPr="005911E2">
        <w:rPr>
          <w:lang w:bidi="ar-SA"/>
        </w:rPr>
        <w:t xml:space="preserve"> or DCF child protection staff spoke about people subject to </w:t>
      </w:r>
      <w:r w:rsidR="00E2340D">
        <w:rPr>
          <w:lang w:bidi="ar-SA"/>
        </w:rPr>
        <w:t>Vulnerable Income Management</w:t>
      </w:r>
      <w:r w:rsidRPr="005911E2">
        <w:rPr>
          <w:lang w:bidi="ar-SA"/>
        </w:rPr>
        <w:t xml:space="preserve"> in their interviews. Where this measure was mentioned, it was seen to be useful as long as it was applied in a way that addressed people’s vulnerabilities in the longer term. Like Centrelink staff, there was also a preference to give their clients the choice to try </w:t>
      </w:r>
      <w:r w:rsidR="002B5A5C">
        <w:rPr>
          <w:lang w:bidi="ar-SA"/>
        </w:rPr>
        <w:t>Voluntary Income Management</w:t>
      </w:r>
      <w:r w:rsidRPr="005911E2">
        <w:rPr>
          <w:lang w:bidi="ar-SA"/>
        </w:rPr>
        <w:t xml:space="preserve"> before tr</w:t>
      </w:r>
      <w:r w:rsidR="00EA1CD7" w:rsidRPr="005911E2">
        <w:rPr>
          <w:lang w:bidi="ar-SA"/>
        </w:rPr>
        <w:t xml:space="preserve">ying </w:t>
      </w:r>
      <w:r w:rsidR="00E2340D">
        <w:rPr>
          <w:lang w:bidi="ar-SA"/>
        </w:rPr>
        <w:t>Vulnerable Income Management</w:t>
      </w:r>
      <w:r w:rsidR="00EA1CD7" w:rsidRPr="005911E2">
        <w:rPr>
          <w:lang w:bidi="ar-SA"/>
        </w:rPr>
        <w:t>.</w:t>
      </w:r>
    </w:p>
    <w:p w:rsidR="00DA796D" w:rsidRPr="005911E2" w:rsidRDefault="004808B3" w:rsidP="00BD6DFD">
      <w:pPr>
        <w:pStyle w:val="Heading3"/>
      </w:pPr>
      <w:r>
        <w:t>Compulsory Income Management</w:t>
      </w:r>
    </w:p>
    <w:p w:rsidR="00DA796D" w:rsidRPr="005911E2" w:rsidRDefault="00DA796D" w:rsidP="00DA796D">
      <w:pPr>
        <w:rPr>
          <w:lang w:bidi="ar-SA"/>
        </w:rPr>
      </w:pPr>
      <w:r w:rsidRPr="005911E2">
        <w:rPr>
          <w:lang w:eastAsia="en-AU"/>
        </w:rPr>
        <w:t xml:space="preserve">A description of </w:t>
      </w:r>
      <w:r w:rsidR="004808B3">
        <w:rPr>
          <w:lang w:eastAsia="en-AU"/>
        </w:rPr>
        <w:t>Compulsory Income Management</w:t>
      </w:r>
      <w:r w:rsidRPr="005911E2">
        <w:rPr>
          <w:lang w:eastAsia="en-AU"/>
        </w:rPr>
        <w:t xml:space="preserve"> is in chapter 2</w:t>
      </w:r>
      <w:r w:rsidR="00EF0617">
        <w:rPr>
          <w:lang w:eastAsia="en-AU"/>
        </w:rPr>
        <w:t>. I</w:t>
      </w:r>
      <w:r w:rsidRPr="005911E2">
        <w:rPr>
          <w:lang w:eastAsia="en-AU"/>
        </w:rPr>
        <w:t xml:space="preserve">n contrast with the </w:t>
      </w:r>
      <w:r w:rsidR="002B5A5C">
        <w:rPr>
          <w:lang w:eastAsia="en-AU"/>
        </w:rPr>
        <w:t>Voluntary Income Management</w:t>
      </w:r>
      <w:r w:rsidRPr="005911E2">
        <w:rPr>
          <w:lang w:eastAsia="en-AU"/>
        </w:rPr>
        <w:t xml:space="preserve">, </w:t>
      </w:r>
      <w:r w:rsidR="00E146B5">
        <w:rPr>
          <w:lang w:eastAsia="en-AU"/>
        </w:rPr>
        <w:t>Child Protection Income Management</w:t>
      </w:r>
      <w:r w:rsidRPr="005911E2">
        <w:rPr>
          <w:lang w:eastAsia="en-AU"/>
        </w:rPr>
        <w:t xml:space="preserve"> and </w:t>
      </w:r>
      <w:r w:rsidR="00E2340D">
        <w:rPr>
          <w:lang w:eastAsia="en-AU"/>
        </w:rPr>
        <w:t>Vulnerable Income Management</w:t>
      </w:r>
      <w:r w:rsidRPr="005911E2">
        <w:rPr>
          <w:lang w:eastAsia="en-AU"/>
        </w:rPr>
        <w:t xml:space="preserve"> measures discussed above</w:t>
      </w:r>
      <w:r w:rsidR="00EF0617">
        <w:rPr>
          <w:lang w:eastAsia="en-AU"/>
        </w:rPr>
        <w:t>,</w:t>
      </w:r>
      <w:r w:rsidRPr="005911E2">
        <w:rPr>
          <w:lang w:eastAsia="en-AU"/>
        </w:rPr>
        <w:t xml:space="preserve"> it involves income management being imposed on a group of people </w:t>
      </w:r>
      <w:r w:rsidR="00DF7051">
        <w:rPr>
          <w:lang w:eastAsia="en-AU"/>
        </w:rPr>
        <w:t>solely</w:t>
      </w:r>
      <w:r w:rsidR="00DF7051" w:rsidRPr="005911E2">
        <w:rPr>
          <w:lang w:eastAsia="en-AU"/>
        </w:rPr>
        <w:t xml:space="preserve"> </w:t>
      </w:r>
      <w:r w:rsidRPr="005911E2">
        <w:rPr>
          <w:lang w:eastAsia="en-AU"/>
        </w:rPr>
        <w:t xml:space="preserve">on the basis of aspects </w:t>
      </w:r>
      <w:r w:rsidR="00BE5ECB">
        <w:rPr>
          <w:lang w:eastAsia="en-AU"/>
        </w:rPr>
        <w:t xml:space="preserve">of </w:t>
      </w:r>
      <w:r w:rsidRPr="005911E2">
        <w:rPr>
          <w:lang w:eastAsia="en-AU"/>
        </w:rPr>
        <w:t>their income support receipt, not as the result of any assessment of their need or their choice.</w:t>
      </w:r>
    </w:p>
    <w:p w:rsidR="00DA796D" w:rsidRPr="005911E2" w:rsidRDefault="00DA796D" w:rsidP="00DA796D">
      <w:pPr>
        <w:rPr>
          <w:lang w:bidi="ar-SA"/>
        </w:rPr>
      </w:pPr>
      <w:r w:rsidRPr="005911E2">
        <w:rPr>
          <w:lang w:bidi="ar-SA"/>
        </w:rPr>
        <w:t xml:space="preserve">The </w:t>
      </w:r>
      <w:r w:rsidR="004808B3">
        <w:rPr>
          <w:lang w:bidi="ar-SA"/>
        </w:rPr>
        <w:t>Compulsory Income Management</w:t>
      </w:r>
      <w:r w:rsidRPr="005911E2">
        <w:rPr>
          <w:lang w:bidi="ar-SA"/>
        </w:rPr>
        <w:t xml:space="preserve"> measure was the measure that was least supported by both Centrelink staff and </w:t>
      </w:r>
      <w:r w:rsidR="00EF0617">
        <w:rPr>
          <w:lang w:bidi="ar-SA"/>
        </w:rPr>
        <w:t>m</w:t>
      </w:r>
      <w:r w:rsidRPr="005911E2">
        <w:rPr>
          <w:lang w:bidi="ar-SA"/>
        </w:rPr>
        <w:t xml:space="preserve">oney </w:t>
      </w:r>
      <w:r w:rsidR="00EF0617">
        <w:rPr>
          <w:lang w:bidi="ar-SA"/>
        </w:rPr>
        <w:t>m</w:t>
      </w:r>
      <w:r w:rsidRPr="005911E2">
        <w:rPr>
          <w:lang w:bidi="ar-SA"/>
        </w:rPr>
        <w:t xml:space="preserve">anagement workers and financial </w:t>
      </w:r>
      <w:r w:rsidR="005911E2" w:rsidRPr="005911E2">
        <w:rPr>
          <w:lang w:bidi="ar-SA"/>
        </w:rPr>
        <w:t>counsellors</w:t>
      </w:r>
      <w:r w:rsidRPr="005911E2">
        <w:rPr>
          <w:lang w:bidi="ar-SA"/>
        </w:rPr>
        <w:t>. While</w:t>
      </w:r>
      <w:r w:rsidR="00BE5ECB">
        <w:rPr>
          <w:lang w:bidi="ar-SA"/>
        </w:rPr>
        <w:t>,</w:t>
      </w:r>
      <w:r w:rsidRPr="005911E2">
        <w:rPr>
          <w:lang w:bidi="ar-SA"/>
        </w:rPr>
        <w:t xml:space="preserve"> as detailed </w:t>
      </w:r>
      <w:r w:rsidR="001732D1">
        <w:rPr>
          <w:lang w:bidi="ar-SA"/>
        </w:rPr>
        <w:t>i</w:t>
      </w:r>
      <w:r w:rsidR="001732D1" w:rsidRPr="005911E2">
        <w:rPr>
          <w:lang w:bidi="ar-SA"/>
        </w:rPr>
        <w:t xml:space="preserve">n </w:t>
      </w:r>
      <w:r w:rsidR="00C7347D">
        <w:rPr>
          <w:lang w:bidi="ar-SA"/>
        </w:rPr>
        <w:fldChar w:fldCharType="begin"/>
      </w:r>
      <w:r w:rsidR="001732D1">
        <w:rPr>
          <w:lang w:bidi="ar-SA"/>
        </w:rPr>
        <w:instrText xml:space="preserve"> REF _Ref320547033 \h </w:instrText>
      </w:r>
      <w:r w:rsidR="00C7347D">
        <w:rPr>
          <w:lang w:bidi="ar-SA"/>
        </w:rPr>
      </w:r>
      <w:r w:rsidR="00C7347D">
        <w:rPr>
          <w:lang w:bidi="ar-SA"/>
        </w:rPr>
        <w:fldChar w:fldCharType="separate"/>
      </w:r>
      <w:r w:rsidR="007D7E45" w:rsidRPr="005911E2">
        <w:t xml:space="preserve">Table </w:t>
      </w:r>
      <w:r w:rsidR="007D7E45">
        <w:rPr>
          <w:noProof/>
        </w:rPr>
        <w:t>9</w:t>
      </w:r>
      <w:r w:rsidR="007D7E45" w:rsidRPr="005911E2">
        <w:noBreakHyphen/>
      </w:r>
      <w:r w:rsidR="007D7E45">
        <w:rPr>
          <w:noProof/>
        </w:rPr>
        <w:t>14</w:t>
      </w:r>
      <w:r w:rsidR="00C7347D">
        <w:rPr>
          <w:lang w:bidi="ar-SA"/>
        </w:rPr>
        <w:fldChar w:fldCharType="end"/>
      </w:r>
      <w:r w:rsidR="00BE5ECB">
        <w:rPr>
          <w:lang w:bidi="ar-SA"/>
        </w:rPr>
        <w:t>,</w:t>
      </w:r>
      <w:r w:rsidR="0012002D">
        <w:rPr>
          <w:lang w:bidi="ar-SA"/>
        </w:rPr>
        <w:t xml:space="preserve"> </w:t>
      </w:r>
      <w:r w:rsidRPr="005911E2">
        <w:rPr>
          <w:lang w:bidi="ar-SA"/>
        </w:rPr>
        <w:t xml:space="preserve">only a small group of the Centrelink survey respondents reported that they viewed </w:t>
      </w:r>
      <w:r w:rsidR="00F878E4">
        <w:rPr>
          <w:lang w:bidi="ar-SA"/>
        </w:rPr>
        <w:t>income management</w:t>
      </w:r>
      <w:r w:rsidRPr="005911E2">
        <w:rPr>
          <w:lang w:bidi="ar-SA"/>
        </w:rPr>
        <w:t xml:space="preserve"> as a punitive measure, a more diverse set of views emerged in the qualitative interviews. In these many said that they thought it was a punitive measure and that it created hardships and a sense of shame for people who were subject to </w:t>
      </w:r>
      <w:r w:rsidR="00EF0617">
        <w:rPr>
          <w:lang w:bidi="ar-SA"/>
        </w:rPr>
        <w:t>C</w:t>
      </w:r>
      <w:r w:rsidR="00EF0617" w:rsidRPr="005911E2">
        <w:rPr>
          <w:lang w:bidi="ar-SA"/>
        </w:rPr>
        <w:t xml:space="preserve">ompulsory </w:t>
      </w:r>
      <w:r w:rsidR="00EF0617">
        <w:rPr>
          <w:lang w:bidi="ar-SA"/>
        </w:rPr>
        <w:t>I</w:t>
      </w:r>
      <w:r w:rsidR="00F878E4">
        <w:rPr>
          <w:lang w:bidi="ar-SA"/>
        </w:rPr>
        <w:t xml:space="preserve">ncome </w:t>
      </w:r>
      <w:r w:rsidR="00EF0617">
        <w:rPr>
          <w:lang w:bidi="ar-SA"/>
        </w:rPr>
        <w:t>M</w:t>
      </w:r>
      <w:r w:rsidR="00F878E4">
        <w:rPr>
          <w:lang w:bidi="ar-SA"/>
        </w:rPr>
        <w:t>anagement</w:t>
      </w:r>
      <w:r w:rsidRPr="005911E2">
        <w:rPr>
          <w:lang w:bidi="ar-SA"/>
        </w:rPr>
        <w:t xml:space="preserve"> measures. Those who expressed this view tended to think that </w:t>
      </w:r>
      <w:r w:rsidR="00EF0617">
        <w:rPr>
          <w:lang w:bidi="ar-SA"/>
        </w:rPr>
        <w:t>V</w:t>
      </w:r>
      <w:r w:rsidRPr="005911E2">
        <w:rPr>
          <w:lang w:bidi="ar-SA"/>
        </w:rPr>
        <w:t xml:space="preserve">oluntary </w:t>
      </w:r>
      <w:r w:rsidR="00EF0617">
        <w:rPr>
          <w:lang w:bidi="ar-SA"/>
        </w:rPr>
        <w:t>I</w:t>
      </w:r>
      <w:r w:rsidRPr="005911E2">
        <w:rPr>
          <w:lang w:bidi="ar-SA"/>
        </w:rPr>
        <w:t xml:space="preserve">ncome </w:t>
      </w:r>
      <w:r w:rsidR="00EF0617">
        <w:rPr>
          <w:lang w:bidi="ar-SA"/>
        </w:rPr>
        <w:t>M</w:t>
      </w:r>
      <w:r w:rsidRPr="005911E2">
        <w:rPr>
          <w:lang w:bidi="ar-SA"/>
        </w:rPr>
        <w:t>anagement could be a positive tool for some people</w:t>
      </w:r>
      <w:r w:rsidR="00EF0617">
        <w:rPr>
          <w:lang w:bidi="ar-SA"/>
        </w:rPr>
        <w:t>,</w:t>
      </w:r>
      <w:r w:rsidRPr="005911E2">
        <w:rPr>
          <w:lang w:bidi="ar-SA"/>
        </w:rPr>
        <w:t xml:space="preserve"> but generally viewed </w:t>
      </w:r>
      <w:r w:rsidR="004808B3">
        <w:rPr>
          <w:lang w:bidi="ar-SA"/>
        </w:rPr>
        <w:t>Compulsory Income Management</w:t>
      </w:r>
      <w:r w:rsidRPr="005911E2">
        <w:rPr>
          <w:lang w:bidi="ar-SA"/>
        </w:rPr>
        <w:t xml:space="preserve"> as not addressing the key issues for people who experienced multiple types of disadvantage and who were trying to live on what they viewed as being very low incomes. </w:t>
      </w:r>
    </w:p>
    <w:p w:rsidR="00DA796D" w:rsidRPr="005911E2" w:rsidRDefault="00DA796D" w:rsidP="00DA796D">
      <w:pPr>
        <w:keepNext/>
        <w:spacing w:after="120"/>
        <w:ind w:left="2325"/>
        <w:jc w:val="left"/>
        <w:rPr>
          <w:i/>
          <w:iCs/>
        </w:rPr>
      </w:pPr>
      <w:r w:rsidRPr="005911E2">
        <w:rPr>
          <w:i/>
          <w:iCs/>
        </w:rPr>
        <w:t xml:space="preserve">I don’t think the purpose is to be punitive. But I think for people on Newstart, you have to ask why long-term welfare recipients on Newstart are involved, other than perhaps a punitive measure. Because there’s no vulnerabilities except I’m unemployed. I think with the </w:t>
      </w:r>
      <w:r w:rsidR="00D3222D">
        <w:rPr>
          <w:i/>
          <w:iCs/>
        </w:rPr>
        <w:t>long-term</w:t>
      </w:r>
      <w:r w:rsidRPr="005911E2">
        <w:rPr>
          <w:i/>
          <w:iCs/>
        </w:rPr>
        <w:t xml:space="preserve"> of - like with parents </w:t>
      </w:r>
      <w:r w:rsidR="00EF0617">
        <w:rPr>
          <w:i/>
          <w:iCs/>
        </w:rPr>
        <w:t xml:space="preserve">- </w:t>
      </w:r>
      <w:r w:rsidRPr="005911E2">
        <w:rPr>
          <w:i/>
          <w:iCs/>
        </w:rPr>
        <w:t xml:space="preserve">you could say it is to nurture and support and protect children. Vulnerable welfare would be the most relevant to that community and </w:t>
      </w:r>
      <w:r w:rsidR="00E146B5">
        <w:rPr>
          <w:i/>
          <w:iCs/>
        </w:rPr>
        <w:t>Child Protection Income Management</w:t>
      </w:r>
      <w:r w:rsidRPr="005911E2">
        <w:rPr>
          <w:i/>
          <w:iCs/>
        </w:rPr>
        <w:t xml:space="preserve"> the same. </w:t>
      </w:r>
      <w:r w:rsidR="002B5A5C">
        <w:rPr>
          <w:i/>
          <w:iCs/>
        </w:rPr>
        <w:t>Voluntary Income Management</w:t>
      </w:r>
      <w:r w:rsidRPr="005911E2">
        <w:rPr>
          <w:i/>
          <w:iCs/>
        </w:rPr>
        <w:t xml:space="preserve"> was about giving people options. The long-term welfare recipient for the Newstart recipients I’m not so sure.</w:t>
      </w:r>
    </w:p>
    <w:p w:rsidR="00DA796D" w:rsidRPr="005911E2" w:rsidRDefault="00DA796D" w:rsidP="008E5400">
      <w:pPr>
        <w:pStyle w:val="mininame"/>
      </w:pPr>
      <w:r w:rsidRPr="005911E2">
        <w:t>Centrelink Social Worker</w:t>
      </w:r>
    </w:p>
    <w:p w:rsidR="00DA796D" w:rsidRPr="005911E2" w:rsidRDefault="00DA796D" w:rsidP="00DA796D">
      <w:pPr>
        <w:rPr>
          <w:lang w:eastAsia="en-AU"/>
        </w:rPr>
      </w:pPr>
      <w:r w:rsidRPr="005911E2">
        <w:rPr>
          <w:lang w:eastAsia="en-AU"/>
        </w:rPr>
        <w:t>Respondents across the different service types also suggested that</w:t>
      </w:r>
      <w:r w:rsidR="00BE5ECB">
        <w:rPr>
          <w:lang w:eastAsia="en-AU"/>
        </w:rPr>
        <w:t>,</w:t>
      </w:r>
      <w:r w:rsidRPr="005911E2">
        <w:rPr>
          <w:lang w:eastAsia="en-AU"/>
        </w:rPr>
        <w:t xml:space="preserve"> while there were people in the compulsory group who were benefitting from </w:t>
      </w:r>
      <w:r w:rsidR="00F878E4">
        <w:rPr>
          <w:lang w:eastAsia="en-AU"/>
        </w:rPr>
        <w:t>income management</w:t>
      </w:r>
      <w:r w:rsidRPr="005911E2">
        <w:rPr>
          <w:lang w:eastAsia="en-AU"/>
        </w:rPr>
        <w:t>, there were also many who were not. There was support for a more targeted approach, which was seen as being better for their clients</w:t>
      </w:r>
      <w:r w:rsidR="00EF0617">
        <w:rPr>
          <w:lang w:eastAsia="en-AU"/>
        </w:rPr>
        <w:t>,</w:t>
      </w:r>
      <w:r w:rsidRPr="005911E2">
        <w:rPr>
          <w:lang w:eastAsia="en-AU"/>
        </w:rPr>
        <w:t xml:space="preserve"> as well as a better use of resources. </w:t>
      </w:r>
    </w:p>
    <w:p w:rsidR="00DA796D" w:rsidRPr="005911E2" w:rsidRDefault="00DA796D" w:rsidP="00DA796D">
      <w:pPr>
        <w:keepNext/>
        <w:spacing w:after="120"/>
        <w:ind w:left="2325"/>
        <w:jc w:val="left"/>
        <w:rPr>
          <w:i/>
          <w:iCs/>
        </w:rPr>
      </w:pPr>
      <w:r w:rsidRPr="005911E2">
        <w:rPr>
          <w:i/>
          <w:iCs/>
        </w:rPr>
        <w:t xml:space="preserve">I don’t know so much about that (CPIM). I’m in favour of a more targeted </w:t>
      </w:r>
      <w:r w:rsidR="00F878E4">
        <w:rPr>
          <w:i/>
          <w:iCs/>
        </w:rPr>
        <w:t>income management</w:t>
      </w:r>
      <w:r w:rsidRPr="005911E2">
        <w:rPr>
          <w:i/>
          <w:iCs/>
        </w:rPr>
        <w:t xml:space="preserve"> approach, like place based </w:t>
      </w:r>
      <w:r w:rsidR="00F878E4">
        <w:rPr>
          <w:i/>
          <w:iCs/>
        </w:rPr>
        <w:t>income management</w:t>
      </w:r>
      <w:r w:rsidRPr="005911E2">
        <w:rPr>
          <w:i/>
          <w:iCs/>
        </w:rPr>
        <w:t>. It would be better in the</w:t>
      </w:r>
      <w:r w:rsidR="006435C8">
        <w:rPr>
          <w:i/>
          <w:iCs/>
        </w:rPr>
        <w:t xml:space="preserve"> Northern Territory </w:t>
      </w:r>
      <w:r w:rsidRPr="005911E2">
        <w:rPr>
          <w:i/>
          <w:iCs/>
        </w:rPr>
        <w:t>to have a more targeted approach. We waste quite a lot of effort on that customer group when others that are more vulnerable need our help.</w:t>
      </w:r>
    </w:p>
    <w:p w:rsidR="00DA796D" w:rsidRPr="005911E2" w:rsidRDefault="00DA796D" w:rsidP="008E5400">
      <w:pPr>
        <w:pStyle w:val="mininame"/>
      </w:pPr>
      <w:r w:rsidRPr="005911E2">
        <w:t>Centrelink Manager</w:t>
      </w:r>
    </w:p>
    <w:p w:rsidR="00DA796D" w:rsidRPr="005911E2" w:rsidRDefault="00DA796D" w:rsidP="00DA796D">
      <w:pPr>
        <w:keepNext/>
        <w:spacing w:after="120"/>
        <w:ind w:left="2325"/>
        <w:jc w:val="left"/>
        <w:rPr>
          <w:i/>
          <w:iCs/>
        </w:rPr>
      </w:pPr>
      <w:r w:rsidRPr="005911E2">
        <w:rPr>
          <w:i/>
          <w:iCs/>
        </w:rPr>
        <w:t xml:space="preserve">The </w:t>
      </w:r>
      <w:r w:rsidR="00D3222D">
        <w:rPr>
          <w:i/>
          <w:iCs/>
        </w:rPr>
        <w:t>long-term</w:t>
      </w:r>
      <w:r w:rsidRPr="005911E2">
        <w:rPr>
          <w:i/>
          <w:iCs/>
        </w:rPr>
        <w:t xml:space="preserve"> and disengaged measures are all about participation. But the only participation that is encouraged is through exemptions. Not to get a job. </w:t>
      </w:r>
      <w:r w:rsidR="00EF0617">
        <w:rPr>
          <w:i/>
          <w:iCs/>
        </w:rPr>
        <w:t>I</w:t>
      </w:r>
      <w:r w:rsidR="00F878E4">
        <w:rPr>
          <w:i/>
          <w:iCs/>
        </w:rPr>
        <w:t>ncome management</w:t>
      </w:r>
      <w:r w:rsidRPr="005911E2">
        <w:rPr>
          <w:i/>
          <w:iCs/>
        </w:rPr>
        <w:t xml:space="preserve"> is a about targeting specific issues. Like the Cape York </w:t>
      </w:r>
      <w:r w:rsidR="00BE5ECB" w:rsidRPr="005911E2">
        <w:rPr>
          <w:i/>
          <w:iCs/>
        </w:rPr>
        <w:t>Tr</w:t>
      </w:r>
      <w:r w:rsidR="00BE5ECB">
        <w:rPr>
          <w:i/>
          <w:iCs/>
        </w:rPr>
        <w:t>ia</w:t>
      </w:r>
      <w:r w:rsidR="00BE5ECB" w:rsidRPr="005911E2">
        <w:rPr>
          <w:i/>
          <w:iCs/>
        </w:rPr>
        <w:t>l</w:t>
      </w:r>
      <w:r w:rsidRPr="005911E2">
        <w:rPr>
          <w:i/>
          <w:iCs/>
        </w:rPr>
        <w:t xml:space="preserve">. It should be specific. </w:t>
      </w:r>
    </w:p>
    <w:p w:rsidR="00DA796D" w:rsidRPr="005911E2" w:rsidRDefault="00DA796D" w:rsidP="008E5400">
      <w:pPr>
        <w:pStyle w:val="mininame"/>
      </w:pPr>
      <w:r w:rsidRPr="005911E2">
        <w:t>Centrelink Manager</w:t>
      </w:r>
    </w:p>
    <w:p w:rsidR="00DA796D" w:rsidRPr="005911E2" w:rsidRDefault="00DA796D" w:rsidP="00DA796D">
      <w:pPr>
        <w:rPr>
          <w:rFonts w:cs="Arial"/>
          <w:color w:val="000000"/>
          <w:lang w:eastAsia="en-AU"/>
        </w:rPr>
      </w:pPr>
      <w:r w:rsidRPr="005911E2">
        <w:rPr>
          <w:lang w:eastAsia="en-AU"/>
        </w:rPr>
        <w:t xml:space="preserve">This theme was also echoed in the survey with Centrelink staff where </w:t>
      </w:r>
      <w:r w:rsidRPr="005911E2">
        <w:rPr>
          <w:rFonts w:cs="Arial"/>
          <w:color w:val="000000"/>
          <w:lang w:eastAsia="en-AU"/>
        </w:rPr>
        <w:t xml:space="preserve">68 per cent of respondents agreed with the statement that </w:t>
      </w:r>
      <w:r w:rsidR="00EF0617">
        <w:rPr>
          <w:rFonts w:cs="Arial"/>
          <w:color w:val="000000"/>
          <w:lang w:eastAsia="en-AU"/>
        </w:rPr>
        <w:t>‘</w:t>
      </w:r>
      <w:r w:rsidRPr="005911E2">
        <w:rPr>
          <w:rFonts w:cs="Arial"/>
          <w:color w:val="000000"/>
          <w:lang w:eastAsia="en-AU"/>
        </w:rPr>
        <w:t>for some people</w:t>
      </w:r>
      <w:r w:rsidR="00EF0617">
        <w:rPr>
          <w:rFonts w:cs="Arial"/>
          <w:color w:val="000000"/>
          <w:lang w:eastAsia="en-AU"/>
        </w:rPr>
        <w:t>,</w:t>
      </w:r>
      <w:r w:rsidRPr="005911E2">
        <w:rPr>
          <w:rFonts w:cs="Arial"/>
          <w:color w:val="000000"/>
          <w:lang w:eastAsia="en-AU"/>
        </w:rPr>
        <w:t xml:space="preserve"> NIM is not useful as they are already able to manage their incomes well</w:t>
      </w:r>
      <w:r w:rsidR="00EF0617">
        <w:rPr>
          <w:rFonts w:cs="Arial"/>
          <w:color w:val="000000"/>
          <w:lang w:eastAsia="en-AU"/>
        </w:rPr>
        <w:t>’</w:t>
      </w:r>
      <w:r w:rsidRPr="005911E2">
        <w:rPr>
          <w:rFonts w:cs="Arial"/>
          <w:color w:val="000000"/>
          <w:lang w:eastAsia="en-AU"/>
        </w:rPr>
        <w:t xml:space="preserve">. </w:t>
      </w:r>
    </w:p>
    <w:p w:rsidR="00DA796D" w:rsidRPr="005911E2" w:rsidRDefault="00DA796D" w:rsidP="00DA796D">
      <w:pPr>
        <w:rPr>
          <w:rFonts w:cs="Arial"/>
          <w:color w:val="000000"/>
          <w:lang w:eastAsia="en-AU"/>
        </w:rPr>
      </w:pPr>
      <w:r w:rsidRPr="005911E2">
        <w:rPr>
          <w:rFonts w:cs="Arial"/>
          <w:color w:val="000000"/>
          <w:lang w:eastAsia="en-AU"/>
        </w:rPr>
        <w:t xml:space="preserve">However, a smaller group of respondents viewed this measure as being part of a suite of policies that sought to encourage </w:t>
      </w:r>
      <w:r w:rsidR="00D3222D">
        <w:rPr>
          <w:rFonts w:cs="Arial"/>
          <w:color w:val="000000"/>
          <w:lang w:eastAsia="en-AU"/>
        </w:rPr>
        <w:t>long-term</w:t>
      </w:r>
      <w:r w:rsidRPr="005911E2">
        <w:rPr>
          <w:rFonts w:cs="Arial"/>
          <w:color w:val="000000"/>
          <w:lang w:eastAsia="en-AU"/>
        </w:rPr>
        <w:t xml:space="preserve"> unemployed people to seek work.</w:t>
      </w:r>
      <w:r w:rsidR="00B62B2D">
        <w:rPr>
          <w:rFonts w:cs="Arial"/>
          <w:color w:val="000000"/>
          <w:lang w:eastAsia="en-AU"/>
        </w:rPr>
        <w:t xml:space="preserve"> </w:t>
      </w:r>
    </w:p>
    <w:p w:rsidR="00DA796D" w:rsidRPr="005911E2" w:rsidRDefault="00DA796D" w:rsidP="00DA796D">
      <w:pPr>
        <w:keepNext/>
        <w:spacing w:after="120"/>
        <w:ind w:left="2325"/>
        <w:jc w:val="left"/>
        <w:rPr>
          <w:i/>
          <w:iCs/>
        </w:rPr>
      </w:pPr>
      <w:r w:rsidRPr="005911E2">
        <w:rPr>
          <w:i/>
          <w:iCs/>
        </w:rPr>
        <w:t xml:space="preserve">It depends on the objectives. </w:t>
      </w:r>
      <w:r w:rsidR="00EF0617">
        <w:rPr>
          <w:i/>
          <w:iCs/>
        </w:rPr>
        <w:t>I</w:t>
      </w:r>
      <w:r w:rsidR="00F878E4">
        <w:rPr>
          <w:i/>
          <w:iCs/>
        </w:rPr>
        <w:t>ncome management</w:t>
      </w:r>
      <w:r w:rsidRPr="005911E2">
        <w:rPr>
          <w:i/>
          <w:iCs/>
        </w:rPr>
        <w:t xml:space="preserve"> doesn’t help someone to get a job. It’s an incentive to get a job.</w:t>
      </w:r>
    </w:p>
    <w:p w:rsidR="00DA796D" w:rsidRPr="005911E2" w:rsidRDefault="00DA796D" w:rsidP="008E5400">
      <w:pPr>
        <w:pStyle w:val="mininame"/>
      </w:pPr>
      <w:r w:rsidRPr="005911E2">
        <w:t>Centrelink Manager</w:t>
      </w:r>
    </w:p>
    <w:p w:rsidR="00DA796D" w:rsidRPr="005911E2" w:rsidRDefault="00DA796D" w:rsidP="00616B0F">
      <w:pPr>
        <w:pStyle w:val="Heading2"/>
      </w:pPr>
      <w:bookmarkStart w:id="885" w:name="_Toc321225152"/>
      <w:bookmarkStart w:id="886" w:name="_Toc321254495"/>
      <w:bookmarkStart w:id="887" w:name="_Toc321761637"/>
      <w:bookmarkStart w:id="888" w:name="_Toc328601520"/>
      <w:bookmarkStart w:id="889" w:name="_Toc329870401"/>
      <w:bookmarkStart w:id="890" w:name="_Toc335915787"/>
      <w:r w:rsidRPr="005911E2">
        <w:t xml:space="preserve">Views of the impact of </w:t>
      </w:r>
      <w:r w:rsidR="00F878E4">
        <w:t>income management</w:t>
      </w:r>
      <w:r w:rsidRPr="005911E2">
        <w:t xml:space="preserve"> on clients</w:t>
      </w:r>
      <w:bookmarkEnd w:id="885"/>
      <w:bookmarkEnd w:id="886"/>
      <w:bookmarkEnd w:id="887"/>
      <w:bookmarkEnd w:id="888"/>
      <w:bookmarkEnd w:id="889"/>
      <w:bookmarkEnd w:id="890"/>
    </w:p>
    <w:p w:rsidR="00DA796D" w:rsidRPr="005911E2" w:rsidRDefault="00AA6014" w:rsidP="00DA796D">
      <w:pPr>
        <w:rPr>
          <w:lang w:eastAsia="en-AU"/>
        </w:rPr>
      </w:pPr>
      <w:r>
        <w:rPr>
          <w:lang w:eastAsia="en-AU"/>
        </w:rPr>
        <w:t>The survey and interviews included q</w:t>
      </w:r>
      <w:r w:rsidR="00DA796D" w:rsidRPr="005911E2">
        <w:rPr>
          <w:lang w:eastAsia="en-AU"/>
        </w:rPr>
        <w:t xml:space="preserve">uestions about the perceived impact of income management on people who were subject to the measure. </w:t>
      </w:r>
    </w:p>
    <w:p w:rsidR="00DA796D" w:rsidRPr="005911E2" w:rsidRDefault="00DA796D" w:rsidP="00DA796D">
      <w:pPr>
        <w:rPr>
          <w:lang w:eastAsia="en-AU"/>
        </w:rPr>
      </w:pPr>
      <w:r w:rsidRPr="005911E2">
        <w:rPr>
          <w:lang w:eastAsia="en-AU"/>
        </w:rPr>
        <w:t>As part of the online survey, Centrelink staff were asked for an assessment of the impact of income management on wellbeing including:</w:t>
      </w:r>
    </w:p>
    <w:p w:rsidR="00DA796D" w:rsidRPr="005911E2" w:rsidRDefault="00AA6014" w:rsidP="00EF6C17">
      <w:pPr>
        <w:pStyle w:val="ListBullet"/>
      </w:pPr>
      <w:r>
        <w:t>f</w:t>
      </w:r>
      <w:r w:rsidR="00DA796D" w:rsidRPr="005911E2">
        <w:t>inancial wellbeing and management</w:t>
      </w:r>
      <w:r w:rsidR="00C96922">
        <w:t xml:space="preserve"> skills</w:t>
      </w:r>
    </w:p>
    <w:p w:rsidR="00DA796D" w:rsidRPr="005911E2" w:rsidRDefault="00AA6014" w:rsidP="00EF6C17">
      <w:pPr>
        <w:pStyle w:val="ListBullet"/>
      </w:pPr>
      <w:r>
        <w:t>g</w:t>
      </w:r>
      <w:r w:rsidR="00DA796D" w:rsidRPr="005911E2">
        <w:t>eneral health and wellbeing</w:t>
      </w:r>
    </w:p>
    <w:p w:rsidR="00DA796D" w:rsidRPr="005911E2" w:rsidRDefault="00AA6014" w:rsidP="00EF6C17">
      <w:pPr>
        <w:pStyle w:val="ListBullet"/>
      </w:pPr>
      <w:r>
        <w:t>c</w:t>
      </w:r>
      <w:r w:rsidR="00DA796D" w:rsidRPr="005911E2">
        <w:t>ommunity and family wellbeing.</w:t>
      </w:r>
    </w:p>
    <w:p w:rsidR="00DA796D" w:rsidRPr="005911E2" w:rsidRDefault="00DA796D" w:rsidP="00BD6DFD">
      <w:pPr>
        <w:pStyle w:val="Heading3"/>
      </w:pPr>
      <w:r w:rsidRPr="005911E2">
        <w:t xml:space="preserve">Centrelink staff perceptions of the impact of </w:t>
      </w:r>
      <w:r w:rsidR="00F878E4">
        <w:t>income management</w:t>
      </w:r>
      <w:r w:rsidRPr="005911E2">
        <w:t xml:space="preserve"> on clients’ financial wellbeing and management skills</w:t>
      </w:r>
    </w:p>
    <w:p w:rsidR="008E5400" w:rsidRDefault="00DA796D" w:rsidP="008E5400">
      <w:pPr>
        <w:rPr>
          <w:lang w:eastAsia="en-AU"/>
        </w:rPr>
      </w:pPr>
      <w:r w:rsidRPr="005911E2">
        <w:rPr>
          <w:lang w:eastAsia="en-AU"/>
        </w:rPr>
        <w:t xml:space="preserve">The structure of the questions was such that respondents could report whether NIM had led to an improvement or deterioration in financial management of people subject to the measure. Overall, most Centrelink staff who responded to the survey reported that they had observed an improvement (27 per cent reported a large improvement, 39 per cent a moderate improvement and 23 per cent a small improvement), with around six per cent considering that there had been no change and another six per cent that there had been a deterioration in financial management amongst these clients. </w:t>
      </w:r>
    </w:p>
    <w:p w:rsidR="008E5400" w:rsidRPr="005911E2" w:rsidRDefault="008E5400" w:rsidP="008E5400">
      <w:pPr>
        <w:rPr>
          <w:lang w:eastAsia="en-AU"/>
        </w:rPr>
      </w:pPr>
      <w:r w:rsidRPr="005911E2">
        <w:rPr>
          <w:lang w:eastAsia="en-AU"/>
        </w:rPr>
        <w:t xml:space="preserve">This general question was complemented by more specific questions on aspects of financial management and wellbeing. These are reported in Table </w:t>
      </w:r>
      <w:r w:rsidRPr="005911E2">
        <w:rPr>
          <w:noProof/>
          <w:lang w:eastAsia="en-AU"/>
        </w:rPr>
        <w:t>9</w:t>
      </w:r>
      <w:r w:rsidRPr="005911E2">
        <w:rPr>
          <w:lang w:eastAsia="en-AU"/>
        </w:rPr>
        <w:noBreakHyphen/>
      </w:r>
      <w:r w:rsidRPr="005911E2">
        <w:rPr>
          <w:noProof/>
          <w:lang w:eastAsia="en-AU"/>
        </w:rPr>
        <w:t>12</w:t>
      </w:r>
      <w:r w:rsidRPr="005911E2">
        <w:rPr>
          <w:lang w:eastAsia="en-AU"/>
        </w:rPr>
        <w:t>.</w:t>
      </w:r>
    </w:p>
    <w:p w:rsidR="00DA796D" w:rsidRPr="005911E2" w:rsidRDefault="00DA796D" w:rsidP="00EA1CD7">
      <w:pPr>
        <w:pStyle w:val="tabfighead"/>
      </w:pPr>
      <w:bookmarkStart w:id="891" w:name="_Ref194724699"/>
      <w:bookmarkStart w:id="892" w:name="_Ref194666570"/>
      <w:bookmarkStart w:id="893" w:name="_Toc321254576"/>
      <w:bookmarkStart w:id="894" w:name="_Toc321430457"/>
      <w:bookmarkStart w:id="895" w:name="_Toc321761727"/>
      <w:bookmarkStart w:id="896" w:name="_Toc328601624"/>
      <w:bookmarkStart w:id="897" w:name="_Toc329051402"/>
      <w:bookmarkStart w:id="898" w:name="_Toc335915890"/>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9</w:t>
      </w:r>
      <w:r w:rsidR="00C7347D" w:rsidRPr="005911E2">
        <w:rPr>
          <w:noProof/>
        </w:rPr>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12</w:t>
      </w:r>
      <w:r w:rsidR="00C7347D" w:rsidRPr="005911E2">
        <w:rPr>
          <w:noProof/>
        </w:rPr>
        <w:fldChar w:fldCharType="end"/>
      </w:r>
      <w:bookmarkEnd w:id="891"/>
      <w:bookmarkEnd w:id="892"/>
      <w:r w:rsidRPr="005911E2">
        <w:t xml:space="preserve"> </w:t>
      </w:r>
      <w:r w:rsidR="00EA1CD7" w:rsidRPr="005911E2">
        <w:tab/>
      </w:r>
      <w:r w:rsidRPr="005911E2">
        <w:t>Centrelink staff perceptions of the impact of NIM on aspects of their clients’ health and wellbeing</w:t>
      </w:r>
      <w:bookmarkEnd w:id="893"/>
      <w:bookmarkEnd w:id="894"/>
      <w:bookmarkEnd w:id="895"/>
      <w:bookmarkEnd w:id="896"/>
      <w:bookmarkEnd w:id="897"/>
      <w:bookmarkEnd w:id="898"/>
      <w:r w:rsidRPr="005911E2">
        <w:t xml:space="preserve"> </w:t>
      </w:r>
    </w:p>
    <w:tbl>
      <w:tblPr>
        <w:tblStyle w:val="SPRCtablev13"/>
        <w:tblpPr w:leftFromText="181" w:rightFromText="181" w:vertAnchor="text" w:tblpX="959" w:tblpY="143"/>
        <w:tblOverlap w:val="never"/>
        <w:tblW w:w="0" w:type="auto"/>
        <w:tblLayout w:type="fixed"/>
        <w:tblLook w:val="04A0" w:firstRow="1" w:lastRow="0" w:firstColumn="1" w:lastColumn="0" w:noHBand="0" w:noVBand="1"/>
        <w:tblCaption w:val="Table 9-12 Centrelink staff perceptions of the impact of NIM on aspects of their clients’ health and wellbeing "/>
        <w:tblDescription w:val="Table 9-12 Centrelink staff perceptions of the impact of NIM on aspects of their clients’ health and wellbeing "/>
      </w:tblPr>
      <w:tblGrid>
        <w:gridCol w:w="3118"/>
        <w:gridCol w:w="851"/>
        <w:gridCol w:w="850"/>
        <w:gridCol w:w="1026"/>
        <w:gridCol w:w="847"/>
        <w:gridCol w:w="827"/>
        <w:gridCol w:w="617"/>
      </w:tblGrid>
      <w:tr w:rsidR="00DA796D" w:rsidRPr="005911E2" w:rsidTr="009D15E2">
        <w:trPr>
          <w:cantSplit/>
          <w:tblHeader/>
        </w:trPr>
        <w:tc>
          <w:tcPr>
            <w:tcW w:w="3118" w:type="dxa"/>
            <w:tcBorders>
              <w:top w:val="single" w:sz="4" w:space="0" w:color="auto"/>
              <w:bottom w:val="single" w:sz="4" w:space="0" w:color="auto"/>
            </w:tcBorders>
            <w:hideMark/>
          </w:tcPr>
          <w:p w:rsidR="00DA796D" w:rsidRPr="005911E2" w:rsidRDefault="00DA796D" w:rsidP="008E5400">
            <w:pPr>
              <w:pStyle w:val="braytabletext"/>
            </w:pPr>
            <w:r w:rsidRPr="005911E2">
              <w:t> </w:t>
            </w:r>
          </w:p>
        </w:tc>
        <w:tc>
          <w:tcPr>
            <w:tcW w:w="851" w:type="dxa"/>
            <w:tcBorders>
              <w:top w:val="single" w:sz="4" w:space="0" w:color="auto"/>
              <w:bottom w:val="single" w:sz="4" w:space="0" w:color="auto"/>
            </w:tcBorders>
            <w:hideMark/>
          </w:tcPr>
          <w:p w:rsidR="00DA796D" w:rsidRPr="005911E2" w:rsidRDefault="00DA796D" w:rsidP="008E5400">
            <w:pPr>
              <w:pStyle w:val="braytabletext"/>
              <w:jc w:val="right"/>
            </w:pPr>
            <w:r w:rsidRPr="005911E2">
              <w:t>Highly negative</w:t>
            </w:r>
          </w:p>
        </w:tc>
        <w:tc>
          <w:tcPr>
            <w:tcW w:w="850" w:type="dxa"/>
            <w:tcBorders>
              <w:top w:val="single" w:sz="4" w:space="0" w:color="auto"/>
              <w:bottom w:val="single" w:sz="4" w:space="0" w:color="auto"/>
            </w:tcBorders>
            <w:hideMark/>
          </w:tcPr>
          <w:p w:rsidR="00DA796D" w:rsidRPr="005911E2" w:rsidRDefault="00DA796D" w:rsidP="008E5400">
            <w:pPr>
              <w:pStyle w:val="braytabletext"/>
              <w:jc w:val="right"/>
            </w:pPr>
            <w:r w:rsidRPr="005911E2">
              <w:t>Negative</w:t>
            </w:r>
          </w:p>
        </w:tc>
        <w:tc>
          <w:tcPr>
            <w:tcW w:w="1026" w:type="dxa"/>
            <w:tcBorders>
              <w:top w:val="single" w:sz="4" w:space="0" w:color="auto"/>
              <w:bottom w:val="single" w:sz="4" w:space="0" w:color="auto"/>
            </w:tcBorders>
            <w:hideMark/>
          </w:tcPr>
          <w:p w:rsidR="00DA796D" w:rsidRPr="005911E2" w:rsidRDefault="00DA796D" w:rsidP="008E5400">
            <w:pPr>
              <w:pStyle w:val="braytabletext"/>
              <w:jc w:val="right"/>
            </w:pPr>
            <w:r w:rsidRPr="005911E2">
              <w:t>Neutral/ no material impact</w:t>
            </w:r>
          </w:p>
        </w:tc>
        <w:tc>
          <w:tcPr>
            <w:tcW w:w="847" w:type="dxa"/>
            <w:tcBorders>
              <w:top w:val="single" w:sz="4" w:space="0" w:color="auto"/>
              <w:bottom w:val="single" w:sz="4" w:space="0" w:color="auto"/>
            </w:tcBorders>
            <w:hideMark/>
          </w:tcPr>
          <w:p w:rsidR="00DA796D" w:rsidRPr="005911E2" w:rsidRDefault="00DA796D" w:rsidP="008E5400">
            <w:pPr>
              <w:pStyle w:val="braytabletext"/>
              <w:jc w:val="right"/>
            </w:pPr>
            <w:r w:rsidRPr="005911E2">
              <w:t>Positive</w:t>
            </w:r>
          </w:p>
        </w:tc>
        <w:tc>
          <w:tcPr>
            <w:tcW w:w="827" w:type="dxa"/>
            <w:tcBorders>
              <w:top w:val="single" w:sz="4" w:space="0" w:color="auto"/>
              <w:bottom w:val="single" w:sz="4" w:space="0" w:color="auto"/>
            </w:tcBorders>
            <w:hideMark/>
          </w:tcPr>
          <w:p w:rsidR="00DA796D" w:rsidRPr="005911E2" w:rsidRDefault="00DA796D" w:rsidP="008E5400">
            <w:pPr>
              <w:pStyle w:val="braytabletext"/>
              <w:jc w:val="right"/>
            </w:pPr>
            <w:r w:rsidRPr="005911E2">
              <w:t>Highly positive</w:t>
            </w:r>
          </w:p>
        </w:tc>
        <w:tc>
          <w:tcPr>
            <w:tcW w:w="617" w:type="dxa"/>
            <w:tcBorders>
              <w:top w:val="single" w:sz="4" w:space="0" w:color="auto"/>
              <w:bottom w:val="single" w:sz="4" w:space="0" w:color="auto"/>
            </w:tcBorders>
          </w:tcPr>
          <w:p w:rsidR="00DA796D" w:rsidRPr="005911E2" w:rsidRDefault="00DA796D" w:rsidP="008E5400">
            <w:pPr>
              <w:pStyle w:val="braytabletext"/>
              <w:jc w:val="right"/>
            </w:pPr>
            <w:r w:rsidRPr="005911E2">
              <w:t>Total</w:t>
            </w:r>
          </w:p>
        </w:tc>
      </w:tr>
      <w:tr w:rsidR="00DA796D" w:rsidRPr="005911E2" w:rsidTr="00783DF8">
        <w:trPr>
          <w:cantSplit/>
        </w:trPr>
        <w:tc>
          <w:tcPr>
            <w:tcW w:w="3118" w:type="dxa"/>
            <w:tcBorders>
              <w:top w:val="single" w:sz="4" w:space="0" w:color="auto"/>
            </w:tcBorders>
            <w:hideMark/>
          </w:tcPr>
          <w:p w:rsidR="00DA796D" w:rsidRPr="005911E2" w:rsidRDefault="00DA796D" w:rsidP="008E5400">
            <w:pPr>
              <w:pStyle w:val="braytabletext"/>
            </w:pPr>
          </w:p>
        </w:tc>
        <w:tc>
          <w:tcPr>
            <w:tcW w:w="5018" w:type="dxa"/>
            <w:gridSpan w:val="6"/>
            <w:tcBorders>
              <w:top w:val="single" w:sz="4" w:space="0" w:color="auto"/>
            </w:tcBorders>
            <w:vAlign w:val="center"/>
            <w:hideMark/>
          </w:tcPr>
          <w:p w:rsidR="00DA796D" w:rsidRPr="005911E2" w:rsidRDefault="00DA796D" w:rsidP="00783DF8">
            <w:pPr>
              <w:pStyle w:val="braytabletext"/>
              <w:jc w:val="center"/>
            </w:pPr>
            <w:r w:rsidRPr="005911E2">
              <w:t>- % -</w:t>
            </w:r>
          </w:p>
        </w:tc>
      </w:tr>
      <w:tr w:rsidR="00DA796D" w:rsidRPr="005911E2" w:rsidTr="008E5400">
        <w:trPr>
          <w:cantSplit/>
        </w:trPr>
        <w:tc>
          <w:tcPr>
            <w:tcW w:w="3118" w:type="dxa"/>
            <w:hideMark/>
          </w:tcPr>
          <w:p w:rsidR="00DA796D" w:rsidRPr="005911E2" w:rsidRDefault="00DA796D" w:rsidP="008E5400">
            <w:pPr>
              <w:pStyle w:val="braytabletext"/>
            </w:pPr>
            <w:r w:rsidRPr="005911E2">
              <w:t>Ability to pay essential bills</w:t>
            </w:r>
          </w:p>
        </w:tc>
        <w:tc>
          <w:tcPr>
            <w:tcW w:w="851" w:type="dxa"/>
            <w:vAlign w:val="bottom"/>
            <w:hideMark/>
          </w:tcPr>
          <w:p w:rsidR="00DA796D" w:rsidRPr="005911E2" w:rsidRDefault="00DA796D" w:rsidP="008E5400">
            <w:pPr>
              <w:pStyle w:val="braytabletext"/>
              <w:jc w:val="right"/>
            </w:pPr>
            <w:r w:rsidRPr="005911E2">
              <w:t>1</w:t>
            </w:r>
          </w:p>
        </w:tc>
        <w:tc>
          <w:tcPr>
            <w:tcW w:w="850" w:type="dxa"/>
            <w:vAlign w:val="bottom"/>
            <w:hideMark/>
          </w:tcPr>
          <w:p w:rsidR="00DA796D" w:rsidRPr="005911E2" w:rsidRDefault="00DA796D" w:rsidP="008E5400">
            <w:pPr>
              <w:pStyle w:val="braytabletext"/>
              <w:jc w:val="right"/>
            </w:pPr>
            <w:r w:rsidRPr="005911E2">
              <w:t>0</w:t>
            </w:r>
          </w:p>
        </w:tc>
        <w:tc>
          <w:tcPr>
            <w:tcW w:w="1026" w:type="dxa"/>
            <w:vAlign w:val="bottom"/>
            <w:hideMark/>
          </w:tcPr>
          <w:p w:rsidR="00DA796D" w:rsidRPr="005911E2" w:rsidRDefault="00DA796D" w:rsidP="008E5400">
            <w:pPr>
              <w:pStyle w:val="braytabletext"/>
              <w:jc w:val="right"/>
            </w:pPr>
            <w:r w:rsidRPr="005911E2">
              <w:t>7</w:t>
            </w:r>
          </w:p>
        </w:tc>
        <w:tc>
          <w:tcPr>
            <w:tcW w:w="847" w:type="dxa"/>
            <w:vAlign w:val="bottom"/>
            <w:hideMark/>
          </w:tcPr>
          <w:p w:rsidR="00DA796D" w:rsidRPr="005911E2" w:rsidRDefault="00DA796D" w:rsidP="008E5400">
            <w:pPr>
              <w:pStyle w:val="braytabletext"/>
              <w:jc w:val="right"/>
            </w:pPr>
            <w:r w:rsidRPr="005911E2">
              <w:t>64</w:t>
            </w:r>
          </w:p>
        </w:tc>
        <w:tc>
          <w:tcPr>
            <w:tcW w:w="827" w:type="dxa"/>
            <w:vAlign w:val="bottom"/>
            <w:hideMark/>
          </w:tcPr>
          <w:p w:rsidR="00DA796D" w:rsidRPr="005911E2" w:rsidRDefault="00DA796D" w:rsidP="008E5400">
            <w:pPr>
              <w:pStyle w:val="braytabletext"/>
              <w:jc w:val="right"/>
            </w:pPr>
            <w:r w:rsidRPr="005911E2">
              <w:t>28</w:t>
            </w:r>
          </w:p>
        </w:tc>
        <w:tc>
          <w:tcPr>
            <w:tcW w:w="617" w:type="dxa"/>
            <w:vAlign w:val="bottom"/>
          </w:tcPr>
          <w:p w:rsidR="00DA796D" w:rsidRPr="005911E2" w:rsidRDefault="00DA796D" w:rsidP="008E5400">
            <w:pPr>
              <w:pStyle w:val="braytabletext"/>
              <w:jc w:val="right"/>
            </w:pPr>
            <w:r w:rsidRPr="005911E2">
              <w:t>100</w:t>
            </w:r>
          </w:p>
        </w:tc>
      </w:tr>
      <w:tr w:rsidR="00DA796D" w:rsidRPr="005911E2" w:rsidTr="008E5400">
        <w:trPr>
          <w:cantSplit/>
        </w:trPr>
        <w:tc>
          <w:tcPr>
            <w:tcW w:w="3118" w:type="dxa"/>
            <w:hideMark/>
          </w:tcPr>
          <w:p w:rsidR="00DA796D" w:rsidRPr="005911E2" w:rsidRDefault="00DA796D" w:rsidP="008E5400">
            <w:pPr>
              <w:pStyle w:val="braytabletext"/>
            </w:pPr>
            <w:r w:rsidRPr="005911E2">
              <w:t xml:space="preserve"> Ability to spread spending across the fortnight to meet basic needs</w:t>
            </w:r>
          </w:p>
        </w:tc>
        <w:tc>
          <w:tcPr>
            <w:tcW w:w="851" w:type="dxa"/>
            <w:vAlign w:val="bottom"/>
            <w:hideMark/>
          </w:tcPr>
          <w:p w:rsidR="00DA796D" w:rsidRPr="005911E2" w:rsidRDefault="00DA796D" w:rsidP="008E5400">
            <w:pPr>
              <w:pStyle w:val="braytabletext"/>
              <w:jc w:val="right"/>
            </w:pPr>
            <w:r w:rsidRPr="005911E2">
              <w:t>1</w:t>
            </w:r>
          </w:p>
        </w:tc>
        <w:tc>
          <w:tcPr>
            <w:tcW w:w="850" w:type="dxa"/>
            <w:vAlign w:val="bottom"/>
            <w:hideMark/>
          </w:tcPr>
          <w:p w:rsidR="00DA796D" w:rsidRPr="005911E2" w:rsidRDefault="00DA796D" w:rsidP="008E5400">
            <w:pPr>
              <w:pStyle w:val="braytabletext"/>
              <w:jc w:val="right"/>
            </w:pPr>
            <w:r w:rsidRPr="005911E2">
              <w:t>6</w:t>
            </w:r>
          </w:p>
        </w:tc>
        <w:tc>
          <w:tcPr>
            <w:tcW w:w="1026" w:type="dxa"/>
            <w:vAlign w:val="bottom"/>
            <w:hideMark/>
          </w:tcPr>
          <w:p w:rsidR="00DA796D" w:rsidRPr="005911E2" w:rsidRDefault="00DA796D" w:rsidP="008E5400">
            <w:pPr>
              <w:pStyle w:val="braytabletext"/>
              <w:jc w:val="right"/>
            </w:pPr>
            <w:r w:rsidRPr="005911E2">
              <w:t>39</w:t>
            </w:r>
          </w:p>
        </w:tc>
        <w:tc>
          <w:tcPr>
            <w:tcW w:w="847" w:type="dxa"/>
            <w:vAlign w:val="bottom"/>
            <w:hideMark/>
          </w:tcPr>
          <w:p w:rsidR="00DA796D" w:rsidRPr="005911E2" w:rsidRDefault="00DA796D" w:rsidP="008E5400">
            <w:pPr>
              <w:pStyle w:val="braytabletext"/>
              <w:jc w:val="right"/>
            </w:pPr>
            <w:r w:rsidRPr="005911E2">
              <w:t>38</w:t>
            </w:r>
          </w:p>
        </w:tc>
        <w:tc>
          <w:tcPr>
            <w:tcW w:w="827" w:type="dxa"/>
            <w:vAlign w:val="bottom"/>
            <w:hideMark/>
          </w:tcPr>
          <w:p w:rsidR="00DA796D" w:rsidRPr="005911E2" w:rsidRDefault="00DA796D" w:rsidP="008E5400">
            <w:pPr>
              <w:pStyle w:val="braytabletext"/>
              <w:jc w:val="right"/>
            </w:pPr>
            <w:r w:rsidRPr="005911E2">
              <w:t>16</w:t>
            </w:r>
          </w:p>
        </w:tc>
        <w:tc>
          <w:tcPr>
            <w:tcW w:w="617" w:type="dxa"/>
            <w:vAlign w:val="bottom"/>
          </w:tcPr>
          <w:p w:rsidR="00DA796D" w:rsidRPr="005911E2" w:rsidRDefault="00DA796D" w:rsidP="008E5400">
            <w:pPr>
              <w:pStyle w:val="braytabletext"/>
              <w:jc w:val="right"/>
            </w:pPr>
            <w:r w:rsidRPr="005911E2">
              <w:t>100</w:t>
            </w:r>
          </w:p>
        </w:tc>
      </w:tr>
      <w:tr w:rsidR="00DA796D" w:rsidRPr="005911E2" w:rsidTr="008E5400">
        <w:trPr>
          <w:cantSplit/>
        </w:trPr>
        <w:tc>
          <w:tcPr>
            <w:tcW w:w="3118" w:type="dxa"/>
            <w:hideMark/>
          </w:tcPr>
          <w:p w:rsidR="00DA796D" w:rsidRPr="005911E2" w:rsidRDefault="00DA796D" w:rsidP="008E5400">
            <w:pPr>
              <w:pStyle w:val="braytabletext"/>
            </w:pPr>
            <w:r w:rsidRPr="005911E2">
              <w:t>Ability to purchase ‘big ticket’ items (e.g. white goods, televisions, holidays)</w:t>
            </w:r>
          </w:p>
        </w:tc>
        <w:tc>
          <w:tcPr>
            <w:tcW w:w="851" w:type="dxa"/>
            <w:vAlign w:val="bottom"/>
            <w:hideMark/>
          </w:tcPr>
          <w:p w:rsidR="00DA796D" w:rsidRPr="005911E2" w:rsidRDefault="00DA796D" w:rsidP="008E5400">
            <w:pPr>
              <w:pStyle w:val="braytabletext"/>
              <w:jc w:val="right"/>
            </w:pPr>
            <w:r w:rsidRPr="005911E2">
              <w:t>1</w:t>
            </w:r>
          </w:p>
        </w:tc>
        <w:tc>
          <w:tcPr>
            <w:tcW w:w="850" w:type="dxa"/>
            <w:vAlign w:val="bottom"/>
            <w:hideMark/>
          </w:tcPr>
          <w:p w:rsidR="00DA796D" w:rsidRPr="005911E2" w:rsidRDefault="00DA796D" w:rsidP="008E5400">
            <w:pPr>
              <w:pStyle w:val="braytabletext"/>
              <w:jc w:val="right"/>
            </w:pPr>
            <w:r w:rsidRPr="005911E2">
              <w:t>4</w:t>
            </w:r>
          </w:p>
        </w:tc>
        <w:tc>
          <w:tcPr>
            <w:tcW w:w="1026" w:type="dxa"/>
            <w:vAlign w:val="bottom"/>
            <w:hideMark/>
          </w:tcPr>
          <w:p w:rsidR="00DA796D" w:rsidRPr="005911E2" w:rsidRDefault="00DA796D" w:rsidP="008E5400">
            <w:pPr>
              <w:pStyle w:val="braytabletext"/>
              <w:jc w:val="right"/>
            </w:pPr>
            <w:r w:rsidRPr="005911E2">
              <w:t>26</w:t>
            </w:r>
          </w:p>
        </w:tc>
        <w:tc>
          <w:tcPr>
            <w:tcW w:w="847" w:type="dxa"/>
            <w:vAlign w:val="bottom"/>
            <w:hideMark/>
          </w:tcPr>
          <w:p w:rsidR="00DA796D" w:rsidRPr="005911E2" w:rsidRDefault="00DA796D" w:rsidP="008E5400">
            <w:pPr>
              <w:pStyle w:val="braytabletext"/>
              <w:jc w:val="right"/>
            </w:pPr>
            <w:r w:rsidRPr="005911E2">
              <w:t>57</w:t>
            </w:r>
          </w:p>
        </w:tc>
        <w:tc>
          <w:tcPr>
            <w:tcW w:w="827" w:type="dxa"/>
            <w:vAlign w:val="bottom"/>
            <w:hideMark/>
          </w:tcPr>
          <w:p w:rsidR="00DA796D" w:rsidRPr="005911E2" w:rsidRDefault="00DA796D" w:rsidP="008E5400">
            <w:pPr>
              <w:pStyle w:val="braytabletext"/>
              <w:jc w:val="right"/>
            </w:pPr>
            <w:r w:rsidRPr="005911E2">
              <w:t>12</w:t>
            </w:r>
          </w:p>
        </w:tc>
        <w:tc>
          <w:tcPr>
            <w:tcW w:w="617" w:type="dxa"/>
            <w:vAlign w:val="bottom"/>
          </w:tcPr>
          <w:p w:rsidR="00DA796D" w:rsidRPr="005911E2" w:rsidRDefault="00DA796D" w:rsidP="008E5400">
            <w:pPr>
              <w:pStyle w:val="braytabletext"/>
              <w:jc w:val="right"/>
            </w:pPr>
            <w:r w:rsidRPr="005911E2">
              <w:t>100</w:t>
            </w:r>
          </w:p>
        </w:tc>
      </w:tr>
      <w:tr w:rsidR="00DA796D" w:rsidRPr="005911E2" w:rsidTr="008E5400">
        <w:trPr>
          <w:cantSplit/>
        </w:trPr>
        <w:tc>
          <w:tcPr>
            <w:tcW w:w="3118" w:type="dxa"/>
            <w:hideMark/>
          </w:tcPr>
          <w:p w:rsidR="00DA796D" w:rsidRPr="005911E2" w:rsidRDefault="00DA796D" w:rsidP="008E5400">
            <w:pPr>
              <w:pStyle w:val="braytabletext"/>
            </w:pPr>
            <w:r w:rsidRPr="005911E2">
              <w:t>Ability to deal with unexpected expenses (e.g. medical expenses)</w:t>
            </w:r>
          </w:p>
        </w:tc>
        <w:tc>
          <w:tcPr>
            <w:tcW w:w="851" w:type="dxa"/>
            <w:vAlign w:val="bottom"/>
            <w:hideMark/>
          </w:tcPr>
          <w:p w:rsidR="00DA796D" w:rsidRPr="005911E2" w:rsidRDefault="00DA796D" w:rsidP="008E5400">
            <w:pPr>
              <w:pStyle w:val="braytabletext"/>
              <w:jc w:val="right"/>
            </w:pPr>
            <w:r w:rsidRPr="005911E2">
              <w:t>1</w:t>
            </w:r>
          </w:p>
        </w:tc>
        <w:tc>
          <w:tcPr>
            <w:tcW w:w="850" w:type="dxa"/>
            <w:vAlign w:val="bottom"/>
            <w:hideMark/>
          </w:tcPr>
          <w:p w:rsidR="00DA796D" w:rsidRPr="005911E2" w:rsidRDefault="00DA796D" w:rsidP="008E5400">
            <w:pPr>
              <w:pStyle w:val="braytabletext"/>
              <w:jc w:val="right"/>
            </w:pPr>
            <w:r w:rsidRPr="005911E2">
              <w:t>4</w:t>
            </w:r>
          </w:p>
        </w:tc>
        <w:tc>
          <w:tcPr>
            <w:tcW w:w="1026" w:type="dxa"/>
            <w:vAlign w:val="bottom"/>
            <w:hideMark/>
          </w:tcPr>
          <w:p w:rsidR="00DA796D" w:rsidRPr="005911E2" w:rsidRDefault="00DA796D" w:rsidP="008E5400">
            <w:pPr>
              <w:pStyle w:val="braytabletext"/>
              <w:jc w:val="right"/>
            </w:pPr>
            <w:r w:rsidRPr="005911E2">
              <w:t>36</w:t>
            </w:r>
          </w:p>
        </w:tc>
        <w:tc>
          <w:tcPr>
            <w:tcW w:w="847" w:type="dxa"/>
            <w:vAlign w:val="bottom"/>
            <w:hideMark/>
          </w:tcPr>
          <w:p w:rsidR="00DA796D" w:rsidRPr="005911E2" w:rsidRDefault="00DA796D" w:rsidP="008E5400">
            <w:pPr>
              <w:pStyle w:val="braytabletext"/>
              <w:jc w:val="right"/>
            </w:pPr>
            <w:r w:rsidRPr="005911E2">
              <w:t>40</w:t>
            </w:r>
          </w:p>
        </w:tc>
        <w:tc>
          <w:tcPr>
            <w:tcW w:w="827" w:type="dxa"/>
            <w:vAlign w:val="bottom"/>
            <w:hideMark/>
          </w:tcPr>
          <w:p w:rsidR="00DA796D" w:rsidRPr="005911E2" w:rsidRDefault="00DA796D" w:rsidP="008E5400">
            <w:pPr>
              <w:pStyle w:val="braytabletext"/>
              <w:jc w:val="right"/>
            </w:pPr>
            <w:r w:rsidRPr="005911E2">
              <w:t>18</w:t>
            </w:r>
          </w:p>
        </w:tc>
        <w:tc>
          <w:tcPr>
            <w:tcW w:w="617" w:type="dxa"/>
            <w:vAlign w:val="bottom"/>
          </w:tcPr>
          <w:p w:rsidR="00DA796D" w:rsidRPr="005911E2" w:rsidRDefault="00DA796D" w:rsidP="008E5400">
            <w:pPr>
              <w:pStyle w:val="braytabletext"/>
              <w:jc w:val="right"/>
            </w:pPr>
            <w:r w:rsidRPr="005911E2">
              <w:t>100</w:t>
            </w:r>
          </w:p>
        </w:tc>
      </w:tr>
      <w:tr w:rsidR="00DA796D" w:rsidRPr="005911E2" w:rsidTr="008E5400">
        <w:trPr>
          <w:cantSplit/>
        </w:trPr>
        <w:tc>
          <w:tcPr>
            <w:tcW w:w="3118" w:type="dxa"/>
            <w:tcBorders>
              <w:bottom w:val="single" w:sz="4" w:space="0" w:color="auto"/>
            </w:tcBorders>
            <w:hideMark/>
          </w:tcPr>
          <w:p w:rsidR="00DA796D" w:rsidRPr="005911E2" w:rsidRDefault="00DA796D" w:rsidP="008E5400">
            <w:pPr>
              <w:pStyle w:val="braytabletext"/>
            </w:pPr>
            <w:r w:rsidRPr="005911E2">
              <w:t>Ability to resist humbugging</w:t>
            </w:r>
          </w:p>
        </w:tc>
        <w:tc>
          <w:tcPr>
            <w:tcW w:w="851" w:type="dxa"/>
            <w:tcBorders>
              <w:bottom w:val="single" w:sz="4" w:space="0" w:color="auto"/>
            </w:tcBorders>
            <w:vAlign w:val="bottom"/>
            <w:hideMark/>
          </w:tcPr>
          <w:p w:rsidR="00DA796D" w:rsidRPr="005911E2" w:rsidRDefault="00DA796D" w:rsidP="008E5400">
            <w:pPr>
              <w:pStyle w:val="braytabletext"/>
              <w:jc w:val="right"/>
            </w:pPr>
            <w:r w:rsidRPr="005911E2">
              <w:t>1</w:t>
            </w:r>
          </w:p>
        </w:tc>
        <w:tc>
          <w:tcPr>
            <w:tcW w:w="850" w:type="dxa"/>
            <w:tcBorders>
              <w:bottom w:val="single" w:sz="4" w:space="0" w:color="auto"/>
            </w:tcBorders>
            <w:vAlign w:val="bottom"/>
            <w:hideMark/>
          </w:tcPr>
          <w:p w:rsidR="00DA796D" w:rsidRPr="005911E2" w:rsidRDefault="00DA796D" w:rsidP="008E5400">
            <w:pPr>
              <w:pStyle w:val="braytabletext"/>
              <w:jc w:val="right"/>
            </w:pPr>
            <w:r w:rsidRPr="005911E2">
              <w:t>7</w:t>
            </w:r>
          </w:p>
        </w:tc>
        <w:tc>
          <w:tcPr>
            <w:tcW w:w="1026" w:type="dxa"/>
            <w:tcBorders>
              <w:bottom w:val="single" w:sz="4" w:space="0" w:color="auto"/>
            </w:tcBorders>
            <w:vAlign w:val="bottom"/>
            <w:hideMark/>
          </w:tcPr>
          <w:p w:rsidR="00DA796D" w:rsidRPr="005911E2" w:rsidRDefault="00DA796D" w:rsidP="008E5400">
            <w:pPr>
              <w:pStyle w:val="braytabletext"/>
              <w:jc w:val="right"/>
            </w:pPr>
            <w:r w:rsidRPr="005911E2">
              <w:t>44</w:t>
            </w:r>
          </w:p>
        </w:tc>
        <w:tc>
          <w:tcPr>
            <w:tcW w:w="847" w:type="dxa"/>
            <w:tcBorders>
              <w:bottom w:val="single" w:sz="4" w:space="0" w:color="auto"/>
            </w:tcBorders>
            <w:vAlign w:val="bottom"/>
            <w:hideMark/>
          </w:tcPr>
          <w:p w:rsidR="00DA796D" w:rsidRPr="005911E2" w:rsidRDefault="00DA796D" w:rsidP="008E5400">
            <w:pPr>
              <w:pStyle w:val="braytabletext"/>
              <w:jc w:val="right"/>
            </w:pPr>
            <w:r w:rsidRPr="005911E2">
              <w:t>37</w:t>
            </w:r>
          </w:p>
        </w:tc>
        <w:tc>
          <w:tcPr>
            <w:tcW w:w="827" w:type="dxa"/>
            <w:tcBorders>
              <w:bottom w:val="single" w:sz="4" w:space="0" w:color="auto"/>
            </w:tcBorders>
            <w:vAlign w:val="bottom"/>
            <w:hideMark/>
          </w:tcPr>
          <w:p w:rsidR="00DA796D" w:rsidRPr="005911E2" w:rsidRDefault="00DA796D" w:rsidP="008E5400">
            <w:pPr>
              <w:pStyle w:val="braytabletext"/>
              <w:jc w:val="right"/>
            </w:pPr>
            <w:r w:rsidRPr="005911E2">
              <w:t>11</w:t>
            </w:r>
          </w:p>
        </w:tc>
        <w:tc>
          <w:tcPr>
            <w:tcW w:w="617" w:type="dxa"/>
            <w:tcBorders>
              <w:bottom w:val="single" w:sz="4" w:space="0" w:color="auto"/>
            </w:tcBorders>
            <w:vAlign w:val="bottom"/>
          </w:tcPr>
          <w:p w:rsidR="00DA796D" w:rsidRPr="005911E2" w:rsidRDefault="00DA796D" w:rsidP="008E5400">
            <w:pPr>
              <w:pStyle w:val="braytabletext"/>
              <w:jc w:val="right"/>
            </w:pPr>
            <w:r w:rsidRPr="005911E2">
              <w:t>100</w:t>
            </w:r>
          </w:p>
        </w:tc>
      </w:tr>
    </w:tbl>
    <w:p w:rsidR="00DA796D" w:rsidRPr="005911E2" w:rsidRDefault="00DA796D" w:rsidP="00FF16A3">
      <w:pPr>
        <w:pStyle w:val="tablefootnotes"/>
      </w:pPr>
      <w:r w:rsidRPr="005911E2">
        <w:t xml:space="preserve">Notes: </w:t>
      </w:r>
      <w:r w:rsidR="00FF16A3">
        <w:tab/>
      </w:r>
      <w:r w:rsidRPr="005911E2">
        <w:t xml:space="preserve">128 respondents. A small number of respondents said that one or more of the questions was not applicable to them (a maximum of 1 per cent for any particular item were not applicable). </w:t>
      </w:r>
      <w:r w:rsidRPr="005911E2">
        <w:rPr>
          <w:rFonts w:cs="Arial"/>
          <w:szCs w:val="20"/>
        </w:rPr>
        <w:t xml:space="preserve">In addition, the proportion of ‘Don’t know/not enough evidence’ responses ranged from 11 per cent to 18 per cent for these items. </w:t>
      </w:r>
    </w:p>
    <w:p w:rsidR="00DA796D" w:rsidRPr="005911E2" w:rsidRDefault="00DA796D" w:rsidP="00FF16A3">
      <w:pPr>
        <w:pStyle w:val="tablefootnotes"/>
      </w:pPr>
      <w:r w:rsidRPr="005911E2">
        <w:rPr>
          <w:rFonts w:ascii="Calibri" w:hAnsi="Calibri"/>
          <w:color w:val="000000"/>
          <w:szCs w:val="24"/>
          <w:lang w:bidi="ar-SA"/>
        </w:rPr>
        <w:t xml:space="preserve">Source: </w:t>
      </w:r>
      <w:r w:rsidR="00FF16A3">
        <w:rPr>
          <w:rFonts w:ascii="Calibri" w:hAnsi="Calibri"/>
          <w:color w:val="000000"/>
          <w:szCs w:val="24"/>
          <w:lang w:bidi="ar-SA"/>
        </w:rPr>
        <w:tab/>
      </w:r>
      <w:r w:rsidRPr="005911E2">
        <w:t>Survey of Centrelink Staff 2011.</w:t>
      </w:r>
    </w:p>
    <w:p w:rsidR="00DA796D" w:rsidRPr="005911E2" w:rsidRDefault="00DA796D" w:rsidP="00CF518E">
      <w:pPr>
        <w:pStyle w:val="tablefootnotes"/>
        <w:rPr>
          <w:sz w:val="18"/>
        </w:rPr>
      </w:pPr>
    </w:p>
    <w:p w:rsidR="0012002D" w:rsidRPr="005911E2" w:rsidRDefault="0012002D" w:rsidP="0012002D">
      <w:pPr>
        <w:rPr>
          <w:lang w:eastAsia="en-AU"/>
        </w:rPr>
      </w:pPr>
      <w:r w:rsidRPr="005911E2">
        <w:rPr>
          <w:lang w:eastAsia="en-AU"/>
        </w:rPr>
        <w:t xml:space="preserve">Here again, Centrelink staff were very positive in their assessments of the impacts of </w:t>
      </w:r>
      <w:r>
        <w:rPr>
          <w:lang w:eastAsia="en-AU"/>
        </w:rPr>
        <w:t>income management</w:t>
      </w:r>
      <w:r w:rsidRPr="005911E2">
        <w:rPr>
          <w:lang w:eastAsia="en-AU"/>
        </w:rPr>
        <w:t xml:space="preserve"> on their clients’ financial wellbeing. Over 80 per cent reported that </w:t>
      </w:r>
      <w:r>
        <w:rPr>
          <w:lang w:eastAsia="en-AU"/>
        </w:rPr>
        <w:t>income management</w:t>
      </w:r>
      <w:r w:rsidRPr="005911E2">
        <w:rPr>
          <w:lang w:eastAsia="en-AU"/>
        </w:rPr>
        <w:t xml:space="preserve"> had had a highly positive or positive impact on clients’ abilities to pay essential bills and to spread their spending across the fortnight to meet their basic needs.</w:t>
      </w:r>
      <w:r>
        <w:rPr>
          <w:lang w:eastAsia="en-AU"/>
        </w:rPr>
        <w:t xml:space="preserve"> </w:t>
      </w:r>
      <w:r w:rsidRPr="005911E2">
        <w:rPr>
          <w:lang w:eastAsia="en-AU"/>
        </w:rPr>
        <w:t xml:space="preserve">Over 70 per cent of staff reported positive impacts on their clients’ ability to purchase ‘big ticket items’ and to resist ‘humbugging’. Staff tended to be less positive about the ability of clients subject to </w:t>
      </w:r>
      <w:r>
        <w:rPr>
          <w:lang w:eastAsia="en-AU"/>
        </w:rPr>
        <w:t>income management</w:t>
      </w:r>
      <w:r w:rsidRPr="005911E2">
        <w:rPr>
          <w:lang w:eastAsia="en-AU"/>
        </w:rPr>
        <w:t xml:space="preserve"> to deal with unexpected expenses, with only 51 per cent providing a positive response to this item.</w:t>
      </w:r>
    </w:p>
    <w:p w:rsidR="0012002D" w:rsidRPr="005911E2" w:rsidRDefault="0012002D" w:rsidP="0012002D">
      <w:pPr>
        <w:rPr>
          <w:lang w:eastAsia="en-AU"/>
        </w:rPr>
      </w:pPr>
      <w:r w:rsidRPr="005911E2">
        <w:rPr>
          <w:lang w:eastAsia="en-AU"/>
        </w:rPr>
        <w:t xml:space="preserve">In addition to the financial aspects of wellbeing cited in Table </w:t>
      </w:r>
      <w:r w:rsidRPr="005911E2">
        <w:rPr>
          <w:noProof/>
          <w:lang w:eastAsia="en-AU"/>
        </w:rPr>
        <w:t>9</w:t>
      </w:r>
      <w:r w:rsidRPr="005911E2">
        <w:rPr>
          <w:lang w:eastAsia="en-AU"/>
        </w:rPr>
        <w:noBreakHyphen/>
      </w:r>
      <w:r w:rsidRPr="005911E2">
        <w:rPr>
          <w:noProof/>
          <w:lang w:eastAsia="en-AU"/>
        </w:rPr>
        <w:t>12</w:t>
      </w:r>
      <w:r w:rsidRPr="005911E2">
        <w:rPr>
          <w:lang w:eastAsia="en-AU"/>
        </w:rPr>
        <w:t>, 23 respondents also noted other financial impacts on clients. These included:</w:t>
      </w:r>
    </w:p>
    <w:p w:rsidR="0012002D" w:rsidRPr="005911E2" w:rsidRDefault="0012002D" w:rsidP="00EF6C17">
      <w:pPr>
        <w:pStyle w:val="ListBullet"/>
      </w:pPr>
      <w:r>
        <w:t>t</w:t>
      </w:r>
      <w:r w:rsidRPr="005911E2">
        <w:t>he ability to avoid financial harassment</w:t>
      </w:r>
    </w:p>
    <w:p w:rsidR="0012002D" w:rsidRPr="005911E2" w:rsidRDefault="00BE5ECB" w:rsidP="00EF6C17">
      <w:pPr>
        <w:pStyle w:val="ListBullet"/>
      </w:pPr>
      <w:r>
        <w:t>t</w:t>
      </w:r>
      <w:r w:rsidR="0012002D">
        <w:t>he a</w:t>
      </w:r>
      <w:r w:rsidR="0012002D" w:rsidRPr="005911E2">
        <w:t>bility to have daily or weekly spending allocations</w:t>
      </w:r>
    </w:p>
    <w:p w:rsidR="0012002D" w:rsidRPr="005911E2" w:rsidRDefault="0012002D" w:rsidP="00EF6C17">
      <w:pPr>
        <w:pStyle w:val="ListBullet"/>
      </w:pPr>
      <w:r>
        <w:t>a</w:t>
      </w:r>
      <w:r w:rsidRPr="005911E2">
        <w:t>n increased dependence on Centrelink.</w:t>
      </w:r>
    </w:p>
    <w:p w:rsidR="009D6644" w:rsidRDefault="00DA796D" w:rsidP="009D6644">
      <w:pPr>
        <w:rPr>
          <w:lang w:eastAsia="en-AU"/>
        </w:rPr>
      </w:pPr>
      <w:r w:rsidRPr="005911E2">
        <w:rPr>
          <w:lang w:eastAsia="en-AU"/>
        </w:rPr>
        <w:t xml:space="preserve">Another indicator of how income management is impacting on the financial wellbeing of people subject to IM is the extent to which they are seeking emergency relief, emergency appointments and other financial crisis support. </w:t>
      </w:r>
      <w:r w:rsidR="009734E9">
        <w:rPr>
          <w:lang w:eastAsia="en-AU"/>
        </w:rPr>
        <w:t xml:space="preserve">As indicated in </w:t>
      </w:r>
      <w:r w:rsidR="00C7347D">
        <w:rPr>
          <w:lang w:eastAsia="en-AU"/>
        </w:rPr>
        <w:fldChar w:fldCharType="begin"/>
      </w:r>
      <w:r w:rsidR="009734E9">
        <w:rPr>
          <w:lang w:eastAsia="en-AU"/>
        </w:rPr>
        <w:instrText xml:space="preserve"> REF _Ref329018559 \h </w:instrText>
      </w:r>
      <w:r w:rsidR="00C7347D">
        <w:rPr>
          <w:lang w:eastAsia="en-AU"/>
        </w:rPr>
      </w:r>
      <w:r w:rsidR="00C7347D">
        <w:rPr>
          <w:lang w:eastAsia="en-AU"/>
        </w:rPr>
        <w:fldChar w:fldCharType="separate"/>
      </w:r>
      <w:r w:rsidR="007D7E45" w:rsidRPr="005911E2">
        <w:t xml:space="preserve">Figure </w:t>
      </w:r>
      <w:r w:rsidR="007D7E45">
        <w:rPr>
          <w:noProof/>
        </w:rPr>
        <w:t>9</w:t>
      </w:r>
      <w:r w:rsidR="007D7E45">
        <w:noBreakHyphen/>
      </w:r>
      <w:r w:rsidR="007D7E45">
        <w:rPr>
          <w:noProof/>
        </w:rPr>
        <w:t>1</w:t>
      </w:r>
      <w:r w:rsidR="00C7347D">
        <w:rPr>
          <w:lang w:eastAsia="en-AU"/>
        </w:rPr>
        <w:fldChar w:fldCharType="end"/>
      </w:r>
      <w:r w:rsidR="009734E9">
        <w:rPr>
          <w:lang w:eastAsia="en-AU"/>
        </w:rPr>
        <w:t xml:space="preserve">, </w:t>
      </w:r>
      <w:r w:rsidR="00DB18E8">
        <w:rPr>
          <w:lang w:eastAsia="en-AU"/>
        </w:rPr>
        <w:t>m</w:t>
      </w:r>
      <w:r w:rsidRPr="005911E2">
        <w:rPr>
          <w:lang w:eastAsia="en-AU"/>
        </w:rPr>
        <w:t xml:space="preserve">ost </w:t>
      </w:r>
      <w:r w:rsidR="00DB18E8" w:rsidRPr="005911E2">
        <w:rPr>
          <w:lang w:eastAsia="en-AU"/>
        </w:rPr>
        <w:t>(52 per cent)</w:t>
      </w:r>
      <w:r w:rsidR="00DB18E8">
        <w:rPr>
          <w:lang w:eastAsia="en-AU"/>
        </w:rPr>
        <w:t xml:space="preserve"> </w:t>
      </w:r>
      <w:r w:rsidRPr="005911E2">
        <w:rPr>
          <w:lang w:eastAsia="en-AU"/>
        </w:rPr>
        <w:t>Centrelink staff responding to the survey reported</w:t>
      </w:r>
      <w:r w:rsidR="008E5400">
        <w:rPr>
          <w:lang w:eastAsia="en-AU"/>
        </w:rPr>
        <w:t xml:space="preserve"> </w:t>
      </w:r>
      <w:r w:rsidRPr="005911E2">
        <w:rPr>
          <w:lang w:eastAsia="en-AU"/>
        </w:rPr>
        <w:t xml:space="preserve">that </w:t>
      </w:r>
      <w:r w:rsidR="0006153C">
        <w:rPr>
          <w:lang w:eastAsia="en-AU"/>
        </w:rPr>
        <w:t xml:space="preserve">they believed </w:t>
      </w:r>
      <w:r w:rsidRPr="005911E2">
        <w:rPr>
          <w:lang w:eastAsia="en-AU"/>
        </w:rPr>
        <w:t xml:space="preserve">NIM had led to a decrease in the number of times people seek such support. However 40 per cent of respondents noted no change in the numbers of people seeking financial crisis support and just over eight per cent reported an increase. </w:t>
      </w:r>
    </w:p>
    <w:p w:rsidR="00DA796D" w:rsidRPr="005911E2" w:rsidRDefault="00DA796D" w:rsidP="0012002D">
      <w:pPr>
        <w:pStyle w:val="tabfighead"/>
      </w:pPr>
      <w:bookmarkStart w:id="899" w:name="_Ref329018559"/>
      <w:bookmarkStart w:id="900" w:name="_Toc321761762"/>
      <w:bookmarkStart w:id="901" w:name="_Toc328601666"/>
      <w:bookmarkStart w:id="902" w:name="_Toc335915932"/>
      <w:bookmarkStart w:id="903" w:name="_Toc321254611"/>
      <w:r w:rsidRPr="005911E2">
        <w:t xml:space="preserve">Figure </w:t>
      </w:r>
      <w:r w:rsidR="00C7347D">
        <w:fldChar w:fldCharType="begin"/>
      </w:r>
      <w:r w:rsidR="00E74851">
        <w:instrText xml:space="preserve"> STYLEREF 1 \s </w:instrText>
      </w:r>
      <w:r w:rsidR="00C7347D">
        <w:fldChar w:fldCharType="separate"/>
      </w:r>
      <w:r w:rsidR="007D7E45">
        <w:rPr>
          <w:noProof/>
        </w:rPr>
        <w:t>9</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1</w:t>
      </w:r>
      <w:r w:rsidR="00C7347D">
        <w:fldChar w:fldCharType="end"/>
      </w:r>
      <w:bookmarkEnd w:id="899"/>
      <w:r w:rsidR="00EA1CD7" w:rsidRPr="005911E2">
        <w:rPr>
          <w:noProof/>
        </w:rPr>
        <w:tab/>
      </w:r>
      <w:r w:rsidRPr="005911E2">
        <w:t>Centrelink staff perceptions of how often clients seek financial crisis support</w:t>
      </w:r>
      <w:bookmarkEnd w:id="900"/>
      <w:bookmarkEnd w:id="901"/>
      <w:bookmarkEnd w:id="902"/>
      <w:r w:rsidRPr="005911E2">
        <w:t xml:space="preserve"> </w:t>
      </w:r>
      <w:bookmarkEnd w:id="903"/>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9-1 Centrelink staff perceptions of how often clients seek financial crisis support "/>
        <w:tblDescription w:val="Figure 9-1 Centrelink staff perceptions of how often clients seek financial crisis support "/>
      </w:tblPr>
      <w:tblGrid>
        <w:gridCol w:w="7853"/>
      </w:tblGrid>
      <w:tr w:rsidR="009D6644" w:rsidTr="009D15E2">
        <w:trPr>
          <w:tblHeader/>
        </w:trPr>
        <w:tc>
          <w:tcPr>
            <w:tcW w:w="7853" w:type="dxa"/>
          </w:tcPr>
          <w:p w:rsidR="009D6644" w:rsidRDefault="0084553D" w:rsidP="00DA796D">
            <w:pPr>
              <w:spacing w:after="0" w:line="264" w:lineRule="auto"/>
              <w:ind w:left="0"/>
              <w:rPr>
                <w:sz w:val="18"/>
              </w:rPr>
            </w:pPr>
            <w:r>
              <w:rPr>
                <w:noProof/>
                <w:sz w:val="18"/>
                <w:lang w:eastAsia="en-AU" w:bidi="ar-SA"/>
              </w:rPr>
              <w:drawing>
                <wp:inline distT="0" distB="0" distL="0" distR="0" wp14:anchorId="2754CCB7" wp14:editId="7B3E5F3F">
                  <wp:extent cx="4907280" cy="2514600"/>
                  <wp:effectExtent l="0" t="0" r="7620" b="0"/>
                  <wp:docPr id="67" name="Picture 27" descr="Figure 9-1 Centrelink staff perceptions of how often clients seek financial crisis support " title="Figure 9-1 Centrelink staff perceptions of how often clients seek financial crisis sup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07280" cy="2514600"/>
                          </a:xfrm>
                          <a:prstGeom prst="rect">
                            <a:avLst/>
                          </a:prstGeom>
                          <a:noFill/>
                          <a:ln>
                            <a:noFill/>
                          </a:ln>
                        </pic:spPr>
                      </pic:pic>
                    </a:graphicData>
                  </a:graphic>
                </wp:inline>
              </w:drawing>
            </w:r>
          </w:p>
        </w:tc>
      </w:tr>
    </w:tbl>
    <w:p w:rsidR="00DA796D" w:rsidRPr="005911E2" w:rsidRDefault="00DA796D" w:rsidP="00CF518E">
      <w:pPr>
        <w:pStyle w:val="tablefootnotes"/>
      </w:pPr>
      <w:r w:rsidRPr="005911E2">
        <w:t xml:space="preserve">Notes: </w:t>
      </w:r>
      <w:r w:rsidR="00FF16A3">
        <w:tab/>
      </w:r>
      <w:r w:rsidRPr="005911E2">
        <w:t xml:space="preserve">128 respondents. 24 per cent respondents gave a </w:t>
      </w:r>
      <w:r w:rsidR="00AA6014">
        <w:t>‘</w:t>
      </w:r>
      <w:r w:rsidRPr="005911E2">
        <w:t>don’t know</w:t>
      </w:r>
      <w:r w:rsidR="00AA6014">
        <w:t>’</w:t>
      </w:r>
      <w:r w:rsidRPr="005911E2">
        <w:t xml:space="preserve"> response and 1 per cent said </w:t>
      </w:r>
      <w:r w:rsidR="00AA6014">
        <w:t>‘</w:t>
      </w:r>
      <w:r w:rsidRPr="005911E2">
        <w:t>too early to say</w:t>
      </w:r>
      <w:r w:rsidR="00AA6014">
        <w:t>’</w:t>
      </w:r>
      <w:r w:rsidRPr="005911E2">
        <w:t>. They are excluded from this figure.</w:t>
      </w:r>
    </w:p>
    <w:p w:rsidR="00DA796D" w:rsidRPr="005911E2" w:rsidRDefault="00DA796D" w:rsidP="00CF518E">
      <w:pPr>
        <w:pStyle w:val="tablefootnotes"/>
      </w:pPr>
      <w:r w:rsidRPr="005911E2">
        <w:t xml:space="preserve">Source: </w:t>
      </w:r>
      <w:r w:rsidR="00FF16A3">
        <w:tab/>
      </w:r>
      <w:r w:rsidRPr="005911E2">
        <w:rPr>
          <w:rFonts w:cs="Arial"/>
        </w:rPr>
        <w:t>Survey of Centrelink Staff 2011.</w:t>
      </w:r>
    </w:p>
    <w:p w:rsidR="00DA796D" w:rsidRPr="005911E2" w:rsidRDefault="00DA796D" w:rsidP="00BD6DFD">
      <w:pPr>
        <w:pStyle w:val="Heading3"/>
      </w:pPr>
      <w:r w:rsidRPr="005911E2">
        <w:t xml:space="preserve">Centrelink staff perceptions of the impact of </w:t>
      </w:r>
      <w:r w:rsidR="00F878E4">
        <w:t>income management</w:t>
      </w:r>
      <w:r w:rsidRPr="005911E2">
        <w:t xml:space="preserve"> on clients’ general health and wellbeing</w:t>
      </w:r>
    </w:p>
    <w:p w:rsidR="00DA796D" w:rsidRDefault="00DA796D" w:rsidP="00DA796D">
      <w:pPr>
        <w:rPr>
          <w:lang w:eastAsia="en-AU"/>
        </w:rPr>
      </w:pPr>
      <w:r w:rsidRPr="005911E2">
        <w:rPr>
          <w:lang w:eastAsia="en-AU"/>
        </w:rPr>
        <w:t xml:space="preserve">Table </w:t>
      </w:r>
      <w:r w:rsidRPr="005911E2">
        <w:rPr>
          <w:noProof/>
          <w:lang w:eastAsia="en-AU"/>
        </w:rPr>
        <w:t>9</w:t>
      </w:r>
      <w:r w:rsidRPr="005911E2">
        <w:rPr>
          <w:lang w:eastAsia="en-AU"/>
        </w:rPr>
        <w:noBreakHyphen/>
      </w:r>
      <w:r w:rsidRPr="005911E2">
        <w:rPr>
          <w:noProof/>
          <w:lang w:eastAsia="en-AU"/>
        </w:rPr>
        <w:t>13</w:t>
      </w:r>
      <w:r w:rsidRPr="005911E2">
        <w:rPr>
          <w:lang w:eastAsia="en-AU"/>
        </w:rPr>
        <w:t xml:space="preserve"> sets out the responses from Centrelink staff to the questions around general health and wellbeing. Almost all respondents reported that they were of the view that </w:t>
      </w:r>
      <w:r w:rsidR="00F878E4">
        <w:rPr>
          <w:lang w:eastAsia="en-AU"/>
        </w:rPr>
        <w:t>income management</w:t>
      </w:r>
      <w:r w:rsidRPr="005911E2">
        <w:rPr>
          <w:lang w:eastAsia="en-AU"/>
        </w:rPr>
        <w:t xml:space="preserve"> had had a highly positive or positive impact on the amount of food eaten (92 per cent)</w:t>
      </w:r>
      <w:r w:rsidR="00AA6014">
        <w:rPr>
          <w:lang w:eastAsia="en-AU"/>
        </w:rPr>
        <w:t>,</w:t>
      </w:r>
      <w:r w:rsidRPr="005911E2">
        <w:rPr>
          <w:lang w:eastAsia="en-AU"/>
        </w:rPr>
        <w:t xml:space="preserve"> and Child health and wellbeing (85 per cent). Around two-thirds thought that </w:t>
      </w:r>
      <w:r w:rsidR="00F878E4">
        <w:rPr>
          <w:lang w:eastAsia="en-AU"/>
        </w:rPr>
        <w:t>income management</w:t>
      </w:r>
      <w:r w:rsidRPr="005911E2">
        <w:rPr>
          <w:lang w:eastAsia="en-AU"/>
        </w:rPr>
        <w:t xml:space="preserve"> had had a positive impact on the quality/adequacy of clothing (69 per cent) and clients’ physical health (62 per cent). Just over half (58 per cent) thought that </w:t>
      </w:r>
      <w:r w:rsidR="00F878E4">
        <w:rPr>
          <w:lang w:eastAsia="en-AU"/>
        </w:rPr>
        <w:t>income management</w:t>
      </w:r>
      <w:r w:rsidRPr="005911E2">
        <w:rPr>
          <w:lang w:eastAsia="en-AU"/>
        </w:rPr>
        <w:t xml:space="preserve"> had a positive impact upon school attendance. </w:t>
      </w:r>
    </w:p>
    <w:p w:rsidR="008E5400" w:rsidRPr="005911E2" w:rsidRDefault="008E5400" w:rsidP="008E5400">
      <w:pPr>
        <w:rPr>
          <w:lang w:eastAsia="en-AU"/>
        </w:rPr>
      </w:pPr>
      <w:r w:rsidRPr="005911E2">
        <w:rPr>
          <w:lang w:eastAsia="en-AU"/>
        </w:rPr>
        <w:t xml:space="preserve">While the proportion of respondents indicating they considered that there were negative impacts (highly negative or negative) for people subject to </w:t>
      </w:r>
      <w:r>
        <w:rPr>
          <w:lang w:eastAsia="en-AU"/>
        </w:rPr>
        <w:t>income management</w:t>
      </w:r>
      <w:r w:rsidRPr="005911E2">
        <w:rPr>
          <w:lang w:eastAsia="en-AU"/>
        </w:rPr>
        <w:t xml:space="preserve"> were low across all items, around half of the respondents indicated that there had been a neutral impact in regard to their clients’ safety, family violence and relationships between parents or household members, their ability to participate in social or cultural activities, housing conditions, mental health and educational outcomes. </w:t>
      </w:r>
    </w:p>
    <w:p w:rsidR="008E5400" w:rsidRPr="005911E2" w:rsidRDefault="008E5400" w:rsidP="008E5400">
      <w:pPr>
        <w:rPr>
          <w:lang w:eastAsia="en-AU"/>
        </w:rPr>
      </w:pPr>
      <w:r w:rsidRPr="005911E2">
        <w:rPr>
          <w:lang w:eastAsia="en-AU"/>
        </w:rPr>
        <w:t xml:space="preserve">Overall it appeared that Centrelink staff viewed </w:t>
      </w:r>
      <w:r>
        <w:rPr>
          <w:lang w:eastAsia="en-AU"/>
        </w:rPr>
        <w:t>income management</w:t>
      </w:r>
      <w:r w:rsidRPr="005911E2">
        <w:rPr>
          <w:lang w:eastAsia="en-AU"/>
        </w:rPr>
        <w:t xml:space="preserve"> as having a greater impact on children’s wellbeing than </w:t>
      </w:r>
      <w:r>
        <w:rPr>
          <w:lang w:eastAsia="en-AU"/>
        </w:rPr>
        <w:t xml:space="preserve">the </w:t>
      </w:r>
      <w:r w:rsidRPr="005911E2">
        <w:rPr>
          <w:lang w:eastAsia="en-AU"/>
        </w:rPr>
        <w:t>socio-emotional wellbeing</w:t>
      </w:r>
      <w:r>
        <w:rPr>
          <w:lang w:eastAsia="en-AU"/>
        </w:rPr>
        <w:t xml:space="preserve"> of adults</w:t>
      </w:r>
      <w:r w:rsidRPr="005911E2">
        <w:rPr>
          <w:lang w:eastAsia="en-AU"/>
        </w:rPr>
        <w:t>.</w:t>
      </w:r>
    </w:p>
    <w:p w:rsidR="008E5400" w:rsidRPr="005911E2" w:rsidRDefault="008E5400" w:rsidP="00DA796D">
      <w:pPr>
        <w:rPr>
          <w:lang w:eastAsia="en-AU"/>
        </w:rPr>
      </w:pPr>
    </w:p>
    <w:p w:rsidR="00DA796D" w:rsidRPr="005911E2" w:rsidRDefault="00DA796D" w:rsidP="00EA1CD7">
      <w:pPr>
        <w:pStyle w:val="tabfighead"/>
      </w:pPr>
      <w:bookmarkStart w:id="904" w:name="_Ref194666671"/>
      <w:bookmarkStart w:id="905" w:name="_Toc321254577"/>
      <w:bookmarkStart w:id="906" w:name="_Toc321430458"/>
      <w:bookmarkStart w:id="907" w:name="_Toc321761728"/>
      <w:bookmarkStart w:id="908" w:name="_Toc328601625"/>
      <w:bookmarkStart w:id="909" w:name="_Toc329051403"/>
      <w:bookmarkStart w:id="910" w:name="_Toc335915891"/>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9</w:t>
      </w:r>
      <w:r w:rsidR="00C7347D" w:rsidRPr="005911E2">
        <w:rPr>
          <w:noProof/>
        </w:rPr>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13</w:t>
      </w:r>
      <w:r w:rsidR="00C7347D" w:rsidRPr="005911E2">
        <w:rPr>
          <w:noProof/>
        </w:rPr>
        <w:fldChar w:fldCharType="end"/>
      </w:r>
      <w:bookmarkEnd w:id="904"/>
      <w:r w:rsidRPr="005911E2">
        <w:t xml:space="preserve"> </w:t>
      </w:r>
      <w:r w:rsidR="00691035">
        <w:tab/>
      </w:r>
      <w:r w:rsidRPr="005911E2">
        <w:t>Centrelink staff perceptions of the impact of NIM on aspects of their clients’ health and wellbeing</w:t>
      </w:r>
      <w:bookmarkEnd w:id="905"/>
      <w:bookmarkEnd w:id="906"/>
      <w:bookmarkEnd w:id="907"/>
      <w:bookmarkEnd w:id="908"/>
      <w:bookmarkEnd w:id="909"/>
      <w:bookmarkEnd w:id="910"/>
      <w:r w:rsidRPr="005911E2">
        <w:t xml:space="preserve"> </w:t>
      </w:r>
    </w:p>
    <w:tbl>
      <w:tblPr>
        <w:tblW w:w="8471" w:type="dxa"/>
        <w:tblInd w:w="624" w:type="dxa"/>
        <w:tblLayout w:type="fixed"/>
        <w:tblCellMar>
          <w:left w:w="57" w:type="dxa"/>
          <w:right w:w="57" w:type="dxa"/>
        </w:tblCellMar>
        <w:tblLook w:val="04A0" w:firstRow="1" w:lastRow="0" w:firstColumn="1" w:lastColumn="0" w:noHBand="0" w:noVBand="1"/>
      </w:tblPr>
      <w:tblGrid>
        <w:gridCol w:w="3119"/>
        <w:gridCol w:w="850"/>
        <w:gridCol w:w="993"/>
        <w:gridCol w:w="1092"/>
        <w:gridCol w:w="892"/>
        <w:gridCol w:w="851"/>
        <w:gridCol w:w="674"/>
      </w:tblGrid>
      <w:tr w:rsidR="00DA796D" w:rsidRPr="005911E2" w:rsidTr="008E57A0">
        <w:tc>
          <w:tcPr>
            <w:tcW w:w="3119" w:type="dxa"/>
            <w:tcBorders>
              <w:top w:val="single" w:sz="4" w:space="0" w:color="auto"/>
              <w:bottom w:val="single" w:sz="4" w:space="0" w:color="auto"/>
            </w:tcBorders>
            <w:shd w:val="clear" w:color="auto" w:fill="auto"/>
            <w:hideMark/>
          </w:tcPr>
          <w:p w:rsidR="00DA796D" w:rsidRPr="005911E2" w:rsidRDefault="00DA796D" w:rsidP="008E5400">
            <w:pPr>
              <w:pStyle w:val="braytabletext"/>
            </w:pPr>
            <w:r w:rsidRPr="005911E2">
              <w:t> </w:t>
            </w:r>
          </w:p>
        </w:tc>
        <w:tc>
          <w:tcPr>
            <w:tcW w:w="850" w:type="dxa"/>
            <w:tcBorders>
              <w:top w:val="single" w:sz="4" w:space="0" w:color="auto"/>
              <w:bottom w:val="single" w:sz="4" w:space="0" w:color="auto"/>
            </w:tcBorders>
            <w:shd w:val="clear" w:color="auto" w:fill="auto"/>
            <w:hideMark/>
          </w:tcPr>
          <w:p w:rsidR="00DA796D" w:rsidRPr="005911E2" w:rsidRDefault="00DA796D" w:rsidP="008E5400">
            <w:pPr>
              <w:pStyle w:val="braytabletext"/>
              <w:jc w:val="right"/>
            </w:pPr>
            <w:r w:rsidRPr="005911E2">
              <w:t>Highly negative</w:t>
            </w:r>
          </w:p>
        </w:tc>
        <w:tc>
          <w:tcPr>
            <w:tcW w:w="993" w:type="dxa"/>
            <w:tcBorders>
              <w:top w:val="single" w:sz="4" w:space="0" w:color="auto"/>
              <w:bottom w:val="single" w:sz="4" w:space="0" w:color="auto"/>
            </w:tcBorders>
            <w:shd w:val="clear" w:color="auto" w:fill="auto"/>
            <w:hideMark/>
          </w:tcPr>
          <w:p w:rsidR="00DA796D" w:rsidRPr="005911E2" w:rsidRDefault="00DA796D" w:rsidP="008E5400">
            <w:pPr>
              <w:pStyle w:val="braytabletext"/>
              <w:jc w:val="right"/>
            </w:pPr>
            <w:r w:rsidRPr="005911E2">
              <w:t>Negative</w:t>
            </w:r>
          </w:p>
        </w:tc>
        <w:tc>
          <w:tcPr>
            <w:tcW w:w="1092" w:type="dxa"/>
            <w:tcBorders>
              <w:top w:val="single" w:sz="4" w:space="0" w:color="auto"/>
              <w:bottom w:val="single" w:sz="4" w:space="0" w:color="auto"/>
            </w:tcBorders>
            <w:shd w:val="clear" w:color="auto" w:fill="auto"/>
            <w:hideMark/>
          </w:tcPr>
          <w:p w:rsidR="00DA796D" w:rsidRPr="005911E2" w:rsidRDefault="008E57A0" w:rsidP="008E5400">
            <w:pPr>
              <w:pStyle w:val="braytabletext"/>
              <w:jc w:val="right"/>
            </w:pPr>
            <w:r>
              <w:t>Neutral/ N</w:t>
            </w:r>
            <w:r w:rsidR="00DA796D" w:rsidRPr="005911E2">
              <w:t>o material impact</w:t>
            </w:r>
          </w:p>
        </w:tc>
        <w:tc>
          <w:tcPr>
            <w:tcW w:w="892" w:type="dxa"/>
            <w:tcBorders>
              <w:top w:val="single" w:sz="4" w:space="0" w:color="auto"/>
              <w:bottom w:val="single" w:sz="4" w:space="0" w:color="auto"/>
            </w:tcBorders>
            <w:shd w:val="clear" w:color="auto" w:fill="auto"/>
            <w:hideMark/>
          </w:tcPr>
          <w:p w:rsidR="00DA796D" w:rsidRPr="005911E2" w:rsidRDefault="00DA796D" w:rsidP="008E5400">
            <w:pPr>
              <w:pStyle w:val="braytabletext"/>
              <w:jc w:val="right"/>
            </w:pPr>
            <w:r w:rsidRPr="005911E2">
              <w:t>Positive</w:t>
            </w:r>
          </w:p>
        </w:tc>
        <w:tc>
          <w:tcPr>
            <w:tcW w:w="851" w:type="dxa"/>
            <w:tcBorders>
              <w:top w:val="single" w:sz="4" w:space="0" w:color="auto"/>
              <w:bottom w:val="single" w:sz="4" w:space="0" w:color="auto"/>
            </w:tcBorders>
            <w:shd w:val="clear" w:color="auto" w:fill="auto"/>
            <w:hideMark/>
          </w:tcPr>
          <w:p w:rsidR="00DA796D" w:rsidRPr="005911E2" w:rsidRDefault="00DA796D" w:rsidP="008E5400">
            <w:pPr>
              <w:pStyle w:val="braytabletext"/>
              <w:jc w:val="right"/>
            </w:pPr>
            <w:r w:rsidRPr="005911E2">
              <w:t>Highly positive</w:t>
            </w:r>
          </w:p>
        </w:tc>
        <w:tc>
          <w:tcPr>
            <w:tcW w:w="674" w:type="dxa"/>
            <w:tcBorders>
              <w:top w:val="single" w:sz="4" w:space="0" w:color="auto"/>
              <w:bottom w:val="single" w:sz="4" w:space="0" w:color="auto"/>
            </w:tcBorders>
          </w:tcPr>
          <w:p w:rsidR="00DA796D" w:rsidRPr="005911E2" w:rsidRDefault="00DA796D" w:rsidP="008E5400">
            <w:pPr>
              <w:pStyle w:val="braytabletext"/>
              <w:jc w:val="right"/>
            </w:pPr>
            <w:r w:rsidRPr="005911E2">
              <w:t>Total</w:t>
            </w:r>
          </w:p>
        </w:tc>
      </w:tr>
      <w:tr w:rsidR="00DA796D" w:rsidRPr="005911E2" w:rsidTr="00783DF8">
        <w:tc>
          <w:tcPr>
            <w:tcW w:w="3119" w:type="dxa"/>
            <w:tcBorders>
              <w:top w:val="single" w:sz="4" w:space="0" w:color="auto"/>
            </w:tcBorders>
            <w:shd w:val="clear" w:color="auto" w:fill="auto"/>
            <w:hideMark/>
          </w:tcPr>
          <w:p w:rsidR="00DA796D" w:rsidRPr="005911E2" w:rsidRDefault="00DA796D" w:rsidP="008E5400">
            <w:pPr>
              <w:pStyle w:val="braytabletext"/>
            </w:pPr>
          </w:p>
        </w:tc>
        <w:tc>
          <w:tcPr>
            <w:tcW w:w="5352" w:type="dxa"/>
            <w:gridSpan w:val="6"/>
            <w:tcBorders>
              <w:top w:val="single" w:sz="4" w:space="0" w:color="auto"/>
            </w:tcBorders>
            <w:shd w:val="clear" w:color="auto" w:fill="auto"/>
            <w:vAlign w:val="center"/>
            <w:hideMark/>
          </w:tcPr>
          <w:p w:rsidR="00DA796D" w:rsidRPr="005911E2" w:rsidRDefault="00DA796D" w:rsidP="00783DF8">
            <w:pPr>
              <w:pStyle w:val="braytabletext"/>
              <w:jc w:val="center"/>
            </w:pPr>
            <w:r w:rsidRPr="005911E2">
              <w:t>- % -</w:t>
            </w:r>
          </w:p>
        </w:tc>
      </w:tr>
      <w:tr w:rsidR="00DA796D" w:rsidRPr="005911E2" w:rsidTr="008E57A0">
        <w:tc>
          <w:tcPr>
            <w:tcW w:w="3119" w:type="dxa"/>
            <w:shd w:val="clear" w:color="auto" w:fill="auto"/>
            <w:vAlign w:val="bottom"/>
            <w:hideMark/>
          </w:tcPr>
          <w:p w:rsidR="00DA796D" w:rsidRPr="005911E2" w:rsidRDefault="00DA796D" w:rsidP="008E5400">
            <w:pPr>
              <w:pStyle w:val="braytabletext"/>
            </w:pPr>
            <w:r w:rsidRPr="005911E2">
              <w:t>The amount of food eaten</w:t>
            </w:r>
          </w:p>
        </w:tc>
        <w:tc>
          <w:tcPr>
            <w:tcW w:w="850" w:type="dxa"/>
            <w:shd w:val="clear" w:color="auto" w:fill="auto"/>
            <w:vAlign w:val="bottom"/>
            <w:hideMark/>
          </w:tcPr>
          <w:p w:rsidR="00DA796D" w:rsidRPr="005911E2" w:rsidRDefault="00DA796D" w:rsidP="008E5400">
            <w:pPr>
              <w:pStyle w:val="braytabletext"/>
              <w:jc w:val="right"/>
            </w:pPr>
            <w:r w:rsidRPr="005911E2">
              <w:t>1</w:t>
            </w:r>
          </w:p>
        </w:tc>
        <w:tc>
          <w:tcPr>
            <w:tcW w:w="993" w:type="dxa"/>
            <w:shd w:val="clear" w:color="auto" w:fill="auto"/>
            <w:vAlign w:val="bottom"/>
            <w:hideMark/>
          </w:tcPr>
          <w:p w:rsidR="00DA796D" w:rsidRPr="005911E2" w:rsidRDefault="00DA796D" w:rsidP="008E5400">
            <w:pPr>
              <w:pStyle w:val="braytabletext"/>
              <w:jc w:val="right"/>
            </w:pPr>
            <w:r w:rsidRPr="005911E2">
              <w:t>0</w:t>
            </w:r>
          </w:p>
        </w:tc>
        <w:tc>
          <w:tcPr>
            <w:tcW w:w="1092" w:type="dxa"/>
            <w:shd w:val="clear" w:color="auto" w:fill="auto"/>
            <w:vAlign w:val="bottom"/>
            <w:hideMark/>
          </w:tcPr>
          <w:p w:rsidR="00DA796D" w:rsidRPr="005911E2" w:rsidRDefault="00DA796D" w:rsidP="008E5400">
            <w:pPr>
              <w:pStyle w:val="braytabletext"/>
              <w:jc w:val="right"/>
            </w:pPr>
            <w:r w:rsidRPr="005911E2">
              <w:t>7</w:t>
            </w:r>
          </w:p>
        </w:tc>
        <w:tc>
          <w:tcPr>
            <w:tcW w:w="892" w:type="dxa"/>
            <w:shd w:val="clear" w:color="auto" w:fill="auto"/>
            <w:vAlign w:val="bottom"/>
            <w:hideMark/>
          </w:tcPr>
          <w:p w:rsidR="00DA796D" w:rsidRPr="005911E2" w:rsidRDefault="00DA796D" w:rsidP="008E5400">
            <w:pPr>
              <w:pStyle w:val="braytabletext"/>
              <w:jc w:val="right"/>
            </w:pPr>
            <w:r w:rsidRPr="005911E2">
              <w:t>64</w:t>
            </w:r>
          </w:p>
        </w:tc>
        <w:tc>
          <w:tcPr>
            <w:tcW w:w="851" w:type="dxa"/>
            <w:shd w:val="clear" w:color="auto" w:fill="auto"/>
            <w:vAlign w:val="bottom"/>
            <w:hideMark/>
          </w:tcPr>
          <w:p w:rsidR="00DA796D" w:rsidRPr="005911E2" w:rsidRDefault="00DA796D" w:rsidP="008E5400">
            <w:pPr>
              <w:pStyle w:val="braytabletext"/>
              <w:jc w:val="right"/>
            </w:pPr>
            <w:r w:rsidRPr="005911E2">
              <w:t>28</w:t>
            </w:r>
          </w:p>
        </w:tc>
        <w:tc>
          <w:tcPr>
            <w:tcW w:w="674" w:type="dxa"/>
            <w:vAlign w:val="bottom"/>
          </w:tcPr>
          <w:p w:rsidR="00DA796D" w:rsidRPr="005911E2" w:rsidRDefault="00DA796D" w:rsidP="008E5400">
            <w:pPr>
              <w:pStyle w:val="braytabletext"/>
              <w:jc w:val="right"/>
            </w:pPr>
            <w:r w:rsidRPr="005911E2">
              <w:t>100</w:t>
            </w:r>
          </w:p>
        </w:tc>
      </w:tr>
      <w:tr w:rsidR="00DA796D" w:rsidRPr="005911E2" w:rsidTr="008E57A0">
        <w:tc>
          <w:tcPr>
            <w:tcW w:w="3119" w:type="dxa"/>
            <w:shd w:val="clear" w:color="auto" w:fill="auto"/>
            <w:vAlign w:val="bottom"/>
            <w:hideMark/>
          </w:tcPr>
          <w:p w:rsidR="00DA796D" w:rsidRPr="005911E2" w:rsidRDefault="00DA796D" w:rsidP="008E5400">
            <w:pPr>
              <w:pStyle w:val="braytabletext"/>
            </w:pPr>
            <w:r w:rsidRPr="005911E2">
              <w:t>The quality/ nutritional value of food eaten</w:t>
            </w:r>
          </w:p>
        </w:tc>
        <w:tc>
          <w:tcPr>
            <w:tcW w:w="850" w:type="dxa"/>
            <w:shd w:val="clear" w:color="auto" w:fill="auto"/>
            <w:vAlign w:val="bottom"/>
            <w:hideMark/>
          </w:tcPr>
          <w:p w:rsidR="00DA796D" w:rsidRPr="005911E2" w:rsidRDefault="00DA796D" w:rsidP="008E5400">
            <w:pPr>
              <w:pStyle w:val="braytabletext"/>
              <w:jc w:val="right"/>
            </w:pPr>
            <w:r w:rsidRPr="005911E2">
              <w:t>1</w:t>
            </w:r>
          </w:p>
        </w:tc>
        <w:tc>
          <w:tcPr>
            <w:tcW w:w="993" w:type="dxa"/>
            <w:shd w:val="clear" w:color="auto" w:fill="auto"/>
            <w:vAlign w:val="bottom"/>
            <w:hideMark/>
          </w:tcPr>
          <w:p w:rsidR="00DA796D" w:rsidRPr="005911E2" w:rsidRDefault="00DA796D" w:rsidP="008E5400">
            <w:pPr>
              <w:pStyle w:val="braytabletext"/>
              <w:jc w:val="right"/>
            </w:pPr>
            <w:r w:rsidRPr="005911E2">
              <w:t>6</w:t>
            </w:r>
          </w:p>
        </w:tc>
        <w:tc>
          <w:tcPr>
            <w:tcW w:w="1092" w:type="dxa"/>
            <w:shd w:val="clear" w:color="auto" w:fill="auto"/>
            <w:vAlign w:val="bottom"/>
            <w:hideMark/>
          </w:tcPr>
          <w:p w:rsidR="00DA796D" w:rsidRPr="005911E2" w:rsidRDefault="00DA796D" w:rsidP="008E5400">
            <w:pPr>
              <w:pStyle w:val="braytabletext"/>
              <w:jc w:val="right"/>
            </w:pPr>
            <w:r w:rsidRPr="005911E2">
              <w:t>39</w:t>
            </w:r>
          </w:p>
        </w:tc>
        <w:tc>
          <w:tcPr>
            <w:tcW w:w="892" w:type="dxa"/>
            <w:shd w:val="clear" w:color="auto" w:fill="auto"/>
            <w:vAlign w:val="bottom"/>
            <w:hideMark/>
          </w:tcPr>
          <w:p w:rsidR="00DA796D" w:rsidRPr="005911E2" w:rsidRDefault="00DA796D" w:rsidP="008E5400">
            <w:pPr>
              <w:pStyle w:val="braytabletext"/>
              <w:jc w:val="right"/>
            </w:pPr>
            <w:r w:rsidRPr="005911E2">
              <w:t>38</w:t>
            </w:r>
          </w:p>
        </w:tc>
        <w:tc>
          <w:tcPr>
            <w:tcW w:w="851" w:type="dxa"/>
            <w:shd w:val="clear" w:color="auto" w:fill="auto"/>
            <w:vAlign w:val="bottom"/>
            <w:hideMark/>
          </w:tcPr>
          <w:p w:rsidR="00DA796D" w:rsidRPr="005911E2" w:rsidRDefault="00DA796D" w:rsidP="008E5400">
            <w:pPr>
              <w:pStyle w:val="braytabletext"/>
              <w:jc w:val="right"/>
            </w:pPr>
            <w:r w:rsidRPr="005911E2">
              <w:t>16</w:t>
            </w:r>
          </w:p>
        </w:tc>
        <w:tc>
          <w:tcPr>
            <w:tcW w:w="674" w:type="dxa"/>
            <w:vAlign w:val="bottom"/>
          </w:tcPr>
          <w:p w:rsidR="00DA796D" w:rsidRPr="005911E2" w:rsidRDefault="00DA796D" w:rsidP="008E5400">
            <w:pPr>
              <w:pStyle w:val="braytabletext"/>
              <w:jc w:val="right"/>
            </w:pPr>
            <w:r w:rsidRPr="005911E2">
              <w:t>100</w:t>
            </w:r>
          </w:p>
        </w:tc>
      </w:tr>
      <w:tr w:rsidR="00DA796D" w:rsidRPr="005911E2" w:rsidTr="008E57A0">
        <w:tc>
          <w:tcPr>
            <w:tcW w:w="3119" w:type="dxa"/>
            <w:shd w:val="clear" w:color="auto" w:fill="auto"/>
            <w:vAlign w:val="bottom"/>
            <w:hideMark/>
          </w:tcPr>
          <w:p w:rsidR="00DA796D" w:rsidRPr="005911E2" w:rsidRDefault="00DA796D" w:rsidP="008E5400">
            <w:pPr>
              <w:pStyle w:val="braytabletext"/>
            </w:pPr>
            <w:r w:rsidRPr="005911E2">
              <w:t>The quality/ adequacy of clothing</w:t>
            </w:r>
          </w:p>
        </w:tc>
        <w:tc>
          <w:tcPr>
            <w:tcW w:w="850" w:type="dxa"/>
            <w:shd w:val="clear" w:color="auto" w:fill="auto"/>
            <w:vAlign w:val="bottom"/>
            <w:hideMark/>
          </w:tcPr>
          <w:p w:rsidR="00DA796D" w:rsidRPr="005911E2" w:rsidRDefault="00DA796D" w:rsidP="008E5400">
            <w:pPr>
              <w:pStyle w:val="braytabletext"/>
              <w:jc w:val="right"/>
            </w:pPr>
            <w:r w:rsidRPr="005911E2">
              <w:t>1</w:t>
            </w:r>
          </w:p>
        </w:tc>
        <w:tc>
          <w:tcPr>
            <w:tcW w:w="993" w:type="dxa"/>
            <w:shd w:val="clear" w:color="auto" w:fill="auto"/>
            <w:vAlign w:val="bottom"/>
            <w:hideMark/>
          </w:tcPr>
          <w:p w:rsidR="00DA796D" w:rsidRPr="005911E2" w:rsidRDefault="00DA796D" w:rsidP="008E5400">
            <w:pPr>
              <w:pStyle w:val="braytabletext"/>
              <w:jc w:val="right"/>
            </w:pPr>
            <w:r w:rsidRPr="005911E2">
              <w:t>4</w:t>
            </w:r>
          </w:p>
        </w:tc>
        <w:tc>
          <w:tcPr>
            <w:tcW w:w="1092" w:type="dxa"/>
            <w:shd w:val="clear" w:color="auto" w:fill="auto"/>
            <w:vAlign w:val="bottom"/>
            <w:hideMark/>
          </w:tcPr>
          <w:p w:rsidR="00DA796D" w:rsidRPr="005911E2" w:rsidRDefault="00DA796D" w:rsidP="008E5400">
            <w:pPr>
              <w:pStyle w:val="braytabletext"/>
              <w:jc w:val="right"/>
            </w:pPr>
            <w:r w:rsidRPr="005911E2">
              <w:t>26</w:t>
            </w:r>
          </w:p>
        </w:tc>
        <w:tc>
          <w:tcPr>
            <w:tcW w:w="892" w:type="dxa"/>
            <w:shd w:val="clear" w:color="auto" w:fill="auto"/>
            <w:vAlign w:val="bottom"/>
            <w:hideMark/>
          </w:tcPr>
          <w:p w:rsidR="00DA796D" w:rsidRPr="005911E2" w:rsidRDefault="00DA796D" w:rsidP="008E5400">
            <w:pPr>
              <w:pStyle w:val="braytabletext"/>
              <w:jc w:val="right"/>
            </w:pPr>
            <w:r w:rsidRPr="005911E2">
              <w:t>57</w:t>
            </w:r>
          </w:p>
        </w:tc>
        <w:tc>
          <w:tcPr>
            <w:tcW w:w="851" w:type="dxa"/>
            <w:shd w:val="clear" w:color="auto" w:fill="auto"/>
            <w:vAlign w:val="bottom"/>
            <w:hideMark/>
          </w:tcPr>
          <w:p w:rsidR="00DA796D" w:rsidRPr="005911E2" w:rsidRDefault="00DA796D" w:rsidP="008E5400">
            <w:pPr>
              <w:pStyle w:val="braytabletext"/>
              <w:jc w:val="right"/>
            </w:pPr>
            <w:r w:rsidRPr="005911E2">
              <w:t>12</w:t>
            </w:r>
          </w:p>
        </w:tc>
        <w:tc>
          <w:tcPr>
            <w:tcW w:w="674" w:type="dxa"/>
            <w:vAlign w:val="bottom"/>
          </w:tcPr>
          <w:p w:rsidR="00DA796D" w:rsidRPr="005911E2" w:rsidRDefault="00DA796D" w:rsidP="008E5400">
            <w:pPr>
              <w:pStyle w:val="braytabletext"/>
              <w:jc w:val="right"/>
            </w:pPr>
            <w:r w:rsidRPr="005911E2">
              <w:t>100</w:t>
            </w:r>
          </w:p>
        </w:tc>
      </w:tr>
      <w:tr w:rsidR="00DA796D" w:rsidRPr="005911E2" w:rsidTr="008E57A0">
        <w:tc>
          <w:tcPr>
            <w:tcW w:w="3119" w:type="dxa"/>
            <w:shd w:val="clear" w:color="auto" w:fill="auto"/>
            <w:vAlign w:val="bottom"/>
            <w:hideMark/>
          </w:tcPr>
          <w:p w:rsidR="00DA796D" w:rsidRPr="005911E2" w:rsidRDefault="00DA796D" w:rsidP="008E5400">
            <w:pPr>
              <w:pStyle w:val="braytabletext"/>
            </w:pPr>
            <w:r w:rsidRPr="005911E2">
              <w:t>School attendance</w:t>
            </w:r>
          </w:p>
        </w:tc>
        <w:tc>
          <w:tcPr>
            <w:tcW w:w="850" w:type="dxa"/>
            <w:shd w:val="clear" w:color="auto" w:fill="auto"/>
            <w:vAlign w:val="bottom"/>
            <w:hideMark/>
          </w:tcPr>
          <w:p w:rsidR="00DA796D" w:rsidRPr="005911E2" w:rsidRDefault="00DA796D" w:rsidP="008E5400">
            <w:pPr>
              <w:pStyle w:val="braytabletext"/>
              <w:jc w:val="right"/>
            </w:pPr>
            <w:r w:rsidRPr="005911E2">
              <w:t>1</w:t>
            </w:r>
          </w:p>
        </w:tc>
        <w:tc>
          <w:tcPr>
            <w:tcW w:w="993" w:type="dxa"/>
            <w:shd w:val="clear" w:color="auto" w:fill="auto"/>
            <w:vAlign w:val="bottom"/>
            <w:hideMark/>
          </w:tcPr>
          <w:p w:rsidR="00DA796D" w:rsidRPr="005911E2" w:rsidRDefault="00DA796D" w:rsidP="008E5400">
            <w:pPr>
              <w:pStyle w:val="braytabletext"/>
              <w:jc w:val="right"/>
            </w:pPr>
            <w:r w:rsidRPr="005911E2">
              <w:t>4</w:t>
            </w:r>
          </w:p>
        </w:tc>
        <w:tc>
          <w:tcPr>
            <w:tcW w:w="1092" w:type="dxa"/>
            <w:shd w:val="clear" w:color="auto" w:fill="auto"/>
            <w:vAlign w:val="bottom"/>
            <w:hideMark/>
          </w:tcPr>
          <w:p w:rsidR="00DA796D" w:rsidRPr="005911E2" w:rsidRDefault="00DA796D" w:rsidP="008E5400">
            <w:pPr>
              <w:pStyle w:val="braytabletext"/>
              <w:jc w:val="right"/>
            </w:pPr>
            <w:r w:rsidRPr="005911E2">
              <w:t>36</w:t>
            </w:r>
          </w:p>
        </w:tc>
        <w:tc>
          <w:tcPr>
            <w:tcW w:w="892" w:type="dxa"/>
            <w:shd w:val="clear" w:color="auto" w:fill="auto"/>
            <w:vAlign w:val="bottom"/>
            <w:hideMark/>
          </w:tcPr>
          <w:p w:rsidR="00DA796D" w:rsidRPr="005911E2" w:rsidRDefault="00DA796D" w:rsidP="008E5400">
            <w:pPr>
              <w:pStyle w:val="braytabletext"/>
              <w:jc w:val="right"/>
            </w:pPr>
            <w:r w:rsidRPr="005911E2">
              <w:t>40</w:t>
            </w:r>
          </w:p>
        </w:tc>
        <w:tc>
          <w:tcPr>
            <w:tcW w:w="851" w:type="dxa"/>
            <w:shd w:val="clear" w:color="auto" w:fill="auto"/>
            <w:vAlign w:val="bottom"/>
            <w:hideMark/>
          </w:tcPr>
          <w:p w:rsidR="00DA796D" w:rsidRPr="005911E2" w:rsidRDefault="00DA796D" w:rsidP="008E5400">
            <w:pPr>
              <w:pStyle w:val="braytabletext"/>
              <w:jc w:val="right"/>
            </w:pPr>
            <w:r w:rsidRPr="005911E2">
              <w:t>18</w:t>
            </w:r>
          </w:p>
        </w:tc>
        <w:tc>
          <w:tcPr>
            <w:tcW w:w="674" w:type="dxa"/>
            <w:vAlign w:val="bottom"/>
          </w:tcPr>
          <w:p w:rsidR="00DA796D" w:rsidRPr="005911E2" w:rsidRDefault="00DA796D" w:rsidP="008E5400">
            <w:pPr>
              <w:pStyle w:val="braytabletext"/>
              <w:jc w:val="right"/>
            </w:pPr>
            <w:r w:rsidRPr="005911E2">
              <w:t>100</w:t>
            </w:r>
          </w:p>
        </w:tc>
      </w:tr>
      <w:tr w:rsidR="00DA796D" w:rsidRPr="005911E2" w:rsidTr="008E57A0">
        <w:tc>
          <w:tcPr>
            <w:tcW w:w="3119" w:type="dxa"/>
            <w:shd w:val="clear" w:color="auto" w:fill="auto"/>
            <w:vAlign w:val="bottom"/>
            <w:hideMark/>
          </w:tcPr>
          <w:p w:rsidR="00DA796D" w:rsidRPr="005911E2" w:rsidRDefault="00DA796D" w:rsidP="008E5400">
            <w:pPr>
              <w:pStyle w:val="braytabletext"/>
            </w:pPr>
            <w:r w:rsidRPr="005911E2">
              <w:t>Educational outcomes</w:t>
            </w:r>
          </w:p>
        </w:tc>
        <w:tc>
          <w:tcPr>
            <w:tcW w:w="850" w:type="dxa"/>
            <w:shd w:val="clear" w:color="auto" w:fill="auto"/>
            <w:vAlign w:val="bottom"/>
            <w:hideMark/>
          </w:tcPr>
          <w:p w:rsidR="00DA796D" w:rsidRPr="005911E2" w:rsidRDefault="00DA796D" w:rsidP="008E5400">
            <w:pPr>
              <w:pStyle w:val="braytabletext"/>
              <w:jc w:val="right"/>
            </w:pPr>
            <w:r w:rsidRPr="005911E2">
              <w:t>1</w:t>
            </w:r>
          </w:p>
        </w:tc>
        <w:tc>
          <w:tcPr>
            <w:tcW w:w="993" w:type="dxa"/>
            <w:shd w:val="clear" w:color="auto" w:fill="auto"/>
            <w:vAlign w:val="bottom"/>
            <w:hideMark/>
          </w:tcPr>
          <w:p w:rsidR="00DA796D" w:rsidRPr="005911E2" w:rsidRDefault="00DA796D" w:rsidP="008E5400">
            <w:pPr>
              <w:pStyle w:val="braytabletext"/>
              <w:jc w:val="right"/>
            </w:pPr>
            <w:r w:rsidRPr="005911E2">
              <w:t>7</w:t>
            </w:r>
          </w:p>
        </w:tc>
        <w:tc>
          <w:tcPr>
            <w:tcW w:w="1092" w:type="dxa"/>
            <w:shd w:val="clear" w:color="auto" w:fill="auto"/>
            <w:vAlign w:val="bottom"/>
            <w:hideMark/>
          </w:tcPr>
          <w:p w:rsidR="00DA796D" w:rsidRPr="005911E2" w:rsidRDefault="00DA796D" w:rsidP="008E5400">
            <w:pPr>
              <w:pStyle w:val="braytabletext"/>
              <w:jc w:val="right"/>
            </w:pPr>
            <w:r w:rsidRPr="005911E2">
              <w:t>44</w:t>
            </w:r>
          </w:p>
        </w:tc>
        <w:tc>
          <w:tcPr>
            <w:tcW w:w="892" w:type="dxa"/>
            <w:shd w:val="clear" w:color="auto" w:fill="auto"/>
            <w:vAlign w:val="bottom"/>
            <w:hideMark/>
          </w:tcPr>
          <w:p w:rsidR="00DA796D" w:rsidRPr="005911E2" w:rsidRDefault="00DA796D" w:rsidP="008E5400">
            <w:pPr>
              <w:pStyle w:val="braytabletext"/>
              <w:jc w:val="right"/>
            </w:pPr>
            <w:r w:rsidRPr="005911E2">
              <w:t>37</w:t>
            </w:r>
          </w:p>
        </w:tc>
        <w:tc>
          <w:tcPr>
            <w:tcW w:w="851" w:type="dxa"/>
            <w:shd w:val="clear" w:color="auto" w:fill="auto"/>
            <w:vAlign w:val="bottom"/>
            <w:hideMark/>
          </w:tcPr>
          <w:p w:rsidR="00DA796D" w:rsidRPr="005911E2" w:rsidRDefault="00DA796D" w:rsidP="008E5400">
            <w:pPr>
              <w:pStyle w:val="braytabletext"/>
              <w:jc w:val="right"/>
            </w:pPr>
            <w:r w:rsidRPr="005911E2">
              <w:t>11</w:t>
            </w:r>
          </w:p>
        </w:tc>
        <w:tc>
          <w:tcPr>
            <w:tcW w:w="674" w:type="dxa"/>
            <w:vAlign w:val="bottom"/>
          </w:tcPr>
          <w:p w:rsidR="00DA796D" w:rsidRPr="005911E2" w:rsidRDefault="00DA796D" w:rsidP="008E5400">
            <w:pPr>
              <w:pStyle w:val="braytabletext"/>
              <w:jc w:val="right"/>
            </w:pPr>
            <w:r w:rsidRPr="005911E2">
              <w:t>100</w:t>
            </w:r>
          </w:p>
        </w:tc>
      </w:tr>
      <w:tr w:rsidR="00DA796D" w:rsidRPr="005911E2" w:rsidTr="008E57A0">
        <w:tc>
          <w:tcPr>
            <w:tcW w:w="3119" w:type="dxa"/>
            <w:shd w:val="clear" w:color="auto" w:fill="auto"/>
            <w:vAlign w:val="bottom"/>
            <w:hideMark/>
          </w:tcPr>
          <w:p w:rsidR="00DA796D" w:rsidRPr="005911E2" w:rsidRDefault="00DA796D" w:rsidP="008E5400">
            <w:pPr>
              <w:pStyle w:val="braytabletext"/>
            </w:pPr>
            <w:r w:rsidRPr="005911E2">
              <w:t>Child health and wellbeing</w:t>
            </w:r>
          </w:p>
        </w:tc>
        <w:tc>
          <w:tcPr>
            <w:tcW w:w="850" w:type="dxa"/>
            <w:shd w:val="clear" w:color="auto" w:fill="auto"/>
            <w:vAlign w:val="bottom"/>
            <w:hideMark/>
          </w:tcPr>
          <w:p w:rsidR="00DA796D" w:rsidRPr="005911E2" w:rsidRDefault="00DA796D" w:rsidP="008E5400">
            <w:pPr>
              <w:pStyle w:val="braytabletext"/>
              <w:jc w:val="right"/>
            </w:pPr>
            <w:r w:rsidRPr="005911E2">
              <w:t>1</w:t>
            </w:r>
          </w:p>
        </w:tc>
        <w:tc>
          <w:tcPr>
            <w:tcW w:w="993" w:type="dxa"/>
            <w:shd w:val="clear" w:color="auto" w:fill="auto"/>
            <w:vAlign w:val="bottom"/>
            <w:hideMark/>
          </w:tcPr>
          <w:p w:rsidR="00DA796D" w:rsidRPr="005911E2" w:rsidRDefault="00DA796D" w:rsidP="008E5400">
            <w:pPr>
              <w:pStyle w:val="braytabletext"/>
              <w:jc w:val="right"/>
            </w:pPr>
            <w:r w:rsidRPr="005911E2">
              <w:t>1</w:t>
            </w:r>
          </w:p>
        </w:tc>
        <w:tc>
          <w:tcPr>
            <w:tcW w:w="1092" w:type="dxa"/>
            <w:shd w:val="clear" w:color="auto" w:fill="auto"/>
            <w:vAlign w:val="bottom"/>
            <w:hideMark/>
          </w:tcPr>
          <w:p w:rsidR="00DA796D" w:rsidRPr="005911E2" w:rsidRDefault="00DA796D" w:rsidP="008E5400">
            <w:pPr>
              <w:pStyle w:val="braytabletext"/>
              <w:jc w:val="right"/>
            </w:pPr>
            <w:r w:rsidRPr="005911E2">
              <w:t>14</w:t>
            </w:r>
          </w:p>
        </w:tc>
        <w:tc>
          <w:tcPr>
            <w:tcW w:w="892" w:type="dxa"/>
            <w:shd w:val="clear" w:color="auto" w:fill="auto"/>
            <w:vAlign w:val="bottom"/>
            <w:hideMark/>
          </w:tcPr>
          <w:p w:rsidR="00DA796D" w:rsidRPr="005911E2" w:rsidRDefault="00DA796D" w:rsidP="008E5400">
            <w:pPr>
              <w:pStyle w:val="braytabletext"/>
              <w:jc w:val="right"/>
            </w:pPr>
            <w:r w:rsidRPr="005911E2">
              <w:t>65</w:t>
            </w:r>
          </w:p>
        </w:tc>
        <w:tc>
          <w:tcPr>
            <w:tcW w:w="851" w:type="dxa"/>
            <w:shd w:val="clear" w:color="auto" w:fill="auto"/>
            <w:vAlign w:val="bottom"/>
            <w:hideMark/>
          </w:tcPr>
          <w:p w:rsidR="00DA796D" w:rsidRPr="005911E2" w:rsidRDefault="00DA796D" w:rsidP="008E5400">
            <w:pPr>
              <w:pStyle w:val="braytabletext"/>
              <w:jc w:val="right"/>
            </w:pPr>
            <w:r w:rsidRPr="005911E2">
              <w:t>19</w:t>
            </w:r>
          </w:p>
        </w:tc>
        <w:tc>
          <w:tcPr>
            <w:tcW w:w="674" w:type="dxa"/>
            <w:vAlign w:val="bottom"/>
          </w:tcPr>
          <w:p w:rsidR="00DA796D" w:rsidRPr="005911E2" w:rsidRDefault="00DA796D" w:rsidP="008E5400">
            <w:pPr>
              <w:pStyle w:val="braytabletext"/>
              <w:jc w:val="right"/>
            </w:pPr>
            <w:r w:rsidRPr="005911E2">
              <w:t>100</w:t>
            </w:r>
          </w:p>
        </w:tc>
      </w:tr>
      <w:tr w:rsidR="00DA796D" w:rsidRPr="005911E2" w:rsidTr="008E57A0">
        <w:tc>
          <w:tcPr>
            <w:tcW w:w="3119" w:type="dxa"/>
            <w:shd w:val="clear" w:color="auto" w:fill="auto"/>
            <w:vAlign w:val="bottom"/>
            <w:hideMark/>
          </w:tcPr>
          <w:p w:rsidR="00DA796D" w:rsidRPr="005911E2" w:rsidRDefault="00DA796D" w:rsidP="008E5400">
            <w:pPr>
              <w:pStyle w:val="braytabletext"/>
            </w:pPr>
            <w:r w:rsidRPr="005911E2">
              <w:t>Use of health services</w:t>
            </w:r>
          </w:p>
        </w:tc>
        <w:tc>
          <w:tcPr>
            <w:tcW w:w="850" w:type="dxa"/>
            <w:shd w:val="clear" w:color="auto" w:fill="auto"/>
            <w:vAlign w:val="bottom"/>
            <w:hideMark/>
          </w:tcPr>
          <w:p w:rsidR="00DA796D" w:rsidRPr="005911E2" w:rsidRDefault="00DA796D" w:rsidP="008E5400">
            <w:pPr>
              <w:pStyle w:val="braytabletext"/>
              <w:jc w:val="right"/>
            </w:pPr>
            <w:r w:rsidRPr="005911E2">
              <w:t>1</w:t>
            </w:r>
          </w:p>
        </w:tc>
        <w:tc>
          <w:tcPr>
            <w:tcW w:w="993" w:type="dxa"/>
            <w:shd w:val="clear" w:color="auto" w:fill="auto"/>
            <w:vAlign w:val="bottom"/>
            <w:hideMark/>
          </w:tcPr>
          <w:p w:rsidR="00DA796D" w:rsidRPr="005911E2" w:rsidRDefault="00DA796D" w:rsidP="008E5400">
            <w:pPr>
              <w:pStyle w:val="braytabletext"/>
              <w:jc w:val="right"/>
            </w:pPr>
            <w:r w:rsidRPr="005911E2">
              <w:t>3</w:t>
            </w:r>
          </w:p>
        </w:tc>
        <w:tc>
          <w:tcPr>
            <w:tcW w:w="1092" w:type="dxa"/>
            <w:shd w:val="clear" w:color="auto" w:fill="auto"/>
            <w:vAlign w:val="bottom"/>
            <w:hideMark/>
          </w:tcPr>
          <w:p w:rsidR="00DA796D" w:rsidRPr="005911E2" w:rsidRDefault="00DA796D" w:rsidP="008E5400">
            <w:pPr>
              <w:pStyle w:val="braytabletext"/>
              <w:jc w:val="right"/>
            </w:pPr>
            <w:r w:rsidRPr="005911E2">
              <w:t>40</w:t>
            </w:r>
          </w:p>
        </w:tc>
        <w:tc>
          <w:tcPr>
            <w:tcW w:w="892" w:type="dxa"/>
            <w:shd w:val="clear" w:color="auto" w:fill="auto"/>
            <w:vAlign w:val="bottom"/>
            <w:hideMark/>
          </w:tcPr>
          <w:p w:rsidR="00DA796D" w:rsidRPr="005911E2" w:rsidRDefault="00DA796D" w:rsidP="008E5400">
            <w:pPr>
              <w:pStyle w:val="braytabletext"/>
              <w:jc w:val="right"/>
            </w:pPr>
            <w:r w:rsidRPr="005911E2">
              <w:t>46</w:t>
            </w:r>
          </w:p>
        </w:tc>
        <w:tc>
          <w:tcPr>
            <w:tcW w:w="851" w:type="dxa"/>
            <w:shd w:val="clear" w:color="auto" w:fill="auto"/>
            <w:vAlign w:val="bottom"/>
            <w:hideMark/>
          </w:tcPr>
          <w:p w:rsidR="00DA796D" w:rsidRPr="005911E2" w:rsidRDefault="00DA796D" w:rsidP="008E5400">
            <w:pPr>
              <w:pStyle w:val="braytabletext"/>
              <w:jc w:val="right"/>
            </w:pPr>
            <w:r w:rsidRPr="005911E2">
              <w:t>11</w:t>
            </w:r>
          </w:p>
        </w:tc>
        <w:tc>
          <w:tcPr>
            <w:tcW w:w="674" w:type="dxa"/>
            <w:vAlign w:val="bottom"/>
          </w:tcPr>
          <w:p w:rsidR="00DA796D" w:rsidRPr="005911E2" w:rsidRDefault="00DA796D" w:rsidP="008E5400">
            <w:pPr>
              <w:pStyle w:val="braytabletext"/>
              <w:jc w:val="right"/>
            </w:pPr>
            <w:r w:rsidRPr="005911E2">
              <w:t>100</w:t>
            </w:r>
          </w:p>
        </w:tc>
      </w:tr>
      <w:tr w:rsidR="00DA796D" w:rsidRPr="005911E2" w:rsidTr="008E57A0">
        <w:tc>
          <w:tcPr>
            <w:tcW w:w="3119" w:type="dxa"/>
            <w:shd w:val="clear" w:color="auto" w:fill="auto"/>
            <w:vAlign w:val="bottom"/>
            <w:hideMark/>
          </w:tcPr>
          <w:p w:rsidR="00DA796D" w:rsidRPr="005911E2" w:rsidRDefault="00DA796D" w:rsidP="008E5400">
            <w:pPr>
              <w:pStyle w:val="braytabletext"/>
            </w:pPr>
            <w:r w:rsidRPr="005911E2">
              <w:t>Physical health</w:t>
            </w:r>
          </w:p>
        </w:tc>
        <w:tc>
          <w:tcPr>
            <w:tcW w:w="850" w:type="dxa"/>
            <w:shd w:val="clear" w:color="auto" w:fill="auto"/>
            <w:vAlign w:val="bottom"/>
            <w:hideMark/>
          </w:tcPr>
          <w:p w:rsidR="00DA796D" w:rsidRPr="005911E2" w:rsidRDefault="00DA796D" w:rsidP="008E5400">
            <w:pPr>
              <w:pStyle w:val="braytabletext"/>
              <w:jc w:val="right"/>
            </w:pPr>
            <w:r w:rsidRPr="005911E2">
              <w:t>2</w:t>
            </w:r>
          </w:p>
        </w:tc>
        <w:tc>
          <w:tcPr>
            <w:tcW w:w="993" w:type="dxa"/>
            <w:shd w:val="clear" w:color="auto" w:fill="auto"/>
            <w:vAlign w:val="bottom"/>
            <w:hideMark/>
          </w:tcPr>
          <w:p w:rsidR="00DA796D" w:rsidRPr="005911E2" w:rsidRDefault="00DA796D" w:rsidP="008E5400">
            <w:pPr>
              <w:pStyle w:val="braytabletext"/>
              <w:jc w:val="right"/>
            </w:pPr>
            <w:r w:rsidRPr="005911E2">
              <w:t>4</w:t>
            </w:r>
          </w:p>
        </w:tc>
        <w:tc>
          <w:tcPr>
            <w:tcW w:w="1092" w:type="dxa"/>
            <w:shd w:val="clear" w:color="auto" w:fill="auto"/>
            <w:vAlign w:val="bottom"/>
            <w:hideMark/>
          </w:tcPr>
          <w:p w:rsidR="00DA796D" w:rsidRPr="005911E2" w:rsidRDefault="00DA796D" w:rsidP="008E5400">
            <w:pPr>
              <w:pStyle w:val="braytabletext"/>
              <w:jc w:val="right"/>
            </w:pPr>
            <w:r w:rsidRPr="005911E2">
              <w:t>33</w:t>
            </w:r>
          </w:p>
        </w:tc>
        <w:tc>
          <w:tcPr>
            <w:tcW w:w="892" w:type="dxa"/>
            <w:shd w:val="clear" w:color="auto" w:fill="auto"/>
            <w:vAlign w:val="bottom"/>
            <w:hideMark/>
          </w:tcPr>
          <w:p w:rsidR="00DA796D" w:rsidRPr="005911E2" w:rsidRDefault="00DA796D" w:rsidP="008E5400">
            <w:pPr>
              <w:pStyle w:val="braytabletext"/>
              <w:jc w:val="right"/>
            </w:pPr>
            <w:r w:rsidRPr="005911E2">
              <w:t>50</w:t>
            </w:r>
          </w:p>
        </w:tc>
        <w:tc>
          <w:tcPr>
            <w:tcW w:w="851" w:type="dxa"/>
            <w:shd w:val="clear" w:color="auto" w:fill="auto"/>
            <w:vAlign w:val="bottom"/>
            <w:hideMark/>
          </w:tcPr>
          <w:p w:rsidR="00DA796D" w:rsidRPr="005911E2" w:rsidRDefault="00DA796D" w:rsidP="008E5400">
            <w:pPr>
              <w:pStyle w:val="braytabletext"/>
              <w:jc w:val="right"/>
            </w:pPr>
            <w:r w:rsidRPr="005911E2">
              <w:t>12</w:t>
            </w:r>
          </w:p>
        </w:tc>
        <w:tc>
          <w:tcPr>
            <w:tcW w:w="674" w:type="dxa"/>
            <w:vAlign w:val="bottom"/>
          </w:tcPr>
          <w:p w:rsidR="00DA796D" w:rsidRPr="005911E2" w:rsidRDefault="00DA796D" w:rsidP="008E5400">
            <w:pPr>
              <w:pStyle w:val="braytabletext"/>
              <w:jc w:val="right"/>
            </w:pPr>
            <w:r w:rsidRPr="005911E2">
              <w:t>100</w:t>
            </w:r>
          </w:p>
        </w:tc>
      </w:tr>
      <w:tr w:rsidR="00DA796D" w:rsidRPr="005911E2" w:rsidTr="008E57A0">
        <w:tc>
          <w:tcPr>
            <w:tcW w:w="3119" w:type="dxa"/>
            <w:shd w:val="clear" w:color="auto" w:fill="auto"/>
            <w:vAlign w:val="bottom"/>
            <w:hideMark/>
          </w:tcPr>
          <w:p w:rsidR="00DA796D" w:rsidRPr="005911E2" w:rsidRDefault="00DA796D" w:rsidP="008E5400">
            <w:pPr>
              <w:pStyle w:val="braytabletext"/>
            </w:pPr>
            <w:r w:rsidRPr="005911E2">
              <w:t>Mental health</w:t>
            </w:r>
          </w:p>
        </w:tc>
        <w:tc>
          <w:tcPr>
            <w:tcW w:w="850" w:type="dxa"/>
            <w:shd w:val="clear" w:color="auto" w:fill="auto"/>
            <w:vAlign w:val="bottom"/>
            <w:hideMark/>
          </w:tcPr>
          <w:p w:rsidR="00DA796D" w:rsidRPr="005911E2" w:rsidRDefault="00DA796D" w:rsidP="008E5400">
            <w:pPr>
              <w:pStyle w:val="braytabletext"/>
              <w:jc w:val="right"/>
            </w:pPr>
            <w:r w:rsidRPr="005911E2">
              <w:t>2</w:t>
            </w:r>
          </w:p>
        </w:tc>
        <w:tc>
          <w:tcPr>
            <w:tcW w:w="993" w:type="dxa"/>
            <w:shd w:val="clear" w:color="auto" w:fill="auto"/>
            <w:vAlign w:val="bottom"/>
            <w:hideMark/>
          </w:tcPr>
          <w:p w:rsidR="00DA796D" w:rsidRPr="005911E2" w:rsidRDefault="00DA796D" w:rsidP="008E5400">
            <w:pPr>
              <w:pStyle w:val="braytabletext"/>
              <w:jc w:val="right"/>
            </w:pPr>
            <w:r w:rsidRPr="005911E2">
              <w:t>10</w:t>
            </w:r>
          </w:p>
        </w:tc>
        <w:tc>
          <w:tcPr>
            <w:tcW w:w="1092" w:type="dxa"/>
            <w:shd w:val="clear" w:color="auto" w:fill="auto"/>
            <w:vAlign w:val="bottom"/>
            <w:hideMark/>
          </w:tcPr>
          <w:p w:rsidR="00DA796D" w:rsidRPr="005911E2" w:rsidRDefault="00DA796D" w:rsidP="008E5400">
            <w:pPr>
              <w:pStyle w:val="braytabletext"/>
              <w:jc w:val="right"/>
            </w:pPr>
            <w:r w:rsidRPr="005911E2">
              <w:t>43</w:t>
            </w:r>
          </w:p>
        </w:tc>
        <w:tc>
          <w:tcPr>
            <w:tcW w:w="892" w:type="dxa"/>
            <w:shd w:val="clear" w:color="auto" w:fill="auto"/>
            <w:vAlign w:val="bottom"/>
            <w:hideMark/>
          </w:tcPr>
          <w:p w:rsidR="00DA796D" w:rsidRPr="005911E2" w:rsidRDefault="00DA796D" w:rsidP="008E5400">
            <w:pPr>
              <w:pStyle w:val="braytabletext"/>
              <w:jc w:val="right"/>
            </w:pPr>
            <w:r w:rsidRPr="005911E2">
              <w:t>35</w:t>
            </w:r>
          </w:p>
        </w:tc>
        <w:tc>
          <w:tcPr>
            <w:tcW w:w="851" w:type="dxa"/>
            <w:shd w:val="clear" w:color="auto" w:fill="auto"/>
            <w:vAlign w:val="bottom"/>
            <w:hideMark/>
          </w:tcPr>
          <w:p w:rsidR="00DA796D" w:rsidRPr="005911E2" w:rsidRDefault="00DA796D" w:rsidP="008E5400">
            <w:pPr>
              <w:pStyle w:val="braytabletext"/>
              <w:jc w:val="right"/>
            </w:pPr>
            <w:r w:rsidRPr="005911E2">
              <w:t>10</w:t>
            </w:r>
          </w:p>
        </w:tc>
        <w:tc>
          <w:tcPr>
            <w:tcW w:w="674" w:type="dxa"/>
            <w:vAlign w:val="bottom"/>
          </w:tcPr>
          <w:p w:rsidR="00DA796D" w:rsidRPr="005911E2" w:rsidRDefault="00DA796D" w:rsidP="008E5400">
            <w:pPr>
              <w:pStyle w:val="braytabletext"/>
              <w:jc w:val="right"/>
            </w:pPr>
            <w:r w:rsidRPr="005911E2">
              <w:t>100</w:t>
            </w:r>
          </w:p>
        </w:tc>
      </w:tr>
      <w:tr w:rsidR="00DA796D" w:rsidRPr="005911E2" w:rsidTr="008E57A0">
        <w:tc>
          <w:tcPr>
            <w:tcW w:w="3119" w:type="dxa"/>
            <w:shd w:val="clear" w:color="auto" w:fill="auto"/>
            <w:vAlign w:val="bottom"/>
            <w:hideMark/>
          </w:tcPr>
          <w:p w:rsidR="00DA796D" w:rsidRPr="005911E2" w:rsidRDefault="00DA796D" w:rsidP="008E5400">
            <w:pPr>
              <w:pStyle w:val="braytabletext"/>
            </w:pPr>
            <w:r w:rsidRPr="005911E2">
              <w:t>Housing conditions</w:t>
            </w:r>
          </w:p>
        </w:tc>
        <w:tc>
          <w:tcPr>
            <w:tcW w:w="850" w:type="dxa"/>
            <w:shd w:val="clear" w:color="auto" w:fill="auto"/>
            <w:vAlign w:val="bottom"/>
            <w:hideMark/>
          </w:tcPr>
          <w:p w:rsidR="00DA796D" w:rsidRPr="005911E2" w:rsidRDefault="00DA796D" w:rsidP="008E5400">
            <w:pPr>
              <w:pStyle w:val="braytabletext"/>
              <w:jc w:val="right"/>
            </w:pPr>
            <w:r w:rsidRPr="005911E2">
              <w:t>5</w:t>
            </w:r>
          </w:p>
        </w:tc>
        <w:tc>
          <w:tcPr>
            <w:tcW w:w="993" w:type="dxa"/>
            <w:shd w:val="clear" w:color="auto" w:fill="auto"/>
            <w:vAlign w:val="bottom"/>
            <w:hideMark/>
          </w:tcPr>
          <w:p w:rsidR="00DA796D" w:rsidRPr="005911E2" w:rsidRDefault="00DA796D" w:rsidP="008E5400">
            <w:pPr>
              <w:pStyle w:val="braytabletext"/>
              <w:jc w:val="right"/>
            </w:pPr>
            <w:r w:rsidRPr="005911E2">
              <w:t>6</w:t>
            </w:r>
          </w:p>
        </w:tc>
        <w:tc>
          <w:tcPr>
            <w:tcW w:w="1092" w:type="dxa"/>
            <w:shd w:val="clear" w:color="auto" w:fill="auto"/>
            <w:vAlign w:val="bottom"/>
            <w:hideMark/>
          </w:tcPr>
          <w:p w:rsidR="00DA796D" w:rsidRPr="005911E2" w:rsidRDefault="00DA796D" w:rsidP="008E5400">
            <w:pPr>
              <w:pStyle w:val="braytabletext"/>
              <w:jc w:val="right"/>
            </w:pPr>
            <w:r w:rsidRPr="005911E2">
              <w:t>45</w:t>
            </w:r>
          </w:p>
        </w:tc>
        <w:tc>
          <w:tcPr>
            <w:tcW w:w="892" w:type="dxa"/>
            <w:shd w:val="clear" w:color="auto" w:fill="auto"/>
            <w:vAlign w:val="bottom"/>
            <w:hideMark/>
          </w:tcPr>
          <w:p w:rsidR="00DA796D" w:rsidRPr="005911E2" w:rsidRDefault="00DA796D" w:rsidP="008E5400">
            <w:pPr>
              <w:pStyle w:val="braytabletext"/>
              <w:jc w:val="right"/>
            </w:pPr>
            <w:r w:rsidRPr="005911E2">
              <w:t>36</w:t>
            </w:r>
          </w:p>
        </w:tc>
        <w:tc>
          <w:tcPr>
            <w:tcW w:w="851" w:type="dxa"/>
            <w:shd w:val="clear" w:color="auto" w:fill="auto"/>
            <w:vAlign w:val="bottom"/>
            <w:hideMark/>
          </w:tcPr>
          <w:p w:rsidR="00DA796D" w:rsidRPr="005911E2" w:rsidRDefault="00DA796D" w:rsidP="008E5400">
            <w:pPr>
              <w:pStyle w:val="braytabletext"/>
              <w:jc w:val="right"/>
            </w:pPr>
            <w:r w:rsidRPr="005911E2">
              <w:t>7</w:t>
            </w:r>
          </w:p>
        </w:tc>
        <w:tc>
          <w:tcPr>
            <w:tcW w:w="674" w:type="dxa"/>
            <w:vAlign w:val="bottom"/>
          </w:tcPr>
          <w:p w:rsidR="00DA796D" w:rsidRPr="005911E2" w:rsidRDefault="00DA796D" w:rsidP="008E5400">
            <w:pPr>
              <w:pStyle w:val="braytabletext"/>
              <w:jc w:val="right"/>
            </w:pPr>
            <w:r w:rsidRPr="005911E2">
              <w:t>100</w:t>
            </w:r>
          </w:p>
        </w:tc>
      </w:tr>
      <w:tr w:rsidR="00DA796D" w:rsidRPr="005911E2" w:rsidTr="008E57A0">
        <w:tc>
          <w:tcPr>
            <w:tcW w:w="3119" w:type="dxa"/>
            <w:shd w:val="clear" w:color="auto" w:fill="auto"/>
            <w:vAlign w:val="bottom"/>
            <w:hideMark/>
          </w:tcPr>
          <w:p w:rsidR="00DA796D" w:rsidRPr="005911E2" w:rsidRDefault="00DA796D" w:rsidP="008E5400">
            <w:pPr>
              <w:pStyle w:val="braytabletext"/>
            </w:pPr>
            <w:r w:rsidRPr="005911E2">
              <w:t>Safety</w:t>
            </w:r>
          </w:p>
        </w:tc>
        <w:tc>
          <w:tcPr>
            <w:tcW w:w="850" w:type="dxa"/>
            <w:shd w:val="clear" w:color="auto" w:fill="auto"/>
            <w:vAlign w:val="bottom"/>
            <w:hideMark/>
          </w:tcPr>
          <w:p w:rsidR="00DA796D" w:rsidRPr="005911E2" w:rsidRDefault="00DA796D" w:rsidP="008E5400">
            <w:pPr>
              <w:pStyle w:val="braytabletext"/>
              <w:jc w:val="right"/>
            </w:pPr>
            <w:r w:rsidRPr="005911E2">
              <w:t>2</w:t>
            </w:r>
          </w:p>
        </w:tc>
        <w:tc>
          <w:tcPr>
            <w:tcW w:w="993" w:type="dxa"/>
            <w:shd w:val="clear" w:color="auto" w:fill="auto"/>
            <w:vAlign w:val="bottom"/>
            <w:hideMark/>
          </w:tcPr>
          <w:p w:rsidR="00DA796D" w:rsidRPr="005911E2" w:rsidRDefault="00DA796D" w:rsidP="008E5400">
            <w:pPr>
              <w:pStyle w:val="braytabletext"/>
              <w:jc w:val="right"/>
            </w:pPr>
            <w:r w:rsidRPr="005911E2">
              <w:t>4</w:t>
            </w:r>
          </w:p>
        </w:tc>
        <w:tc>
          <w:tcPr>
            <w:tcW w:w="1092" w:type="dxa"/>
            <w:shd w:val="clear" w:color="auto" w:fill="auto"/>
            <w:vAlign w:val="bottom"/>
            <w:hideMark/>
          </w:tcPr>
          <w:p w:rsidR="00DA796D" w:rsidRPr="005911E2" w:rsidRDefault="00DA796D" w:rsidP="008E5400">
            <w:pPr>
              <w:pStyle w:val="braytabletext"/>
              <w:jc w:val="right"/>
            </w:pPr>
            <w:r w:rsidRPr="005911E2">
              <w:t>51</w:t>
            </w:r>
          </w:p>
        </w:tc>
        <w:tc>
          <w:tcPr>
            <w:tcW w:w="892" w:type="dxa"/>
            <w:shd w:val="clear" w:color="auto" w:fill="auto"/>
            <w:vAlign w:val="bottom"/>
            <w:hideMark/>
          </w:tcPr>
          <w:p w:rsidR="00DA796D" w:rsidRPr="005911E2" w:rsidRDefault="00DA796D" w:rsidP="008E5400">
            <w:pPr>
              <w:pStyle w:val="braytabletext"/>
              <w:jc w:val="right"/>
            </w:pPr>
            <w:r w:rsidRPr="005911E2">
              <w:t>36</w:t>
            </w:r>
          </w:p>
        </w:tc>
        <w:tc>
          <w:tcPr>
            <w:tcW w:w="851" w:type="dxa"/>
            <w:shd w:val="clear" w:color="auto" w:fill="auto"/>
            <w:vAlign w:val="bottom"/>
            <w:hideMark/>
          </w:tcPr>
          <w:p w:rsidR="00DA796D" w:rsidRPr="005911E2" w:rsidRDefault="00DA796D" w:rsidP="008E5400">
            <w:pPr>
              <w:pStyle w:val="braytabletext"/>
              <w:jc w:val="right"/>
            </w:pPr>
            <w:r w:rsidRPr="005911E2">
              <w:t>7</w:t>
            </w:r>
          </w:p>
        </w:tc>
        <w:tc>
          <w:tcPr>
            <w:tcW w:w="674" w:type="dxa"/>
            <w:vAlign w:val="bottom"/>
          </w:tcPr>
          <w:p w:rsidR="00DA796D" w:rsidRPr="005911E2" w:rsidRDefault="00DA796D" w:rsidP="008E5400">
            <w:pPr>
              <w:pStyle w:val="braytabletext"/>
              <w:jc w:val="right"/>
            </w:pPr>
            <w:r w:rsidRPr="005911E2">
              <w:t>100</w:t>
            </w:r>
          </w:p>
        </w:tc>
      </w:tr>
      <w:tr w:rsidR="00DA796D" w:rsidRPr="005911E2" w:rsidTr="008E57A0">
        <w:tc>
          <w:tcPr>
            <w:tcW w:w="3119" w:type="dxa"/>
            <w:shd w:val="clear" w:color="auto" w:fill="auto"/>
            <w:vAlign w:val="bottom"/>
            <w:hideMark/>
          </w:tcPr>
          <w:p w:rsidR="00DA796D" w:rsidRPr="005911E2" w:rsidRDefault="00DA796D" w:rsidP="008E5400">
            <w:pPr>
              <w:pStyle w:val="braytabletext"/>
            </w:pPr>
            <w:r w:rsidRPr="005911E2">
              <w:t>Ability to participate in social and recreational activities</w:t>
            </w:r>
          </w:p>
        </w:tc>
        <w:tc>
          <w:tcPr>
            <w:tcW w:w="850" w:type="dxa"/>
            <w:shd w:val="clear" w:color="auto" w:fill="auto"/>
            <w:vAlign w:val="bottom"/>
            <w:hideMark/>
          </w:tcPr>
          <w:p w:rsidR="00DA796D" w:rsidRPr="005911E2" w:rsidRDefault="00DA796D" w:rsidP="008E5400">
            <w:pPr>
              <w:pStyle w:val="braytabletext"/>
              <w:jc w:val="right"/>
            </w:pPr>
            <w:r w:rsidRPr="005911E2">
              <w:t>1</w:t>
            </w:r>
          </w:p>
        </w:tc>
        <w:tc>
          <w:tcPr>
            <w:tcW w:w="993" w:type="dxa"/>
            <w:shd w:val="clear" w:color="auto" w:fill="auto"/>
            <w:vAlign w:val="bottom"/>
            <w:hideMark/>
          </w:tcPr>
          <w:p w:rsidR="00DA796D" w:rsidRPr="005911E2" w:rsidRDefault="00DA796D" w:rsidP="008E5400">
            <w:pPr>
              <w:pStyle w:val="braytabletext"/>
              <w:jc w:val="right"/>
            </w:pPr>
            <w:r w:rsidRPr="005911E2">
              <w:t>3</w:t>
            </w:r>
          </w:p>
        </w:tc>
        <w:tc>
          <w:tcPr>
            <w:tcW w:w="1092" w:type="dxa"/>
            <w:shd w:val="clear" w:color="auto" w:fill="auto"/>
            <w:vAlign w:val="bottom"/>
            <w:hideMark/>
          </w:tcPr>
          <w:p w:rsidR="00DA796D" w:rsidRPr="005911E2" w:rsidRDefault="00DA796D" w:rsidP="008E5400">
            <w:pPr>
              <w:pStyle w:val="braytabletext"/>
              <w:jc w:val="right"/>
            </w:pPr>
            <w:r w:rsidRPr="005911E2">
              <w:t>50</w:t>
            </w:r>
          </w:p>
        </w:tc>
        <w:tc>
          <w:tcPr>
            <w:tcW w:w="892" w:type="dxa"/>
            <w:shd w:val="clear" w:color="auto" w:fill="auto"/>
            <w:vAlign w:val="bottom"/>
            <w:hideMark/>
          </w:tcPr>
          <w:p w:rsidR="00DA796D" w:rsidRPr="005911E2" w:rsidRDefault="00DA796D" w:rsidP="008E5400">
            <w:pPr>
              <w:pStyle w:val="braytabletext"/>
              <w:jc w:val="right"/>
            </w:pPr>
            <w:r w:rsidRPr="005911E2">
              <w:t>37</w:t>
            </w:r>
          </w:p>
        </w:tc>
        <w:tc>
          <w:tcPr>
            <w:tcW w:w="851" w:type="dxa"/>
            <w:shd w:val="clear" w:color="auto" w:fill="auto"/>
            <w:vAlign w:val="bottom"/>
            <w:hideMark/>
          </w:tcPr>
          <w:p w:rsidR="00DA796D" w:rsidRPr="005911E2" w:rsidRDefault="00DA796D" w:rsidP="008E5400">
            <w:pPr>
              <w:pStyle w:val="braytabletext"/>
              <w:jc w:val="right"/>
            </w:pPr>
            <w:r w:rsidRPr="005911E2">
              <w:t>10</w:t>
            </w:r>
          </w:p>
        </w:tc>
        <w:tc>
          <w:tcPr>
            <w:tcW w:w="674" w:type="dxa"/>
            <w:vAlign w:val="bottom"/>
          </w:tcPr>
          <w:p w:rsidR="00DA796D" w:rsidRPr="005911E2" w:rsidRDefault="00DA796D" w:rsidP="008E5400">
            <w:pPr>
              <w:pStyle w:val="braytabletext"/>
              <w:jc w:val="right"/>
            </w:pPr>
            <w:r w:rsidRPr="005911E2">
              <w:t>100</w:t>
            </w:r>
          </w:p>
        </w:tc>
      </w:tr>
      <w:tr w:rsidR="00DA796D" w:rsidRPr="005911E2" w:rsidTr="008E57A0">
        <w:tc>
          <w:tcPr>
            <w:tcW w:w="3119" w:type="dxa"/>
            <w:shd w:val="clear" w:color="auto" w:fill="auto"/>
            <w:vAlign w:val="bottom"/>
            <w:hideMark/>
          </w:tcPr>
          <w:p w:rsidR="00DA796D" w:rsidRPr="005911E2" w:rsidRDefault="00DA796D" w:rsidP="008E5400">
            <w:pPr>
              <w:pStyle w:val="braytabletext"/>
            </w:pPr>
            <w:r w:rsidRPr="005911E2">
              <w:t>Ability to participate in cultural activities</w:t>
            </w:r>
          </w:p>
        </w:tc>
        <w:tc>
          <w:tcPr>
            <w:tcW w:w="850" w:type="dxa"/>
            <w:shd w:val="clear" w:color="auto" w:fill="auto"/>
            <w:vAlign w:val="bottom"/>
            <w:hideMark/>
          </w:tcPr>
          <w:p w:rsidR="00DA796D" w:rsidRPr="005911E2" w:rsidRDefault="00DA796D" w:rsidP="008E5400">
            <w:pPr>
              <w:pStyle w:val="braytabletext"/>
              <w:jc w:val="right"/>
            </w:pPr>
            <w:r w:rsidRPr="005911E2">
              <w:t>1</w:t>
            </w:r>
          </w:p>
        </w:tc>
        <w:tc>
          <w:tcPr>
            <w:tcW w:w="993" w:type="dxa"/>
            <w:shd w:val="clear" w:color="auto" w:fill="auto"/>
            <w:vAlign w:val="bottom"/>
            <w:hideMark/>
          </w:tcPr>
          <w:p w:rsidR="00DA796D" w:rsidRPr="005911E2" w:rsidRDefault="00DA796D" w:rsidP="008E5400">
            <w:pPr>
              <w:pStyle w:val="braytabletext"/>
              <w:jc w:val="right"/>
            </w:pPr>
            <w:r w:rsidRPr="005911E2">
              <w:t>2</w:t>
            </w:r>
          </w:p>
        </w:tc>
        <w:tc>
          <w:tcPr>
            <w:tcW w:w="1092" w:type="dxa"/>
            <w:shd w:val="clear" w:color="auto" w:fill="auto"/>
            <w:vAlign w:val="bottom"/>
            <w:hideMark/>
          </w:tcPr>
          <w:p w:rsidR="00DA796D" w:rsidRPr="005911E2" w:rsidRDefault="00DA796D" w:rsidP="008E5400">
            <w:pPr>
              <w:pStyle w:val="braytabletext"/>
              <w:jc w:val="right"/>
            </w:pPr>
            <w:r w:rsidRPr="005911E2">
              <w:t>47</w:t>
            </w:r>
          </w:p>
        </w:tc>
        <w:tc>
          <w:tcPr>
            <w:tcW w:w="892" w:type="dxa"/>
            <w:shd w:val="clear" w:color="auto" w:fill="auto"/>
            <w:vAlign w:val="bottom"/>
            <w:hideMark/>
          </w:tcPr>
          <w:p w:rsidR="00DA796D" w:rsidRPr="005911E2" w:rsidRDefault="00DA796D" w:rsidP="008E5400">
            <w:pPr>
              <w:pStyle w:val="braytabletext"/>
              <w:jc w:val="right"/>
            </w:pPr>
            <w:r w:rsidRPr="005911E2">
              <w:t>39</w:t>
            </w:r>
          </w:p>
        </w:tc>
        <w:tc>
          <w:tcPr>
            <w:tcW w:w="851" w:type="dxa"/>
            <w:shd w:val="clear" w:color="auto" w:fill="auto"/>
            <w:vAlign w:val="bottom"/>
            <w:hideMark/>
          </w:tcPr>
          <w:p w:rsidR="00DA796D" w:rsidRPr="005911E2" w:rsidRDefault="00DA796D" w:rsidP="008E5400">
            <w:pPr>
              <w:pStyle w:val="braytabletext"/>
              <w:jc w:val="right"/>
            </w:pPr>
            <w:r w:rsidRPr="005911E2">
              <w:t>11</w:t>
            </w:r>
          </w:p>
        </w:tc>
        <w:tc>
          <w:tcPr>
            <w:tcW w:w="674" w:type="dxa"/>
            <w:vAlign w:val="bottom"/>
          </w:tcPr>
          <w:p w:rsidR="00DA796D" w:rsidRPr="005911E2" w:rsidRDefault="00DA796D" w:rsidP="008E5400">
            <w:pPr>
              <w:pStyle w:val="braytabletext"/>
              <w:jc w:val="right"/>
            </w:pPr>
            <w:r w:rsidRPr="005911E2">
              <w:t>100</w:t>
            </w:r>
          </w:p>
        </w:tc>
      </w:tr>
      <w:tr w:rsidR="00DA796D" w:rsidRPr="005911E2" w:rsidTr="008E57A0">
        <w:tc>
          <w:tcPr>
            <w:tcW w:w="3119" w:type="dxa"/>
            <w:shd w:val="clear" w:color="auto" w:fill="auto"/>
            <w:vAlign w:val="bottom"/>
            <w:hideMark/>
          </w:tcPr>
          <w:p w:rsidR="00DA796D" w:rsidRPr="005911E2" w:rsidRDefault="00DA796D" w:rsidP="008E5400">
            <w:pPr>
              <w:pStyle w:val="braytabletext"/>
            </w:pPr>
            <w:r w:rsidRPr="005911E2">
              <w:t>Gambling</w:t>
            </w:r>
          </w:p>
        </w:tc>
        <w:tc>
          <w:tcPr>
            <w:tcW w:w="850" w:type="dxa"/>
            <w:shd w:val="clear" w:color="auto" w:fill="auto"/>
            <w:vAlign w:val="bottom"/>
            <w:hideMark/>
          </w:tcPr>
          <w:p w:rsidR="00DA796D" w:rsidRPr="005911E2" w:rsidRDefault="00DA796D" w:rsidP="008E5400">
            <w:pPr>
              <w:pStyle w:val="braytabletext"/>
              <w:jc w:val="right"/>
            </w:pPr>
            <w:r w:rsidRPr="005911E2">
              <w:t>7</w:t>
            </w:r>
          </w:p>
        </w:tc>
        <w:tc>
          <w:tcPr>
            <w:tcW w:w="993" w:type="dxa"/>
            <w:shd w:val="clear" w:color="auto" w:fill="auto"/>
            <w:vAlign w:val="bottom"/>
            <w:hideMark/>
          </w:tcPr>
          <w:p w:rsidR="00DA796D" w:rsidRPr="005911E2" w:rsidRDefault="00DA796D" w:rsidP="008E5400">
            <w:pPr>
              <w:pStyle w:val="braytabletext"/>
              <w:jc w:val="right"/>
            </w:pPr>
            <w:r w:rsidRPr="005911E2">
              <w:t>8</w:t>
            </w:r>
          </w:p>
        </w:tc>
        <w:tc>
          <w:tcPr>
            <w:tcW w:w="1092" w:type="dxa"/>
            <w:shd w:val="clear" w:color="auto" w:fill="auto"/>
            <w:vAlign w:val="bottom"/>
            <w:hideMark/>
          </w:tcPr>
          <w:p w:rsidR="00DA796D" w:rsidRPr="005911E2" w:rsidRDefault="00DA796D" w:rsidP="008E5400">
            <w:pPr>
              <w:pStyle w:val="braytabletext"/>
              <w:jc w:val="right"/>
            </w:pPr>
            <w:r w:rsidRPr="005911E2">
              <w:t>36</w:t>
            </w:r>
          </w:p>
        </w:tc>
        <w:tc>
          <w:tcPr>
            <w:tcW w:w="892" w:type="dxa"/>
            <w:shd w:val="clear" w:color="auto" w:fill="auto"/>
            <w:vAlign w:val="bottom"/>
            <w:hideMark/>
          </w:tcPr>
          <w:p w:rsidR="00DA796D" w:rsidRPr="005911E2" w:rsidRDefault="00DA796D" w:rsidP="008E5400">
            <w:pPr>
              <w:pStyle w:val="braytabletext"/>
              <w:jc w:val="right"/>
            </w:pPr>
            <w:r w:rsidRPr="005911E2">
              <w:t>27</w:t>
            </w:r>
          </w:p>
        </w:tc>
        <w:tc>
          <w:tcPr>
            <w:tcW w:w="851" w:type="dxa"/>
            <w:shd w:val="clear" w:color="auto" w:fill="auto"/>
            <w:vAlign w:val="bottom"/>
            <w:hideMark/>
          </w:tcPr>
          <w:p w:rsidR="00DA796D" w:rsidRPr="005911E2" w:rsidRDefault="00DA796D" w:rsidP="008E5400">
            <w:pPr>
              <w:pStyle w:val="braytabletext"/>
              <w:jc w:val="right"/>
            </w:pPr>
            <w:r w:rsidRPr="005911E2">
              <w:t>22</w:t>
            </w:r>
          </w:p>
        </w:tc>
        <w:tc>
          <w:tcPr>
            <w:tcW w:w="674" w:type="dxa"/>
            <w:vAlign w:val="bottom"/>
          </w:tcPr>
          <w:p w:rsidR="00DA796D" w:rsidRPr="005911E2" w:rsidRDefault="00DA796D" w:rsidP="008E5400">
            <w:pPr>
              <w:pStyle w:val="braytabletext"/>
              <w:jc w:val="right"/>
            </w:pPr>
            <w:r w:rsidRPr="005911E2">
              <w:t>100</w:t>
            </w:r>
          </w:p>
        </w:tc>
      </w:tr>
      <w:tr w:rsidR="00DA796D" w:rsidRPr="005911E2" w:rsidTr="008E57A0">
        <w:tc>
          <w:tcPr>
            <w:tcW w:w="3119" w:type="dxa"/>
            <w:shd w:val="clear" w:color="auto" w:fill="auto"/>
            <w:vAlign w:val="bottom"/>
            <w:hideMark/>
          </w:tcPr>
          <w:p w:rsidR="00DA796D" w:rsidRPr="005911E2" w:rsidRDefault="00DA796D" w:rsidP="008E5400">
            <w:pPr>
              <w:pStyle w:val="braytabletext"/>
            </w:pPr>
            <w:r w:rsidRPr="005911E2">
              <w:t>Family violence</w:t>
            </w:r>
          </w:p>
        </w:tc>
        <w:tc>
          <w:tcPr>
            <w:tcW w:w="850" w:type="dxa"/>
            <w:shd w:val="clear" w:color="auto" w:fill="auto"/>
            <w:vAlign w:val="bottom"/>
            <w:hideMark/>
          </w:tcPr>
          <w:p w:rsidR="00DA796D" w:rsidRPr="005911E2" w:rsidRDefault="00DA796D" w:rsidP="008E5400">
            <w:pPr>
              <w:pStyle w:val="braytabletext"/>
              <w:jc w:val="right"/>
            </w:pPr>
            <w:r w:rsidRPr="005911E2">
              <w:t>4</w:t>
            </w:r>
          </w:p>
        </w:tc>
        <w:tc>
          <w:tcPr>
            <w:tcW w:w="993" w:type="dxa"/>
            <w:shd w:val="clear" w:color="auto" w:fill="auto"/>
            <w:vAlign w:val="bottom"/>
            <w:hideMark/>
          </w:tcPr>
          <w:p w:rsidR="00DA796D" w:rsidRPr="005911E2" w:rsidRDefault="00DA796D" w:rsidP="008E5400">
            <w:pPr>
              <w:pStyle w:val="braytabletext"/>
              <w:jc w:val="right"/>
            </w:pPr>
            <w:r w:rsidRPr="005911E2">
              <w:t>12</w:t>
            </w:r>
          </w:p>
        </w:tc>
        <w:tc>
          <w:tcPr>
            <w:tcW w:w="1092" w:type="dxa"/>
            <w:shd w:val="clear" w:color="auto" w:fill="auto"/>
            <w:vAlign w:val="bottom"/>
            <w:hideMark/>
          </w:tcPr>
          <w:p w:rsidR="00DA796D" w:rsidRPr="005911E2" w:rsidRDefault="00DA796D" w:rsidP="008E5400">
            <w:pPr>
              <w:pStyle w:val="braytabletext"/>
              <w:jc w:val="right"/>
            </w:pPr>
            <w:r w:rsidRPr="005911E2">
              <w:t>47</w:t>
            </w:r>
          </w:p>
        </w:tc>
        <w:tc>
          <w:tcPr>
            <w:tcW w:w="892" w:type="dxa"/>
            <w:shd w:val="clear" w:color="auto" w:fill="auto"/>
            <w:vAlign w:val="bottom"/>
            <w:hideMark/>
          </w:tcPr>
          <w:p w:rsidR="00DA796D" w:rsidRPr="005911E2" w:rsidRDefault="00DA796D" w:rsidP="008E5400">
            <w:pPr>
              <w:pStyle w:val="braytabletext"/>
              <w:jc w:val="right"/>
            </w:pPr>
            <w:r w:rsidRPr="005911E2">
              <w:t>23</w:t>
            </w:r>
          </w:p>
        </w:tc>
        <w:tc>
          <w:tcPr>
            <w:tcW w:w="851" w:type="dxa"/>
            <w:shd w:val="clear" w:color="auto" w:fill="auto"/>
            <w:vAlign w:val="bottom"/>
            <w:hideMark/>
          </w:tcPr>
          <w:p w:rsidR="00DA796D" w:rsidRPr="005911E2" w:rsidRDefault="00DA796D" w:rsidP="008E5400">
            <w:pPr>
              <w:pStyle w:val="braytabletext"/>
              <w:jc w:val="right"/>
            </w:pPr>
            <w:r w:rsidRPr="005911E2">
              <w:t>13</w:t>
            </w:r>
          </w:p>
        </w:tc>
        <w:tc>
          <w:tcPr>
            <w:tcW w:w="674" w:type="dxa"/>
            <w:vAlign w:val="bottom"/>
          </w:tcPr>
          <w:p w:rsidR="00DA796D" w:rsidRPr="005911E2" w:rsidRDefault="00DA796D" w:rsidP="008E5400">
            <w:pPr>
              <w:pStyle w:val="braytabletext"/>
              <w:jc w:val="right"/>
            </w:pPr>
            <w:r w:rsidRPr="005911E2">
              <w:t>100</w:t>
            </w:r>
          </w:p>
        </w:tc>
      </w:tr>
      <w:tr w:rsidR="00DA796D" w:rsidRPr="005911E2" w:rsidTr="008E57A0">
        <w:tc>
          <w:tcPr>
            <w:tcW w:w="3119" w:type="dxa"/>
            <w:tcBorders>
              <w:bottom w:val="single" w:sz="4" w:space="0" w:color="auto"/>
            </w:tcBorders>
            <w:shd w:val="clear" w:color="auto" w:fill="auto"/>
            <w:vAlign w:val="bottom"/>
            <w:hideMark/>
          </w:tcPr>
          <w:p w:rsidR="00DA796D" w:rsidRPr="005911E2" w:rsidRDefault="00DA796D" w:rsidP="008E5400">
            <w:pPr>
              <w:pStyle w:val="braytabletext"/>
            </w:pPr>
            <w:r w:rsidRPr="005911E2">
              <w:t>Relationships between parents or other family members</w:t>
            </w:r>
          </w:p>
        </w:tc>
        <w:tc>
          <w:tcPr>
            <w:tcW w:w="850" w:type="dxa"/>
            <w:tcBorders>
              <w:bottom w:val="single" w:sz="4" w:space="0" w:color="auto"/>
            </w:tcBorders>
            <w:shd w:val="clear" w:color="auto" w:fill="auto"/>
            <w:vAlign w:val="bottom"/>
            <w:hideMark/>
          </w:tcPr>
          <w:p w:rsidR="00DA796D" w:rsidRPr="005911E2" w:rsidRDefault="00DA796D" w:rsidP="008E5400">
            <w:pPr>
              <w:pStyle w:val="braytabletext"/>
              <w:jc w:val="right"/>
            </w:pPr>
            <w:r w:rsidRPr="005911E2">
              <w:t>3</w:t>
            </w:r>
          </w:p>
        </w:tc>
        <w:tc>
          <w:tcPr>
            <w:tcW w:w="993" w:type="dxa"/>
            <w:tcBorders>
              <w:bottom w:val="single" w:sz="4" w:space="0" w:color="auto"/>
            </w:tcBorders>
            <w:shd w:val="clear" w:color="auto" w:fill="auto"/>
            <w:vAlign w:val="bottom"/>
            <w:hideMark/>
          </w:tcPr>
          <w:p w:rsidR="00DA796D" w:rsidRPr="005911E2" w:rsidRDefault="00DA796D" w:rsidP="008E5400">
            <w:pPr>
              <w:pStyle w:val="braytabletext"/>
              <w:jc w:val="right"/>
            </w:pPr>
            <w:r w:rsidRPr="005911E2">
              <w:t>9</w:t>
            </w:r>
          </w:p>
        </w:tc>
        <w:tc>
          <w:tcPr>
            <w:tcW w:w="1092" w:type="dxa"/>
            <w:tcBorders>
              <w:bottom w:val="single" w:sz="4" w:space="0" w:color="auto"/>
            </w:tcBorders>
            <w:shd w:val="clear" w:color="auto" w:fill="auto"/>
            <w:vAlign w:val="bottom"/>
            <w:hideMark/>
          </w:tcPr>
          <w:p w:rsidR="00DA796D" w:rsidRPr="005911E2" w:rsidRDefault="00DA796D" w:rsidP="008E5400">
            <w:pPr>
              <w:pStyle w:val="braytabletext"/>
              <w:jc w:val="right"/>
            </w:pPr>
            <w:r w:rsidRPr="005911E2">
              <w:t>47</w:t>
            </w:r>
          </w:p>
        </w:tc>
        <w:tc>
          <w:tcPr>
            <w:tcW w:w="892" w:type="dxa"/>
            <w:tcBorders>
              <w:bottom w:val="single" w:sz="4" w:space="0" w:color="auto"/>
            </w:tcBorders>
            <w:shd w:val="clear" w:color="auto" w:fill="auto"/>
            <w:vAlign w:val="bottom"/>
            <w:hideMark/>
          </w:tcPr>
          <w:p w:rsidR="00DA796D" w:rsidRPr="005911E2" w:rsidRDefault="00DA796D" w:rsidP="008E5400">
            <w:pPr>
              <w:pStyle w:val="braytabletext"/>
              <w:jc w:val="right"/>
            </w:pPr>
            <w:r w:rsidRPr="005911E2">
              <w:t>34</w:t>
            </w:r>
          </w:p>
        </w:tc>
        <w:tc>
          <w:tcPr>
            <w:tcW w:w="851" w:type="dxa"/>
            <w:tcBorders>
              <w:bottom w:val="single" w:sz="4" w:space="0" w:color="auto"/>
            </w:tcBorders>
            <w:shd w:val="clear" w:color="auto" w:fill="auto"/>
            <w:vAlign w:val="bottom"/>
            <w:hideMark/>
          </w:tcPr>
          <w:p w:rsidR="00DA796D" w:rsidRPr="005911E2" w:rsidRDefault="00DA796D" w:rsidP="008E5400">
            <w:pPr>
              <w:pStyle w:val="braytabletext"/>
              <w:jc w:val="right"/>
            </w:pPr>
            <w:r w:rsidRPr="005911E2">
              <w:t>7</w:t>
            </w:r>
          </w:p>
        </w:tc>
        <w:tc>
          <w:tcPr>
            <w:tcW w:w="674" w:type="dxa"/>
            <w:tcBorders>
              <w:bottom w:val="single" w:sz="4" w:space="0" w:color="auto"/>
            </w:tcBorders>
            <w:vAlign w:val="bottom"/>
          </w:tcPr>
          <w:p w:rsidR="00DA796D" w:rsidRPr="005911E2" w:rsidRDefault="00DA796D" w:rsidP="008E5400">
            <w:pPr>
              <w:pStyle w:val="braytabletext"/>
              <w:jc w:val="right"/>
            </w:pPr>
            <w:r w:rsidRPr="005911E2">
              <w:t>100</w:t>
            </w:r>
          </w:p>
        </w:tc>
      </w:tr>
    </w:tbl>
    <w:p w:rsidR="00DA796D" w:rsidRPr="005911E2" w:rsidRDefault="00DA796D" w:rsidP="00CF518E">
      <w:pPr>
        <w:pStyle w:val="tablefootnotes"/>
        <w:rPr>
          <w:rFonts w:cs="Arial"/>
        </w:rPr>
      </w:pPr>
      <w:r w:rsidRPr="005911E2">
        <w:t xml:space="preserve">Notes: </w:t>
      </w:r>
      <w:r w:rsidR="00A57B4E">
        <w:tab/>
      </w:r>
      <w:r w:rsidRPr="005911E2">
        <w:t xml:space="preserve">128 respondents. A small number of respondents said that one or more of the questions was not applicable to them (a maximum of 2 per cent for any particular item were not applicable). </w:t>
      </w:r>
      <w:r w:rsidRPr="005911E2">
        <w:rPr>
          <w:rFonts w:cs="Arial"/>
        </w:rPr>
        <w:t xml:space="preserve">In addition, the proportion of ‘Don’t know/not enough evidence’ responses ranged from 12 per cent to 27 per cent for these items. These responses are excluded from this table. Items where there were 20 per cent or more of </w:t>
      </w:r>
      <w:r w:rsidR="006C33D2" w:rsidRPr="005911E2">
        <w:rPr>
          <w:rFonts w:cs="Arial"/>
        </w:rPr>
        <w:t>don’t</w:t>
      </w:r>
      <w:r w:rsidRPr="005911E2">
        <w:rPr>
          <w:rFonts w:cs="Arial"/>
        </w:rPr>
        <w:t xml:space="preserve"> know/not enough evidence’ responses included ‘mental health, ‘safety’, family violence’ and ‘relationships between parents or other family members’.</w:t>
      </w:r>
    </w:p>
    <w:p w:rsidR="00DA796D" w:rsidRPr="005911E2" w:rsidRDefault="00DA796D" w:rsidP="00CF518E">
      <w:pPr>
        <w:pStyle w:val="tablefootnotes"/>
      </w:pPr>
      <w:r w:rsidRPr="005911E2">
        <w:rPr>
          <w:rFonts w:ascii="Calibri" w:hAnsi="Calibri"/>
          <w:color w:val="000000"/>
          <w:lang w:bidi="ar-SA"/>
        </w:rPr>
        <w:t xml:space="preserve">Source: </w:t>
      </w:r>
      <w:r w:rsidR="00A57B4E">
        <w:rPr>
          <w:rFonts w:ascii="Calibri" w:hAnsi="Calibri"/>
          <w:color w:val="000000"/>
          <w:lang w:bidi="ar-SA"/>
        </w:rPr>
        <w:tab/>
      </w:r>
      <w:r w:rsidRPr="005911E2">
        <w:t>Survey of Centrelink Staff 2011.</w:t>
      </w:r>
    </w:p>
    <w:p w:rsidR="00EA1CD7" w:rsidRPr="005911E2" w:rsidRDefault="00EA1CD7" w:rsidP="00DA796D">
      <w:pPr>
        <w:spacing w:after="0" w:line="264" w:lineRule="auto"/>
        <w:ind w:left="2552" w:hanging="851"/>
        <w:rPr>
          <w:sz w:val="18"/>
        </w:rPr>
      </w:pPr>
    </w:p>
    <w:p w:rsidR="00DA796D" w:rsidRPr="005911E2" w:rsidRDefault="00DA796D" w:rsidP="00BD6DFD">
      <w:pPr>
        <w:pStyle w:val="Heading3"/>
      </w:pPr>
      <w:r w:rsidRPr="005911E2">
        <w:t xml:space="preserve">Centrelink staff perceptions of the impact of </w:t>
      </w:r>
      <w:r w:rsidR="00F878E4">
        <w:t>income management</w:t>
      </w:r>
      <w:r w:rsidRPr="005911E2">
        <w:t xml:space="preserve"> on community and family</w:t>
      </w:r>
      <w:r w:rsidR="00DC7C5C">
        <w:t xml:space="preserve"> wellbeing</w:t>
      </w:r>
    </w:p>
    <w:p w:rsidR="00DA796D" w:rsidRDefault="00DA796D" w:rsidP="00DA796D">
      <w:pPr>
        <w:rPr>
          <w:lang w:eastAsia="en-AU"/>
        </w:rPr>
      </w:pPr>
      <w:r w:rsidRPr="005911E2">
        <w:rPr>
          <w:lang w:eastAsia="en-AU"/>
        </w:rPr>
        <w:t>A further part of the survey addressed potential broader impacts of income management on families and specific community groups</w:t>
      </w:r>
      <w:r w:rsidR="00DC7C5C">
        <w:rPr>
          <w:lang w:eastAsia="en-AU"/>
        </w:rPr>
        <w:t xml:space="preserve">; </w:t>
      </w:r>
      <w:r w:rsidRPr="005911E2">
        <w:rPr>
          <w:lang w:eastAsia="en-AU"/>
        </w:rPr>
        <w:t xml:space="preserve">respondents </w:t>
      </w:r>
      <w:r w:rsidR="00DC7C5C">
        <w:rPr>
          <w:lang w:eastAsia="en-AU"/>
        </w:rPr>
        <w:t>were</w:t>
      </w:r>
      <w:r w:rsidRPr="005911E2">
        <w:rPr>
          <w:lang w:eastAsia="en-AU"/>
        </w:rPr>
        <w:t xml:space="preserve"> asked the extent to which they agreed or disagreed with a series of statements. These results are presented in Table </w:t>
      </w:r>
      <w:r w:rsidRPr="005911E2">
        <w:rPr>
          <w:noProof/>
          <w:lang w:eastAsia="en-AU"/>
        </w:rPr>
        <w:t>9</w:t>
      </w:r>
      <w:r w:rsidRPr="005911E2">
        <w:rPr>
          <w:noProof/>
          <w:lang w:eastAsia="en-AU"/>
        </w:rPr>
        <w:noBreakHyphen/>
        <w:t>14</w:t>
      </w:r>
      <w:r w:rsidRPr="005911E2">
        <w:rPr>
          <w:lang w:eastAsia="en-AU"/>
        </w:rPr>
        <w:t xml:space="preserve">. </w:t>
      </w:r>
    </w:p>
    <w:p w:rsidR="008E5400" w:rsidRPr="005911E2" w:rsidRDefault="008E5400" w:rsidP="008E5400">
      <w:pPr>
        <w:rPr>
          <w:rFonts w:cs="Arial"/>
          <w:color w:val="000000"/>
          <w:lang w:eastAsia="en-AU"/>
        </w:rPr>
      </w:pPr>
      <w:r w:rsidRPr="005911E2">
        <w:rPr>
          <w:lang w:eastAsia="en-AU"/>
        </w:rPr>
        <w:t>Ninety</w:t>
      </w:r>
      <w:r>
        <w:rPr>
          <w:lang w:eastAsia="en-AU"/>
        </w:rPr>
        <w:t>-</w:t>
      </w:r>
      <w:r w:rsidRPr="005911E2">
        <w:rPr>
          <w:lang w:eastAsia="en-AU"/>
        </w:rPr>
        <w:t xml:space="preserve">three per cent of Centrelink respondents agreed with the statement that </w:t>
      </w:r>
      <w:r>
        <w:rPr>
          <w:lang w:eastAsia="en-AU"/>
        </w:rPr>
        <w:t>‘income management</w:t>
      </w:r>
      <w:r w:rsidRPr="005911E2">
        <w:rPr>
          <w:lang w:eastAsia="en-AU"/>
        </w:rPr>
        <w:t xml:space="preserve"> allows for the income of vulnerable groups to be protected</w:t>
      </w:r>
      <w:r>
        <w:rPr>
          <w:lang w:eastAsia="en-AU"/>
        </w:rPr>
        <w:t>’</w:t>
      </w:r>
      <w:r w:rsidRPr="005911E2">
        <w:rPr>
          <w:lang w:eastAsia="en-AU"/>
        </w:rPr>
        <w:t xml:space="preserve">. Similarly, 87 per cent agreed that </w:t>
      </w:r>
      <w:r>
        <w:rPr>
          <w:lang w:eastAsia="en-AU"/>
        </w:rPr>
        <w:t>‘income management</w:t>
      </w:r>
      <w:r w:rsidRPr="005911E2">
        <w:rPr>
          <w:lang w:eastAsia="en-AU"/>
        </w:rPr>
        <w:t xml:space="preserve"> </w:t>
      </w:r>
      <w:r w:rsidRPr="005911E2">
        <w:rPr>
          <w:rFonts w:cs="Arial"/>
          <w:color w:val="000000"/>
          <w:lang w:eastAsia="en-AU"/>
        </w:rPr>
        <w:t>allows for the income support payments of families with children to be directed primarily to their children's needs</w:t>
      </w:r>
      <w:r>
        <w:rPr>
          <w:rFonts w:cs="Arial"/>
          <w:color w:val="000000"/>
          <w:lang w:eastAsia="en-AU"/>
        </w:rPr>
        <w:t>’</w:t>
      </w:r>
      <w:r w:rsidRPr="005911E2">
        <w:rPr>
          <w:rFonts w:cs="Arial"/>
          <w:color w:val="000000"/>
          <w:lang w:eastAsia="en-AU"/>
        </w:rPr>
        <w:t xml:space="preserve">, 84 per cent agreed that </w:t>
      </w:r>
      <w:r>
        <w:rPr>
          <w:rFonts w:cs="Arial"/>
          <w:color w:val="000000"/>
          <w:lang w:eastAsia="en-AU"/>
        </w:rPr>
        <w:t>‘</w:t>
      </w:r>
      <w:r w:rsidRPr="005911E2">
        <w:rPr>
          <w:rFonts w:cs="Arial"/>
          <w:color w:val="000000"/>
          <w:lang w:eastAsia="en-AU"/>
        </w:rPr>
        <w:t>income management allows women in this community to have greater control over their money</w:t>
      </w:r>
      <w:r>
        <w:rPr>
          <w:rFonts w:cs="Arial"/>
          <w:color w:val="000000"/>
          <w:lang w:eastAsia="en-AU"/>
        </w:rPr>
        <w:t>’,</w:t>
      </w:r>
      <w:r w:rsidRPr="005911E2">
        <w:rPr>
          <w:rFonts w:cs="Arial"/>
          <w:color w:val="000000"/>
          <w:lang w:eastAsia="en-AU"/>
        </w:rPr>
        <w:t xml:space="preserve"> and 80 per cent agreed that NIM will </w:t>
      </w:r>
      <w:r>
        <w:rPr>
          <w:rFonts w:cs="Arial"/>
          <w:color w:val="000000"/>
          <w:lang w:eastAsia="en-AU"/>
        </w:rPr>
        <w:t>‘</w:t>
      </w:r>
      <w:r w:rsidRPr="005911E2">
        <w:rPr>
          <w:rFonts w:cs="Arial"/>
          <w:color w:val="000000"/>
          <w:lang w:eastAsia="en-AU"/>
        </w:rPr>
        <w:t>assist families in learning to manage their household finances more effectively in the longer term</w:t>
      </w:r>
      <w:r>
        <w:rPr>
          <w:rFonts w:cs="Arial"/>
          <w:color w:val="000000"/>
          <w:lang w:eastAsia="en-AU"/>
        </w:rPr>
        <w:t>’</w:t>
      </w:r>
      <w:r w:rsidRPr="005911E2">
        <w:rPr>
          <w:rFonts w:cs="Arial"/>
          <w:color w:val="000000"/>
          <w:lang w:eastAsia="en-AU"/>
        </w:rPr>
        <w:t xml:space="preserve">. </w:t>
      </w:r>
    </w:p>
    <w:p w:rsidR="008E5400" w:rsidRPr="005911E2" w:rsidRDefault="008E5400" w:rsidP="008E5400">
      <w:pPr>
        <w:rPr>
          <w:rFonts w:cs="Arial"/>
          <w:color w:val="000000"/>
          <w:lang w:eastAsia="en-AU"/>
        </w:rPr>
      </w:pPr>
      <w:r w:rsidRPr="005911E2">
        <w:rPr>
          <w:rFonts w:cs="Arial"/>
          <w:color w:val="000000"/>
          <w:lang w:eastAsia="en-AU"/>
        </w:rPr>
        <w:t xml:space="preserve">Most staff who completed the survey also agreed that </w:t>
      </w:r>
      <w:r>
        <w:rPr>
          <w:rFonts w:cs="Arial"/>
          <w:color w:val="000000"/>
          <w:lang w:eastAsia="en-AU"/>
        </w:rPr>
        <w:t>‘</w:t>
      </w:r>
      <w:r w:rsidRPr="005911E2">
        <w:rPr>
          <w:rFonts w:cs="Arial"/>
          <w:color w:val="000000"/>
          <w:lang w:eastAsia="en-AU"/>
        </w:rPr>
        <w:t xml:space="preserve">there are adequate opportunities for people who wish to exempt themselves from </w:t>
      </w:r>
      <w:r>
        <w:rPr>
          <w:rFonts w:cs="Arial"/>
          <w:color w:val="000000"/>
          <w:lang w:eastAsia="en-AU"/>
        </w:rPr>
        <w:t>NIM’</w:t>
      </w:r>
      <w:r w:rsidRPr="005911E2">
        <w:rPr>
          <w:rFonts w:cs="Arial"/>
          <w:color w:val="000000"/>
          <w:lang w:eastAsia="en-AU"/>
        </w:rPr>
        <w:t xml:space="preserve"> (80 per cent). However, 68 per cent also agreed with the statement that </w:t>
      </w:r>
      <w:r>
        <w:rPr>
          <w:rFonts w:cs="Arial"/>
          <w:color w:val="000000"/>
          <w:lang w:eastAsia="en-AU"/>
        </w:rPr>
        <w:t>‘</w:t>
      </w:r>
      <w:r w:rsidRPr="005911E2">
        <w:rPr>
          <w:rFonts w:cs="Arial"/>
          <w:color w:val="000000"/>
          <w:lang w:eastAsia="en-AU"/>
        </w:rPr>
        <w:t>for some people NIM, is not useful as they are already able to manage their incomes well</w:t>
      </w:r>
      <w:r>
        <w:rPr>
          <w:rFonts w:cs="Arial"/>
          <w:color w:val="000000"/>
          <w:lang w:eastAsia="en-AU"/>
        </w:rPr>
        <w:t>’</w:t>
      </w:r>
      <w:r w:rsidRPr="005911E2">
        <w:rPr>
          <w:rFonts w:cs="Arial"/>
          <w:color w:val="000000"/>
          <w:lang w:eastAsia="en-AU"/>
        </w:rPr>
        <w:t xml:space="preserve">. </w:t>
      </w:r>
    </w:p>
    <w:p w:rsidR="008E5400" w:rsidRPr="005911E2" w:rsidRDefault="008E5400" w:rsidP="00DA796D">
      <w:pPr>
        <w:rPr>
          <w:lang w:eastAsia="en-AU"/>
        </w:rPr>
      </w:pPr>
    </w:p>
    <w:p w:rsidR="00DA796D" w:rsidRPr="005911E2" w:rsidRDefault="00DA796D" w:rsidP="00EA1CD7">
      <w:pPr>
        <w:pStyle w:val="tabfighead"/>
      </w:pPr>
      <w:bookmarkStart w:id="911" w:name="_Ref320547033"/>
      <w:bookmarkStart w:id="912" w:name="_Toc321254578"/>
      <w:bookmarkStart w:id="913" w:name="_Toc321430459"/>
      <w:bookmarkStart w:id="914" w:name="_Toc321761729"/>
      <w:bookmarkStart w:id="915" w:name="_Toc328601626"/>
      <w:bookmarkStart w:id="916" w:name="_Toc329051404"/>
      <w:bookmarkStart w:id="917" w:name="_Toc335915892"/>
      <w:bookmarkStart w:id="918" w:name="_Ref194665057"/>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9</w:t>
      </w:r>
      <w:r w:rsidR="00C7347D" w:rsidRPr="005911E2">
        <w:rPr>
          <w:noProof/>
        </w:rPr>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14</w:t>
      </w:r>
      <w:r w:rsidR="00C7347D" w:rsidRPr="005911E2">
        <w:rPr>
          <w:noProof/>
        </w:rPr>
        <w:fldChar w:fldCharType="end"/>
      </w:r>
      <w:bookmarkEnd w:id="911"/>
      <w:r w:rsidRPr="005911E2">
        <w:t xml:space="preserve"> </w:t>
      </w:r>
      <w:r w:rsidR="00691035">
        <w:tab/>
      </w:r>
      <w:r w:rsidRPr="005911E2">
        <w:t>Centrelink staff perceptions of the impact of NIM on aspects of community and family wellbeing</w:t>
      </w:r>
      <w:bookmarkEnd w:id="912"/>
      <w:bookmarkEnd w:id="913"/>
      <w:bookmarkEnd w:id="914"/>
      <w:bookmarkEnd w:id="915"/>
      <w:bookmarkEnd w:id="916"/>
      <w:bookmarkEnd w:id="917"/>
      <w:r w:rsidRPr="005911E2">
        <w:t xml:space="preserve"> </w:t>
      </w:r>
      <w:bookmarkEnd w:id="918"/>
    </w:p>
    <w:tbl>
      <w:tblPr>
        <w:tblW w:w="5000" w:type="pct"/>
        <w:tblLayout w:type="fixed"/>
        <w:tblLook w:val="04A0" w:firstRow="1" w:lastRow="0" w:firstColumn="1" w:lastColumn="0" w:noHBand="0" w:noVBand="1"/>
      </w:tblPr>
      <w:tblGrid>
        <w:gridCol w:w="4786"/>
        <w:gridCol w:w="851"/>
        <w:gridCol w:w="849"/>
        <w:gridCol w:w="937"/>
        <w:gridCol w:w="908"/>
        <w:gridCol w:w="764"/>
      </w:tblGrid>
      <w:tr w:rsidR="00DA796D" w:rsidRPr="00BB14C5" w:rsidTr="008E5400">
        <w:trPr>
          <w:cantSplit/>
        </w:trPr>
        <w:tc>
          <w:tcPr>
            <w:tcW w:w="2631" w:type="pct"/>
            <w:tcBorders>
              <w:top w:val="single" w:sz="4" w:space="0" w:color="auto"/>
              <w:left w:val="nil"/>
              <w:bottom w:val="single" w:sz="4" w:space="0" w:color="auto"/>
              <w:right w:val="nil"/>
            </w:tcBorders>
            <w:shd w:val="clear" w:color="auto" w:fill="auto"/>
            <w:vAlign w:val="center"/>
            <w:hideMark/>
          </w:tcPr>
          <w:p w:rsidR="00DA796D" w:rsidRPr="00BB14C5" w:rsidRDefault="00DA796D" w:rsidP="00BB14C5">
            <w:pPr>
              <w:keepNext/>
              <w:keepLines/>
              <w:spacing w:after="40" w:line="240" w:lineRule="auto"/>
              <w:ind w:left="0"/>
              <w:jc w:val="left"/>
              <w:rPr>
                <w:rFonts w:cs="Arial"/>
                <w:color w:val="000000"/>
                <w:sz w:val="16"/>
                <w:szCs w:val="16"/>
                <w:lang w:eastAsia="en-AU" w:bidi="ar-SA"/>
              </w:rPr>
            </w:pPr>
            <w:r w:rsidRPr="00BB14C5">
              <w:rPr>
                <w:rFonts w:cs="Arial"/>
                <w:color w:val="000000"/>
                <w:sz w:val="16"/>
                <w:szCs w:val="16"/>
                <w:lang w:eastAsia="en-AU" w:bidi="ar-SA"/>
              </w:rPr>
              <w:t> </w:t>
            </w:r>
          </w:p>
        </w:tc>
        <w:tc>
          <w:tcPr>
            <w:tcW w:w="468" w:type="pct"/>
            <w:tcBorders>
              <w:top w:val="single" w:sz="4" w:space="0" w:color="auto"/>
              <w:left w:val="nil"/>
              <w:bottom w:val="single" w:sz="4" w:space="0" w:color="auto"/>
              <w:right w:val="nil"/>
            </w:tcBorders>
            <w:shd w:val="clear" w:color="auto" w:fill="auto"/>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Strongly agree</w:t>
            </w:r>
          </w:p>
        </w:tc>
        <w:tc>
          <w:tcPr>
            <w:tcW w:w="467" w:type="pct"/>
            <w:tcBorders>
              <w:top w:val="single" w:sz="4" w:space="0" w:color="auto"/>
              <w:left w:val="nil"/>
              <w:bottom w:val="single" w:sz="4" w:space="0" w:color="auto"/>
              <w:right w:val="nil"/>
            </w:tcBorders>
            <w:shd w:val="clear" w:color="auto" w:fill="auto"/>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Mostly agree</w:t>
            </w:r>
          </w:p>
        </w:tc>
        <w:tc>
          <w:tcPr>
            <w:tcW w:w="515" w:type="pct"/>
            <w:tcBorders>
              <w:top w:val="single" w:sz="4" w:space="0" w:color="auto"/>
              <w:left w:val="nil"/>
              <w:bottom w:val="single" w:sz="4" w:space="0" w:color="auto"/>
              <w:right w:val="nil"/>
            </w:tcBorders>
            <w:shd w:val="clear" w:color="auto" w:fill="auto"/>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Mostly disagree</w:t>
            </w:r>
          </w:p>
        </w:tc>
        <w:tc>
          <w:tcPr>
            <w:tcW w:w="499" w:type="pct"/>
            <w:tcBorders>
              <w:top w:val="single" w:sz="4" w:space="0" w:color="auto"/>
              <w:left w:val="nil"/>
              <w:bottom w:val="single" w:sz="4" w:space="0" w:color="auto"/>
              <w:right w:val="nil"/>
            </w:tcBorders>
            <w:shd w:val="clear" w:color="auto" w:fill="auto"/>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Strongly disagree</w:t>
            </w:r>
          </w:p>
        </w:tc>
        <w:tc>
          <w:tcPr>
            <w:tcW w:w="420" w:type="pct"/>
            <w:tcBorders>
              <w:top w:val="single" w:sz="4" w:space="0" w:color="auto"/>
              <w:left w:val="nil"/>
              <w:bottom w:val="single" w:sz="4" w:space="0" w:color="auto"/>
              <w:right w:val="nil"/>
            </w:tcBorders>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Total</w:t>
            </w:r>
          </w:p>
        </w:tc>
      </w:tr>
      <w:tr w:rsidR="00DA796D" w:rsidRPr="00BB14C5" w:rsidTr="00783DF8">
        <w:trPr>
          <w:cantSplit/>
        </w:trPr>
        <w:tc>
          <w:tcPr>
            <w:tcW w:w="2631" w:type="pct"/>
            <w:tcBorders>
              <w:top w:val="single" w:sz="4" w:space="0" w:color="auto"/>
              <w:left w:val="nil"/>
              <w:right w:val="nil"/>
            </w:tcBorders>
            <w:shd w:val="clear" w:color="auto" w:fill="auto"/>
            <w:vAlign w:val="center"/>
            <w:hideMark/>
          </w:tcPr>
          <w:p w:rsidR="00DA796D" w:rsidRPr="00BB14C5" w:rsidRDefault="00DA796D" w:rsidP="00BB14C5">
            <w:pPr>
              <w:keepNext/>
              <w:keepLines/>
              <w:spacing w:after="40" w:line="240" w:lineRule="auto"/>
              <w:ind w:left="0"/>
              <w:jc w:val="left"/>
              <w:rPr>
                <w:rFonts w:cs="Arial"/>
                <w:color w:val="000000"/>
                <w:sz w:val="16"/>
                <w:szCs w:val="16"/>
                <w:lang w:eastAsia="en-AU" w:bidi="ar-SA"/>
              </w:rPr>
            </w:pPr>
          </w:p>
        </w:tc>
        <w:tc>
          <w:tcPr>
            <w:tcW w:w="2369" w:type="pct"/>
            <w:gridSpan w:val="5"/>
            <w:tcBorders>
              <w:top w:val="single" w:sz="4" w:space="0" w:color="auto"/>
              <w:left w:val="nil"/>
              <w:right w:val="nil"/>
            </w:tcBorders>
            <w:shd w:val="clear" w:color="auto" w:fill="auto"/>
            <w:vAlign w:val="center"/>
            <w:hideMark/>
          </w:tcPr>
          <w:p w:rsidR="00DA796D" w:rsidRPr="00BB14C5" w:rsidRDefault="00DA796D" w:rsidP="00783DF8">
            <w:pPr>
              <w:keepNext/>
              <w:keepLines/>
              <w:spacing w:after="40" w:line="240" w:lineRule="auto"/>
              <w:ind w:left="0"/>
              <w:jc w:val="center"/>
              <w:rPr>
                <w:rFonts w:cs="Arial"/>
                <w:color w:val="000000"/>
                <w:sz w:val="16"/>
                <w:szCs w:val="16"/>
                <w:lang w:eastAsia="en-AU" w:bidi="ar-SA"/>
              </w:rPr>
            </w:pPr>
            <w:r w:rsidRPr="00BB14C5">
              <w:rPr>
                <w:rFonts w:cs="Arial"/>
                <w:color w:val="000000"/>
                <w:sz w:val="16"/>
                <w:szCs w:val="16"/>
                <w:lang w:eastAsia="en-AU" w:bidi="ar-SA"/>
              </w:rPr>
              <w:t>- % -</w:t>
            </w:r>
          </w:p>
        </w:tc>
      </w:tr>
      <w:tr w:rsidR="00DA796D" w:rsidRPr="00BB14C5" w:rsidTr="008E5400">
        <w:trPr>
          <w:cantSplit/>
        </w:trPr>
        <w:tc>
          <w:tcPr>
            <w:tcW w:w="2631" w:type="pct"/>
            <w:vAlign w:val="bottom"/>
            <w:hideMark/>
          </w:tcPr>
          <w:p w:rsidR="00DA796D" w:rsidRPr="00BB14C5" w:rsidRDefault="00DA796D" w:rsidP="00BB14C5">
            <w:pPr>
              <w:keepNext/>
              <w:keepLines/>
              <w:spacing w:after="40" w:line="240" w:lineRule="auto"/>
              <w:ind w:left="142" w:hanging="142"/>
              <w:jc w:val="left"/>
              <w:rPr>
                <w:rFonts w:cs="Arial"/>
                <w:color w:val="000000"/>
                <w:sz w:val="16"/>
                <w:szCs w:val="16"/>
                <w:lang w:eastAsia="en-AU" w:bidi="ar-SA"/>
              </w:rPr>
            </w:pPr>
            <w:r w:rsidRPr="00BB14C5">
              <w:rPr>
                <w:rFonts w:cs="Arial"/>
                <w:color w:val="000000"/>
                <w:sz w:val="16"/>
                <w:szCs w:val="16"/>
                <w:lang w:eastAsia="en-AU" w:bidi="ar-SA"/>
              </w:rPr>
              <w:t>New Income Management will assist families in learning to manage their household finances more effectively in the longer term</w:t>
            </w:r>
          </w:p>
        </w:tc>
        <w:tc>
          <w:tcPr>
            <w:tcW w:w="468" w:type="pct"/>
            <w:vAlign w:val="bottom"/>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29</w:t>
            </w:r>
          </w:p>
        </w:tc>
        <w:tc>
          <w:tcPr>
            <w:tcW w:w="467" w:type="pct"/>
            <w:vAlign w:val="bottom"/>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50</w:t>
            </w:r>
          </w:p>
        </w:tc>
        <w:tc>
          <w:tcPr>
            <w:tcW w:w="515" w:type="pct"/>
            <w:vAlign w:val="bottom"/>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16</w:t>
            </w:r>
          </w:p>
        </w:tc>
        <w:tc>
          <w:tcPr>
            <w:tcW w:w="499" w:type="pct"/>
            <w:vAlign w:val="bottom"/>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4</w:t>
            </w:r>
          </w:p>
        </w:tc>
        <w:tc>
          <w:tcPr>
            <w:tcW w:w="420" w:type="pct"/>
            <w:vAlign w:val="bottom"/>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100</w:t>
            </w:r>
          </w:p>
        </w:tc>
      </w:tr>
      <w:tr w:rsidR="00DA796D" w:rsidRPr="00BB14C5" w:rsidTr="008E5400">
        <w:trPr>
          <w:cantSplit/>
        </w:trPr>
        <w:tc>
          <w:tcPr>
            <w:tcW w:w="2631" w:type="pct"/>
            <w:vAlign w:val="bottom"/>
            <w:hideMark/>
          </w:tcPr>
          <w:p w:rsidR="00DA796D" w:rsidRPr="00BB14C5" w:rsidRDefault="00DA796D" w:rsidP="00BB14C5">
            <w:pPr>
              <w:keepNext/>
              <w:keepLines/>
              <w:spacing w:after="40" w:line="240" w:lineRule="auto"/>
              <w:ind w:left="142" w:hanging="142"/>
              <w:jc w:val="left"/>
              <w:rPr>
                <w:rFonts w:cs="Arial"/>
                <w:color w:val="000000"/>
                <w:sz w:val="16"/>
                <w:szCs w:val="16"/>
                <w:lang w:eastAsia="en-AU" w:bidi="ar-SA"/>
              </w:rPr>
            </w:pPr>
            <w:r w:rsidRPr="00BB14C5">
              <w:rPr>
                <w:rFonts w:cs="Arial"/>
                <w:color w:val="000000"/>
                <w:sz w:val="16"/>
                <w:szCs w:val="16"/>
                <w:lang w:eastAsia="en-AU" w:bidi="ar-SA"/>
              </w:rPr>
              <w:t>New Income Management allows for the income of vulnerable groups to be protected</w:t>
            </w:r>
          </w:p>
        </w:tc>
        <w:tc>
          <w:tcPr>
            <w:tcW w:w="468" w:type="pct"/>
            <w:vAlign w:val="bottom"/>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42</w:t>
            </w:r>
          </w:p>
        </w:tc>
        <w:tc>
          <w:tcPr>
            <w:tcW w:w="467" w:type="pct"/>
            <w:vAlign w:val="bottom"/>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51</w:t>
            </w:r>
          </w:p>
        </w:tc>
        <w:tc>
          <w:tcPr>
            <w:tcW w:w="515" w:type="pct"/>
            <w:vAlign w:val="bottom"/>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5</w:t>
            </w:r>
          </w:p>
        </w:tc>
        <w:tc>
          <w:tcPr>
            <w:tcW w:w="499" w:type="pct"/>
            <w:vAlign w:val="bottom"/>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2</w:t>
            </w:r>
          </w:p>
        </w:tc>
        <w:tc>
          <w:tcPr>
            <w:tcW w:w="420" w:type="pct"/>
            <w:vAlign w:val="bottom"/>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100</w:t>
            </w:r>
          </w:p>
        </w:tc>
      </w:tr>
      <w:tr w:rsidR="00DA796D" w:rsidRPr="00BB14C5" w:rsidTr="008E5400">
        <w:trPr>
          <w:cantSplit/>
        </w:trPr>
        <w:tc>
          <w:tcPr>
            <w:tcW w:w="2631" w:type="pct"/>
            <w:vAlign w:val="bottom"/>
            <w:hideMark/>
          </w:tcPr>
          <w:p w:rsidR="00DA796D" w:rsidRPr="00BB14C5" w:rsidRDefault="00DA796D" w:rsidP="00BB14C5">
            <w:pPr>
              <w:keepNext/>
              <w:keepLines/>
              <w:spacing w:after="40" w:line="240" w:lineRule="auto"/>
              <w:ind w:left="142" w:hanging="142"/>
              <w:jc w:val="left"/>
              <w:rPr>
                <w:rFonts w:cs="Arial"/>
                <w:color w:val="000000"/>
                <w:sz w:val="16"/>
                <w:szCs w:val="16"/>
                <w:lang w:eastAsia="en-AU" w:bidi="ar-SA"/>
              </w:rPr>
            </w:pPr>
            <w:r w:rsidRPr="00BB14C5">
              <w:rPr>
                <w:rFonts w:cs="Arial"/>
                <w:color w:val="000000"/>
                <w:sz w:val="16"/>
                <w:szCs w:val="16"/>
                <w:lang w:eastAsia="en-AU" w:bidi="ar-SA"/>
              </w:rPr>
              <w:t>New Income Management may increase the conflict experienced within some families</w:t>
            </w:r>
          </w:p>
        </w:tc>
        <w:tc>
          <w:tcPr>
            <w:tcW w:w="468" w:type="pct"/>
            <w:vAlign w:val="bottom"/>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14</w:t>
            </w:r>
          </w:p>
        </w:tc>
        <w:tc>
          <w:tcPr>
            <w:tcW w:w="467" w:type="pct"/>
            <w:vAlign w:val="bottom"/>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39</w:t>
            </w:r>
          </w:p>
        </w:tc>
        <w:tc>
          <w:tcPr>
            <w:tcW w:w="515" w:type="pct"/>
            <w:vAlign w:val="bottom"/>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41</w:t>
            </w:r>
          </w:p>
        </w:tc>
        <w:tc>
          <w:tcPr>
            <w:tcW w:w="499" w:type="pct"/>
            <w:vAlign w:val="bottom"/>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6</w:t>
            </w:r>
          </w:p>
        </w:tc>
        <w:tc>
          <w:tcPr>
            <w:tcW w:w="420" w:type="pct"/>
            <w:vAlign w:val="bottom"/>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100</w:t>
            </w:r>
          </w:p>
        </w:tc>
      </w:tr>
      <w:tr w:rsidR="00DA796D" w:rsidRPr="00BB14C5" w:rsidTr="008E5400">
        <w:trPr>
          <w:cantSplit/>
        </w:trPr>
        <w:tc>
          <w:tcPr>
            <w:tcW w:w="2631" w:type="pct"/>
            <w:vAlign w:val="bottom"/>
            <w:hideMark/>
          </w:tcPr>
          <w:p w:rsidR="00DA796D" w:rsidRPr="00BB14C5" w:rsidRDefault="00DA796D" w:rsidP="00BB14C5">
            <w:pPr>
              <w:keepNext/>
              <w:keepLines/>
              <w:spacing w:after="40" w:line="240" w:lineRule="auto"/>
              <w:ind w:left="142" w:hanging="142"/>
              <w:jc w:val="left"/>
              <w:rPr>
                <w:rFonts w:cs="Arial"/>
                <w:color w:val="000000"/>
                <w:sz w:val="16"/>
                <w:szCs w:val="16"/>
                <w:lang w:eastAsia="en-AU" w:bidi="ar-SA"/>
              </w:rPr>
            </w:pPr>
            <w:r w:rsidRPr="00BB14C5">
              <w:rPr>
                <w:rFonts w:cs="Arial"/>
                <w:color w:val="000000"/>
                <w:sz w:val="16"/>
                <w:szCs w:val="16"/>
                <w:lang w:eastAsia="en-AU" w:bidi="ar-SA"/>
              </w:rPr>
              <w:t>New Income Management allows for the income support payments of families with children to be directed primarily to their children's needs</w:t>
            </w:r>
          </w:p>
        </w:tc>
        <w:tc>
          <w:tcPr>
            <w:tcW w:w="468" w:type="pct"/>
            <w:vAlign w:val="bottom"/>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31</w:t>
            </w:r>
          </w:p>
        </w:tc>
        <w:tc>
          <w:tcPr>
            <w:tcW w:w="467" w:type="pct"/>
            <w:vAlign w:val="bottom"/>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57</w:t>
            </w:r>
          </w:p>
        </w:tc>
        <w:tc>
          <w:tcPr>
            <w:tcW w:w="515" w:type="pct"/>
            <w:vAlign w:val="bottom"/>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10</w:t>
            </w:r>
          </w:p>
        </w:tc>
        <w:tc>
          <w:tcPr>
            <w:tcW w:w="499" w:type="pct"/>
            <w:vAlign w:val="bottom"/>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2</w:t>
            </w:r>
          </w:p>
        </w:tc>
        <w:tc>
          <w:tcPr>
            <w:tcW w:w="420" w:type="pct"/>
            <w:vAlign w:val="bottom"/>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100</w:t>
            </w:r>
          </w:p>
        </w:tc>
      </w:tr>
      <w:tr w:rsidR="00DA796D" w:rsidRPr="00BB14C5" w:rsidTr="008E5400">
        <w:trPr>
          <w:cantSplit/>
        </w:trPr>
        <w:tc>
          <w:tcPr>
            <w:tcW w:w="2631" w:type="pct"/>
            <w:vAlign w:val="bottom"/>
            <w:hideMark/>
          </w:tcPr>
          <w:p w:rsidR="00DA796D" w:rsidRPr="00BB14C5" w:rsidRDefault="00DA796D" w:rsidP="00BB14C5">
            <w:pPr>
              <w:keepNext/>
              <w:keepLines/>
              <w:spacing w:after="40" w:line="240" w:lineRule="auto"/>
              <w:ind w:left="142" w:hanging="142"/>
              <w:jc w:val="left"/>
              <w:rPr>
                <w:rFonts w:cs="Arial"/>
                <w:color w:val="000000"/>
                <w:sz w:val="16"/>
                <w:szCs w:val="16"/>
                <w:lang w:eastAsia="en-AU" w:bidi="ar-SA"/>
              </w:rPr>
            </w:pPr>
            <w:r w:rsidRPr="00BB14C5">
              <w:rPr>
                <w:rFonts w:cs="Arial"/>
                <w:color w:val="000000"/>
                <w:sz w:val="16"/>
                <w:szCs w:val="16"/>
                <w:lang w:eastAsia="en-AU" w:bidi="ar-SA"/>
              </w:rPr>
              <w:t>There are adequate opportunities for people who wish to exempt themselves from New Income Management</w:t>
            </w:r>
          </w:p>
        </w:tc>
        <w:tc>
          <w:tcPr>
            <w:tcW w:w="468" w:type="pct"/>
            <w:vAlign w:val="bottom"/>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26</w:t>
            </w:r>
          </w:p>
        </w:tc>
        <w:tc>
          <w:tcPr>
            <w:tcW w:w="467" w:type="pct"/>
            <w:vAlign w:val="bottom"/>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54</w:t>
            </w:r>
          </w:p>
        </w:tc>
        <w:tc>
          <w:tcPr>
            <w:tcW w:w="515" w:type="pct"/>
            <w:vAlign w:val="bottom"/>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19</w:t>
            </w:r>
          </w:p>
        </w:tc>
        <w:tc>
          <w:tcPr>
            <w:tcW w:w="499" w:type="pct"/>
            <w:vAlign w:val="bottom"/>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2</w:t>
            </w:r>
          </w:p>
        </w:tc>
        <w:tc>
          <w:tcPr>
            <w:tcW w:w="420" w:type="pct"/>
            <w:vAlign w:val="bottom"/>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100</w:t>
            </w:r>
          </w:p>
        </w:tc>
      </w:tr>
      <w:tr w:rsidR="00DA796D" w:rsidRPr="00BB14C5" w:rsidTr="008E5400">
        <w:trPr>
          <w:cantSplit/>
        </w:trPr>
        <w:tc>
          <w:tcPr>
            <w:tcW w:w="2631" w:type="pct"/>
            <w:vAlign w:val="bottom"/>
            <w:hideMark/>
          </w:tcPr>
          <w:p w:rsidR="00DA796D" w:rsidRPr="00BB14C5" w:rsidRDefault="00DA796D" w:rsidP="00BB14C5">
            <w:pPr>
              <w:keepNext/>
              <w:keepLines/>
              <w:spacing w:after="40" w:line="240" w:lineRule="auto"/>
              <w:ind w:left="142" w:hanging="142"/>
              <w:jc w:val="left"/>
              <w:rPr>
                <w:rFonts w:cs="Arial"/>
                <w:color w:val="000000"/>
                <w:sz w:val="16"/>
                <w:szCs w:val="16"/>
                <w:lang w:eastAsia="en-AU" w:bidi="ar-SA"/>
              </w:rPr>
            </w:pPr>
            <w:r w:rsidRPr="00BB14C5">
              <w:rPr>
                <w:rFonts w:cs="Arial"/>
                <w:color w:val="000000"/>
                <w:sz w:val="16"/>
                <w:szCs w:val="16"/>
                <w:lang w:eastAsia="en-AU" w:bidi="ar-SA"/>
              </w:rPr>
              <w:t>Income management allows women in this community to have greater control over their money</w:t>
            </w:r>
          </w:p>
        </w:tc>
        <w:tc>
          <w:tcPr>
            <w:tcW w:w="468" w:type="pct"/>
            <w:vAlign w:val="bottom"/>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47</w:t>
            </w:r>
          </w:p>
        </w:tc>
        <w:tc>
          <w:tcPr>
            <w:tcW w:w="467" w:type="pct"/>
            <w:vAlign w:val="bottom"/>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37</w:t>
            </w:r>
          </w:p>
        </w:tc>
        <w:tc>
          <w:tcPr>
            <w:tcW w:w="515" w:type="pct"/>
            <w:vAlign w:val="bottom"/>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13</w:t>
            </w:r>
          </w:p>
        </w:tc>
        <w:tc>
          <w:tcPr>
            <w:tcW w:w="499" w:type="pct"/>
            <w:vAlign w:val="bottom"/>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3</w:t>
            </w:r>
          </w:p>
        </w:tc>
        <w:tc>
          <w:tcPr>
            <w:tcW w:w="420" w:type="pct"/>
            <w:vAlign w:val="bottom"/>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100</w:t>
            </w:r>
          </w:p>
        </w:tc>
      </w:tr>
      <w:tr w:rsidR="00DA796D" w:rsidRPr="00BB14C5" w:rsidTr="008E5400">
        <w:trPr>
          <w:cantSplit/>
        </w:trPr>
        <w:tc>
          <w:tcPr>
            <w:tcW w:w="2631" w:type="pct"/>
            <w:vAlign w:val="bottom"/>
            <w:hideMark/>
          </w:tcPr>
          <w:p w:rsidR="00DA796D" w:rsidRPr="00BB14C5" w:rsidRDefault="00DA796D" w:rsidP="00BB14C5">
            <w:pPr>
              <w:keepNext/>
              <w:keepLines/>
              <w:spacing w:after="40" w:line="240" w:lineRule="auto"/>
              <w:ind w:left="142" w:hanging="142"/>
              <w:jc w:val="left"/>
              <w:rPr>
                <w:rFonts w:cs="Arial"/>
                <w:color w:val="000000"/>
                <w:sz w:val="16"/>
                <w:szCs w:val="16"/>
                <w:lang w:eastAsia="en-AU" w:bidi="ar-SA"/>
              </w:rPr>
            </w:pPr>
            <w:r w:rsidRPr="00BB14C5">
              <w:rPr>
                <w:rFonts w:cs="Arial"/>
                <w:color w:val="000000"/>
                <w:sz w:val="16"/>
                <w:szCs w:val="16"/>
                <w:lang w:eastAsia="en-AU" w:bidi="ar-SA"/>
              </w:rPr>
              <w:t>New Income Management has removed associations within the community between race and income management</w:t>
            </w:r>
          </w:p>
        </w:tc>
        <w:tc>
          <w:tcPr>
            <w:tcW w:w="468" w:type="pct"/>
            <w:vAlign w:val="bottom"/>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24</w:t>
            </w:r>
          </w:p>
        </w:tc>
        <w:tc>
          <w:tcPr>
            <w:tcW w:w="467" w:type="pct"/>
            <w:vAlign w:val="bottom"/>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36</w:t>
            </w:r>
          </w:p>
        </w:tc>
        <w:tc>
          <w:tcPr>
            <w:tcW w:w="515" w:type="pct"/>
            <w:vAlign w:val="bottom"/>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27</w:t>
            </w:r>
          </w:p>
        </w:tc>
        <w:tc>
          <w:tcPr>
            <w:tcW w:w="499" w:type="pct"/>
            <w:vAlign w:val="bottom"/>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13</w:t>
            </w:r>
          </w:p>
        </w:tc>
        <w:tc>
          <w:tcPr>
            <w:tcW w:w="420" w:type="pct"/>
            <w:vAlign w:val="bottom"/>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100</w:t>
            </w:r>
          </w:p>
        </w:tc>
      </w:tr>
      <w:tr w:rsidR="00DA796D" w:rsidRPr="00BB14C5" w:rsidTr="008E5400">
        <w:trPr>
          <w:cantSplit/>
        </w:trPr>
        <w:tc>
          <w:tcPr>
            <w:tcW w:w="2631" w:type="pct"/>
            <w:vAlign w:val="bottom"/>
            <w:hideMark/>
          </w:tcPr>
          <w:p w:rsidR="00DA796D" w:rsidRPr="00BB14C5" w:rsidRDefault="00DA796D" w:rsidP="00BB14C5">
            <w:pPr>
              <w:keepNext/>
              <w:keepLines/>
              <w:spacing w:after="40" w:line="240" w:lineRule="auto"/>
              <w:ind w:left="142" w:hanging="142"/>
              <w:jc w:val="left"/>
              <w:rPr>
                <w:rFonts w:cs="Arial"/>
                <w:color w:val="000000"/>
                <w:sz w:val="16"/>
                <w:szCs w:val="16"/>
                <w:lang w:eastAsia="en-AU" w:bidi="ar-SA"/>
              </w:rPr>
            </w:pPr>
            <w:r w:rsidRPr="00BB14C5">
              <w:rPr>
                <w:rFonts w:cs="Arial"/>
                <w:color w:val="000000"/>
                <w:sz w:val="16"/>
                <w:szCs w:val="16"/>
                <w:lang w:eastAsia="en-AU" w:bidi="ar-SA"/>
              </w:rPr>
              <w:t>For some people on New Income Management, it is not useful as they are already able to manage their incomes well</w:t>
            </w:r>
          </w:p>
        </w:tc>
        <w:tc>
          <w:tcPr>
            <w:tcW w:w="468" w:type="pct"/>
            <w:vAlign w:val="bottom"/>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24</w:t>
            </w:r>
          </w:p>
        </w:tc>
        <w:tc>
          <w:tcPr>
            <w:tcW w:w="467" w:type="pct"/>
            <w:vAlign w:val="bottom"/>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44</w:t>
            </w:r>
          </w:p>
        </w:tc>
        <w:tc>
          <w:tcPr>
            <w:tcW w:w="515" w:type="pct"/>
            <w:vAlign w:val="bottom"/>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27</w:t>
            </w:r>
          </w:p>
        </w:tc>
        <w:tc>
          <w:tcPr>
            <w:tcW w:w="499" w:type="pct"/>
            <w:vAlign w:val="bottom"/>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6</w:t>
            </w:r>
          </w:p>
        </w:tc>
        <w:tc>
          <w:tcPr>
            <w:tcW w:w="420" w:type="pct"/>
            <w:vAlign w:val="bottom"/>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100</w:t>
            </w:r>
          </w:p>
        </w:tc>
      </w:tr>
      <w:tr w:rsidR="00DA796D" w:rsidRPr="00BB14C5" w:rsidTr="008E5400">
        <w:trPr>
          <w:cantSplit/>
        </w:trPr>
        <w:tc>
          <w:tcPr>
            <w:tcW w:w="2631" w:type="pct"/>
            <w:vAlign w:val="bottom"/>
            <w:hideMark/>
          </w:tcPr>
          <w:p w:rsidR="00DA796D" w:rsidRPr="00BB14C5" w:rsidRDefault="00DA796D" w:rsidP="00BB14C5">
            <w:pPr>
              <w:keepNext/>
              <w:keepLines/>
              <w:spacing w:after="40" w:line="240" w:lineRule="auto"/>
              <w:ind w:left="142" w:hanging="142"/>
              <w:jc w:val="left"/>
              <w:rPr>
                <w:rFonts w:cs="Arial"/>
                <w:color w:val="000000"/>
                <w:sz w:val="16"/>
                <w:szCs w:val="16"/>
                <w:lang w:eastAsia="en-AU" w:bidi="ar-SA"/>
              </w:rPr>
            </w:pPr>
            <w:r w:rsidRPr="00BB14C5">
              <w:rPr>
                <w:rFonts w:cs="Arial"/>
                <w:color w:val="000000"/>
                <w:sz w:val="16"/>
                <w:szCs w:val="16"/>
                <w:lang w:eastAsia="en-AU" w:bidi="ar-SA"/>
              </w:rPr>
              <w:t>Income management does not address the problems that lead to poor outcomes for children</w:t>
            </w:r>
          </w:p>
        </w:tc>
        <w:tc>
          <w:tcPr>
            <w:tcW w:w="468" w:type="pct"/>
            <w:vAlign w:val="bottom"/>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14</w:t>
            </w:r>
          </w:p>
        </w:tc>
        <w:tc>
          <w:tcPr>
            <w:tcW w:w="467" w:type="pct"/>
            <w:vAlign w:val="bottom"/>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36</w:t>
            </w:r>
          </w:p>
        </w:tc>
        <w:tc>
          <w:tcPr>
            <w:tcW w:w="515" w:type="pct"/>
            <w:vAlign w:val="bottom"/>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37</w:t>
            </w:r>
          </w:p>
        </w:tc>
        <w:tc>
          <w:tcPr>
            <w:tcW w:w="499" w:type="pct"/>
            <w:vAlign w:val="bottom"/>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13</w:t>
            </w:r>
          </w:p>
        </w:tc>
        <w:tc>
          <w:tcPr>
            <w:tcW w:w="420" w:type="pct"/>
            <w:vAlign w:val="bottom"/>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100</w:t>
            </w:r>
          </w:p>
        </w:tc>
      </w:tr>
      <w:tr w:rsidR="00DA796D" w:rsidRPr="00BB14C5" w:rsidTr="008E5400">
        <w:trPr>
          <w:cantSplit/>
        </w:trPr>
        <w:tc>
          <w:tcPr>
            <w:tcW w:w="2631" w:type="pct"/>
            <w:vAlign w:val="bottom"/>
            <w:hideMark/>
          </w:tcPr>
          <w:p w:rsidR="00DA796D" w:rsidRPr="00BB14C5" w:rsidRDefault="00DA796D" w:rsidP="00BB14C5">
            <w:pPr>
              <w:keepNext/>
              <w:keepLines/>
              <w:spacing w:after="40" w:line="240" w:lineRule="auto"/>
              <w:ind w:left="142" w:hanging="142"/>
              <w:jc w:val="left"/>
              <w:rPr>
                <w:rFonts w:cs="Arial"/>
                <w:color w:val="000000"/>
                <w:sz w:val="16"/>
                <w:szCs w:val="16"/>
                <w:lang w:eastAsia="en-AU" w:bidi="ar-SA"/>
              </w:rPr>
            </w:pPr>
            <w:r w:rsidRPr="00BB14C5">
              <w:rPr>
                <w:rFonts w:cs="Arial"/>
                <w:color w:val="000000"/>
                <w:sz w:val="16"/>
                <w:szCs w:val="16"/>
                <w:lang w:eastAsia="en-AU" w:bidi="ar-SA"/>
              </w:rPr>
              <w:t>Centrepay can be just as effective in assisting people to manage their finances effectively</w:t>
            </w:r>
          </w:p>
        </w:tc>
        <w:tc>
          <w:tcPr>
            <w:tcW w:w="468" w:type="pct"/>
            <w:vAlign w:val="bottom"/>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14</w:t>
            </w:r>
          </w:p>
        </w:tc>
        <w:tc>
          <w:tcPr>
            <w:tcW w:w="467" w:type="pct"/>
            <w:vAlign w:val="bottom"/>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42</w:t>
            </w:r>
          </w:p>
        </w:tc>
        <w:tc>
          <w:tcPr>
            <w:tcW w:w="515" w:type="pct"/>
            <w:vAlign w:val="bottom"/>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33</w:t>
            </w:r>
          </w:p>
        </w:tc>
        <w:tc>
          <w:tcPr>
            <w:tcW w:w="499" w:type="pct"/>
            <w:vAlign w:val="bottom"/>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11</w:t>
            </w:r>
          </w:p>
        </w:tc>
        <w:tc>
          <w:tcPr>
            <w:tcW w:w="420" w:type="pct"/>
            <w:vAlign w:val="bottom"/>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100</w:t>
            </w:r>
          </w:p>
        </w:tc>
      </w:tr>
      <w:tr w:rsidR="00DA796D" w:rsidRPr="00BB14C5" w:rsidTr="008E5400">
        <w:trPr>
          <w:cantSplit/>
        </w:trPr>
        <w:tc>
          <w:tcPr>
            <w:tcW w:w="2631" w:type="pct"/>
            <w:tcBorders>
              <w:bottom w:val="single" w:sz="4" w:space="0" w:color="auto"/>
            </w:tcBorders>
            <w:vAlign w:val="bottom"/>
            <w:hideMark/>
          </w:tcPr>
          <w:p w:rsidR="00DA796D" w:rsidRPr="00BB14C5" w:rsidRDefault="00DA796D" w:rsidP="00BB14C5">
            <w:pPr>
              <w:keepNext/>
              <w:keepLines/>
              <w:spacing w:after="40" w:line="240" w:lineRule="auto"/>
              <w:ind w:left="142" w:hanging="142"/>
              <w:jc w:val="left"/>
              <w:rPr>
                <w:rFonts w:cs="Arial"/>
                <w:color w:val="000000"/>
                <w:sz w:val="16"/>
                <w:szCs w:val="16"/>
                <w:lang w:eastAsia="en-AU" w:bidi="ar-SA"/>
              </w:rPr>
            </w:pPr>
            <w:r w:rsidRPr="00BB14C5">
              <w:rPr>
                <w:rFonts w:cs="Arial"/>
                <w:color w:val="000000"/>
                <w:sz w:val="16"/>
                <w:szCs w:val="16"/>
                <w:lang w:eastAsia="en-AU" w:bidi="ar-SA"/>
              </w:rPr>
              <w:t>Income management is a punitive tool</w:t>
            </w:r>
          </w:p>
        </w:tc>
        <w:tc>
          <w:tcPr>
            <w:tcW w:w="468" w:type="pct"/>
            <w:tcBorders>
              <w:bottom w:val="single" w:sz="4" w:space="0" w:color="auto"/>
            </w:tcBorders>
            <w:vAlign w:val="bottom"/>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29</w:t>
            </w:r>
          </w:p>
        </w:tc>
        <w:tc>
          <w:tcPr>
            <w:tcW w:w="467" w:type="pct"/>
            <w:tcBorders>
              <w:bottom w:val="single" w:sz="4" w:space="0" w:color="auto"/>
            </w:tcBorders>
            <w:vAlign w:val="bottom"/>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50</w:t>
            </w:r>
          </w:p>
        </w:tc>
        <w:tc>
          <w:tcPr>
            <w:tcW w:w="515" w:type="pct"/>
            <w:tcBorders>
              <w:bottom w:val="single" w:sz="4" w:space="0" w:color="auto"/>
            </w:tcBorders>
            <w:vAlign w:val="bottom"/>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16</w:t>
            </w:r>
          </w:p>
        </w:tc>
        <w:tc>
          <w:tcPr>
            <w:tcW w:w="499" w:type="pct"/>
            <w:tcBorders>
              <w:bottom w:val="single" w:sz="4" w:space="0" w:color="auto"/>
            </w:tcBorders>
            <w:vAlign w:val="bottom"/>
            <w:hideMark/>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4</w:t>
            </w:r>
          </w:p>
        </w:tc>
        <w:tc>
          <w:tcPr>
            <w:tcW w:w="420" w:type="pct"/>
            <w:tcBorders>
              <w:bottom w:val="single" w:sz="4" w:space="0" w:color="auto"/>
            </w:tcBorders>
            <w:vAlign w:val="bottom"/>
          </w:tcPr>
          <w:p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100</w:t>
            </w:r>
          </w:p>
        </w:tc>
      </w:tr>
    </w:tbl>
    <w:p w:rsidR="00DA796D" w:rsidRPr="005911E2" w:rsidRDefault="00DA796D" w:rsidP="00CF518E">
      <w:pPr>
        <w:pStyle w:val="tablefootnotes"/>
      </w:pPr>
      <w:r w:rsidRPr="005911E2">
        <w:t xml:space="preserve">Notes: </w:t>
      </w:r>
      <w:r w:rsidR="002703E2">
        <w:tab/>
      </w:r>
      <w:r w:rsidRPr="005911E2">
        <w:t xml:space="preserve">128 respondents. The proportion of ‘Can’t say/Don’t know’ responses ranged from 1 per cent to 10 per cent for these items. These responses are excluded from this table. </w:t>
      </w:r>
    </w:p>
    <w:p w:rsidR="00DA796D" w:rsidRDefault="00DA796D" w:rsidP="00CF518E">
      <w:pPr>
        <w:pStyle w:val="tablefootnotes"/>
      </w:pPr>
      <w:r w:rsidRPr="005911E2">
        <w:t xml:space="preserve">Source: </w:t>
      </w:r>
      <w:r w:rsidR="002703E2">
        <w:tab/>
      </w:r>
      <w:r w:rsidRPr="005911E2">
        <w:t>Survey of Centrelink Staff 2011.</w:t>
      </w:r>
    </w:p>
    <w:p w:rsidR="00BE5ECB" w:rsidRDefault="00BE5ECB" w:rsidP="00CF518E">
      <w:pPr>
        <w:pStyle w:val="tablefootnotes"/>
      </w:pPr>
    </w:p>
    <w:p w:rsidR="00BE5ECB" w:rsidRPr="005911E2" w:rsidRDefault="00BE5ECB" w:rsidP="00BE5ECB">
      <w:pPr>
        <w:rPr>
          <w:rFonts w:cs="Arial"/>
          <w:color w:val="000000"/>
          <w:lang w:eastAsia="en-AU"/>
        </w:rPr>
      </w:pPr>
      <w:r w:rsidRPr="005911E2">
        <w:rPr>
          <w:rFonts w:cs="Arial"/>
          <w:color w:val="000000"/>
          <w:lang w:eastAsia="en-AU"/>
        </w:rPr>
        <w:t xml:space="preserve">When asked about whether NIM has </w:t>
      </w:r>
      <w:r>
        <w:rPr>
          <w:rFonts w:cs="Arial"/>
          <w:color w:val="000000"/>
          <w:lang w:eastAsia="en-AU"/>
        </w:rPr>
        <w:t>‘</w:t>
      </w:r>
      <w:r w:rsidRPr="005911E2">
        <w:rPr>
          <w:rFonts w:cs="Arial"/>
          <w:color w:val="000000"/>
          <w:lang w:eastAsia="en-AU"/>
        </w:rPr>
        <w:t>removed associations within the community between race and income management</w:t>
      </w:r>
      <w:r>
        <w:rPr>
          <w:rFonts w:cs="Arial"/>
          <w:color w:val="000000"/>
          <w:lang w:eastAsia="en-AU"/>
        </w:rPr>
        <w:t>’</w:t>
      </w:r>
      <w:r w:rsidRPr="005911E2">
        <w:rPr>
          <w:rFonts w:cs="Arial"/>
          <w:color w:val="000000"/>
          <w:lang w:eastAsia="en-AU"/>
        </w:rPr>
        <w:t xml:space="preserve">, 60 per cent of respondents agreed with this statement. </w:t>
      </w:r>
    </w:p>
    <w:p w:rsidR="00BE5ECB" w:rsidRPr="005911E2" w:rsidRDefault="00BE5ECB" w:rsidP="00BE5ECB">
      <w:pPr>
        <w:rPr>
          <w:lang w:eastAsia="en-AU"/>
        </w:rPr>
      </w:pPr>
      <w:r w:rsidRPr="005911E2">
        <w:rPr>
          <w:rFonts w:cs="Arial"/>
          <w:color w:val="000000"/>
          <w:lang w:eastAsia="en-AU"/>
        </w:rPr>
        <w:t xml:space="preserve">Some aspects of NIM were also viewed less positively by respondents. Just over half of Centrelink respondents agreed with the statement that </w:t>
      </w:r>
      <w:r>
        <w:rPr>
          <w:rFonts w:cs="Arial"/>
          <w:color w:val="000000"/>
          <w:lang w:eastAsia="en-AU"/>
        </w:rPr>
        <w:t>‘</w:t>
      </w:r>
      <w:r w:rsidRPr="005911E2">
        <w:rPr>
          <w:rFonts w:cs="Arial"/>
          <w:color w:val="000000"/>
          <w:lang w:eastAsia="en-AU"/>
        </w:rPr>
        <w:t>NIM may increase the conflict experienced within some families</w:t>
      </w:r>
      <w:r>
        <w:rPr>
          <w:rFonts w:cs="Arial"/>
          <w:color w:val="000000"/>
          <w:lang w:eastAsia="en-AU"/>
        </w:rPr>
        <w:t>’</w:t>
      </w:r>
      <w:r w:rsidRPr="005911E2">
        <w:rPr>
          <w:rFonts w:cs="Arial"/>
          <w:color w:val="000000"/>
          <w:lang w:eastAsia="en-AU"/>
        </w:rPr>
        <w:t xml:space="preserve">, and 50 per cent of respondents agreed with the statement that </w:t>
      </w:r>
      <w:r>
        <w:rPr>
          <w:rFonts w:cs="Arial"/>
          <w:color w:val="000000"/>
          <w:lang w:eastAsia="en-AU"/>
        </w:rPr>
        <w:t>‘income management</w:t>
      </w:r>
      <w:r w:rsidRPr="005911E2">
        <w:rPr>
          <w:rFonts w:cs="Arial"/>
          <w:color w:val="000000"/>
          <w:lang w:eastAsia="en-AU"/>
        </w:rPr>
        <w:t xml:space="preserve"> does not address the problems that lead to poor outcomes for children</w:t>
      </w:r>
      <w:r>
        <w:rPr>
          <w:rFonts w:cs="Arial"/>
          <w:color w:val="000000"/>
          <w:lang w:eastAsia="en-AU"/>
        </w:rPr>
        <w:t>’</w:t>
      </w:r>
      <w:r w:rsidRPr="005911E2">
        <w:rPr>
          <w:rFonts w:cs="Arial"/>
          <w:color w:val="000000"/>
          <w:lang w:eastAsia="en-AU"/>
        </w:rPr>
        <w:t xml:space="preserve">. Furthermore, more than half (56 per cent) of the respondents agreed that </w:t>
      </w:r>
      <w:r>
        <w:rPr>
          <w:rFonts w:cs="Arial"/>
          <w:color w:val="000000"/>
          <w:lang w:eastAsia="en-AU"/>
        </w:rPr>
        <w:t>‘</w:t>
      </w:r>
      <w:r w:rsidRPr="005911E2">
        <w:rPr>
          <w:rFonts w:cs="Arial"/>
          <w:color w:val="000000"/>
          <w:lang w:eastAsia="en-AU"/>
        </w:rPr>
        <w:t>Centrepay can be just as effective in assisting people to manage their finances effectively</w:t>
      </w:r>
      <w:r>
        <w:rPr>
          <w:rFonts w:cs="Arial"/>
          <w:color w:val="000000"/>
          <w:lang w:eastAsia="en-AU"/>
        </w:rPr>
        <w:t>’</w:t>
      </w:r>
      <w:r w:rsidRPr="005911E2">
        <w:rPr>
          <w:rFonts w:cs="Arial"/>
          <w:color w:val="000000"/>
          <w:lang w:eastAsia="en-AU"/>
        </w:rPr>
        <w:t xml:space="preserve">. </w:t>
      </w:r>
    </w:p>
    <w:p w:rsidR="00DA796D" w:rsidRPr="005911E2" w:rsidRDefault="00DA796D" w:rsidP="00616B0F">
      <w:pPr>
        <w:pStyle w:val="Heading2"/>
      </w:pPr>
      <w:bookmarkStart w:id="919" w:name="_Toc328948075"/>
      <w:bookmarkStart w:id="920" w:name="_Toc321225153"/>
      <w:bookmarkStart w:id="921" w:name="_Toc321254496"/>
      <w:bookmarkStart w:id="922" w:name="_Toc321761638"/>
      <w:bookmarkStart w:id="923" w:name="_Toc328601521"/>
      <w:bookmarkStart w:id="924" w:name="_Toc329870402"/>
      <w:bookmarkStart w:id="925" w:name="_Toc335915788"/>
      <w:bookmarkEnd w:id="919"/>
      <w:r w:rsidRPr="005911E2">
        <w:t>Perceptions of impacts of NIM on specific client groups</w:t>
      </w:r>
      <w:bookmarkEnd w:id="920"/>
      <w:bookmarkEnd w:id="921"/>
      <w:bookmarkEnd w:id="922"/>
      <w:bookmarkEnd w:id="923"/>
      <w:bookmarkEnd w:id="924"/>
      <w:bookmarkEnd w:id="925"/>
    </w:p>
    <w:p w:rsidR="00DA796D" w:rsidRPr="005911E2" w:rsidRDefault="00DA796D" w:rsidP="00DA796D">
      <w:pPr>
        <w:rPr>
          <w:lang w:eastAsia="en-AU"/>
        </w:rPr>
      </w:pPr>
      <w:r w:rsidRPr="005911E2">
        <w:rPr>
          <w:lang w:eastAsia="en-AU"/>
        </w:rPr>
        <w:t xml:space="preserve">Service provider staff who participated in the qualitative interviews were asked whether there were particular groups that would benefit from being income managed. Most Centrelink staff described income management as primarily a tool for making sure that families – particularly those with children – had enough money to meet their basic needs. Centrelink staff saw children and vulnerable adults (who they most frequently described </w:t>
      </w:r>
      <w:r w:rsidR="00DE5D2E">
        <w:rPr>
          <w:lang w:eastAsia="en-AU"/>
        </w:rPr>
        <w:t xml:space="preserve">as </w:t>
      </w:r>
      <w:r w:rsidRPr="005911E2">
        <w:rPr>
          <w:lang w:eastAsia="en-AU"/>
        </w:rPr>
        <w:t xml:space="preserve">being elderly or people who have been cognitively impaired through drug and/or alcohol use or injury) as the groups most likely to benefit. </w:t>
      </w:r>
    </w:p>
    <w:p w:rsidR="00DA796D" w:rsidRPr="005911E2" w:rsidRDefault="00DA796D" w:rsidP="00DA796D">
      <w:pPr>
        <w:keepNext/>
        <w:spacing w:after="120"/>
        <w:ind w:left="2325"/>
        <w:jc w:val="left"/>
        <w:rPr>
          <w:i/>
          <w:iCs/>
        </w:rPr>
      </w:pPr>
      <w:r w:rsidRPr="005911E2">
        <w:rPr>
          <w:i/>
          <w:iCs/>
        </w:rPr>
        <w:t>I see so much more customers shopping and children getting what they should be getting and going to school and receiving the meals program, lunch and things like that every day. So I think it's a good benefit.</w:t>
      </w:r>
    </w:p>
    <w:p w:rsidR="00DA796D" w:rsidRPr="005911E2" w:rsidRDefault="00DA796D" w:rsidP="008E5400">
      <w:pPr>
        <w:pStyle w:val="mininame"/>
      </w:pPr>
      <w:r w:rsidRPr="005911E2">
        <w:t>Centrelink Customer Service Advis</w:t>
      </w:r>
      <w:r w:rsidR="00DE5D2E">
        <w:t>e</w:t>
      </w:r>
      <w:r w:rsidRPr="005911E2">
        <w:t>r</w:t>
      </w:r>
    </w:p>
    <w:p w:rsidR="00DA796D" w:rsidRPr="005911E2" w:rsidRDefault="00DA796D" w:rsidP="00DA796D">
      <w:pPr>
        <w:rPr>
          <w:lang w:eastAsia="en-AU"/>
        </w:rPr>
      </w:pPr>
      <w:r w:rsidRPr="005911E2">
        <w:rPr>
          <w:lang w:eastAsia="en-AU"/>
        </w:rPr>
        <w:t>This view was also shared by a small number of staff from DCF child protection</w:t>
      </w:r>
      <w:r w:rsidR="00DE5D2E">
        <w:rPr>
          <w:lang w:eastAsia="en-AU"/>
        </w:rPr>
        <w:t>,</w:t>
      </w:r>
      <w:r w:rsidRPr="005911E2">
        <w:rPr>
          <w:lang w:eastAsia="en-AU"/>
        </w:rPr>
        <w:t xml:space="preserve"> and </w:t>
      </w:r>
      <w:r w:rsidR="00DE5D2E">
        <w:rPr>
          <w:lang w:eastAsia="en-AU"/>
        </w:rPr>
        <w:t>m</w:t>
      </w:r>
      <w:r w:rsidRPr="005911E2">
        <w:rPr>
          <w:lang w:eastAsia="en-AU"/>
        </w:rPr>
        <w:t xml:space="preserve">oney </w:t>
      </w:r>
      <w:r w:rsidR="00DE5D2E">
        <w:rPr>
          <w:lang w:eastAsia="en-AU"/>
        </w:rPr>
        <w:t>m</w:t>
      </w:r>
      <w:r w:rsidRPr="005911E2">
        <w:rPr>
          <w:lang w:eastAsia="en-AU"/>
        </w:rPr>
        <w:t xml:space="preserve">anagement and/or financial counselling services. They reported that in their experience </w:t>
      </w:r>
      <w:r w:rsidR="00F878E4">
        <w:rPr>
          <w:lang w:eastAsia="en-AU"/>
        </w:rPr>
        <w:t>income management</w:t>
      </w:r>
      <w:r w:rsidRPr="005911E2">
        <w:rPr>
          <w:lang w:eastAsia="en-AU"/>
        </w:rPr>
        <w:t xml:space="preserve"> could benefit the elderly and women in the communities they worked in, and in the case of child protection, </w:t>
      </w:r>
      <w:r w:rsidR="00F878E4">
        <w:rPr>
          <w:lang w:eastAsia="en-AU"/>
        </w:rPr>
        <w:t>income management</w:t>
      </w:r>
      <w:r w:rsidRPr="005911E2">
        <w:rPr>
          <w:lang w:eastAsia="en-AU"/>
        </w:rPr>
        <w:t xml:space="preserve"> was a tool to assist the families of children experiencing neglect. </w:t>
      </w:r>
    </w:p>
    <w:p w:rsidR="00DA796D" w:rsidRPr="005911E2" w:rsidRDefault="00DA796D" w:rsidP="00DA796D">
      <w:pPr>
        <w:keepNext/>
        <w:spacing w:after="120"/>
        <w:ind w:left="2325"/>
        <w:jc w:val="left"/>
        <w:rPr>
          <w:i/>
          <w:iCs/>
        </w:rPr>
      </w:pPr>
      <w:r w:rsidRPr="005911E2">
        <w:rPr>
          <w:i/>
          <w:iCs/>
        </w:rPr>
        <w:t xml:space="preserve">The good thing is that children might then be benefiting from any monies that their carer may be getting for their care. The good thing is that it stops receivers of </w:t>
      </w:r>
      <w:r w:rsidR="006C33D2" w:rsidRPr="005911E2">
        <w:rPr>
          <w:i/>
          <w:iCs/>
        </w:rPr>
        <w:t>kids’</w:t>
      </w:r>
      <w:r w:rsidRPr="005911E2">
        <w:rPr>
          <w:i/>
          <w:iCs/>
        </w:rPr>
        <w:t xml:space="preserve"> money from using that money in gambling, drinking, frittering it away issues, yeah… Yeah, that money is given to the carers or the parents or the carer for one specific purpose. To provide the essentials to that child's upbringing, health, shelter, food, sustenance, love.</w:t>
      </w:r>
    </w:p>
    <w:p w:rsidR="00DA796D" w:rsidRPr="005911E2" w:rsidRDefault="00DA796D" w:rsidP="008E5400">
      <w:pPr>
        <w:pStyle w:val="mininame"/>
      </w:pPr>
      <w:r w:rsidRPr="005911E2">
        <w:t>DCF child protection staff member</w:t>
      </w:r>
    </w:p>
    <w:p w:rsidR="00DA796D" w:rsidRPr="005911E2" w:rsidRDefault="00DA796D" w:rsidP="00DA796D">
      <w:pPr>
        <w:rPr>
          <w:lang w:eastAsia="en-AU"/>
        </w:rPr>
      </w:pPr>
      <w:r w:rsidRPr="005911E2">
        <w:rPr>
          <w:lang w:eastAsia="en-AU"/>
        </w:rPr>
        <w:t xml:space="preserve">Some groups were seen to be negatively impacted by being subject to </w:t>
      </w:r>
      <w:r w:rsidR="00F878E4">
        <w:rPr>
          <w:lang w:eastAsia="en-AU"/>
        </w:rPr>
        <w:t>income management</w:t>
      </w:r>
      <w:r w:rsidRPr="005911E2">
        <w:rPr>
          <w:lang w:eastAsia="en-AU"/>
        </w:rPr>
        <w:t xml:space="preserve">. In particular, people without children who were subject to the </w:t>
      </w:r>
      <w:r w:rsidR="004808B3">
        <w:rPr>
          <w:lang w:eastAsia="en-AU"/>
        </w:rPr>
        <w:t>Compulsory Income Management</w:t>
      </w:r>
      <w:r w:rsidRPr="005911E2">
        <w:rPr>
          <w:lang w:eastAsia="en-AU"/>
        </w:rPr>
        <w:t xml:space="preserve"> measure were seen as receiving little benefit from the measure and having few opportunities to exempt themselves. This has been discussed in more detail in Chapter 8. Another group</w:t>
      </w:r>
      <w:r w:rsidR="00DE5D2E">
        <w:rPr>
          <w:lang w:eastAsia="en-AU"/>
        </w:rPr>
        <w:t>,</w:t>
      </w:r>
      <w:r w:rsidRPr="005911E2">
        <w:rPr>
          <w:lang w:eastAsia="en-AU"/>
        </w:rPr>
        <w:t xml:space="preserve"> who were identified as having very few options</w:t>
      </w:r>
      <w:r w:rsidR="00DE5D2E">
        <w:rPr>
          <w:lang w:eastAsia="en-AU"/>
        </w:rPr>
        <w:t>,</w:t>
      </w:r>
      <w:r w:rsidRPr="005911E2">
        <w:rPr>
          <w:lang w:eastAsia="en-AU"/>
        </w:rPr>
        <w:t xml:space="preserve"> was those people receiving Newstart </w:t>
      </w:r>
      <w:r w:rsidR="00DE5D2E">
        <w:rPr>
          <w:lang w:eastAsia="en-AU"/>
        </w:rPr>
        <w:t>Allowance (I</w:t>
      </w:r>
      <w:r w:rsidRPr="005911E2">
        <w:rPr>
          <w:lang w:eastAsia="en-AU"/>
        </w:rPr>
        <w:t>ncapacitated</w:t>
      </w:r>
      <w:r w:rsidR="00DE5D2E">
        <w:rPr>
          <w:lang w:eastAsia="en-AU"/>
        </w:rPr>
        <w:t>)</w:t>
      </w:r>
      <w:r w:rsidRPr="005911E2">
        <w:rPr>
          <w:lang w:eastAsia="en-AU"/>
        </w:rPr>
        <w:t>. People in receipt of this allowance are experiencing ill health or disability that does not allow them to work. This group is not subject to the normal activity requirements of Newstart</w:t>
      </w:r>
      <w:r w:rsidR="00E45792">
        <w:rPr>
          <w:lang w:eastAsia="en-AU"/>
        </w:rPr>
        <w:t xml:space="preserve"> Allowance</w:t>
      </w:r>
      <w:r w:rsidRPr="005911E2">
        <w:rPr>
          <w:lang w:eastAsia="en-AU"/>
        </w:rPr>
        <w:t xml:space="preserve">. However, the only ground for seeking an exemption is around working. As one social worker said: </w:t>
      </w:r>
    </w:p>
    <w:p w:rsidR="00DA796D" w:rsidRPr="005911E2" w:rsidRDefault="00DA796D" w:rsidP="00DA796D">
      <w:pPr>
        <w:keepNext/>
        <w:spacing w:after="120"/>
        <w:ind w:left="2325"/>
        <w:jc w:val="left"/>
        <w:rPr>
          <w:rFonts w:eastAsiaTheme="minorEastAsia"/>
          <w:i/>
          <w:iCs/>
          <w:lang w:bidi="ar-SA"/>
        </w:rPr>
      </w:pPr>
      <w:r w:rsidRPr="005911E2">
        <w:rPr>
          <w:rFonts w:eastAsiaTheme="minorEastAsia"/>
          <w:i/>
          <w:iCs/>
          <w:lang w:bidi="ar-SA"/>
        </w:rPr>
        <w:t>They can’t work and they can’t study... They’re stuck, so they’re stuck and they feel that double bind I think.</w:t>
      </w:r>
    </w:p>
    <w:p w:rsidR="00DA796D" w:rsidRPr="005911E2" w:rsidRDefault="00DA796D" w:rsidP="008E5400">
      <w:pPr>
        <w:pStyle w:val="mininame"/>
      </w:pPr>
      <w:r w:rsidRPr="005911E2">
        <w:t>Centrelink Social Worker</w:t>
      </w:r>
    </w:p>
    <w:p w:rsidR="00DA796D" w:rsidRPr="005911E2" w:rsidRDefault="00DA796D" w:rsidP="00616B0F">
      <w:pPr>
        <w:pStyle w:val="Heading2"/>
      </w:pPr>
      <w:bookmarkStart w:id="926" w:name="_Toc321225154"/>
      <w:bookmarkStart w:id="927" w:name="_Toc321254497"/>
      <w:bookmarkStart w:id="928" w:name="_Toc321761639"/>
      <w:bookmarkStart w:id="929" w:name="_Toc328601522"/>
      <w:bookmarkStart w:id="930" w:name="_Toc329870403"/>
      <w:bookmarkStart w:id="931" w:name="_Toc335915789"/>
      <w:r w:rsidRPr="005911E2">
        <w:t>Views of stakeholder groups</w:t>
      </w:r>
      <w:bookmarkEnd w:id="926"/>
      <w:bookmarkEnd w:id="927"/>
      <w:bookmarkEnd w:id="928"/>
      <w:bookmarkEnd w:id="929"/>
      <w:bookmarkEnd w:id="930"/>
      <w:bookmarkEnd w:id="931"/>
    </w:p>
    <w:p w:rsidR="00DA796D" w:rsidRPr="005911E2" w:rsidRDefault="00DA796D" w:rsidP="00DA796D">
      <w:pPr>
        <w:rPr>
          <w:lang w:eastAsia="en-AU"/>
        </w:rPr>
      </w:pPr>
      <w:r w:rsidRPr="005911E2">
        <w:rPr>
          <w:lang w:eastAsia="en-AU"/>
        </w:rPr>
        <w:t xml:space="preserve">Consultations were held with a number of key stakeholders. These were undertaken in person in several locations across the </w:t>
      </w:r>
      <w:r w:rsidR="006435C8">
        <w:rPr>
          <w:lang w:eastAsia="en-AU"/>
        </w:rPr>
        <w:t>Northern Territory.</w:t>
      </w:r>
      <w:r w:rsidRPr="005911E2">
        <w:rPr>
          <w:lang w:eastAsia="en-AU"/>
        </w:rPr>
        <w:t xml:space="preserve"> The consultations focused on:</w:t>
      </w:r>
    </w:p>
    <w:p w:rsidR="00DA796D" w:rsidRPr="005911E2" w:rsidRDefault="00DA796D" w:rsidP="00051CDC">
      <w:pPr>
        <w:pStyle w:val="ListBullet"/>
      </w:pPr>
      <w:r w:rsidRPr="005911E2">
        <w:t>key issues for the communities in which the stakeholders are based or work in</w:t>
      </w:r>
    </w:p>
    <w:p w:rsidR="00DA796D" w:rsidRPr="005911E2" w:rsidRDefault="00DA796D" w:rsidP="00051CDC">
      <w:pPr>
        <w:pStyle w:val="ListBullet"/>
      </w:pPr>
      <w:r w:rsidRPr="005911E2">
        <w:t xml:space="preserve">the impact of </w:t>
      </w:r>
      <w:r w:rsidR="00F878E4">
        <w:t>income management</w:t>
      </w:r>
      <w:r w:rsidRPr="005911E2">
        <w:t xml:space="preserve"> on their clients/communities</w:t>
      </w:r>
    </w:p>
    <w:p w:rsidR="00DA796D" w:rsidRPr="005911E2" w:rsidRDefault="00DA796D" w:rsidP="00051CDC">
      <w:pPr>
        <w:pStyle w:val="ListBullet"/>
      </w:pPr>
      <w:r w:rsidRPr="005911E2">
        <w:t>how effectively they see exemptions operating for their clients/communities</w:t>
      </w:r>
    </w:p>
    <w:p w:rsidR="00DA796D" w:rsidRPr="005911E2" w:rsidRDefault="00DA796D" w:rsidP="00051CDC">
      <w:pPr>
        <w:pStyle w:val="ListBullet"/>
      </w:pPr>
      <w:r w:rsidRPr="005911E2">
        <w:t>other issues/unintended consequences.</w:t>
      </w:r>
    </w:p>
    <w:p w:rsidR="00DA796D" w:rsidRPr="005911E2" w:rsidRDefault="00DA796D" w:rsidP="00DA796D">
      <w:pPr>
        <w:rPr>
          <w:lang w:eastAsia="en-AU"/>
        </w:rPr>
      </w:pPr>
      <w:r w:rsidRPr="005911E2">
        <w:rPr>
          <w:lang w:eastAsia="en-AU"/>
        </w:rPr>
        <w:t>Organisations that participated in the consultations were:</w:t>
      </w:r>
    </w:p>
    <w:p w:rsidR="00DA796D" w:rsidRPr="005911E2" w:rsidRDefault="006435C8" w:rsidP="00051CDC">
      <w:pPr>
        <w:pStyle w:val="ListBullet"/>
      </w:pPr>
      <w:r>
        <w:t xml:space="preserve">Northern Territory </w:t>
      </w:r>
      <w:r w:rsidR="00DA796D" w:rsidRPr="005911E2">
        <w:t>Council of Social Service (NTCOSS), Alice Springs</w:t>
      </w:r>
    </w:p>
    <w:p w:rsidR="00DA796D" w:rsidRPr="005911E2" w:rsidRDefault="0031584C" w:rsidP="0031584C">
      <w:pPr>
        <w:pStyle w:val="ListBullet"/>
      </w:pPr>
      <w:r w:rsidRPr="0031584C">
        <w:t xml:space="preserve">Ngaanyatjarra Pitjantjatjara Yankunytjatjara </w:t>
      </w:r>
      <w:r w:rsidR="00DA796D" w:rsidRPr="005911E2">
        <w:t>(NPY) Women's Council</w:t>
      </w:r>
    </w:p>
    <w:p w:rsidR="00DA796D" w:rsidRPr="005911E2" w:rsidRDefault="00DA796D" w:rsidP="00051CDC">
      <w:pPr>
        <w:pStyle w:val="ListBullet"/>
      </w:pPr>
      <w:r w:rsidRPr="005911E2">
        <w:t>Central Australian Aboriginal Legal Aid Service (CAALAS)</w:t>
      </w:r>
    </w:p>
    <w:p w:rsidR="00DA796D" w:rsidRPr="005911E2" w:rsidRDefault="00EF6C17" w:rsidP="00051CDC">
      <w:pPr>
        <w:pStyle w:val="ListBullet"/>
      </w:pPr>
      <w:r>
        <w:t xml:space="preserve">North </w:t>
      </w:r>
      <w:r w:rsidR="00DA796D" w:rsidRPr="005911E2">
        <w:t>Australia</w:t>
      </w:r>
      <w:r>
        <w:t>n</w:t>
      </w:r>
      <w:r w:rsidR="00DA796D" w:rsidRPr="005911E2">
        <w:t xml:space="preserve"> Aboriginal Justice Agency (NAAJA)</w:t>
      </w:r>
    </w:p>
    <w:p w:rsidR="00DA796D" w:rsidRPr="005911E2" w:rsidRDefault="006435C8" w:rsidP="00051CDC">
      <w:pPr>
        <w:pStyle w:val="ListBullet"/>
      </w:pPr>
      <w:r>
        <w:t xml:space="preserve">Northern Territory </w:t>
      </w:r>
      <w:r w:rsidR="00DA796D" w:rsidRPr="005911E2">
        <w:t>Legal Aid Commission</w:t>
      </w:r>
    </w:p>
    <w:p w:rsidR="00DA796D" w:rsidRPr="005911E2" w:rsidRDefault="00DA796D" w:rsidP="00051CDC">
      <w:pPr>
        <w:pStyle w:val="ListBullet"/>
      </w:pPr>
      <w:r w:rsidRPr="005911E2">
        <w:t>The Refugee Council of Australia</w:t>
      </w:r>
    </w:p>
    <w:p w:rsidR="00DA796D" w:rsidRPr="005911E2" w:rsidRDefault="00DA796D" w:rsidP="00051CDC">
      <w:pPr>
        <w:pStyle w:val="ListBullet"/>
      </w:pPr>
      <w:r w:rsidRPr="005911E2">
        <w:t>Darwin Community Legal Service.</w:t>
      </w:r>
    </w:p>
    <w:p w:rsidR="00DA796D" w:rsidRPr="005911E2" w:rsidRDefault="00DA796D" w:rsidP="00DA796D">
      <w:r w:rsidRPr="005911E2">
        <w:t>While almost all of the stakeholders consulted expressed generally negative views</w:t>
      </w:r>
      <w:r w:rsidR="00DE5D2E">
        <w:t>,</w:t>
      </w:r>
      <w:r w:rsidRPr="005911E2">
        <w:t xml:space="preserve"> this was not always the case.</w:t>
      </w:r>
      <w:r w:rsidR="00B62B2D">
        <w:t xml:space="preserve"> </w:t>
      </w:r>
      <w:r w:rsidRPr="005911E2">
        <w:t xml:space="preserve">Discussions with the NPY Women's </w:t>
      </w:r>
      <w:r w:rsidR="00614538" w:rsidRPr="005911E2">
        <w:t>Council</w:t>
      </w:r>
      <w:r w:rsidR="00614538">
        <w:t xml:space="preserve"> </w:t>
      </w:r>
      <w:r w:rsidRPr="005911E2">
        <w:t xml:space="preserve">provided a more positive assessment of NIM. They supported compulsory </w:t>
      </w:r>
      <w:r w:rsidR="00F878E4">
        <w:t>income management</w:t>
      </w:r>
      <w:r w:rsidRPr="005911E2">
        <w:t xml:space="preserve"> measures stating that the people who needed </w:t>
      </w:r>
      <w:r w:rsidR="00F878E4">
        <w:t>income management</w:t>
      </w:r>
      <w:r w:rsidRPr="005911E2">
        <w:t xml:space="preserve"> the most were those who were least likely to volunteer. </w:t>
      </w:r>
      <w:r w:rsidR="00DE5D2E">
        <w:t>I</w:t>
      </w:r>
      <w:r w:rsidR="00F878E4">
        <w:t>ncome management</w:t>
      </w:r>
      <w:r w:rsidRPr="005911E2">
        <w:t xml:space="preserve"> was seen by them as being an important way of ensuring that children were getting their needs met</w:t>
      </w:r>
      <w:r w:rsidR="00DE5D2E">
        <w:t>,</w:t>
      </w:r>
      <w:r w:rsidRPr="005911E2">
        <w:t xml:space="preserve"> and for the elderly and disabled to not have their money taken off them. The NPY Women’s Council would like to have NIM extended into South Australia to cover all of the communities they represent. One concern about NIM was that in the transition from NTER, the elderly and people on disability support pensions had been taken off compulsory measures. They were concerned that this would lead to this group becoming vulnerable to financial exploitation. They also expressed a need for </w:t>
      </w:r>
      <w:r w:rsidR="00DE5D2E">
        <w:t>‘</w:t>
      </w:r>
      <w:r w:rsidRPr="005911E2">
        <w:t>wrap around programs</w:t>
      </w:r>
      <w:r w:rsidR="00DE5D2E">
        <w:t>’</w:t>
      </w:r>
      <w:r w:rsidRPr="005911E2">
        <w:t xml:space="preserve"> that would aim to build people’s capacity in the longer term to manage their own money and no longer be subject to </w:t>
      </w:r>
      <w:r w:rsidR="00F878E4">
        <w:t>income management</w:t>
      </w:r>
      <w:r w:rsidRPr="005911E2">
        <w:t xml:space="preserve">. </w:t>
      </w:r>
    </w:p>
    <w:p w:rsidR="00DA796D" w:rsidRPr="005911E2" w:rsidRDefault="00DA796D" w:rsidP="00DA796D">
      <w:pPr>
        <w:rPr>
          <w:lang w:eastAsia="en-AU"/>
        </w:rPr>
      </w:pPr>
      <w:r w:rsidRPr="005911E2">
        <w:rPr>
          <w:lang w:eastAsia="en-AU"/>
        </w:rPr>
        <w:t xml:space="preserve">The balance of the stakeholders who took part in the consultations expressed strong concerns about NIM. Concerns for this group primarily related to issues around how </w:t>
      </w:r>
      <w:r w:rsidR="002B5A5C">
        <w:rPr>
          <w:lang w:eastAsia="en-AU"/>
        </w:rPr>
        <w:t>Voluntary Income Management</w:t>
      </w:r>
      <w:r w:rsidRPr="005911E2">
        <w:rPr>
          <w:lang w:eastAsia="en-AU"/>
        </w:rPr>
        <w:t xml:space="preserve"> was implemented and accessibility to exemptions. In addition, practical issues around how people were able to utilise their income-managed funds were also discussed across the stakeholder groups. </w:t>
      </w:r>
    </w:p>
    <w:p w:rsidR="00DA796D" w:rsidRPr="005911E2" w:rsidRDefault="00DA796D" w:rsidP="00DA796D">
      <w:pPr>
        <w:rPr>
          <w:lang w:eastAsia="en-AU"/>
        </w:rPr>
      </w:pPr>
      <w:r w:rsidRPr="005911E2">
        <w:rPr>
          <w:lang w:eastAsia="en-AU"/>
        </w:rPr>
        <w:t xml:space="preserve">Most of the stakeholders expressed concerns about the transition from NTER </w:t>
      </w:r>
      <w:r w:rsidR="00DE5D2E">
        <w:rPr>
          <w:lang w:eastAsia="en-AU"/>
        </w:rPr>
        <w:t xml:space="preserve">IM </w:t>
      </w:r>
      <w:r w:rsidRPr="005911E2">
        <w:rPr>
          <w:lang w:eastAsia="en-AU"/>
        </w:rPr>
        <w:t xml:space="preserve">to NIM and the large number of clients who transferred to </w:t>
      </w:r>
      <w:r w:rsidR="002B5A5C">
        <w:rPr>
          <w:lang w:eastAsia="en-AU"/>
        </w:rPr>
        <w:t>Voluntary Income Management</w:t>
      </w:r>
      <w:r w:rsidRPr="005911E2">
        <w:rPr>
          <w:lang w:eastAsia="en-AU"/>
        </w:rPr>
        <w:t xml:space="preserve"> at this time. Many said they had </w:t>
      </w:r>
      <w:r w:rsidR="00DE5D2E">
        <w:rPr>
          <w:lang w:eastAsia="en-AU"/>
        </w:rPr>
        <w:t>‘</w:t>
      </w:r>
      <w:r w:rsidRPr="005911E2">
        <w:rPr>
          <w:lang w:eastAsia="en-AU"/>
        </w:rPr>
        <w:t>real doubts</w:t>
      </w:r>
      <w:r w:rsidR="00DE5D2E">
        <w:rPr>
          <w:lang w:eastAsia="en-AU"/>
        </w:rPr>
        <w:t>’</w:t>
      </w:r>
      <w:r w:rsidRPr="005911E2">
        <w:rPr>
          <w:lang w:eastAsia="en-AU"/>
        </w:rPr>
        <w:t xml:space="preserve"> about the quality of conversations between Centrelink and Indigenous people</w:t>
      </w:r>
      <w:r w:rsidR="00DB18E8">
        <w:rPr>
          <w:lang w:eastAsia="en-AU"/>
        </w:rPr>
        <w:t>.  They</w:t>
      </w:r>
      <w:r w:rsidRPr="005911E2">
        <w:rPr>
          <w:lang w:eastAsia="en-AU"/>
        </w:rPr>
        <w:t xml:space="preserve"> believed that Centrelink had pushed people to stay on </w:t>
      </w:r>
      <w:r w:rsidR="00F878E4">
        <w:rPr>
          <w:lang w:eastAsia="en-AU"/>
        </w:rPr>
        <w:t>income management</w:t>
      </w:r>
      <w:r w:rsidRPr="005911E2">
        <w:rPr>
          <w:lang w:eastAsia="en-AU"/>
        </w:rPr>
        <w:t xml:space="preserve"> through </w:t>
      </w:r>
      <w:r w:rsidR="002B5A5C">
        <w:rPr>
          <w:lang w:eastAsia="en-AU"/>
        </w:rPr>
        <w:t>Voluntary Income Management</w:t>
      </w:r>
      <w:r w:rsidRPr="005911E2">
        <w:rPr>
          <w:lang w:eastAsia="en-AU"/>
        </w:rPr>
        <w:t xml:space="preserve"> during these transition discussions. </w:t>
      </w:r>
    </w:p>
    <w:p w:rsidR="00DA796D" w:rsidRPr="005911E2" w:rsidRDefault="00DA796D" w:rsidP="00DA796D">
      <w:pPr>
        <w:rPr>
          <w:lang w:eastAsia="en-AU"/>
        </w:rPr>
      </w:pPr>
      <w:r w:rsidRPr="005911E2">
        <w:rPr>
          <w:lang w:eastAsia="en-AU"/>
        </w:rPr>
        <w:t>There was also some concern that many people transitioning to NIM d</w:t>
      </w:r>
      <w:r w:rsidR="00DE5D2E">
        <w:rPr>
          <w:lang w:eastAsia="en-AU"/>
        </w:rPr>
        <w:t>idn’t</w:t>
      </w:r>
      <w:r w:rsidRPr="005911E2">
        <w:rPr>
          <w:lang w:eastAsia="en-AU"/>
        </w:rPr>
        <w:t xml:space="preserve"> really understand the differences between the two measures and that many would not have even realised there had been a change.</w:t>
      </w:r>
    </w:p>
    <w:p w:rsidR="00DA796D" w:rsidRPr="005911E2" w:rsidRDefault="00DA796D" w:rsidP="00DA796D">
      <w:pPr>
        <w:rPr>
          <w:lang w:eastAsia="en-AU"/>
        </w:rPr>
      </w:pPr>
      <w:r w:rsidRPr="005911E2">
        <w:rPr>
          <w:lang w:eastAsia="en-AU"/>
        </w:rPr>
        <w:t>A number of stakeholders expressed the belief that when the transition had occurred</w:t>
      </w:r>
      <w:r w:rsidR="00BE5ECB">
        <w:rPr>
          <w:lang w:eastAsia="en-AU"/>
        </w:rPr>
        <w:t>,</w:t>
      </w:r>
      <w:r w:rsidRPr="005911E2">
        <w:rPr>
          <w:lang w:eastAsia="en-AU"/>
        </w:rPr>
        <w:t xml:space="preserve"> many people stayed on NIM through </w:t>
      </w:r>
      <w:r w:rsidR="002B5A5C">
        <w:rPr>
          <w:lang w:eastAsia="en-AU"/>
        </w:rPr>
        <w:t>Voluntary Income Management</w:t>
      </w:r>
      <w:r w:rsidRPr="005911E2">
        <w:rPr>
          <w:lang w:eastAsia="en-AU"/>
        </w:rPr>
        <w:t xml:space="preserve"> when they heard they would lose their Basics</w:t>
      </w:r>
      <w:r w:rsidR="00357105">
        <w:rPr>
          <w:lang w:eastAsia="en-AU"/>
        </w:rPr>
        <w:t>C</w:t>
      </w:r>
      <w:r w:rsidRPr="005911E2">
        <w:rPr>
          <w:lang w:eastAsia="en-AU"/>
        </w:rPr>
        <w:t xml:space="preserve">ard. Organisations such as CAALAS and NAAJA report that they have people coming into their offices saying that they want to get off NIM but want to keep their BasicsCard. </w:t>
      </w:r>
    </w:p>
    <w:p w:rsidR="00DA796D" w:rsidRPr="005911E2" w:rsidRDefault="00DA796D" w:rsidP="00DA796D">
      <w:pPr>
        <w:rPr>
          <w:lang w:eastAsia="en-AU"/>
        </w:rPr>
      </w:pPr>
      <w:r w:rsidRPr="005911E2">
        <w:rPr>
          <w:lang w:eastAsia="en-AU"/>
        </w:rPr>
        <w:t>It was also reported by the legal services stakeholders that many of their clients don’t realise they can access exemptions. Where they do make an application, it was reported that the exemption processes are hard to navigate. Having the assessment made via the telephone was seen as a particular issue for remote clients in terms of language</w:t>
      </w:r>
      <w:r w:rsidR="0093458C">
        <w:rPr>
          <w:lang w:eastAsia="en-AU"/>
        </w:rPr>
        <w:t>,</w:t>
      </w:r>
      <w:r w:rsidRPr="005911E2">
        <w:rPr>
          <w:lang w:eastAsia="en-AU"/>
        </w:rPr>
        <w:t xml:space="preserve"> but also in terms of being able to access reliable and affordable phone connections to participate in the process. </w:t>
      </w:r>
    </w:p>
    <w:p w:rsidR="00DA796D" w:rsidRPr="005911E2" w:rsidRDefault="00DA796D" w:rsidP="00DA796D">
      <w:pPr>
        <w:rPr>
          <w:lang w:eastAsia="en-AU"/>
        </w:rPr>
      </w:pPr>
      <w:r w:rsidRPr="005911E2">
        <w:rPr>
          <w:lang w:eastAsia="en-AU"/>
        </w:rPr>
        <w:t xml:space="preserve">Organisations such as schools and health clinics were frequently seen as being very uncooperative in providing the necessary paperwork for parents seeking exemptions. For example, in Darwin stakeholders spoke about health clinics putting up signs saying they will not provide </w:t>
      </w:r>
      <w:r w:rsidR="00F878E4">
        <w:rPr>
          <w:lang w:eastAsia="en-AU"/>
        </w:rPr>
        <w:t>income management</w:t>
      </w:r>
      <w:r w:rsidRPr="005911E2">
        <w:rPr>
          <w:lang w:eastAsia="en-AU"/>
        </w:rPr>
        <w:t xml:space="preserve"> documentation.</w:t>
      </w:r>
    </w:p>
    <w:p w:rsidR="00DA796D" w:rsidRPr="005911E2" w:rsidRDefault="00DA796D" w:rsidP="00DA796D">
      <w:pPr>
        <w:rPr>
          <w:lang w:eastAsia="en-AU"/>
        </w:rPr>
      </w:pPr>
      <w:r w:rsidRPr="005911E2">
        <w:rPr>
          <w:lang w:eastAsia="en-AU"/>
        </w:rPr>
        <w:t>Education department records were also not seen to be very accurate. For example, absences marked as unexplained may not have been unexplained. In other cases, parents were finding out their children had been absent from school through the exemption process. This was creating conflict between parents and children and between parents and schools</w:t>
      </w:r>
      <w:r w:rsidR="002A53BE">
        <w:rPr>
          <w:lang w:eastAsia="en-AU"/>
        </w:rPr>
        <w:t>.</w:t>
      </w:r>
    </w:p>
    <w:p w:rsidR="00DA796D" w:rsidRPr="005911E2" w:rsidRDefault="00DA796D" w:rsidP="00DA796D">
      <w:pPr>
        <w:rPr>
          <w:lang w:eastAsia="en-AU"/>
        </w:rPr>
      </w:pPr>
      <w:r w:rsidRPr="005911E2">
        <w:rPr>
          <w:lang w:eastAsia="en-AU"/>
        </w:rPr>
        <w:t>It was reported that when exemptions are refused</w:t>
      </w:r>
      <w:r w:rsidR="0093458C">
        <w:rPr>
          <w:lang w:eastAsia="en-AU"/>
        </w:rPr>
        <w:t>,</w:t>
      </w:r>
      <w:r w:rsidRPr="005911E2">
        <w:rPr>
          <w:lang w:eastAsia="en-AU"/>
        </w:rPr>
        <w:t xml:space="preserve"> some people on parenting payments feel they are being assessed as bad parents. Services were also reported to be struggling to support people in applying for exemptions. People with poor literacy or where English was not their first language were </w:t>
      </w:r>
      <w:r w:rsidR="002F2E1C">
        <w:rPr>
          <w:lang w:eastAsia="en-AU"/>
        </w:rPr>
        <w:t xml:space="preserve">reported </w:t>
      </w:r>
      <w:r w:rsidRPr="005911E2">
        <w:rPr>
          <w:lang w:eastAsia="en-AU"/>
        </w:rPr>
        <w:t>as needing significant support in filling out forms to access both exemptions and the evidence required. Services were struggling with this increased load</w:t>
      </w:r>
      <w:r w:rsidR="00FA5A6B">
        <w:rPr>
          <w:lang w:eastAsia="en-AU"/>
        </w:rPr>
        <w:t>.</w:t>
      </w:r>
      <w:r w:rsidR="002F2E1C">
        <w:rPr>
          <w:rStyle w:val="FootnoteReference"/>
          <w:lang w:eastAsia="en-AU"/>
        </w:rPr>
        <w:footnoteReference w:id="92"/>
      </w:r>
    </w:p>
    <w:p w:rsidR="00DA796D" w:rsidRPr="005911E2" w:rsidRDefault="00DA796D" w:rsidP="00DA796D">
      <w:pPr>
        <w:rPr>
          <w:lang w:eastAsia="en-AU"/>
        </w:rPr>
      </w:pPr>
      <w:r w:rsidRPr="005911E2">
        <w:rPr>
          <w:lang w:eastAsia="en-AU"/>
        </w:rPr>
        <w:t>As discussed in Chapter 8</w:t>
      </w:r>
      <w:r w:rsidR="0093458C">
        <w:rPr>
          <w:lang w:eastAsia="en-AU"/>
        </w:rPr>
        <w:t>,</w:t>
      </w:r>
      <w:r w:rsidRPr="005911E2">
        <w:rPr>
          <w:lang w:eastAsia="en-AU"/>
        </w:rPr>
        <w:t xml:space="preserve"> stakeholders also identified a mismatch between activity requirements for Centrelink payments (i</w:t>
      </w:r>
      <w:r w:rsidR="0093458C">
        <w:rPr>
          <w:lang w:eastAsia="en-AU"/>
        </w:rPr>
        <w:t>.</w:t>
      </w:r>
      <w:r w:rsidRPr="005911E2">
        <w:rPr>
          <w:lang w:eastAsia="en-AU"/>
        </w:rPr>
        <w:t>e</w:t>
      </w:r>
      <w:r w:rsidR="0093458C">
        <w:rPr>
          <w:lang w:eastAsia="en-AU"/>
        </w:rPr>
        <w:t>.</w:t>
      </w:r>
      <w:r w:rsidRPr="005911E2">
        <w:rPr>
          <w:lang w:eastAsia="en-AU"/>
        </w:rPr>
        <w:t xml:space="preserve"> volunteer work for older Newstart </w:t>
      </w:r>
      <w:r w:rsidR="00E45792">
        <w:rPr>
          <w:lang w:eastAsia="en-AU"/>
        </w:rPr>
        <w:t>A</w:t>
      </w:r>
      <w:r w:rsidRPr="005911E2">
        <w:rPr>
          <w:lang w:eastAsia="en-AU"/>
        </w:rPr>
        <w:t xml:space="preserve">llowance recipients) and activity requirements for exemptions. </w:t>
      </w:r>
    </w:p>
    <w:p w:rsidR="00DA796D" w:rsidRPr="005911E2" w:rsidRDefault="00DA796D" w:rsidP="00DA796D">
      <w:pPr>
        <w:rPr>
          <w:lang w:eastAsia="en-AU"/>
        </w:rPr>
      </w:pPr>
      <w:r w:rsidRPr="005911E2">
        <w:rPr>
          <w:lang w:eastAsia="en-AU"/>
        </w:rPr>
        <w:t>Many stakeholders spoke about people feeling embarrassed or shamed by having to use the BasicsCard for shopping. This was seen as a particular issue for people in more urban areas. In Darwin some women were reported as doing their shopping away from their local area because they don’t want to be seen with their BasicsCard. It was suggested that some</w:t>
      </w:r>
      <w:r w:rsidR="00D0501F">
        <w:rPr>
          <w:lang w:eastAsia="en-AU"/>
        </w:rPr>
        <w:t xml:space="preserve"> </w:t>
      </w:r>
      <w:r w:rsidRPr="005911E2">
        <w:rPr>
          <w:lang w:eastAsia="en-AU"/>
        </w:rPr>
        <w:t>single mothers see it as providing a visible marker of being a bad parent. Similarly</w:t>
      </w:r>
      <w:r w:rsidR="0093458C">
        <w:rPr>
          <w:lang w:eastAsia="en-AU"/>
        </w:rPr>
        <w:t>,</w:t>
      </w:r>
      <w:r w:rsidRPr="005911E2">
        <w:rPr>
          <w:lang w:eastAsia="en-AU"/>
        </w:rPr>
        <w:t xml:space="preserve"> some stakeholder</w:t>
      </w:r>
      <w:r w:rsidR="006C33D2">
        <w:rPr>
          <w:lang w:eastAsia="en-AU"/>
        </w:rPr>
        <w:t>s reported that o</w:t>
      </w:r>
      <w:r w:rsidRPr="005911E2">
        <w:rPr>
          <w:lang w:eastAsia="en-AU"/>
        </w:rPr>
        <w:t>lder women felt ashamed by the implications they cannot manage money or that they misuse alcohol or gamble. This problem was seen to be further exacerbated by some of the very negative media portrayals in</w:t>
      </w:r>
      <w:r w:rsidR="006435C8">
        <w:rPr>
          <w:lang w:eastAsia="en-AU"/>
        </w:rPr>
        <w:t xml:space="preserve"> Northern Territory </w:t>
      </w:r>
      <w:r w:rsidRPr="005911E2">
        <w:rPr>
          <w:lang w:eastAsia="en-AU"/>
        </w:rPr>
        <w:t xml:space="preserve">about </w:t>
      </w:r>
      <w:r w:rsidR="00F878E4">
        <w:rPr>
          <w:lang w:eastAsia="en-AU"/>
        </w:rPr>
        <w:t>income management</w:t>
      </w:r>
      <w:r w:rsidRPr="005911E2">
        <w:rPr>
          <w:lang w:eastAsia="en-AU"/>
        </w:rPr>
        <w:t xml:space="preserve"> and the people who are on it, making it very shaming for many people. </w:t>
      </w:r>
    </w:p>
    <w:p w:rsidR="00DA796D" w:rsidRPr="005911E2" w:rsidRDefault="00DA796D" w:rsidP="00DA796D">
      <w:pPr>
        <w:rPr>
          <w:lang w:eastAsia="en-AU"/>
        </w:rPr>
      </w:pPr>
      <w:r w:rsidRPr="005911E2">
        <w:rPr>
          <w:lang w:eastAsia="en-AU"/>
        </w:rPr>
        <w:t>It was also reported that some segments of the refugee population in Darwin were also finding the Basics</w:t>
      </w:r>
      <w:r w:rsidR="00357105">
        <w:rPr>
          <w:lang w:eastAsia="en-AU"/>
        </w:rPr>
        <w:t>C</w:t>
      </w:r>
      <w:r w:rsidRPr="005911E2">
        <w:rPr>
          <w:lang w:eastAsia="en-AU"/>
        </w:rPr>
        <w:t xml:space="preserve">ard and </w:t>
      </w:r>
      <w:r w:rsidR="00F878E4">
        <w:rPr>
          <w:lang w:eastAsia="en-AU"/>
        </w:rPr>
        <w:t>income management</w:t>
      </w:r>
      <w:r w:rsidRPr="005911E2">
        <w:rPr>
          <w:lang w:eastAsia="en-AU"/>
        </w:rPr>
        <w:t xml:space="preserve"> challenging. They were reported as experiencing problems such as the set of merchants accepting the BasicsCard not reflecting the way many shop – such as at markets and speciality stores where it was not accepted. </w:t>
      </w:r>
    </w:p>
    <w:p w:rsidR="00DA796D" w:rsidRPr="005911E2" w:rsidRDefault="00DA796D" w:rsidP="00DA796D">
      <w:pPr>
        <w:rPr>
          <w:lang w:eastAsia="en-AU"/>
        </w:rPr>
      </w:pPr>
      <w:r w:rsidRPr="005911E2">
        <w:rPr>
          <w:lang w:eastAsia="en-AU"/>
        </w:rPr>
        <w:t>Most stakeholders also said that</w:t>
      </w:r>
      <w:r w:rsidR="0093458C">
        <w:rPr>
          <w:lang w:eastAsia="en-AU"/>
        </w:rPr>
        <w:t>,</w:t>
      </w:r>
      <w:r w:rsidRPr="005911E2">
        <w:rPr>
          <w:lang w:eastAsia="en-AU"/>
        </w:rPr>
        <w:t xml:space="preserve"> from their experiences</w:t>
      </w:r>
      <w:r w:rsidR="0093458C">
        <w:rPr>
          <w:lang w:eastAsia="en-AU"/>
        </w:rPr>
        <w:t>, the</w:t>
      </w:r>
      <w:r w:rsidRPr="005911E2">
        <w:rPr>
          <w:lang w:eastAsia="en-AU"/>
        </w:rPr>
        <w:t xml:space="preserve"> BasicsCard doesn’t stop humbugging. They reported for example that people just take the card from people now rather than cash.</w:t>
      </w:r>
    </w:p>
    <w:p w:rsidR="00DA796D" w:rsidRPr="005911E2" w:rsidRDefault="00DA796D" w:rsidP="00616B0F">
      <w:pPr>
        <w:pStyle w:val="Heading2"/>
      </w:pPr>
      <w:bookmarkStart w:id="932" w:name="_Toc321225155"/>
      <w:bookmarkStart w:id="933" w:name="_Toc321254498"/>
      <w:bookmarkStart w:id="934" w:name="_Toc321761640"/>
      <w:bookmarkStart w:id="935" w:name="_Toc328601523"/>
      <w:bookmarkStart w:id="936" w:name="_Toc329870404"/>
      <w:bookmarkStart w:id="937" w:name="_Toc335915790"/>
      <w:r w:rsidRPr="005911E2">
        <w:t xml:space="preserve">Survey of </w:t>
      </w:r>
      <w:r w:rsidR="0093458C">
        <w:t>m</w:t>
      </w:r>
      <w:r w:rsidRPr="005911E2">
        <w:t>erchants</w:t>
      </w:r>
      <w:bookmarkEnd w:id="932"/>
      <w:bookmarkEnd w:id="933"/>
      <w:bookmarkEnd w:id="934"/>
      <w:bookmarkEnd w:id="935"/>
      <w:bookmarkEnd w:id="936"/>
      <w:bookmarkEnd w:id="937"/>
    </w:p>
    <w:p w:rsidR="00DA796D" w:rsidRPr="005911E2" w:rsidRDefault="00DA796D" w:rsidP="00DA796D">
      <w:pPr>
        <w:rPr>
          <w:lang w:eastAsia="en-AU"/>
        </w:rPr>
      </w:pPr>
      <w:r w:rsidRPr="005911E2">
        <w:rPr>
          <w:lang w:eastAsia="en-AU"/>
        </w:rPr>
        <w:t xml:space="preserve">A sample of merchants who are </w:t>
      </w:r>
      <w:r w:rsidR="000954EA">
        <w:rPr>
          <w:lang w:eastAsia="en-AU"/>
        </w:rPr>
        <w:t>approved</w:t>
      </w:r>
      <w:r w:rsidR="000954EA" w:rsidRPr="005911E2">
        <w:rPr>
          <w:lang w:eastAsia="en-AU"/>
        </w:rPr>
        <w:t xml:space="preserve"> </w:t>
      </w:r>
      <w:r w:rsidRPr="005911E2">
        <w:rPr>
          <w:lang w:eastAsia="en-AU"/>
        </w:rPr>
        <w:t>to accept income managed funds were interviewed via telephone in September and October 2011. A total of 103 interviews were completed. About half of the businesses survey</w:t>
      </w:r>
      <w:r w:rsidR="0093458C">
        <w:rPr>
          <w:lang w:eastAsia="en-AU"/>
        </w:rPr>
        <w:t>ed</w:t>
      </w:r>
      <w:r w:rsidRPr="005911E2">
        <w:rPr>
          <w:lang w:eastAsia="en-AU"/>
        </w:rPr>
        <w:t xml:space="preserve"> indicated that they sold food (48 per cent) and half indicated that they were businesses involved in other retail activities (48 per cent). The remaining </w:t>
      </w:r>
      <w:r w:rsidR="00EA1B30">
        <w:rPr>
          <w:lang w:eastAsia="en-AU"/>
        </w:rPr>
        <w:t>4</w:t>
      </w:r>
      <w:r w:rsidR="00EA1B30" w:rsidRPr="005911E2">
        <w:rPr>
          <w:lang w:eastAsia="en-AU"/>
        </w:rPr>
        <w:t xml:space="preserve"> </w:t>
      </w:r>
      <w:r w:rsidRPr="005911E2">
        <w:rPr>
          <w:lang w:eastAsia="en-AU"/>
        </w:rPr>
        <w:t xml:space="preserve">per cent included merchants such as local housing authorities and providers of school meals programs. Seventeen of 103 businesses that participated in the survey were community stores located in remote or very remote areas. </w:t>
      </w:r>
    </w:p>
    <w:p w:rsidR="00DA796D" w:rsidRPr="005911E2" w:rsidRDefault="00DA796D" w:rsidP="00DA796D">
      <w:pPr>
        <w:rPr>
          <w:lang w:eastAsia="en-AU"/>
        </w:rPr>
      </w:pPr>
      <w:r w:rsidRPr="005911E2">
        <w:rPr>
          <w:lang w:eastAsia="en-AU"/>
        </w:rPr>
        <w:t xml:space="preserve">Most of the participating businesses (85 per cent) were </w:t>
      </w:r>
      <w:r w:rsidR="000954EA">
        <w:rPr>
          <w:lang w:eastAsia="en-AU"/>
        </w:rPr>
        <w:t>approved</w:t>
      </w:r>
      <w:r w:rsidR="000954EA" w:rsidRPr="005911E2">
        <w:rPr>
          <w:lang w:eastAsia="en-AU"/>
        </w:rPr>
        <w:t xml:space="preserve"> </w:t>
      </w:r>
      <w:r w:rsidRPr="005911E2">
        <w:rPr>
          <w:lang w:eastAsia="en-AU"/>
        </w:rPr>
        <w:t xml:space="preserve">to accept BasicsCard. Just over a quarter were </w:t>
      </w:r>
      <w:r w:rsidR="000954EA">
        <w:rPr>
          <w:lang w:eastAsia="en-AU"/>
        </w:rPr>
        <w:t>approved</w:t>
      </w:r>
      <w:r w:rsidR="000954EA" w:rsidRPr="005911E2">
        <w:rPr>
          <w:lang w:eastAsia="en-AU"/>
        </w:rPr>
        <w:t xml:space="preserve"> </w:t>
      </w:r>
      <w:r w:rsidRPr="005911E2">
        <w:rPr>
          <w:lang w:eastAsia="en-AU"/>
        </w:rPr>
        <w:t xml:space="preserve">as Schedule 5 businesses and 18 per cent were </w:t>
      </w:r>
      <w:r w:rsidR="000954EA">
        <w:rPr>
          <w:lang w:eastAsia="en-AU"/>
        </w:rPr>
        <w:t>approved</w:t>
      </w:r>
      <w:r w:rsidR="000954EA" w:rsidRPr="005911E2">
        <w:rPr>
          <w:lang w:eastAsia="en-AU"/>
        </w:rPr>
        <w:t xml:space="preserve"> </w:t>
      </w:r>
      <w:r w:rsidRPr="005911E2">
        <w:rPr>
          <w:lang w:eastAsia="en-AU"/>
        </w:rPr>
        <w:t>as Schedule 4 businesses.</w:t>
      </w:r>
      <w:r w:rsidRPr="005911E2">
        <w:rPr>
          <w:rFonts w:asciiTheme="minorHAnsi" w:hAnsiTheme="minorHAnsi"/>
          <w:vertAlign w:val="superscript"/>
          <w:lang w:eastAsia="en-AU"/>
        </w:rPr>
        <w:footnoteReference w:id="93"/>
      </w:r>
    </w:p>
    <w:p w:rsidR="00DA796D" w:rsidRPr="005911E2" w:rsidRDefault="00DA796D" w:rsidP="00DA796D">
      <w:pPr>
        <w:rPr>
          <w:lang w:eastAsia="en-AU"/>
        </w:rPr>
      </w:pPr>
      <w:r w:rsidRPr="005911E2">
        <w:rPr>
          <w:lang w:eastAsia="en-AU"/>
        </w:rPr>
        <w:t xml:space="preserve">Of the 103 respondents, </w:t>
      </w:r>
      <w:r w:rsidR="0093458C">
        <w:rPr>
          <w:lang w:eastAsia="en-AU"/>
        </w:rPr>
        <w:t>six</w:t>
      </w:r>
      <w:r w:rsidRPr="005911E2">
        <w:rPr>
          <w:lang w:eastAsia="en-AU"/>
        </w:rPr>
        <w:t xml:space="preserve"> indicated they were of an Aboriginal background and </w:t>
      </w:r>
      <w:r w:rsidR="0093458C">
        <w:rPr>
          <w:lang w:eastAsia="en-AU"/>
        </w:rPr>
        <w:t>one</w:t>
      </w:r>
      <w:r w:rsidRPr="005911E2">
        <w:rPr>
          <w:lang w:eastAsia="en-AU"/>
        </w:rPr>
        <w:t xml:space="preserve"> indicated that they were of both Aboriginal and Torres Strait Islander heritage. </w:t>
      </w:r>
    </w:p>
    <w:p w:rsidR="00DA796D" w:rsidRPr="005911E2" w:rsidRDefault="00DA796D" w:rsidP="00EA1CD7">
      <w:pPr>
        <w:pStyle w:val="tabfighead"/>
      </w:pPr>
      <w:bookmarkStart w:id="938" w:name="_Toc321254579"/>
      <w:bookmarkStart w:id="939" w:name="_Toc321430460"/>
      <w:bookmarkStart w:id="940" w:name="_Toc321761730"/>
      <w:bookmarkStart w:id="941" w:name="_Toc328601627"/>
      <w:bookmarkStart w:id="942" w:name="_Toc329051405"/>
      <w:bookmarkStart w:id="943" w:name="_Toc335915893"/>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9</w:t>
      </w:r>
      <w:r w:rsidR="00C7347D" w:rsidRPr="005911E2">
        <w:rPr>
          <w:noProof/>
        </w:rPr>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15</w:t>
      </w:r>
      <w:r w:rsidR="00C7347D" w:rsidRPr="005911E2">
        <w:rPr>
          <w:noProof/>
        </w:rPr>
        <w:fldChar w:fldCharType="end"/>
      </w:r>
      <w:r w:rsidRPr="005911E2">
        <w:t xml:space="preserve"> </w:t>
      </w:r>
      <w:r w:rsidR="00EA1CD7" w:rsidRPr="005911E2">
        <w:tab/>
      </w:r>
      <w:r w:rsidRPr="005911E2">
        <w:t>Merchant interviews by business type and contract type</w:t>
      </w:r>
      <w:bookmarkEnd w:id="938"/>
      <w:bookmarkEnd w:id="939"/>
      <w:bookmarkEnd w:id="940"/>
      <w:bookmarkEnd w:id="941"/>
      <w:bookmarkEnd w:id="942"/>
      <w:bookmarkEnd w:id="943"/>
    </w:p>
    <w:tbl>
      <w:tblPr>
        <w:tblW w:w="6379" w:type="dxa"/>
        <w:tblInd w:w="1803" w:type="dxa"/>
        <w:tblLook w:val="04A0" w:firstRow="1" w:lastRow="0" w:firstColumn="1" w:lastColumn="0" w:noHBand="0" w:noVBand="1"/>
      </w:tblPr>
      <w:tblGrid>
        <w:gridCol w:w="3775"/>
        <w:gridCol w:w="1717"/>
        <w:gridCol w:w="887"/>
      </w:tblGrid>
      <w:tr w:rsidR="00DA796D" w:rsidRPr="005911E2" w:rsidTr="00351FF6">
        <w:trPr>
          <w:trHeight w:val="340"/>
        </w:trPr>
        <w:tc>
          <w:tcPr>
            <w:tcW w:w="3775" w:type="dxa"/>
            <w:tcBorders>
              <w:top w:val="single" w:sz="4" w:space="0" w:color="auto"/>
            </w:tcBorders>
            <w:shd w:val="clear" w:color="auto" w:fill="auto"/>
            <w:vAlign w:val="center"/>
            <w:hideMark/>
          </w:tcPr>
          <w:p w:rsidR="00DA796D" w:rsidRPr="005911E2" w:rsidRDefault="00DA796D" w:rsidP="008E5400">
            <w:pPr>
              <w:pStyle w:val="braytabletext"/>
            </w:pPr>
            <w:r w:rsidRPr="005911E2">
              <w:t>Business Type</w:t>
            </w:r>
          </w:p>
        </w:tc>
        <w:tc>
          <w:tcPr>
            <w:tcW w:w="2604" w:type="dxa"/>
            <w:gridSpan w:val="2"/>
            <w:tcBorders>
              <w:top w:val="single" w:sz="4" w:space="0" w:color="auto"/>
              <w:bottom w:val="single" w:sz="4" w:space="0" w:color="auto"/>
            </w:tcBorders>
            <w:shd w:val="clear" w:color="auto" w:fill="auto"/>
            <w:vAlign w:val="center"/>
            <w:hideMark/>
          </w:tcPr>
          <w:p w:rsidR="00DA796D" w:rsidRPr="005911E2" w:rsidRDefault="00DA796D" w:rsidP="008E5400">
            <w:pPr>
              <w:pStyle w:val="braytabletext"/>
            </w:pPr>
            <w:r w:rsidRPr="005911E2">
              <w:t>Businesses</w:t>
            </w:r>
          </w:p>
        </w:tc>
      </w:tr>
      <w:tr w:rsidR="00DA796D" w:rsidRPr="005911E2" w:rsidTr="00351FF6">
        <w:trPr>
          <w:trHeight w:val="300"/>
        </w:trPr>
        <w:tc>
          <w:tcPr>
            <w:tcW w:w="3775" w:type="dxa"/>
            <w:tcBorders>
              <w:bottom w:val="single" w:sz="4" w:space="0" w:color="auto"/>
            </w:tcBorders>
            <w:shd w:val="clear" w:color="auto" w:fill="auto"/>
            <w:vAlign w:val="center"/>
            <w:hideMark/>
          </w:tcPr>
          <w:p w:rsidR="00DA796D" w:rsidRPr="005911E2" w:rsidRDefault="00DA796D" w:rsidP="008E5400">
            <w:pPr>
              <w:pStyle w:val="braytabletext"/>
              <w:rPr>
                <w:i/>
                <w:iCs/>
              </w:rPr>
            </w:pPr>
          </w:p>
        </w:tc>
        <w:tc>
          <w:tcPr>
            <w:tcW w:w="1717" w:type="dxa"/>
            <w:tcBorders>
              <w:top w:val="single" w:sz="4" w:space="0" w:color="auto"/>
              <w:bottom w:val="single" w:sz="4" w:space="0" w:color="auto"/>
            </w:tcBorders>
            <w:shd w:val="clear" w:color="auto" w:fill="auto"/>
            <w:vAlign w:val="center"/>
            <w:hideMark/>
          </w:tcPr>
          <w:p w:rsidR="00DA796D" w:rsidRPr="005911E2" w:rsidRDefault="00DA796D" w:rsidP="008E5400">
            <w:pPr>
              <w:pStyle w:val="braytabletext"/>
              <w:jc w:val="right"/>
            </w:pPr>
            <w:r w:rsidRPr="005911E2">
              <w:t> Number</w:t>
            </w:r>
            <w:r w:rsidR="00EA1CD7" w:rsidRPr="005911E2">
              <w:t xml:space="preserve"> (a)</w:t>
            </w:r>
          </w:p>
        </w:tc>
        <w:tc>
          <w:tcPr>
            <w:tcW w:w="887" w:type="dxa"/>
            <w:tcBorders>
              <w:top w:val="single" w:sz="4" w:space="0" w:color="auto"/>
              <w:bottom w:val="single" w:sz="4" w:space="0" w:color="auto"/>
            </w:tcBorders>
            <w:shd w:val="clear" w:color="auto" w:fill="auto"/>
            <w:vAlign w:val="center"/>
            <w:hideMark/>
          </w:tcPr>
          <w:p w:rsidR="00DA796D" w:rsidRPr="005911E2" w:rsidRDefault="00DA796D" w:rsidP="008E5400">
            <w:pPr>
              <w:pStyle w:val="braytabletext"/>
              <w:jc w:val="right"/>
            </w:pPr>
            <w:r w:rsidRPr="005911E2">
              <w:t>- % -</w:t>
            </w:r>
          </w:p>
        </w:tc>
      </w:tr>
      <w:tr w:rsidR="00DA796D" w:rsidRPr="005911E2" w:rsidTr="00351FF6">
        <w:trPr>
          <w:trHeight w:val="300"/>
        </w:trPr>
        <w:tc>
          <w:tcPr>
            <w:tcW w:w="3775" w:type="dxa"/>
            <w:tcBorders>
              <w:top w:val="single" w:sz="4" w:space="0" w:color="auto"/>
            </w:tcBorders>
            <w:shd w:val="clear" w:color="auto" w:fill="auto"/>
            <w:vAlign w:val="center"/>
            <w:hideMark/>
          </w:tcPr>
          <w:p w:rsidR="00DA796D" w:rsidRPr="005911E2" w:rsidRDefault="00DA796D" w:rsidP="008E5400">
            <w:pPr>
              <w:pStyle w:val="braytabletext"/>
            </w:pPr>
            <w:r w:rsidRPr="005911E2">
              <w:t>Food retailers (including supermarkets)</w:t>
            </w:r>
          </w:p>
        </w:tc>
        <w:tc>
          <w:tcPr>
            <w:tcW w:w="1717" w:type="dxa"/>
            <w:tcBorders>
              <w:top w:val="single" w:sz="4" w:space="0" w:color="auto"/>
            </w:tcBorders>
            <w:shd w:val="clear" w:color="auto" w:fill="auto"/>
            <w:vAlign w:val="center"/>
            <w:hideMark/>
          </w:tcPr>
          <w:p w:rsidR="00DA796D" w:rsidRPr="005911E2" w:rsidRDefault="00DA796D" w:rsidP="008E5400">
            <w:pPr>
              <w:pStyle w:val="braytabletext"/>
              <w:jc w:val="right"/>
            </w:pPr>
            <w:r w:rsidRPr="005911E2">
              <w:t>49</w:t>
            </w:r>
          </w:p>
        </w:tc>
        <w:tc>
          <w:tcPr>
            <w:tcW w:w="887" w:type="dxa"/>
            <w:tcBorders>
              <w:top w:val="single" w:sz="4" w:space="0" w:color="auto"/>
            </w:tcBorders>
            <w:shd w:val="clear" w:color="auto" w:fill="auto"/>
            <w:vAlign w:val="center"/>
            <w:hideMark/>
          </w:tcPr>
          <w:p w:rsidR="00DA796D" w:rsidRPr="005911E2" w:rsidRDefault="00DA796D" w:rsidP="008E5400">
            <w:pPr>
              <w:pStyle w:val="braytabletext"/>
              <w:jc w:val="right"/>
            </w:pPr>
            <w:r w:rsidRPr="005911E2">
              <w:t>48</w:t>
            </w:r>
          </w:p>
        </w:tc>
      </w:tr>
      <w:tr w:rsidR="00DA796D" w:rsidRPr="005911E2" w:rsidTr="00351FF6">
        <w:trPr>
          <w:trHeight w:val="300"/>
        </w:trPr>
        <w:tc>
          <w:tcPr>
            <w:tcW w:w="3775" w:type="dxa"/>
            <w:shd w:val="clear" w:color="auto" w:fill="auto"/>
            <w:vAlign w:val="center"/>
            <w:hideMark/>
          </w:tcPr>
          <w:p w:rsidR="00DA796D" w:rsidRPr="005911E2" w:rsidRDefault="00DA796D" w:rsidP="008E5400">
            <w:pPr>
              <w:pStyle w:val="braytabletext"/>
            </w:pPr>
            <w:r w:rsidRPr="005911E2">
              <w:t>Other retail</w:t>
            </w:r>
          </w:p>
        </w:tc>
        <w:tc>
          <w:tcPr>
            <w:tcW w:w="1717" w:type="dxa"/>
            <w:shd w:val="clear" w:color="auto" w:fill="auto"/>
            <w:vAlign w:val="center"/>
            <w:hideMark/>
          </w:tcPr>
          <w:p w:rsidR="00DA796D" w:rsidRPr="005911E2" w:rsidRDefault="00DA796D" w:rsidP="008E5400">
            <w:pPr>
              <w:pStyle w:val="braytabletext"/>
              <w:jc w:val="right"/>
            </w:pPr>
            <w:r w:rsidRPr="005911E2">
              <w:t>49</w:t>
            </w:r>
          </w:p>
        </w:tc>
        <w:tc>
          <w:tcPr>
            <w:tcW w:w="887" w:type="dxa"/>
            <w:shd w:val="clear" w:color="auto" w:fill="auto"/>
            <w:vAlign w:val="center"/>
            <w:hideMark/>
          </w:tcPr>
          <w:p w:rsidR="00DA796D" w:rsidRPr="005911E2" w:rsidRDefault="00DA796D" w:rsidP="008E5400">
            <w:pPr>
              <w:pStyle w:val="braytabletext"/>
              <w:jc w:val="right"/>
            </w:pPr>
            <w:r w:rsidRPr="005911E2">
              <w:t>48</w:t>
            </w:r>
          </w:p>
        </w:tc>
      </w:tr>
      <w:tr w:rsidR="00DA796D" w:rsidRPr="005911E2" w:rsidTr="00351FF6">
        <w:trPr>
          <w:trHeight w:val="300"/>
        </w:trPr>
        <w:tc>
          <w:tcPr>
            <w:tcW w:w="3775" w:type="dxa"/>
            <w:shd w:val="clear" w:color="auto" w:fill="auto"/>
            <w:vAlign w:val="center"/>
            <w:hideMark/>
          </w:tcPr>
          <w:p w:rsidR="00DA796D" w:rsidRPr="005911E2" w:rsidRDefault="00EA1CD7" w:rsidP="008E5400">
            <w:pPr>
              <w:pStyle w:val="braytabletext"/>
            </w:pPr>
            <w:r w:rsidRPr="005911E2">
              <w:t>Non-retail (b)</w:t>
            </w:r>
          </w:p>
        </w:tc>
        <w:tc>
          <w:tcPr>
            <w:tcW w:w="1717" w:type="dxa"/>
            <w:shd w:val="clear" w:color="auto" w:fill="auto"/>
            <w:vAlign w:val="center"/>
            <w:hideMark/>
          </w:tcPr>
          <w:p w:rsidR="00DA796D" w:rsidRPr="005911E2" w:rsidRDefault="00DA796D" w:rsidP="008E5400">
            <w:pPr>
              <w:pStyle w:val="braytabletext"/>
              <w:jc w:val="right"/>
            </w:pPr>
            <w:r w:rsidRPr="005911E2">
              <w:t>19</w:t>
            </w:r>
          </w:p>
        </w:tc>
        <w:tc>
          <w:tcPr>
            <w:tcW w:w="887" w:type="dxa"/>
            <w:shd w:val="clear" w:color="auto" w:fill="auto"/>
            <w:vAlign w:val="center"/>
            <w:hideMark/>
          </w:tcPr>
          <w:p w:rsidR="00DA796D" w:rsidRPr="005911E2" w:rsidRDefault="00DA796D" w:rsidP="008E5400">
            <w:pPr>
              <w:pStyle w:val="braytabletext"/>
              <w:jc w:val="right"/>
            </w:pPr>
            <w:r w:rsidRPr="005911E2">
              <w:t>18</w:t>
            </w:r>
          </w:p>
        </w:tc>
      </w:tr>
      <w:tr w:rsidR="00DA796D" w:rsidRPr="005911E2" w:rsidTr="00351FF6">
        <w:trPr>
          <w:trHeight w:val="300"/>
        </w:trPr>
        <w:tc>
          <w:tcPr>
            <w:tcW w:w="3775" w:type="dxa"/>
            <w:shd w:val="clear" w:color="auto" w:fill="auto"/>
            <w:vAlign w:val="center"/>
            <w:hideMark/>
          </w:tcPr>
          <w:p w:rsidR="00DA796D" w:rsidRPr="005911E2" w:rsidRDefault="00DA796D" w:rsidP="008E5400">
            <w:pPr>
              <w:pStyle w:val="braytabletext"/>
            </w:pPr>
            <w:r w:rsidRPr="005911E2">
              <w:t>Community stores</w:t>
            </w:r>
          </w:p>
        </w:tc>
        <w:tc>
          <w:tcPr>
            <w:tcW w:w="1717" w:type="dxa"/>
            <w:shd w:val="clear" w:color="auto" w:fill="auto"/>
            <w:vAlign w:val="center"/>
            <w:hideMark/>
          </w:tcPr>
          <w:p w:rsidR="00DA796D" w:rsidRPr="005911E2" w:rsidRDefault="00DA796D" w:rsidP="008E5400">
            <w:pPr>
              <w:pStyle w:val="braytabletext"/>
              <w:jc w:val="right"/>
            </w:pPr>
            <w:r w:rsidRPr="005911E2">
              <w:t>17</w:t>
            </w:r>
          </w:p>
        </w:tc>
        <w:tc>
          <w:tcPr>
            <w:tcW w:w="887" w:type="dxa"/>
            <w:shd w:val="clear" w:color="auto" w:fill="auto"/>
            <w:vAlign w:val="center"/>
            <w:hideMark/>
          </w:tcPr>
          <w:p w:rsidR="00DA796D" w:rsidRPr="005911E2" w:rsidRDefault="00DA796D" w:rsidP="008E5400">
            <w:pPr>
              <w:pStyle w:val="braytabletext"/>
              <w:jc w:val="right"/>
            </w:pPr>
            <w:r w:rsidRPr="005911E2">
              <w:t>17</w:t>
            </w:r>
          </w:p>
        </w:tc>
      </w:tr>
      <w:tr w:rsidR="00DA796D" w:rsidRPr="005911E2" w:rsidTr="00351FF6">
        <w:trPr>
          <w:trHeight w:val="320"/>
        </w:trPr>
        <w:tc>
          <w:tcPr>
            <w:tcW w:w="3775" w:type="dxa"/>
            <w:tcBorders>
              <w:bottom w:val="single" w:sz="4" w:space="0" w:color="auto"/>
            </w:tcBorders>
            <w:shd w:val="clear" w:color="auto" w:fill="auto"/>
            <w:vAlign w:val="center"/>
            <w:hideMark/>
          </w:tcPr>
          <w:p w:rsidR="00DA796D" w:rsidRPr="005911E2" w:rsidRDefault="00DA796D" w:rsidP="008E5400">
            <w:pPr>
              <w:pStyle w:val="braytabletext"/>
              <w:rPr>
                <w:i/>
                <w:iCs/>
              </w:rPr>
            </w:pPr>
            <w:r w:rsidRPr="005911E2">
              <w:rPr>
                <w:i/>
                <w:iCs/>
              </w:rPr>
              <w:t xml:space="preserve">Total number of interviews </w:t>
            </w:r>
          </w:p>
        </w:tc>
        <w:tc>
          <w:tcPr>
            <w:tcW w:w="1717" w:type="dxa"/>
            <w:tcBorders>
              <w:bottom w:val="single" w:sz="4" w:space="0" w:color="auto"/>
            </w:tcBorders>
            <w:shd w:val="clear" w:color="auto" w:fill="auto"/>
            <w:vAlign w:val="center"/>
            <w:hideMark/>
          </w:tcPr>
          <w:p w:rsidR="00DA796D" w:rsidRPr="005911E2" w:rsidRDefault="00DA796D" w:rsidP="008E5400">
            <w:pPr>
              <w:pStyle w:val="braytabletext"/>
              <w:jc w:val="right"/>
            </w:pPr>
            <w:r w:rsidRPr="005911E2">
              <w:t>103</w:t>
            </w:r>
          </w:p>
        </w:tc>
        <w:tc>
          <w:tcPr>
            <w:tcW w:w="887" w:type="dxa"/>
            <w:tcBorders>
              <w:bottom w:val="single" w:sz="4" w:space="0" w:color="auto"/>
            </w:tcBorders>
            <w:shd w:val="clear" w:color="auto" w:fill="auto"/>
            <w:vAlign w:val="center"/>
            <w:hideMark/>
          </w:tcPr>
          <w:p w:rsidR="00DA796D" w:rsidRPr="005911E2" w:rsidRDefault="00DA796D" w:rsidP="008E5400">
            <w:pPr>
              <w:pStyle w:val="braytabletext"/>
              <w:jc w:val="right"/>
            </w:pPr>
            <w:r w:rsidRPr="005911E2">
              <w:t>100</w:t>
            </w:r>
          </w:p>
        </w:tc>
      </w:tr>
      <w:tr w:rsidR="00DA796D" w:rsidRPr="005911E2" w:rsidTr="00351FF6">
        <w:trPr>
          <w:trHeight w:val="340"/>
        </w:trPr>
        <w:tc>
          <w:tcPr>
            <w:tcW w:w="3775" w:type="dxa"/>
            <w:tcBorders>
              <w:top w:val="single" w:sz="4" w:space="0" w:color="auto"/>
            </w:tcBorders>
            <w:shd w:val="clear" w:color="auto" w:fill="auto"/>
            <w:vAlign w:val="center"/>
            <w:hideMark/>
          </w:tcPr>
          <w:p w:rsidR="00DA796D" w:rsidRPr="005911E2" w:rsidRDefault="00DA796D" w:rsidP="008E5400">
            <w:pPr>
              <w:pStyle w:val="braytabletext"/>
            </w:pPr>
            <w:r w:rsidRPr="005911E2">
              <w:t xml:space="preserve">Contract type </w:t>
            </w:r>
          </w:p>
        </w:tc>
        <w:tc>
          <w:tcPr>
            <w:tcW w:w="1717" w:type="dxa"/>
            <w:tcBorders>
              <w:top w:val="single" w:sz="4" w:space="0" w:color="auto"/>
            </w:tcBorders>
            <w:shd w:val="clear" w:color="auto" w:fill="auto"/>
            <w:vAlign w:val="center"/>
            <w:hideMark/>
          </w:tcPr>
          <w:p w:rsidR="00DA796D" w:rsidRPr="005911E2" w:rsidRDefault="00DA796D" w:rsidP="008E5400">
            <w:pPr>
              <w:pStyle w:val="braytabletext"/>
              <w:jc w:val="right"/>
            </w:pPr>
            <w:r w:rsidRPr="005911E2">
              <w:t xml:space="preserve"> </w:t>
            </w:r>
          </w:p>
        </w:tc>
        <w:tc>
          <w:tcPr>
            <w:tcW w:w="887" w:type="dxa"/>
            <w:tcBorders>
              <w:top w:val="single" w:sz="4" w:space="0" w:color="auto"/>
            </w:tcBorders>
            <w:shd w:val="clear" w:color="auto" w:fill="auto"/>
            <w:vAlign w:val="center"/>
            <w:hideMark/>
          </w:tcPr>
          <w:p w:rsidR="00DA796D" w:rsidRPr="005911E2" w:rsidRDefault="00DA796D" w:rsidP="008E5400">
            <w:pPr>
              <w:pStyle w:val="braytabletext"/>
              <w:jc w:val="right"/>
            </w:pPr>
            <w:r w:rsidRPr="005911E2">
              <w:t xml:space="preserve"> </w:t>
            </w:r>
          </w:p>
        </w:tc>
      </w:tr>
      <w:tr w:rsidR="00DA796D" w:rsidRPr="005911E2" w:rsidTr="00351FF6">
        <w:trPr>
          <w:trHeight w:val="300"/>
        </w:trPr>
        <w:tc>
          <w:tcPr>
            <w:tcW w:w="3775" w:type="dxa"/>
            <w:shd w:val="clear" w:color="auto" w:fill="auto"/>
            <w:vAlign w:val="center"/>
            <w:hideMark/>
          </w:tcPr>
          <w:p w:rsidR="00DA796D" w:rsidRPr="005911E2" w:rsidRDefault="00DA796D" w:rsidP="008E5400">
            <w:pPr>
              <w:pStyle w:val="braytabletext"/>
            </w:pPr>
            <w:r w:rsidRPr="005911E2">
              <w:t>Schedule 4</w:t>
            </w:r>
          </w:p>
        </w:tc>
        <w:tc>
          <w:tcPr>
            <w:tcW w:w="1717" w:type="dxa"/>
            <w:shd w:val="clear" w:color="auto" w:fill="auto"/>
            <w:vAlign w:val="center"/>
            <w:hideMark/>
          </w:tcPr>
          <w:p w:rsidR="00DA796D" w:rsidRPr="005911E2" w:rsidRDefault="00DA796D" w:rsidP="008E5400">
            <w:pPr>
              <w:pStyle w:val="braytabletext"/>
              <w:jc w:val="right"/>
            </w:pPr>
            <w:r w:rsidRPr="005911E2">
              <w:t>19</w:t>
            </w:r>
          </w:p>
        </w:tc>
        <w:tc>
          <w:tcPr>
            <w:tcW w:w="887" w:type="dxa"/>
            <w:shd w:val="clear" w:color="auto" w:fill="auto"/>
            <w:vAlign w:val="center"/>
            <w:hideMark/>
          </w:tcPr>
          <w:p w:rsidR="00DA796D" w:rsidRPr="005911E2" w:rsidRDefault="00DA796D" w:rsidP="008E5400">
            <w:pPr>
              <w:pStyle w:val="braytabletext"/>
              <w:jc w:val="right"/>
            </w:pPr>
            <w:r w:rsidRPr="005911E2">
              <w:t>18</w:t>
            </w:r>
          </w:p>
        </w:tc>
      </w:tr>
      <w:tr w:rsidR="00DA796D" w:rsidRPr="005911E2" w:rsidTr="00351FF6">
        <w:trPr>
          <w:trHeight w:val="300"/>
        </w:trPr>
        <w:tc>
          <w:tcPr>
            <w:tcW w:w="3775" w:type="dxa"/>
            <w:shd w:val="clear" w:color="auto" w:fill="auto"/>
            <w:vAlign w:val="center"/>
            <w:hideMark/>
          </w:tcPr>
          <w:p w:rsidR="00DA796D" w:rsidRPr="005911E2" w:rsidRDefault="00DA796D" w:rsidP="008E5400">
            <w:pPr>
              <w:pStyle w:val="braytabletext"/>
            </w:pPr>
            <w:r w:rsidRPr="005911E2">
              <w:t>Schedule 5</w:t>
            </w:r>
          </w:p>
        </w:tc>
        <w:tc>
          <w:tcPr>
            <w:tcW w:w="1717" w:type="dxa"/>
            <w:shd w:val="clear" w:color="auto" w:fill="auto"/>
            <w:vAlign w:val="center"/>
            <w:hideMark/>
          </w:tcPr>
          <w:p w:rsidR="00DA796D" w:rsidRPr="005911E2" w:rsidRDefault="00DA796D" w:rsidP="008E5400">
            <w:pPr>
              <w:pStyle w:val="braytabletext"/>
              <w:jc w:val="right"/>
            </w:pPr>
            <w:r w:rsidRPr="005911E2">
              <w:t>27</w:t>
            </w:r>
          </w:p>
        </w:tc>
        <w:tc>
          <w:tcPr>
            <w:tcW w:w="887" w:type="dxa"/>
            <w:shd w:val="clear" w:color="auto" w:fill="auto"/>
            <w:vAlign w:val="center"/>
            <w:hideMark/>
          </w:tcPr>
          <w:p w:rsidR="00DA796D" w:rsidRPr="005911E2" w:rsidRDefault="00DA796D" w:rsidP="008E5400">
            <w:pPr>
              <w:pStyle w:val="braytabletext"/>
              <w:jc w:val="right"/>
            </w:pPr>
            <w:r w:rsidRPr="005911E2">
              <w:t>26</w:t>
            </w:r>
          </w:p>
        </w:tc>
      </w:tr>
      <w:tr w:rsidR="00DA796D" w:rsidRPr="005911E2" w:rsidTr="00351FF6">
        <w:trPr>
          <w:trHeight w:val="300"/>
        </w:trPr>
        <w:tc>
          <w:tcPr>
            <w:tcW w:w="3775" w:type="dxa"/>
            <w:shd w:val="clear" w:color="auto" w:fill="auto"/>
            <w:vAlign w:val="center"/>
            <w:hideMark/>
          </w:tcPr>
          <w:p w:rsidR="00DA796D" w:rsidRPr="005911E2" w:rsidRDefault="00DA796D" w:rsidP="008E5400">
            <w:pPr>
              <w:pStyle w:val="braytabletext"/>
            </w:pPr>
            <w:r w:rsidRPr="005911E2">
              <w:t>BasicsCard</w:t>
            </w:r>
          </w:p>
        </w:tc>
        <w:tc>
          <w:tcPr>
            <w:tcW w:w="1717" w:type="dxa"/>
            <w:shd w:val="clear" w:color="auto" w:fill="auto"/>
            <w:vAlign w:val="center"/>
            <w:hideMark/>
          </w:tcPr>
          <w:p w:rsidR="00DA796D" w:rsidRPr="005911E2" w:rsidRDefault="00DA796D" w:rsidP="008E5400">
            <w:pPr>
              <w:pStyle w:val="braytabletext"/>
              <w:jc w:val="right"/>
            </w:pPr>
            <w:r w:rsidRPr="005911E2">
              <w:t>88</w:t>
            </w:r>
          </w:p>
        </w:tc>
        <w:tc>
          <w:tcPr>
            <w:tcW w:w="887" w:type="dxa"/>
            <w:shd w:val="clear" w:color="auto" w:fill="auto"/>
            <w:vAlign w:val="center"/>
            <w:hideMark/>
          </w:tcPr>
          <w:p w:rsidR="00DA796D" w:rsidRPr="005911E2" w:rsidRDefault="00DA796D" w:rsidP="008E5400">
            <w:pPr>
              <w:pStyle w:val="braytabletext"/>
              <w:jc w:val="right"/>
            </w:pPr>
            <w:r w:rsidRPr="005911E2">
              <w:t>85</w:t>
            </w:r>
          </w:p>
        </w:tc>
      </w:tr>
      <w:tr w:rsidR="00DA796D" w:rsidRPr="005911E2" w:rsidTr="00351FF6">
        <w:trPr>
          <w:trHeight w:val="320"/>
        </w:trPr>
        <w:tc>
          <w:tcPr>
            <w:tcW w:w="3775" w:type="dxa"/>
            <w:tcBorders>
              <w:bottom w:val="single" w:sz="4" w:space="0" w:color="auto"/>
            </w:tcBorders>
            <w:shd w:val="clear" w:color="auto" w:fill="auto"/>
            <w:vAlign w:val="center"/>
            <w:hideMark/>
          </w:tcPr>
          <w:p w:rsidR="00DA796D" w:rsidRPr="005911E2" w:rsidRDefault="00DA796D" w:rsidP="008E5400">
            <w:pPr>
              <w:pStyle w:val="braytabletext"/>
              <w:rPr>
                <w:i/>
                <w:iCs/>
              </w:rPr>
            </w:pPr>
            <w:r w:rsidRPr="005911E2">
              <w:rPr>
                <w:i/>
                <w:iCs/>
              </w:rPr>
              <w:t xml:space="preserve">Total number of interviews </w:t>
            </w:r>
          </w:p>
        </w:tc>
        <w:tc>
          <w:tcPr>
            <w:tcW w:w="1717" w:type="dxa"/>
            <w:tcBorders>
              <w:bottom w:val="single" w:sz="4" w:space="0" w:color="auto"/>
            </w:tcBorders>
            <w:shd w:val="clear" w:color="auto" w:fill="auto"/>
            <w:vAlign w:val="center"/>
            <w:hideMark/>
          </w:tcPr>
          <w:p w:rsidR="00DA796D" w:rsidRPr="005911E2" w:rsidRDefault="00DA796D" w:rsidP="008E5400">
            <w:pPr>
              <w:pStyle w:val="braytabletext"/>
              <w:jc w:val="right"/>
            </w:pPr>
            <w:r w:rsidRPr="005911E2">
              <w:t>103</w:t>
            </w:r>
          </w:p>
        </w:tc>
        <w:tc>
          <w:tcPr>
            <w:tcW w:w="887" w:type="dxa"/>
            <w:tcBorders>
              <w:bottom w:val="single" w:sz="4" w:space="0" w:color="auto"/>
            </w:tcBorders>
            <w:shd w:val="clear" w:color="auto" w:fill="auto"/>
            <w:vAlign w:val="center"/>
            <w:hideMark/>
          </w:tcPr>
          <w:p w:rsidR="00DA796D" w:rsidRPr="005911E2" w:rsidRDefault="00DA796D" w:rsidP="008E5400">
            <w:pPr>
              <w:pStyle w:val="braytabletext"/>
              <w:jc w:val="right"/>
            </w:pPr>
            <w:r w:rsidRPr="005911E2">
              <w:t>100</w:t>
            </w:r>
          </w:p>
        </w:tc>
      </w:tr>
    </w:tbl>
    <w:p w:rsidR="00A57B4E" w:rsidRDefault="00EA1CD7" w:rsidP="00CF518E">
      <w:pPr>
        <w:pStyle w:val="tablefootnotes"/>
      </w:pPr>
      <w:r w:rsidRPr="005911E2">
        <w:t xml:space="preserve">Notes: </w:t>
      </w:r>
      <w:r w:rsidRPr="005911E2">
        <w:tab/>
      </w:r>
    </w:p>
    <w:p w:rsidR="00DA796D" w:rsidRPr="005911E2" w:rsidRDefault="00EA1CD7" w:rsidP="00CF518E">
      <w:pPr>
        <w:pStyle w:val="tablefootnotes"/>
      </w:pPr>
      <w:r w:rsidRPr="005911E2">
        <w:t>(a)</w:t>
      </w:r>
      <w:r w:rsidR="00A57B4E">
        <w:tab/>
      </w:r>
      <w:r w:rsidR="00DA796D" w:rsidRPr="005911E2">
        <w:t xml:space="preserve">Businesses could be more than one </w:t>
      </w:r>
      <w:r w:rsidR="0093458C">
        <w:t>‘</w:t>
      </w:r>
      <w:r w:rsidR="00DA796D" w:rsidRPr="005911E2">
        <w:t>type</w:t>
      </w:r>
      <w:r w:rsidR="0093458C">
        <w:t>’</w:t>
      </w:r>
      <w:r w:rsidR="00DA796D" w:rsidRPr="005911E2">
        <w:t xml:space="preserve"> of business and hold more than one type of contract</w:t>
      </w:r>
      <w:r w:rsidR="0093458C">
        <w:t>,</w:t>
      </w:r>
      <w:r w:rsidR="00DA796D" w:rsidRPr="005911E2">
        <w:t xml:space="preserve"> so the sum is greater than 103.</w:t>
      </w:r>
    </w:p>
    <w:p w:rsidR="00DA796D" w:rsidRPr="005911E2" w:rsidRDefault="00EA1CD7" w:rsidP="00CF518E">
      <w:pPr>
        <w:pStyle w:val="tablefootnotes"/>
      </w:pPr>
      <w:r w:rsidRPr="005911E2">
        <w:t>(b)</w:t>
      </w:r>
      <w:r w:rsidR="00DA796D" w:rsidRPr="005911E2">
        <w:t xml:space="preserve"> </w:t>
      </w:r>
      <w:r w:rsidR="00A57B4E">
        <w:tab/>
      </w:r>
      <w:r w:rsidR="00DA796D" w:rsidRPr="005911E2">
        <w:t>Non-retail businesses in</w:t>
      </w:r>
      <w:r w:rsidR="0093458C">
        <w:t>clude</w:t>
      </w:r>
      <w:r w:rsidR="00DA796D" w:rsidRPr="005911E2">
        <w:t xml:space="preserve"> businesses/providers that were more service oriented such as accountants and bookkeeping, local council services, school programs such as tuckshops, as well </w:t>
      </w:r>
      <w:r w:rsidR="00BE5ECB">
        <w:t xml:space="preserve">as </w:t>
      </w:r>
      <w:r w:rsidR="00DA796D" w:rsidRPr="005911E2">
        <w:t xml:space="preserve">residential aged care services and housing services. </w:t>
      </w:r>
    </w:p>
    <w:p w:rsidR="00DA796D" w:rsidRDefault="00DA796D" w:rsidP="00CB5D8B">
      <w:pPr>
        <w:pStyle w:val="tablefootnoteslastline"/>
      </w:pPr>
      <w:r w:rsidRPr="005911E2">
        <w:t xml:space="preserve">Source: </w:t>
      </w:r>
      <w:r w:rsidR="00D0501F">
        <w:tab/>
      </w:r>
      <w:r w:rsidRPr="005911E2">
        <w:t>Survey of Merchants 2011</w:t>
      </w:r>
      <w:r w:rsidR="00EF6C17">
        <w:t>.</w:t>
      </w:r>
    </w:p>
    <w:p w:rsidR="00CB5D8B" w:rsidRPr="005911E2" w:rsidRDefault="00CB5D8B" w:rsidP="00CB5D8B">
      <w:pPr>
        <w:pStyle w:val="tablefootnoteslastline"/>
      </w:pPr>
    </w:p>
    <w:p w:rsidR="00DA796D" w:rsidRPr="005911E2" w:rsidRDefault="00DA796D" w:rsidP="00DA796D">
      <w:pPr>
        <w:rPr>
          <w:lang w:eastAsia="en-AU"/>
        </w:rPr>
      </w:pPr>
      <w:r w:rsidRPr="005911E2">
        <w:rPr>
          <w:lang w:eastAsia="en-AU"/>
        </w:rPr>
        <w:t>The survey focused on two broad areas. The first was how well NIM was operating in their business – did they have the information and training they needed and how well was the BasicsCard working</w:t>
      </w:r>
      <w:r w:rsidR="0093458C">
        <w:rPr>
          <w:lang w:eastAsia="en-AU"/>
        </w:rPr>
        <w:t>?</w:t>
      </w:r>
      <w:r w:rsidRPr="005911E2">
        <w:rPr>
          <w:rFonts w:asciiTheme="minorHAnsi" w:hAnsiTheme="minorHAnsi"/>
          <w:vertAlign w:val="superscript"/>
          <w:lang w:eastAsia="en-AU"/>
        </w:rPr>
        <w:footnoteReference w:id="94"/>
      </w:r>
      <w:r w:rsidRPr="005911E2">
        <w:rPr>
          <w:lang w:eastAsia="en-AU"/>
        </w:rPr>
        <w:t xml:space="preserve"> The second was how </w:t>
      </w:r>
      <w:r w:rsidR="00F878E4">
        <w:rPr>
          <w:lang w:eastAsia="en-AU"/>
        </w:rPr>
        <w:t>income management</w:t>
      </w:r>
      <w:r w:rsidRPr="005911E2">
        <w:rPr>
          <w:lang w:eastAsia="en-AU"/>
        </w:rPr>
        <w:t xml:space="preserve"> was impacting on their customers.</w:t>
      </w:r>
    </w:p>
    <w:p w:rsidR="00DA796D" w:rsidRPr="005911E2" w:rsidRDefault="00DA796D" w:rsidP="00DA796D">
      <w:pPr>
        <w:rPr>
          <w:lang w:eastAsia="en-AU"/>
        </w:rPr>
      </w:pPr>
      <w:r w:rsidRPr="005911E2">
        <w:rPr>
          <w:lang w:eastAsia="en-AU"/>
        </w:rPr>
        <w:t xml:space="preserve">Most respondents whose businesses are </w:t>
      </w:r>
      <w:r w:rsidR="00D0501F">
        <w:rPr>
          <w:lang w:eastAsia="en-AU"/>
        </w:rPr>
        <w:t>approved</w:t>
      </w:r>
      <w:r w:rsidR="00D0501F" w:rsidRPr="005911E2">
        <w:rPr>
          <w:lang w:eastAsia="en-AU"/>
        </w:rPr>
        <w:t xml:space="preserve"> </w:t>
      </w:r>
      <w:r w:rsidRPr="005911E2">
        <w:rPr>
          <w:lang w:eastAsia="en-AU"/>
        </w:rPr>
        <w:t xml:space="preserve">for the BasicsCard indicated that they considered their level of understanding of the terms and conditions of </w:t>
      </w:r>
      <w:r w:rsidR="0093458C">
        <w:rPr>
          <w:lang w:eastAsia="en-AU"/>
        </w:rPr>
        <w:t>accepting</w:t>
      </w:r>
      <w:r w:rsidRPr="005911E2">
        <w:rPr>
          <w:lang w:eastAsia="en-AU"/>
        </w:rPr>
        <w:t xml:space="preserve"> the BasicsCard was very high (42 per cent) or high (33 per cent). A further 23 per cent reported that they had a moderate understanding of the terms and conditions of operating the Basics</w:t>
      </w:r>
      <w:r w:rsidR="0093458C">
        <w:rPr>
          <w:lang w:eastAsia="en-AU"/>
        </w:rPr>
        <w:t>C</w:t>
      </w:r>
      <w:r w:rsidRPr="005911E2">
        <w:rPr>
          <w:lang w:eastAsia="en-AU"/>
        </w:rPr>
        <w:t>ard</w:t>
      </w:r>
      <w:r w:rsidR="0093458C">
        <w:rPr>
          <w:lang w:eastAsia="en-AU"/>
        </w:rPr>
        <w:t>,</w:t>
      </w:r>
      <w:r w:rsidR="00C56AA3">
        <w:rPr>
          <w:lang w:eastAsia="en-AU"/>
        </w:rPr>
        <w:t xml:space="preserve"> and only 2 </w:t>
      </w:r>
      <w:r w:rsidRPr="005911E2">
        <w:rPr>
          <w:lang w:eastAsia="en-AU"/>
        </w:rPr>
        <w:t xml:space="preserve">per cent indicated a low level of understanding. </w:t>
      </w:r>
    </w:p>
    <w:p w:rsidR="00DA796D" w:rsidRPr="005911E2" w:rsidRDefault="00DA796D" w:rsidP="00DA796D">
      <w:pPr>
        <w:rPr>
          <w:lang w:eastAsia="en-AU"/>
        </w:rPr>
      </w:pPr>
      <w:r w:rsidRPr="005911E2">
        <w:rPr>
          <w:lang w:eastAsia="en-AU"/>
        </w:rPr>
        <w:t>When asked if they had enough information and training about the Basics</w:t>
      </w:r>
      <w:r w:rsidR="0093458C">
        <w:rPr>
          <w:lang w:eastAsia="en-AU"/>
        </w:rPr>
        <w:t>C</w:t>
      </w:r>
      <w:r w:rsidRPr="005911E2">
        <w:rPr>
          <w:lang w:eastAsia="en-AU"/>
        </w:rPr>
        <w:t xml:space="preserve">ard to do their job effectively, 88 per cent responded ‘yes, fully’ and a further 11 per cent responded ‘yes, partially’. Only </w:t>
      </w:r>
      <w:r w:rsidR="0093458C">
        <w:rPr>
          <w:lang w:eastAsia="en-AU"/>
        </w:rPr>
        <w:t>one</w:t>
      </w:r>
      <w:r w:rsidRPr="005911E2">
        <w:rPr>
          <w:lang w:eastAsia="en-AU"/>
        </w:rPr>
        <w:t xml:space="preserve"> person responded ‘no’.</w:t>
      </w:r>
      <w:r w:rsidR="00B62B2D">
        <w:rPr>
          <w:lang w:eastAsia="en-AU"/>
        </w:rPr>
        <w:t xml:space="preserve"> </w:t>
      </w:r>
      <w:r w:rsidRPr="005911E2">
        <w:rPr>
          <w:lang w:eastAsia="en-AU"/>
        </w:rPr>
        <w:t xml:space="preserve">In response to a question as to whether they would like any additional information about the BasicsCard, most said no. </w:t>
      </w:r>
      <w:r w:rsidR="0093458C">
        <w:rPr>
          <w:lang w:eastAsia="en-AU"/>
        </w:rPr>
        <w:t>However, s</w:t>
      </w:r>
      <w:r w:rsidRPr="005911E2">
        <w:rPr>
          <w:lang w:eastAsia="en-AU"/>
        </w:rPr>
        <w:t xml:space="preserve">ome indicated that the information could be presented more simply and that updates needed to be prompt. </w:t>
      </w:r>
    </w:p>
    <w:p w:rsidR="00DA796D" w:rsidRPr="005911E2" w:rsidRDefault="00DA796D" w:rsidP="00EA1CD7">
      <w:pPr>
        <w:pStyle w:val="tabfighead"/>
      </w:pPr>
      <w:bookmarkStart w:id="944" w:name="_Toc321254580"/>
      <w:bookmarkStart w:id="945" w:name="_Toc321430461"/>
      <w:bookmarkStart w:id="946" w:name="_Toc321761731"/>
      <w:bookmarkStart w:id="947" w:name="_Toc328601628"/>
      <w:bookmarkStart w:id="948" w:name="_Toc329051406"/>
      <w:bookmarkStart w:id="949" w:name="_Toc335915894"/>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9</w:t>
      </w:r>
      <w:r w:rsidR="00C7347D" w:rsidRPr="005911E2">
        <w:rPr>
          <w:noProof/>
        </w:rPr>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16</w:t>
      </w:r>
      <w:r w:rsidR="00C7347D" w:rsidRPr="005911E2">
        <w:rPr>
          <w:noProof/>
        </w:rPr>
        <w:fldChar w:fldCharType="end"/>
      </w:r>
      <w:r w:rsidRPr="005911E2">
        <w:t xml:space="preserve"> </w:t>
      </w:r>
      <w:r w:rsidR="00691035">
        <w:tab/>
      </w:r>
      <w:r w:rsidRPr="005911E2">
        <w:t>Merchants</w:t>
      </w:r>
      <w:r w:rsidR="00547362" w:rsidRPr="005911E2">
        <w:t>’</w:t>
      </w:r>
      <w:r w:rsidRPr="005911E2">
        <w:t xml:space="preserve"> perceptions about impacts of NIM on their customers</w:t>
      </w:r>
      <w:bookmarkEnd w:id="944"/>
      <w:bookmarkEnd w:id="945"/>
      <w:bookmarkEnd w:id="946"/>
      <w:bookmarkEnd w:id="947"/>
      <w:bookmarkEnd w:id="948"/>
      <w:bookmarkEnd w:id="949"/>
    </w:p>
    <w:tbl>
      <w:tblPr>
        <w:tblW w:w="4681" w:type="pct"/>
        <w:tblInd w:w="567" w:type="dxa"/>
        <w:tblLayout w:type="fixed"/>
        <w:tblCellMar>
          <w:left w:w="0" w:type="dxa"/>
          <w:right w:w="57" w:type="dxa"/>
        </w:tblCellMar>
        <w:tblLook w:val="04A0" w:firstRow="1" w:lastRow="0" w:firstColumn="1" w:lastColumn="0" w:noHBand="0" w:noVBand="1"/>
      </w:tblPr>
      <w:tblGrid>
        <w:gridCol w:w="3969"/>
        <w:gridCol w:w="709"/>
        <w:gridCol w:w="709"/>
        <w:gridCol w:w="708"/>
        <w:gridCol w:w="852"/>
        <w:gridCol w:w="852"/>
        <w:gridCol w:w="567"/>
      </w:tblGrid>
      <w:tr w:rsidR="00BE5ECB" w:rsidRPr="005911E2" w:rsidTr="008E57A0">
        <w:tc>
          <w:tcPr>
            <w:tcW w:w="2372" w:type="pct"/>
            <w:tcBorders>
              <w:top w:val="single" w:sz="4" w:space="0" w:color="auto"/>
              <w:left w:val="nil"/>
              <w:bottom w:val="single" w:sz="4" w:space="0" w:color="auto"/>
              <w:right w:val="nil"/>
            </w:tcBorders>
            <w:shd w:val="clear" w:color="auto" w:fill="auto"/>
            <w:noWrap/>
            <w:vAlign w:val="bottom"/>
            <w:hideMark/>
          </w:tcPr>
          <w:p w:rsidR="00DA796D" w:rsidRPr="005911E2" w:rsidRDefault="00DA796D" w:rsidP="00CB5D8B">
            <w:pPr>
              <w:pStyle w:val="braytabletext"/>
            </w:pPr>
            <w:r w:rsidRPr="005911E2">
              <w:t> </w:t>
            </w:r>
          </w:p>
        </w:tc>
        <w:tc>
          <w:tcPr>
            <w:tcW w:w="424" w:type="pct"/>
            <w:tcBorders>
              <w:top w:val="single" w:sz="4" w:space="0" w:color="auto"/>
              <w:left w:val="nil"/>
              <w:bottom w:val="single" w:sz="4" w:space="0" w:color="auto"/>
              <w:right w:val="nil"/>
            </w:tcBorders>
            <w:shd w:val="clear" w:color="auto" w:fill="auto"/>
            <w:hideMark/>
          </w:tcPr>
          <w:p w:rsidR="00DA796D" w:rsidRPr="005911E2" w:rsidRDefault="00DA796D" w:rsidP="00CB5D8B">
            <w:pPr>
              <w:pStyle w:val="braytabletext"/>
              <w:jc w:val="right"/>
            </w:pPr>
            <w:r w:rsidRPr="005911E2">
              <w:t>Strongly agree</w:t>
            </w:r>
          </w:p>
        </w:tc>
        <w:tc>
          <w:tcPr>
            <w:tcW w:w="424" w:type="pct"/>
            <w:tcBorders>
              <w:top w:val="single" w:sz="4" w:space="0" w:color="auto"/>
              <w:left w:val="nil"/>
              <w:bottom w:val="single" w:sz="4" w:space="0" w:color="auto"/>
              <w:right w:val="nil"/>
            </w:tcBorders>
            <w:shd w:val="clear" w:color="auto" w:fill="auto"/>
            <w:hideMark/>
          </w:tcPr>
          <w:p w:rsidR="00DA796D" w:rsidRPr="005911E2" w:rsidRDefault="00DA796D" w:rsidP="00CB5D8B">
            <w:pPr>
              <w:pStyle w:val="braytabletext"/>
              <w:jc w:val="right"/>
            </w:pPr>
            <w:r w:rsidRPr="005911E2">
              <w:t xml:space="preserve">Mostly agree </w:t>
            </w:r>
          </w:p>
        </w:tc>
        <w:tc>
          <w:tcPr>
            <w:tcW w:w="423" w:type="pct"/>
            <w:tcBorders>
              <w:top w:val="single" w:sz="4" w:space="0" w:color="auto"/>
              <w:left w:val="nil"/>
              <w:bottom w:val="single" w:sz="4" w:space="0" w:color="auto"/>
              <w:right w:val="nil"/>
            </w:tcBorders>
            <w:shd w:val="clear" w:color="auto" w:fill="auto"/>
            <w:hideMark/>
          </w:tcPr>
          <w:p w:rsidR="00DA796D" w:rsidRPr="005911E2" w:rsidRDefault="00DA796D" w:rsidP="00CB5D8B">
            <w:pPr>
              <w:pStyle w:val="braytabletext"/>
              <w:jc w:val="right"/>
            </w:pPr>
            <w:r w:rsidRPr="005911E2">
              <w:t xml:space="preserve">Mostly disagree </w:t>
            </w:r>
          </w:p>
        </w:tc>
        <w:tc>
          <w:tcPr>
            <w:tcW w:w="509" w:type="pct"/>
            <w:tcBorders>
              <w:top w:val="single" w:sz="4" w:space="0" w:color="auto"/>
              <w:left w:val="nil"/>
              <w:bottom w:val="single" w:sz="4" w:space="0" w:color="auto"/>
              <w:right w:val="nil"/>
            </w:tcBorders>
            <w:shd w:val="clear" w:color="auto" w:fill="auto"/>
            <w:hideMark/>
          </w:tcPr>
          <w:p w:rsidR="00DA796D" w:rsidRPr="005911E2" w:rsidRDefault="00DA796D" w:rsidP="00CB5D8B">
            <w:pPr>
              <w:pStyle w:val="braytabletext"/>
              <w:jc w:val="right"/>
            </w:pPr>
            <w:r w:rsidRPr="005911E2">
              <w:t>Strongly disagree</w:t>
            </w:r>
          </w:p>
        </w:tc>
        <w:tc>
          <w:tcPr>
            <w:tcW w:w="509" w:type="pct"/>
            <w:tcBorders>
              <w:top w:val="single" w:sz="4" w:space="0" w:color="auto"/>
              <w:left w:val="nil"/>
              <w:bottom w:val="single" w:sz="4" w:space="0" w:color="auto"/>
              <w:right w:val="nil"/>
            </w:tcBorders>
            <w:shd w:val="clear" w:color="auto" w:fill="auto"/>
            <w:hideMark/>
          </w:tcPr>
          <w:p w:rsidR="00DA796D" w:rsidRPr="005911E2" w:rsidRDefault="00DA796D" w:rsidP="00CB5D8B">
            <w:pPr>
              <w:pStyle w:val="braytabletext"/>
              <w:jc w:val="right"/>
            </w:pPr>
            <w:r w:rsidRPr="005911E2">
              <w:t>Not applicable</w:t>
            </w:r>
          </w:p>
        </w:tc>
        <w:tc>
          <w:tcPr>
            <w:tcW w:w="339" w:type="pct"/>
            <w:tcBorders>
              <w:top w:val="single" w:sz="4" w:space="0" w:color="auto"/>
              <w:left w:val="nil"/>
              <w:bottom w:val="single" w:sz="4" w:space="0" w:color="auto"/>
              <w:right w:val="nil"/>
            </w:tcBorders>
          </w:tcPr>
          <w:p w:rsidR="00DA796D" w:rsidRPr="005911E2" w:rsidRDefault="00DA796D" w:rsidP="00CB5D8B">
            <w:pPr>
              <w:pStyle w:val="braytabletext"/>
              <w:jc w:val="right"/>
            </w:pPr>
            <w:r w:rsidRPr="005911E2">
              <w:t>Total</w:t>
            </w:r>
          </w:p>
        </w:tc>
      </w:tr>
      <w:tr w:rsidR="00BE5ECB" w:rsidRPr="005911E2" w:rsidTr="008E57A0">
        <w:tc>
          <w:tcPr>
            <w:tcW w:w="2372" w:type="pct"/>
            <w:tcBorders>
              <w:top w:val="nil"/>
              <w:left w:val="nil"/>
              <w:bottom w:val="nil"/>
              <w:right w:val="nil"/>
            </w:tcBorders>
            <w:shd w:val="clear" w:color="auto" w:fill="auto"/>
            <w:vAlign w:val="center"/>
            <w:hideMark/>
          </w:tcPr>
          <w:p w:rsidR="00DA796D" w:rsidRPr="005911E2" w:rsidRDefault="00DA796D" w:rsidP="00CB5D8B">
            <w:pPr>
              <w:pStyle w:val="braytabletext"/>
            </w:pPr>
          </w:p>
        </w:tc>
        <w:tc>
          <w:tcPr>
            <w:tcW w:w="2628" w:type="pct"/>
            <w:gridSpan w:val="6"/>
            <w:tcBorders>
              <w:top w:val="nil"/>
              <w:left w:val="nil"/>
              <w:bottom w:val="nil"/>
              <w:right w:val="nil"/>
            </w:tcBorders>
            <w:shd w:val="clear" w:color="auto" w:fill="auto"/>
            <w:vAlign w:val="bottom"/>
            <w:hideMark/>
          </w:tcPr>
          <w:p w:rsidR="00DA796D" w:rsidRPr="005911E2" w:rsidRDefault="00DA796D" w:rsidP="00CB5D8B">
            <w:pPr>
              <w:pStyle w:val="braytabletext"/>
              <w:jc w:val="center"/>
            </w:pPr>
            <w:r w:rsidRPr="005911E2">
              <w:t>- % -</w:t>
            </w:r>
          </w:p>
        </w:tc>
      </w:tr>
      <w:tr w:rsidR="00BE5ECB" w:rsidRPr="005911E2" w:rsidTr="008E57A0">
        <w:tc>
          <w:tcPr>
            <w:tcW w:w="2372" w:type="pct"/>
            <w:tcBorders>
              <w:top w:val="nil"/>
              <w:left w:val="nil"/>
              <w:bottom w:val="nil"/>
              <w:right w:val="nil"/>
            </w:tcBorders>
            <w:shd w:val="clear" w:color="auto" w:fill="auto"/>
            <w:vAlign w:val="center"/>
            <w:hideMark/>
          </w:tcPr>
          <w:p w:rsidR="00DA796D" w:rsidRPr="005911E2" w:rsidRDefault="00DA796D" w:rsidP="00CB5D8B">
            <w:pPr>
              <w:pStyle w:val="braytabletext"/>
            </w:pPr>
            <w:r w:rsidRPr="005911E2">
              <w:t>Customers using their income managed funds have more funds available for their priority needs</w:t>
            </w:r>
          </w:p>
        </w:tc>
        <w:tc>
          <w:tcPr>
            <w:tcW w:w="424" w:type="pct"/>
            <w:tcBorders>
              <w:top w:val="nil"/>
              <w:left w:val="nil"/>
              <w:bottom w:val="nil"/>
              <w:right w:val="nil"/>
            </w:tcBorders>
            <w:shd w:val="clear" w:color="auto" w:fill="auto"/>
            <w:vAlign w:val="bottom"/>
            <w:hideMark/>
          </w:tcPr>
          <w:p w:rsidR="00DA796D" w:rsidRPr="005911E2" w:rsidRDefault="00DA796D" w:rsidP="00CB5D8B">
            <w:pPr>
              <w:pStyle w:val="braytabletext"/>
              <w:jc w:val="right"/>
            </w:pPr>
            <w:r w:rsidRPr="005911E2">
              <w:t>57</w:t>
            </w:r>
          </w:p>
        </w:tc>
        <w:tc>
          <w:tcPr>
            <w:tcW w:w="424" w:type="pct"/>
            <w:tcBorders>
              <w:top w:val="nil"/>
              <w:left w:val="nil"/>
              <w:bottom w:val="nil"/>
              <w:right w:val="nil"/>
            </w:tcBorders>
            <w:shd w:val="clear" w:color="auto" w:fill="auto"/>
            <w:vAlign w:val="bottom"/>
            <w:hideMark/>
          </w:tcPr>
          <w:p w:rsidR="00DA796D" w:rsidRPr="005911E2" w:rsidRDefault="00DA796D" w:rsidP="00CB5D8B">
            <w:pPr>
              <w:pStyle w:val="braytabletext"/>
              <w:jc w:val="right"/>
            </w:pPr>
            <w:r w:rsidRPr="005911E2">
              <w:t>28</w:t>
            </w:r>
          </w:p>
        </w:tc>
        <w:tc>
          <w:tcPr>
            <w:tcW w:w="423" w:type="pct"/>
            <w:tcBorders>
              <w:top w:val="nil"/>
              <w:left w:val="nil"/>
              <w:bottom w:val="nil"/>
              <w:right w:val="nil"/>
            </w:tcBorders>
            <w:shd w:val="clear" w:color="auto" w:fill="auto"/>
            <w:vAlign w:val="bottom"/>
            <w:hideMark/>
          </w:tcPr>
          <w:p w:rsidR="00DA796D" w:rsidRPr="005911E2" w:rsidRDefault="00DA796D" w:rsidP="00CB5D8B">
            <w:pPr>
              <w:pStyle w:val="braytabletext"/>
              <w:jc w:val="right"/>
            </w:pPr>
            <w:r w:rsidRPr="005911E2">
              <w:t>6</w:t>
            </w:r>
          </w:p>
        </w:tc>
        <w:tc>
          <w:tcPr>
            <w:tcW w:w="509" w:type="pct"/>
            <w:tcBorders>
              <w:top w:val="nil"/>
              <w:left w:val="nil"/>
              <w:bottom w:val="nil"/>
              <w:right w:val="nil"/>
            </w:tcBorders>
            <w:shd w:val="clear" w:color="auto" w:fill="auto"/>
            <w:vAlign w:val="bottom"/>
            <w:hideMark/>
          </w:tcPr>
          <w:p w:rsidR="00DA796D" w:rsidRPr="005911E2" w:rsidRDefault="00DA796D" w:rsidP="00CB5D8B">
            <w:pPr>
              <w:pStyle w:val="braytabletext"/>
              <w:jc w:val="right"/>
            </w:pPr>
            <w:r w:rsidRPr="005911E2">
              <w:t>9</w:t>
            </w:r>
          </w:p>
        </w:tc>
        <w:tc>
          <w:tcPr>
            <w:tcW w:w="509" w:type="pct"/>
            <w:tcBorders>
              <w:top w:val="nil"/>
              <w:left w:val="nil"/>
              <w:bottom w:val="nil"/>
              <w:right w:val="nil"/>
            </w:tcBorders>
            <w:shd w:val="clear" w:color="auto" w:fill="auto"/>
            <w:vAlign w:val="bottom"/>
            <w:hideMark/>
          </w:tcPr>
          <w:p w:rsidR="00DA796D" w:rsidRPr="005911E2" w:rsidRDefault="00DA796D" w:rsidP="00CB5D8B">
            <w:pPr>
              <w:pStyle w:val="braytabletext"/>
              <w:jc w:val="right"/>
            </w:pPr>
            <w:r w:rsidRPr="005911E2">
              <w:t>1</w:t>
            </w:r>
          </w:p>
        </w:tc>
        <w:tc>
          <w:tcPr>
            <w:tcW w:w="339" w:type="pct"/>
            <w:tcBorders>
              <w:top w:val="nil"/>
              <w:left w:val="nil"/>
              <w:bottom w:val="nil"/>
              <w:right w:val="nil"/>
            </w:tcBorders>
            <w:vAlign w:val="bottom"/>
          </w:tcPr>
          <w:p w:rsidR="00DA796D" w:rsidRPr="005911E2" w:rsidRDefault="00DA796D" w:rsidP="00CB5D8B">
            <w:pPr>
              <w:pStyle w:val="braytabletext"/>
              <w:jc w:val="right"/>
            </w:pPr>
            <w:r w:rsidRPr="005911E2">
              <w:t>100</w:t>
            </w:r>
          </w:p>
        </w:tc>
      </w:tr>
      <w:tr w:rsidR="00BE5ECB" w:rsidRPr="005911E2" w:rsidTr="008E57A0">
        <w:tc>
          <w:tcPr>
            <w:tcW w:w="2372" w:type="pct"/>
            <w:tcBorders>
              <w:top w:val="nil"/>
              <w:left w:val="nil"/>
              <w:bottom w:val="nil"/>
              <w:right w:val="nil"/>
            </w:tcBorders>
            <w:shd w:val="clear" w:color="auto" w:fill="auto"/>
            <w:vAlign w:val="center"/>
            <w:hideMark/>
          </w:tcPr>
          <w:p w:rsidR="00DA796D" w:rsidRPr="005911E2" w:rsidRDefault="00DA796D" w:rsidP="00CB5D8B">
            <w:pPr>
              <w:pStyle w:val="braytabletext"/>
            </w:pPr>
            <w:r w:rsidRPr="005911E2">
              <w:t>Since the introduction of income management our store stocks a greater variety of healthy foods</w:t>
            </w:r>
          </w:p>
        </w:tc>
        <w:tc>
          <w:tcPr>
            <w:tcW w:w="424" w:type="pct"/>
            <w:tcBorders>
              <w:top w:val="nil"/>
              <w:left w:val="nil"/>
              <w:bottom w:val="nil"/>
              <w:right w:val="nil"/>
            </w:tcBorders>
            <w:shd w:val="clear" w:color="auto" w:fill="auto"/>
            <w:vAlign w:val="bottom"/>
            <w:hideMark/>
          </w:tcPr>
          <w:p w:rsidR="00DA796D" w:rsidRPr="005911E2" w:rsidRDefault="00DA796D" w:rsidP="00CB5D8B">
            <w:pPr>
              <w:pStyle w:val="braytabletext"/>
              <w:jc w:val="right"/>
            </w:pPr>
            <w:r w:rsidRPr="005911E2">
              <w:t>40</w:t>
            </w:r>
          </w:p>
        </w:tc>
        <w:tc>
          <w:tcPr>
            <w:tcW w:w="424" w:type="pct"/>
            <w:tcBorders>
              <w:top w:val="nil"/>
              <w:left w:val="nil"/>
              <w:bottom w:val="nil"/>
              <w:right w:val="nil"/>
            </w:tcBorders>
            <w:shd w:val="clear" w:color="auto" w:fill="auto"/>
            <w:vAlign w:val="bottom"/>
            <w:hideMark/>
          </w:tcPr>
          <w:p w:rsidR="00DA796D" w:rsidRPr="005911E2" w:rsidRDefault="00DA796D" w:rsidP="00CB5D8B">
            <w:pPr>
              <w:pStyle w:val="braytabletext"/>
              <w:jc w:val="right"/>
            </w:pPr>
            <w:r w:rsidRPr="005911E2">
              <w:t>26</w:t>
            </w:r>
          </w:p>
        </w:tc>
        <w:tc>
          <w:tcPr>
            <w:tcW w:w="423" w:type="pct"/>
            <w:tcBorders>
              <w:top w:val="nil"/>
              <w:left w:val="nil"/>
              <w:bottom w:val="nil"/>
              <w:right w:val="nil"/>
            </w:tcBorders>
            <w:shd w:val="clear" w:color="auto" w:fill="auto"/>
            <w:vAlign w:val="bottom"/>
            <w:hideMark/>
          </w:tcPr>
          <w:p w:rsidR="00DA796D" w:rsidRPr="005911E2" w:rsidRDefault="00DA796D" w:rsidP="00CB5D8B">
            <w:pPr>
              <w:pStyle w:val="braytabletext"/>
              <w:jc w:val="right"/>
            </w:pPr>
            <w:r w:rsidRPr="005911E2">
              <w:t>12</w:t>
            </w:r>
          </w:p>
        </w:tc>
        <w:tc>
          <w:tcPr>
            <w:tcW w:w="509" w:type="pct"/>
            <w:tcBorders>
              <w:top w:val="nil"/>
              <w:left w:val="nil"/>
              <w:bottom w:val="nil"/>
              <w:right w:val="nil"/>
            </w:tcBorders>
            <w:shd w:val="clear" w:color="auto" w:fill="auto"/>
            <w:vAlign w:val="bottom"/>
            <w:hideMark/>
          </w:tcPr>
          <w:p w:rsidR="00DA796D" w:rsidRPr="005911E2" w:rsidRDefault="00DA796D" w:rsidP="00CB5D8B">
            <w:pPr>
              <w:pStyle w:val="braytabletext"/>
              <w:jc w:val="right"/>
            </w:pPr>
            <w:r w:rsidRPr="005911E2">
              <w:t>21</w:t>
            </w:r>
          </w:p>
        </w:tc>
        <w:tc>
          <w:tcPr>
            <w:tcW w:w="509" w:type="pct"/>
            <w:tcBorders>
              <w:top w:val="nil"/>
              <w:left w:val="nil"/>
              <w:bottom w:val="nil"/>
              <w:right w:val="nil"/>
            </w:tcBorders>
            <w:shd w:val="clear" w:color="auto" w:fill="auto"/>
            <w:vAlign w:val="bottom"/>
            <w:hideMark/>
          </w:tcPr>
          <w:p w:rsidR="00DA796D" w:rsidRPr="005911E2" w:rsidRDefault="00DA796D" w:rsidP="00CB5D8B">
            <w:pPr>
              <w:pStyle w:val="braytabletext"/>
              <w:jc w:val="right"/>
            </w:pPr>
            <w:r w:rsidRPr="005911E2">
              <w:t>38</w:t>
            </w:r>
          </w:p>
        </w:tc>
        <w:tc>
          <w:tcPr>
            <w:tcW w:w="339" w:type="pct"/>
            <w:tcBorders>
              <w:top w:val="nil"/>
              <w:left w:val="nil"/>
              <w:bottom w:val="nil"/>
              <w:right w:val="nil"/>
            </w:tcBorders>
            <w:vAlign w:val="bottom"/>
          </w:tcPr>
          <w:p w:rsidR="00DA796D" w:rsidRPr="005911E2" w:rsidRDefault="00DA796D" w:rsidP="00CB5D8B">
            <w:pPr>
              <w:pStyle w:val="braytabletext"/>
              <w:jc w:val="right"/>
            </w:pPr>
            <w:r w:rsidRPr="005911E2">
              <w:t>100</w:t>
            </w:r>
          </w:p>
        </w:tc>
      </w:tr>
      <w:tr w:rsidR="00BE5ECB" w:rsidRPr="005911E2" w:rsidTr="008E57A0">
        <w:tc>
          <w:tcPr>
            <w:tcW w:w="2372" w:type="pct"/>
            <w:tcBorders>
              <w:top w:val="nil"/>
              <w:left w:val="nil"/>
              <w:right w:val="nil"/>
            </w:tcBorders>
            <w:shd w:val="clear" w:color="auto" w:fill="auto"/>
            <w:vAlign w:val="center"/>
            <w:hideMark/>
          </w:tcPr>
          <w:p w:rsidR="00DA796D" w:rsidRPr="005911E2" w:rsidRDefault="00DA796D" w:rsidP="00CB5D8B">
            <w:pPr>
              <w:pStyle w:val="braytabletext"/>
            </w:pPr>
            <w:r w:rsidRPr="005911E2">
              <w:t xml:space="preserve"> Since the introduction of income management there has been an increase in demand in the store for healthy foods</w:t>
            </w:r>
          </w:p>
        </w:tc>
        <w:tc>
          <w:tcPr>
            <w:tcW w:w="424" w:type="pct"/>
            <w:tcBorders>
              <w:top w:val="nil"/>
              <w:left w:val="nil"/>
              <w:right w:val="nil"/>
            </w:tcBorders>
            <w:shd w:val="clear" w:color="auto" w:fill="auto"/>
            <w:vAlign w:val="bottom"/>
            <w:hideMark/>
          </w:tcPr>
          <w:p w:rsidR="00DA796D" w:rsidRPr="005911E2" w:rsidRDefault="00DA796D" w:rsidP="00CB5D8B">
            <w:pPr>
              <w:pStyle w:val="braytabletext"/>
              <w:jc w:val="right"/>
            </w:pPr>
            <w:r w:rsidRPr="005911E2">
              <w:t>29</w:t>
            </w:r>
          </w:p>
        </w:tc>
        <w:tc>
          <w:tcPr>
            <w:tcW w:w="424" w:type="pct"/>
            <w:tcBorders>
              <w:top w:val="nil"/>
              <w:left w:val="nil"/>
              <w:right w:val="nil"/>
            </w:tcBorders>
            <w:shd w:val="clear" w:color="auto" w:fill="auto"/>
            <w:vAlign w:val="bottom"/>
            <w:hideMark/>
          </w:tcPr>
          <w:p w:rsidR="00DA796D" w:rsidRPr="005911E2" w:rsidRDefault="00DA796D" w:rsidP="00CB5D8B">
            <w:pPr>
              <w:pStyle w:val="braytabletext"/>
              <w:jc w:val="right"/>
            </w:pPr>
            <w:r w:rsidRPr="005911E2">
              <w:t>21</w:t>
            </w:r>
          </w:p>
        </w:tc>
        <w:tc>
          <w:tcPr>
            <w:tcW w:w="423" w:type="pct"/>
            <w:tcBorders>
              <w:top w:val="nil"/>
              <w:left w:val="nil"/>
              <w:right w:val="nil"/>
            </w:tcBorders>
            <w:shd w:val="clear" w:color="auto" w:fill="auto"/>
            <w:vAlign w:val="bottom"/>
            <w:hideMark/>
          </w:tcPr>
          <w:p w:rsidR="00DA796D" w:rsidRPr="005911E2" w:rsidRDefault="00DA796D" w:rsidP="00CB5D8B">
            <w:pPr>
              <w:pStyle w:val="braytabletext"/>
              <w:jc w:val="right"/>
            </w:pPr>
            <w:r w:rsidRPr="005911E2">
              <w:t>24</w:t>
            </w:r>
          </w:p>
        </w:tc>
        <w:tc>
          <w:tcPr>
            <w:tcW w:w="509" w:type="pct"/>
            <w:tcBorders>
              <w:top w:val="nil"/>
              <w:left w:val="nil"/>
              <w:right w:val="nil"/>
            </w:tcBorders>
            <w:shd w:val="clear" w:color="auto" w:fill="auto"/>
            <w:vAlign w:val="bottom"/>
            <w:hideMark/>
          </w:tcPr>
          <w:p w:rsidR="00DA796D" w:rsidRPr="005911E2" w:rsidRDefault="00DA796D" w:rsidP="00CB5D8B">
            <w:pPr>
              <w:pStyle w:val="braytabletext"/>
              <w:jc w:val="right"/>
            </w:pPr>
            <w:r w:rsidRPr="005911E2">
              <w:t>29</w:t>
            </w:r>
          </w:p>
        </w:tc>
        <w:tc>
          <w:tcPr>
            <w:tcW w:w="509" w:type="pct"/>
            <w:tcBorders>
              <w:top w:val="nil"/>
              <w:left w:val="nil"/>
              <w:right w:val="nil"/>
            </w:tcBorders>
            <w:shd w:val="clear" w:color="auto" w:fill="auto"/>
            <w:vAlign w:val="bottom"/>
            <w:hideMark/>
          </w:tcPr>
          <w:p w:rsidR="00DA796D" w:rsidRPr="005911E2" w:rsidRDefault="00DA796D" w:rsidP="00CB5D8B">
            <w:pPr>
              <w:pStyle w:val="braytabletext"/>
              <w:jc w:val="right"/>
            </w:pPr>
            <w:r w:rsidRPr="005911E2">
              <w:t>34</w:t>
            </w:r>
          </w:p>
        </w:tc>
        <w:tc>
          <w:tcPr>
            <w:tcW w:w="339" w:type="pct"/>
            <w:tcBorders>
              <w:top w:val="nil"/>
              <w:left w:val="nil"/>
              <w:right w:val="nil"/>
            </w:tcBorders>
            <w:vAlign w:val="bottom"/>
          </w:tcPr>
          <w:p w:rsidR="00DA796D" w:rsidRPr="005911E2" w:rsidRDefault="00DA796D" w:rsidP="00CB5D8B">
            <w:pPr>
              <w:pStyle w:val="braytabletext"/>
              <w:jc w:val="right"/>
            </w:pPr>
            <w:r w:rsidRPr="005911E2">
              <w:t>100</w:t>
            </w:r>
          </w:p>
        </w:tc>
      </w:tr>
      <w:tr w:rsidR="00BE5ECB" w:rsidRPr="005911E2" w:rsidTr="008E57A0">
        <w:tc>
          <w:tcPr>
            <w:tcW w:w="2372" w:type="pct"/>
            <w:tcBorders>
              <w:top w:val="nil"/>
              <w:left w:val="nil"/>
              <w:bottom w:val="single" w:sz="4" w:space="0" w:color="auto"/>
              <w:right w:val="nil"/>
            </w:tcBorders>
            <w:shd w:val="clear" w:color="auto" w:fill="auto"/>
            <w:vAlign w:val="center"/>
            <w:hideMark/>
          </w:tcPr>
          <w:p w:rsidR="00DA796D" w:rsidRPr="005911E2" w:rsidRDefault="00DA796D" w:rsidP="00CB5D8B">
            <w:pPr>
              <w:pStyle w:val="braytabletext"/>
            </w:pPr>
            <w:r w:rsidRPr="005911E2">
              <w:t xml:space="preserve"> Income management allows women in this community to have greater control over their money</w:t>
            </w:r>
          </w:p>
        </w:tc>
        <w:tc>
          <w:tcPr>
            <w:tcW w:w="424" w:type="pct"/>
            <w:tcBorders>
              <w:top w:val="nil"/>
              <w:left w:val="nil"/>
              <w:bottom w:val="single" w:sz="4" w:space="0" w:color="auto"/>
              <w:right w:val="nil"/>
            </w:tcBorders>
            <w:shd w:val="clear" w:color="auto" w:fill="auto"/>
            <w:vAlign w:val="bottom"/>
            <w:hideMark/>
          </w:tcPr>
          <w:p w:rsidR="00DA796D" w:rsidRPr="005911E2" w:rsidRDefault="00DA796D" w:rsidP="00CB5D8B">
            <w:pPr>
              <w:pStyle w:val="braytabletext"/>
              <w:jc w:val="right"/>
            </w:pPr>
            <w:r w:rsidRPr="005911E2">
              <w:t>63</w:t>
            </w:r>
          </w:p>
        </w:tc>
        <w:tc>
          <w:tcPr>
            <w:tcW w:w="424" w:type="pct"/>
            <w:tcBorders>
              <w:top w:val="nil"/>
              <w:left w:val="nil"/>
              <w:bottom w:val="single" w:sz="4" w:space="0" w:color="auto"/>
              <w:right w:val="nil"/>
            </w:tcBorders>
            <w:shd w:val="clear" w:color="auto" w:fill="auto"/>
            <w:vAlign w:val="bottom"/>
            <w:hideMark/>
          </w:tcPr>
          <w:p w:rsidR="00DA796D" w:rsidRPr="005911E2" w:rsidRDefault="00DA796D" w:rsidP="00CB5D8B">
            <w:pPr>
              <w:pStyle w:val="braytabletext"/>
              <w:jc w:val="right"/>
            </w:pPr>
            <w:r w:rsidRPr="005911E2">
              <w:t>18</w:t>
            </w:r>
          </w:p>
        </w:tc>
        <w:tc>
          <w:tcPr>
            <w:tcW w:w="423" w:type="pct"/>
            <w:tcBorders>
              <w:top w:val="nil"/>
              <w:left w:val="nil"/>
              <w:bottom w:val="single" w:sz="4" w:space="0" w:color="auto"/>
              <w:right w:val="nil"/>
            </w:tcBorders>
            <w:shd w:val="clear" w:color="auto" w:fill="auto"/>
            <w:vAlign w:val="bottom"/>
            <w:hideMark/>
          </w:tcPr>
          <w:p w:rsidR="00DA796D" w:rsidRPr="005911E2" w:rsidRDefault="00DA796D" w:rsidP="00CB5D8B">
            <w:pPr>
              <w:pStyle w:val="braytabletext"/>
              <w:jc w:val="right"/>
            </w:pPr>
            <w:r w:rsidRPr="005911E2">
              <w:t>9</w:t>
            </w:r>
          </w:p>
        </w:tc>
        <w:tc>
          <w:tcPr>
            <w:tcW w:w="509" w:type="pct"/>
            <w:tcBorders>
              <w:top w:val="nil"/>
              <w:left w:val="nil"/>
              <w:bottom w:val="single" w:sz="4" w:space="0" w:color="auto"/>
              <w:right w:val="nil"/>
            </w:tcBorders>
            <w:shd w:val="clear" w:color="auto" w:fill="auto"/>
            <w:vAlign w:val="bottom"/>
            <w:hideMark/>
          </w:tcPr>
          <w:p w:rsidR="00DA796D" w:rsidRPr="005911E2" w:rsidRDefault="00DA796D" w:rsidP="00CB5D8B">
            <w:pPr>
              <w:pStyle w:val="braytabletext"/>
              <w:jc w:val="right"/>
            </w:pPr>
            <w:r w:rsidRPr="005911E2">
              <w:t>11</w:t>
            </w:r>
          </w:p>
        </w:tc>
        <w:tc>
          <w:tcPr>
            <w:tcW w:w="509" w:type="pct"/>
            <w:tcBorders>
              <w:top w:val="nil"/>
              <w:left w:val="nil"/>
              <w:bottom w:val="single" w:sz="4" w:space="0" w:color="auto"/>
              <w:right w:val="nil"/>
            </w:tcBorders>
            <w:shd w:val="clear" w:color="auto" w:fill="auto"/>
            <w:vAlign w:val="bottom"/>
            <w:hideMark/>
          </w:tcPr>
          <w:p w:rsidR="00DA796D" w:rsidRPr="005911E2" w:rsidRDefault="00DA796D" w:rsidP="00CB5D8B">
            <w:pPr>
              <w:pStyle w:val="braytabletext"/>
              <w:jc w:val="right"/>
            </w:pPr>
            <w:r w:rsidRPr="005911E2">
              <w:t>10</w:t>
            </w:r>
          </w:p>
        </w:tc>
        <w:tc>
          <w:tcPr>
            <w:tcW w:w="339" w:type="pct"/>
            <w:tcBorders>
              <w:top w:val="nil"/>
              <w:left w:val="nil"/>
              <w:bottom w:val="single" w:sz="4" w:space="0" w:color="auto"/>
              <w:right w:val="nil"/>
            </w:tcBorders>
            <w:vAlign w:val="bottom"/>
          </w:tcPr>
          <w:p w:rsidR="00DA796D" w:rsidRPr="005911E2" w:rsidRDefault="00DA796D" w:rsidP="00CB5D8B">
            <w:pPr>
              <w:pStyle w:val="braytabletext"/>
              <w:jc w:val="right"/>
            </w:pPr>
            <w:r w:rsidRPr="005911E2">
              <w:t>100</w:t>
            </w:r>
          </w:p>
        </w:tc>
      </w:tr>
    </w:tbl>
    <w:p w:rsidR="00DA796D" w:rsidRPr="005911E2" w:rsidRDefault="00DA796D" w:rsidP="00CF518E">
      <w:pPr>
        <w:pStyle w:val="tablefootnotes"/>
        <w:rPr>
          <w:lang w:bidi="ar-SA"/>
        </w:rPr>
      </w:pPr>
      <w:r w:rsidRPr="005911E2">
        <w:rPr>
          <w:lang w:bidi="ar-SA"/>
        </w:rPr>
        <w:t xml:space="preserve">Notes: </w:t>
      </w:r>
      <w:r w:rsidR="00D0501F">
        <w:rPr>
          <w:lang w:bidi="ar-SA"/>
        </w:rPr>
        <w:tab/>
      </w:r>
      <w:r w:rsidRPr="005911E2">
        <w:rPr>
          <w:lang w:bidi="ar-SA"/>
        </w:rPr>
        <w:t xml:space="preserve">103 respondents. Between </w:t>
      </w:r>
      <w:r w:rsidR="00EA1B30">
        <w:rPr>
          <w:lang w:bidi="ar-SA"/>
        </w:rPr>
        <w:t>1</w:t>
      </w:r>
      <w:r w:rsidR="00EA1B30" w:rsidRPr="005911E2">
        <w:rPr>
          <w:lang w:bidi="ar-SA"/>
        </w:rPr>
        <w:t xml:space="preserve"> </w:t>
      </w:r>
      <w:r w:rsidRPr="005911E2">
        <w:rPr>
          <w:lang w:bidi="ar-SA"/>
        </w:rPr>
        <w:t xml:space="preserve">per cent and 38 per cent of respondents indicated that individual items were not applicable. The highest not applicable responses were the two items around food. These tended to come from merchants that were not food retailers. </w:t>
      </w:r>
      <w:r w:rsidRPr="005911E2">
        <w:t>In addition, t</w:t>
      </w:r>
      <w:r w:rsidRPr="005911E2">
        <w:rPr>
          <w:rFonts w:cs="Arial"/>
          <w:szCs w:val="20"/>
        </w:rPr>
        <w:t>he proportion of ‘Can’t say/Don’t know’ responses ranged from 7 per cent to 19 per cent (for Customers using their income managed funds have more funds available for their priority needs) for these items. These responses are excluded from this table.</w:t>
      </w:r>
    </w:p>
    <w:p w:rsidR="00DA796D" w:rsidRDefault="00DA796D" w:rsidP="00CF518E">
      <w:pPr>
        <w:pStyle w:val="tablefootnotes"/>
        <w:rPr>
          <w:lang w:bidi="ar-SA"/>
        </w:rPr>
      </w:pPr>
      <w:r w:rsidRPr="005911E2">
        <w:rPr>
          <w:lang w:bidi="ar-SA"/>
        </w:rPr>
        <w:t xml:space="preserve">Source: </w:t>
      </w:r>
      <w:r w:rsidR="00D0501F">
        <w:rPr>
          <w:lang w:bidi="ar-SA"/>
        </w:rPr>
        <w:tab/>
      </w:r>
      <w:r w:rsidRPr="005911E2">
        <w:rPr>
          <w:lang w:bidi="ar-SA"/>
        </w:rPr>
        <w:t xml:space="preserve">Survey of </w:t>
      </w:r>
      <w:r w:rsidR="00F878E4">
        <w:rPr>
          <w:lang w:bidi="ar-SA"/>
        </w:rPr>
        <w:t>income management</w:t>
      </w:r>
      <w:r w:rsidRPr="005911E2">
        <w:rPr>
          <w:lang w:bidi="ar-SA"/>
        </w:rPr>
        <w:t xml:space="preserve"> merchants 2011</w:t>
      </w:r>
      <w:r w:rsidR="00CB5D8B">
        <w:rPr>
          <w:lang w:bidi="ar-SA"/>
        </w:rPr>
        <w:t>.</w:t>
      </w:r>
    </w:p>
    <w:p w:rsidR="00D0501F" w:rsidRDefault="00D0501F" w:rsidP="00CF518E">
      <w:pPr>
        <w:pStyle w:val="tablefootnotes"/>
        <w:rPr>
          <w:lang w:eastAsia="en-AU"/>
        </w:rPr>
      </w:pPr>
    </w:p>
    <w:p w:rsidR="00D0501F" w:rsidRPr="005911E2" w:rsidRDefault="00D0501F" w:rsidP="00D0501F">
      <w:pPr>
        <w:rPr>
          <w:lang w:eastAsia="en-AU"/>
        </w:rPr>
      </w:pPr>
      <w:r w:rsidRPr="005911E2">
        <w:rPr>
          <w:lang w:eastAsia="en-AU"/>
        </w:rPr>
        <w:t xml:space="preserve">When asked about how NIM was impacting on their customers most respondents presented positive views. </w:t>
      </w:r>
    </w:p>
    <w:p w:rsidR="00D0501F" w:rsidRPr="005911E2" w:rsidRDefault="00D0501F" w:rsidP="00D0501F">
      <w:pPr>
        <w:rPr>
          <w:lang w:eastAsia="en-AU"/>
        </w:rPr>
      </w:pPr>
      <w:r w:rsidRPr="005911E2">
        <w:rPr>
          <w:lang w:eastAsia="en-AU"/>
        </w:rPr>
        <w:t>Over 80 per cent of respondents agreed (strongly or mostly) that they considered people using their income managed funds have more funds available for their priority needs and that income management allows women in this community to have greater control over their money.</w:t>
      </w:r>
    </w:p>
    <w:p w:rsidR="00D0501F" w:rsidRPr="005911E2" w:rsidRDefault="00D0501F" w:rsidP="00D0501F">
      <w:pPr>
        <w:rPr>
          <w:lang w:eastAsia="en-AU"/>
        </w:rPr>
      </w:pPr>
      <w:r w:rsidRPr="005911E2">
        <w:rPr>
          <w:lang w:eastAsia="en-AU"/>
        </w:rPr>
        <w:t xml:space="preserve">However, while 67 per cent of respondents agreed that since the introduction of income management their store stocks a greater variety of healthy foods, only 50 per cent agreed that there had been an increase in demand in the store for healthy foods over the same period. </w:t>
      </w:r>
    </w:p>
    <w:p w:rsidR="00DA796D" w:rsidRPr="005911E2" w:rsidRDefault="00DA796D" w:rsidP="00616B0F">
      <w:pPr>
        <w:pStyle w:val="Heading2"/>
      </w:pPr>
      <w:bookmarkStart w:id="950" w:name="_Toc321225156"/>
      <w:bookmarkStart w:id="951" w:name="_Toc321254499"/>
      <w:bookmarkStart w:id="952" w:name="_Toc321761641"/>
      <w:bookmarkStart w:id="953" w:name="_Toc328601524"/>
      <w:bookmarkStart w:id="954" w:name="_Toc329870405"/>
      <w:bookmarkStart w:id="955" w:name="_Toc335915791"/>
      <w:r w:rsidRPr="005911E2">
        <w:t>Summary of results from surveys and interviews</w:t>
      </w:r>
      <w:bookmarkEnd w:id="950"/>
      <w:bookmarkEnd w:id="951"/>
      <w:bookmarkEnd w:id="952"/>
      <w:r w:rsidRPr="005911E2">
        <w:t xml:space="preserve"> </w:t>
      </w:r>
      <w:r w:rsidR="001558BF">
        <w:t>with intermediaries and stakeholders</w:t>
      </w:r>
      <w:bookmarkEnd w:id="953"/>
      <w:bookmarkEnd w:id="954"/>
      <w:bookmarkEnd w:id="955"/>
    </w:p>
    <w:p w:rsidR="00DA796D" w:rsidRPr="005911E2" w:rsidRDefault="00DA796D" w:rsidP="00DA796D">
      <w:pPr>
        <w:rPr>
          <w:lang w:eastAsia="en-AU"/>
        </w:rPr>
      </w:pPr>
      <w:r w:rsidRPr="005911E2">
        <w:rPr>
          <w:lang w:eastAsia="en-AU"/>
        </w:rPr>
        <w:t xml:space="preserve">Information collected from intermediaries and stakeholders presented in this section shows a range of views about both the process and implementation </w:t>
      </w:r>
      <w:r w:rsidR="001558BF">
        <w:rPr>
          <w:lang w:eastAsia="en-AU"/>
        </w:rPr>
        <w:t>of</w:t>
      </w:r>
      <w:r w:rsidRPr="005911E2">
        <w:rPr>
          <w:lang w:eastAsia="en-AU"/>
        </w:rPr>
        <w:t xml:space="preserve"> NIM and about outcomes for </w:t>
      </w:r>
      <w:r w:rsidR="000B3DA7">
        <w:rPr>
          <w:lang w:eastAsia="en-AU"/>
        </w:rPr>
        <w:t>people</w:t>
      </w:r>
      <w:r w:rsidR="000B3DA7" w:rsidRPr="005911E2">
        <w:rPr>
          <w:lang w:eastAsia="en-AU"/>
        </w:rPr>
        <w:t xml:space="preserve"> </w:t>
      </w:r>
      <w:r w:rsidRPr="005911E2">
        <w:rPr>
          <w:lang w:eastAsia="en-AU"/>
        </w:rPr>
        <w:t>subject to NIM.</w:t>
      </w:r>
    </w:p>
    <w:p w:rsidR="00DA796D" w:rsidRPr="005911E2" w:rsidRDefault="00DA796D" w:rsidP="00BD6DFD">
      <w:pPr>
        <w:pStyle w:val="Heading3"/>
      </w:pPr>
      <w:r w:rsidRPr="005911E2">
        <w:t>Implementation and training</w:t>
      </w:r>
    </w:p>
    <w:p w:rsidR="00DA796D" w:rsidRPr="005911E2" w:rsidRDefault="00DA796D" w:rsidP="00DA796D">
      <w:pPr>
        <w:rPr>
          <w:lang w:eastAsia="en-AU"/>
        </w:rPr>
      </w:pPr>
      <w:r w:rsidRPr="005911E2">
        <w:rPr>
          <w:lang w:eastAsia="en-AU"/>
        </w:rPr>
        <w:t xml:space="preserve">The survey of Centrelink staff paints a very positive picture about the implementation of NIM and the ways in which Centrelink staff work with clients. However, the qualitative interviews with Centrelink staff, </w:t>
      </w:r>
      <w:r w:rsidR="002047F6">
        <w:rPr>
          <w:lang w:eastAsia="en-AU"/>
        </w:rPr>
        <w:t>m</w:t>
      </w:r>
      <w:r w:rsidRPr="005911E2">
        <w:rPr>
          <w:lang w:eastAsia="en-AU"/>
        </w:rPr>
        <w:t xml:space="preserve">oney </w:t>
      </w:r>
      <w:r w:rsidR="002047F6">
        <w:rPr>
          <w:lang w:eastAsia="en-AU"/>
        </w:rPr>
        <w:t>m</w:t>
      </w:r>
      <w:r w:rsidRPr="005911E2">
        <w:rPr>
          <w:lang w:eastAsia="en-AU"/>
        </w:rPr>
        <w:t>anagement workers</w:t>
      </w:r>
      <w:r w:rsidR="002047F6">
        <w:rPr>
          <w:lang w:eastAsia="en-AU"/>
        </w:rPr>
        <w:t xml:space="preserve"> and</w:t>
      </w:r>
      <w:r w:rsidRPr="005911E2">
        <w:rPr>
          <w:lang w:eastAsia="en-AU"/>
        </w:rPr>
        <w:t xml:space="preserve"> financial counsellors</w:t>
      </w:r>
      <w:r w:rsidR="002047F6">
        <w:rPr>
          <w:lang w:eastAsia="en-AU"/>
        </w:rPr>
        <w:t>,</w:t>
      </w:r>
      <w:r w:rsidRPr="005911E2">
        <w:rPr>
          <w:lang w:eastAsia="en-AU"/>
        </w:rPr>
        <w:t xml:space="preserve"> and DCF child protection workers highlighted some concerns, as did the consultations with other stakeholders. </w:t>
      </w:r>
    </w:p>
    <w:p w:rsidR="00DA796D" w:rsidRPr="005911E2" w:rsidRDefault="00DA796D" w:rsidP="00DA796D">
      <w:pPr>
        <w:rPr>
          <w:lang w:eastAsia="en-AU"/>
        </w:rPr>
      </w:pPr>
      <w:r w:rsidRPr="005911E2">
        <w:rPr>
          <w:lang w:eastAsia="en-AU"/>
        </w:rPr>
        <w:t xml:space="preserve">The implementation of NIM was seen as being broadly successful although somewhat rushed from the perspective of Centrelink staff on the ground. On the whole, however, this was seen as a normal part of the rollout of any major policy initiative. DCF child protection staff were more concerned about the rolling out </w:t>
      </w:r>
      <w:r w:rsidR="0066294E">
        <w:rPr>
          <w:lang w:eastAsia="en-AU"/>
        </w:rPr>
        <w:t xml:space="preserve">of </w:t>
      </w:r>
      <w:r w:rsidR="00E146B5">
        <w:rPr>
          <w:lang w:eastAsia="en-AU"/>
        </w:rPr>
        <w:t>Child Protection Income Management</w:t>
      </w:r>
      <w:r w:rsidRPr="005911E2">
        <w:rPr>
          <w:lang w:eastAsia="en-AU"/>
        </w:rPr>
        <w:t xml:space="preserve"> within their department. They spoke of the rushed nature of this rollout and identified a lack of consultation as leading to a </w:t>
      </w:r>
      <w:r w:rsidR="0066294E">
        <w:rPr>
          <w:lang w:eastAsia="en-AU"/>
        </w:rPr>
        <w:t>‘</w:t>
      </w:r>
      <w:r w:rsidRPr="005911E2">
        <w:rPr>
          <w:lang w:eastAsia="en-AU"/>
        </w:rPr>
        <w:t>shaky start</w:t>
      </w:r>
      <w:r w:rsidR="0066294E">
        <w:rPr>
          <w:lang w:eastAsia="en-AU"/>
        </w:rPr>
        <w:t>’</w:t>
      </w:r>
      <w:r w:rsidRPr="005911E2">
        <w:rPr>
          <w:lang w:eastAsia="en-AU"/>
        </w:rPr>
        <w:t xml:space="preserve"> for </w:t>
      </w:r>
      <w:r w:rsidR="00E146B5">
        <w:rPr>
          <w:lang w:eastAsia="en-AU"/>
        </w:rPr>
        <w:t>Child Protection Income Management</w:t>
      </w:r>
      <w:r w:rsidRPr="005911E2">
        <w:rPr>
          <w:lang w:eastAsia="en-AU"/>
        </w:rPr>
        <w:t xml:space="preserve">. </w:t>
      </w:r>
    </w:p>
    <w:p w:rsidR="00DA796D" w:rsidRPr="005911E2" w:rsidRDefault="00DA796D" w:rsidP="00DA796D">
      <w:pPr>
        <w:rPr>
          <w:lang w:eastAsia="en-AU"/>
        </w:rPr>
      </w:pPr>
      <w:r w:rsidRPr="005911E2">
        <w:rPr>
          <w:lang w:eastAsia="en-AU"/>
        </w:rPr>
        <w:t xml:space="preserve">Centrelink respondents reported that they had received the training they needed to work with people subject to </w:t>
      </w:r>
      <w:r w:rsidR="00F878E4">
        <w:rPr>
          <w:lang w:eastAsia="en-AU"/>
        </w:rPr>
        <w:t>income management</w:t>
      </w:r>
      <w:r w:rsidRPr="005911E2">
        <w:rPr>
          <w:lang w:eastAsia="en-AU"/>
        </w:rPr>
        <w:t>. Additional training needs identified in the staff survey included having more refresher training</w:t>
      </w:r>
      <w:r w:rsidR="0066294E">
        <w:rPr>
          <w:lang w:eastAsia="en-AU"/>
        </w:rPr>
        <w:t>,</w:t>
      </w:r>
      <w:r w:rsidRPr="005911E2">
        <w:rPr>
          <w:lang w:eastAsia="en-AU"/>
        </w:rPr>
        <w:t xml:space="preserve"> assistance with IT systems</w:t>
      </w:r>
      <w:r w:rsidR="0066294E">
        <w:rPr>
          <w:lang w:eastAsia="en-AU"/>
        </w:rPr>
        <w:t>,</w:t>
      </w:r>
      <w:r w:rsidRPr="005911E2">
        <w:rPr>
          <w:lang w:eastAsia="en-AU"/>
        </w:rPr>
        <w:t xml:space="preserve"> and more information about exemptions, financial management and working with vulnerable clients. DCF staff were not generally positive about the training they had </w:t>
      </w:r>
      <w:r w:rsidR="006C33D2" w:rsidRPr="005911E2">
        <w:rPr>
          <w:lang w:eastAsia="en-AU"/>
        </w:rPr>
        <w:t>received;</w:t>
      </w:r>
      <w:r w:rsidRPr="005911E2">
        <w:rPr>
          <w:lang w:eastAsia="en-AU"/>
        </w:rPr>
        <w:t xml:space="preserve"> however, this tended to be linked back to the rushed nature of the implementation and </w:t>
      </w:r>
      <w:r w:rsidR="0066294E">
        <w:rPr>
          <w:lang w:eastAsia="en-AU"/>
        </w:rPr>
        <w:t xml:space="preserve">the </w:t>
      </w:r>
      <w:r w:rsidRPr="005911E2">
        <w:rPr>
          <w:lang w:eastAsia="en-AU"/>
        </w:rPr>
        <w:t xml:space="preserve">lack of consultation rather than specific comments about the content of the training. Money management staff identified a need for more training for staff around numeracy and in recognising and working with the complex issues that many people </w:t>
      </w:r>
      <w:r w:rsidR="00BE5ECB">
        <w:rPr>
          <w:lang w:eastAsia="en-AU"/>
        </w:rPr>
        <w:t xml:space="preserve">are </w:t>
      </w:r>
      <w:r w:rsidRPr="005911E2">
        <w:rPr>
          <w:lang w:eastAsia="en-AU"/>
        </w:rPr>
        <w:t xml:space="preserve">presented with. </w:t>
      </w:r>
    </w:p>
    <w:p w:rsidR="00DA796D" w:rsidRPr="005911E2" w:rsidRDefault="00DA796D" w:rsidP="00DA796D">
      <w:pPr>
        <w:rPr>
          <w:lang w:eastAsia="en-AU"/>
        </w:rPr>
      </w:pPr>
      <w:r w:rsidRPr="005911E2">
        <w:rPr>
          <w:lang w:eastAsia="en-AU"/>
        </w:rPr>
        <w:t xml:space="preserve">Most respondents to the Centrelink survey expressed </w:t>
      </w:r>
      <w:r w:rsidR="00F8655F">
        <w:rPr>
          <w:lang w:eastAsia="en-AU"/>
        </w:rPr>
        <w:t xml:space="preserve">agreement with </w:t>
      </w:r>
      <w:r w:rsidRPr="005911E2">
        <w:rPr>
          <w:lang w:eastAsia="en-AU"/>
        </w:rPr>
        <w:t xml:space="preserve">the view that the information provided to those subject to </w:t>
      </w:r>
      <w:r w:rsidR="00614538" w:rsidRPr="005911E2">
        <w:rPr>
          <w:lang w:eastAsia="en-AU"/>
        </w:rPr>
        <w:t>NIM</w:t>
      </w:r>
      <w:r w:rsidR="00614538">
        <w:rPr>
          <w:lang w:eastAsia="en-AU"/>
        </w:rPr>
        <w:t xml:space="preserve"> </w:t>
      </w:r>
      <w:r w:rsidRPr="005911E2">
        <w:rPr>
          <w:lang w:eastAsia="en-AU"/>
        </w:rPr>
        <w:t xml:space="preserve">was adequate, </w:t>
      </w:r>
      <w:r w:rsidR="00BE5ECB">
        <w:rPr>
          <w:lang w:eastAsia="en-AU"/>
        </w:rPr>
        <w:t>but</w:t>
      </w:r>
      <w:r w:rsidR="00BE5ECB" w:rsidRPr="005911E2">
        <w:rPr>
          <w:lang w:eastAsia="en-AU"/>
        </w:rPr>
        <w:t xml:space="preserve"> </w:t>
      </w:r>
      <w:r w:rsidRPr="005911E2">
        <w:rPr>
          <w:lang w:eastAsia="en-AU"/>
        </w:rPr>
        <w:t xml:space="preserve">they were less likely to agree that people themselves had an adequate understanding of NIM. In the qualitative interviews, most Centrelink staff noted that responses from those subject to </w:t>
      </w:r>
      <w:r w:rsidR="00F878E4">
        <w:rPr>
          <w:lang w:eastAsia="en-AU"/>
        </w:rPr>
        <w:t>income management</w:t>
      </w:r>
      <w:r w:rsidRPr="005911E2">
        <w:rPr>
          <w:lang w:eastAsia="en-AU"/>
        </w:rPr>
        <w:t xml:space="preserve"> were mixed</w:t>
      </w:r>
      <w:r w:rsidR="00BE5ECB">
        <w:rPr>
          <w:lang w:eastAsia="en-AU"/>
        </w:rPr>
        <w:t>,</w:t>
      </w:r>
      <w:r w:rsidRPr="005911E2">
        <w:rPr>
          <w:lang w:eastAsia="en-AU"/>
        </w:rPr>
        <w:t xml:space="preserve"> with those who had been subject to NTER </w:t>
      </w:r>
      <w:r w:rsidR="0066294E">
        <w:rPr>
          <w:lang w:eastAsia="en-AU"/>
        </w:rPr>
        <w:t xml:space="preserve">IM </w:t>
      </w:r>
      <w:r w:rsidRPr="005911E2">
        <w:rPr>
          <w:lang w:eastAsia="en-AU"/>
        </w:rPr>
        <w:t xml:space="preserve">being more accepting and those who were new to </w:t>
      </w:r>
      <w:r w:rsidR="00F8655F">
        <w:rPr>
          <w:lang w:eastAsia="en-AU"/>
        </w:rPr>
        <w:t>income management</w:t>
      </w:r>
      <w:r w:rsidR="00F8655F" w:rsidRPr="005911E2">
        <w:rPr>
          <w:lang w:eastAsia="en-AU"/>
        </w:rPr>
        <w:t xml:space="preserve"> </w:t>
      </w:r>
      <w:r w:rsidRPr="005911E2">
        <w:rPr>
          <w:lang w:eastAsia="en-AU"/>
        </w:rPr>
        <w:t>being less accepting. Many suggested that the key to making people more accepting of NIM was in</w:t>
      </w:r>
      <w:r w:rsidR="00B62B2D">
        <w:rPr>
          <w:lang w:eastAsia="en-AU"/>
        </w:rPr>
        <w:t xml:space="preserve"> </w:t>
      </w:r>
      <w:r w:rsidRPr="005911E2">
        <w:rPr>
          <w:lang w:eastAsia="en-AU"/>
        </w:rPr>
        <w:t xml:space="preserve">making sure that the allocation of funds </w:t>
      </w:r>
      <w:r w:rsidR="00BE5ECB">
        <w:rPr>
          <w:lang w:eastAsia="en-AU"/>
        </w:rPr>
        <w:t>was</w:t>
      </w:r>
      <w:r w:rsidR="00BE5ECB" w:rsidRPr="005911E2">
        <w:rPr>
          <w:lang w:eastAsia="en-AU"/>
        </w:rPr>
        <w:t xml:space="preserve"> </w:t>
      </w:r>
      <w:r w:rsidRPr="005911E2">
        <w:rPr>
          <w:lang w:eastAsia="en-AU"/>
        </w:rPr>
        <w:t>well set up so that they were of real benefit to the person.</w:t>
      </w:r>
      <w:r w:rsidR="00B62B2D">
        <w:rPr>
          <w:lang w:eastAsia="en-AU"/>
        </w:rPr>
        <w:t xml:space="preserve"> </w:t>
      </w:r>
    </w:p>
    <w:p w:rsidR="00DA796D" w:rsidRPr="005911E2" w:rsidRDefault="00DA796D" w:rsidP="00BD6DFD">
      <w:pPr>
        <w:pStyle w:val="Heading3"/>
      </w:pPr>
      <w:r w:rsidRPr="005911E2">
        <w:t xml:space="preserve">Availability of other services </w:t>
      </w:r>
    </w:p>
    <w:p w:rsidR="00DA796D" w:rsidRPr="005911E2" w:rsidRDefault="00DA796D" w:rsidP="00DA796D">
      <w:pPr>
        <w:rPr>
          <w:lang w:eastAsia="en-AU"/>
        </w:rPr>
      </w:pPr>
      <w:r w:rsidRPr="005911E2">
        <w:rPr>
          <w:lang w:eastAsia="en-AU"/>
        </w:rPr>
        <w:t xml:space="preserve">Centrelink staff who responded to the survey generally agreed that they were able to refer people to services to assist with some of the more </w:t>
      </w:r>
      <w:r w:rsidR="0066294E">
        <w:rPr>
          <w:lang w:eastAsia="en-AU"/>
        </w:rPr>
        <w:t>‘</w:t>
      </w:r>
      <w:r w:rsidRPr="005911E2">
        <w:rPr>
          <w:lang w:eastAsia="en-AU"/>
        </w:rPr>
        <w:t>traditional</w:t>
      </w:r>
      <w:r w:rsidR="0066294E">
        <w:rPr>
          <w:lang w:eastAsia="en-AU"/>
        </w:rPr>
        <w:t>’</w:t>
      </w:r>
      <w:r w:rsidRPr="005911E2">
        <w:rPr>
          <w:lang w:eastAsia="en-AU"/>
        </w:rPr>
        <w:t xml:space="preserve"> issues Centrelink deals with</w:t>
      </w:r>
      <w:r w:rsidR="0066294E">
        <w:rPr>
          <w:lang w:eastAsia="en-AU"/>
        </w:rPr>
        <w:t>,</w:t>
      </w:r>
      <w:r w:rsidRPr="005911E2">
        <w:rPr>
          <w:lang w:eastAsia="en-AU"/>
        </w:rPr>
        <w:t xml:space="preserve"> such as employment and housing. However, services to assist families with gambling problems</w:t>
      </w:r>
      <w:r w:rsidR="0066294E">
        <w:rPr>
          <w:lang w:eastAsia="en-AU"/>
        </w:rPr>
        <w:t>,</w:t>
      </w:r>
      <w:r w:rsidRPr="005911E2">
        <w:rPr>
          <w:lang w:eastAsia="en-AU"/>
        </w:rPr>
        <w:t xml:space="preserve"> and parenting and child development issues</w:t>
      </w:r>
      <w:r w:rsidR="0066294E">
        <w:rPr>
          <w:lang w:eastAsia="en-AU"/>
        </w:rPr>
        <w:t>,</w:t>
      </w:r>
      <w:r w:rsidRPr="005911E2">
        <w:rPr>
          <w:lang w:eastAsia="en-AU"/>
        </w:rPr>
        <w:t xml:space="preserve"> tended to be seen as less available for referrals. The strongest theme to emerge from the qualitative interviews in regard to services was that those subject to </w:t>
      </w:r>
      <w:r w:rsidR="00F878E4">
        <w:rPr>
          <w:lang w:eastAsia="en-AU"/>
        </w:rPr>
        <w:t>income management</w:t>
      </w:r>
      <w:r w:rsidRPr="005911E2">
        <w:rPr>
          <w:lang w:eastAsia="en-AU"/>
        </w:rPr>
        <w:t xml:space="preserve"> were often dealing with multiple and complex </w:t>
      </w:r>
      <w:r w:rsidR="0066294E">
        <w:rPr>
          <w:lang w:eastAsia="en-AU"/>
        </w:rPr>
        <w:t>problems</w:t>
      </w:r>
      <w:r w:rsidRPr="005911E2">
        <w:rPr>
          <w:lang w:eastAsia="en-AU"/>
        </w:rPr>
        <w:t>. Service providers across the three groups all argued for an approach that provided a suite of coordinated services that would assist families in making changes in their lives. This required a coordinated response from services involved and also needed service</w:t>
      </w:r>
      <w:r w:rsidR="0066294E">
        <w:rPr>
          <w:lang w:eastAsia="en-AU"/>
        </w:rPr>
        <w:t>s</w:t>
      </w:r>
      <w:r w:rsidRPr="005911E2">
        <w:rPr>
          <w:lang w:eastAsia="en-AU"/>
        </w:rPr>
        <w:t xml:space="preserve"> to work well together – something that some service providers saw as lacking in their communities. </w:t>
      </w:r>
    </w:p>
    <w:p w:rsidR="00DA796D" w:rsidRPr="005911E2" w:rsidRDefault="00DA796D" w:rsidP="00BD6DFD">
      <w:pPr>
        <w:pStyle w:val="Heading3"/>
      </w:pPr>
      <w:r w:rsidRPr="005911E2">
        <w:t xml:space="preserve">Comments on the different </w:t>
      </w:r>
      <w:r w:rsidR="00F878E4">
        <w:t>income management</w:t>
      </w:r>
      <w:r w:rsidRPr="005911E2">
        <w:t xml:space="preserve"> measures</w:t>
      </w:r>
    </w:p>
    <w:p w:rsidR="00DA796D" w:rsidRPr="005911E2" w:rsidRDefault="00DA796D" w:rsidP="00DA796D">
      <w:pPr>
        <w:rPr>
          <w:lang w:eastAsia="en-AU"/>
        </w:rPr>
      </w:pPr>
      <w:r w:rsidRPr="005911E2">
        <w:rPr>
          <w:lang w:eastAsia="en-AU"/>
        </w:rPr>
        <w:t xml:space="preserve">The qualitative interviews with service providers, including Centrelink staff, revealed differences in how each of the different measures were viewed. </w:t>
      </w:r>
    </w:p>
    <w:p w:rsidR="00DA796D" w:rsidRPr="005911E2" w:rsidRDefault="002B5A5C" w:rsidP="00DA796D">
      <w:pPr>
        <w:rPr>
          <w:lang w:eastAsia="en-AU"/>
        </w:rPr>
      </w:pPr>
      <w:r>
        <w:rPr>
          <w:lang w:eastAsia="en-AU"/>
        </w:rPr>
        <w:t>Voluntary Income Management</w:t>
      </w:r>
      <w:r w:rsidR="00DA796D" w:rsidRPr="005911E2">
        <w:rPr>
          <w:lang w:eastAsia="en-AU"/>
        </w:rPr>
        <w:t xml:space="preserve"> was seen to be a tool that could assist clients who were struggling to manage their finances and</w:t>
      </w:r>
      <w:r w:rsidR="00EA1CD7" w:rsidRPr="005911E2">
        <w:rPr>
          <w:lang w:eastAsia="en-AU"/>
        </w:rPr>
        <w:t xml:space="preserve"> to meet their or their family’s</w:t>
      </w:r>
      <w:r w:rsidR="00DA796D" w:rsidRPr="005911E2">
        <w:rPr>
          <w:lang w:eastAsia="en-AU"/>
        </w:rPr>
        <w:t xml:space="preserve"> needs. </w:t>
      </w:r>
      <w:r>
        <w:rPr>
          <w:lang w:eastAsia="en-AU"/>
        </w:rPr>
        <w:t>Voluntary Income Management</w:t>
      </w:r>
      <w:r w:rsidR="00DA796D" w:rsidRPr="005911E2">
        <w:rPr>
          <w:lang w:eastAsia="en-AU"/>
        </w:rPr>
        <w:t xml:space="preserve"> was seen as the preferred </w:t>
      </w:r>
      <w:r w:rsidR="00F8655F" w:rsidRPr="005911E2">
        <w:rPr>
          <w:lang w:eastAsia="en-AU"/>
        </w:rPr>
        <w:t>measure compared</w:t>
      </w:r>
      <w:r w:rsidR="00DA796D" w:rsidRPr="005911E2">
        <w:rPr>
          <w:lang w:eastAsia="en-AU"/>
        </w:rPr>
        <w:t xml:space="preserve"> to widespread compulsory measures. Centrelink social workers and DCF child protection professionals reported that they actively encouraged people who may fall into the </w:t>
      </w:r>
      <w:r w:rsidR="00E2340D">
        <w:rPr>
          <w:lang w:eastAsia="en-AU"/>
        </w:rPr>
        <w:t>Vulnerable Income Management</w:t>
      </w:r>
      <w:r w:rsidR="00DA796D" w:rsidRPr="005911E2">
        <w:rPr>
          <w:lang w:eastAsia="en-AU"/>
        </w:rPr>
        <w:t xml:space="preserve"> or </w:t>
      </w:r>
      <w:r w:rsidR="00E146B5">
        <w:rPr>
          <w:lang w:eastAsia="en-AU"/>
        </w:rPr>
        <w:t>Child Protection Income Management</w:t>
      </w:r>
      <w:r w:rsidR="00DA796D" w:rsidRPr="005911E2">
        <w:rPr>
          <w:lang w:eastAsia="en-AU"/>
        </w:rPr>
        <w:t xml:space="preserve"> categories to try </w:t>
      </w:r>
      <w:r>
        <w:rPr>
          <w:lang w:eastAsia="en-AU"/>
        </w:rPr>
        <w:t>Voluntary Income Management</w:t>
      </w:r>
      <w:r w:rsidR="00DA796D" w:rsidRPr="005911E2">
        <w:rPr>
          <w:lang w:eastAsia="en-AU"/>
        </w:rPr>
        <w:t xml:space="preserve"> first. However, some service providers and stakeholder also questioned whether all people entering </w:t>
      </w:r>
      <w:r>
        <w:rPr>
          <w:lang w:eastAsia="en-AU"/>
        </w:rPr>
        <w:t>Voluntary Income Management</w:t>
      </w:r>
      <w:r w:rsidR="00DA796D" w:rsidRPr="005911E2">
        <w:rPr>
          <w:lang w:eastAsia="en-AU"/>
        </w:rPr>
        <w:t xml:space="preserve"> were truly volunteering for NIM. They were concerned that these </w:t>
      </w:r>
      <w:r w:rsidR="0066294E">
        <w:rPr>
          <w:lang w:eastAsia="en-AU"/>
        </w:rPr>
        <w:t xml:space="preserve">people </w:t>
      </w:r>
      <w:r w:rsidR="00DA796D" w:rsidRPr="005911E2">
        <w:rPr>
          <w:lang w:eastAsia="en-AU"/>
        </w:rPr>
        <w:t xml:space="preserve">may not have understood their choices at the time or may </w:t>
      </w:r>
      <w:r w:rsidR="00BE5ECB">
        <w:rPr>
          <w:lang w:eastAsia="en-AU"/>
        </w:rPr>
        <w:t>have accepted</w:t>
      </w:r>
      <w:r w:rsidR="00DA796D" w:rsidRPr="005911E2">
        <w:rPr>
          <w:lang w:eastAsia="en-AU"/>
        </w:rPr>
        <w:t xml:space="preserve"> </w:t>
      </w:r>
      <w:r>
        <w:rPr>
          <w:lang w:eastAsia="en-AU"/>
        </w:rPr>
        <w:t>Voluntary Income Management</w:t>
      </w:r>
      <w:r w:rsidR="00DA796D" w:rsidRPr="005911E2">
        <w:rPr>
          <w:lang w:eastAsia="en-AU"/>
        </w:rPr>
        <w:t xml:space="preserve"> because they want</w:t>
      </w:r>
      <w:r w:rsidR="00BE5ECB">
        <w:rPr>
          <w:lang w:eastAsia="en-AU"/>
        </w:rPr>
        <w:t>ed</w:t>
      </w:r>
      <w:r w:rsidR="00DA796D" w:rsidRPr="005911E2">
        <w:rPr>
          <w:lang w:eastAsia="en-AU"/>
        </w:rPr>
        <w:t xml:space="preserve"> to keep their BasicsCard. </w:t>
      </w:r>
    </w:p>
    <w:p w:rsidR="00DA796D" w:rsidRPr="005911E2" w:rsidRDefault="00DA796D" w:rsidP="00DA796D">
      <w:pPr>
        <w:rPr>
          <w:lang w:eastAsia="en-AU"/>
        </w:rPr>
      </w:pPr>
      <w:r w:rsidRPr="005911E2">
        <w:rPr>
          <w:lang w:eastAsia="en-AU"/>
        </w:rPr>
        <w:t xml:space="preserve">The </w:t>
      </w:r>
      <w:r w:rsidR="00E146B5">
        <w:rPr>
          <w:lang w:eastAsia="en-AU"/>
        </w:rPr>
        <w:t>Child Protection Income Management</w:t>
      </w:r>
      <w:r w:rsidRPr="005911E2">
        <w:rPr>
          <w:lang w:eastAsia="en-AU"/>
        </w:rPr>
        <w:t xml:space="preserve"> measure received a mixed response from DCF child protection staff. While all of the participants saw it as a case management tool for working with families where neglect was an issue, some saw this tool as part of their everyday practice</w:t>
      </w:r>
      <w:r w:rsidR="0066294E">
        <w:rPr>
          <w:lang w:eastAsia="en-AU"/>
        </w:rPr>
        <w:t>,</w:t>
      </w:r>
      <w:r w:rsidRPr="005911E2">
        <w:rPr>
          <w:lang w:eastAsia="en-AU"/>
        </w:rPr>
        <w:t xml:space="preserve"> while others saw it as a tool of last resort. </w:t>
      </w:r>
      <w:r w:rsidR="00DB18E8" w:rsidRPr="005911E2">
        <w:rPr>
          <w:lang w:eastAsia="en-AU"/>
        </w:rPr>
        <w:t xml:space="preserve">Some child protection workers </w:t>
      </w:r>
      <w:r w:rsidR="00DB18E8">
        <w:rPr>
          <w:lang w:eastAsia="en-AU"/>
        </w:rPr>
        <w:t xml:space="preserve">were reluctant </w:t>
      </w:r>
      <w:r w:rsidR="00DB18E8" w:rsidRPr="005911E2">
        <w:rPr>
          <w:lang w:eastAsia="en-AU"/>
        </w:rPr>
        <w:t xml:space="preserve">to make use of </w:t>
      </w:r>
      <w:r w:rsidR="00DB18E8">
        <w:rPr>
          <w:lang w:eastAsia="en-AU"/>
        </w:rPr>
        <w:t>Child Protection Income Management because of t</w:t>
      </w:r>
      <w:r w:rsidRPr="005911E2">
        <w:rPr>
          <w:lang w:eastAsia="en-AU"/>
        </w:rPr>
        <w:t>he need to keep cases open while a client was subject to</w:t>
      </w:r>
      <w:r w:rsidR="00DB18E8" w:rsidRPr="00DB18E8">
        <w:rPr>
          <w:lang w:eastAsia="en-AU"/>
        </w:rPr>
        <w:t xml:space="preserve"> </w:t>
      </w:r>
      <w:r w:rsidR="00DB18E8">
        <w:rPr>
          <w:lang w:eastAsia="en-AU"/>
        </w:rPr>
        <w:t>this measure</w:t>
      </w:r>
      <w:r w:rsidRPr="005911E2">
        <w:rPr>
          <w:lang w:eastAsia="en-AU"/>
        </w:rPr>
        <w:t xml:space="preserve">. </w:t>
      </w:r>
    </w:p>
    <w:p w:rsidR="00DA796D" w:rsidRPr="005911E2" w:rsidRDefault="00E2340D" w:rsidP="00DA796D">
      <w:pPr>
        <w:rPr>
          <w:lang w:eastAsia="en-AU"/>
        </w:rPr>
      </w:pPr>
      <w:r>
        <w:rPr>
          <w:lang w:eastAsia="en-AU"/>
        </w:rPr>
        <w:t>Vulnerable Income Management</w:t>
      </w:r>
      <w:r w:rsidR="00DA796D" w:rsidRPr="005911E2">
        <w:rPr>
          <w:lang w:eastAsia="en-AU"/>
        </w:rPr>
        <w:t xml:space="preserve"> was seen to be a useful tool for assisting some of Centrelink’s most vulnerable </w:t>
      </w:r>
      <w:r w:rsidR="0066294E">
        <w:rPr>
          <w:lang w:eastAsia="en-AU"/>
        </w:rPr>
        <w:t>clients</w:t>
      </w:r>
      <w:r w:rsidR="00DA796D" w:rsidRPr="005911E2">
        <w:rPr>
          <w:lang w:eastAsia="en-AU"/>
        </w:rPr>
        <w:t xml:space="preserve"> accessing Centrelink services to meet their basic needs – as long as it was applied appropriately. Again there was a preference expressed </w:t>
      </w:r>
      <w:r w:rsidR="00F8655F">
        <w:rPr>
          <w:lang w:eastAsia="en-AU"/>
        </w:rPr>
        <w:t>b</w:t>
      </w:r>
      <w:r w:rsidR="00F8655F" w:rsidRPr="005911E2">
        <w:rPr>
          <w:lang w:eastAsia="en-AU"/>
        </w:rPr>
        <w:t xml:space="preserve">y </w:t>
      </w:r>
      <w:r w:rsidR="00DA796D" w:rsidRPr="005911E2">
        <w:rPr>
          <w:lang w:eastAsia="en-AU"/>
        </w:rPr>
        <w:t xml:space="preserve">many of the people involved in the interviews for people in this group to choose to be subject to </w:t>
      </w:r>
      <w:r w:rsidR="002B5A5C">
        <w:rPr>
          <w:lang w:eastAsia="en-AU"/>
        </w:rPr>
        <w:t>Voluntary Income Management</w:t>
      </w:r>
      <w:r w:rsidR="00DA796D" w:rsidRPr="005911E2">
        <w:rPr>
          <w:lang w:eastAsia="en-AU"/>
        </w:rPr>
        <w:t xml:space="preserve"> if possible. People subject to </w:t>
      </w:r>
      <w:r>
        <w:rPr>
          <w:lang w:eastAsia="en-AU"/>
        </w:rPr>
        <w:t>Vulnerable Income Management</w:t>
      </w:r>
      <w:r w:rsidR="00DA796D" w:rsidRPr="005911E2">
        <w:rPr>
          <w:lang w:eastAsia="en-AU"/>
        </w:rPr>
        <w:t xml:space="preserve"> were likely to be experiencing alcohol or drug dependency issues or be elderly or unwell. Centrelink staff saw </w:t>
      </w:r>
      <w:r w:rsidR="00F878E4">
        <w:rPr>
          <w:lang w:eastAsia="en-AU"/>
        </w:rPr>
        <w:t>income management</w:t>
      </w:r>
      <w:r w:rsidR="00DA796D" w:rsidRPr="005911E2">
        <w:rPr>
          <w:lang w:eastAsia="en-AU"/>
        </w:rPr>
        <w:t xml:space="preserve"> as being able to assist this group in making sure they always had money available across the payment period for essentials like food. Limiting the amount of money that was allocated to a BasicsCard each day was also seen by some</w:t>
      </w:r>
      <w:r w:rsidR="006C33D2" w:rsidRPr="005911E2">
        <w:rPr>
          <w:lang w:eastAsia="en-AU"/>
        </w:rPr>
        <w:t xml:space="preserve"> to</w:t>
      </w:r>
      <w:r w:rsidR="00DA796D" w:rsidRPr="005911E2">
        <w:rPr>
          <w:lang w:eastAsia="en-AU"/>
        </w:rPr>
        <w:t xml:space="preserve"> have the potential to decrease the ability of other people to take a vulnerable person’s income support payments. </w:t>
      </w:r>
    </w:p>
    <w:p w:rsidR="00DA796D" w:rsidRPr="005911E2" w:rsidRDefault="00DA796D" w:rsidP="00DA796D">
      <w:pPr>
        <w:rPr>
          <w:lang w:eastAsia="en-AU"/>
        </w:rPr>
      </w:pPr>
      <w:r w:rsidRPr="005911E2">
        <w:rPr>
          <w:lang w:eastAsia="en-AU"/>
        </w:rPr>
        <w:t xml:space="preserve">Compulsory income management for long-term welfare </w:t>
      </w:r>
      <w:r w:rsidR="00021FA7">
        <w:rPr>
          <w:lang w:eastAsia="en-AU"/>
        </w:rPr>
        <w:t xml:space="preserve">payment </w:t>
      </w:r>
      <w:r w:rsidRPr="005911E2">
        <w:rPr>
          <w:lang w:eastAsia="en-AU"/>
        </w:rPr>
        <w:t xml:space="preserve">recipients and disengaged youth was the measure that had the least amount of support amongst service providers and stakeholders. There was a reasonably persistent view across most of the service providers </w:t>
      </w:r>
      <w:r w:rsidR="00BE5ECB">
        <w:rPr>
          <w:lang w:eastAsia="en-AU"/>
        </w:rPr>
        <w:t xml:space="preserve">that </w:t>
      </w:r>
      <w:r w:rsidRPr="005911E2">
        <w:rPr>
          <w:lang w:eastAsia="en-AU"/>
        </w:rPr>
        <w:t>there were substantial numbers of people subject to this measure who did not receive any benefit from being income managed. This was seen as having a negative impact on these people and also as being a poor use of resources w</w:t>
      </w:r>
      <w:r w:rsidR="005911E2">
        <w:rPr>
          <w:lang w:eastAsia="en-AU"/>
        </w:rPr>
        <w:t xml:space="preserve">hen </w:t>
      </w:r>
      <w:r w:rsidR="00BE5ECB">
        <w:rPr>
          <w:lang w:eastAsia="en-AU"/>
        </w:rPr>
        <w:t xml:space="preserve">they </w:t>
      </w:r>
      <w:r w:rsidR="005911E2">
        <w:rPr>
          <w:lang w:eastAsia="en-AU"/>
        </w:rPr>
        <w:t>could be redirected a</w:t>
      </w:r>
      <w:r w:rsidRPr="005911E2">
        <w:rPr>
          <w:lang w:eastAsia="en-AU"/>
        </w:rPr>
        <w:t>t assisting those with real needs</w:t>
      </w:r>
      <w:r w:rsidR="00614538" w:rsidRPr="005911E2">
        <w:rPr>
          <w:lang w:eastAsia="en-AU"/>
        </w:rPr>
        <w:t>.</w:t>
      </w:r>
      <w:r w:rsidR="00614538">
        <w:rPr>
          <w:lang w:eastAsia="en-AU"/>
        </w:rPr>
        <w:t xml:space="preserve"> </w:t>
      </w:r>
    </w:p>
    <w:p w:rsidR="00DA796D" w:rsidRPr="005911E2" w:rsidRDefault="00DA796D" w:rsidP="00BD6DFD">
      <w:pPr>
        <w:pStyle w:val="Heading3"/>
      </w:pPr>
      <w:r w:rsidRPr="005911E2">
        <w:t xml:space="preserve">Impacts of </w:t>
      </w:r>
      <w:r w:rsidR="00F878E4">
        <w:t>income management</w:t>
      </w:r>
      <w:r w:rsidRPr="005911E2">
        <w:t xml:space="preserve"> </w:t>
      </w:r>
    </w:p>
    <w:p w:rsidR="00DA796D" w:rsidRPr="005911E2" w:rsidRDefault="00DA796D" w:rsidP="00DA796D">
      <w:pPr>
        <w:rPr>
          <w:lang w:eastAsia="en-AU"/>
        </w:rPr>
      </w:pPr>
      <w:r w:rsidRPr="005911E2">
        <w:rPr>
          <w:lang w:eastAsia="en-AU"/>
        </w:rPr>
        <w:t>Responses to the survey of Centrelink staff sh</w:t>
      </w:r>
      <w:r w:rsidR="00824CDA" w:rsidRPr="005911E2">
        <w:rPr>
          <w:lang w:eastAsia="en-AU"/>
        </w:rPr>
        <w:t>owed that staff</w:t>
      </w:r>
      <w:r w:rsidRPr="005911E2">
        <w:rPr>
          <w:lang w:eastAsia="en-AU"/>
        </w:rPr>
        <w:t xml:space="preserve"> consider that </w:t>
      </w:r>
      <w:r w:rsidR="00F878E4">
        <w:rPr>
          <w:lang w:eastAsia="en-AU"/>
        </w:rPr>
        <w:t>income management</w:t>
      </w:r>
      <w:r w:rsidRPr="005911E2">
        <w:rPr>
          <w:lang w:eastAsia="en-AU"/>
        </w:rPr>
        <w:t xml:space="preserve"> has had a positive impact on many of those being income managed when </w:t>
      </w:r>
      <w:r w:rsidR="00BE4487">
        <w:rPr>
          <w:lang w:eastAsia="en-AU"/>
        </w:rPr>
        <w:t>considered</w:t>
      </w:r>
      <w:r w:rsidR="00BE4487" w:rsidRPr="005911E2">
        <w:rPr>
          <w:lang w:eastAsia="en-AU"/>
        </w:rPr>
        <w:t xml:space="preserve"> </w:t>
      </w:r>
      <w:r w:rsidRPr="005911E2">
        <w:rPr>
          <w:lang w:eastAsia="en-AU"/>
        </w:rPr>
        <w:t>in regard to changes in their general health, financial wellbeing and management skills</w:t>
      </w:r>
      <w:r w:rsidR="00BE4487">
        <w:rPr>
          <w:lang w:eastAsia="en-AU"/>
        </w:rPr>
        <w:t>,</w:t>
      </w:r>
      <w:r w:rsidRPr="005911E2">
        <w:rPr>
          <w:lang w:eastAsia="en-AU"/>
        </w:rPr>
        <w:t xml:space="preserve"> and the wellbeing of families and the communities they live in.</w:t>
      </w:r>
    </w:p>
    <w:p w:rsidR="00DA796D" w:rsidRPr="005911E2" w:rsidRDefault="00DA796D" w:rsidP="00DA796D">
      <w:pPr>
        <w:rPr>
          <w:lang w:eastAsia="en-AU"/>
        </w:rPr>
      </w:pPr>
      <w:r w:rsidRPr="005911E2">
        <w:rPr>
          <w:lang w:eastAsia="en-AU"/>
        </w:rPr>
        <w:t>In the survey and also interviews with Centrelink staff and some DCF child protection staff, children were more frequently seen as the primary beneficiaries of NIM, whereas the impacts on the wellbeing of adults tended to be neutral or negative. The general view was that children had access to more food and better clothing and were more likely to attend school.</w:t>
      </w:r>
      <w:r w:rsidR="00B62B2D">
        <w:rPr>
          <w:lang w:eastAsia="en-AU"/>
        </w:rPr>
        <w:t xml:space="preserve"> </w:t>
      </w:r>
    </w:p>
    <w:p w:rsidR="00DA796D" w:rsidRPr="005911E2" w:rsidRDefault="00DA796D" w:rsidP="00DA796D">
      <w:pPr>
        <w:rPr>
          <w:lang w:eastAsia="en-AU"/>
        </w:rPr>
      </w:pPr>
      <w:r w:rsidRPr="005911E2">
        <w:rPr>
          <w:lang w:eastAsia="en-AU"/>
        </w:rPr>
        <w:t xml:space="preserve">In both the survey and interviews there was agreement amongst respondents that there were some adults who were subject to NIM who did not need to </w:t>
      </w:r>
      <w:r w:rsidR="00BE5ECB">
        <w:rPr>
          <w:lang w:eastAsia="en-AU"/>
        </w:rPr>
        <w:t>because</w:t>
      </w:r>
      <w:r w:rsidRPr="005911E2">
        <w:rPr>
          <w:lang w:eastAsia="en-AU"/>
        </w:rPr>
        <w:t xml:space="preserve"> they were already managing their money well. These people were generally identified as being long-term welfare</w:t>
      </w:r>
      <w:r w:rsidR="00021FA7">
        <w:rPr>
          <w:lang w:eastAsia="en-AU"/>
        </w:rPr>
        <w:t xml:space="preserve"> payment</w:t>
      </w:r>
      <w:r w:rsidRPr="005911E2">
        <w:rPr>
          <w:lang w:eastAsia="en-AU"/>
        </w:rPr>
        <w:t xml:space="preserve"> recipients who did not have dependent children. This group was seen as having few options to move off </w:t>
      </w:r>
      <w:r w:rsidR="00F878E4">
        <w:rPr>
          <w:lang w:eastAsia="en-AU"/>
        </w:rPr>
        <w:t>income management</w:t>
      </w:r>
      <w:r w:rsidRPr="005911E2">
        <w:rPr>
          <w:lang w:eastAsia="en-AU"/>
        </w:rPr>
        <w:t xml:space="preserve"> through either exemptions or a change in circumstances. </w:t>
      </w:r>
    </w:p>
    <w:p w:rsidR="00DA796D" w:rsidRPr="005911E2" w:rsidRDefault="00DA796D" w:rsidP="00BD6DFD">
      <w:pPr>
        <w:pStyle w:val="Heading3"/>
      </w:pPr>
      <w:r w:rsidRPr="005911E2">
        <w:t>Views of other stakeholders</w:t>
      </w:r>
    </w:p>
    <w:p w:rsidR="00DA796D" w:rsidRPr="005911E2" w:rsidRDefault="00DA796D" w:rsidP="00DA796D">
      <w:pPr>
        <w:rPr>
          <w:lang w:eastAsia="en-AU"/>
        </w:rPr>
      </w:pPr>
      <w:r w:rsidRPr="005911E2">
        <w:rPr>
          <w:lang w:eastAsia="en-AU"/>
        </w:rPr>
        <w:t xml:space="preserve">The views of other stakeholders consulted tended to reflect a number of the concerns raised by Centrelink, DCF, </w:t>
      </w:r>
      <w:r w:rsidR="00690213">
        <w:rPr>
          <w:lang w:eastAsia="en-AU"/>
        </w:rPr>
        <w:t>and m</w:t>
      </w:r>
      <w:r w:rsidRPr="005911E2">
        <w:rPr>
          <w:lang w:eastAsia="en-AU"/>
        </w:rPr>
        <w:t xml:space="preserve">oney </w:t>
      </w:r>
      <w:r w:rsidR="00690213">
        <w:rPr>
          <w:lang w:eastAsia="en-AU"/>
        </w:rPr>
        <w:t>m</w:t>
      </w:r>
      <w:r w:rsidRPr="005911E2">
        <w:rPr>
          <w:lang w:eastAsia="en-AU"/>
        </w:rPr>
        <w:t xml:space="preserve">anagement and financial counselling staff, but frequently took these somewhat further. This included the extent to which </w:t>
      </w:r>
      <w:r w:rsidR="002B5A5C">
        <w:rPr>
          <w:lang w:eastAsia="en-AU"/>
        </w:rPr>
        <w:t>Voluntary Income Management</w:t>
      </w:r>
      <w:r w:rsidRPr="005911E2">
        <w:rPr>
          <w:lang w:eastAsia="en-AU"/>
        </w:rPr>
        <w:t xml:space="preserve"> was voluntary, concerns about exemptions</w:t>
      </w:r>
      <w:r w:rsidR="00690213">
        <w:rPr>
          <w:lang w:eastAsia="en-AU"/>
        </w:rPr>
        <w:t>,</w:t>
      </w:r>
      <w:r w:rsidRPr="005911E2">
        <w:rPr>
          <w:lang w:eastAsia="en-AU"/>
        </w:rPr>
        <w:t xml:space="preserve"> and concerns about aspects of the BasicsCards. While most of the stakeholders did not see </w:t>
      </w:r>
      <w:r w:rsidR="00F878E4">
        <w:rPr>
          <w:lang w:eastAsia="en-AU"/>
        </w:rPr>
        <w:t>income management</w:t>
      </w:r>
      <w:r w:rsidRPr="005911E2">
        <w:rPr>
          <w:lang w:eastAsia="en-AU"/>
        </w:rPr>
        <w:t xml:space="preserve"> as a positive policy for people living in the </w:t>
      </w:r>
      <w:r w:rsidR="006435C8">
        <w:rPr>
          <w:lang w:eastAsia="en-AU"/>
        </w:rPr>
        <w:t>Northern Territory,</w:t>
      </w:r>
      <w:r w:rsidRPr="005911E2">
        <w:rPr>
          <w:lang w:eastAsia="en-AU"/>
        </w:rPr>
        <w:t xml:space="preserve"> one organisation representing women in parts of Central Australia and South Australia saw NIM as </w:t>
      </w:r>
      <w:r w:rsidR="00690213">
        <w:rPr>
          <w:lang w:eastAsia="en-AU"/>
        </w:rPr>
        <w:t xml:space="preserve">being </w:t>
      </w:r>
      <w:r w:rsidRPr="005911E2">
        <w:rPr>
          <w:lang w:eastAsia="en-AU"/>
        </w:rPr>
        <w:t>highly beneficial for children and older people and was keen to see it expanded into all of the communities they represented.</w:t>
      </w:r>
    </w:p>
    <w:p w:rsidR="00DA796D" w:rsidRPr="005911E2" w:rsidRDefault="00DA796D" w:rsidP="00BD6DFD">
      <w:pPr>
        <w:pStyle w:val="Heading3"/>
      </w:pPr>
      <w:r w:rsidRPr="005911E2">
        <w:t>Views of merchants</w:t>
      </w:r>
    </w:p>
    <w:p w:rsidR="00DA796D" w:rsidRPr="005911E2" w:rsidRDefault="00DA796D" w:rsidP="00DA796D">
      <w:pPr>
        <w:rPr>
          <w:lang w:eastAsia="en-AU"/>
        </w:rPr>
      </w:pPr>
      <w:r w:rsidRPr="005911E2">
        <w:rPr>
          <w:lang w:eastAsia="en-AU"/>
        </w:rPr>
        <w:t xml:space="preserve">The telephone survey with merchants </w:t>
      </w:r>
      <w:r w:rsidR="000954EA">
        <w:rPr>
          <w:lang w:eastAsia="en-AU"/>
        </w:rPr>
        <w:t>approved</w:t>
      </w:r>
      <w:r w:rsidR="000954EA" w:rsidRPr="005911E2">
        <w:rPr>
          <w:lang w:eastAsia="en-AU"/>
        </w:rPr>
        <w:t xml:space="preserve"> </w:t>
      </w:r>
      <w:r w:rsidRPr="005911E2">
        <w:rPr>
          <w:lang w:eastAsia="en-AU"/>
        </w:rPr>
        <w:t xml:space="preserve">to accept income managed funds also provided a generally positive picture of NIM. Most merchants felt that </w:t>
      </w:r>
      <w:r w:rsidR="00690213">
        <w:rPr>
          <w:lang w:eastAsia="en-AU"/>
        </w:rPr>
        <w:t xml:space="preserve">they </w:t>
      </w:r>
      <w:r w:rsidRPr="005911E2">
        <w:rPr>
          <w:lang w:eastAsia="en-AU"/>
        </w:rPr>
        <w:t xml:space="preserve">had enough training and information to use </w:t>
      </w:r>
      <w:r w:rsidR="00F878E4">
        <w:rPr>
          <w:lang w:eastAsia="en-AU"/>
        </w:rPr>
        <w:t>income management</w:t>
      </w:r>
      <w:r w:rsidRPr="005911E2">
        <w:rPr>
          <w:lang w:eastAsia="en-AU"/>
        </w:rPr>
        <w:t xml:space="preserve"> fund</w:t>
      </w:r>
      <w:r w:rsidR="00690213">
        <w:rPr>
          <w:lang w:eastAsia="en-AU"/>
        </w:rPr>
        <w:t>s</w:t>
      </w:r>
      <w:r w:rsidRPr="005911E2">
        <w:rPr>
          <w:lang w:eastAsia="en-AU"/>
        </w:rPr>
        <w:t xml:space="preserve"> in their business. Merchants responding to the survey were generally positive about the impacts of NIM on their customers, with over 80 per cent agreeing that customers using </w:t>
      </w:r>
      <w:r w:rsidR="00F878E4">
        <w:rPr>
          <w:lang w:eastAsia="en-AU"/>
        </w:rPr>
        <w:t>income management</w:t>
      </w:r>
      <w:r w:rsidRPr="005911E2">
        <w:rPr>
          <w:lang w:eastAsia="en-AU"/>
        </w:rPr>
        <w:t xml:space="preserve"> funds had more money available for their priority needs and that </w:t>
      </w:r>
      <w:r w:rsidR="00F878E4">
        <w:rPr>
          <w:lang w:eastAsia="en-AU"/>
        </w:rPr>
        <w:t>income management</w:t>
      </w:r>
      <w:r w:rsidRPr="005911E2">
        <w:rPr>
          <w:lang w:eastAsia="en-AU"/>
        </w:rPr>
        <w:t xml:space="preserve"> allowed women in their community to have greater control over their money. </w:t>
      </w:r>
    </w:p>
    <w:p w:rsidR="00DA796D" w:rsidRPr="005911E2" w:rsidRDefault="00DA796D" w:rsidP="00DA796D">
      <w:pPr>
        <w:rPr>
          <w:lang w:eastAsia="en-AU"/>
        </w:rPr>
      </w:pPr>
      <w:r w:rsidRPr="005911E2">
        <w:rPr>
          <w:lang w:eastAsia="en-AU"/>
        </w:rPr>
        <w:t xml:space="preserve">In later Chapters we will compare the responses of Centrelink and other service providers with those of the </w:t>
      </w:r>
      <w:r w:rsidR="00690213">
        <w:rPr>
          <w:lang w:eastAsia="en-AU"/>
        </w:rPr>
        <w:t>c</w:t>
      </w:r>
      <w:r w:rsidRPr="005911E2">
        <w:rPr>
          <w:lang w:eastAsia="en-AU"/>
        </w:rPr>
        <w:t xml:space="preserve">lients subject to </w:t>
      </w:r>
      <w:r w:rsidR="00F878E4">
        <w:rPr>
          <w:lang w:eastAsia="en-AU"/>
        </w:rPr>
        <w:t>income management</w:t>
      </w:r>
      <w:r w:rsidRPr="005911E2">
        <w:rPr>
          <w:lang w:eastAsia="en-AU"/>
        </w:rPr>
        <w:t>.</w:t>
      </w:r>
      <w:r w:rsidR="00B62B2D">
        <w:rPr>
          <w:lang w:eastAsia="en-AU"/>
        </w:rPr>
        <w:t xml:space="preserve"> </w:t>
      </w:r>
    </w:p>
    <w:p w:rsidR="00DA796D" w:rsidRPr="005911E2" w:rsidRDefault="00DA796D" w:rsidP="00C0582B">
      <w:pPr>
        <w:pStyle w:val="chapterend"/>
      </w:pPr>
    </w:p>
    <w:p w:rsidR="00DA796D" w:rsidRPr="005911E2" w:rsidRDefault="00DA796D" w:rsidP="00DA796D">
      <w:pPr>
        <w:spacing w:after="0" w:line="240" w:lineRule="auto"/>
        <w:ind w:left="0"/>
        <w:jc w:val="left"/>
        <w:sectPr w:rsidR="00DA796D" w:rsidRPr="005911E2" w:rsidSect="00F357A2">
          <w:footerReference w:type="default" r:id="rId48"/>
          <w:pgSz w:w="11906" w:h="16838" w:code="9"/>
          <w:pgMar w:top="1418" w:right="1797" w:bottom="1418" w:left="1230" w:header="567" w:footer="284" w:gutter="0"/>
          <w:cols w:space="708"/>
          <w:docGrid w:linePitch="360"/>
        </w:sectPr>
      </w:pPr>
    </w:p>
    <w:p w:rsidR="00991B4C" w:rsidRPr="005911E2" w:rsidRDefault="00991B4C" w:rsidP="00BD6DFD">
      <w:pPr>
        <w:pStyle w:val="Heading1"/>
      </w:pPr>
      <w:bookmarkStart w:id="956" w:name="_Toc321225157"/>
      <w:bookmarkStart w:id="957" w:name="_Ref321228786"/>
      <w:bookmarkStart w:id="958" w:name="_Ref321240699"/>
      <w:bookmarkStart w:id="959" w:name="_Ref321240710"/>
      <w:bookmarkStart w:id="960" w:name="_Ref321240718"/>
      <w:bookmarkStart w:id="961" w:name="_Toc321254500"/>
      <w:bookmarkStart w:id="962" w:name="_Toc328601525"/>
      <w:bookmarkStart w:id="963" w:name="_Toc329870406"/>
      <w:bookmarkStart w:id="964" w:name="_Toc335915792"/>
      <w:r w:rsidRPr="005911E2">
        <w:t xml:space="preserve">The experience and impacts of </w:t>
      </w:r>
      <w:bookmarkEnd w:id="956"/>
      <w:bookmarkEnd w:id="957"/>
      <w:bookmarkEnd w:id="958"/>
      <w:bookmarkEnd w:id="959"/>
      <w:bookmarkEnd w:id="960"/>
      <w:bookmarkEnd w:id="961"/>
      <w:r w:rsidR="00F878E4">
        <w:t>income management</w:t>
      </w:r>
      <w:bookmarkEnd w:id="962"/>
      <w:bookmarkEnd w:id="963"/>
      <w:bookmarkEnd w:id="964"/>
    </w:p>
    <w:p w:rsidR="00897C1E" w:rsidRPr="005911E2" w:rsidRDefault="00897C1E" w:rsidP="00616B0F">
      <w:pPr>
        <w:pStyle w:val="Heading2"/>
      </w:pPr>
      <w:bookmarkStart w:id="965" w:name="_Toc322470827"/>
      <w:bookmarkStart w:id="966" w:name="_Toc328601526"/>
      <w:bookmarkStart w:id="967" w:name="_Toc329870407"/>
      <w:bookmarkStart w:id="968" w:name="_Toc335915793"/>
      <w:bookmarkStart w:id="969" w:name="_Toc321225158"/>
      <w:bookmarkStart w:id="970" w:name="_Toc321254501"/>
      <w:r w:rsidRPr="005911E2">
        <w:t>Introduction</w:t>
      </w:r>
      <w:bookmarkEnd w:id="965"/>
      <w:bookmarkEnd w:id="966"/>
      <w:bookmarkEnd w:id="967"/>
      <w:bookmarkEnd w:id="968"/>
    </w:p>
    <w:p w:rsidR="00897C1E" w:rsidRPr="005911E2" w:rsidRDefault="00897C1E" w:rsidP="00897C1E">
      <w:pPr>
        <w:pStyle w:val="BodyText"/>
        <w:rPr>
          <w:lang w:eastAsia="en-US"/>
        </w:rPr>
      </w:pPr>
      <w:r w:rsidRPr="005911E2">
        <w:rPr>
          <w:lang w:eastAsia="en-US"/>
        </w:rPr>
        <w:t xml:space="preserve">This chapter explores the experiences of those subject to </w:t>
      </w:r>
      <w:r w:rsidR="00F878E4">
        <w:rPr>
          <w:lang w:eastAsia="en-US"/>
        </w:rPr>
        <w:t>income management</w:t>
      </w:r>
      <w:r w:rsidRPr="005911E2">
        <w:rPr>
          <w:lang w:eastAsia="en-US"/>
        </w:rPr>
        <w:t xml:space="preserve"> and the impact it has had on themselves, their families, and their communities. The chapter is based upon data from the first wave of the Longitudinal </w:t>
      </w:r>
      <w:r w:rsidR="005B4122">
        <w:rPr>
          <w:lang w:eastAsia="en-US"/>
        </w:rPr>
        <w:t>Survey</w:t>
      </w:r>
      <w:r w:rsidR="005B4122" w:rsidRPr="005911E2">
        <w:rPr>
          <w:lang w:eastAsia="en-US"/>
        </w:rPr>
        <w:t xml:space="preserve"> </w:t>
      </w:r>
      <w:r w:rsidRPr="005911E2">
        <w:rPr>
          <w:lang w:eastAsia="en-US"/>
        </w:rPr>
        <w:t>of New Income Management (LSNIM).</w:t>
      </w:r>
    </w:p>
    <w:p w:rsidR="00897C1E" w:rsidRPr="005911E2" w:rsidRDefault="00897C1E" w:rsidP="00897C1E">
      <w:pPr>
        <w:pStyle w:val="BodyText"/>
        <w:rPr>
          <w:lang w:eastAsia="en-US"/>
        </w:rPr>
      </w:pPr>
      <w:r w:rsidRPr="005911E2">
        <w:rPr>
          <w:lang w:eastAsia="en-US"/>
        </w:rPr>
        <w:t>As outlined in Chapter 3 and Appen</w:t>
      </w:r>
      <w:r w:rsidRPr="004076F7">
        <w:rPr>
          <w:lang w:eastAsia="en-US"/>
        </w:rPr>
        <w:t xml:space="preserve">dix </w:t>
      </w:r>
      <w:r w:rsidR="0027077D">
        <w:rPr>
          <w:lang w:eastAsia="en-US"/>
        </w:rPr>
        <w:t>B</w:t>
      </w:r>
      <w:r w:rsidR="004076F7" w:rsidRPr="004076F7">
        <w:rPr>
          <w:lang w:eastAsia="en-US"/>
        </w:rPr>
        <w:t xml:space="preserve">, </w:t>
      </w:r>
      <w:r w:rsidRPr="004076F7">
        <w:rPr>
          <w:lang w:eastAsia="en-US"/>
        </w:rPr>
        <w:t>the f</w:t>
      </w:r>
      <w:r w:rsidRPr="005911E2">
        <w:rPr>
          <w:lang w:eastAsia="en-US"/>
        </w:rPr>
        <w:t>irst wave of the LSNIM collected data both from people in the</w:t>
      </w:r>
      <w:r w:rsidR="006435C8">
        <w:rPr>
          <w:lang w:eastAsia="en-US"/>
        </w:rPr>
        <w:t xml:space="preserve"> Northern Territory </w:t>
      </w:r>
      <w:r w:rsidRPr="005911E2">
        <w:rPr>
          <w:lang w:eastAsia="en-US"/>
        </w:rPr>
        <w:t xml:space="preserve">subject to </w:t>
      </w:r>
      <w:r w:rsidR="00F878E4">
        <w:rPr>
          <w:lang w:eastAsia="en-US"/>
        </w:rPr>
        <w:t>income management</w:t>
      </w:r>
      <w:r w:rsidRPr="005911E2">
        <w:rPr>
          <w:lang w:eastAsia="en-US"/>
        </w:rPr>
        <w:t xml:space="preserve"> and a comparison group of income support recipients in other states. The IM population comprises 818 people in the </w:t>
      </w:r>
      <w:r w:rsidR="006435C8">
        <w:rPr>
          <w:lang w:eastAsia="en-US"/>
        </w:rPr>
        <w:t>Northern Territory,</w:t>
      </w:r>
      <w:r w:rsidRPr="005911E2">
        <w:rPr>
          <w:lang w:eastAsia="en-US"/>
        </w:rPr>
        <w:t xml:space="preserve"> with these being drawn from people identified by Centrelink as being subject to </w:t>
      </w:r>
      <w:r w:rsidR="00F8655F">
        <w:rPr>
          <w:lang w:eastAsia="en-US"/>
        </w:rPr>
        <w:t>income management,</w:t>
      </w:r>
      <w:r w:rsidR="00F8655F" w:rsidRPr="005911E2">
        <w:rPr>
          <w:lang w:eastAsia="en-US"/>
        </w:rPr>
        <w:t xml:space="preserve"> </w:t>
      </w:r>
      <w:r w:rsidRPr="005911E2">
        <w:rPr>
          <w:lang w:eastAsia="en-US"/>
        </w:rPr>
        <w:t xml:space="preserve">in Darwin, Alice Springs, Alice Springs </w:t>
      </w:r>
      <w:r w:rsidR="00DA0CE8">
        <w:rPr>
          <w:lang w:eastAsia="en-US"/>
        </w:rPr>
        <w:t>t</w:t>
      </w:r>
      <w:r w:rsidRPr="005911E2">
        <w:rPr>
          <w:lang w:eastAsia="en-US"/>
        </w:rPr>
        <w:t xml:space="preserve">own </w:t>
      </w:r>
      <w:r w:rsidR="00DA0CE8">
        <w:rPr>
          <w:lang w:eastAsia="en-US"/>
        </w:rPr>
        <w:t>c</w:t>
      </w:r>
      <w:r w:rsidRPr="005911E2">
        <w:rPr>
          <w:lang w:eastAsia="en-US"/>
        </w:rPr>
        <w:t>amps and six remote communities. The comparison group comprises 305 people living in Cairns and a remote community in another state.</w:t>
      </w:r>
      <w:r w:rsidRPr="005911E2">
        <w:rPr>
          <w:rStyle w:val="FootnoteReference"/>
          <w:lang w:eastAsia="en-US"/>
        </w:rPr>
        <w:footnoteReference w:id="95"/>
      </w:r>
      <w:r w:rsidRPr="005911E2">
        <w:rPr>
          <w:lang w:eastAsia="en-US"/>
        </w:rPr>
        <w:t xml:space="preserve"> In this report these are referred to as the ‘contrast sites’.</w:t>
      </w:r>
    </w:p>
    <w:p w:rsidR="00897C1E" w:rsidRPr="005911E2" w:rsidRDefault="00897C1E" w:rsidP="00897C1E">
      <w:pPr>
        <w:pStyle w:val="BodyText1"/>
      </w:pPr>
      <w:r w:rsidRPr="005911E2">
        <w:t xml:space="preserve">The chapter begins by describing the approach taken to the analysis of data from the LSNIM. Then follows an outline of how LSNIM was conducted and an assessment of the representativeness of the sample of people interviewed in relation to the overall population of income support recipients. The chapter then describes the characteristics of people subject to </w:t>
      </w:r>
      <w:r w:rsidR="00F878E4">
        <w:t>income management</w:t>
      </w:r>
      <w:r w:rsidRPr="005911E2">
        <w:t xml:space="preserve"> (focusing on characteristics that are not available from the Centrelink administrative data which has been previously considered in Chapter 4). This is followed by analysis of the extent to which </w:t>
      </w:r>
      <w:r w:rsidR="00F878E4">
        <w:t>income management</w:t>
      </w:r>
      <w:r w:rsidRPr="005911E2">
        <w:t xml:space="preserve"> is understood by those subject to it. The chapter then considers the personal and financial circumstances of people before and after </w:t>
      </w:r>
      <w:r w:rsidR="00F878E4">
        <w:t>income management</w:t>
      </w:r>
      <w:r w:rsidRPr="005911E2">
        <w:t>, their perception of change in the circumstances of their families and communities</w:t>
      </w:r>
      <w:r w:rsidR="00DA0CE8">
        <w:t>,</w:t>
      </w:r>
      <w:r w:rsidRPr="005911E2">
        <w:t xml:space="preserve"> and their views on the impact of </w:t>
      </w:r>
      <w:r w:rsidR="00F878E4">
        <w:t>income management</w:t>
      </w:r>
      <w:r w:rsidRPr="005911E2">
        <w:t xml:space="preserve"> on their lives.</w:t>
      </w:r>
    </w:p>
    <w:p w:rsidR="00897C1E" w:rsidRPr="005911E2" w:rsidRDefault="00897C1E" w:rsidP="00897C1E">
      <w:pPr>
        <w:pStyle w:val="BodyText"/>
      </w:pPr>
      <w:r w:rsidRPr="005911E2">
        <w:t>This report focuses on the experience of people who are being income managed utilising data from the ‘contrast’ sites to provide some reference points for analysing the data from the</w:t>
      </w:r>
      <w:r w:rsidR="006435C8">
        <w:t xml:space="preserve"> Northern Territory </w:t>
      </w:r>
      <w:r w:rsidRPr="005911E2">
        <w:t xml:space="preserve">and in multivariate analysis to try to identify the extent to which outcomes are specifically associated with </w:t>
      </w:r>
      <w:r w:rsidR="00F878E4">
        <w:t>income management</w:t>
      </w:r>
      <w:r w:rsidRPr="005911E2">
        <w:t xml:space="preserve">. The role of the contrast sites will also be important in the second phase of the survey where more detailed analysis of </w:t>
      </w:r>
      <w:r w:rsidR="0076785A">
        <w:t xml:space="preserve">the </w:t>
      </w:r>
      <w:r w:rsidRPr="005911E2">
        <w:t>differences in changes in outcomes between the</w:t>
      </w:r>
      <w:r w:rsidR="006435C8">
        <w:t xml:space="preserve"> Northern Territory </w:t>
      </w:r>
      <w:r w:rsidRPr="005911E2">
        <w:t>and contrast sites will be undertaken (this is often termed difference-in-difference</w:t>
      </w:r>
      <w:r w:rsidR="0076785A">
        <w:t xml:space="preserve"> analysis</w:t>
      </w:r>
      <w:r w:rsidRPr="005911E2">
        <w:t>).</w:t>
      </w:r>
      <w:r w:rsidRPr="005911E2">
        <w:rPr>
          <w:rStyle w:val="FootnoteReference"/>
        </w:rPr>
        <w:footnoteReference w:id="96"/>
      </w:r>
      <w:r w:rsidRPr="005911E2">
        <w:t xml:space="preserve"> </w:t>
      </w:r>
    </w:p>
    <w:p w:rsidR="00897C1E" w:rsidRPr="005911E2" w:rsidRDefault="00897C1E" w:rsidP="00897C1E">
      <w:pPr>
        <w:pStyle w:val="BodyText"/>
      </w:pPr>
      <w:r w:rsidRPr="005911E2">
        <w:t>As discussed later in the chapter, interpreting some of this data and identifying the specific role of NIM is complex.</w:t>
      </w:r>
      <w:r w:rsidR="00B62B2D">
        <w:t xml:space="preserve"> </w:t>
      </w:r>
      <w:r w:rsidRPr="005911E2">
        <w:t>There are several reasons for this.</w:t>
      </w:r>
    </w:p>
    <w:p w:rsidR="00897C1E" w:rsidRPr="005911E2" w:rsidRDefault="00897C1E" w:rsidP="00897C1E">
      <w:pPr>
        <w:pStyle w:val="BodyText"/>
      </w:pPr>
      <w:r w:rsidRPr="005911E2">
        <w:t xml:space="preserve">First, there is considerable diversity in the experience of individuals subject to </w:t>
      </w:r>
      <w:r w:rsidR="00F878E4">
        <w:t>income management</w:t>
      </w:r>
      <w:r w:rsidRPr="005911E2">
        <w:t xml:space="preserve">. For some it is positive, for some there is little impact, and for others it is negative. Given this diversity, focusing simply on the ‘average impact’ can be quite uninformative and </w:t>
      </w:r>
      <w:r w:rsidR="0076785A">
        <w:t xml:space="preserve">even </w:t>
      </w:r>
      <w:r w:rsidRPr="005911E2">
        <w:t xml:space="preserve">misleading. This approach fails to capture the actual experiences of people subject to </w:t>
      </w:r>
      <w:r w:rsidR="00F878E4">
        <w:t>income management</w:t>
      </w:r>
      <w:r w:rsidRPr="005911E2">
        <w:rPr>
          <w:rStyle w:val="FootnoteReference"/>
        </w:rPr>
        <w:footnoteReference w:id="97"/>
      </w:r>
      <w:r w:rsidRPr="005911E2">
        <w:t xml:space="preserve"> and the effectiveness of the program on different groups of people.</w:t>
      </w:r>
    </w:p>
    <w:p w:rsidR="00897C1E" w:rsidRPr="005911E2" w:rsidRDefault="00897C1E" w:rsidP="00897C1E">
      <w:pPr>
        <w:pStyle w:val="BodyText"/>
      </w:pPr>
      <w:r w:rsidRPr="005911E2">
        <w:t xml:space="preserve">Second, there </w:t>
      </w:r>
      <w:r w:rsidR="00384A7D">
        <w:t>is</w:t>
      </w:r>
      <w:r w:rsidRPr="005911E2">
        <w:t xml:space="preserve"> a range of different ‘treatment effects’ that need to be considered</w:t>
      </w:r>
      <w:r w:rsidR="0076785A">
        <w:t xml:space="preserve"> (see Chapter 3)</w:t>
      </w:r>
      <w:r w:rsidRPr="005911E2">
        <w:t xml:space="preserve">. That is, the outcome for individuals who are subject to </w:t>
      </w:r>
      <w:r w:rsidR="00F878E4">
        <w:t>income management</w:t>
      </w:r>
      <w:r w:rsidRPr="005911E2">
        <w:t xml:space="preserve"> are likely to be affected by whether this is compulsory or voluntary, whether the area they live in has had interventions associated with the NTER, and whether the individuals themselves were subject to </w:t>
      </w:r>
      <w:r w:rsidR="00F878E4">
        <w:t>income management</w:t>
      </w:r>
      <w:r w:rsidRPr="005911E2">
        <w:t xml:space="preserve"> under the NTER.</w:t>
      </w:r>
    </w:p>
    <w:p w:rsidR="00897C1E" w:rsidRPr="005911E2" w:rsidRDefault="00897C1E" w:rsidP="00897C1E">
      <w:pPr>
        <w:pStyle w:val="BodyText"/>
      </w:pPr>
      <w:r w:rsidRPr="005911E2">
        <w:t xml:space="preserve">Further, to anticipate the material presented here, not only are some of the net changes in outcomes relatively small, but many of the apparent improvements reported by people on income management </w:t>
      </w:r>
      <w:r w:rsidR="00ED38A8">
        <w:t xml:space="preserve">in the Northern Territory </w:t>
      </w:r>
      <w:r w:rsidRPr="005911E2">
        <w:t xml:space="preserve">are also reported by </w:t>
      </w:r>
      <w:r w:rsidR="00ED38A8">
        <w:t xml:space="preserve">those in </w:t>
      </w:r>
      <w:r w:rsidRPr="005911E2">
        <w:t xml:space="preserve">the contrast </w:t>
      </w:r>
      <w:r w:rsidR="00ED38A8">
        <w:t>sites</w:t>
      </w:r>
      <w:r w:rsidR="00ED38A8" w:rsidRPr="005911E2">
        <w:t xml:space="preserve"> </w:t>
      </w:r>
      <w:r w:rsidRPr="005911E2">
        <w:t>in other states. In addition</w:t>
      </w:r>
      <w:r w:rsidR="0076785A">
        <w:t>,</w:t>
      </w:r>
      <w:r w:rsidRPr="005911E2">
        <w:t xml:space="preserve"> perceived outcomes are not necessarily matched by more objective measures. </w:t>
      </w:r>
    </w:p>
    <w:p w:rsidR="00897C1E" w:rsidRPr="005911E2" w:rsidRDefault="00897C1E" w:rsidP="00616B0F">
      <w:pPr>
        <w:pStyle w:val="Heading2"/>
      </w:pPr>
      <w:bookmarkStart w:id="971" w:name="_Toc322470829"/>
      <w:bookmarkStart w:id="972" w:name="_Toc328601527"/>
      <w:bookmarkStart w:id="973" w:name="_Toc329870408"/>
      <w:bookmarkStart w:id="974" w:name="_Toc335915794"/>
      <w:r w:rsidRPr="005911E2">
        <w:t>Approach to analysis</w:t>
      </w:r>
      <w:bookmarkEnd w:id="971"/>
      <w:bookmarkEnd w:id="972"/>
      <w:bookmarkEnd w:id="973"/>
      <w:bookmarkEnd w:id="974"/>
    </w:p>
    <w:p w:rsidR="00897C1E" w:rsidRPr="005911E2" w:rsidRDefault="00897C1E" w:rsidP="00897C1E">
      <w:pPr>
        <w:pStyle w:val="BodyText"/>
        <w:rPr>
          <w:lang w:eastAsia="en-US"/>
        </w:rPr>
      </w:pPr>
      <w:r w:rsidRPr="005911E2">
        <w:rPr>
          <w:lang w:eastAsia="en-US"/>
        </w:rPr>
        <w:t>In general the data from the survey is reported in this chapter according to whether the survey participant is Indigenous or non-Indigenous. For those in the</w:t>
      </w:r>
      <w:r w:rsidR="006435C8">
        <w:rPr>
          <w:lang w:eastAsia="en-US"/>
        </w:rPr>
        <w:t xml:space="preserve"> Northern Territory </w:t>
      </w:r>
      <w:r w:rsidRPr="005911E2">
        <w:rPr>
          <w:lang w:eastAsia="en-US"/>
        </w:rPr>
        <w:t xml:space="preserve">it also reported according to whether they are on a compulsory form of </w:t>
      </w:r>
      <w:r w:rsidR="00F878E4">
        <w:rPr>
          <w:lang w:eastAsia="en-US"/>
        </w:rPr>
        <w:t>income management</w:t>
      </w:r>
      <w:r w:rsidRPr="005911E2">
        <w:rPr>
          <w:lang w:eastAsia="en-US"/>
        </w:rPr>
        <w:t xml:space="preserve"> (including </w:t>
      </w:r>
      <w:r w:rsidR="00E146B5">
        <w:rPr>
          <w:lang w:eastAsia="en-US"/>
        </w:rPr>
        <w:t>Child Protection Income Management</w:t>
      </w:r>
      <w:r w:rsidRPr="005911E2">
        <w:rPr>
          <w:lang w:eastAsia="en-US"/>
        </w:rPr>
        <w:t xml:space="preserve"> and </w:t>
      </w:r>
      <w:r w:rsidR="00E2340D">
        <w:rPr>
          <w:lang w:eastAsia="en-US"/>
        </w:rPr>
        <w:t>Vulnerable Income Management</w:t>
      </w:r>
      <w:r w:rsidRPr="005911E2">
        <w:rPr>
          <w:lang w:eastAsia="en-US"/>
        </w:rPr>
        <w:t xml:space="preserve">) or on </w:t>
      </w:r>
      <w:r w:rsidR="002B5A5C">
        <w:rPr>
          <w:lang w:eastAsia="en-US"/>
        </w:rPr>
        <w:t>Voluntary Income Management</w:t>
      </w:r>
      <w:r w:rsidRPr="005911E2">
        <w:rPr>
          <w:lang w:eastAsia="en-US"/>
        </w:rPr>
        <w:t>.</w:t>
      </w:r>
      <w:r w:rsidRPr="005911E2">
        <w:rPr>
          <w:rStyle w:val="FootnoteReference"/>
        </w:rPr>
        <w:footnoteReference w:id="98"/>
      </w:r>
      <w:r w:rsidRPr="005911E2">
        <w:rPr>
          <w:lang w:eastAsia="en-US"/>
        </w:rPr>
        <w:t xml:space="preserve"> In this chapter these groups of </w:t>
      </w:r>
      <w:r w:rsidR="00F878E4">
        <w:rPr>
          <w:lang w:eastAsia="en-US"/>
        </w:rPr>
        <w:t>income management</w:t>
      </w:r>
      <w:r w:rsidRPr="005911E2">
        <w:rPr>
          <w:lang w:eastAsia="en-US"/>
        </w:rPr>
        <w:t xml:space="preserve"> are referred to as </w:t>
      </w:r>
      <w:r w:rsidR="006B0532">
        <w:rPr>
          <w:lang w:eastAsia="en-US"/>
        </w:rPr>
        <w:t>‘Compulsory’</w:t>
      </w:r>
      <w:r w:rsidRPr="005911E2">
        <w:rPr>
          <w:lang w:eastAsia="en-US"/>
        </w:rPr>
        <w:t xml:space="preserve"> and </w:t>
      </w:r>
      <w:r w:rsidR="006B0532">
        <w:rPr>
          <w:lang w:eastAsia="en-US"/>
        </w:rPr>
        <w:t>‘Voluntary’</w:t>
      </w:r>
      <w:r w:rsidRPr="005911E2">
        <w:rPr>
          <w:lang w:eastAsia="en-US"/>
        </w:rPr>
        <w:t xml:space="preserve">. In a limited number of tables the data </w:t>
      </w:r>
      <w:r w:rsidR="00BB552A">
        <w:rPr>
          <w:lang w:eastAsia="en-US"/>
        </w:rPr>
        <w:t>is</w:t>
      </w:r>
      <w:r w:rsidR="00BB552A" w:rsidRPr="005911E2">
        <w:rPr>
          <w:lang w:eastAsia="en-US"/>
        </w:rPr>
        <w:t xml:space="preserve"> </w:t>
      </w:r>
      <w:r w:rsidRPr="005911E2">
        <w:rPr>
          <w:lang w:eastAsia="en-US"/>
        </w:rPr>
        <w:t>also presented for people living in the</w:t>
      </w:r>
      <w:r w:rsidR="006435C8">
        <w:rPr>
          <w:lang w:eastAsia="en-US"/>
        </w:rPr>
        <w:t xml:space="preserve"> Northern Territory </w:t>
      </w:r>
      <w:r w:rsidRPr="005911E2">
        <w:rPr>
          <w:lang w:eastAsia="en-US"/>
        </w:rPr>
        <w:t xml:space="preserve">who were subject to </w:t>
      </w:r>
      <w:r w:rsidR="00F878E4">
        <w:rPr>
          <w:lang w:eastAsia="en-US"/>
        </w:rPr>
        <w:t>income management</w:t>
      </w:r>
      <w:r w:rsidRPr="005911E2">
        <w:rPr>
          <w:lang w:eastAsia="en-US"/>
        </w:rPr>
        <w:t xml:space="preserve"> at the time of sample selection but did not appear to be subject to </w:t>
      </w:r>
      <w:r w:rsidR="00F878E4">
        <w:rPr>
          <w:lang w:eastAsia="en-US"/>
        </w:rPr>
        <w:t>income management</w:t>
      </w:r>
      <w:r w:rsidRPr="005911E2">
        <w:rPr>
          <w:lang w:eastAsia="en-US"/>
        </w:rPr>
        <w:t xml:space="preserve"> at the time of the interview. </w:t>
      </w:r>
    </w:p>
    <w:p w:rsidR="00897C1E" w:rsidRPr="005911E2" w:rsidRDefault="00897C1E" w:rsidP="00897C1E">
      <w:pPr>
        <w:pStyle w:val="BodyText"/>
        <w:rPr>
          <w:lang w:eastAsia="en-US"/>
        </w:rPr>
      </w:pPr>
      <w:r w:rsidRPr="005911E2">
        <w:rPr>
          <w:lang w:eastAsia="en-US"/>
        </w:rPr>
        <w:t xml:space="preserve">In addition, some of the analysis is conducted according to whether the survey participant was living in an NTER prescribed </w:t>
      </w:r>
      <w:r w:rsidRPr="005911E2">
        <w:t>community or a non-NTER community. As described in Chapter 2, NTER communities are mainly remote Indigenous communities, but include some town camps in Alice Springs and Darwin. Non-NTER communities in this survey include all of Alice Springs and Darwin</w:t>
      </w:r>
      <w:r w:rsidR="00C36C31">
        <w:t>,</w:t>
      </w:r>
      <w:r w:rsidRPr="005911E2">
        <w:t xml:space="preserve"> other than the areas which are prescribed. I</w:t>
      </w:r>
      <w:r w:rsidRPr="005911E2">
        <w:rPr>
          <w:lang w:eastAsia="en-US"/>
        </w:rPr>
        <w:t xml:space="preserve">n some cases data is analysed </w:t>
      </w:r>
      <w:r w:rsidR="00C36C31" w:rsidRPr="005911E2">
        <w:rPr>
          <w:lang w:eastAsia="en-US"/>
        </w:rPr>
        <w:t xml:space="preserve">separately </w:t>
      </w:r>
      <w:r w:rsidRPr="005911E2">
        <w:rPr>
          <w:lang w:eastAsia="en-US"/>
        </w:rPr>
        <w:t>for men and women.</w:t>
      </w:r>
    </w:p>
    <w:p w:rsidR="00897C1E" w:rsidRPr="005911E2" w:rsidRDefault="00897C1E" w:rsidP="00897C1E">
      <w:pPr>
        <w:pStyle w:val="BodyText"/>
        <w:rPr>
          <w:lang w:eastAsia="en-US"/>
        </w:rPr>
      </w:pPr>
      <w:r w:rsidRPr="005911E2">
        <w:rPr>
          <w:lang w:eastAsia="en-US"/>
        </w:rPr>
        <w:t>As discussed in Chapter 3</w:t>
      </w:r>
      <w:r w:rsidR="00C36C31">
        <w:rPr>
          <w:lang w:eastAsia="en-US"/>
        </w:rPr>
        <w:t>,</w:t>
      </w:r>
      <w:r w:rsidRPr="005911E2">
        <w:rPr>
          <w:lang w:eastAsia="en-US"/>
        </w:rPr>
        <w:t xml:space="preserve"> the use of these different classifications reflects the potential </w:t>
      </w:r>
      <w:r w:rsidR="00ED38A8">
        <w:rPr>
          <w:lang w:eastAsia="en-US"/>
        </w:rPr>
        <w:t>for</w:t>
      </w:r>
      <w:r w:rsidRPr="005911E2">
        <w:rPr>
          <w:lang w:eastAsia="en-US"/>
        </w:rPr>
        <w:t xml:space="preserve"> a range of ‘treatment’ and ‘selection’ effects. These are:</w:t>
      </w:r>
    </w:p>
    <w:p w:rsidR="00897C1E" w:rsidRPr="005911E2" w:rsidRDefault="00897C1E" w:rsidP="00051CDC">
      <w:pPr>
        <w:pStyle w:val="ListBullet"/>
      </w:pPr>
      <w:r w:rsidRPr="005911E2">
        <w:rPr>
          <w:b/>
        </w:rPr>
        <w:t>Attribution of the cause of any changes in outcomes to specific policies</w:t>
      </w:r>
      <w:r w:rsidRPr="005911E2">
        <w:t xml:space="preserve">: the NTER involved a wide range of, often intensive, interventions which may also directly and indirectly impact on a number of the outcomes for individuals, their families and their communities. There have also been a number of other policy changes which are not part of the NTER. This means that it is very difficult to </w:t>
      </w:r>
      <w:r w:rsidR="00C36C31">
        <w:t>isolate</w:t>
      </w:r>
      <w:r w:rsidR="00C36C31" w:rsidRPr="005911E2">
        <w:t xml:space="preserve"> </w:t>
      </w:r>
      <w:r w:rsidRPr="005911E2">
        <w:t>the extent to which any changes are due to NIM or are due to other policy changes.</w:t>
      </w:r>
    </w:p>
    <w:p w:rsidR="00897C1E" w:rsidRPr="005911E2" w:rsidRDefault="00897C1E" w:rsidP="00051CDC">
      <w:pPr>
        <w:pStyle w:val="ListBullet"/>
      </w:pPr>
      <w:r w:rsidRPr="005911E2">
        <w:rPr>
          <w:b/>
        </w:rPr>
        <w:t>Selection effects</w:t>
      </w:r>
      <w:r w:rsidRPr="005911E2">
        <w:t xml:space="preserve">: people who choose to go onto </w:t>
      </w:r>
      <w:r w:rsidR="002B5A5C">
        <w:t>Voluntary Income Management</w:t>
      </w:r>
      <w:r w:rsidRPr="005911E2">
        <w:t xml:space="preserve"> may have different characteristics and motivations </w:t>
      </w:r>
      <w:r w:rsidR="00ED38A8">
        <w:t>from</w:t>
      </w:r>
      <w:r w:rsidR="00ED38A8" w:rsidRPr="005911E2">
        <w:t xml:space="preserve"> </w:t>
      </w:r>
      <w:r w:rsidRPr="005911E2">
        <w:t xml:space="preserve">those on </w:t>
      </w:r>
      <w:r w:rsidR="004808B3">
        <w:t>Compulsory Income Management</w:t>
      </w:r>
      <w:r w:rsidR="00C36C31">
        <w:t>;</w:t>
      </w:r>
      <w:r w:rsidRPr="005911E2">
        <w:t xml:space="preserve"> these pre-existing differences may have an impact on their outcomes relative to those who have </w:t>
      </w:r>
      <w:r w:rsidR="00F878E4">
        <w:t>income management</w:t>
      </w:r>
      <w:r w:rsidRPr="005911E2">
        <w:t xml:space="preserve"> compulsorily imposed on them.</w:t>
      </w:r>
    </w:p>
    <w:p w:rsidR="00897C1E" w:rsidRPr="005911E2" w:rsidRDefault="00897C1E" w:rsidP="00051CDC">
      <w:pPr>
        <w:pStyle w:val="ListBullet"/>
      </w:pPr>
      <w:r w:rsidRPr="005911E2">
        <w:rPr>
          <w:b/>
        </w:rPr>
        <w:t xml:space="preserve">Separating the impacts of NIM from NTER IM: </w:t>
      </w:r>
      <w:r w:rsidRPr="005911E2">
        <w:t>the prior experience of people, including being income managed under the NTER</w:t>
      </w:r>
      <w:r w:rsidR="005B4122">
        <w:t>,</w:t>
      </w:r>
      <w:r w:rsidRPr="005911E2">
        <w:t xml:space="preserve"> may influence the outcomes which might otherwise be attributed to NIM.</w:t>
      </w:r>
    </w:p>
    <w:p w:rsidR="00897C1E" w:rsidRPr="005911E2" w:rsidRDefault="00897C1E" w:rsidP="00897C1E">
      <w:pPr>
        <w:pStyle w:val="BodyText"/>
        <w:rPr>
          <w:lang w:eastAsia="en-US"/>
        </w:rPr>
      </w:pPr>
      <w:r w:rsidRPr="005911E2">
        <w:rPr>
          <w:lang w:eastAsia="en-US"/>
        </w:rPr>
        <w:t>The LSNIM is one of the largest surveys of its kind and provides a great deal of powerful new data which allow</w:t>
      </w:r>
      <w:r w:rsidR="00ED38A8">
        <w:rPr>
          <w:lang w:eastAsia="en-US"/>
        </w:rPr>
        <w:t>s</w:t>
      </w:r>
      <w:r w:rsidRPr="005911E2">
        <w:rPr>
          <w:lang w:eastAsia="en-US"/>
        </w:rPr>
        <w:t xml:space="preserve"> important evaluation findings to be made. However, as with all surveys, it is important to be aware of both its strengths and weaknesses. It is always a challenging exercise to collect data on sensitive issues (such as alcohol and drug use</w:t>
      </w:r>
      <w:r w:rsidR="005B4122">
        <w:rPr>
          <w:lang w:eastAsia="en-US"/>
        </w:rPr>
        <w:t>,</w:t>
      </w:r>
      <w:r w:rsidRPr="005911E2">
        <w:rPr>
          <w:lang w:eastAsia="en-US"/>
        </w:rPr>
        <w:t xml:space="preserve"> and safety issues) and these challenges are multiplied in remote Indigenous communities, especially those which have been the subject of very significant government intervention. Survey responses were also collected in a range of different languages and cultural settings. The conduct of the survey is discussed in more detail in section </w:t>
      </w:r>
      <w:r w:rsidR="006F14AA" w:rsidRPr="005911E2">
        <w:rPr>
          <w:lang w:eastAsia="en-US"/>
        </w:rPr>
        <w:t>10.3.1</w:t>
      </w:r>
      <w:r w:rsidRPr="005911E2">
        <w:rPr>
          <w:lang w:eastAsia="en-US"/>
        </w:rPr>
        <w:t xml:space="preserve">. These factors mean that some care is needed in interpreting the data and comparing responses from different groups. </w:t>
      </w:r>
    </w:p>
    <w:p w:rsidR="00897C1E" w:rsidRPr="005911E2" w:rsidRDefault="00897C1E" w:rsidP="00897C1E">
      <w:pPr>
        <w:pStyle w:val="BodyText"/>
        <w:rPr>
          <w:lang w:eastAsia="en-US"/>
        </w:rPr>
      </w:pPr>
      <w:r w:rsidRPr="005911E2">
        <w:rPr>
          <w:lang w:eastAsia="en-US"/>
        </w:rPr>
        <w:t xml:space="preserve">For these reasons, across the analysis in this report, the data from the first wave of the LSNIM, the administrative data and the data collected from intermediaries has been used to ‘triangulate’ the key findings. </w:t>
      </w:r>
    </w:p>
    <w:p w:rsidR="00897C1E" w:rsidRPr="005911E2" w:rsidRDefault="00897C1E" w:rsidP="00616B0F">
      <w:pPr>
        <w:pStyle w:val="Heading2"/>
      </w:pPr>
      <w:bookmarkStart w:id="975" w:name="_Toc322470830"/>
      <w:bookmarkStart w:id="976" w:name="_Toc328601528"/>
      <w:bookmarkStart w:id="977" w:name="_Toc329870409"/>
      <w:bookmarkStart w:id="978" w:name="_Toc335915795"/>
      <w:r w:rsidRPr="005911E2">
        <w:t xml:space="preserve">Conduct of survey and benchmarking the sample against the </w:t>
      </w:r>
      <w:r w:rsidR="00F878E4">
        <w:t>income management</w:t>
      </w:r>
      <w:r w:rsidRPr="005911E2">
        <w:t xml:space="preserve"> population</w:t>
      </w:r>
      <w:bookmarkEnd w:id="975"/>
      <w:bookmarkEnd w:id="976"/>
      <w:bookmarkEnd w:id="977"/>
      <w:bookmarkEnd w:id="978"/>
    </w:p>
    <w:p w:rsidR="00897C1E" w:rsidRPr="005911E2" w:rsidRDefault="00897C1E" w:rsidP="00897C1E">
      <w:pPr>
        <w:pStyle w:val="BodyText"/>
      </w:pPr>
      <w:r w:rsidRPr="005911E2">
        <w:rPr>
          <w:lang w:bidi="ar-SA"/>
        </w:rPr>
        <w:t xml:space="preserve">The following two sections provide background information on how the LSNIM was undertaken, and the characteristics of those who were surveyed in comparison with the population on </w:t>
      </w:r>
      <w:r w:rsidR="00F878E4">
        <w:rPr>
          <w:lang w:bidi="ar-SA"/>
        </w:rPr>
        <w:t>income management</w:t>
      </w:r>
    </w:p>
    <w:p w:rsidR="00897C1E" w:rsidRPr="005911E2" w:rsidRDefault="00897C1E" w:rsidP="00BD6DFD">
      <w:pPr>
        <w:pStyle w:val="Heading3"/>
      </w:pPr>
      <w:bookmarkStart w:id="979" w:name="_Ref323638568"/>
      <w:r w:rsidRPr="005911E2">
        <w:t>Conduct of the survey</w:t>
      </w:r>
      <w:bookmarkEnd w:id="979"/>
    </w:p>
    <w:p w:rsidR="00897C1E" w:rsidRPr="005911E2" w:rsidRDefault="00897C1E" w:rsidP="00897C1E">
      <w:pPr>
        <w:pStyle w:val="BodyText"/>
        <w:rPr>
          <w:lang w:eastAsia="en-US"/>
        </w:rPr>
      </w:pPr>
      <w:r w:rsidRPr="005911E2">
        <w:rPr>
          <w:lang w:eastAsia="en-US"/>
        </w:rPr>
        <w:t>After an initial pilot test, the first wave of the survey was conducted between 8 December 2011 and 6 March 2012, and involved face to face interviews. Participants were selected from the Centrelink Administrative Database. Clients with specified characteristics were selected for interview in each of the</w:t>
      </w:r>
      <w:r w:rsidR="006435C8">
        <w:rPr>
          <w:lang w:eastAsia="en-US"/>
        </w:rPr>
        <w:t xml:space="preserve"> Northern Territory </w:t>
      </w:r>
      <w:r w:rsidRPr="005911E2">
        <w:rPr>
          <w:lang w:eastAsia="en-US"/>
        </w:rPr>
        <w:t>and contrast sites. Each Aboriginal community which participated in the survey gave permission for the survey to be conducted in their community. Interviewers were either members of the community or Aboriginal people who had connections to the communities. Participants in the survey were given a voucher valued at $30 in recognition of their participation. Survey responses were collected in a range of different languages and cultural settings.</w:t>
      </w:r>
    </w:p>
    <w:p w:rsidR="00897C1E" w:rsidRPr="005911E2" w:rsidRDefault="00897C1E" w:rsidP="00897C1E">
      <w:pPr>
        <w:pStyle w:val="BodyText"/>
        <w:rPr>
          <w:lang w:eastAsia="en-US"/>
        </w:rPr>
      </w:pPr>
      <w:r w:rsidRPr="005911E2">
        <w:rPr>
          <w:lang w:eastAsia="en-US"/>
        </w:rPr>
        <w:t xml:space="preserve">A more detailed summary of the methodology of the survey, as well as some of the challenges in undertaking it, are provided in </w:t>
      </w:r>
      <w:r w:rsidR="00363305">
        <w:fldChar w:fldCharType="begin"/>
      </w:r>
      <w:r w:rsidR="00363305">
        <w:instrText xml:space="preserve"> REF _Ref321240797 \r \h  \* MERGEFORMAT </w:instrText>
      </w:r>
      <w:r w:rsidR="00363305">
        <w:fldChar w:fldCharType="separate"/>
      </w:r>
      <w:r w:rsidR="007D7E45">
        <w:rPr>
          <w:lang w:eastAsia="en-US"/>
        </w:rPr>
        <w:t>Appendix B</w:t>
      </w:r>
      <w:r w:rsidR="00363305">
        <w:fldChar w:fldCharType="end"/>
      </w:r>
      <w:r w:rsidR="003B3BD2" w:rsidRPr="00A57B4E">
        <w:rPr>
          <w:lang w:eastAsia="en-US"/>
        </w:rPr>
        <w:t>.</w:t>
      </w:r>
      <w:r w:rsidR="00B62B2D" w:rsidRPr="00657163">
        <w:rPr>
          <w:lang w:eastAsia="en-US"/>
        </w:rPr>
        <w:t xml:space="preserve"> </w:t>
      </w:r>
      <w:r w:rsidRPr="00657163">
        <w:rPr>
          <w:lang w:eastAsia="en-US"/>
        </w:rPr>
        <w:t>Wh</w:t>
      </w:r>
      <w:r w:rsidRPr="005911E2">
        <w:rPr>
          <w:lang w:eastAsia="en-US"/>
        </w:rPr>
        <w:t xml:space="preserve">ile the survey achieved its target </w:t>
      </w:r>
      <w:r w:rsidR="00144D16">
        <w:rPr>
          <w:lang w:eastAsia="en-US"/>
        </w:rPr>
        <w:t>in relation to the number of interviews conducted for the</w:t>
      </w:r>
      <w:r w:rsidR="006435C8">
        <w:rPr>
          <w:lang w:eastAsia="en-US"/>
        </w:rPr>
        <w:t xml:space="preserve"> Northern Territory </w:t>
      </w:r>
      <w:r w:rsidRPr="005911E2">
        <w:rPr>
          <w:lang w:eastAsia="en-US"/>
        </w:rPr>
        <w:t xml:space="preserve">Indigenous </w:t>
      </w:r>
      <w:r w:rsidR="00144D16">
        <w:rPr>
          <w:lang w:eastAsia="en-US"/>
        </w:rPr>
        <w:t xml:space="preserve">population </w:t>
      </w:r>
      <w:r w:rsidRPr="005911E2">
        <w:rPr>
          <w:lang w:eastAsia="en-US"/>
        </w:rPr>
        <w:t xml:space="preserve">subject to </w:t>
      </w:r>
      <w:r w:rsidR="00F878E4">
        <w:rPr>
          <w:lang w:eastAsia="en-US"/>
        </w:rPr>
        <w:t>income management</w:t>
      </w:r>
      <w:r w:rsidRPr="005911E2">
        <w:rPr>
          <w:lang w:eastAsia="en-US"/>
        </w:rPr>
        <w:t xml:space="preserve"> and </w:t>
      </w:r>
      <w:r w:rsidR="00ED38A8">
        <w:rPr>
          <w:lang w:eastAsia="en-US"/>
        </w:rPr>
        <w:t xml:space="preserve">in </w:t>
      </w:r>
      <w:r w:rsidR="00144D16">
        <w:rPr>
          <w:lang w:eastAsia="en-US"/>
        </w:rPr>
        <w:t xml:space="preserve">the </w:t>
      </w:r>
      <w:r w:rsidRPr="005911E2">
        <w:rPr>
          <w:lang w:eastAsia="en-US"/>
        </w:rPr>
        <w:t>contrast sites, it was not possible to obtain the target number of</w:t>
      </w:r>
      <w:r w:rsidR="006435C8">
        <w:rPr>
          <w:lang w:eastAsia="en-US"/>
        </w:rPr>
        <w:t xml:space="preserve"> Northern Territory </w:t>
      </w:r>
      <w:r w:rsidRPr="005911E2">
        <w:rPr>
          <w:lang w:eastAsia="en-US"/>
        </w:rPr>
        <w:t>non-Indigenous survey participants. (Overall t</w:t>
      </w:r>
      <w:r w:rsidR="003A7987">
        <w:rPr>
          <w:lang w:eastAsia="en-US"/>
        </w:rPr>
        <w:t>he survey achieved 86 </w:t>
      </w:r>
      <w:r w:rsidRPr="005911E2">
        <w:rPr>
          <w:lang w:eastAsia="en-US"/>
        </w:rPr>
        <w:t>per cent of its target and had a response rate of 29.5 per cent</w:t>
      </w:r>
      <w:r w:rsidR="00C96922">
        <w:rPr>
          <w:lang w:eastAsia="en-US"/>
        </w:rPr>
        <w:t>.</w:t>
      </w:r>
      <w:r w:rsidR="00BB14C5">
        <w:rPr>
          <w:lang w:eastAsia="en-US"/>
        </w:rPr>
        <w:t xml:space="preserve"> </w:t>
      </w:r>
      <w:r w:rsidR="00C96922">
        <w:rPr>
          <w:lang w:eastAsia="en-US"/>
        </w:rPr>
        <w:t xml:space="preserve">See </w:t>
      </w:r>
      <w:r w:rsidR="00C7347D">
        <w:rPr>
          <w:lang w:eastAsia="en-US"/>
        </w:rPr>
        <w:fldChar w:fldCharType="begin"/>
      </w:r>
      <w:r w:rsidR="00C96922">
        <w:rPr>
          <w:lang w:eastAsia="en-US"/>
        </w:rPr>
        <w:instrText xml:space="preserve"> REF _Ref321240797 \r \h </w:instrText>
      </w:r>
      <w:r w:rsidR="00C7347D">
        <w:rPr>
          <w:lang w:eastAsia="en-US"/>
        </w:rPr>
      </w:r>
      <w:r w:rsidR="00C7347D">
        <w:rPr>
          <w:lang w:eastAsia="en-US"/>
        </w:rPr>
        <w:fldChar w:fldCharType="separate"/>
      </w:r>
      <w:r w:rsidR="007D7E45">
        <w:rPr>
          <w:lang w:eastAsia="en-US"/>
        </w:rPr>
        <w:t>Appendix B</w:t>
      </w:r>
      <w:r w:rsidR="00C7347D">
        <w:rPr>
          <w:lang w:eastAsia="en-US"/>
        </w:rPr>
        <w:fldChar w:fldCharType="end"/>
      </w:r>
      <w:r w:rsidR="00C96922">
        <w:rPr>
          <w:lang w:eastAsia="en-US"/>
        </w:rPr>
        <w:t xml:space="preserve"> for details.</w:t>
      </w:r>
      <w:r w:rsidRPr="005911E2">
        <w:rPr>
          <w:lang w:eastAsia="en-US"/>
        </w:rPr>
        <w:t>)</w:t>
      </w:r>
      <w:r w:rsidR="00B62B2D">
        <w:rPr>
          <w:lang w:eastAsia="en-US"/>
        </w:rPr>
        <w:t xml:space="preserve"> </w:t>
      </w:r>
    </w:p>
    <w:p w:rsidR="00897C1E" w:rsidRPr="005911E2" w:rsidRDefault="00897C1E" w:rsidP="00897C1E">
      <w:pPr>
        <w:pStyle w:val="BodyText"/>
        <w:rPr>
          <w:lang w:eastAsia="en-US"/>
        </w:rPr>
      </w:pPr>
      <w:r w:rsidRPr="005911E2">
        <w:rPr>
          <w:lang w:eastAsia="en-US"/>
        </w:rPr>
        <w:t>While all of the people in the</w:t>
      </w:r>
      <w:r w:rsidR="006435C8">
        <w:rPr>
          <w:lang w:eastAsia="en-US"/>
        </w:rPr>
        <w:t xml:space="preserve"> Northern Territory </w:t>
      </w:r>
      <w:r w:rsidRPr="005911E2">
        <w:rPr>
          <w:lang w:eastAsia="en-US"/>
        </w:rPr>
        <w:t xml:space="preserve">who participated in the survey were subject to </w:t>
      </w:r>
      <w:r w:rsidR="00F878E4">
        <w:rPr>
          <w:lang w:eastAsia="en-US"/>
        </w:rPr>
        <w:t>income management</w:t>
      </w:r>
      <w:r w:rsidRPr="005911E2">
        <w:rPr>
          <w:lang w:eastAsia="en-US"/>
        </w:rPr>
        <w:t xml:space="preserve"> at the time the sample was selected</w:t>
      </w:r>
      <w:r w:rsidR="00144D16">
        <w:rPr>
          <w:lang w:eastAsia="en-US"/>
        </w:rPr>
        <w:t>,</w:t>
      </w:r>
      <w:r w:rsidRPr="005911E2">
        <w:rPr>
          <w:lang w:eastAsia="en-US"/>
        </w:rPr>
        <w:t xml:space="preserve"> there </w:t>
      </w:r>
      <w:r w:rsidR="008E33F2">
        <w:rPr>
          <w:lang w:eastAsia="en-US"/>
        </w:rPr>
        <w:t>was</w:t>
      </w:r>
      <w:r w:rsidR="008E33F2" w:rsidRPr="005911E2">
        <w:rPr>
          <w:lang w:eastAsia="en-US"/>
        </w:rPr>
        <w:t xml:space="preserve"> </w:t>
      </w:r>
      <w:r w:rsidRPr="005911E2">
        <w:rPr>
          <w:lang w:eastAsia="en-US"/>
        </w:rPr>
        <w:t xml:space="preserve">a small group of 52 </w:t>
      </w:r>
      <w:r w:rsidR="00144D16">
        <w:rPr>
          <w:lang w:eastAsia="en-US"/>
        </w:rPr>
        <w:t xml:space="preserve">people </w:t>
      </w:r>
      <w:r w:rsidRPr="005911E2">
        <w:rPr>
          <w:lang w:eastAsia="en-US"/>
        </w:rPr>
        <w:t xml:space="preserve">(6 per cent of survey participants) who reported, when interviewed, that they were not currently subject to </w:t>
      </w:r>
      <w:r w:rsidR="00F878E4">
        <w:rPr>
          <w:lang w:eastAsia="en-US"/>
        </w:rPr>
        <w:t>income management</w:t>
      </w:r>
      <w:r w:rsidRPr="005911E2">
        <w:rPr>
          <w:lang w:eastAsia="en-US"/>
        </w:rPr>
        <w:t xml:space="preserve">. This may be due to </w:t>
      </w:r>
      <w:r w:rsidR="00144D16">
        <w:rPr>
          <w:lang w:eastAsia="en-US"/>
        </w:rPr>
        <w:t xml:space="preserve">either </w:t>
      </w:r>
      <w:r w:rsidRPr="005911E2">
        <w:rPr>
          <w:lang w:eastAsia="en-US"/>
        </w:rPr>
        <w:t xml:space="preserve">being granted an exemption or because they have moved off a trigger payment for </w:t>
      </w:r>
      <w:r w:rsidR="00F878E4">
        <w:rPr>
          <w:lang w:eastAsia="en-US"/>
        </w:rPr>
        <w:t>income management</w:t>
      </w:r>
      <w:r w:rsidRPr="005911E2">
        <w:rPr>
          <w:lang w:eastAsia="en-US"/>
        </w:rPr>
        <w:t>. It is also possible that they were on NIM but either did not know this or chose not to report this to the interviewer.</w:t>
      </w:r>
    </w:p>
    <w:p w:rsidR="00897C1E" w:rsidRPr="005911E2" w:rsidRDefault="00897C1E" w:rsidP="00897C1E">
      <w:pPr>
        <w:pStyle w:val="BodyText"/>
        <w:rPr>
          <w:lang w:eastAsia="en-US"/>
        </w:rPr>
      </w:pPr>
      <w:r w:rsidRPr="005911E2">
        <w:rPr>
          <w:lang w:eastAsia="en-US"/>
        </w:rPr>
        <w:t xml:space="preserve">A second wave of the survey will be conducted in 2013 when the survey participants </w:t>
      </w:r>
      <w:r w:rsidR="00ED38A8">
        <w:rPr>
          <w:lang w:eastAsia="en-US"/>
        </w:rPr>
        <w:t>in</w:t>
      </w:r>
      <w:r w:rsidR="00ED38A8" w:rsidRPr="005911E2">
        <w:rPr>
          <w:lang w:eastAsia="en-US"/>
        </w:rPr>
        <w:t xml:space="preserve"> </w:t>
      </w:r>
      <w:r w:rsidRPr="005911E2">
        <w:rPr>
          <w:lang w:eastAsia="en-US"/>
        </w:rPr>
        <w:t xml:space="preserve">the first wave of the study will be followed up. </w:t>
      </w:r>
    </w:p>
    <w:p w:rsidR="00897C1E" w:rsidRPr="005911E2" w:rsidRDefault="00897C1E" w:rsidP="00897C1E">
      <w:pPr>
        <w:pStyle w:val="BodyText"/>
        <w:rPr>
          <w:lang w:eastAsia="en-US"/>
        </w:rPr>
      </w:pPr>
      <w:r w:rsidRPr="005911E2">
        <w:rPr>
          <w:lang w:eastAsia="en-US"/>
        </w:rPr>
        <w:t>The high costs of conducting interviews in remote parts of the</w:t>
      </w:r>
      <w:r w:rsidR="006435C8">
        <w:rPr>
          <w:lang w:eastAsia="en-US"/>
        </w:rPr>
        <w:t xml:space="preserve"> Northern Territory </w:t>
      </w:r>
      <w:r w:rsidRPr="005911E2">
        <w:rPr>
          <w:lang w:eastAsia="en-US"/>
        </w:rPr>
        <w:t>meant that the sample for the LSNIM was chosen to be spatially clustered with the sample selected from 8 communities in the</w:t>
      </w:r>
      <w:r w:rsidR="006435C8">
        <w:rPr>
          <w:lang w:eastAsia="en-US"/>
        </w:rPr>
        <w:t xml:space="preserve"> Northern Territory </w:t>
      </w:r>
      <w:r w:rsidRPr="005911E2">
        <w:rPr>
          <w:lang w:eastAsia="en-US"/>
        </w:rPr>
        <w:t xml:space="preserve">(Darwin, Alice Springs and 6 remote communities). The communities in which data was collected were chosen to reflect, at least in part, the diversity of communities in remote areas of the </w:t>
      </w:r>
      <w:r w:rsidR="006435C8">
        <w:rPr>
          <w:lang w:eastAsia="en-US"/>
        </w:rPr>
        <w:t>Northern Territory,</w:t>
      </w:r>
      <w:r w:rsidRPr="005911E2">
        <w:rPr>
          <w:lang w:eastAsia="en-US"/>
        </w:rPr>
        <w:t xml:space="preserve"> both in the Top End and </w:t>
      </w:r>
      <w:r w:rsidR="003405CA">
        <w:rPr>
          <w:lang w:eastAsia="en-US"/>
        </w:rPr>
        <w:t xml:space="preserve">in </w:t>
      </w:r>
      <w:r w:rsidRPr="005911E2">
        <w:rPr>
          <w:lang w:eastAsia="en-US"/>
        </w:rPr>
        <w:t>Central Australia. Within the communities in which interviews were conducted</w:t>
      </w:r>
      <w:r w:rsidR="008E33F2">
        <w:rPr>
          <w:lang w:eastAsia="en-US"/>
        </w:rPr>
        <w:t>,</w:t>
      </w:r>
      <w:r w:rsidRPr="005911E2">
        <w:rPr>
          <w:lang w:eastAsia="en-US"/>
        </w:rPr>
        <w:t xml:space="preserve"> the sample was randomly selected from the Centrelink administrative data.</w:t>
      </w:r>
      <w:r w:rsidRPr="005911E2">
        <w:rPr>
          <w:rStyle w:val="FootnoteReference"/>
        </w:rPr>
        <w:footnoteReference w:id="99"/>
      </w:r>
    </w:p>
    <w:p w:rsidR="00897C1E" w:rsidRPr="005911E2" w:rsidRDefault="00897C1E" w:rsidP="00897C1E">
      <w:pPr>
        <w:pStyle w:val="BodyText"/>
        <w:rPr>
          <w:lang w:eastAsia="en-US"/>
        </w:rPr>
      </w:pPr>
      <w:r w:rsidRPr="005911E2">
        <w:rPr>
          <w:lang w:eastAsia="en-US"/>
        </w:rPr>
        <w:t xml:space="preserve">Thus the LSNIM was designed to provide information about the views and circumstances of a diversity of the population being income managed in the </w:t>
      </w:r>
      <w:r w:rsidR="006435C8">
        <w:rPr>
          <w:lang w:eastAsia="en-US"/>
        </w:rPr>
        <w:t>Northern Territory,</w:t>
      </w:r>
      <w:r w:rsidRPr="005911E2">
        <w:rPr>
          <w:lang w:eastAsia="en-US"/>
        </w:rPr>
        <w:t xml:space="preserve"> rather than to be strictly statistically representative of the population subject to </w:t>
      </w:r>
      <w:r w:rsidR="00F878E4">
        <w:rPr>
          <w:lang w:eastAsia="en-US"/>
        </w:rPr>
        <w:t>income management</w:t>
      </w:r>
      <w:r w:rsidR="008F3610">
        <w:rPr>
          <w:lang w:eastAsia="en-US"/>
        </w:rPr>
        <w:t xml:space="preserve"> as a whole</w:t>
      </w:r>
      <w:r w:rsidRPr="005911E2">
        <w:rPr>
          <w:lang w:eastAsia="en-US"/>
        </w:rPr>
        <w:t>. Given the different histories and circumstances of individual Indigenous communities, some caution needs to be exercised in making any generalisations of these results. The survey collection also involved an intentional oversampling of the non-Indigenous population to ensure a sufficient sample size to undertake analysis.</w:t>
      </w:r>
      <w:r w:rsidRPr="005911E2">
        <w:rPr>
          <w:rStyle w:val="FootnoteReference"/>
        </w:rPr>
        <w:footnoteReference w:id="100"/>
      </w:r>
      <w:r w:rsidRPr="005911E2">
        <w:rPr>
          <w:lang w:eastAsia="en-US"/>
        </w:rPr>
        <w:t xml:space="preserve"> The following section provides an assessment of the extent to which the characteristics of the sample is similar </w:t>
      </w:r>
      <w:r w:rsidR="00ED38A8">
        <w:rPr>
          <w:lang w:eastAsia="en-US"/>
        </w:rPr>
        <w:t xml:space="preserve">to </w:t>
      </w:r>
      <w:r w:rsidRPr="005911E2">
        <w:rPr>
          <w:lang w:eastAsia="en-US"/>
        </w:rPr>
        <w:t xml:space="preserve">or differs </w:t>
      </w:r>
      <w:r w:rsidR="00ED38A8">
        <w:rPr>
          <w:lang w:eastAsia="en-US"/>
        </w:rPr>
        <w:t xml:space="preserve">from </w:t>
      </w:r>
      <w:r w:rsidRPr="005911E2">
        <w:rPr>
          <w:lang w:eastAsia="en-US"/>
        </w:rPr>
        <w:t xml:space="preserve">that of the population on </w:t>
      </w:r>
      <w:r w:rsidR="00F878E4">
        <w:rPr>
          <w:lang w:eastAsia="en-US"/>
        </w:rPr>
        <w:t>income management</w:t>
      </w:r>
      <w:r w:rsidRPr="005911E2">
        <w:rPr>
          <w:lang w:eastAsia="en-US"/>
        </w:rPr>
        <w:t>.</w:t>
      </w:r>
    </w:p>
    <w:p w:rsidR="00897C1E" w:rsidRPr="005911E2" w:rsidRDefault="00897C1E" w:rsidP="00BD6DFD">
      <w:pPr>
        <w:pStyle w:val="Heading3"/>
      </w:pPr>
      <w:r w:rsidRPr="005911E2">
        <w:t>Benchmarking the sample</w:t>
      </w:r>
    </w:p>
    <w:p w:rsidR="00897C1E" w:rsidRPr="005911E2" w:rsidRDefault="00897C1E" w:rsidP="00897C1E">
      <w:pPr>
        <w:pStyle w:val="BodyText"/>
        <w:rPr>
          <w:lang w:eastAsia="en-US"/>
        </w:rPr>
      </w:pPr>
      <w:r w:rsidRPr="005911E2">
        <w:rPr>
          <w:lang w:eastAsia="en-US"/>
        </w:rPr>
        <w:t xml:space="preserve">This section presents the results of benchmarking the sample. </w:t>
      </w:r>
      <w:r w:rsidRPr="005911E2">
        <w:t xml:space="preserve">Table </w:t>
      </w:r>
      <w:r w:rsidRPr="005911E2">
        <w:rPr>
          <w:noProof/>
        </w:rPr>
        <w:t>10</w:t>
      </w:r>
      <w:r w:rsidRPr="005911E2">
        <w:noBreakHyphen/>
      </w:r>
      <w:r w:rsidRPr="005911E2">
        <w:rPr>
          <w:noProof/>
        </w:rPr>
        <w:t>1</w:t>
      </w:r>
      <w:r w:rsidRPr="005911E2">
        <w:rPr>
          <w:lang w:eastAsia="en-US"/>
        </w:rPr>
        <w:t xml:space="preserve"> shows the results of comparing the characteristics of the LSNIM sample with the</w:t>
      </w:r>
      <w:r w:rsidR="006435C8">
        <w:rPr>
          <w:lang w:eastAsia="en-US"/>
        </w:rPr>
        <w:t xml:space="preserve"> Northern Territory </w:t>
      </w:r>
      <w:r w:rsidR="00F878E4">
        <w:rPr>
          <w:lang w:eastAsia="en-US"/>
        </w:rPr>
        <w:t>income manage</w:t>
      </w:r>
      <w:r w:rsidR="008F3610">
        <w:rPr>
          <w:lang w:eastAsia="en-US"/>
        </w:rPr>
        <w:t>d</w:t>
      </w:r>
      <w:r w:rsidRPr="005911E2">
        <w:rPr>
          <w:lang w:eastAsia="en-US"/>
        </w:rPr>
        <w:t xml:space="preserve"> population. The characteristics examined are; type of </w:t>
      </w:r>
      <w:r w:rsidR="00F878E4">
        <w:rPr>
          <w:lang w:eastAsia="en-US"/>
        </w:rPr>
        <w:t>income management</w:t>
      </w:r>
      <w:r w:rsidRPr="005911E2">
        <w:rPr>
          <w:lang w:eastAsia="en-US"/>
        </w:rPr>
        <w:t>, gender, age, family type, whether they had been on NTER IM</w:t>
      </w:r>
      <w:r w:rsidR="008F3610">
        <w:rPr>
          <w:lang w:eastAsia="en-US"/>
        </w:rPr>
        <w:t>,</w:t>
      </w:r>
      <w:r w:rsidRPr="005911E2">
        <w:rPr>
          <w:lang w:eastAsia="en-US"/>
        </w:rPr>
        <w:t xml:space="preserve"> and whether an application for exemption </w:t>
      </w:r>
      <w:r w:rsidR="008F3610">
        <w:rPr>
          <w:lang w:eastAsia="en-US"/>
        </w:rPr>
        <w:t xml:space="preserve">was </w:t>
      </w:r>
      <w:r w:rsidRPr="005911E2">
        <w:rPr>
          <w:lang w:eastAsia="en-US"/>
        </w:rPr>
        <w:t>rejected. These are all characteristics that are available from Centrelink administrative data.</w:t>
      </w:r>
    </w:p>
    <w:p w:rsidR="00897C1E" w:rsidRPr="005911E2" w:rsidRDefault="00897C1E" w:rsidP="00897C1E">
      <w:pPr>
        <w:pStyle w:val="BodyText"/>
        <w:rPr>
          <w:lang w:eastAsia="en-US"/>
        </w:rPr>
      </w:pPr>
      <w:r w:rsidRPr="005911E2">
        <w:rPr>
          <w:lang w:eastAsia="en-US"/>
        </w:rPr>
        <w:t xml:space="preserve">The overall conclusion is that in most respects the characteristics of the first wave LSNIM sample aligns relatively closely with the population subject to </w:t>
      </w:r>
      <w:r w:rsidR="00F878E4">
        <w:rPr>
          <w:lang w:eastAsia="en-US"/>
        </w:rPr>
        <w:t>income management</w:t>
      </w:r>
      <w:r w:rsidRPr="005911E2">
        <w:rPr>
          <w:lang w:eastAsia="en-US"/>
        </w:rPr>
        <w:t xml:space="preserve"> in the </w:t>
      </w:r>
      <w:r w:rsidR="006435C8">
        <w:rPr>
          <w:lang w:eastAsia="en-US"/>
        </w:rPr>
        <w:t>Northern Territory.</w:t>
      </w:r>
      <w:r w:rsidRPr="005911E2">
        <w:rPr>
          <w:lang w:eastAsia="en-US"/>
        </w:rPr>
        <w:t xml:space="preserve"> Th</w:t>
      </w:r>
      <w:r w:rsidR="008F3610">
        <w:rPr>
          <w:lang w:eastAsia="en-US"/>
        </w:rPr>
        <w:t>is</w:t>
      </w:r>
      <w:r w:rsidRPr="005911E2">
        <w:rPr>
          <w:lang w:eastAsia="en-US"/>
        </w:rPr>
        <w:t xml:space="preserve"> means that the sample is broadly representative of the </w:t>
      </w:r>
      <w:r w:rsidR="00F878E4">
        <w:rPr>
          <w:lang w:eastAsia="en-US"/>
        </w:rPr>
        <w:t>income manage</w:t>
      </w:r>
      <w:r w:rsidR="008F3610">
        <w:rPr>
          <w:lang w:eastAsia="en-US"/>
        </w:rPr>
        <w:t>d</w:t>
      </w:r>
      <w:r w:rsidRPr="005911E2">
        <w:rPr>
          <w:lang w:eastAsia="en-US"/>
        </w:rPr>
        <w:t xml:space="preserve"> population, at least in terms of the characteristics for which data </w:t>
      </w:r>
      <w:r w:rsidR="00ED38A8">
        <w:rPr>
          <w:lang w:eastAsia="en-US"/>
        </w:rPr>
        <w:t>is</w:t>
      </w:r>
      <w:r w:rsidR="00ED38A8" w:rsidRPr="005911E2">
        <w:rPr>
          <w:lang w:eastAsia="en-US"/>
        </w:rPr>
        <w:t xml:space="preserve"> </w:t>
      </w:r>
      <w:r w:rsidRPr="005911E2">
        <w:rPr>
          <w:lang w:eastAsia="en-US"/>
        </w:rPr>
        <w:t>available. There are, however, some differences which are worth noting. The more important of these are:</w:t>
      </w:r>
    </w:p>
    <w:p w:rsidR="00897C1E" w:rsidRPr="005911E2" w:rsidRDefault="00897C1E" w:rsidP="007B4471">
      <w:pPr>
        <w:pStyle w:val="Heading4"/>
      </w:pPr>
      <w:r w:rsidRPr="005911E2">
        <w:t xml:space="preserve">Indigenous people subject to compulsory </w:t>
      </w:r>
      <w:r w:rsidR="00F878E4">
        <w:t>income management</w:t>
      </w:r>
    </w:p>
    <w:p w:rsidR="00897C1E" w:rsidRPr="005911E2" w:rsidRDefault="008F3610" w:rsidP="00051CDC">
      <w:pPr>
        <w:pStyle w:val="ListBullet"/>
      </w:pPr>
      <w:r>
        <w:t>s</w:t>
      </w:r>
      <w:r w:rsidR="00897C1E" w:rsidRPr="005911E2">
        <w:t xml:space="preserve">urvey sample is more heavily weighted towards women (75 per cent compared with 63 per cent of the population) </w:t>
      </w:r>
    </w:p>
    <w:p w:rsidR="00897C1E" w:rsidRPr="005911E2" w:rsidRDefault="008F3610" w:rsidP="00051CDC">
      <w:pPr>
        <w:pStyle w:val="ListBullet"/>
      </w:pPr>
      <w:r>
        <w:t>s</w:t>
      </w:r>
      <w:r w:rsidR="00897C1E" w:rsidRPr="005911E2">
        <w:t>urvey sample under-represents those under 21 years of age and over represents those aged 35 to 54 years</w:t>
      </w:r>
    </w:p>
    <w:p w:rsidR="00897C1E" w:rsidRPr="005911E2" w:rsidRDefault="008F3610" w:rsidP="00051CDC">
      <w:pPr>
        <w:pStyle w:val="ListBullet"/>
      </w:pPr>
      <w:r>
        <w:t>there are s</w:t>
      </w:r>
      <w:r w:rsidR="00897C1E" w:rsidRPr="005911E2">
        <w:t>ome differences in family type with the sample under-representing couple only families and over</w:t>
      </w:r>
      <w:r>
        <w:t>-</w:t>
      </w:r>
      <w:r w:rsidR="00897C1E" w:rsidRPr="005911E2">
        <w:t xml:space="preserve">representing single parent families and people who are single. </w:t>
      </w:r>
    </w:p>
    <w:p w:rsidR="00897C1E" w:rsidRPr="005911E2" w:rsidRDefault="00897C1E" w:rsidP="007B4471">
      <w:pPr>
        <w:pStyle w:val="Heading4"/>
      </w:pPr>
      <w:r w:rsidRPr="005911E2">
        <w:t xml:space="preserve">Indigenous </w:t>
      </w:r>
      <w:r w:rsidR="008F3610">
        <w:t xml:space="preserve">people </w:t>
      </w:r>
      <w:r w:rsidRPr="005911E2">
        <w:t xml:space="preserve">subject to </w:t>
      </w:r>
      <w:r w:rsidR="002B5A5C">
        <w:t>Voluntary Income Management</w:t>
      </w:r>
    </w:p>
    <w:p w:rsidR="003A7987" w:rsidRDefault="008F3610" w:rsidP="00051CDC">
      <w:pPr>
        <w:pStyle w:val="ListBullet"/>
      </w:pPr>
      <w:r>
        <w:t>t</w:t>
      </w:r>
      <w:r w:rsidR="00897C1E" w:rsidRPr="005911E2">
        <w:t>he sample over represents the 35 to 54, and 55 to 64 year age groups at the expense of those younger and older</w:t>
      </w:r>
    </w:p>
    <w:p w:rsidR="00897C1E" w:rsidRPr="005911E2" w:rsidRDefault="003A7987" w:rsidP="00051CDC">
      <w:pPr>
        <w:pStyle w:val="ListBullet"/>
      </w:pPr>
      <w:r>
        <w:t>the sample is</w:t>
      </w:r>
      <w:r w:rsidR="00897C1E" w:rsidRPr="005911E2">
        <w:t xml:space="preserve"> more frequently female, and more likely to be single or a single parent than the </w:t>
      </w:r>
      <w:r w:rsidR="00F878E4">
        <w:t>income manage</w:t>
      </w:r>
      <w:r w:rsidR="008F3610">
        <w:t>d</w:t>
      </w:r>
      <w:r>
        <w:t xml:space="preserve"> population</w:t>
      </w:r>
    </w:p>
    <w:p w:rsidR="00897C1E" w:rsidRDefault="008F3610" w:rsidP="00051CDC">
      <w:pPr>
        <w:pStyle w:val="ListBullet"/>
      </w:pPr>
      <w:r>
        <w:t>t</w:t>
      </w:r>
      <w:r w:rsidR="00897C1E" w:rsidRPr="005911E2">
        <w:t xml:space="preserve">he sample </w:t>
      </w:r>
      <w:r>
        <w:t xml:space="preserve">group </w:t>
      </w:r>
      <w:r w:rsidR="003A7987">
        <w:t>is</w:t>
      </w:r>
      <w:r w:rsidR="00897C1E" w:rsidRPr="005911E2">
        <w:t xml:space="preserve"> more likely to have been subject to the NTER IM than the </w:t>
      </w:r>
      <w:r w:rsidR="00F878E4">
        <w:t>income manage</w:t>
      </w:r>
      <w:r>
        <w:t>d</w:t>
      </w:r>
      <w:r w:rsidR="00384A7D">
        <w:t xml:space="preserve"> </w:t>
      </w:r>
      <w:r w:rsidR="00897C1E" w:rsidRPr="005911E2">
        <w:t>population.</w:t>
      </w:r>
    </w:p>
    <w:p w:rsidR="00CB5D8B" w:rsidRPr="005911E2" w:rsidRDefault="00CB5D8B" w:rsidP="00CB5D8B">
      <w:pPr>
        <w:pStyle w:val="Heading4"/>
      </w:pPr>
      <w:r w:rsidRPr="005911E2">
        <w:t xml:space="preserve">Non-Indigenous on </w:t>
      </w:r>
      <w:r>
        <w:t>income management</w:t>
      </w:r>
    </w:p>
    <w:p w:rsidR="00CB5D8B" w:rsidRPr="005911E2" w:rsidRDefault="00CB5D8B" w:rsidP="00CB5D8B">
      <w:pPr>
        <w:pStyle w:val="ListBullet"/>
      </w:pPr>
      <w:r>
        <w:t>t</w:t>
      </w:r>
      <w:r w:rsidRPr="005911E2">
        <w:t>he sample considerably under-represents young people</w:t>
      </w:r>
    </w:p>
    <w:p w:rsidR="00CB5D8B" w:rsidRPr="005911E2" w:rsidRDefault="00CB5D8B" w:rsidP="00CB5D8B">
      <w:pPr>
        <w:pStyle w:val="ListBullet"/>
      </w:pPr>
      <w:r>
        <w:t>t</w:t>
      </w:r>
      <w:r w:rsidRPr="005911E2">
        <w:t xml:space="preserve">he sample over-represents families with children (both couple and single parent families) compared to the </w:t>
      </w:r>
      <w:r>
        <w:t>income managed</w:t>
      </w:r>
      <w:r w:rsidR="003A7987">
        <w:t xml:space="preserve"> population</w:t>
      </w:r>
    </w:p>
    <w:p w:rsidR="00CB5D8B" w:rsidRPr="005911E2" w:rsidRDefault="00CB5D8B" w:rsidP="00CB5D8B">
      <w:pPr>
        <w:pStyle w:val="ListBullet"/>
      </w:pPr>
      <w:r>
        <w:t>w</w:t>
      </w:r>
      <w:r w:rsidRPr="005911E2">
        <w:t xml:space="preserve">omen are relatively over represented in the sample compared with the </w:t>
      </w:r>
      <w:r>
        <w:t>income managed</w:t>
      </w:r>
      <w:r w:rsidRPr="005911E2">
        <w:t xml:space="preserve"> population.</w:t>
      </w:r>
    </w:p>
    <w:p w:rsidR="00CB5D8B" w:rsidRPr="005911E2" w:rsidRDefault="00CB5D8B" w:rsidP="00CB5D8B">
      <w:pPr>
        <w:pStyle w:val="BodyText"/>
      </w:pPr>
      <w:r w:rsidRPr="005911E2">
        <w:t xml:space="preserve">These differences, while generally quite small, do need to be </w:t>
      </w:r>
      <w:r>
        <w:t xml:space="preserve">considered </w:t>
      </w:r>
      <w:r w:rsidRPr="005911E2">
        <w:t xml:space="preserve">when interpreting the data from the LSNIM survey. </w:t>
      </w:r>
    </w:p>
    <w:p w:rsidR="00CB5D8B" w:rsidRPr="005911E2" w:rsidRDefault="00CB5D8B" w:rsidP="003A7987">
      <w:pPr>
        <w:pStyle w:val="ListBullet"/>
        <w:numPr>
          <w:ilvl w:val="0"/>
          <w:numId w:val="0"/>
        </w:numPr>
        <w:ind w:left="1803"/>
      </w:pPr>
      <w:r w:rsidRPr="003A7987">
        <w:rPr>
          <w:szCs w:val="22"/>
          <w:lang w:eastAsia="en-AU"/>
        </w:rPr>
        <w:t>The comparison of the characteristics of the LSNIM sample to the income managed population uses Indigenous status as recorded in the Centrelink administrative data. The survey asks a question about Indigenous status. In this report we use the answers to the self-identification question in the survey to define Indigenous status unless otherwise sta</w:t>
      </w:r>
      <w:r w:rsidRPr="005911E2">
        <w:t>ted.</w:t>
      </w:r>
      <w:r w:rsidRPr="005911E2">
        <w:rPr>
          <w:rStyle w:val="FootnoteReference"/>
        </w:rPr>
        <w:footnoteReference w:id="101"/>
      </w:r>
    </w:p>
    <w:p w:rsidR="00897C1E" w:rsidRPr="005911E2" w:rsidRDefault="00897C1E" w:rsidP="00897C1E">
      <w:pPr>
        <w:pStyle w:val="tabfighead"/>
      </w:pPr>
      <w:bookmarkStart w:id="980" w:name="_Toc322470917"/>
      <w:bookmarkStart w:id="981" w:name="_Toc328601629"/>
      <w:bookmarkStart w:id="982" w:name="_Toc329051407"/>
      <w:bookmarkStart w:id="983" w:name="_Toc335915895"/>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10</w:t>
      </w:r>
      <w:r w:rsidR="00C7347D" w:rsidRPr="005911E2">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1</w:t>
      </w:r>
      <w:r w:rsidR="00C7347D" w:rsidRPr="005911E2">
        <w:fldChar w:fldCharType="end"/>
      </w:r>
      <w:r w:rsidRPr="005911E2">
        <w:tab/>
      </w:r>
      <w:r w:rsidR="006435C8">
        <w:t xml:space="preserve">Northern Territory </w:t>
      </w:r>
      <w:r w:rsidRPr="005911E2">
        <w:t>LSNIM survey participants and</w:t>
      </w:r>
      <w:r w:rsidR="006435C8">
        <w:t xml:space="preserve"> Northern Territory </w:t>
      </w:r>
      <w:r w:rsidR="00F878E4">
        <w:t>income management</w:t>
      </w:r>
      <w:r w:rsidRPr="005911E2">
        <w:t xml:space="preserve"> population, key characteristics</w:t>
      </w:r>
      <w:bookmarkEnd w:id="980"/>
      <w:bookmarkEnd w:id="981"/>
      <w:bookmarkEnd w:id="982"/>
      <w:bookmarkEnd w:id="983"/>
      <w:r w:rsidRPr="005911E2">
        <w:t xml:space="preserve"> </w:t>
      </w:r>
    </w:p>
    <w:tbl>
      <w:tblPr>
        <w:tblW w:w="7670" w:type="dxa"/>
        <w:jc w:val="right"/>
        <w:tblLook w:val="04A0" w:firstRow="1" w:lastRow="0" w:firstColumn="1" w:lastColumn="0" w:noHBand="0" w:noVBand="1"/>
      </w:tblPr>
      <w:tblGrid>
        <w:gridCol w:w="2142"/>
        <w:gridCol w:w="992"/>
        <w:gridCol w:w="850"/>
        <w:gridCol w:w="284"/>
        <w:gridCol w:w="850"/>
        <w:gridCol w:w="714"/>
        <w:gridCol w:w="279"/>
        <w:gridCol w:w="850"/>
        <w:gridCol w:w="714"/>
      </w:tblGrid>
      <w:tr w:rsidR="001E45BF" w:rsidRPr="00CB5D8B" w:rsidTr="008E57A0">
        <w:trPr>
          <w:trHeight w:val="288"/>
          <w:jc w:val="right"/>
        </w:trPr>
        <w:tc>
          <w:tcPr>
            <w:tcW w:w="2142" w:type="dxa"/>
            <w:tcBorders>
              <w:top w:val="single" w:sz="4" w:space="0" w:color="auto"/>
              <w:left w:val="nil"/>
              <w:right w:val="nil"/>
            </w:tcBorders>
            <w:shd w:val="clear" w:color="auto" w:fill="auto"/>
            <w:noWrap/>
            <w:vAlign w:val="bottom"/>
          </w:tcPr>
          <w:p w:rsidR="001E45BF" w:rsidRPr="00CB5D8B" w:rsidRDefault="001E45BF" w:rsidP="00F104E9">
            <w:pPr>
              <w:keepNext/>
              <w:keepLines/>
              <w:spacing w:after="0" w:line="240" w:lineRule="auto"/>
              <w:ind w:left="0"/>
              <w:rPr>
                <w:rFonts w:cs="Arial"/>
                <w:color w:val="000000"/>
                <w:sz w:val="16"/>
                <w:szCs w:val="16"/>
                <w:lang w:eastAsia="en-AU" w:bidi="ar-SA"/>
              </w:rPr>
            </w:pPr>
          </w:p>
        </w:tc>
        <w:tc>
          <w:tcPr>
            <w:tcW w:w="1842" w:type="dxa"/>
            <w:gridSpan w:val="2"/>
            <w:tcBorders>
              <w:top w:val="single" w:sz="4" w:space="0" w:color="auto"/>
              <w:left w:val="nil"/>
              <w:bottom w:val="nil"/>
              <w:right w:val="nil"/>
            </w:tcBorders>
            <w:shd w:val="clear" w:color="auto" w:fill="auto"/>
            <w:noWrap/>
            <w:vAlign w:val="bottom"/>
          </w:tcPr>
          <w:p w:rsidR="001E45BF" w:rsidRPr="00CB5D8B" w:rsidRDefault="001E45BF" w:rsidP="00D44E1D">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Indigenous</w:t>
            </w:r>
          </w:p>
        </w:tc>
        <w:tc>
          <w:tcPr>
            <w:tcW w:w="284" w:type="dxa"/>
            <w:tcBorders>
              <w:top w:val="single" w:sz="4" w:space="0" w:color="auto"/>
              <w:left w:val="nil"/>
              <w:bottom w:val="nil"/>
              <w:right w:val="nil"/>
            </w:tcBorders>
            <w:shd w:val="clear" w:color="auto" w:fill="auto"/>
            <w:noWrap/>
            <w:vAlign w:val="bottom"/>
          </w:tcPr>
          <w:p w:rsidR="001E45BF" w:rsidRPr="00CB5D8B" w:rsidRDefault="001E45BF" w:rsidP="00F104E9">
            <w:pPr>
              <w:keepNext/>
              <w:keepLines/>
              <w:spacing w:after="0" w:line="240" w:lineRule="auto"/>
              <w:ind w:left="0"/>
              <w:rPr>
                <w:rFonts w:cs="Arial"/>
                <w:color w:val="000000"/>
                <w:sz w:val="16"/>
                <w:szCs w:val="16"/>
                <w:lang w:eastAsia="en-AU" w:bidi="ar-SA"/>
              </w:rPr>
            </w:pPr>
          </w:p>
        </w:tc>
        <w:tc>
          <w:tcPr>
            <w:tcW w:w="1564" w:type="dxa"/>
            <w:gridSpan w:val="2"/>
            <w:tcBorders>
              <w:top w:val="single" w:sz="4" w:space="0" w:color="auto"/>
              <w:left w:val="nil"/>
              <w:bottom w:val="nil"/>
              <w:right w:val="nil"/>
            </w:tcBorders>
            <w:shd w:val="clear" w:color="auto" w:fill="auto"/>
            <w:noWrap/>
            <w:vAlign w:val="bottom"/>
          </w:tcPr>
          <w:p w:rsidR="001E45BF" w:rsidRPr="00CB5D8B" w:rsidRDefault="001E45BF" w:rsidP="00F104E9">
            <w:pPr>
              <w:keepNext/>
              <w:keepLines/>
              <w:spacing w:after="0" w:line="240" w:lineRule="auto"/>
              <w:ind w:left="0"/>
              <w:rPr>
                <w:rFonts w:cs="Arial"/>
                <w:color w:val="000000"/>
                <w:sz w:val="16"/>
                <w:szCs w:val="16"/>
                <w:lang w:eastAsia="en-AU" w:bidi="ar-SA"/>
              </w:rPr>
            </w:pPr>
          </w:p>
        </w:tc>
        <w:tc>
          <w:tcPr>
            <w:tcW w:w="279" w:type="dxa"/>
            <w:tcBorders>
              <w:top w:val="single" w:sz="4" w:space="0" w:color="auto"/>
              <w:left w:val="nil"/>
              <w:right w:val="nil"/>
            </w:tcBorders>
            <w:shd w:val="clear" w:color="auto" w:fill="auto"/>
            <w:noWrap/>
            <w:vAlign w:val="bottom"/>
          </w:tcPr>
          <w:p w:rsidR="001E45BF" w:rsidRPr="00CB5D8B" w:rsidRDefault="001E45BF" w:rsidP="00F104E9">
            <w:pPr>
              <w:keepNext/>
              <w:keepLines/>
              <w:spacing w:after="0" w:line="240" w:lineRule="auto"/>
              <w:ind w:left="0"/>
              <w:rPr>
                <w:rFonts w:cs="Arial"/>
                <w:color w:val="000000"/>
                <w:sz w:val="16"/>
                <w:szCs w:val="16"/>
                <w:lang w:eastAsia="en-AU" w:bidi="ar-SA"/>
              </w:rPr>
            </w:pPr>
          </w:p>
        </w:tc>
        <w:tc>
          <w:tcPr>
            <w:tcW w:w="1559" w:type="dxa"/>
            <w:gridSpan w:val="2"/>
            <w:tcBorders>
              <w:top w:val="single" w:sz="4" w:space="0" w:color="auto"/>
              <w:left w:val="nil"/>
              <w:bottom w:val="nil"/>
              <w:right w:val="nil"/>
            </w:tcBorders>
            <w:shd w:val="clear" w:color="auto" w:fill="auto"/>
            <w:noWrap/>
            <w:vAlign w:val="bottom"/>
          </w:tcPr>
          <w:p w:rsidR="001E45BF" w:rsidRPr="00CB5D8B" w:rsidRDefault="001E45BF"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Non-Indigenous</w:t>
            </w:r>
          </w:p>
        </w:tc>
      </w:tr>
      <w:tr w:rsidR="00897C1E" w:rsidRPr="00CB5D8B" w:rsidTr="008E57A0">
        <w:trPr>
          <w:trHeight w:val="288"/>
          <w:jc w:val="right"/>
        </w:trPr>
        <w:tc>
          <w:tcPr>
            <w:tcW w:w="2142" w:type="dxa"/>
            <w:tcBorders>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1842" w:type="dxa"/>
            <w:gridSpan w:val="2"/>
            <w:tcBorders>
              <w:top w:val="single" w:sz="4" w:space="0" w:color="auto"/>
              <w:left w:val="nil"/>
              <w:bottom w:val="nil"/>
              <w:right w:val="nil"/>
            </w:tcBorders>
            <w:shd w:val="clear" w:color="auto" w:fill="auto"/>
            <w:noWrap/>
            <w:vAlign w:val="bottom"/>
            <w:hideMark/>
          </w:tcPr>
          <w:p w:rsidR="00897C1E" w:rsidRPr="00CB5D8B" w:rsidRDefault="001E45BF" w:rsidP="00D44E1D">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Compulsory</w:t>
            </w:r>
            <w:r w:rsidR="00897C1E" w:rsidRPr="00CB5D8B">
              <w:rPr>
                <w:rFonts w:cs="Arial"/>
                <w:color w:val="000000"/>
                <w:sz w:val="16"/>
                <w:szCs w:val="16"/>
                <w:lang w:eastAsia="en-AU" w:bidi="ar-SA"/>
              </w:rPr>
              <w:t xml:space="preserve"> (a)</w:t>
            </w:r>
          </w:p>
        </w:tc>
        <w:tc>
          <w:tcPr>
            <w:tcW w:w="284"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1564" w:type="dxa"/>
            <w:gridSpan w:val="2"/>
            <w:tcBorders>
              <w:top w:val="single" w:sz="4" w:space="0" w:color="auto"/>
              <w:left w:val="nil"/>
              <w:bottom w:val="nil"/>
              <w:right w:val="nil"/>
            </w:tcBorders>
            <w:shd w:val="clear" w:color="auto" w:fill="auto"/>
            <w:noWrap/>
            <w:vAlign w:val="bottom"/>
            <w:hideMark/>
          </w:tcPr>
          <w:p w:rsidR="00897C1E" w:rsidRPr="00CB5D8B" w:rsidRDefault="001E45BF"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Voluntary</w:t>
            </w:r>
          </w:p>
        </w:tc>
        <w:tc>
          <w:tcPr>
            <w:tcW w:w="279" w:type="dxa"/>
            <w:tcBorders>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1559" w:type="dxa"/>
            <w:gridSpan w:val="2"/>
            <w:tcBorders>
              <w:top w:val="single" w:sz="4" w:space="0" w:color="auto"/>
              <w:left w:val="nil"/>
              <w:bottom w:val="nil"/>
              <w:right w:val="nil"/>
            </w:tcBorders>
            <w:shd w:val="clear" w:color="auto" w:fill="auto"/>
            <w:noWrap/>
            <w:vAlign w:val="bottom"/>
            <w:hideMark/>
          </w:tcPr>
          <w:p w:rsidR="00897C1E" w:rsidRPr="00CB5D8B" w:rsidRDefault="001E45BF"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xml:space="preserve">All </w:t>
            </w:r>
            <w:r w:rsidR="00897C1E" w:rsidRPr="00CB5D8B">
              <w:rPr>
                <w:rFonts w:cs="Arial"/>
                <w:color w:val="000000"/>
                <w:sz w:val="16"/>
                <w:szCs w:val="16"/>
                <w:lang w:eastAsia="en-AU" w:bidi="ar-SA"/>
              </w:rPr>
              <w:t>IM (b)</w:t>
            </w:r>
          </w:p>
        </w:tc>
      </w:tr>
      <w:tr w:rsidR="00897C1E" w:rsidRPr="00CB5D8B" w:rsidTr="008E57A0">
        <w:trPr>
          <w:trHeight w:val="288"/>
          <w:jc w:val="right"/>
        </w:trPr>
        <w:tc>
          <w:tcPr>
            <w:tcW w:w="2142"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p>
        </w:tc>
        <w:tc>
          <w:tcPr>
            <w:tcW w:w="992"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IM Pop'n</w:t>
            </w:r>
          </w:p>
        </w:tc>
        <w:tc>
          <w:tcPr>
            <w:tcW w:w="850"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Survey</w:t>
            </w:r>
          </w:p>
        </w:tc>
        <w:tc>
          <w:tcPr>
            <w:tcW w:w="284"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850"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IM Pop'n</w:t>
            </w:r>
          </w:p>
        </w:tc>
        <w:tc>
          <w:tcPr>
            <w:tcW w:w="714"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Survey</w:t>
            </w:r>
          </w:p>
        </w:tc>
        <w:tc>
          <w:tcPr>
            <w:tcW w:w="279"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850"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IM Pop'n</w:t>
            </w:r>
          </w:p>
        </w:tc>
        <w:tc>
          <w:tcPr>
            <w:tcW w:w="709"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Survey</w:t>
            </w:r>
          </w:p>
        </w:tc>
      </w:tr>
      <w:tr w:rsidR="00897C1E" w:rsidRPr="00CB5D8B" w:rsidTr="008E57A0">
        <w:trPr>
          <w:trHeight w:val="288"/>
          <w:jc w:val="right"/>
        </w:trPr>
        <w:tc>
          <w:tcPr>
            <w:tcW w:w="2142"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992"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850"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284"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1843" w:type="dxa"/>
            <w:gridSpan w:val="3"/>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xml:space="preserve">% </w:t>
            </w:r>
          </w:p>
        </w:tc>
        <w:tc>
          <w:tcPr>
            <w:tcW w:w="850"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709"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r>
      <w:tr w:rsidR="00897C1E" w:rsidRPr="00CB5D8B" w:rsidTr="008E57A0">
        <w:trPr>
          <w:trHeight w:val="288"/>
          <w:jc w:val="right"/>
        </w:trPr>
        <w:tc>
          <w:tcPr>
            <w:tcW w:w="2142"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i/>
                <w:color w:val="000000"/>
                <w:sz w:val="16"/>
                <w:szCs w:val="16"/>
                <w:lang w:eastAsia="en-AU" w:bidi="ar-SA"/>
              </w:rPr>
            </w:pPr>
            <w:r w:rsidRPr="00CB5D8B">
              <w:rPr>
                <w:rFonts w:cs="Arial"/>
                <w:i/>
                <w:color w:val="000000"/>
                <w:sz w:val="16"/>
                <w:szCs w:val="16"/>
                <w:lang w:eastAsia="en-AU" w:bidi="ar-SA"/>
              </w:rPr>
              <w:t>Measure</w:t>
            </w:r>
          </w:p>
        </w:tc>
        <w:tc>
          <w:tcPr>
            <w:tcW w:w="992"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850"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284"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850"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714"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279"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850"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709"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r>
      <w:tr w:rsidR="00897C1E" w:rsidRPr="00CB5D8B" w:rsidTr="008E57A0">
        <w:trPr>
          <w:trHeight w:val="288"/>
          <w:jc w:val="right"/>
        </w:trPr>
        <w:tc>
          <w:tcPr>
            <w:tcW w:w="2142"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Disengaged Youth</w:t>
            </w:r>
          </w:p>
        </w:tc>
        <w:tc>
          <w:tcPr>
            <w:tcW w:w="992"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32.1</w:t>
            </w:r>
          </w:p>
        </w:tc>
        <w:tc>
          <w:tcPr>
            <w:tcW w:w="850"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26.8</w:t>
            </w:r>
          </w:p>
        </w:tc>
        <w:tc>
          <w:tcPr>
            <w:tcW w:w="284"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0.0</w:t>
            </w:r>
          </w:p>
        </w:tc>
        <w:tc>
          <w:tcPr>
            <w:tcW w:w="714"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0.0</w:t>
            </w:r>
          </w:p>
        </w:tc>
        <w:tc>
          <w:tcPr>
            <w:tcW w:w="279"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29.2</w:t>
            </w:r>
          </w:p>
        </w:tc>
        <w:tc>
          <w:tcPr>
            <w:tcW w:w="709"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21.9</w:t>
            </w:r>
          </w:p>
        </w:tc>
      </w:tr>
      <w:tr w:rsidR="00897C1E" w:rsidRPr="00CB5D8B" w:rsidTr="008E57A0">
        <w:trPr>
          <w:trHeight w:val="288"/>
          <w:jc w:val="right"/>
        </w:trPr>
        <w:tc>
          <w:tcPr>
            <w:tcW w:w="2142" w:type="dxa"/>
            <w:tcBorders>
              <w:top w:val="nil"/>
              <w:left w:val="nil"/>
              <w:bottom w:val="nil"/>
              <w:right w:val="nil"/>
            </w:tcBorders>
            <w:shd w:val="clear" w:color="auto" w:fill="auto"/>
            <w:noWrap/>
            <w:vAlign w:val="bottom"/>
            <w:hideMark/>
          </w:tcPr>
          <w:p w:rsidR="00897C1E" w:rsidRPr="00CB5D8B" w:rsidRDefault="00D3222D"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Long-Term</w:t>
            </w:r>
            <w:r w:rsidR="00897C1E" w:rsidRPr="00CB5D8B">
              <w:rPr>
                <w:rFonts w:cs="Arial"/>
                <w:color w:val="000000"/>
                <w:sz w:val="16"/>
                <w:szCs w:val="16"/>
                <w:lang w:eastAsia="en-AU" w:bidi="ar-SA"/>
              </w:rPr>
              <w:t xml:space="preserve"> Welfare</w:t>
            </w:r>
          </w:p>
        </w:tc>
        <w:tc>
          <w:tcPr>
            <w:tcW w:w="992"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65.9</w:t>
            </w:r>
          </w:p>
        </w:tc>
        <w:tc>
          <w:tcPr>
            <w:tcW w:w="850"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71.5</w:t>
            </w:r>
          </w:p>
        </w:tc>
        <w:tc>
          <w:tcPr>
            <w:tcW w:w="284"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0.0</w:t>
            </w:r>
          </w:p>
        </w:tc>
        <w:tc>
          <w:tcPr>
            <w:tcW w:w="714"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0.0</w:t>
            </w:r>
          </w:p>
        </w:tc>
        <w:tc>
          <w:tcPr>
            <w:tcW w:w="279"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66.4</w:t>
            </w:r>
          </w:p>
        </w:tc>
        <w:tc>
          <w:tcPr>
            <w:tcW w:w="709"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76.1</w:t>
            </w:r>
          </w:p>
        </w:tc>
      </w:tr>
      <w:tr w:rsidR="00897C1E" w:rsidRPr="00CB5D8B" w:rsidTr="008E57A0">
        <w:trPr>
          <w:trHeight w:val="288"/>
          <w:jc w:val="right"/>
        </w:trPr>
        <w:tc>
          <w:tcPr>
            <w:tcW w:w="2142"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VIM</w:t>
            </w:r>
          </w:p>
        </w:tc>
        <w:tc>
          <w:tcPr>
            <w:tcW w:w="992"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0.0</w:t>
            </w:r>
          </w:p>
        </w:tc>
        <w:tc>
          <w:tcPr>
            <w:tcW w:w="850"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0.0</w:t>
            </w:r>
          </w:p>
        </w:tc>
        <w:tc>
          <w:tcPr>
            <w:tcW w:w="284"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100.0</w:t>
            </w:r>
          </w:p>
        </w:tc>
        <w:tc>
          <w:tcPr>
            <w:tcW w:w="714"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100.0</w:t>
            </w:r>
          </w:p>
        </w:tc>
        <w:tc>
          <w:tcPr>
            <w:tcW w:w="279"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3.7</w:t>
            </w:r>
          </w:p>
        </w:tc>
        <w:tc>
          <w:tcPr>
            <w:tcW w:w="709"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1.6</w:t>
            </w:r>
          </w:p>
        </w:tc>
      </w:tr>
      <w:tr w:rsidR="00897C1E" w:rsidRPr="00CB5D8B" w:rsidTr="008E57A0">
        <w:trPr>
          <w:trHeight w:val="288"/>
          <w:jc w:val="right"/>
        </w:trPr>
        <w:tc>
          <w:tcPr>
            <w:tcW w:w="2142"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VULIM</w:t>
            </w:r>
          </w:p>
        </w:tc>
        <w:tc>
          <w:tcPr>
            <w:tcW w:w="992"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1.7</w:t>
            </w:r>
          </w:p>
        </w:tc>
        <w:tc>
          <w:tcPr>
            <w:tcW w:w="850"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1.2</w:t>
            </w:r>
          </w:p>
        </w:tc>
        <w:tc>
          <w:tcPr>
            <w:tcW w:w="284"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0.0</w:t>
            </w:r>
          </w:p>
        </w:tc>
        <w:tc>
          <w:tcPr>
            <w:tcW w:w="714"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0.0</w:t>
            </w:r>
          </w:p>
        </w:tc>
        <w:tc>
          <w:tcPr>
            <w:tcW w:w="279"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0.4</w:t>
            </w:r>
          </w:p>
        </w:tc>
        <w:tc>
          <w:tcPr>
            <w:tcW w:w="709"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0.5</w:t>
            </w:r>
          </w:p>
        </w:tc>
      </w:tr>
      <w:tr w:rsidR="00897C1E" w:rsidRPr="00CB5D8B" w:rsidTr="008E57A0">
        <w:trPr>
          <w:trHeight w:val="288"/>
          <w:jc w:val="right"/>
        </w:trPr>
        <w:tc>
          <w:tcPr>
            <w:tcW w:w="2142"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CPIM</w:t>
            </w:r>
          </w:p>
        </w:tc>
        <w:tc>
          <w:tcPr>
            <w:tcW w:w="992"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0.4</w:t>
            </w:r>
          </w:p>
        </w:tc>
        <w:tc>
          <w:tcPr>
            <w:tcW w:w="850"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0.5</w:t>
            </w:r>
          </w:p>
        </w:tc>
        <w:tc>
          <w:tcPr>
            <w:tcW w:w="284"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0.0</w:t>
            </w:r>
          </w:p>
        </w:tc>
        <w:tc>
          <w:tcPr>
            <w:tcW w:w="714"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0.0</w:t>
            </w:r>
          </w:p>
        </w:tc>
        <w:tc>
          <w:tcPr>
            <w:tcW w:w="279"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0.3</w:t>
            </w:r>
          </w:p>
        </w:tc>
        <w:tc>
          <w:tcPr>
            <w:tcW w:w="709"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1.1</w:t>
            </w:r>
          </w:p>
        </w:tc>
      </w:tr>
      <w:tr w:rsidR="00897C1E" w:rsidRPr="00CB5D8B" w:rsidTr="008E57A0">
        <w:trPr>
          <w:trHeight w:val="288"/>
          <w:jc w:val="right"/>
        </w:trPr>
        <w:tc>
          <w:tcPr>
            <w:tcW w:w="2142"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i/>
                <w:color w:val="000000"/>
                <w:sz w:val="16"/>
                <w:szCs w:val="16"/>
                <w:lang w:eastAsia="en-AU" w:bidi="ar-SA"/>
              </w:rPr>
            </w:pPr>
            <w:r w:rsidRPr="00CB5D8B">
              <w:rPr>
                <w:rFonts w:cs="Arial"/>
                <w:i/>
                <w:color w:val="000000"/>
                <w:sz w:val="16"/>
                <w:szCs w:val="16"/>
                <w:lang w:eastAsia="en-AU" w:bidi="ar-SA"/>
              </w:rPr>
              <w:t>Gender</w:t>
            </w:r>
          </w:p>
        </w:tc>
        <w:tc>
          <w:tcPr>
            <w:tcW w:w="992"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850"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284"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850"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714"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279"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850"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709"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r>
      <w:tr w:rsidR="00897C1E" w:rsidRPr="00CB5D8B" w:rsidTr="008E57A0">
        <w:trPr>
          <w:trHeight w:val="288"/>
          <w:jc w:val="right"/>
        </w:trPr>
        <w:tc>
          <w:tcPr>
            <w:tcW w:w="2142"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Female</w:t>
            </w:r>
          </w:p>
        </w:tc>
        <w:tc>
          <w:tcPr>
            <w:tcW w:w="992"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63.0</w:t>
            </w:r>
          </w:p>
        </w:tc>
        <w:tc>
          <w:tcPr>
            <w:tcW w:w="850"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74.9</w:t>
            </w:r>
          </w:p>
        </w:tc>
        <w:tc>
          <w:tcPr>
            <w:tcW w:w="284"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56.2</w:t>
            </w:r>
          </w:p>
        </w:tc>
        <w:tc>
          <w:tcPr>
            <w:tcW w:w="714"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60.2</w:t>
            </w:r>
          </w:p>
        </w:tc>
        <w:tc>
          <w:tcPr>
            <w:tcW w:w="279"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50.4</w:t>
            </w:r>
          </w:p>
        </w:tc>
        <w:tc>
          <w:tcPr>
            <w:tcW w:w="709"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58.8</w:t>
            </w:r>
          </w:p>
        </w:tc>
      </w:tr>
      <w:tr w:rsidR="00897C1E" w:rsidRPr="00CB5D8B" w:rsidTr="008E57A0">
        <w:trPr>
          <w:trHeight w:val="288"/>
          <w:jc w:val="right"/>
        </w:trPr>
        <w:tc>
          <w:tcPr>
            <w:tcW w:w="2142"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i/>
                <w:color w:val="000000"/>
                <w:sz w:val="16"/>
                <w:szCs w:val="16"/>
                <w:lang w:eastAsia="en-AU" w:bidi="ar-SA"/>
              </w:rPr>
            </w:pPr>
            <w:r w:rsidRPr="00CB5D8B">
              <w:rPr>
                <w:rFonts w:cs="Arial"/>
                <w:i/>
                <w:color w:val="000000"/>
                <w:sz w:val="16"/>
                <w:szCs w:val="16"/>
                <w:lang w:eastAsia="en-AU" w:bidi="ar-SA"/>
              </w:rPr>
              <w:t>Age</w:t>
            </w:r>
          </w:p>
        </w:tc>
        <w:tc>
          <w:tcPr>
            <w:tcW w:w="992"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850"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284"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850"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714"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279"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850"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709"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r>
      <w:tr w:rsidR="00897C1E" w:rsidRPr="00CB5D8B" w:rsidTr="008E57A0">
        <w:trPr>
          <w:trHeight w:val="288"/>
          <w:jc w:val="right"/>
        </w:trPr>
        <w:tc>
          <w:tcPr>
            <w:tcW w:w="2142"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Under 21 years</w:t>
            </w:r>
          </w:p>
        </w:tc>
        <w:tc>
          <w:tcPr>
            <w:tcW w:w="992"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14.1</w:t>
            </w:r>
          </w:p>
        </w:tc>
        <w:tc>
          <w:tcPr>
            <w:tcW w:w="850"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7.5</w:t>
            </w:r>
          </w:p>
        </w:tc>
        <w:tc>
          <w:tcPr>
            <w:tcW w:w="284"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3.5</w:t>
            </w:r>
          </w:p>
        </w:tc>
        <w:tc>
          <w:tcPr>
            <w:tcW w:w="714"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1.2</w:t>
            </w:r>
          </w:p>
        </w:tc>
        <w:tc>
          <w:tcPr>
            <w:tcW w:w="279"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14.8</w:t>
            </w:r>
          </w:p>
        </w:tc>
        <w:tc>
          <w:tcPr>
            <w:tcW w:w="709"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5.9</w:t>
            </w:r>
          </w:p>
        </w:tc>
      </w:tr>
      <w:tr w:rsidR="00897C1E" w:rsidRPr="00CB5D8B" w:rsidTr="008E57A0">
        <w:trPr>
          <w:trHeight w:val="288"/>
          <w:jc w:val="right"/>
        </w:trPr>
        <w:tc>
          <w:tcPr>
            <w:tcW w:w="2142"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21-34 years</w:t>
            </w:r>
          </w:p>
        </w:tc>
        <w:tc>
          <w:tcPr>
            <w:tcW w:w="992"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51.9</w:t>
            </w:r>
          </w:p>
        </w:tc>
        <w:tc>
          <w:tcPr>
            <w:tcW w:w="850"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50.5</w:t>
            </w:r>
          </w:p>
        </w:tc>
        <w:tc>
          <w:tcPr>
            <w:tcW w:w="284"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17.8</w:t>
            </w:r>
          </w:p>
        </w:tc>
        <w:tc>
          <w:tcPr>
            <w:tcW w:w="714"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15.5</w:t>
            </w:r>
          </w:p>
        </w:tc>
        <w:tc>
          <w:tcPr>
            <w:tcW w:w="279"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40.0</w:t>
            </w:r>
          </w:p>
        </w:tc>
        <w:tc>
          <w:tcPr>
            <w:tcW w:w="709"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43.9</w:t>
            </w:r>
          </w:p>
        </w:tc>
      </w:tr>
      <w:tr w:rsidR="00897C1E" w:rsidRPr="00CB5D8B" w:rsidTr="008E57A0">
        <w:trPr>
          <w:trHeight w:val="288"/>
          <w:jc w:val="right"/>
        </w:trPr>
        <w:tc>
          <w:tcPr>
            <w:tcW w:w="2142"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35-54 years</w:t>
            </w:r>
          </w:p>
        </w:tc>
        <w:tc>
          <w:tcPr>
            <w:tcW w:w="992"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31.0</w:t>
            </w:r>
          </w:p>
        </w:tc>
        <w:tc>
          <w:tcPr>
            <w:tcW w:w="850"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37.4</w:t>
            </w:r>
          </w:p>
        </w:tc>
        <w:tc>
          <w:tcPr>
            <w:tcW w:w="284"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40.5</w:t>
            </w:r>
          </w:p>
        </w:tc>
        <w:tc>
          <w:tcPr>
            <w:tcW w:w="714"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46.6</w:t>
            </w:r>
          </w:p>
        </w:tc>
        <w:tc>
          <w:tcPr>
            <w:tcW w:w="279"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34.2</w:t>
            </w:r>
          </w:p>
        </w:tc>
        <w:tc>
          <w:tcPr>
            <w:tcW w:w="709"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37.4</w:t>
            </w:r>
          </w:p>
        </w:tc>
      </w:tr>
      <w:tr w:rsidR="00897C1E" w:rsidRPr="00CB5D8B" w:rsidTr="008E57A0">
        <w:trPr>
          <w:trHeight w:val="288"/>
          <w:jc w:val="right"/>
        </w:trPr>
        <w:tc>
          <w:tcPr>
            <w:tcW w:w="2142"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55-64 years</w:t>
            </w:r>
          </w:p>
        </w:tc>
        <w:tc>
          <w:tcPr>
            <w:tcW w:w="992"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2.7</w:t>
            </w:r>
          </w:p>
        </w:tc>
        <w:tc>
          <w:tcPr>
            <w:tcW w:w="850"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3.9</w:t>
            </w:r>
          </w:p>
        </w:tc>
        <w:tc>
          <w:tcPr>
            <w:tcW w:w="284"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18.7</w:t>
            </w:r>
          </w:p>
        </w:tc>
        <w:tc>
          <w:tcPr>
            <w:tcW w:w="714"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24.8</w:t>
            </w:r>
          </w:p>
        </w:tc>
        <w:tc>
          <w:tcPr>
            <w:tcW w:w="279"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10.0</w:t>
            </w:r>
          </w:p>
        </w:tc>
        <w:tc>
          <w:tcPr>
            <w:tcW w:w="709"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12.3</w:t>
            </w:r>
          </w:p>
        </w:tc>
      </w:tr>
      <w:tr w:rsidR="00897C1E" w:rsidRPr="00CB5D8B" w:rsidTr="008E57A0">
        <w:trPr>
          <w:trHeight w:val="288"/>
          <w:jc w:val="right"/>
        </w:trPr>
        <w:tc>
          <w:tcPr>
            <w:tcW w:w="2142"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65 + years</w:t>
            </w:r>
          </w:p>
        </w:tc>
        <w:tc>
          <w:tcPr>
            <w:tcW w:w="992"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0.3</w:t>
            </w:r>
          </w:p>
        </w:tc>
        <w:tc>
          <w:tcPr>
            <w:tcW w:w="850"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0.7</w:t>
            </w:r>
          </w:p>
        </w:tc>
        <w:tc>
          <w:tcPr>
            <w:tcW w:w="284"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19.5</w:t>
            </w:r>
          </w:p>
        </w:tc>
        <w:tc>
          <w:tcPr>
            <w:tcW w:w="714"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11.8</w:t>
            </w:r>
          </w:p>
        </w:tc>
        <w:tc>
          <w:tcPr>
            <w:tcW w:w="279"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1.0</w:t>
            </w:r>
          </w:p>
        </w:tc>
        <w:tc>
          <w:tcPr>
            <w:tcW w:w="709"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0.5</w:t>
            </w:r>
          </w:p>
        </w:tc>
      </w:tr>
      <w:tr w:rsidR="00897C1E" w:rsidRPr="00CB5D8B" w:rsidTr="008E57A0">
        <w:trPr>
          <w:trHeight w:val="288"/>
          <w:jc w:val="right"/>
        </w:trPr>
        <w:tc>
          <w:tcPr>
            <w:tcW w:w="2142"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i/>
                <w:color w:val="000000"/>
                <w:sz w:val="16"/>
                <w:szCs w:val="16"/>
                <w:lang w:eastAsia="en-AU" w:bidi="ar-SA"/>
              </w:rPr>
            </w:pPr>
            <w:r w:rsidRPr="00CB5D8B">
              <w:rPr>
                <w:rFonts w:cs="Arial"/>
                <w:i/>
                <w:color w:val="000000"/>
                <w:sz w:val="16"/>
                <w:szCs w:val="16"/>
                <w:lang w:eastAsia="en-AU" w:bidi="ar-SA"/>
              </w:rPr>
              <w:t>Family type</w:t>
            </w:r>
          </w:p>
        </w:tc>
        <w:tc>
          <w:tcPr>
            <w:tcW w:w="992"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850"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284"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850"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714"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279"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850"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709" w:type="dxa"/>
            <w:tcBorders>
              <w:top w:val="single" w:sz="4" w:space="0" w:color="auto"/>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r>
      <w:tr w:rsidR="00897C1E" w:rsidRPr="00CB5D8B" w:rsidTr="008E57A0">
        <w:trPr>
          <w:trHeight w:val="288"/>
          <w:jc w:val="right"/>
        </w:trPr>
        <w:tc>
          <w:tcPr>
            <w:tcW w:w="2142"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Couple &amp; children</w:t>
            </w:r>
          </w:p>
        </w:tc>
        <w:tc>
          <w:tcPr>
            <w:tcW w:w="992"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22.5</w:t>
            </w:r>
          </w:p>
        </w:tc>
        <w:tc>
          <w:tcPr>
            <w:tcW w:w="850"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20.0</w:t>
            </w:r>
          </w:p>
        </w:tc>
        <w:tc>
          <w:tcPr>
            <w:tcW w:w="284"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7.1</w:t>
            </w:r>
          </w:p>
        </w:tc>
        <w:tc>
          <w:tcPr>
            <w:tcW w:w="714"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5.7</w:t>
            </w:r>
          </w:p>
        </w:tc>
        <w:tc>
          <w:tcPr>
            <w:tcW w:w="279"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6.7</w:t>
            </w:r>
          </w:p>
        </w:tc>
        <w:tc>
          <w:tcPr>
            <w:tcW w:w="709"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11.5</w:t>
            </w:r>
          </w:p>
        </w:tc>
      </w:tr>
      <w:tr w:rsidR="00897C1E" w:rsidRPr="00CB5D8B" w:rsidTr="008E57A0">
        <w:trPr>
          <w:trHeight w:val="288"/>
          <w:jc w:val="right"/>
        </w:trPr>
        <w:tc>
          <w:tcPr>
            <w:tcW w:w="2142"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Couple only</w:t>
            </w:r>
          </w:p>
        </w:tc>
        <w:tc>
          <w:tcPr>
            <w:tcW w:w="992"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25.6</w:t>
            </w:r>
          </w:p>
        </w:tc>
        <w:tc>
          <w:tcPr>
            <w:tcW w:w="850"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16.3</w:t>
            </w:r>
          </w:p>
        </w:tc>
        <w:tc>
          <w:tcPr>
            <w:tcW w:w="284"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27.4</w:t>
            </w:r>
          </w:p>
        </w:tc>
        <w:tc>
          <w:tcPr>
            <w:tcW w:w="714"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23.9</w:t>
            </w:r>
          </w:p>
        </w:tc>
        <w:tc>
          <w:tcPr>
            <w:tcW w:w="279"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11.9</w:t>
            </w:r>
          </w:p>
        </w:tc>
        <w:tc>
          <w:tcPr>
            <w:tcW w:w="709" w:type="dxa"/>
            <w:tcBorders>
              <w:top w:val="nil"/>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10.9</w:t>
            </w:r>
          </w:p>
        </w:tc>
      </w:tr>
      <w:tr w:rsidR="00897C1E" w:rsidRPr="00CB5D8B" w:rsidTr="008E57A0">
        <w:trPr>
          <w:trHeight w:val="288"/>
          <w:jc w:val="right"/>
        </w:trPr>
        <w:tc>
          <w:tcPr>
            <w:tcW w:w="2142" w:type="dxa"/>
            <w:tcBorders>
              <w:top w:val="nil"/>
              <w:left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Single Parent</w:t>
            </w:r>
          </w:p>
        </w:tc>
        <w:tc>
          <w:tcPr>
            <w:tcW w:w="992" w:type="dxa"/>
            <w:tcBorders>
              <w:top w:val="nil"/>
              <w:left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20.8</w:t>
            </w:r>
          </w:p>
        </w:tc>
        <w:tc>
          <w:tcPr>
            <w:tcW w:w="850" w:type="dxa"/>
            <w:tcBorders>
              <w:top w:val="nil"/>
              <w:left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25.9</w:t>
            </w:r>
          </w:p>
        </w:tc>
        <w:tc>
          <w:tcPr>
            <w:tcW w:w="284" w:type="dxa"/>
            <w:tcBorders>
              <w:top w:val="nil"/>
              <w:left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9.0</w:t>
            </w:r>
          </w:p>
        </w:tc>
        <w:tc>
          <w:tcPr>
            <w:tcW w:w="714" w:type="dxa"/>
            <w:tcBorders>
              <w:top w:val="nil"/>
              <w:left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10.1</w:t>
            </w:r>
          </w:p>
        </w:tc>
        <w:tc>
          <w:tcPr>
            <w:tcW w:w="279" w:type="dxa"/>
            <w:tcBorders>
              <w:top w:val="nil"/>
              <w:left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24.2</w:t>
            </w:r>
          </w:p>
        </w:tc>
        <w:tc>
          <w:tcPr>
            <w:tcW w:w="709" w:type="dxa"/>
            <w:tcBorders>
              <w:top w:val="nil"/>
              <w:left w:val="nil"/>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32.2</w:t>
            </w:r>
          </w:p>
        </w:tc>
      </w:tr>
      <w:tr w:rsidR="00897C1E" w:rsidRPr="00CB5D8B" w:rsidTr="008E57A0">
        <w:trPr>
          <w:trHeight w:val="288"/>
          <w:jc w:val="right"/>
        </w:trPr>
        <w:tc>
          <w:tcPr>
            <w:tcW w:w="2142" w:type="dxa"/>
            <w:tcBorders>
              <w:top w:val="nil"/>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Single</w:t>
            </w:r>
          </w:p>
        </w:tc>
        <w:tc>
          <w:tcPr>
            <w:tcW w:w="992" w:type="dxa"/>
            <w:tcBorders>
              <w:top w:val="nil"/>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31.1</w:t>
            </w:r>
          </w:p>
        </w:tc>
        <w:tc>
          <w:tcPr>
            <w:tcW w:w="850" w:type="dxa"/>
            <w:tcBorders>
              <w:top w:val="nil"/>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37.9</w:t>
            </w:r>
          </w:p>
        </w:tc>
        <w:tc>
          <w:tcPr>
            <w:tcW w:w="284" w:type="dxa"/>
            <w:tcBorders>
              <w:top w:val="nil"/>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56.6</w:t>
            </w:r>
          </w:p>
        </w:tc>
        <w:tc>
          <w:tcPr>
            <w:tcW w:w="714" w:type="dxa"/>
            <w:tcBorders>
              <w:top w:val="nil"/>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60.4</w:t>
            </w:r>
          </w:p>
        </w:tc>
        <w:tc>
          <w:tcPr>
            <w:tcW w:w="279" w:type="dxa"/>
            <w:tcBorders>
              <w:top w:val="nil"/>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57.2</w:t>
            </w:r>
          </w:p>
        </w:tc>
        <w:tc>
          <w:tcPr>
            <w:tcW w:w="709" w:type="dxa"/>
            <w:tcBorders>
              <w:top w:val="nil"/>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45.4</w:t>
            </w:r>
          </w:p>
        </w:tc>
      </w:tr>
      <w:tr w:rsidR="00897C1E" w:rsidRPr="00CB5D8B" w:rsidTr="008E57A0">
        <w:trPr>
          <w:trHeight w:val="288"/>
          <w:jc w:val="right"/>
        </w:trPr>
        <w:tc>
          <w:tcPr>
            <w:tcW w:w="2142" w:type="dxa"/>
            <w:tcBorders>
              <w:top w:val="single" w:sz="4" w:space="0" w:color="auto"/>
              <w:left w:val="nil"/>
              <w:bottom w:val="single" w:sz="4" w:space="0" w:color="auto"/>
              <w:right w:val="nil"/>
            </w:tcBorders>
            <w:shd w:val="clear" w:color="auto" w:fill="auto"/>
            <w:noWrap/>
            <w:vAlign w:val="bottom"/>
            <w:hideMark/>
          </w:tcPr>
          <w:p w:rsidR="00897C1E" w:rsidRPr="00CB5D8B" w:rsidRDefault="00D44E1D" w:rsidP="001E45BF">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xml:space="preserve">Previously </w:t>
            </w:r>
            <w:r w:rsidR="00897C1E" w:rsidRPr="00CB5D8B">
              <w:rPr>
                <w:rFonts w:cs="Arial"/>
                <w:color w:val="000000"/>
                <w:sz w:val="16"/>
                <w:szCs w:val="16"/>
                <w:lang w:eastAsia="en-AU" w:bidi="ar-SA"/>
              </w:rPr>
              <w:t>NTER IM</w:t>
            </w:r>
          </w:p>
        </w:tc>
        <w:tc>
          <w:tcPr>
            <w:tcW w:w="992" w:type="dxa"/>
            <w:tcBorders>
              <w:top w:val="single" w:sz="4" w:space="0" w:color="auto"/>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69.0</w:t>
            </w:r>
          </w:p>
        </w:tc>
        <w:tc>
          <w:tcPr>
            <w:tcW w:w="850" w:type="dxa"/>
            <w:tcBorders>
              <w:top w:val="single" w:sz="4" w:space="0" w:color="auto"/>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68.2</w:t>
            </w:r>
          </w:p>
        </w:tc>
        <w:tc>
          <w:tcPr>
            <w:tcW w:w="284" w:type="dxa"/>
            <w:tcBorders>
              <w:top w:val="single" w:sz="4" w:space="0" w:color="auto"/>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single" w:sz="4" w:space="0" w:color="auto"/>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90.0</w:t>
            </w:r>
          </w:p>
        </w:tc>
        <w:tc>
          <w:tcPr>
            <w:tcW w:w="714" w:type="dxa"/>
            <w:tcBorders>
              <w:top w:val="single" w:sz="4" w:space="0" w:color="auto"/>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96.3</w:t>
            </w:r>
          </w:p>
        </w:tc>
        <w:tc>
          <w:tcPr>
            <w:tcW w:w="279" w:type="dxa"/>
            <w:tcBorders>
              <w:top w:val="single" w:sz="4" w:space="0" w:color="auto"/>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single" w:sz="4" w:space="0" w:color="auto"/>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7.5</w:t>
            </w:r>
          </w:p>
        </w:tc>
        <w:tc>
          <w:tcPr>
            <w:tcW w:w="709" w:type="dxa"/>
            <w:tcBorders>
              <w:top w:val="single" w:sz="4" w:space="0" w:color="auto"/>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2.7</w:t>
            </w:r>
          </w:p>
        </w:tc>
      </w:tr>
      <w:tr w:rsidR="00897C1E" w:rsidRPr="00CB5D8B" w:rsidTr="008E57A0">
        <w:trPr>
          <w:trHeight w:val="288"/>
          <w:jc w:val="right"/>
        </w:trPr>
        <w:tc>
          <w:tcPr>
            <w:tcW w:w="2142" w:type="dxa"/>
            <w:tcBorders>
              <w:top w:val="single" w:sz="4" w:space="0" w:color="auto"/>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jc w:val="left"/>
              <w:rPr>
                <w:rFonts w:cs="Arial"/>
                <w:color w:val="000000"/>
                <w:sz w:val="16"/>
                <w:szCs w:val="16"/>
                <w:lang w:eastAsia="en-AU" w:bidi="ar-SA"/>
              </w:rPr>
            </w:pPr>
            <w:r w:rsidRPr="00CB5D8B">
              <w:rPr>
                <w:rFonts w:cs="Arial"/>
                <w:color w:val="000000"/>
                <w:sz w:val="16"/>
                <w:szCs w:val="16"/>
                <w:lang w:eastAsia="en-AU" w:bidi="ar-SA"/>
              </w:rPr>
              <w:t xml:space="preserve">Application for exemption rejected (c) </w:t>
            </w:r>
          </w:p>
        </w:tc>
        <w:tc>
          <w:tcPr>
            <w:tcW w:w="992" w:type="dxa"/>
            <w:tcBorders>
              <w:top w:val="single" w:sz="4" w:space="0" w:color="auto"/>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8.2</w:t>
            </w:r>
          </w:p>
        </w:tc>
        <w:tc>
          <w:tcPr>
            <w:tcW w:w="850" w:type="dxa"/>
            <w:tcBorders>
              <w:top w:val="single" w:sz="4" w:space="0" w:color="auto"/>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10.4</w:t>
            </w:r>
          </w:p>
        </w:tc>
        <w:tc>
          <w:tcPr>
            <w:tcW w:w="284" w:type="dxa"/>
            <w:tcBorders>
              <w:top w:val="single" w:sz="4" w:space="0" w:color="auto"/>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850" w:type="dxa"/>
            <w:tcBorders>
              <w:top w:val="single" w:sz="4" w:space="0" w:color="auto"/>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0.0</w:t>
            </w:r>
          </w:p>
        </w:tc>
        <w:tc>
          <w:tcPr>
            <w:tcW w:w="714" w:type="dxa"/>
            <w:tcBorders>
              <w:top w:val="single" w:sz="4" w:space="0" w:color="auto"/>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2.5</w:t>
            </w:r>
          </w:p>
        </w:tc>
        <w:tc>
          <w:tcPr>
            <w:tcW w:w="279" w:type="dxa"/>
            <w:tcBorders>
              <w:top w:val="single" w:sz="4" w:space="0" w:color="auto"/>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850" w:type="dxa"/>
            <w:tcBorders>
              <w:top w:val="single" w:sz="4" w:space="0" w:color="auto"/>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14.2</w:t>
            </w:r>
          </w:p>
        </w:tc>
        <w:tc>
          <w:tcPr>
            <w:tcW w:w="709" w:type="dxa"/>
            <w:tcBorders>
              <w:top w:val="single" w:sz="4" w:space="0" w:color="auto"/>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12.3</w:t>
            </w:r>
          </w:p>
        </w:tc>
      </w:tr>
      <w:tr w:rsidR="00897C1E" w:rsidRPr="00CB5D8B" w:rsidTr="008E57A0">
        <w:trPr>
          <w:trHeight w:val="288"/>
          <w:jc w:val="right"/>
        </w:trPr>
        <w:tc>
          <w:tcPr>
            <w:tcW w:w="2142" w:type="dxa"/>
            <w:tcBorders>
              <w:top w:val="nil"/>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jc w:val="left"/>
              <w:rPr>
                <w:rFonts w:cs="Arial"/>
                <w:color w:val="000000"/>
                <w:sz w:val="16"/>
                <w:szCs w:val="16"/>
                <w:lang w:eastAsia="en-AU" w:bidi="ar-SA"/>
              </w:rPr>
            </w:pPr>
            <w:r w:rsidRPr="00CB5D8B">
              <w:rPr>
                <w:rFonts w:cs="Arial"/>
                <w:color w:val="000000"/>
                <w:sz w:val="16"/>
                <w:szCs w:val="16"/>
                <w:lang w:eastAsia="en-AU" w:bidi="ar-SA"/>
              </w:rPr>
              <w:t>Group as share of total IM population / sample (d)</w:t>
            </w:r>
          </w:p>
        </w:tc>
        <w:tc>
          <w:tcPr>
            <w:tcW w:w="992" w:type="dxa"/>
            <w:tcBorders>
              <w:top w:val="nil"/>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66.1</w:t>
            </w:r>
          </w:p>
        </w:tc>
        <w:tc>
          <w:tcPr>
            <w:tcW w:w="850" w:type="dxa"/>
            <w:tcBorders>
              <w:top w:val="nil"/>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54.2</w:t>
            </w:r>
          </w:p>
        </w:tc>
        <w:tc>
          <w:tcPr>
            <w:tcW w:w="284" w:type="dxa"/>
            <w:tcBorders>
              <w:top w:val="nil"/>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850" w:type="dxa"/>
            <w:tcBorders>
              <w:top w:val="nil"/>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24.3</w:t>
            </w:r>
          </w:p>
        </w:tc>
        <w:tc>
          <w:tcPr>
            <w:tcW w:w="714" w:type="dxa"/>
            <w:tcBorders>
              <w:top w:val="nil"/>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21.3</w:t>
            </w:r>
          </w:p>
        </w:tc>
        <w:tc>
          <w:tcPr>
            <w:tcW w:w="279" w:type="dxa"/>
            <w:tcBorders>
              <w:top w:val="nil"/>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850" w:type="dxa"/>
            <w:tcBorders>
              <w:top w:val="nil"/>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9.5</w:t>
            </w:r>
          </w:p>
        </w:tc>
        <w:tc>
          <w:tcPr>
            <w:tcW w:w="709" w:type="dxa"/>
            <w:tcBorders>
              <w:top w:val="nil"/>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24.7</w:t>
            </w:r>
          </w:p>
        </w:tc>
      </w:tr>
    </w:tbl>
    <w:p w:rsidR="001E45BF" w:rsidRDefault="001E45BF" w:rsidP="00CF78DB">
      <w:pPr>
        <w:pStyle w:val="tablefootnotes"/>
      </w:pPr>
      <w:r>
        <w:t>Notes:</w:t>
      </w:r>
      <w:r w:rsidDel="001E45BF">
        <w:t xml:space="preserve"> </w:t>
      </w:r>
    </w:p>
    <w:p w:rsidR="00897C1E" w:rsidRPr="005911E2" w:rsidRDefault="00897C1E" w:rsidP="00CF78DB">
      <w:pPr>
        <w:pStyle w:val="tablefootnotes"/>
      </w:pPr>
      <w:r w:rsidRPr="005911E2">
        <w:t xml:space="preserve">(a) </w:t>
      </w:r>
      <w:r w:rsidRPr="005911E2">
        <w:tab/>
        <w:t xml:space="preserve">All forms of compulsory </w:t>
      </w:r>
      <w:r w:rsidR="00F878E4">
        <w:t>income management</w:t>
      </w:r>
      <w:r w:rsidR="00CB5D8B">
        <w:t>.</w:t>
      </w:r>
    </w:p>
    <w:p w:rsidR="00897C1E" w:rsidRPr="005911E2" w:rsidRDefault="00897C1E" w:rsidP="00CF78DB">
      <w:pPr>
        <w:pStyle w:val="tablefootnotes"/>
      </w:pPr>
      <w:r w:rsidRPr="005911E2">
        <w:t xml:space="preserve">(b) </w:t>
      </w:r>
      <w:r w:rsidRPr="005911E2">
        <w:tab/>
        <w:t xml:space="preserve">All forms of </w:t>
      </w:r>
      <w:r w:rsidR="00F878E4">
        <w:t>income management</w:t>
      </w:r>
      <w:r w:rsidR="00CB5D8B">
        <w:t>.</w:t>
      </w:r>
    </w:p>
    <w:p w:rsidR="00897C1E" w:rsidRPr="005911E2" w:rsidRDefault="00897C1E" w:rsidP="00CF78DB">
      <w:pPr>
        <w:pStyle w:val="tablefootnotes"/>
      </w:pPr>
      <w:r w:rsidRPr="005911E2">
        <w:t xml:space="preserve">(c) </w:t>
      </w:r>
      <w:r w:rsidRPr="005911E2">
        <w:tab/>
        <w:t xml:space="preserve">Population </w:t>
      </w:r>
      <w:r w:rsidR="00ED38A8">
        <w:t>results</w:t>
      </w:r>
      <w:r w:rsidR="00ED38A8" w:rsidRPr="005911E2">
        <w:t xml:space="preserve"> </w:t>
      </w:r>
      <w:r w:rsidR="00ED38A8">
        <w:t xml:space="preserve">count </w:t>
      </w:r>
      <w:r w:rsidRPr="005911E2">
        <w:t xml:space="preserve">those who have withdrawn </w:t>
      </w:r>
      <w:r w:rsidR="00ED38A8">
        <w:t xml:space="preserve">an application for </w:t>
      </w:r>
      <w:r w:rsidR="00F34C94">
        <w:t>exemption</w:t>
      </w:r>
      <w:r w:rsidR="00F34C94" w:rsidRPr="005911E2">
        <w:t xml:space="preserve"> or</w:t>
      </w:r>
      <w:r w:rsidRPr="005911E2">
        <w:t xml:space="preserve"> have </w:t>
      </w:r>
      <w:r w:rsidR="00ED38A8">
        <w:t xml:space="preserve">had an application for </w:t>
      </w:r>
      <w:r w:rsidR="00F34C94">
        <w:t xml:space="preserve">exemption </w:t>
      </w:r>
      <w:r w:rsidR="00F34C94" w:rsidRPr="005911E2">
        <w:t>rejected</w:t>
      </w:r>
      <w:r w:rsidR="00ED38A8">
        <w:t>. Su</w:t>
      </w:r>
      <w:r w:rsidRPr="005911E2">
        <w:t xml:space="preserve">rvey </w:t>
      </w:r>
      <w:r w:rsidR="00ED38A8">
        <w:t xml:space="preserve">results </w:t>
      </w:r>
      <w:r w:rsidR="00F34C94">
        <w:t>are</w:t>
      </w:r>
      <w:r w:rsidR="00ED38A8" w:rsidRPr="005911E2">
        <w:t xml:space="preserve"> </w:t>
      </w:r>
      <w:r w:rsidRPr="005911E2">
        <w:t xml:space="preserve">those who report </w:t>
      </w:r>
      <w:r w:rsidR="00D44E1D">
        <w:t>‘</w:t>
      </w:r>
      <w:r w:rsidRPr="005911E2">
        <w:t>Told me no/couldn't do it</w:t>
      </w:r>
      <w:r w:rsidR="00D44E1D">
        <w:t>’</w:t>
      </w:r>
      <w:r w:rsidR="00CB5D8B">
        <w:t>.</w:t>
      </w:r>
    </w:p>
    <w:p w:rsidR="00897C1E" w:rsidRPr="005911E2" w:rsidRDefault="00897C1E" w:rsidP="00CF78DB">
      <w:pPr>
        <w:pStyle w:val="tablefootnotes"/>
      </w:pPr>
      <w:r w:rsidRPr="005911E2">
        <w:t xml:space="preserve">(d) </w:t>
      </w:r>
      <w:r w:rsidRPr="005911E2">
        <w:tab/>
        <w:t xml:space="preserve">The survey deliberately oversampled non-Indigenous people subject to </w:t>
      </w:r>
      <w:r w:rsidR="00F878E4">
        <w:t>income management</w:t>
      </w:r>
      <w:r w:rsidRPr="005911E2">
        <w:t>.</w:t>
      </w:r>
    </w:p>
    <w:p w:rsidR="00897C1E" w:rsidRPr="005911E2" w:rsidRDefault="00897C1E" w:rsidP="00CB5D8B">
      <w:pPr>
        <w:pStyle w:val="tablefootnoteslastline"/>
      </w:pPr>
      <w:r w:rsidRPr="005911E2">
        <w:t>Source:</w:t>
      </w:r>
      <w:r w:rsidR="00CB5D8B">
        <w:tab/>
      </w:r>
      <w:r w:rsidRPr="005911E2">
        <w:t>LSNIM, Wave 1.</w:t>
      </w:r>
    </w:p>
    <w:p w:rsidR="00897C1E" w:rsidRPr="005911E2" w:rsidRDefault="00897C1E" w:rsidP="00616B0F">
      <w:pPr>
        <w:pStyle w:val="Heading2"/>
      </w:pPr>
      <w:bookmarkStart w:id="984" w:name="_Toc328948084"/>
      <w:bookmarkStart w:id="985" w:name="_Toc322470831"/>
      <w:bookmarkStart w:id="986" w:name="_Toc328601529"/>
      <w:bookmarkStart w:id="987" w:name="_Toc329870410"/>
      <w:bookmarkStart w:id="988" w:name="_Toc335915796"/>
      <w:bookmarkEnd w:id="984"/>
      <w:r w:rsidRPr="005911E2">
        <w:t>The socio-economic and demographic characteristics of the survey population</w:t>
      </w:r>
      <w:bookmarkEnd w:id="985"/>
      <w:bookmarkEnd w:id="986"/>
      <w:bookmarkEnd w:id="987"/>
      <w:bookmarkEnd w:id="988"/>
    </w:p>
    <w:p w:rsidR="00897C1E" w:rsidRPr="005911E2" w:rsidRDefault="00897C1E" w:rsidP="00897C1E">
      <w:pPr>
        <w:pStyle w:val="BodyText"/>
        <w:rPr>
          <w:lang w:eastAsia="en-US"/>
        </w:rPr>
      </w:pPr>
      <w:r w:rsidRPr="005911E2">
        <w:rPr>
          <w:lang w:eastAsia="en-US"/>
        </w:rPr>
        <w:t>This section considers the circumstances and some experiences of the survey population in more detail.</w:t>
      </w:r>
    </w:p>
    <w:p w:rsidR="00897C1E" w:rsidRPr="005911E2" w:rsidRDefault="00897C1E" w:rsidP="00BD6DFD">
      <w:pPr>
        <w:pStyle w:val="Heading3"/>
      </w:pPr>
      <w:r w:rsidRPr="005911E2">
        <w:t xml:space="preserve">Comparison of </w:t>
      </w:r>
      <w:r w:rsidR="00F878E4">
        <w:t>income management</w:t>
      </w:r>
      <w:r w:rsidRPr="005911E2">
        <w:t xml:space="preserve"> and contrast population</w:t>
      </w:r>
    </w:p>
    <w:p w:rsidR="00897C1E" w:rsidRPr="005911E2" w:rsidRDefault="006F14AA" w:rsidP="00897C1E">
      <w:pPr>
        <w:pStyle w:val="BodyText"/>
        <w:rPr>
          <w:lang w:bidi="ar-SA"/>
        </w:rPr>
      </w:pPr>
      <w:r w:rsidRPr="005911E2">
        <w:t xml:space="preserve">Table </w:t>
      </w:r>
      <w:r w:rsidRPr="005911E2">
        <w:rPr>
          <w:noProof/>
        </w:rPr>
        <w:t>10</w:t>
      </w:r>
      <w:r w:rsidRPr="005911E2">
        <w:noBreakHyphen/>
      </w:r>
      <w:r w:rsidRPr="005911E2">
        <w:rPr>
          <w:noProof/>
        </w:rPr>
        <w:t>2</w:t>
      </w:r>
      <w:r w:rsidR="00EB0967" w:rsidRPr="005911E2">
        <w:rPr>
          <w:lang w:bidi="ar-SA"/>
        </w:rPr>
        <w:t xml:space="preserve"> </w:t>
      </w:r>
      <w:r w:rsidR="00897C1E" w:rsidRPr="005911E2">
        <w:rPr>
          <w:lang w:bidi="ar-SA"/>
        </w:rPr>
        <w:t xml:space="preserve">describes key demographic features of the LSNIM population subject to </w:t>
      </w:r>
      <w:r w:rsidR="00F878E4">
        <w:rPr>
          <w:lang w:bidi="ar-SA"/>
        </w:rPr>
        <w:t>income management</w:t>
      </w:r>
      <w:r w:rsidR="00897C1E" w:rsidRPr="005911E2">
        <w:rPr>
          <w:lang w:bidi="ar-SA"/>
        </w:rPr>
        <w:t xml:space="preserve"> and the contrast populations.</w:t>
      </w:r>
    </w:p>
    <w:p w:rsidR="00657163" w:rsidRDefault="00897C1E" w:rsidP="00897C1E">
      <w:pPr>
        <w:pStyle w:val="BodyText"/>
        <w:rPr>
          <w:lang w:bidi="ar-SA"/>
        </w:rPr>
      </w:pPr>
      <w:r w:rsidRPr="005911E2">
        <w:rPr>
          <w:lang w:bidi="ar-SA"/>
        </w:rPr>
        <w:t xml:space="preserve">The </w:t>
      </w:r>
      <w:r w:rsidR="00772EDE" w:rsidRPr="005911E2">
        <w:rPr>
          <w:lang w:bidi="ar-SA"/>
        </w:rPr>
        <w:t>characteristics of the Indigenous sample in the contrast sites are</w:t>
      </w:r>
      <w:r w:rsidRPr="005911E2">
        <w:rPr>
          <w:lang w:bidi="ar-SA"/>
        </w:rPr>
        <w:t xml:space="preserve"> broadly similar to the Indigenous population subject to </w:t>
      </w:r>
      <w:r w:rsidR="00F878E4">
        <w:rPr>
          <w:lang w:bidi="ar-SA"/>
        </w:rPr>
        <w:t>income management</w:t>
      </w:r>
      <w:r w:rsidRPr="005911E2">
        <w:rPr>
          <w:lang w:bidi="ar-SA"/>
        </w:rPr>
        <w:t xml:space="preserve">. This is not the case for the non-Indigenous population. </w:t>
      </w:r>
    </w:p>
    <w:p w:rsidR="00657163" w:rsidRDefault="00897C1E" w:rsidP="00897C1E">
      <w:pPr>
        <w:pStyle w:val="BodyText"/>
        <w:rPr>
          <w:lang w:bidi="ar-SA"/>
        </w:rPr>
      </w:pPr>
      <w:r w:rsidRPr="005911E2">
        <w:rPr>
          <w:lang w:bidi="ar-SA"/>
        </w:rPr>
        <w:t>The main reason for this is that both the Indigenous and non-Indigenous population in the contrast sites were selected as a sample of all income support recipients. However</w:t>
      </w:r>
      <w:r w:rsidR="00C354F7">
        <w:rPr>
          <w:lang w:bidi="ar-SA"/>
        </w:rPr>
        <w:t>,</w:t>
      </w:r>
      <w:r w:rsidRPr="005911E2">
        <w:rPr>
          <w:lang w:bidi="ar-SA"/>
        </w:rPr>
        <w:t xml:space="preserve"> the incidence of </w:t>
      </w:r>
      <w:r w:rsidR="00F878E4">
        <w:rPr>
          <w:lang w:bidi="ar-SA"/>
        </w:rPr>
        <w:t>income management</w:t>
      </w:r>
      <w:r w:rsidRPr="005911E2">
        <w:rPr>
          <w:lang w:bidi="ar-SA"/>
        </w:rPr>
        <w:t xml:space="preserve"> across income support categories varies considerably between Indigenous and non-Indigenous people.</w:t>
      </w:r>
      <w:r w:rsidR="00B62B2D">
        <w:rPr>
          <w:lang w:bidi="ar-SA"/>
        </w:rPr>
        <w:t xml:space="preserve"> </w:t>
      </w:r>
      <w:r w:rsidRPr="005911E2">
        <w:rPr>
          <w:lang w:bidi="ar-SA"/>
        </w:rPr>
        <w:t xml:space="preserve">As has been seen earlier a very high proportion of Indigenous income support recipients are on </w:t>
      </w:r>
      <w:r w:rsidR="00F878E4">
        <w:rPr>
          <w:lang w:bidi="ar-SA"/>
        </w:rPr>
        <w:t>income management</w:t>
      </w:r>
      <w:r w:rsidRPr="005911E2">
        <w:rPr>
          <w:lang w:bidi="ar-SA"/>
        </w:rPr>
        <w:t>, and hence it would be anticipated that the characteristics of this group will be similar to the population of income support recipients as a whole.</w:t>
      </w:r>
      <w:r w:rsidR="00B62B2D">
        <w:rPr>
          <w:lang w:bidi="ar-SA"/>
        </w:rPr>
        <w:t xml:space="preserve"> </w:t>
      </w:r>
      <w:r w:rsidR="00C354F7">
        <w:rPr>
          <w:lang w:bidi="ar-SA"/>
        </w:rPr>
        <w:t>By comparison,</w:t>
      </w:r>
      <w:r w:rsidR="00B62B2D">
        <w:rPr>
          <w:lang w:bidi="ar-SA"/>
        </w:rPr>
        <w:t xml:space="preserve"> </w:t>
      </w:r>
      <w:r w:rsidR="00C354F7" w:rsidRPr="005911E2">
        <w:rPr>
          <w:lang w:bidi="ar-SA"/>
        </w:rPr>
        <w:t xml:space="preserve">the rate of </w:t>
      </w:r>
      <w:r w:rsidR="00C354F7">
        <w:rPr>
          <w:lang w:bidi="ar-SA"/>
        </w:rPr>
        <w:t>income management</w:t>
      </w:r>
      <w:r w:rsidR="00C354F7" w:rsidRPr="005911E2">
        <w:rPr>
          <w:lang w:bidi="ar-SA"/>
        </w:rPr>
        <w:t xml:space="preserve"> </w:t>
      </w:r>
      <w:r w:rsidRPr="005911E2">
        <w:rPr>
          <w:lang w:bidi="ar-SA"/>
        </w:rPr>
        <w:t>amongst the non-Indigenous population varies considerably</w:t>
      </w:r>
      <w:r w:rsidR="00C354F7">
        <w:rPr>
          <w:lang w:bidi="ar-SA"/>
        </w:rPr>
        <w:t>,</w:t>
      </w:r>
      <w:r w:rsidRPr="005911E2">
        <w:rPr>
          <w:lang w:bidi="ar-SA"/>
        </w:rPr>
        <w:t xml:space="preserve"> depend</w:t>
      </w:r>
      <w:r w:rsidR="00C354F7">
        <w:rPr>
          <w:lang w:bidi="ar-SA"/>
        </w:rPr>
        <w:t>ing</w:t>
      </w:r>
      <w:r w:rsidRPr="005911E2">
        <w:rPr>
          <w:lang w:bidi="ar-SA"/>
        </w:rPr>
        <w:t xml:space="preserve"> upon the particular type of income support </w:t>
      </w:r>
      <w:r w:rsidR="00C354F7">
        <w:rPr>
          <w:lang w:bidi="ar-SA"/>
        </w:rPr>
        <w:t>claimed</w:t>
      </w:r>
      <w:r w:rsidRPr="005911E2">
        <w:rPr>
          <w:lang w:bidi="ar-SA"/>
        </w:rPr>
        <w:t xml:space="preserve">, and the degree of success particular subgroups </w:t>
      </w:r>
      <w:r w:rsidR="00C354F7">
        <w:rPr>
          <w:lang w:bidi="ar-SA"/>
        </w:rPr>
        <w:t xml:space="preserve">have </w:t>
      </w:r>
      <w:r w:rsidRPr="005911E2">
        <w:rPr>
          <w:lang w:bidi="ar-SA"/>
        </w:rPr>
        <w:t>in achieving exemptions.</w:t>
      </w:r>
      <w:r w:rsidR="00B62B2D">
        <w:rPr>
          <w:lang w:bidi="ar-SA"/>
        </w:rPr>
        <w:t xml:space="preserve"> </w:t>
      </w:r>
    </w:p>
    <w:p w:rsidR="00E15AAB" w:rsidRDefault="00E15AAB" w:rsidP="00E15AAB">
      <w:pPr>
        <w:pStyle w:val="BodyText"/>
        <w:rPr>
          <w:lang w:bidi="ar-SA"/>
        </w:rPr>
      </w:pPr>
      <w:r w:rsidRPr="005911E2">
        <w:rPr>
          <w:lang w:bidi="ar-SA"/>
        </w:rPr>
        <w:t xml:space="preserve">These factors led to a marked difference in the composition of the </w:t>
      </w:r>
      <w:r>
        <w:rPr>
          <w:lang w:bidi="ar-SA"/>
        </w:rPr>
        <w:t>income managed</w:t>
      </w:r>
      <w:r w:rsidRPr="005911E2">
        <w:rPr>
          <w:lang w:bidi="ar-SA"/>
        </w:rPr>
        <w:t xml:space="preserve"> population relative to the income support population. In particular</w:t>
      </w:r>
      <w:r>
        <w:rPr>
          <w:lang w:bidi="ar-SA"/>
        </w:rPr>
        <w:t>,</w:t>
      </w:r>
      <w:r w:rsidRPr="005911E2">
        <w:rPr>
          <w:lang w:bidi="ar-SA"/>
        </w:rPr>
        <w:t xml:space="preserve"> while some 54 per cent of the non-Indigenous income support population is aged over 65 years</w:t>
      </w:r>
      <w:r>
        <w:rPr>
          <w:lang w:bidi="ar-SA"/>
        </w:rPr>
        <w:t>,</w:t>
      </w:r>
      <w:r w:rsidRPr="005911E2">
        <w:rPr>
          <w:lang w:bidi="ar-SA"/>
        </w:rPr>
        <w:t xml:space="preserve"> none of the LSNIM </w:t>
      </w:r>
      <w:r>
        <w:rPr>
          <w:lang w:bidi="ar-SA"/>
        </w:rPr>
        <w:t xml:space="preserve">‘Compulsory’ income management </w:t>
      </w:r>
      <w:r w:rsidRPr="005911E2">
        <w:rPr>
          <w:lang w:bidi="ar-SA"/>
        </w:rPr>
        <w:t xml:space="preserve">population are in this age group. Even when the </w:t>
      </w:r>
      <w:r>
        <w:rPr>
          <w:lang w:bidi="ar-SA"/>
        </w:rPr>
        <w:t>Voluntary Income Management</w:t>
      </w:r>
      <w:r w:rsidRPr="005911E2">
        <w:rPr>
          <w:lang w:bidi="ar-SA"/>
        </w:rPr>
        <w:t xml:space="preserve"> population is added</w:t>
      </w:r>
      <w:r>
        <w:rPr>
          <w:lang w:bidi="ar-SA"/>
        </w:rPr>
        <w:t>,</w:t>
      </w:r>
      <w:r w:rsidRPr="005911E2">
        <w:rPr>
          <w:lang w:bidi="ar-SA"/>
        </w:rPr>
        <w:t xml:space="preserve"> it only increases to 0.5 per cent. This is also reflected in other characteristics such as family composition.</w:t>
      </w:r>
    </w:p>
    <w:p w:rsidR="00CB5D8B" w:rsidRPr="005911E2" w:rsidRDefault="00CB5D8B" w:rsidP="00CB5D8B">
      <w:pPr>
        <w:pStyle w:val="BodyText"/>
        <w:rPr>
          <w:lang w:bidi="ar-SA"/>
        </w:rPr>
      </w:pPr>
      <w:r w:rsidRPr="005911E2">
        <w:rPr>
          <w:lang w:bidi="ar-SA"/>
        </w:rPr>
        <w:t xml:space="preserve">These differences suggest that the direct comparisons between relative outcomes for the Indigenous </w:t>
      </w:r>
      <w:r>
        <w:rPr>
          <w:lang w:bidi="ar-SA"/>
        </w:rPr>
        <w:t>income managed</w:t>
      </w:r>
      <w:r w:rsidRPr="005911E2">
        <w:rPr>
          <w:lang w:bidi="ar-SA"/>
        </w:rPr>
        <w:t xml:space="preserve"> and contrast population</w:t>
      </w:r>
      <w:r>
        <w:rPr>
          <w:lang w:bidi="ar-SA"/>
        </w:rPr>
        <w:t>s</w:t>
      </w:r>
      <w:r w:rsidRPr="005911E2">
        <w:rPr>
          <w:lang w:bidi="ar-SA"/>
        </w:rPr>
        <w:t xml:space="preserve"> can be relatively easily interpreted. However</w:t>
      </w:r>
      <w:r>
        <w:rPr>
          <w:lang w:bidi="ar-SA"/>
        </w:rPr>
        <w:t>,</w:t>
      </w:r>
      <w:r w:rsidRPr="005911E2">
        <w:rPr>
          <w:lang w:bidi="ar-SA"/>
        </w:rPr>
        <w:t xml:space="preserve"> for the non-Indigenous population greater reliance will need to be placed on multivariate approaches, and even these may have some difficulties in surmounting the considerable differences in composition of the two populations.</w:t>
      </w:r>
    </w:p>
    <w:p w:rsidR="00CB5D8B" w:rsidRPr="005911E2" w:rsidRDefault="00CB5D8B" w:rsidP="00CB5D8B">
      <w:pPr>
        <w:pStyle w:val="BodyText"/>
        <w:rPr>
          <w:lang w:bidi="ar-SA"/>
        </w:rPr>
      </w:pPr>
      <w:r w:rsidRPr="005911E2">
        <w:rPr>
          <w:lang w:bidi="ar-SA"/>
        </w:rPr>
        <w:t xml:space="preserve">The data in the table also allows for some additional insights into the characteristics of the </w:t>
      </w:r>
      <w:r>
        <w:rPr>
          <w:lang w:bidi="ar-SA"/>
        </w:rPr>
        <w:t>income managed</w:t>
      </w:r>
      <w:r w:rsidRPr="005911E2">
        <w:rPr>
          <w:lang w:bidi="ar-SA"/>
        </w:rPr>
        <w:t xml:space="preserve"> population which are not possible from the administrative data used in Chapter 4.</w:t>
      </w:r>
    </w:p>
    <w:p w:rsidR="00CB5D8B" w:rsidRPr="005911E2" w:rsidRDefault="00CB5D8B" w:rsidP="00E15AAB">
      <w:pPr>
        <w:pStyle w:val="BodyText"/>
        <w:rPr>
          <w:lang w:bidi="ar-SA"/>
        </w:rPr>
      </w:pPr>
    </w:p>
    <w:p w:rsidR="00897C1E" w:rsidRPr="005911E2" w:rsidRDefault="00897C1E" w:rsidP="00897C1E">
      <w:pPr>
        <w:pStyle w:val="tabfighead"/>
      </w:pPr>
      <w:bookmarkStart w:id="989" w:name="_Ref323940632"/>
      <w:bookmarkStart w:id="990" w:name="_Toc322470918"/>
      <w:bookmarkStart w:id="991" w:name="_Toc328601630"/>
      <w:bookmarkStart w:id="992" w:name="_Toc329051408"/>
      <w:bookmarkStart w:id="993" w:name="_Toc335915896"/>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10</w:t>
      </w:r>
      <w:r w:rsidR="00C7347D" w:rsidRPr="005911E2">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2</w:t>
      </w:r>
      <w:r w:rsidR="00C7347D" w:rsidRPr="005911E2">
        <w:fldChar w:fldCharType="end"/>
      </w:r>
      <w:bookmarkEnd w:id="989"/>
      <w:r w:rsidRPr="005911E2">
        <w:tab/>
        <w:t>LSNIM</w:t>
      </w:r>
      <w:r w:rsidR="006435C8">
        <w:t xml:space="preserve"> Northern Territory </w:t>
      </w:r>
      <w:r w:rsidRPr="005911E2">
        <w:t>and contrast sites</w:t>
      </w:r>
      <w:r w:rsidR="00EB68B7">
        <w:t>,</w:t>
      </w:r>
      <w:r w:rsidRPr="005911E2">
        <w:t xml:space="preserve"> survey participants</w:t>
      </w:r>
      <w:r w:rsidR="00593501">
        <w:t xml:space="preserve"> –</w:t>
      </w:r>
      <w:r w:rsidRPr="005911E2">
        <w:t xml:space="preserve"> demographic and socio-economic </w:t>
      </w:r>
      <w:bookmarkEnd w:id="990"/>
      <w:r w:rsidR="00614538" w:rsidRPr="005911E2">
        <w:t>characteristics</w:t>
      </w:r>
      <w:bookmarkEnd w:id="991"/>
      <w:bookmarkEnd w:id="992"/>
      <w:bookmarkEnd w:id="993"/>
      <w:r w:rsidR="00614538">
        <w:t xml:space="preserve"> </w:t>
      </w:r>
    </w:p>
    <w:tbl>
      <w:tblPr>
        <w:tblW w:w="4920" w:type="pct"/>
        <w:tblLayout w:type="fixed"/>
        <w:tblLook w:val="0000" w:firstRow="0" w:lastRow="0" w:firstColumn="0" w:lastColumn="0" w:noHBand="0" w:noVBand="0"/>
      </w:tblPr>
      <w:tblGrid>
        <w:gridCol w:w="2660"/>
        <w:gridCol w:w="788"/>
        <w:gridCol w:w="850"/>
        <w:gridCol w:w="236"/>
        <w:gridCol w:w="721"/>
        <w:gridCol w:w="712"/>
        <w:gridCol w:w="236"/>
        <w:gridCol w:w="822"/>
        <w:gridCol w:w="313"/>
        <w:gridCol w:w="854"/>
        <w:gridCol w:w="757"/>
      </w:tblGrid>
      <w:tr w:rsidR="00897C1E" w:rsidRPr="00911315" w:rsidTr="00F104E9">
        <w:trPr>
          <w:trHeight w:val="290"/>
        </w:trPr>
        <w:tc>
          <w:tcPr>
            <w:tcW w:w="1486" w:type="pct"/>
            <w:tcBorders>
              <w:top w:val="single" w:sz="6" w:space="0" w:color="auto"/>
              <w:left w:val="nil"/>
              <w:bottom w:val="nil"/>
              <w:right w:val="nil"/>
            </w:tcBorders>
            <w:vAlign w:val="bottom"/>
          </w:tcPr>
          <w:p w:rsidR="00897C1E" w:rsidRPr="00911315" w:rsidRDefault="00897C1E" w:rsidP="00F104E9">
            <w:pPr>
              <w:pStyle w:val="braytabletext"/>
              <w:rPr>
                <w:szCs w:val="16"/>
              </w:rPr>
            </w:pPr>
          </w:p>
        </w:tc>
        <w:tc>
          <w:tcPr>
            <w:tcW w:w="2439" w:type="pct"/>
            <w:gridSpan w:val="7"/>
            <w:tcBorders>
              <w:top w:val="single" w:sz="6" w:space="0" w:color="auto"/>
              <w:left w:val="nil"/>
              <w:bottom w:val="single" w:sz="6" w:space="0" w:color="auto"/>
              <w:right w:val="nil"/>
            </w:tcBorders>
            <w:vAlign w:val="bottom"/>
          </w:tcPr>
          <w:p w:rsidR="00897C1E" w:rsidRPr="00911315" w:rsidRDefault="00897C1E" w:rsidP="003A7987">
            <w:pPr>
              <w:pStyle w:val="braytabletext"/>
              <w:rPr>
                <w:szCs w:val="16"/>
              </w:rPr>
            </w:pPr>
            <w:r w:rsidRPr="00911315">
              <w:rPr>
                <w:szCs w:val="16"/>
              </w:rPr>
              <w:t xml:space="preserve">Northern Territory </w:t>
            </w:r>
            <w:r w:rsidR="003A7987">
              <w:rPr>
                <w:szCs w:val="16"/>
              </w:rPr>
              <w:t>income managed</w:t>
            </w:r>
          </w:p>
        </w:tc>
        <w:tc>
          <w:tcPr>
            <w:tcW w:w="175" w:type="pct"/>
            <w:tcBorders>
              <w:top w:val="single" w:sz="6" w:space="0" w:color="auto"/>
              <w:left w:val="nil"/>
              <w:bottom w:val="nil"/>
              <w:right w:val="nil"/>
            </w:tcBorders>
            <w:vAlign w:val="bottom"/>
          </w:tcPr>
          <w:p w:rsidR="00897C1E" w:rsidRPr="00911315" w:rsidRDefault="00897C1E" w:rsidP="00F104E9">
            <w:pPr>
              <w:pStyle w:val="braytabletext"/>
              <w:rPr>
                <w:szCs w:val="16"/>
              </w:rPr>
            </w:pPr>
          </w:p>
        </w:tc>
        <w:tc>
          <w:tcPr>
            <w:tcW w:w="900" w:type="pct"/>
            <w:gridSpan w:val="2"/>
            <w:tcBorders>
              <w:top w:val="single" w:sz="6" w:space="0" w:color="auto"/>
              <w:left w:val="nil"/>
              <w:bottom w:val="single" w:sz="6" w:space="0" w:color="auto"/>
              <w:right w:val="nil"/>
            </w:tcBorders>
            <w:vAlign w:val="bottom"/>
          </w:tcPr>
          <w:p w:rsidR="00897C1E" w:rsidRPr="00911315" w:rsidRDefault="00897C1E" w:rsidP="00F104E9">
            <w:pPr>
              <w:pStyle w:val="braytabletext"/>
              <w:rPr>
                <w:szCs w:val="16"/>
              </w:rPr>
            </w:pPr>
            <w:r w:rsidRPr="00911315">
              <w:rPr>
                <w:szCs w:val="16"/>
              </w:rPr>
              <w:t>Contrast sites</w:t>
            </w:r>
          </w:p>
        </w:tc>
      </w:tr>
      <w:tr w:rsidR="00897C1E" w:rsidRPr="00911315" w:rsidTr="00F104E9">
        <w:trPr>
          <w:trHeight w:val="290"/>
        </w:trPr>
        <w:tc>
          <w:tcPr>
            <w:tcW w:w="1486" w:type="pct"/>
            <w:tcBorders>
              <w:top w:val="nil"/>
              <w:left w:val="nil"/>
              <w:bottom w:val="nil"/>
              <w:right w:val="nil"/>
            </w:tcBorders>
            <w:vAlign w:val="bottom"/>
          </w:tcPr>
          <w:p w:rsidR="00897C1E" w:rsidRPr="00911315" w:rsidRDefault="00897C1E" w:rsidP="00F104E9">
            <w:pPr>
              <w:pStyle w:val="braytabletext"/>
              <w:rPr>
                <w:szCs w:val="16"/>
              </w:rPr>
            </w:pPr>
          </w:p>
        </w:tc>
        <w:tc>
          <w:tcPr>
            <w:tcW w:w="1848" w:type="pct"/>
            <w:gridSpan w:val="5"/>
            <w:tcBorders>
              <w:top w:val="single" w:sz="6" w:space="0" w:color="auto"/>
              <w:left w:val="nil"/>
              <w:bottom w:val="single" w:sz="6" w:space="0" w:color="auto"/>
              <w:right w:val="nil"/>
            </w:tcBorders>
          </w:tcPr>
          <w:p w:rsidR="00897C1E" w:rsidRPr="00911315" w:rsidRDefault="00897C1E" w:rsidP="00F104E9">
            <w:pPr>
              <w:pStyle w:val="braytabletext"/>
              <w:rPr>
                <w:szCs w:val="16"/>
              </w:rPr>
            </w:pPr>
            <w:r w:rsidRPr="00911315">
              <w:rPr>
                <w:szCs w:val="16"/>
              </w:rPr>
              <w:t>Indigenous</w:t>
            </w:r>
          </w:p>
        </w:tc>
        <w:tc>
          <w:tcPr>
            <w:tcW w:w="132" w:type="pct"/>
            <w:tcBorders>
              <w:top w:val="single" w:sz="6" w:space="0" w:color="auto"/>
              <w:left w:val="nil"/>
              <w:bottom w:val="nil"/>
              <w:right w:val="nil"/>
            </w:tcBorders>
            <w:vAlign w:val="bottom"/>
          </w:tcPr>
          <w:p w:rsidR="00897C1E" w:rsidRPr="00911315" w:rsidRDefault="00897C1E" w:rsidP="00F104E9">
            <w:pPr>
              <w:pStyle w:val="braytabletext"/>
              <w:jc w:val="right"/>
              <w:rPr>
                <w:szCs w:val="16"/>
              </w:rPr>
            </w:pPr>
          </w:p>
        </w:tc>
        <w:tc>
          <w:tcPr>
            <w:tcW w:w="459" w:type="pct"/>
            <w:tcBorders>
              <w:top w:val="single" w:sz="6" w:space="0" w:color="auto"/>
              <w:left w:val="nil"/>
              <w:bottom w:val="single" w:sz="4" w:space="0" w:color="auto"/>
              <w:right w:val="nil"/>
            </w:tcBorders>
            <w:vAlign w:val="bottom"/>
          </w:tcPr>
          <w:p w:rsidR="00897C1E" w:rsidRPr="00911315" w:rsidRDefault="00EB68B7" w:rsidP="008A1D49">
            <w:pPr>
              <w:pStyle w:val="braytabletext"/>
              <w:rPr>
                <w:szCs w:val="16"/>
              </w:rPr>
            </w:pPr>
            <w:r w:rsidRPr="00911315">
              <w:rPr>
                <w:szCs w:val="16"/>
              </w:rPr>
              <w:t>N</w:t>
            </w:r>
            <w:r w:rsidR="00897C1E" w:rsidRPr="00911315">
              <w:rPr>
                <w:szCs w:val="16"/>
              </w:rPr>
              <w:t>on</w:t>
            </w:r>
            <w:r w:rsidRPr="00911315">
              <w:rPr>
                <w:szCs w:val="16"/>
              </w:rPr>
              <w:t>-</w:t>
            </w:r>
            <w:r w:rsidR="00897C1E" w:rsidRPr="00911315">
              <w:rPr>
                <w:szCs w:val="16"/>
              </w:rPr>
              <w:t xml:space="preserve"> Indig-</w:t>
            </w:r>
            <w:r w:rsidR="00614538" w:rsidRPr="00911315">
              <w:rPr>
                <w:szCs w:val="16"/>
              </w:rPr>
              <w:t xml:space="preserve">enous </w:t>
            </w:r>
          </w:p>
        </w:tc>
        <w:tc>
          <w:tcPr>
            <w:tcW w:w="175"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77" w:type="pct"/>
            <w:tcBorders>
              <w:top w:val="single" w:sz="6" w:space="0" w:color="auto"/>
              <w:left w:val="nil"/>
              <w:bottom w:val="nil"/>
              <w:right w:val="nil"/>
            </w:tcBorders>
          </w:tcPr>
          <w:p w:rsidR="00897C1E" w:rsidRPr="00911315" w:rsidRDefault="00897C1E" w:rsidP="00F104E9">
            <w:pPr>
              <w:pStyle w:val="braytabletext"/>
              <w:jc w:val="right"/>
              <w:rPr>
                <w:szCs w:val="16"/>
              </w:rPr>
            </w:pPr>
            <w:r w:rsidRPr="00911315">
              <w:rPr>
                <w:szCs w:val="16"/>
              </w:rPr>
              <w:t>Indig-enous</w:t>
            </w:r>
          </w:p>
        </w:tc>
        <w:tc>
          <w:tcPr>
            <w:tcW w:w="423" w:type="pct"/>
            <w:tcBorders>
              <w:top w:val="single" w:sz="6" w:space="0" w:color="auto"/>
              <w:left w:val="nil"/>
              <w:bottom w:val="nil"/>
              <w:right w:val="nil"/>
            </w:tcBorders>
          </w:tcPr>
          <w:p w:rsidR="00897C1E" w:rsidRPr="00911315" w:rsidRDefault="00657163" w:rsidP="00F104E9">
            <w:pPr>
              <w:pStyle w:val="braytabletext"/>
              <w:jc w:val="right"/>
              <w:rPr>
                <w:szCs w:val="16"/>
              </w:rPr>
            </w:pPr>
            <w:r w:rsidRPr="00911315">
              <w:rPr>
                <w:szCs w:val="16"/>
              </w:rPr>
              <w:t>Non</w:t>
            </w:r>
            <w:r w:rsidR="00897C1E" w:rsidRPr="00911315">
              <w:rPr>
                <w:szCs w:val="16"/>
              </w:rPr>
              <w:t>-Indig-enous</w:t>
            </w:r>
          </w:p>
        </w:tc>
      </w:tr>
      <w:tr w:rsidR="00657163" w:rsidRPr="00911315" w:rsidTr="00657163">
        <w:trPr>
          <w:trHeight w:val="290"/>
        </w:trPr>
        <w:tc>
          <w:tcPr>
            <w:tcW w:w="1486" w:type="pct"/>
            <w:tcBorders>
              <w:top w:val="nil"/>
              <w:left w:val="nil"/>
              <w:bottom w:val="nil"/>
              <w:right w:val="nil"/>
            </w:tcBorders>
            <w:vAlign w:val="bottom"/>
          </w:tcPr>
          <w:p w:rsidR="00657163" w:rsidRPr="00911315" w:rsidRDefault="00657163" w:rsidP="00F104E9">
            <w:pPr>
              <w:pStyle w:val="braytabletext"/>
              <w:rPr>
                <w:szCs w:val="16"/>
              </w:rPr>
            </w:pPr>
          </w:p>
        </w:tc>
        <w:tc>
          <w:tcPr>
            <w:tcW w:w="915" w:type="pct"/>
            <w:gridSpan w:val="2"/>
            <w:tcBorders>
              <w:top w:val="single" w:sz="6" w:space="0" w:color="auto"/>
              <w:left w:val="nil"/>
              <w:bottom w:val="single" w:sz="6" w:space="0" w:color="auto"/>
              <w:right w:val="nil"/>
            </w:tcBorders>
            <w:vAlign w:val="bottom"/>
          </w:tcPr>
          <w:p w:rsidR="00657163" w:rsidRPr="00911315" w:rsidRDefault="00657163" w:rsidP="00F104E9">
            <w:pPr>
              <w:pStyle w:val="braytabletext"/>
              <w:rPr>
                <w:szCs w:val="16"/>
              </w:rPr>
            </w:pPr>
            <w:r w:rsidRPr="00911315">
              <w:rPr>
                <w:szCs w:val="16"/>
              </w:rPr>
              <w:t>Compulsory</w:t>
            </w:r>
          </w:p>
        </w:tc>
        <w:tc>
          <w:tcPr>
            <w:tcW w:w="132" w:type="pct"/>
            <w:tcBorders>
              <w:top w:val="single" w:sz="6" w:space="0" w:color="auto"/>
              <w:left w:val="nil"/>
              <w:bottom w:val="nil"/>
              <w:right w:val="nil"/>
            </w:tcBorders>
            <w:vAlign w:val="bottom"/>
          </w:tcPr>
          <w:p w:rsidR="00657163" w:rsidRPr="00911315" w:rsidRDefault="00657163" w:rsidP="00F104E9">
            <w:pPr>
              <w:pStyle w:val="braytabletext"/>
              <w:rPr>
                <w:szCs w:val="16"/>
              </w:rPr>
            </w:pPr>
          </w:p>
        </w:tc>
        <w:tc>
          <w:tcPr>
            <w:tcW w:w="801" w:type="pct"/>
            <w:gridSpan w:val="2"/>
            <w:tcBorders>
              <w:top w:val="single" w:sz="6" w:space="0" w:color="auto"/>
              <w:left w:val="nil"/>
              <w:bottom w:val="single" w:sz="6" w:space="0" w:color="auto"/>
              <w:right w:val="nil"/>
            </w:tcBorders>
          </w:tcPr>
          <w:p w:rsidR="00657163" w:rsidRPr="00911315" w:rsidRDefault="00657163" w:rsidP="00657163">
            <w:pPr>
              <w:pStyle w:val="braytabletext"/>
              <w:rPr>
                <w:szCs w:val="16"/>
              </w:rPr>
            </w:pPr>
            <w:r w:rsidRPr="00911315">
              <w:rPr>
                <w:szCs w:val="16"/>
              </w:rPr>
              <w:t xml:space="preserve">Voluntary </w:t>
            </w:r>
          </w:p>
        </w:tc>
        <w:tc>
          <w:tcPr>
            <w:tcW w:w="132" w:type="pct"/>
            <w:tcBorders>
              <w:top w:val="nil"/>
              <w:left w:val="nil"/>
              <w:bottom w:val="nil"/>
              <w:right w:val="nil"/>
            </w:tcBorders>
            <w:vAlign w:val="bottom"/>
          </w:tcPr>
          <w:p w:rsidR="00657163" w:rsidRPr="00911315" w:rsidRDefault="00657163" w:rsidP="00F104E9">
            <w:pPr>
              <w:pStyle w:val="braytabletext"/>
              <w:jc w:val="right"/>
              <w:rPr>
                <w:szCs w:val="16"/>
              </w:rPr>
            </w:pPr>
          </w:p>
        </w:tc>
        <w:tc>
          <w:tcPr>
            <w:tcW w:w="459" w:type="pct"/>
            <w:vMerge w:val="restart"/>
            <w:tcBorders>
              <w:top w:val="single" w:sz="4" w:space="0" w:color="auto"/>
              <w:left w:val="nil"/>
              <w:right w:val="nil"/>
            </w:tcBorders>
          </w:tcPr>
          <w:p w:rsidR="00657163" w:rsidRPr="00911315" w:rsidRDefault="00657163" w:rsidP="00657163">
            <w:pPr>
              <w:pStyle w:val="braytabletext"/>
              <w:jc w:val="right"/>
              <w:rPr>
                <w:szCs w:val="16"/>
              </w:rPr>
            </w:pPr>
            <w:r w:rsidRPr="00911315">
              <w:rPr>
                <w:szCs w:val="16"/>
              </w:rPr>
              <w:t>Comp-ulsory</w:t>
            </w:r>
          </w:p>
        </w:tc>
        <w:tc>
          <w:tcPr>
            <w:tcW w:w="175" w:type="pct"/>
            <w:tcBorders>
              <w:top w:val="nil"/>
              <w:left w:val="nil"/>
              <w:bottom w:val="nil"/>
              <w:right w:val="nil"/>
            </w:tcBorders>
            <w:vAlign w:val="bottom"/>
          </w:tcPr>
          <w:p w:rsidR="00657163" w:rsidRPr="00911315" w:rsidRDefault="00657163" w:rsidP="00F104E9">
            <w:pPr>
              <w:pStyle w:val="braytabletext"/>
              <w:jc w:val="right"/>
              <w:rPr>
                <w:szCs w:val="16"/>
              </w:rPr>
            </w:pPr>
          </w:p>
        </w:tc>
        <w:tc>
          <w:tcPr>
            <w:tcW w:w="477" w:type="pct"/>
            <w:tcBorders>
              <w:top w:val="nil"/>
              <w:left w:val="nil"/>
              <w:bottom w:val="nil"/>
              <w:right w:val="nil"/>
            </w:tcBorders>
            <w:vAlign w:val="bottom"/>
          </w:tcPr>
          <w:p w:rsidR="00657163" w:rsidRPr="00911315" w:rsidRDefault="00657163" w:rsidP="00F104E9">
            <w:pPr>
              <w:pStyle w:val="braytabletext"/>
              <w:jc w:val="right"/>
              <w:rPr>
                <w:szCs w:val="16"/>
              </w:rPr>
            </w:pPr>
          </w:p>
        </w:tc>
        <w:tc>
          <w:tcPr>
            <w:tcW w:w="423" w:type="pct"/>
            <w:tcBorders>
              <w:top w:val="nil"/>
              <w:left w:val="nil"/>
              <w:bottom w:val="nil"/>
              <w:right w:val="nil"/>
            </w:tcBorders>
            <w:vAlign w:val="bottom"/>
          </w:tcPr>
          <w:p w:rsidR="00657163" w:rsidRPr="00911315" w:rsidRDefault="00657163" w:rsidP="00F104E9">
            <w:pPr>
              <w:pStyle w:val="braytabletext"/>
              <w:jc w:val="right"/>
              <w:rPr>
                <w:szCs w:val="16"/>
              </w:rPr>
            </w:pPr>
          </w:p>
        </w:tc>
      </w:tr>
      <w:tr w:rsidR="00657163" w:rsidRPr="00911315" w:rsidTr="001732D1">
        <w:trPr>
          <w:trHeight w:val="290"/>
        </w:trPr>
        <w:tc>
          <w:tcPr>
            <w:tcW w:w="1486" w:type="pct"/>
            <w:tcBorders>
              <w:top w:val="nil"/>
              <w:left w:val="nil"/>
              <w:bottom w:val="single" w:sz="6" w:space="0" w:color="auto"/>
              <w:right w:val="nil"/>
            </w:tcBorders>
            <w:vAlign w:val="bottom"/>
          </w:tcPr>
          <w:p w:rsidR="00657163" w:rsidRPr="00911315" w:rsidRDefault="00657163" w:rsidP="00F104E9">
            <w:pPr>
              <w:pStyle w:val="braytabletext"/>
              <w:rPr>
                <w:szCs w:val="16"/>
              </w:rPr>
            </w:pPr>
          </w:p>
        </w:tc>
        <w:tc>
          <w:tcPr>
            <w:tcW w:w="440" w:type="pct"/>
            <w:tcBorders>
              <w:top w:val="single" w:sz="6" w:space="0" w:color="auto"/>
              <w:left w:val="nil"/>
              <w:bottom w:val="single" w:sz="6" w:space="0" w:color="auto"/>
              <w:right w:val="nil"/>
            </w:tcBorders>
          </w:tcPr>
          <w:p w:rsidR="00657163" w:rsidRPr="00911315" w:rsidRDefault="00657163" w:rsidP="00F104E9">
            <w:pPr>
              <w:pStyle w:val="braytabletext"/>
              <w:jc w:val="right"/>
              <w:rPr>
                <w:szCs w:val="16"/>
              </w:rPr>
            </w:pPr>
            <w:r w:rsidRPr="00911315">
              <w:rPr>
                <w:szCs w:val="16"/>
              </w:rPr>
              <w:t>NTER area</w:t>
            </w:r>
          </w:p>
        </w:tc>
        <w:tc>
          <w:tcPr>
            <w:tcW w:w="475" w:type="pct"/>
            <w:tcBorders>
              <w:top w:val="single" w:sz="6" w:space="0" w:color="auto"/>
              <w:left w:val="nil"/>
              <w:bottom w:val="single" w:sz="6" w:space="0" w:color="auto"/>
              <w:right w:val="nil"/>
            </w:tcBorders>
          </w:tcPr>
          <w:p w:rsidR="00657163" w:rsidRPr="00911315" w:rsidRDefault="008A1D49" w:rsidP="00F104E9">
            <w:pPr>
              <w:pStyle w:val="braytabletext"/>
              <w:jc w:val="right"/>
              <w:rPr>
                <w:szCs w:val="16"/>
              </w:rPr>
            </w:pPr>
            <w:r>
              <w:rPr>
                <w:szCs w:val="16"/>
              </w:rPr>
              <w:t>N</w:t>
            </w:r>
            <w:r w:rsidR="00657163" w:rsidRPr="00911315">
              <w:rPr>
                <w:szCs w:val="16"/>
              </w:rPr>
              <w:t>on-NTER area</w:t>
            </w:r>
          </w:p>
        </w:tc>
        <w:tc>
          <w:tcPr>
            <w:tcW w:w="132" w:type="pct"/>
            <w:tcBorders>
              <w:top w:val="nil"/>
              <w:left w:val="nil"/>
              <w:bottom w:val="single" w:sz="6" w:space="0" w:color="auto"/>
              <w:right w:val="nil"/>
            </w:tcBorders>
            <w:vAlign w:val="bottom"/>
          </w:tcPr>
          <w:p w:rsidR="00657163" w:rsidRPr="00911315" w:rsidRDefault="00657163" w:rsidP="00F104E9">
            <w:pPr>
              <w:pStyle w:val="braytabletext"/>
              <w:jc w:val="right"/>
              <w:rPr>
                <w:szCs w:val="16"/>
              </w:rPr>
            </w:pPr>
          </w:p>
        </w:tc>
        <w:tc>
          <w:tcPr>
            <w:tcW w:w="403" w:type="pct"/>
            <w:tcBorders>
              <w:top w:val="single" w:sz="6" w:space="0" w:color="auto"/>
              <w:left w:val="nil"/>
              <w:bottom w:val="single" w:sz="6" w:space="0" w:color="auto"/>
              <w:right w:val="nil"/>
            </w:tcBorders>
          </w:tcPr>
          <w:p w:rsidR="00657163" w:rsidRPr="00911315" w:rsidRDefault="00657163" w:rsidP="00F104E9">
            <w:pPr>
              <w:pStyle w:val="braytabletext"/>
              <w:jc w:val="right"/>
              <w:rPr>
                <w:szCs w:val="16"/>
              </w:rPr>
            </w:pPr>
            <w:r w:rsidRPr="00911315">
              <w:rPr>
                <w:szCs w:val="16"/>
              </w:rPr>
              <w:t>NTER area</w:t>
            </w:r>
          </w:p>
        </w:tc>
        <w:tc>
          <w:tcPr>
            <w:tcW w:w="398" w:type="pct"/>
            <w:tcBorders>
              <w:top w:val="single" w:sz="6" w:space="0" w:color="auto"/>
              <w:left w:val="nil"/>
              <w:bottom w:val="single" w:sz="6" w:space="0" w:color="auto"/>
              <w:right w:val="nil"/>
            </w:tcBorders>
          </w:tcPr>
          <w:p w:rsidR="00657163" w:rsidRPr="00911315" w:rsidRDefault="008A1D49" w:rsidP="00F104E9">
            <w:pPr>
              <w:pStyle w:val="braytabletext"/>
              <w:jc w:val="right"/>
              <w:rPr>
                <w:szCs w:val="16"/>
              </w:rPr>
            </w:pPr>
            <w:r>
              <w:rPr>
                <w:szCs w:val="16"/>
              </w:rPr>
              <w:t>N</w:t>
            </w:r>
            <w:r w:rsidR="00657163" w:rsidRPr="00911315">
              <w:rPr>
                <w:szCs w:val="16"/>
              </w:rPr>
              <w:t>on-NTER area</w:t>
            </w:r>
          </w:p>
        </w:tc>
        <w:tc>
          <w:tcPr>
            <w:tcW w:w="132" w:type="pct"/>
            <w:tcBorders>
              <w:top w:val="nil"/>
              <w:left w:val="nil"/>
              <w:bottom w:val="single" w:sz="6" w:space="0" w:color="auto"/>
              <w:right w:val="nil"/>
            </w:tcBorders>
            <w:vAlign w:val="bottom"/>
          </w:tcPr>
          <w:p w:rsidR="00657163" w:rsidRPr="00911315" w:rsidRDefault="00657163" w:rsidP="00F104E9">
            <w:pPr>
              <w:pStyle w:val="braytabletext"/>
              <w:jc w:val="right"/>
              <w:rPr>
                <w:szCs w:val="16"/>
              </w:rPr>
            </w:pPr>
          </w:p>
        </w:tc>
        <w:tc>
          <w:tcPr>
            <w:tcW w:w="459" w:type="pct"/>
            <w:vMerge/>
            <w:tcBorders>
              <w:left w:val="nil"/>
              <w:bottom w:val="single" w:sz="6" w:space="0" w:color="auto"/>
              <w:right w:val="nil"/>
            </w:tcBorders>
            <w:vAlign w:val="bottom"/>
          </w:tcPr>
          <w:p w:rsidR="00657163" w:rsidRPr="00911315" w:rsidRDefault="00657163" w:rsidP="00F104E9">
            <w:pPr>
              <w:pStyle w:val="braytabletext"/>
              <w:jc w:val="right"/>
              <w:rPr>
                <w:szCs w:val="16"/>
              </w:rPr>
            </w:pPr>
          </w:p>
        </w:tc>
        <w:tc>
          <w:tcPr>
            <w:tcW w:w="175" w:type="pct"/>
            <w:tcBorders>
              <w:top w:val="nil"/>
              <w:left w:val="nil"/>
              <w:bottom w:val="single" w:sz="6" w:space="0" w:color="auto"/>
              <w:right w:val="nil"/>
            </w:tcBorders>
            <w:vAlign w:val="bottom"/>
          </w:tcPr>
          <w:p w:rsidR="00657163" w:rsidRPr="00911315" w:rsidRDefault="00657163" w:rsidP="00F104E9">
            <w:pPr>
              <w:pStyle w:val="braytabletext"/>
              <w:jc w:val="right"/>
              <w:rPr>
                <w:szCs w:val="16"/>
              </w:rPr>
            </w:pPr>
          </w:p>
        </w:tc>
        <w:tc>
          <w:tcPr>
            <w:tcW w:w="477" w:type="pct"/>
            <w:tcBorders>
              <w:top w:val="nil"/>
              <w:left w:val="nil"/>
              <w:bottom w:val="single" w:sz="6" w:space="0" w:color="auto"/>
              <w:right w:val="nil"/>
            </w:tcBorders>
            <w:vAlign w:val="bottom"/>
          </w:tcPr>
          <w:p w:rsidR="00657163" w:rsidRPr="00911315" w:rsidRDefault="00657163" w:rsidP="00F104E9">
            <w:pPr>
              <w:pStyle w:val="braytabletext"/>
              <w:jc w:val="right"/>
              <w:rPr>
                <w:szCs w:val="16"/>
              </w:rPr>
            </w:pPr>
          </w:p>
        </w:tc>
        <w:tc>
          <w:tcPr>
            <w:tcW w:w="423" w:type="pct"/>
            <w:tcBorders>
              <w:top w:val="nil"/>
              <w:left w:val="nil"/>
              <w:bottom w:val="single" w:sz="6" w:space="0" w:color="auto"/>
              <w:right w:val="nil"/>
            </w:tcBorders>
            <w:vAlign w:val="bottom"/>
          </w:tcPr>
          <w:p w:rsidR="00657163" w:rsidRPr="00911315" w:rsidRDefault="00657163" w:rsidP="00F104E9">
            <w:pPr>
              <w:pStyle w:val="braytabletext"/>
              <w:jc w:val="right"/>
              <w:rPr>
                <w:szCs w:val="16"/>
              </w:rPr>
            </w:pPr>
          </w:p>
        </w:tc>
      </w:tr>
      <w:tr w:rsidR="00897C1E" w:rsidRPr="00911315" w:rsidTr="00F104E9">
        <w:trPr>
          <w:trHeight w:val="290"/>
        </w:trPr>
        <w:tc>
          <w:tcPr>
            <w:tcW w:w="1486" w:type="pct"/>
            <w:tcBorders>
              <w:top w:val="single" w:sz="6" w:space="0" w:color="auto"/>
              <w:left w:val="nil"/>
              <w:bottom w:val="nil"/>
              <w:right w:val="nil"/>
            </w:tcBorders>
            <w:vAlign w:val="bottom"/>
          </w:tcPr>
          <w:p w:rsidR="00897C1E" w:rsidRPr="00911315" w:rsidRDefault="00897C1E" w:rsidP="00F104E9">
            <w:pPr>
              <w:pStyle w:val="braytabletext"/>
              <w:rPr>
                <w:szCs w:val="16"/>
              </w:rPr>
            </w:pPr>
            <w:r w:rsidRPr="00911315">
              <w:rPr>
                <w:i/>
                <w:szCs w:val="16"/>
              </w:rPr>
              <w:t>Family type</w:t>
            </w:r>
          </w:p>
        </w:tc>
        <w:tc>
          <w:tcPr>
            <w:tcW w:w="3514" w:type="pct"/>
            <w:gridSpan w:val="10"/>
            <w:tcBorders>
              <w:top w:val="single" w:sz="6" w:space="0" w:color="auto"/>
              <w:left w:val="nil"/>
              <w:bottom w:val="nil"/>
              <w:right w:val="nil"/>
            </w:tcBorders>
            <w:vAlign w:val="bottom"/>
          </w:tcPr>
          <w:p w:rsidR="00897C1E" w:rsidRPr="00911315" w:rsidRDefault="00897C1E" w:rsidP="00F104E9">
            <w:pPr>
              <w:pStyle w:val="braytabletext"/>
              <w:jc w:val="center"/>
              <w:rPr>
                <w:szCs w:val="16"/>
              </w:rPr>
            </w:pPr>
            <w:r w:rsidRPr="00911315">
              <w:rPr>
                <w:szCs w:val="16"/>
              </w:rPr>
              <w:t>- % -</w:t>
            </w:r>
          </w:p>
        </w:tc>
      </w:tr>
      <w:tr w:rsidR="00897C1E" w:rsidRPr="00911315" w:rsidTr="00EB68B7">
        <w:trPr>
          <w:trHeight w:val="290"/>
        </w:trPr>
        <w:tc>
          <w:tcPr>
            <w:tcW w:w="1486" w:type="pct"/>
            <w:tcBorders>
              <w:top w:val="nil"/>
              <w:left w:val="nil"/>
              <w:bottom w:val="nil"/>
              <w:right w:val="nil"/>
            </w:tcBorders>
            <w:vAlign w:val="bottom"/>
          </w:tcPr>
          <w:p w:rsidR="00897C1E" w:rsidRPr="00911315" w:rsidRDefault="00897C1E" w:rsidP="00F104E9">
            <w:pPr>
              <w:pStyle w:val="braytabletext"/>
              <w:rPr>
                <w:szCs w:val="16"/>
              </w:rPr>
            </w:pPr>
            <w:r w:rsidRPr="00911315">
              <w:rPr>
                <w:szCs w:val="16"/>
              </w:rPr>
              <w:t>Couple only</w:t>
            </w:r>
          </w:p>
        </w:tc>
        <w:tc>
          <w:tcPr>
            <w:tcW w:w="440"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16.3</w:t>
            </w:r>
          </w:p>
        </w:tc>
        <w:tc>
          <w:tcPr>
            <w:tcW w:w="475"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7.8</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18.9</w:t>
            </w:r>
          </w:p>
        </w:tc>
        <w:tc>
          <w:tcPr>
            <w:tcW w:w="398"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9.4</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10.6</w:t>
            </w:r>
          </w:p>
        </w:tc>
        <w:tc>
          <w:tcPr>
            <w:tcW w:w="175"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9.7</w:t>
            </w:r>
          </w:p>
        </w:tc>
        <w:tc>
          <w:tcPr>
            <w:tcW w:w="42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43.4</w:t>
            </w:r>
          </w:p>
        </w:tc>
      </w:tr>
      <w:tr w:rsidR="00897C1E" w:rsidRPr="00911315" w:rsidTr="00EB68B7">
        <w:trPr>
          <w:trHeight w:val="290"/>
        </w:trPr>
        <w:tc>
          <w:tcPr>
            <w:tcW w:w="1486" w:type="pct"/>
            <w:tcBorders>
              <w:top w:val="nil"/>
              <w:left w:val="nil"/>
              <w:bottom w:val="nil"/>
              <w:right w:val="nil"/>
            </w:tcBorders>
            <w:vAlign w:val="bottom"/>
          </w:tcPr>
          <w:p w:rsidR="00897C1E" w:rsidRPr="00911315" w:rsidRDefault="00897C1E" w:rsidP="00F104E9">
            <w:pPr>
              <w:pStyle w:val="braytabletext"/>
              <w:rPr>
                <w:szCs w:val="16"/>
              </w:rPr>
            </w:pPr>
            <w:r w:rsidRPr="00911315">
              <w:rPr>
                <w:szCs w:val="16"/>
              </w:rPr>
              <w:t>Couple and children only</w:t>
            </w:r>
          </w:p>
        </w:tc>
        <w:tc>
          <w:tcPr>
            <w:tcW w:w="440"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16.7</w:t>
            </w:r>
          </w:p>
        </w:tc>
        <w:tc>
          <w:tcPr>
            <w:tcW w:w="475"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6.6</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0.0</w:t>
            </w:r>
          </w:p>
        </w:tc>
        <w:tc>
          <w:tcPr>
            <w:tcW w:w="398"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0.0</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10.6</w:t>
            </w:r>
          </w:p>
        </w:tc>
        <w:tc>
          <w:tcPr>
            <w:tcW w:w="175"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14.8</w:t>
            </w:r>
          </w:p>
        </w:tc>
        <w:tc>
          <w:tcPr>
            <w:tcW w:w="42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0.0</w:t>
            </w:r>
          </w:p>
        </w:tc>
      </w:tr>
      <w:tr w:rsidR="00897C1E" w:rsidRPr="00911315" w:rsidTr="00EB68B7">
        <w:trPr>
          <w:trHeight w:val="290"/>
        </w:trPr>
        <w:tc>
          <w:tcPr>
            <w:tcW w:w="1486" w:type="pct"/>
            <w:tcBorders>
              <w:top w:val="nil"/>
              <w:left w:val="nil"/>
              <w:bottom w:val="nil"/>
              <w:right w:val="nil"/>
            </w:tcBorders>
            <w:vAlign w:val="bottom"/>
          </w:tcPr>
          <w:p w:rsidR="00897C1E" w:rsidRPr="00911315" w:rsidRDefault="00897C1E" w:rsidP="00F104E9">
            <w:pPr>
              <w:pStyle w:val="braytabletext"/>
              <w:rPr>
                <w:szCs w:val="16"/>
              </w:rPr>
            </w:pPr>
            <w:r w:rsidRPr="00911315">
              <w:rPr>
                <w:szCs w:val="16"/>
              </w:rPr>
              <w:t>Couple, children &amp; others</w:t>
            </w:r>
          </w:p>
        </w:tc>
        <w:tc>
          <w:tcPr>
            <w:tcW w:w="440"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11.3</w:t>
            </w:r>
          </w:p>
        </w:tc>
        <w:tc>
          <w:tcPr>
            <w:tcW w:w="475"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1.8</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5.5</w:t>
            </w:r>
          </w:p>
        </w:tc>
        <w:tc>
          <w:tcPr>
            <w:tcW w:w="398"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6.3</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1.1</w:t>
            </w:r>
          </w:p>
        </w:tc>
        <w:tc>
          <w:tcPr>
            <w:tcW w:w="175"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8.2</w:t>
            </w:r>
          </w:p>
        </w:tc>
        <w:tc>
          <w:tcPr>
            <w:tcW w:w="42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0.0</w:t>
            </w:r>
          </w:p>
        </w:tc>
      </w:tr>
      <w:tr w:rsidR="00897C1E" w:rsidRPr="00911315" w:rsidTr="00EB68B7">
        <w:trPr>
          <w:trHeight w:val="290"/>
        </w:trPr>
        <w:tc>
          <w:tcPr>
            <w:tcW w:w="1486" w:type="pct"/>
            <w:tcBorders>
              <w:top w:val="nil"/>
              <w:left w:val="nil"/>
              <w:bottom w:val="nil"/>
              <w:right w:val="nil"/>
            </w:tcBorders>
            <w:vAlign w:val="bottom"/>
          </w:tcPr>
          <w:p w:rsidR="00897C1E" w:rsidRPr="00911315" w:rsidRDefault="00897C1E" w:rsidP="00F104E9">
            <w:pPr>
              <w:pStyle w:val="braytabletext"/>
              <w:rPr>
                <w:szCs w:val="16"/>
              </w:rPr>
            </w:pPr>
            <w:r w:rsidRPr="00911315">
              <w:rPr>
                <w:szCs w:val="16"/>
              </w:rPr>
              <w:t>Couple &amp; others</w:t>
            </w:r>
          </w:p>
        </w:tc>
        <w:tc>
          <w:tcPr>
            <w:tcW w:w="440"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5.9</w:t>
            </w:r>
          </w:p>
        </w:tc>
        <w:tc>
          <w:tcPr>
            <w:tcW w:w="475"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0.0</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5.5</w:t>
            </w:r>
          </w:p>
        </w:tc>
        <w:tc>
          <w:tcPr>
            <w:tcW w:w="398"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12.5</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0.0</w:t>
            </w:r>
          </w:p>
        </w:tc>
        <w:tc>
          <w:tcPr>
            <w:tcW w:w="175"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5.6</w:t>
            </w:r>
          </w:p>
        </w:tc>
        <w:tc>
          <w:tcPr>
            <w:tcW w:w="42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1.0</w:t>
            </w:r>
          </w:p>
        </w:tc>
      </w:tr>
      <w:tr w:rsidR="00897C1E" w:rsidRPr="00911315" w:rsidTr="00EB68B7">
        <w:trPr>
          <w:trHeight w:val="290"/>
        </w:trPr>
        <w:tc>
          <w:tcPr>
            <w:tcW w:w="1486" w:type="pct"/>
            <w:tcBorders>
              <w:top w:val="nil"/>
              <w:left w:val="nil"/>
              <w:bottom w:val="nil"/>
              <w:right w:val="nil"/>
            </w:tcBorders>
            <w:vAlign w:val="bottom"/>
          </w:tcPr>
          <w:p w:rsidR="00897C1E" w:rsidRPr="00911315" w:rsidRDefault="00897C1E" w:rsidP="00F104E9">
            <w:pPr>
              <w:pStyle w:val="braytabletext"/>
              <w:rPr>
                <w:szCs w:val="16"/>
              </w:rPr>
            </w:pPr>
            <w:r w:rsidRPr="00911315">
              <w:rPr>
                <w:szCs w:val="16"/>
              </w:rPr>
              <w:t>Lone parent and children only</w:t>
            </w:r>
          </w:p>
        </w:tc>
        <w:tc>
          <w:tcPr>
            <w:tcW w:w="440"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4.2</w:t>
            </w:r>
          </w:p>
        </w:tc>
        <w:tc>
          <w:tcPr>
            <w:tcW w:w="475"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40.7</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7.9</w:t>
            </w:r>
          </w:p>
        </w:tc>
        <w:tc>
          <w:tcPr>
            <w:tcW w:w="398"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9.4</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26.1</w:t>
            </w:r>
          </w:p>
        </w:tc>
        <w:tc>
          <w:tcPr>
            <w:tcW w:w="175"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14.8</w:t>
            </w:r>
          </w:p>
        </w:tc>
        <w:tc>
          <w:tcPr>
            <w:tcW w:w="42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4.0</w:t>
            </w:r>
          </w:p>
        </w:tc>
      </w:tr>
      <w:tr w:rsidR="00897C1E" w:rsidRPr="00911315" w:rsidTr="00EB68B7">
        <w:trPr>
          <w:trHeight w:val="290"/>
        </w:trPr>
        <w:tc>
          <w:tcPr>
            <w:tcW w:w="1486" w:type="pct"/>
            <w:tcBorders>
              <w:top w:val="nil"/>
              <w:left w:val="nil"/>
              <w:bottom w:val="nil"/>
              <w:right w:val="nil"/>
            </w:tcBorders>
            <w:vAlign w:val="bottom"/>
          </w:tcPr>
          <w:p w:rsidR="00897C1E" w:rsidRPr="00911315" w:rsidRDefault="00897C1E" w:rsidP="00F104E9">
            <w:pPr>
              <w:pStyle w:val="braytabletext"/>
              <w:rPr>
                <w:szCs w:val="16"/>
              </w:rPr>
            </w:pPr>
            <w:r w:rsidRPr="00911315">
              <w:rPr>
                <w:szCs w:val="16"/>
              </w:rPr>
              <w:t>Lone parent and children &amp; others</w:t>
            </w:r>
          </w:p>
        </w:tc>
        <w:tc>
          <w:tcPr>
            <w:tcW w:w="440"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6.7</w:t>
            </w:r>
          </w:p>
        </w:tc>
        <w:tc>
          <w:tcPr>
            <w:tcW w:w="475"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6.6</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2.4</w:t>
            </w:r>
          </w:p>
        </w:tc>
        <w:tc>
          <w:tcPr>
            <w:tcW w:w="398"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0.0</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5.6</w:t>
            </w:r>
          </w:p>
        </w:tc>
        <w:tc>
          <w:tcPr>
            <w:tcW w:w="175"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5.6</w:t>
            </w:r>
          </w:p>
        </w:tc>
        <w:tc>
          <w:tcPr>
            <w:tcW w:w="42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1.0</w:t>
            </w:r>
          </w:p>
        </w:tc>
      </w:tr>
      <w:tr w:rsidR="00897C1E" w:rsidRPr="00911315" w:rsidTr="00EB68B7">
        <w:trPr>
          <w:trHeight w:val="290"/>
        </w:trPr>
        <w:tc>
          <w:tcPr>
            <w:tcW w:w="1486" w:type="pct"/>
            <w:tcBorders>
              <w:top w:val="nil"/>
              <w:left w:val="nil"/>
              <w:bottom w:val="nil"/>
              <w:right w:val="nil"/>
            </w:tcBorders>
            <w:vAlign w:val="bottom"/>
          </w:tcPr>
          <w:p w:rsidR="00897C1E" w:rsidRPr="00911315" w:rsidRDefault="00897C1E" w:rsidP="00F104E9">
            <w:pPr>
              <w:pStyle w:val="braytabletext"/>
              <w:rPr>
                <w:szCs w:val="16"/>
              </w:rPr>
            </w:pPr>
            <w:r w:rsidRPr="00911315">
              <w:rPr>
                <w:szCs w:val="16"/>
              </w:rPr>
              <w:t>Living with parents</w:t>
            </w:r>
          </w:p>
        </w:tc>
        <w:tc>
          <w:tcPr>
            <w:tcW w:w="440"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5.9</w:t>
            </w:r>
          </w:p>
        </w:tc>
        <w:tc>
          <w:tcPr>
            <w:tcW w:w="475"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7.2</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6.3</w:t>
            </w:r>
          </w:p>
        </w:tc>
        <w:tc>
          <w:tcPr>
            <w:tcW w:w="398"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6.3</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9.4</w:t>
            </w:r>
          </w:p>
        </w:tc>
        <w:tc>
          <w:tcPr>
            <w:tcW w:w="175"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6.6</w:t>
            </w:r>
          </w:p>
        </w:tc>
        <w:tc>
          <w:tcPr>
            <w:tcW w:w="42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7.1</w:t>
            </w:r>
          </w:p>
        </w:tc>
      </w:tr>
      <w:tr w:rsidR="00897C1E" w:rsidRPr="00911315" w:rsidTr="00EB68B7">
        <w:trPr>
          <w:trHeight w:val="290"/>
        </w:trPr>
        <w:tc>
          <w:tcPr>
            <w:tcW w:w="1486" w:type="pct"/>
            <w:tcBorders>
              <w:top w:val="nil"/>
              <w:left w:val="nil"/>
              <w:bottom w:val="nil"/>
              <w:right w:val="nil"/>
            </w:tcBorders>
            <w:vAlign w:val="bottom"/>
          </w:tcPr>
          <w:p w:rsidR="00897C1E" w:rsidRPr="00911315" w:rsidRDefault="00897C1E" w:rsidP="00F104E9">
            <w:pPr>
              <w:pStyle w:val="braytabletext"/>
              <w:rPr>
                <w:szCs w:val="16"/>
              </w:rPr>
            </w:pPr>
            <w:r w:rsidRPr="00911315">
              <w:rPr>
                <w:szCs w:val="16"/>
              </w:rPr>
              <w:t>Other multi-person household</w:t>
            </w:r>
          </w:p>
        </w:tc>
        <w:tc>
          <w:tcPr>
            <w:tcW w:w="440"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29.3</w:t>
            </w:r>
          </w:p>
        </w:tc>
        <w:tc>
          <w:tcPr>
            <w:tcW w:w="475"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21.6</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48.0</w:t>
            </w:r>
          </w:p>
        </w:tc>
        <w:tc>
          <w:tcPr>
            <w:tcW w:w="398"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37.5</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19.4</w:t>
            </w:r>
          </w:p>
        </w:tc>
        <w:tc>
          <w:tcPr>
            <w:tcW w:w="175"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28.6</w:t>
            </w:r>
          </w:p>
        </w:tc>
        <w:tc>
          <w:tcPr>
            <w:tcW w:w="42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12.1</w:t>
            </w:r>
          </w:p>
        </w:tc>
      </w:tr>
      <w:tr w:rsidR="00897C1E" w:rsidRPr="00911315" w:rsidTr="00EB68B7">
        <w:trPr>
          <w:trHeight w:val="290"/>
        </w:trPr>
        <w:tc>
          <w:tcPr>
            <w:tcW w:w="1486" w:type="pct"/>
            <w:tcBorders>
              <w:top w:val="nil"/>
              <w:left w:val="nil"/>
              <w:bottom w:val="single" w:sz="4" w:space="0" w:color="auto"/>
              <w:right w:val="nil"/>
            </w:tcBorders>
            <w:vAlign w:val="bottom"/>
          </w:tcPr>
          <w:p w:rsidR="00897C1E" w:rsidRPr="00911315" w:rsidRDefault="00897C1E" w:rsidP="00F104E9">
            <w:pPr>
              <w:pStyle w:val="braytabletext"/>
              <w:rPr>
                <w:szCs w:val="16"/>
              </w:rPr>
            </w:pPr>
            <w:r w:rsidRPr="00911315">
              <w:rPr>
                <w:szCs w:val="16"/>
              </w:rPr>
              <w:t>Single person</w:t>
            </w:r>
          </w:p>
        </w:tc>
        <w:tc>
          <w:tcPr>
            <w:tcW w:w="440" w:type="pct"/>
            <w:tcBorders>
              <w:top w:val="nil"/>
              <w:left w:val="nil"/>
              <w:bottom w:val="single" w:sz="4" w:space="0" w:color="auto"/>
              <w:right w:val="nil"/>
            </w:tcBorders>
            <w:vAlign w:val="bottom"/>
          </w:tcPr>
          <w:p w:rsidR="00897C1E" w:rsidRPr="00911315" w:rsidRDefault="00897C1E" w:rsidP="00F104E9">
            <w:pPr>
              <w:pStyle w:val="braytabletext"/>
              <w:jc w:val="right"/>
              <w:rPr>
                <w:szCs w:val="16"/>
              </w:rPr>
            </w:pPr>
            <w:r w:rsidRPr="00911315">
              <w:rPr>
                <w:szCs w:val="16"/>
              </w:rPr>
              <w:t>3.8</w:t>
            </w:r>
          </w:p>
        </w:tc>
        <w:tc>
          <w:tcPr>
            <w:tcW w:w="475" w:type="pct"/>
            <w:tcBorders>
              <w:top w:val="nil"/>
              <w:left w:val="nil"/>
              <w:bottom w:val="single" w:sz="4" w:space="0" w:color="auto"/>
              <w:right w:val="nil"/>
            </w:tcBorders>
            <w:vAlign w:val="bottom"/>
          </w:tcPr>
          <w:p w:rsidR="00897C1E" w:rsidRPr="00911315" w:rsidRDefault="00897C1E" w:rsidP="00F104E9">
            <w:pPr>
              <w:pStyle w:val="braytabletext"/>
              <w:jc w:val="right"/>
              <w:rPr>
                <w:szCs w:val="16"/>
              </w:rPr>
            </w:pPr>
            <w:r w:rsidRPr="00911315">
              <w:rPr>
                <w:szCs w:val="16"/>
              </w:rPr>
              <w:t>7.8</w:t>
            </w:r>
          </w:p>
        </w:tc>
        <w:tc>
          <w:tcPr>
            <w:tcW w:w="132" w:type="pct"/>
            <w:tcBorders>
              <w:top w:val="nil"/>
              <w:left w:val="nil"/>
              <w:bottom w:val="single" w:sz="4" w:space="0" w:color="auto"/>
              <w:right w:val="nil"/>
            </w:tcBorders>
            <w:vAlign w:val="bottom"/>
          </w:tcPr>
          <w:p w:rsidR="00897C1E" w:rsidRPr="00911315" w:rsidRDefault="00897C1E" w:rsidP="00F104E9">
            <w:pPr>
              <w:pStyle w:val="braytabletext"/>
              <w:jc w:val="right"/>
              <w:rPr>
                <w:szCs w:val="16"/>
              </w:rPr>
            </w:pPr>
          </w:p>
        </w:tc>
        <w:tc>
          <w:tcPr>
            <w:tcW w:w="403" w:type="pct"/>
            <w:tcBorders>
              <w:top w:val="nil"/>
              <w:left w:val="nil"/>
              <w:bottom w:val="single" w:sz="4" w:space="0" w:color="auto"/>
              <w:right w:val="nil"/>
            </w:tcBorders>
            <w:vAlign w:val="bottom"/>
          </w:tcPr>
          <w:p w:rsidR="00897C1E" w:rsidRPr="00911315" w:rsidRDefault="00897C1E" w:rsidP="00F104E9">
            <w:pPr>
              <w:pStyle w:val="braytabletext"/>
              <w:jc w:val="right"/>
              <w:rPr>
                <w:szCs w:val="16"/>
              </w:rPr>
            </w:pPr>
            <w:r w:rsidRPr="00911315">
              <w:rPr>
                <w:szCs w:val="16"/>
              </w:rPr>
              <w:t>5.5</w:t>
            </w:r>
          </w:p>
        </w:tc>
        <w:tc>
          <w:tcPr>
            <w:tcW w:w="398" w:type="pct"/>
            <w:tcBorders>
              <w:top w:val="nil"/>
              <w:left w:val="nil"/>
              <w:bottom w:val="single" w:sz="4" w:space="0" w:color="auto"/>
              <w:right w:val="nil"/>
            </w:tcBorders>
            <w:vAlign w:val="bottom"/>
          </w:tcPr>
          <w:p w:rsidR="00897C1E" w:rsidRPr="00911315" w:rsidRDefault="00897C1E" w:rsidP="00F104E9">
            <w:pPr>
              <w:pStyle w:val="braytabletext"/>
              <w:jc w:val="right"/>
              <w:rPr>
                <w:szCs w:val="16"/>
              </w:rPr>
            </w:pPr>
            <w:r w:rsidRPr="00911315">
              <w:rPr>
                <w:szCs w:val="16"/>
              </w:rPr>
              <w:t>18.8</w:t>
            </w:r>
          </w:p>
        </w:tc>
        <w:tc>
          <w:tcPr>
            <w:tcW w:w="132" w:type="pct"/>
            <w:tcBorders>
              <w:top w:val="nil"/>
              <w:left w:val="nil"/>
              <w:bottom w:val="single" w:sz="4" w:space="0" w:color="auto"/>
              <w:right w:val="nil"/>
            </w:tcBorders>
            <w:vAlign w:val="bottom"/>
          </w:tcPr>
          <w:p w:rsidR="00897C1E" w:rsidRPr="00911315" w:rsidRDefault="00897C1E" w:rsidP="00F104E9">
            <w:pPr>
              <w:pStyle w:val="braytabletext"/>
              <w:jc w:val="right"/>
              <w:rPr>
                <w:szCs w:val="16"/>
              </w:rPr>
            </w:pPr>
          </w:p>
        </w:tc>
        <w:tc>
          <w:tcPr>
            <w:tcW w:w="459" w:type="pct"/>
            <w:tcBorders>
              <w:top w:val="nil"/>
              <w:left w:val="nil"/>
              <w:bottom w:val="single" w:sz="4" w:space="0" w:color="auto"/>
              <w:right w:val="nil"/>
            </w:tcBorders>
            <w:vAlign w:val="bottom"/>
          </w:tcPr>
          <w:p w:rsidR="00897C1E" w:rsidRPr="00911315" w:rsidRDefault="00897C1E" w:rsidP="00F104E9">
            <w:pPr>
              <w:pStyle w:val="braytabletext"/>
              <w:jc w:val="right"/>
              <w:rPr>
                <w:szCs w:val="16"/>
              </w:rPr>
            </w:pPr>
            <w:r w:rsidRPr="00911315">
              <w:rPr>
                <w:szCs w:val="16"/>
              </w:rPr>
              <w:t>17.2</w:t>
            </w:r>
          </w:p>
        </w:tc>
        <w:tc>
          <w:tcPr>
            <w:tcW w:w="175" w:type="pct"/>
            <w:tcBorders>
              <w:top w:val="nil"/>
              <w:left w:val="nil"/>
              <w:bottom w:val="single" w:sz="4" w:space="0" w:color="auto"/>
              <w:right w:val="nil"/>
            </w:tcBorders>
            <w:vAlign w:val="bottom"/>
          </w:tcPr>
          <w:p w:rsidR="00897C1E" w:rsidRPr="00911315" w:rsidRDefault="00897C1E" w:rsidP="00F104E9">
            <w:pPr>
              <w:pStyle w:val="braytabletext"/>
              <w:jc w:val="right"/>
              <w:rPr>
                <w:szCs w:val="16"/>
              </w:rPr>
            </w:pPr>
          </w:p>
        </w:tc>
        <w:tc>
          <w:tcPr>
            <w:tcW w:w="477" w:type="pct"/>
            <w:tcBorders>
              <w:top w:val="nil"/>
              <w:left w:val="nil"/>
              <w:bottom w:val="single" w:sz="4" w:space="0" w:color="auto"/>
              <w:right w:val="nil"/>
            </w:tcBorders>
            <w:vAlign w:val="bottom"/>
          </w:tcPr>
          <w:p w:rsidR="00897C1E" w:rsidRPr="00911315" w:rsidRDefault="00897C1E" w:rsidP="00F104E9">
            <w:pPr>
              <w:pStyle w:val="braytabletext"/>
              <w:jc w:val="right"/>
              <w:rPr>
                <w:szCs w:val="16"/>
              </w:rPr>
            </w:pPr>
            <w:r w:rsidRPr="00911315">
              <w:rPr>
                <w:szCs w:val="16"/>
              </w:rPr>
              <w:t>6.1</w:t>
            </w:r>
          </w:p>
        </w:tc>
        <w:tc>
          <w:tcPr>
            <w:tcW w:w="423" w:type="pct"/>
            <w:tcBorders>
              <w:top w:val="nil"/>
              <w:left w:val="nil"/>
              <w:bottom w:val="single" w:sz="4" w:space="0" w:color="auto"/>
              <w:right w:val="nil"/>
            </w:tcBorders>
            <w:vAlign w:val="bottom"/>
          </w:tcPr>
          <w:p w:rsidR="00897C1E" w:rsidRPr="00911315" w:rsidRDefault="00897C1E" w:rsidP="00F104E9">
            <w:pPr>
              <w:pStyle w:val="braytabletext"/>
              <w:jc w:val="right"/>
              <w:rPr>
                <w:szCs w:val="16"/>
              </w:rPr>
            </w:pPr>
            <w:r w:rsidRPr="00911315">
              <w:rPr>
                <w:szCs w:val="16"/>
              </w:rPr>
              <w:t>31.3</w:t>
            </w:r>
          </w:p>
        </w:tc>
      </w:tr>
      <w:tr w:rsidR="00897C1E" w:rsidRPr="00911315" w:rsidTr="00EB68B7">
        <w:trPr>
          <w:trHeight w:val="290"/>
        </w:trPr>
        <w:tc>
          <w:tcPr>
            <w:tcW w:w="1486" w:type="pct"/>
            <w:tcBorders>
              <w:top w:val="single" w:sz="4" w:space="0" w:color="auto"/>
              <w:left w:val="nil"/>
              <w:bottom w:val="nil"/>
              <w:right w:val="nil"/>
            </w:tcBorders>
            <w:vAlign w:val="bottom"/>
          </w:tcPr>
          <w:p w:rsidR="00897C1E" w:rsidRPr="00911315" w:rsidRDefault="00897C1E" w:rsidP="00F104E9">
            <w:pPr>
              <w:pStyle w:val="braytabletext"/>
              <w:rPr>
                <w:i/>
                <w:szCs w:val="16"/>
              </w:rPr>
            </w:pPr>
            <w:r w:rsidRPr="00911315">
              <w:rPr>
                <w:i/>
                <w:szCs w:val="16"/>
              </w:rPr>
              <w:t>Age</w:t>
            </w:r>
          </w:p>
        </w:tc>
        <w:tc>
          <w:tcPr>
            <w:tcW w:w="440" w:type="pct"/>
            <w:tcBorders>
              <w:top w:val="single" w:sz="4" w:space="0" w:color="auto"/>
              <w:left w:val="nil"/>
              <w:bottom w:val="nil"/>
              <w:right w:val="nil"/>
            </w:tcBorders>
            <w:vAlign w:val="bottom"/>
          </w:tcPr>
          <w:p w:rsidR="00897C1E" w:rsidRPr="00911315" w:rsidRDefault="00897C1E" w:rsidP="00F104E9">
            <w:pPr>
              <w:pStyle w:val="braytabletext"/>
              <w:jc w:val="right"/>
              <w:rPr>
                <w:szCs w:val="16"/>
              </w:rPr>
            </w:pPr>
            <w:r w:rsidRPr="00911315">
              <w:rPr>
                <w:szCs w:val="16"/>
              </w:rPr>
              <w:t xml:space="preserve"> </w:t>
            </w:r>
          </w:p>
        </w:tc>
        <w:tc>
          <w:tcPr>
            <w:tcW w:w="475" w:type="pct"/>
            <w:tcBorders>
              <w:top w:val="single" w:sz="4" w:space="0" w:color="auto"/>
              <w:left w:val="nil"/>
              <w:bottom w:val="nil"/>
              <w:right w:val="nil"/>
            </w:tcBorders>
            <w:vAlign w:val="bottom"/>
          </w:tcPr>
          <w:p w:rsidR="00897C1E" w:rsidRPr="00911315" w:rsidRDefault="00897C1E" w:rsidP="00F104E9">
            <w:pPr>
              <w:pStyle w:val="braytabletext"/>
              <w:jc w:val="right"/>
              <w:rPr>
                <w:szCs w:val="16"/>
              </w:rPr>
            </w:pPr>
          </w:p>
        </w:tc>
        <w:tc>
          <w:tcPr>
            <w:tcW w:w="132" w:type="pct"/>
            <w:tcBorders>
              <w:top w:val="single" w:sz="4" w:space="0" w:color="auto"/>
              <w:left w:val="nil"/>
              <w:bottom w:val="nil"/>
              <w:right w:val="nil"/>
            </w:tcBorders>
            <w:vAlign w:val="bottom"/>
          </w:tcPr>
          <w:p w:rsidR="00897C1E" w:rsidRPr="00911315" w:rsidRDefault="00897C1E" w:rsidP="00F104E9">
            <w:pPr>
              <w:pStyle w:val="braytabletext"/>
              <w:jc w:val="right"/>
              <w:rPr>
                <w:szCs w:val="16"/>
              </w:rPr>
            </w:pPr>
          </w:p>
        </w:tc>
        <w:tc>
          <w:tcPr>
            <w:tcW w:w="403" w:type="pct"/>
            <w:tcBorders>
              <w:top w:val="single" w:sz="4" w:space="0" w:color="auto"/>
              <w:left w:val="nil"/>
              <w:bottom w:val="nil"/>
              <w:right w:val="nil"/>
            </w:tcBorders>
            <w:vAlign w:val="bottom"/>
          </w:tcPr>
          <w:p w:rsidR="00897C1E" w:rsidRPr="00911315" w:rsidRDefault="00897C1E" w:rsidP="00F104E9">
            <w:pPr>
              <w:pStyle w:val="braytabletext"/>
              <w:jc w:val="right"/>
              <w:rPr>
                <w:szCs w:val="16"/>
              </w:rPr>
            </w:pPr>
          </w:p>
        </w:tc>
        <w:tc>
          <w:tcPr>
            <w:tcW w:w="398" w:type="pct"/>
            <w:tcBorders>
              <w:top w:val="single" w:sz="4" w:space="0" w:color="auto"/>
              <w:left w:val="nil"/>
              <w:bottom w:val="nil"/>
              <w:right w:val="nil"/>
            </w:tcBorders>
            <w:vAlign w:val="bottom"/>
          </w:tcPr>
          <w:p w:rsidR="00897C1E" w:rsidRPr="00911315" w:rsidRDefault="00897C1E" w:rsidP="00F104E9">
            <w:pPr>
              <w:pStyle w:val="braytabletext"/>
              <w:jc w:val="right"/>
              <w:rPr>
                <w:szCs w:val="16"/>
              </w:rPr>
            </w:pPr>
          </w:p>
        </w:tc>
        <w:tc>
          <w:tcPr>
            <w:tcW w:w="132" w:type="pct"/>
            <w:tcBorders>
              <w:top w:val="single" w:sz="4" w:space="0" w:color="auto"/>
              <w:left w:val="nil"/>
              <w:bottom w:val="nil"/>
              <w:right w:val="nil"/>
            </w:tcBorders>
            <w:vAlign w:val="bottom"/>
          </w:tcPr>
          <w:p w:rsidR="00897C1E" w:rsidRPr="00911315" w:rsidRDefault="00897C1E" w:rsidP="00F104E9">
            <w:pPr>
              <w:pStyle w:val="braytabletext"/>
              <w:jc w:val="right"/>
              <w:rPr>
                <w:szCs w:val="16"/>
              </w:rPr>
            </w:pPr>
          </w:p>
        </w:tc>
        <w:tc>
          <w:tcPr>
            <w:tcW w:w="459" w:type="pct"/>
            <w:tcBorders>
              <w:top w:val="single" w:sz="4" w:space="0" w:color="auto"/>
              <w:left w:val="nil"/>
              <w:bottom w:val="nil"/>
              <w:right w:val="nil"/>
            </w:tcBorders>
            <w:vAlign w:val="bottom"/>
          </w:tcPr>
          <w:p w:rsidR="00897C1E" w:rsidRPr="00911315" w:rsidRDefault="00897C1E" w:rsidP="00F104E9">
            <w:pPr>
              <w:pStyle w:val="braytabletext"/>
              <w:jc w:val="right"/>
              <w:rPr>
                <w:szCs w:val="16"/>
              </w:rPr>
            </w:pPr>
          </w:p>
        </w:tc>
        <w:tc>
          <w:tcPr>
            <w:tcW w:w="175" w:type="pct"/>
            <w:tcBorders>
              <w:top w:val="single" w:sz="4" w:space="0" w:color="auto"/>
              <w:left w:val="nil"/>
              <w:bottom w:val="nil"/>
              <w:right w:val="nil"/>
            </w:tcBorders>
            <w:vAlign w:val="bottom"/>
          </w:tcPr>
          <w:p w:rsidR="00897C1E" w:rsidRPr="00911315" w:rsidRDefault="00897C1E" w:rsidP="00F104E9">
            <w:pPr>
              <w:pStyle w:val="braytabletext"/>
              <w:jc w:val="right"/>
              <w:rPr>
                <w:szCs w:val="16"/>
              </w:rPr>
            </w:pPr>
          </w:p>
        </w:tc>
        <w:tc>
          <w:tcPr>
            <w:tcW w:w="477" w:type="pct"/>
            <w:tcBorders>
              <w:top w:val="single" w:sz="4" w:space="0" w:color="auto"/>
              <w:left w:val="nil"/>
              <w:bottom w:val="nil"/>
              <w:right w:val="nil"/>
            </w:tcBorders>
            <w:vAlign w:val="bottom"/>
          </w:tcPr>
          <w:p w:rsidR="00897C1E" w:rsidRPr="00911315" w:rsidRDefault="00897C1E" w:rsidP="00F104E9">
            <w:pPr>
              <w:pStyle w:val="braytabletext"/>
              <w:jc w:val="right"/>
              <w:rPr>
                <w:szCs w:val="16"/>
              </w:rPr>
            </w:pPr>
          </w:p>
        </w:tc>
        <w:tc>
          <w:tcPr>
            <w:tcW w:w="423" w:type="pct"/>
            <w:tcBorders>
              <w:top w:val="single" w:sz="4" w:space="0" w:color="auto"/>
              <w:left w:val="nil"/>
              <w:bottom w:val="nil"/>
              <w:right w:val="nil"/>
            </w:tcBorders>
            <w:vAlign w:val="bottom"/>
          </w:tcPr>
          <w:p w:rsidR="00897C1E" w:rsidRPr="00911315" w:rsidRDefault="00897C1E" w:rsidP="00F104E9">
            <w:pPr>
              <w:pStyle w:val="braytabletext"/>
              <w:jc w:val="right"/>
              <w:rPr>
                <w:szCs w:val="16"/>
              </w:rPr>
            </w:pPr>
          </w:p>
        </w:tc>
      </w:tr>
      <w:tr w:rsidR="00897C1E" w:rsidRPr="00911315" w:rsidTr="00EB68B7">
        <w:trPr>
          <w:trHeight w:val="290"/>
        </w:trPr>
        <w:tc>
          <w:tcPr>
            <w:tcW w:w="1486" w:type="pct"/>
            <w:tcBorders>
              <w:top w:val="nil"/>
              <w:left w:val="nil"/>
              <w:bottom w:val="nil"/>
              <w:right w:val="nil"/>
            </w:tcBorders>
            <w:vAlign w:val="bottom"/>
          </w:tcPr>
          <w:p w:rsidR="00897C1E" w:rsidRPr="00911315" w:rsidRDefault="00897C1E" w:rsidP="00F104E9">
            <w:pPr>
              <w:pStyle w:val="braytabletext"/>
              <w:rPr>
                <w:szCs w:val="16"/>
              </w:rPr>
            </w:pPr>
            <w:r w:rsidRPr="00911315">
              <w:rPr>
                <w:szCs w:val="16"/>
              </w:rPr>
              <w:t>Under 21 years</w:t>
            </w:r>
          </w:p>
        </w:tc>
        <w:tc>
          <w:tcPr>
            <w:tcW w:w="440"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7.4</w:t>
            </w:r>
          </w:p>
        </w:tc>
        <w:tc>
          <w:tcPr>
            <w:tcW w:w="475"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7.7</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0.8</w:t>
            </w:r>
          </w:p>
        </w:tc>
        <w:tc>
          <w:tcPr>
            <w:tcW w:w="398"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3.0</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6.0</w:t>
            </w:r>
          </w:p>
        </w:tc>
        <w:tc>
          <w:tcPr>
            <w:tcW w:w="175"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7.0</w:t>
            </w:r>
          </w:p>
        </w:tc>
        <w:tc>
          <w:tcPr>
            <w:tcW w:w="42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3.8</w:t>
            </w:r>
          </w:p>
        </w:tc>
      </w:tr>
      <w:tr w:rsidR="00897C1E" w:rsidRPr="00911315" w:rsidTr="00EB68B7">
        <w:trPr>
          <w:trHeight w:val="290"/>
        </w:trPr>
        <w:tc>
          <w:tcPr>
            <w:tcW w:w="1486" w:type="pct"/>
            <w:tcBorders>
              <w:top w:val="nil"/>
              <w:left w:val="nil"/>
              <w:bottom w:val="nil"/>
              <w:right w:val="nil"/>
            </w:tcBorders>
            <w:vAlign w:val="bottom"/>
          </w:tcPr>
          <w:p w:rsidR="00897C1E" w:rsidRPr="00911315" w:rsidRDefault="00897C1E" w:rsidP="00F104E9">
            <w:pPr>
              <w:pStyle w:val="braytabletext"/>
              <w:rPr>
                <w:szCs w:val="16"/>
              </w:rPr>
            </w:pPr>
            <w:r w:rsidRPr="00911315">
              <w:rPr>
                <w:szCs w:val="16"/>
              </w:rPr>
              <w:t>21-34 years</w:t>
            </w:r>
          </w:p>
        </w:tc>
        <w:tc>
          <w:tcPr>
            <w:tcW w:w="440"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56.1</w:t>
            </w:r>
          </w:p>
        </w:tc>
        <w:tc>
          <w:tcPr>
            <w:tcW w:w="475"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42.3</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15.6</w:t>
            </w:r>
          </w:p>
        </w:tc>
        <w:tc>
          <w:tcPr>
            <w:tcW w:w="398"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15.2</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44.6</w:t>
            </w:r>
          </w:p>
        </w:tc>
        <w:tc>
          <w:tcPr>
            <w:tcW w:w="175"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42.2</w:t>
            </w:r>
          </w:p>
        </w:tc>
        <w:tc>
          <w:tcPr>
            <w:tcW w:w="42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10.4</w:t>
            </w:r>
          </w:p>
        </w:tc>
      </w:tr>
      <w:tr w:rsidR="00897C1E" w:rsidRPr="00911315" w:rsidTr="00EB68B7">
        <w:trPr>
          <w:trHeight w:val="290"/>
        </w:trPr>
        <w:tc>
          <w:tcPr>
            <w:tcW w:w="1486" w:type="pct"/>
            <w:tcBorders>
              <w:top w:val="nil"/>
              <w:left w:val="nil"/>
              <w:bottom w:val="nil"/>
              <w:right w:val="nil"/>
            </w:tcBorders>
            <w:vAlign w:val="bottom"/>
          </w:tcPr>
          <w:p w:rsidR="00897C1E" w:rsidRPr="00911315" w:rsidRDefault="00897C1E" w:rsidP="00F104E9">
            <w:pPr>
              <w:pStyle w:val="braytabletext"/>
              <w:rPr>
                <w:szCs w:val="16"/>
              </w:rPr>
            </w:pPr>
            <w:r w:rsidRPr="00911315">
              <w:rPr>
                <w:szCs w:val="16"/>
              </w:rPr>
              <w:t>35-54 years</w:t>
            </w:r>
          </w:p>
        </w:tc>
        <w:tc>
          <w:tcPr>
            <w:tcW w:w="440"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30.3</w:t>
            </w:r>
          </w:p>
        </w:tc>
        <w:tc>
          <w:tcPr>
            <w:tcW w:w="475"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47.6</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45.3</w:t>
            </w:r>
          </w:p>
        </w:tc>
        <w:tc>
          <w:tcPr>
            <w:tcW w:w="398"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51.5</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38.0</w:t>
            </w:r>
          </w:p>
        </w:tc>
        <w:tc>
          <w:tcPr>
            <w:tcW w:w="175"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32.7</w:t>
            </w:r>
          </w:p>
        </w:tc>
        <w:tc>
          <w:tcPr>
            <w:tcW w:w="42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17.0</w:t>
            </w:r>
          </w:p>
        </w:tc>
      </w:tr>
      <w:tr w:rsidR="00897C1E" w:rsidRPr="00911315" w:rsidTr="00EB68B7">
        <w:trPr>
          <w:trHeight w:val="290"/>
        </w:trPr>
        <w:tc>
          <w:tcPr>
            <w:tcW w:w="1486" w:type="pct"/>
            <w:tcBorders>
              <w:top w:val="nil"/>
              <w:left w:val="nil"/>
              <w:bottom w:val="nil"/>
              <w:right w:val="nil"/>
            </w:tcBorders>
            <w:vAlign w:val="bottom"/>
          </w:tcPr>
          <w:p w:rsidR="00897C1E" w:rsidRPr="00911315" w:rsidRDefault="00897C1E" w:rsidP="00F104E9">
            <w:pPr>
              <w:pStyle w:val="braytabletext"/>
              <w:rPr>
                <w:szCs w:val="16"/>
              </w:rPr>
            </w:pPr>
            <w:r w:rsidRPr="00911315">
              <w:rPr>
                <w:szCs w:val="16"/>
              </w:rPr>
              <w:t>55-64 years</w:t>
            </w:r>
          </w:p>
        </w:tc>
        <w:tc>
          <w:tcPr>
            <w:tcW w:w="440"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4.9</w:t>
            </w:r>
          </w:p>
        </w:tc>
        <w:tc>
          <w:tcPr>
            <w:tcW w:w="475"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2.4</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24.2</w:t>
            </w:r>
          </w:p>
        </w:tc>
        <w:tc>
          <w:tcPr>
            <w:tcW w:w="398"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27.3</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11.4</w:t>
            </w:r>
          </w:p>
        </w:tc>
        <w:tc>
          <w:tcPr>
            <w:tcW w:w="175"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10.6</w:t>
            </w:r>
          </w:p>
        </w:tc>
        <w:tc>
          <w:tcPr>
            <w:tcW w:w="42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15.1</w:t>
            </w:r>
          </w:p>
        </w:tc>
      </w:tr>
      <w:tr w:rsidR="00897C1E" w:rsidRPr="00911315" w:rsidTr="00EB68B7">
        <w:trPr>
          <w:trHeight w:val="290"/>
        </w:trPr>
        <w:tc>
          <w:tcPr>
            <w:tcW w:w="1486" w:type="pct"/>
            <w:tcBorders>
              <w:top w:val="nil"/>
              <w:left w:val="nil"/>
              <w:bottom w:val="single" w:sz="4" w:space="0" w:color="auto"/>
              <w:right w:val="nil"/>
            </w:tcBorders>
            <w:vAlign w:val="bottom"/>
          </w:tcPr>
          <w:p w:rsidR="00897C1E" w:rsidRPr="00911315" w:rsidRDefault="00897C1E" w:rsidP="00F104E9">
            <w:pPr>
              <w:pStyle w:val="braytabletext"/>
              <w:rPr>
                <w:szCs w:val="16"/>
              </w:rPr>
            </w:pPr>
            <w:r w:rsidRPr="00911315">
              <w:rPr>
                <w:szCs w:val="16"/>
              </w:rPr>
              <w:t>65 + years</w:t>
            </w:r>
          </w:p>
        </w:tc>
        <w:tc>
          <w:tcPr>
            <w:tcW w:w="440" w:type="pct"/>
            <w:tcBorders>
              <w:top w:val="nil"/>
              <w:left w:val="nil"/>
              <w:bottom w:val="single" w:sz="4" w:space="0" w:color="auto"/>
              <w:right w:val="nil"/>
            </w:tcBorders>
            <w:vAlign w:val="bottom"/>
          </w:tcPr>
          <w:p w:rsidR="00897C1E" w:rsidRPr="00911315" w:rsidRDefault="00897C1E" w:rsidP="00F104E9">
            <w:pPr>
              <w:pStyle w:val="braytabletext"/>
              <w:jc w:val="right"/>
              <w:rPr>
                <w:szCs w:val="16"/>
              </w:rPr>
            </w:pPr>
            <w:r w:rsidRPr="00911315">
              <w:rPr>
                <w:szCs w:val="16"/>
              </w:rPr>
              <w:t>1.2</w:t>
            </w:r>
          </w:p>
        </w:tc>
        <w:tc>
          <w:tcPr>
            <w:tcW w:w="475" w:type="pct"/>
            <w:tcBorders>
              <w:top w:val="nil"/>
              <w:left w:val="nil"/>
              <w:bottom w:val="single" w:sz="4" w:space="0" w:color="auto"/>
              <w:right w:val="nil"/>
            </w:tcBorders>
            <w:vAlign w:val="bottom"/>
          </w:tcPr>
          <w:p w:rsidR="00897C1E" w:rsidRPr="00911315" w:rsidRDefault="00897C1E" w:rsidP="00F104E9">
            <w:pPr>
              <w:pStyle w:val="braytabletext"/>
              <w:jc w:val="right"/>
              <w:rPr>
                <w:szCs w:val="16"/>
              </w:rPr>
            </w:pPr>
            <w:r w:rsidRPr="00911315">
              <w:rPr>
                <w:szCs w:val="16"/>
              </w:rPr>
              <w:t>0.0</w:t>
            </w:r>
          </w:p>
        </w:tc>
        <w:tc>
          <w:tcPr>
            <w:tcW w:w="132" w:type="pct"/>
            <w:tcBorders>
              <w:top w:val="nil"/>
              <w:left w:val="nil"/>
              <w:bottom w:val="single" w:sz="4" w:space="0" w:color="auto"/>
              <w:right w:val="nil"/>
            </w:tcBorders>
            <w:vAlign w:val="bottom"/>
          </w:tcPr>
          <w:p w:rsidR="00897C1E" w:rsidRPr="00911315" w:rsidRDefault="00897C1E" w:rsidP="00F104E9">
            <w:pPr>
              <w:pStyle w:val="braytabletext"/>
              <w:jc w:val="right"/>
              <w:rPr>
                <w:szCs w:val="16"/>
              </w:rPr>
            </w:pPr>
          </w:p>
        </w:tc>
        <w:tc>
          <w:tcPr>
            <w:tcW w:w="403" w:type="pct"/>
            <w:tcBorders>
              <w:top w:val="nil"/>
              <w:left w:val="nil"/>
              <w:bottom w:val="single" w:sz="4" w:space="0" w:color="auto"/>
              <w:right w:val="nil"/>
            </w:tcBorders>
            <w:vAlign w:val="bottom"/>
          </w:tcPr>
          <w:p w:rsidR="00897C1E" w:rsidRPr="00911315" w:rsidRDefault="00897C1E" w:rsidP="00F104E9">
            <w:pPr>
              <w:pStyle w:val="braytabletext"/>
              <w:jc w:val="right"/>
              <w:rPr>
                <w:szCs w:val="16"/>
              </w:rPr>
            </w:pPr>
            <w:r w:rsidRPr="00911315">
              <w:rPr>
                <w:szCs w:val="16"/>
              </w:rPr>
              <w:t>14.1</w:t>
            </w:r>
          </w:p>
        </w:tc>
        <w:tc>
          <w:tcPr>
            <w:tcW w:w="398" w:type="pct"/>
            <w:tcBorders>
              <w:top w:val="nil"/>
              <w:left w:val="nil"/>
              <w:bottom w:val="single" w:sz="4" w:space="0" w:color="auto"/>
              <w:right w:val="nil"/>
            </w:tcBorders>
            <w:vAlign w:val="bottom"/>
          </w:tcPr>
          <w:p w:rsidR="00897C1E" w:rsidRPr="00911315" w:rsidRDefault="00897C1E" w:rsidP="00F104E9">
            <w:pPr>
              <w:pStyle w:val="braytabletext"/>
              <w:jc w:val="right"/>
              <w:rPr>
                <w:szCs w:val="16"/>
              </w:rPr>
            </w:pPr>
            <w:r w:rsidRPr="00911315">
              <w:rPr>
                <w:szCs w:val="16"/>
              </w:rPr>
              <w:t>3.0</w:t>
            </w:r>
          </w:p>
        </w:tc>
        <w:tc>
          <w:tcPr>
            <w:tcW w:w="132" w:type="pct"/>
            <w:tcBorders>
              <w:top w:val="nil"/>
              <w:left w:val="nil"/>
              <w:bottom w:val="single" w:sz="4" w:space="0" w:color="auto"/>
              <w:right w:val="nil"/>
            </w:tcBorders>
            <w:vAlign w:val="bottom"/>
          </w:tcPr>
          <w:p w:rsidR="00897C1E" w:rsidRPr="00911315" w:rsidRDefault="00897C1E" w:rsidP="00F104E9">
            <w:pPr>
              <w:pStyle w:val="braytabletext"/>
              <w:jc w:val="right"/>
              <w:rPr>
                <w:szCs w:val="16"/>
              </w:rPr>
            </w:pPr>
          </w:p>
        </w:tc>
        <w:tc>
          <w:tcPr>
            <w:tcW w:w="459" w:type="pct"/>
            <w:tcBorders>
              <w:top w:val="nil"/>
              <w:left w:val="nil"/>
              <w:bottom w:val="single" w:sz="4" w:space="0" w:color="auto"/>
              <w:right w:val="nil"/>
            </w:tcBorders>
            <w:vAlign w:val="bottom"/>
          </w:tcPr>
          <w:p w:rsidR="00897C1E" w:rsidRPr="00911315" w:rsidRDefault="00897C1E" w:rsidP="00F104E9">
            <w:pPr>
              <w:pStyle w:val="braytabletext"/>
              <w:jc w:val="right"/>
              <w:rPr>
                <w:szCs w:val="16"/>
              </w:rPr>
            </w:pPr>
            <w:r w:rsidRPr="00911315">
              <w:rPr>
                <w:szCs w:val="16"/>
              </w:rPr>
              <w:t>0.0</w:t>
            </w:r>
          </w:p>
        </w:tc>
        <w:tc>
          <w:tcPr>
            <w:tcW w:w="175" w:type="pct"/>
            <w:tcBorders>
              <w:top w:val="nil"/>
              <w:left w:val="nil"/>
              <w:bottom w:val="single" w:sz="4" w:space="0" w:color="auto"/>
              <w:right w:val="nil"/>
            </w:tcBorders>
            <w:vAlign w:val="bottom"/>
          </w:tcPr>
          <w:p w:rsidR="00897C1E" w:rsidRPr="00911315" w:rsidRDefault="00897C1E" w:rsidP="00F104E9">
            <w:pPr>
              <w:pStyle w:val="braytabletext"/>
              <w:jc w:val="right"/>
              <w:rPr>
                <w:szCs w:val="16"/>
              </w:rPr>
            </w:pPr>
          </w:p>
        </w:tc>
        <w:tc>
          <w:tcPr>
            <w:tcW w:w="477" w:type="pct"/>
            <w:tcBorders>
              <w:top w:val="nil"/>
              <w:left w:val="nil"/>
              <w:bottom w:val="single" w:sz="4" w:space="0" w:color="auto"/>
              <w:right w:val="nil"/>
            </w:tcBorders>
            <w:vAlign w:val="bottom"/>
          </w:tcPr>
          <w:p w:rsidR="00897C1E" w:rsidRPr="00911315" w:rsidRDefault="00897C1E" w:rsidP="00F104E9">
            <w:pPr>
              <w:pStyle w:val="braytabletext"/>
              <w:jc w:val="right"/>
              <w:rPr>
                <w:szCs w:val="16"/>
              </w:rPr>
            </w:pPr>
            <w:r w:rsidRPr="00911315">
              <w:rPr>
                <w:szCs w:val="16"/>
              </w:rPr>
              <w:t>7.5</w:t>
            </w:r>
          </w:p>
        </w:tc>
        <w:tc>
          <w:tcPr>
            <w:tcW w:w="423" w:type="pct"/>
            <w:tcBorders>
              <w:top w:val="nil"/>
              <w:left w:val="nil"/>
              <w:bottom w:val="single" w:sz="4" w:space="0" w:color="auto"/>
              <w:right w:val="nil"/>
            </w:tcBorders>
            <w:vAlign w:val="bottom"/>
          </w:tcPr>
          <w:p w:rsidR="00897C1E" w:rsidRPr="00911315" w:rsidRDefault="00897C1E" w:rsidP="00F104E9">
            <w:pPr>
              <w:pStyle w:val="braytabletext"/>
              <w:jc w:val="right"/>
              <w:rPr>
                <w:szCs w:val="16"/>
              </w:rPr>
            </w:pPr>
            <w:r w:rsidRPr="00911315">
              <w:rPr>
                <w:szCs w:val="16"/>
              </w:rPr>
              <w:t>53.8</w:t>
            </w:r>
          </w:p>
        </w:tc>
      </w:tr>
      <w:tr w:rsidR="00897C1E" w:rsidRPr="00911315" w:rsidTr="00EB68B7">
        <w:trPr>
          <w:trHeight w:val="290"/>
        </w:trPr>
        <w:tc>
          <w:tcPr>
            <w:tcW w:w="1486" w:type="pct"/>
            <w:tcBorders>
              <w:top w:val="single" w:sz="4" w:space="0" w:color="auto"/>
              <w:left w:val="nil"/>
              <w:bottom w:val="nil"/>
              <w:right w:val="nil"/>
            </w:tcBorders>
            <w:vAlign w:val="bottom"/>
          </w:tcPr>
          <w:p w:rsidR="00897C1E" w:rsidRPr="00911315" w:rsidRDefault="00897C1E" w:rsidP="00F104E9">
            <w:pPr>
              <w:pStyle w:val="braytabletext"/>
              <w:rPr>
                <w:i/>
                <w:szCs w:val="16"/>
              </w:rPr>
            </w:pPr>
            <w:r w:rsidRPr="00911315">
              <w:rPr>
                <w:i/>
                <w:szCs w:val="16"/>
              </w:rPr>
              <w:t>Highest education</w:t>
            </w:r>
          </w:p>
        </w:tc>
        <w:tc>
          <w:tcPr>
            <w:tcW w:w="440" w:type="pct"/>
            <w:tcBorders>
              <w:top w:val="single" w:sz="4" w:space="0" w:color="auto"/>
              <w:left w:val="nil"/>
              <w:bottom w:val="nil"/>
              <w:right w:val="nil"/>
            </w:tcBorders>
            <w:vAlign w:val="bottom"/>
          </w:tcPr>
          <w:p w:rsidR="00897C1E" w:rsidRPr="00911315" w:rsidRDefault="00897C1E" w:rsidP="00F104E9">
            <w:pPr>
              <w:pStyle w:val="braytabletext"/>
              <w:jc w:val="right"/>
              <w:rPr>
                <w:szCs w:val="16"/>
              </w:rPr>
            </w:pPr>
          </w:p>
        </w:tc>
        <w:tc>
          <w:tcPr>
            <w:tcW w:w="475" w:type="pct"/>
            <w:tcBorders>
              <w:top w:val="single" w:sz="4" w:space="0" w:color="auto"/>
              <w:left w:val="nil"/>
              <w:bottom w:val="nil"/>
              <w:right w:val="nil"/>
            </w:tcBorders>
            <w:vAlign w:val="bottom"/>
          </w:tcPr>
          <w:p w:rsidR="00897C1E" w:rsidRPr="00911315" w:rsidRDefault="00897C1E" w:rsidP="00F104E9">
            <w:pPr>
              <w:pStyle w:val="braytabletext"/>
              <w:jc w:val="right"/>
              <w:rPr>
                <w:szCs w:val="16"/>
              </w:rPr>
            </w:pPr>
          </w:p>
        </w:tc>
        <w:tc>
          <w:tcPr>
            <w:tcW w:w="132" w:type="pct"/>
            <w:tcBorders>
              <w:top w:val="single" w:sz="4" w:space="0" w:color="auto"/>
              <w:left w:val="nil"/>
              <w:bottom w:val="nil"/>
              <w:right w:val="nil"/>
            </w:tcBorders>
            <w:vAlign w:val="bottom"/>
          </w:tcPr>
          <w:p w:rsidR="00897C1E" w:rsidRPr="00911315" w:rsidRDefault="00897C1E" w:rsidP="00F104E9">
            <w:pPr>
              <w:pStyle w:val="braytabletext"/>
              <w:jc w:val="right"/>
              <w:rPr>
                <w:szCs w:val="16"/>
              </w:rPr>
            </w:pPr>
          </w:p>
        </w:tc>
        <w:tc>
          <w:tcPr>
            <w:tcW w:w="403" w:type="pct"/>
            <w:tcBorders>
              <w:top w:val="single" w:sz="4" w:space="0" w:color="auto"/>
              <w:left w:val="nil"/>
              <w:bottom w:val="nil"/>
              <w:right w:val="nil"/>
            </w:tcBorders>
            <w:vAlign w:val="bottom"/>
          </w:tcPr>
          <w:p w:rsidR="00897C1E" w:rsidRPr="00911315" w:rsidRDefault="00897C1E" w:rsidP="00F104E9">
            <w:pPr>
              <w:pStyle w:val="braytabletext"/>
              <w:jc w:val="right"/>
              <w:rPr>
                <w:szCs w:val="16"/>
              </w:rPr>
            </w:pPr>
          </w:p>
        </w:tc>
        <w:tc>
          <w:tcPr>
            <w:tcW w:w="398" w:type="pct"/>
            <w:tcBorders>
              <w:top w:val="single" w:sz="4" w:space="0" w:color="auto"/>
              <w:left w:val="nil"/>
              <w:bottom w:val="nil"/>
              <w:right w:val="nil"/>
            </w:tcBorders>
            <w:vAlign w:val="bottom"/>
          </w:tcPr>
          <w:p w:rsidR="00897C1E" w:rsidRPr="00911315" w:rsidRDefault="00897C1E" w:rsidP="00F104E9">
            <w:pPr>
              <w:pStyle w:val="braytabletext"/>
              <w:jc w:val="right"/>
              <w:rPr>
                <w:szCs w:val="16"/>
              </w:rPr>
            </w:pPr>
          </w:p>
        </w:tc>
        <w:tc>
          <w:tcPr>
            <w:tcW w:w="132" w:type="pct"/>
            <w:tcBorders>
              <w:top w:val="single" w:sz="4" w:space="0" w:color="auto"/>
              <w:left w:val="nil"/>
              <w:bottom w:val="nil"/>
              <w:right w:val="nil"/>
            </w:tcBorders>
            <w:vAlign w:val="bottom"/>
          </w:tcPr>
          <w:p w:rsidR="00897C1E" w:rsidRPr="00911315" w:rsidRDefault="00897C1E" w:rsidP="00F104E9">
            <w:pPr>
              <w:pStyle w:val="braytabletext"/>
              <w:jc w:val="right"/>
              <w:rPr>
                <w:szCs w:val="16"/>
              </w:rPr>
            </w:pPr>
          </w:p>
        </w:tc>
        <w:tc>
          <w:tcPr>
            <w:tcW w:w="459" w:type="pct"/>
            <w:tcBorders>
              <w:top w:val="single" w:sz="4" w:space="0" w:color="auto"/>
              <w:left w:val="nil"/>
              <w:bottom w:val="nil"/>
              <w:right w:val="nil"/>
            </w:tcBorders>
            <w:vAlign w:val="bottom"/>
          </w:tcPr>
          <w:p w:rsidR="00897C1E" w:rsidRPr="00911315" w:rsidRDefault="00897C1E" w:rsidP="00F104E9">
            <w:pPr>
              <w:pStyle w:val="braytabletext"/>
              <w:jc w:val="right"/>
              <w:rPr>
                <w:szCs w:val="16"/>
              </w:rPr>
            </w:pPr>
          </w:p>
        </w:tc>
        <w:tc>
          <w:tcPr>
            <w:tcW w:w="175" w:type="pct"/>
            <w:tcBorders>
              <w:top w:val="single" w:sz="4" w:space="0" w:color="auto"/>
              <w:left w:val="nil"/>
              <w:bottom w:val="nil"/>
              <w:right w:val="nil"/>
            </w:tcBorders>
            <w:vAlign w:val="bottom"/>
          </w:tcPr>
          <w:p w:rsidR="00897C1E" w:rsidRPr="00911315" w:rsidRDefault="00897C1E" w:rsidP="00F104E9">
            <w:pPr>
              <w:pStyle w:val="braytabletext"/>
              <w:jc w:val="right"/>
              <w:rPr>
                <w:szCs w:val="16"/>
              </w:rPr>
            </w:pPr>
          </w:p>
        </w:tc>
        <w:tc>
          <w:tcPr>
            <w:tcW w:w="477" w:type="pct"/>
            <w:tcBorders>
              <w:top w:val="single" w:sz="4" w:space="0" w:color="auto"/>
              <w:left w:val="nil"/>
              <w:bottom w:val="nil"/>
              <w:right w:val="nil"/>
            </w:tcBorders>
            <w:vAlign w:val="bottom"/>
          </w:tcPr>
          <w:p w:rsidR="00897C1E" w:rsidRPr="00911315" w:rsidRDefault="00897C1E" w:rsidP="00F104E9">
            <w:pPr>
              <w:pStyle w:val="braytabletext"/>
              <w:jc w:val="right"/>
              <w:rPr>
                <w:szCs w:val="16"/>
              </w:rPr>
            </w:pPr>
          </w:p>
        </w:tc>
        <w:tc>
          <w:tcPr>
            <w:tcW w:w="423" w:type="pct"/>
            <w:tcBorders>
              <w:top w:val="single" w:sz="4" w:space="0" w:color="auto"/>
              <w:left w:val="nil"/>
              <w:bottom w:val="nil"/>
              <w:right w:val="nil"/>
            </w:tcBorders>
            <w:vAlign w:val="bottom"/>
          </w:tcPr>
          <w:p w:rsidR="00897C1E" w:rsidRPr="00911315" w:rsidRDefault="00897C1E" w:rsidP="00F104E9">
            <w:pPr>
              <w:pStyle w:val="braytabletext"/>
              <w:jc w:val="right"/>
              <w:rPr>
                <w:szCs w:val="16"/>
              </w:rPr>
            </w:pPr>
          </w:p>
        </w:tc>
      </w:tr>
      <w:tr w:rsidR="00897C1E" w:rsidRPr="00911315" w:rsidTr="00EB68B7">
        <w:trPr>
          <w:trHeight w:val="290"/>
        </w:trPr>
        <w:tc>
          <w:tcPr>
            <w:tcW w:w="1486" w:type="pct"/>
            <w:tcBorders>
              <w:top w:val="nil"/>
              <w:left w:val="nil"/>
              <w:bottom w:val="nil"/>
              <w:right w:val="nil"/>
            </w:tcBorders>
            <w:vAlign w:val="bottom"/>
          </w:tcPr>
          <w:p w:rsidR="00897C1E" w:rsidRPr="00911315" w:rsidRDefault="00897C1E" w:rsidP="00F104E9">
            <w:pPr>
              <w:pStyle w:val="braytabletext"/>
              <w:rPr>
                <w:szCs w:val="16"/>
              </w:rPr>
            </w:pPr>
            <w:r w:rsidRPr="00911315">
              <w:rPr>
                <w:szCs w:val="16"/>
              </w:rPr>
              <w:t>No school</w:t>
            </w:r>
          </w:p>
        </w:tc>
        <w:tc>
          <w:tcPr>
            <w:tcW w:w="440"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0.8</w:t>
            </w:r>
          </w:p>
        </w:tc>
        <w:tc>
          <w:tcPr>
            <w:tcW w:w="475"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0.0</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10.4</w:t>
            </w:r>
          </w:p>
        </w:tc>
        <w:tc>
          <w:tcPr>
            <w:tcW w:w="398"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3.2</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1.6</w:t>
            </w:r>
          </w:p>
        </w:tc>
        <w:tc>
          <w:tcPr>
            <w:tcW w:w="175"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2.0</w:t>
            </w:r>
          </w:p>
        </w:tc>
        <w:tc>
          <w:tcPr>
            <w:tcW w:w="42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1.0</w:t>
            </w:r>
          </w:p>
        </w:tc>
      </w:tr>
      <w:tr w:rsidR="00897C1E" w:rsidRPr="00911315" w:rsidTr="00EB68B7">
        <w:trPr>
          <w:trHeight w:val="290"/>
        </w:trPr>
        <w:tc>
          <w:tcPr>
            <w:tcW w:w="1486" w:type="pct"/>
            <w:tcBorders>
              <w:top w:val="nil"/>
              <w:left w:val="nil"/>
              <w:bottom w:val="nil"/>
              <w:right w:val="nil"/>
            </w:tcBorders>
            <w:vAlign w:val="bottom"/>
          </w:tcPr>
          <w:p w:rsidR="00897C1E" w:rsidRPr="00911315" w:rsidRDefault="00897C1E" w:rsidP="00F104E9">
            <w:pPr>
              <w:pStyle w:val="braytabletext"/>
              <w:rPr>
                <w:szCs w:val="16"/>
              </w:rPr>
            </w:pPr>
            <w:r w:rsidRPr="00911315">
              <w:rPr>
                <w:szCs w:val="16"/>
              </w:rPr>
              <w:t>Primary only</w:t>
            </w:r>
          </w:p>
        </w:tc>
        <w:tc>
          <w:tcPr>
            <w:tcW w:w="440"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21.4</w:t>
            </w:r>
          </w:p>
        </w:tc>
        <w:tc>
          <w:tcPr>
            <w:tcW w:w="475"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1.8</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37.6</w:t>
            </w:r>
          </w:p>
        </w:tc>
        <w:tc>
          <w:tcPr>
            <w:tcW w:w="398"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9.7</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0.0</w:t>
            </w:r>
          </w:p>
        </w:tc>
        <w:tc>
          <w:tcPr>
            <w:tcW w:w="175"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12.7</w:t>
            </w:r>
          </w:p>
        </w:tc>
        <w:tc>
          <w:tcPr>
            <w:tcW w:w="42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17.3</w:t>
            </w:r>
          </w:p>
        </w:tc>
      </w:tr>
      <w:tr w:rsidR="00897C1E" w:rsidRPr="00911315" w:rsidTr="00EB68B7">
        <w:trPr>
          <w:trHeight w:val="290"/>
        </w:trPr>
        <w:tc>
          <w:tcPr>
            <w:tcW w:w="1486" w:type="pct"/>
            <w:tcBorders>
              <w:top w:val="nil"/>
              <w:left w:val="nil"/>
              <w:bottom w:val="nil"/>
              <w:right w:val="nil"/>
            </w:tcBorders>
            <w:vAlign w:val="bottom"/>
          </w:tcPr>
          <w:p w:rsidR="00897C1E" w:rsidRPr="00911315" w:rsidRDefault="00897C1E" w:rsidP="00F104E9">
            <w:pPr>
              <w:pStyle w:val="braytabletext"/>
              <w:rPr>
                <w:szCs w:val="16"/>
              </w:rPr>
            </w:pPr>
            <w:r w:rsidRPr="00911315">
              <w:rPr>
                <w:szCs w:val="16"/>
              </w:rPr>
              <w:t>Some high school</w:t>
            </w:r>
          </w:p>
        </w:tc>
        <w:tc>
          <w:tcPr>
            <w:tcW w:w="440"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36.2</w:t>
            </w:r>
          </w:p>
        </w:tc>
        <w:tc>
          <w:tcPr>
            <w:tcW w:w="475"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42.2</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22.4</w:t>
            </w:r>
          </w:p>
        </w:tc>
        <w:tc>
          <w:tcPr>
            <w:tcW w:w="398"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61.3</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29.0</w:t>
            </w:r>
          </w:p>
        </w:tc>
        <w:tc>
          <w:tcPr>
            <w:tcW w:w="175"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31.0</w:t>
            </w:r>
          </w:p>
        </w:tc>
        <w:tc>
          <w:tcPr>
            <w:tcW w:w="42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41.3</w:t>
            </w:r>
          </w:p>
        </w:tc>
      </w:tr>
      <w:tr w:rsidR="00897C1E" w:rsidRPr="00911315" w:rsidTr="00EB68B7">
        <w:trPr>
          <w:trHeight w:val="290"/>
        </w:trPr>
        <w:tc>
          <w:tcPr>
            <w:tcW w:w="1486" w:type="pct"/>
            <w:tcBorders>
              <w:top w:val="nil"/>
              <w:left w:val="nil"/>
              <w:bottom w:val="nil"/>
              <w:right w:val="nil"/>
            </w:tcBorders>
            <w:vAlign w:val="bottom"/>
          </w:tcPr>
          <w:p w:rsidR="00897C1E" w:rsidRPr="00911315" w:rsidRDefault="00897C1E" w:rsidP="00F104E9">
            <w:pPr>
              <w:pStyle w:val="braytabletext"/>
              <w:rPr>
                <w:szCs w:val="16"/>
              </w:rPr>
            </w:pPr>
            <w:r w:rsidRPr="00911315">
              <w:rPr>
                <w:szCs w:val="16"/>
              </w:rPr>
              <w:t>Completed high school</w:t>
            </w:r>
          </w:p>
        </w:tc>
        <w:tc>
          <w:tcPr>
            <w:tcW w:w="440"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9.5</w:t>
            </w:r>
          </w:p>
        </w:tc>
        <w:tc>
          <w:tcPr>
            <w:tcW w:w="475"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10.2</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10.4</w:t>
            </w:r>
          </w:p>
        </w:tc>
        <w:tc>
          <w:tcPr>
            <w:tcW w:w="398"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12.9</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12.6</w:t>
            </w:r>
          </w:p>
        </w:tc>
        <w:tc>
          <w:tcPr>
            <w:tcW w:w="175"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15.2</w:t>
            </w:r>
          </w:p>
        </w:tc>
        <w:tc>
          <w:tcPr>
            <w:tcW w:w="42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8.7</w:t>
            </w:r>
          </w:p>
        </w:tc>
      </w:tr>
      <w:tr w:rsidR="00897C1E" w:rsidRPr="00911315" w:rsidTr="00EB68B7">
        <w:trPr>
          <w:trHeight w:val="290"/>
        </w:trPr>
        <w:tc>
          <w:tcPr>
            <w:tcW w:w="1486" w:type="pct"/>
            <w:tcBorders>
              <w:top w:val="nil"/>
              <w:left w:val="nil"/>
              <w:bottom w:val="nil"/>
              <w:right w:val="nil"/>
            </w:tcBorders>
            <w:vAlign w:val="bottom"/>
          </w:tcPr>
          <w:p w:rsidR="00897C1E" w:rsidRPr="00911315" w:rsidRDefault="00897C1E" w:rsidP="00F104E9">
            <w:pPr>
              <w:pStyle w:val="braytabletext"/>
              <w:rPr>
                <w:szCs w:val="16"/>
              </w:rPr>
            </w:pPr>
            <w:r w:rsidRPr="00911315">
              <w:rPr>
                <w:szCs w:val="16"/>
              </w:rPr>
              <w:t>Not comp. high school, certificate</w:t>
            </w:r>
          </w:p>
        </w:tc>
        <w:tc>
          <w:tcPr>
            <w:tcW w:w="440"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22.2</w:t>
            </w:r>
          </w:p>
        </w:tc>
        <w:tc>
          <w:tcPr>
            <w:tcW w:w="475"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27.1</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8.0</w:t>
            </w:r>
          </w:p>
        </w:tc>
        <w:tc>
          <w:tcPr>
            <w:tcW w:w="398"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6.5</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25.7</w:t>
            </w:r>
          </w:p>
        </w:tc>
        <w:tc>
          <w:tcPr>
            <w:tcW w:w="175"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18.3</w:t>
            </w:r>
          </w:p>
        </w:tc>
        <w:tc>
          <w:tcPr>
            <w:tcW w:w="42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6.7</w:t>
            </w:r>
          </w:p>
        </w:tc>
      </w:tr>
      <w:tr w:rsidR="00897C1E" w:rsidRPr="00911315" w:rsidTr="00EB68B7">
        <w:trPr>
          <w:trHeight w:val="290"/>
        </w:trPr>
        <w:tc>
          <w:tcPr>
            <w:tcW w:w="1486" w:type="pct"/>
            <w:tcBorders>
              <w:top w:val="nil"/>
              <w:left w:val="nil"/>
              <w:bottom w:val="nil"/>
              <w:right w:val="nil"/>
            </w:tcBorders>
            <w:vAlign w:val="bottom"/>
          </w:tcPr>
          <w:p w:rsidR="00897C1E" w:rsidRPr="00911315" w:rsidRDefault="00897C1E" w:rsidP="00F104E9">
            <w:pPr>
              <w:pStyle w:val="braytabletext"/>
              <w:rPr>
                <w:szCs w:val="16"/>
              </w:rPr>
            </w:pPr>
            <w:r w:rsidRPr="00911315">
              <w:rPr>
                <w:szCs w:val="16"/>
              </w:rPr>
              <w:t>Trade</w:t>
            </w:r>
          </w:p>
        </w:tc>
        <w:tc>
          <w:tcPr>
            <w:tcW w:w="440"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2.1</w:t>
            </w:r>
          </w:p>
        </w:tc>
        <w:tc>
          <w:tcPr>
            <w:tcW w:w="475"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3.0</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5.6</w:t>
            </w:r>
          </w:p>
        </w:tc>
        <w:tc>
          <w:tcPr>
            <w:tcW w:w="398"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6.5</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4.9</w:t>
            </w:r>
          </w:p>
        </w:tc>
        <w:tc>
          <w:tcPr>
            <w:tcW w:w="175"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3.0</w:t>
            </w:r>
          </w:p>
        </w:tc>
        <w:tc>
          <w:tcPr>
            <w:tcW w:w="42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10.6</w:t>
            </w:r>
          </w:p>
        </w:tc>
      </w:tr>
      <w:tr w:rsidR="00897C1E" w:rsidRPr="00911315" w:rsidTr="00EB68B7">
        <w:trPr>
          <w:trHeight w:val="290"/>
        </w:trPr>
        <w:tc>
          <w:tcPr>
            <w:tcW w:w="1486" w:type="pct"/>
            <w:tcBorders>
              <w:top w:val="nil"/>
              <w:left w:val="nil"/>
              <w:bottom w:val="nil"/>
              <w:right w:val="nil"/>
            </w:tcBorders>
            <w:vAlign w:val="bottom"/>
          </w:tcPr>
          <w:p w:rsidR="00897C1E" w:rsidRPr="00911315" w:rsidRDefault="00897C1E" w:rsidP="00F104E9">
            <w:pPr>
              <w:pStyle w:val="braytabletext"/>
              <w:rPr>
                <w:szCs w:val="16"/>
              </w:rPr>
            </w:pPr>
            <w:r w:rsidRPr="00911315">
              <w:rPr>
                <w:szCs w:val="16"/>
              </w:rPr>
              <w:t>Completed high school, certificate</w:t>
            </w:r>
          </w:p>
        </w:tc>
        <w:tc>
          <w:tcPr>
            <w:tcW w:w="440"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4.5</w:t>
            </w:r>
          </w:p>
        </w:tc>
        <w:tc>
          <w:tcPr>
            <w:tcW w:w="475"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12.7</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4.0</w:t>
            </w:r>
          </w:p>
        </w:tc>
        <w:tc>
          <w:tcPr>
            <w:tcW w:w="398"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0.0</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14.8</w:t>
            </w:r>
          </w:p>
        </w:tc>
        <w:tc>
          <w:tcPr>
            <w:tcW w:w="175"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14.7</w:t>
            </w:r>
          </w:p>
        </w:tc>
        <w:tc>
          <w:tcPr>
            <w:tcW w:w="42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1.0</w:t>
            </w:r>
          </w:p>
        </w:tc>
      </w:tr>
      <w:tr w:rsidR="00897C1E" w:rsidRPr="00911315" w:rsidTr="00EB68B7">
        <w:trPr>
          <w:trHeight w:val="290"/>
        </w:trPr>
        <w:tc>
          <w:tcPr>
            <w:tcW w:w="1486" w:type="pct"/>
            <w:tcBorders>
              <w:top w:val="nil"/>
              <w:left w:val="nil"/>
              <w:bottom w:val="nil"/>
              <w:right w:val="nil"/>
            </w:tcBorders>
            <w:vAlign w:val="bottom"/>
          </w:tcPr>
          <w:p w:rsidR="00897C1E" w:rsidRPr="00911315" w:rsidRDefault="00897C1E" w:rsidP="00F104E9">
            <w:pPr>
              <w:pStyle w:val="braytabletext"/>
              <w:rPr>
                <w:szCs w:val="16"/>
              </w:rPr>
            </w:pPr>
            <w:r w:rsidRPr="00911315">
              <w:rPr>
                <w:szCs w:val="16"/>
              </w:rPr>
              <w:t>Diploma</w:t>
            </w:r>
          </w:p>
        </w:tc>
        <w:tc>
          <w:tcPr>
            <w:tcW w:w="440"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1.2</w:t>
            </w:r>
          </w:p>
        </w:tc>
        <w:tc>
          <w:tcPr>
            <w:tcW w:w="475"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2.4</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0.0</w:t>
            </w:r>
          </w:p>
        </w:tc>
        <w:tc>
          <w:tcPr>
            <w:tcW w:w="398"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0.0</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5.5</w:t>
            </w:r>
          </w:p>
        </w:tc>
        <w:tc>
          <w:tcPr>
            <w:tcW w:w="175"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2.0</w:t>
            </w:r>
          </w:p>
        </w:tc>
        <w:tc>
          <w:tcPr>
            <w:tcW w:w="42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4.8</w:t>
            </w:r>
          </w:p>
        </w:tc>
      </w:tr>
      <w:tr w:rsidR="00897C1E" w:rsidRPr="00911315" w:rsidTr="00EB68B7">
        <w:trPr>
          <w:trHeight w:val="290"/>
        </w:trPr>
        <w:tc>
          <w:tcPr>
            <w:tcW w:w="1486" w:type="pct"/>
            <w:tcBorders>
              <w:top w:val="nil"/>
              <w:left w:val="nil"/>
              <w:bottom w:val="nil"/>
              <w:right w:val="nil"/>
            </w:tcBorders>
            <w:vAlign w:val="bottom"/>
          </w:tcPr>
          <w:p w:rsidR="00897C1E" w:rsidRPr="00911315" w:rsidRDefault="00897C1E" w:rsidP="00F104E9">
            <w:pPr>
              <w:pStyle w:val="braytabletext"/>
              <w:rPr>
                <w:szCs w:val="16"/>
              </w:rPr>
            </w:pPr>
            <w:r w:rsidRPr="00911315">
              <w:rPr>
                <w:szCs w:val="16"/>
              </w:rPr>
              <w:t>Degree</w:t>
            </w:r>
          </w:p>
        </w:tc>
        <w:tc>
          <w:tcPr>
            <w:tcW w:w="440"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2.1</w:t>
            </w:r>
          </w:p>
        </w:tc>
        <w:tc>
          <w:tcPr>
            <w:tcW w:w="475"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0.6</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1.6</w:t>
            </w:r>
          </w:p>
        </w:tc>
        <w:tc>
          <w:tcPr>
            <w:tcW w:w="398"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0.0</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6.0</w:t>
            </w:r>
          </w:p>
        </w:tc>
        <w:tc>
          <w:tcPr>
            <w:tcW w:w="175"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1.0</w:t>
            </w:r>
          </w:p>
        </w:tc>
        <w:tc>
          <w:tcPr>
            <w:tcW w:w="42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8.7</w:t>
            </w:r>
          </w:p>
        </w:tc>
      </w:tr>
      <w:tr w:rsidR="00897C1E" w:rsidRPr="00911315" w:rsidTr="00EB68B7">
        <w:trPr>
          <w:trHeight w:val="290"/>
        </w:trPr>
        <w:tc>
          <w:tcPr>
            <w:tcW w:w="1486" w:type="pct"/>
            <w:tcBorders>
              <w:top w:val="nil"/>
              <w:left w:val="nil"/>
              <w:bottom w:val="nil"/>
              <w:right w:val="nil"/>
            </w:tcBorders>
            <w:vAlign w:val="bottom"/>
          </w:tcPr>
          <w:p w:rsidR="00897C1E" w:rsidRPr="00911315" w:rsidRDefault="00897C1E" w:rsidP="00F104E9">
            <w:pPr>
              <w:pStyle w:val="braytabletext"/>
              <w:rPr>
                <w:szCs w:val="16"/>
              </w:rPr>
            </w:pPr>
            <w:r w:rsidRPr="00911315">
              <w:rPr>
                <w:szCs w:val="16"/>
              </w:rPr>
              <w:t>Gender</w:t>
            </w:r>
          </w:p>
        </w:tc>
        <w:tc>
          <w:tcPr>
            <w:tcW w:w="440"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75"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398"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175"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23" w:type="pct"/>
            <w:tcBorders>
              <w:top w:val="nil"/>
              <w:left w:val="nil"/>
              <w:bottom w:val="nil"/>
              <w:right w:val="nil"/>
            </w:tcBorders>
            <w:vAlign w:val="bottom"/>
          </w:tcPr>
          <w:p w:rsidR="00897C1E" w:rsidRPr="00911315" w:rsidRDefault="00897C1E" w:rsidP="00F104E9">
            <w:pPr>
              <w:pStyle w:val="braytabletext"/>
              <w:jc w:val="right"/>
              <w:rPr>
                <w:szCs w:val="16"/>
              </w:rPr>
            </w:pPr>
          </w:p>
        </w:tc>
      </w:tr>
      <w:tr w:rsidR="00897C1E" w:rsidRPr="00911315" w:rsidTr="00EB68B7">
        <w:trPr>
          <w:trHeight w:val="290"/>
        </w:trPr>
        <w:tc>
          <w:tcPr>
            <w:tcW w:w="1486" w:type="pct"/>
            <w:tcBorders>
              <w:top w:val="nil"/>
              <w:left w:val="nil"/>
              <w:bottom w:val="single" w:sz="4" w:space="0" w:color="auto"/>
              <w:right w:val="nil"/>
            </w:tcBorders>
            <w:vAlign w:val="bottom"/>
          </w:tcPr>
          <w:p w:rsidR="00897C1E" w:rsidRPr="00911315" w:rsidRDefault="00897C1E" w:rsidP="00F104E9">
            <w:pPr>
              <w:pStyle w:val="braytabletext"/>
              <w:rPr>
                <w:szCs w:val="16"/>
              </w:rPr>
            </w:pPr>
            <w:r w:rsidRPr="00911315">
              <w:rPr>
                <w:szCs w:val="16"/>
              </w:rPr>
              <w:t>Female</w:t>
            </w:r>
          </w:p>
        </w:tc>
        <w:tc>
          <w:tcPr>
            <w:tcW w:w="440" w:type="pct"/>
            <w:tcBorders>
              <w:top w:val="nil"/>
              <w:left w:val="nil"/>
              <w:bottom w:val="single" w:sz="4" w:space="0" w:color="auto"/>
              <w:right w:val="nil"/>
            </w:tcBorders>
            <w:vAlign w:val="bottom"/>
          </w:tcPr>
          <w:p w:rsidR="00897C1E" w:rsidRPr="00911315" w:rsidRDefault="00897C1E" w:rsidP="00F104E9">
            <w:pPr>
              <w:pStyle w:val="braytabletext"/>
              <w:jc w:val="right"/>
              <w:rPr>
                <w:szCs w:val="16"/>
              </w:rPr>
            </w:pPr>
            <w:r w:rsidRPr="00911315">
              <w:rPr>
                <w:szCs w:val="16"/>
              </w:rPr>
              <w:t>75.0</w:t>
            </w:r>
          </w:p>
        </w:tc>
        <w:tc>
          <w:tcPr>
            <w:tcW w:w="475" w:type="pct"/>
            <w:tcBorders>
              <w:top w:val="nil"/>
              <w:left w:val="nil"/>
              <w:bottom w:val="single" w:sz="4" w:space="0" w:color="auto"/>
              <w:right w:val="nil"/>
            </w:tcBorders>
            <w:vAlign w:val="bottom"/>
          </w:tcPr>
          <w:p w:rsidR="00897C1E" w:rsidRPr="00911315" w:rsidRDefault="00897C1E" w:rsidP="00F104E9">
            <w:pPr>
              <w:pStyle w:val="braytabletext"/>
              <w:jc w:val="right"/>
              <w:rPr>
                <w:szCs w:val="16"/>
              </w:rPr>
            </w:pPr>
            <w:r w:rsidRPr="00911315">
              <w:rPr>
                <w:szCs w:val="16"/>
              </w:rPr>
              <w:t>75.0</w:t>
            </w:r>
          </w:p>
        </w:tc>
        <w:tc>
          <w:tcPr>
            <w:tcW w:w="132" w:type="pct"/>
            <w:tcBorders>
              <w:top w:val="nil"/>
              <w:left w:val="nil"/>
              <w:bottom w:val="single" w:sz="4" w:space="0" w:color="auto"/>
              <w:right w:val="nil"/>
            </w:tcBorders>
            <w:vAlign w:val="bottom"/>
          </w:tcPr>
          <w:p w:rsidR="00897C1E" w:rsidRPr="00911315" w:rsidRDefault="00897C1E" w:rsidP="00F104E9">
            <w:pPr>
              <w:pStyle w:val="braytabletext"/>
              <w:jc w:val="right"/>
              <w:rPr>
                <w:szCs w:val="16"/>
              </w:rPr>
            </w:pPr>
          </w:p>
        </w:tc>
        <w:tc>
          <w:tcPr>
            <w:tcW w:w="403" w:type="pct"/>
            <w:tcBorders>
              <w:top w:val="nil"/>
              <w:left w:val="nil"/>
              <w:bottom w:val="single" w:sz="4" w:space="0" w:color="auto"/>
              <w:right w:val="nil"/>
            </w:tcBorders>
            <w:vAlign w:val="bottom"/>
          </w:tcPr>
          <w:p w:rsidR="00897C1E" w:rsidRPr="00911315" w:rsidRDefault="00897C1E" w:rsidP="00F104E9">
            <w:pPr>
              <w:pStyle w:val="braytabletext"/>
              <w:jc w:val="right"/>
              <w:rPr>
                <w:szCs w:val="16"/>
              </w:rPr>
            </w:pPr>
            <w:r w:rsidRPr="00911315">
              <w:rPr>
                <w:szCs w:val="16"/>
              </w:rPr>
              <w:t>63.3</w:t>
            </w:r>
          </w:p>
        </w:tc>
        <w:tc>
          <w:tcPr>
            <w:tcW w:w="398" w:type="pct"/>
            <w:tcBorders>
              <w:top w:val="nil"/>
              <w:left w:val="nil"/>
              <w:bottom w:val="single" w:sz="4" w:space="0" w:color="auto"/>
              <w:right w:val="nil"/>
            </w:tcBorders>
            <w:vAlign w:val="bottom"/>
          </w:tcPr>
          <w:p w:rsidR="00897C1E" w:rsidRPr="00911315" w:rsidRDefault="00897C1E" w:rsidP="00F104E9">
            <w:pPr>
              <w:pStyle w:val="braytabletext"/>
              <w:jc w:val="right"/>
              <w:rPr>
                <w:szCs w:val="16"/>
              </w:rPr>
            </w:pPr>
            <w:r w:rsidRPr="00911315">
              <w:rPr>
                <w:szCs w:val="16"/>
              </w:rPr>
              <w:t>51.5</w:t>
            </w:r>
          </w:p>
        </w:tc>
        <w:tc>
          <w:tcPr>
            <w:tcW w:w="132" w:type="pct"/>
            <w:tcBorders>
              <w:top w:val="nil"/>
              <w:left w:val="nil"/>
              <w:bottom w:val="single" w:sz="4" w:space="0" w:color="auto"/>
              <w:right w:val="nil"/>
            </w:tcBorders>
            <w:vAlign w:val="bottom"/>
          </w:tcPr>
          <w:p w:rsidR="00897C1E" w:rsidRPr="00911315" w:rsidRDefault="00897C1E" w:rsidP="00F104E9">
            <w:pPr>
              <w:pStyle w:val="braytabletext"/>
              <w:jc w:val="right"/>
              <w:rPr>
                <w:szCs w:val="16"/>
              </w:rPr>
            </w:pPr>
          </w:p>
        </w:tc>
        <w:tc>
          <w:tcPr>
            <w:tcW w:w="459" w:type="pct"/>
            <w:tcBorders>
              <w:top w:val="nil"/>
              <w:left w:val="nil"/>
              <w:bottom w:val="single" w:sz="4" w:space="0" w:color="auto"/>
              <w:right w:val="nil"/>
            </w:tcBorders>
            <w:vAlign w:val="bottom"/>
          </w:tcPr>
          <w:p w:rsidR="00897C1E" w:rsidRPr="00911315" w:rsidRDefault="00897C1E" w:rsidP="00F104E9">
            <w:pPr>
              <w:pStyle w:val="braytabletext"/>
              <w:jc w:val="right"/>
              <w:rPr>
                <w:szCs w:val="16"/>
              </w:rPr>
            </w:pPr>
            <w:r w:rsidRPr="00911315">
              <w:rPr>
                <w:szCs w:val="16"/>
              </w:rPr>
              <w:t>58.7</w:t>
            </w:r>
          </w:p>
        </w:tc>
        <w:tc>
          <w:tcPr>
            <w:tcW w:w="175" w:type="pct"/>
            <w:tcBorders>
              <w:top w:val="nil"/>
              <w:left w:val="nil"/>
              <w:bottom w:val="single" w:sz="4" w:space="0" w:color="auto"/>
              <w:right w:val="nil"/>
            </w:tcBorders>
            <w:vAlign w:val="bottom"/>
          </w:tcPr>
          <w:p w:rsidR="00897C1E" w:rsidRPr="00911315" w:rsidRDefault="00897C1E" w:rsidP="00F104E9">
            <w:pPr>
              <w:pStyle w:val="braytabletext"/>
              <w:jc w:val="right"/>
              <w:rPr>
                <w:szCs w:val="16"/>
              </w:rPr>
            </w:pPr>
          </w:p>
        </w:tc>
        <w:tc>
          <w:tcPr>
            <w:tcW w:w="477" w:type="pct"/>
            <w:tcBorders>
              <w:top w:val="nil"/>
              <w:left w:val="nil"/>
              <w:bottom w:val="single" w:sz="4" w:space="0" w:color="auto"/>
              <w:right w:val="nil"/>
            </w:tcBorders>
            <w:vAlign w:val="bottom"/>
          </w:tcPr>
          <w:p w:rsidR="00897C1E" w:rsidRPr="00911315" w:rsidRDefault="00897C1E" w:rsidP="00F104E9">
            <w:pPr>
              <w:pStyle w:val="braytabletext"/>
              <w:jc w:val="right"/>
              <w:rPr>
                <w:szCs w:val="16"/>
              </w:rPr>
            </w:pPr>
            <w:r w:rsidRPr="00911315">
              <w:rPr>
                <w:szCs w:val="16"/>
              </w:rPr>
              <w:t>67.3</w:t>
            </w:r>
          </w:p>
        </w:tc>
        <w:tc>
          <w:tcPr>
            <w:tcW w:w="423" w:type="pct"/>
            <w:tcBorders>
              <w:top w:val="nil"/>
              <w:left w:val="nil"/>
              <w:bottom w:val="single" w:sz="4" w:space="0" w:color="auto"/>
              <w:right w:val="nil"/>
            </w:tcBorders>
            <w:vAlign w:val="bottom"/>
          </w:tcPr>
          <w:p w:rsidR="00897C1E" w:rsidRPr="00911315" w:rsidRDefault="00897C1E" w:rsidP="00F104E9">
            <w:pPr>
              <w:pStyle w:val="braytabletext"/>
              <w:jc w:val="right"/>
              <w:rPr>
                <w:szCs w:val="16"/>
              </w:rPr>
            </w:pPr>
            <w:r w:rsidRPr="00911315">
              <w:rPr>
                <w:szCs w:val="16"/>
              </w:rPr>
              <w:t>52.8</w:t>
            </w:r>
          </w:p>
        </w:tc>
      </w:tr>
    </w:tbl>
    <w:p w:rsidR="00897C1E" w:rsidRPr="005911E2" w:rsidRDefault="008E57A0" w:rsidP="008E57A0">
      <w:pPr>
        <w:ind w:left="0"/>
      </w:pPr>
      <w:r>
        <w:t>Cont.</w:t>
      </w:r>
    </w:p>
    <w:p w:rsidR="00897C1E" w:rsidRPr="005911E2" w:rsidRDefault="00897C1E" w:rsidP="00897C1E">
      <w:pPr>
        <w:keepNext/>
      </w:pPr>
      <w:r w:rsidRPr="005911E2">
        <w:t>Table 10-2 cont</w:t>
      </w:r>
    </w:p>
    <w:tbl>
      <w:tblPr>
        <w:tblW w:w="4920" w:type="pct"/>
        <w:tblLayout w:type="fixed"/>
        <w:tblLook w:val="0000" w:firstRow="0" w:lastRow="0" w:firstColumn="0" w:lastColumn="0" w:noHBand="0" w:noVBand="0"/>
      </w:tblPr>
      <w:tblGrid>
        <w:gridCol w:w="2660"/>
        <w:gridCol w:w="788"/>
        <w:gridCol w:w="850"/>
        <w:gridCol w:w="236"/>
        <w:gridCol w:w="721"/>
        <w:gridCol w:w="712"/>
        <w:gridCol w:w="236"/>
        <w:gridCol w:w="822"/>
        <w:gridCol w:w="313"/>
        <w:gridCol w:w="854"/>
        <w:gridCol w:w="757"/>
      </w:tblGrid>
      <w:tr w:rsidR="00897C1E" w:rsidRPr="00911315" w:rsidTr="00F104E9">
        <w:trPr>
          <w:trHeight w:val="290"/>
        </w:trPr>
        <w:tc>
          <w:tcPr>
            <w:tcW w:w="1486" w:type="pct"/>
            <w:tcBorders>
              <w:top w:val="single" w:sz="6" w:space="0" w:color="auto"/>
              <w:left w:val="nil"/>
              <w:bottom w:val="nil"/>
              <w:right w:val="nil"/>
            </w:tcBorders>
            <w:vAlign w:val="bottom"/>
          </w:tcPr>
          <w:p w:rsidR="00897C1E" w:rsidRPr="00911315" w:rsidRDefault="00897C1E" w:rsidP="00F104E9">
            <w:pPr>
              <w:pStyle w:val="braytabletext"/>
              <w:rPr>
                <w:szCs w:val="16"/>
              </w:rPr>
            </w:pPr>
          </w:p>
        </w:tc>
        <w:tc>
          <w:tcPr>
            <w:tcW w:w="2439" w:type="pct"/>
            <w:gridSpan w:val="7"/>
            <w:tcBorders>
              <w:top w:val="single" w:sz="6" w:space="0" w:color="auto"/>
              <w:left w:val="nil"/>
              <w:bottom w:val="single" w:sz="6" w:space="0" w:color="auto"/>
              <w:right w:val="nil"/>
            </w:tcBorders>
            <w:vAlign w:val="bottom"/>
          </w:tcPr>
          <w:p w:rsidR="00897C1E" w:rsidRPr="00911315" w:rsidRDefault="00897C1E" w:rsidP="00F104E9">
            <w:pPr>
              <w:pStyle w:val="braytabletext"/>
              <w:rPr>
                <w:szCs w:val="16"/>
              </w:rPr>
            </w:pPr>
            <w:r w:rsidRPr="00911315">
              <w:rPr>
                <w:szCs w:val="16"/>
              </w:rPr>
              <w:t>Northern Territory IM</w:t>
            </w:r>
          </w:p>
        </w:tc>
        <w:tc>
          <w:tcPr>
            <w:tcW w:w="175" w:type="pct"/>
            <w:tcBorders>
              <w:top w:val="single" w:sz="6" w:space="0" w:color="auto"/>
              <w:left w:val="nil"/>
              <w:bottom w:val="nil"/>
              <w:right w:val="nil"/>
            </w:tcBorders>
            <w:vAlign w:val="bottom"/>
          </w:tcPr>
          <w:p w:rsidR="00897C1E" w:rsidRPr="00911315" w:rsidRDefault="00897C1E" w:rsidP="00F104E9">
            <w:pPr>
              <w:pStyle w:val="braytabletext"/>
              <w:rPr>
                <w:szCs w:val="16"/>
              </w:rPr>
            </w:pPr>
          </w:p>
        </w:tc>
        <w:tc>
          <w:tcPr>
            <w:tcW w:w="900" w:type="pct"/>
            <w:gridSpan w:val="2"/>
            <w:tcBorders>
              <w:top w:val="single" w:sz="6" w:space="0" w:color="auto"/>
              <w:left w:val="nil"/>
              <w:bottom w:val="single" w:sz="6" w:space="0" w:color="auto"/>
              <w:right w:val="nil"/>
            </w:tcBorders>
            <w:vAlign w:val="bottom"/>
          </w:tcPr>
          <w:p w:rsidR="00897C1E" w:rsidRPr="00911315" w:rsidRDefault="00897C1E" w:rsidP="00F104E9">
            <w:pPr>
              <w:pStyle w:val="braytabletext"/>
              <w:rPr>
                <w:szCs w:val="16"/>
              </w:rPr>
            </w:pPr>
            <w:r w:rsidRPr="00911315">
              <w:rPr>
                <w:szCs w:val="16"/>
              </w:rPr>
              <w:t>Contrast sites</w:t>
            </w:r>
          </w:p>
        </w:tc>
      </w:tr>
      <w:tr w:rsidR="00897C1E" w:rsidRPr="00911315" w:rsidTr="008A1D49">
        <w:trPr>
          <w:trHeight w:val="290"/>
        </w:trPr>
        <w:tc>
          <w:tcPr>
            <w:tcW w:w="1486" w:type="pct"/>
            <w:tcBorders>
              <w:top w:val="nil"/>
              <w:left w:val="nil"/>
              <w:bottom w:val="nil"/>
              <w:right w:val="nil"/>
            </w:tcBorders>
            <w:vAlign w:val="bottom"/>
          </w:tcPr>
          <w:p w:rsidR="00897C1E" w:rsidRPr="00911315" w:rsidRDefault="00897C1E" w:rsidP="00F104E9">
            <w:pPr>
              <w:pStyle w:val="braytabletext"/>
              <w:rPr>
                <w:szCs w:val="16"/>
              </w:rPr>
            </w:pPr>
          </w:p>
        </w:tc>
        <w:tc>
          <w:tcPr>
            <w:tcW w:w="1848" w:type="pct"/>
            <w:gridSpan w:val="5"/>
            <w:tcBorders>
              <w:top w:val="single" w:sz="6" w:space="0" w:color="auto"/>
              <w:left w:val="nil"/>
              <w:bottom w:val="single" w:sz="6" w:space="0" w:color="auto"/>
              <w:right w:val="nil"/>
            </w:tcBorders>
          </w:tcPr>
          <w:p w:rsidR="00897C1E" w:rsidRPr="00911315" w:rsidRDefault="00897C1E" w:rsidP="00F104E9">
            <w:pPr>
              <w:pStyle w:val="braytabletext"/>
              <w:rPr>
                <w:szCs w:val="16"/>
              </w:rPr>
            </w:pPr>
            <w:r w:rsidRPr="00911315">
              <w:rPr>
                <w:szCs w:val="16"/>
              </w:rPr>
              <w:t>Indigenous</w:t>
            </w:r>
          </w:p>
        </w:tc>
        <w:tc>
          <w:tcPr>
            <w:tcW w:w="132" w:type="pct"/>
            <w:tcBorders>
              <w:top w:val="single" w:sz="6" w:space="0" w:color="auto"/>
              <w:left w:val="nil"/>
              <w:bottom w:val="nil"/>
              <w:right w:val="nil"/>
            </w:tcBorders>
            <w:vAlign w:val="bottom"/>
          </w:tcPr>
          <w:p w:rsidR="00897C1E" w:rsidRPr="00911315" w:rsidRDefault="00897C1E" w:rsidP="00F104E9">
            <w:pPr>
              <w:pStyle w:val="braytabletext"/>
              <w:jc w:val="right"/>
              <w:rPr>
                <w:szCs w:val="16"/>
              </w:rPr>
            </w:pPr>
          </w:p>
        </w:tc>
        <w:tc>
          <w:tcPr>
            <w:tcW w:w="459" w:type="pct"/>
            <w:tcBorders>
              <w:top w:val="single" w:sz="6" w:space="0" w:color="auto"/>
              <w:left w:val="nil"/>
              <w:bottom w:val="single" w:sz="4" w:space="0" w:color="auto"/>
              <w:right w:val="nil"/>
            </w:tcBorders>
          </w:tcPr>
          <w:p w:rsidR="00897C1E" w:rsidRPr="00911315" w:rsidRDefault="00897C1E" w:rsidP="008A1D49">
            <w:pPr>
              <w:pStyle w:val="braytabletext"/>
              <w:rPr>
                <w:szCs w:val="16"/>
              </w:rPr>
            </w:pPr>
            <w:r w:rsidRPr="00911315">
              <w:rPr>
                <w:szCs w:val="16"/>
              </w:rPr>
              <w:t>Non</w:t>
            </w:r>
            <w:r w:rsidR="006435C8">
              <w:rPr>
                <w:szCs w:val="16"/>
              </w:rPr>
              <w:t>-</w:t>
            </w:r>
            <w:r w:rsidRPr="00911315">
              <w:rPr>
                <w:szCs w:val="16"/>
              </w:rPr>
              <w:t xml:space="preserve"> Indig-</w:t>
            </w:r>
            <w:r w:rsidR="00614538" w:rsidRPr="00911315">
              <w:rPr>
                <w:szCs w:val="16"/>
              </w:rPr>
              <w:t xml:space="preserve">enous </w:t>
            </w:r>
          </w:p>
        </w:tc>
        <w:tc>
          <w:tcPr>
            <w:tcW w:w="175"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77" w:type="pct"/>
            <w:tcBorders>
              <w:top w:val="single" w:sz="6" w:space="0" w:color="auto"/>
              <w:left w:val="nil"/>
              <w:bottom w:val="nil"/>
              <w:right w:val="nil"/>
            </w:tcBorders>
          </w:tcPr>
          <w:p w:rsidR="00897C1E" w:rsidRPr="00911315" w:rsidRDefault="00897C1E" w:rsidP="00F104E9">
            <w:pPr>
              <w:pStyle w:val="braytabletext"/>
              <w:jc w:val="right"/>
              <w:rPr>
                <w:szCs w:val="16"/>
              </w:rPr>
            </w:pPr>
            <w:r w:rsidRPr="00911315">
              <w:rPr>
                <w:szCs w:val="16"/>
              </w:rPr>
              <w:t>Indig-enous</w:t>
            </w:r>
          </w:p>
        </w:tc>
        <w:tc>
          <w:tcPr>
            <w:tcW w:w="423" w:type="pct"/>
            <w:tcBorders>
              <w:top w:val="single" w:sz="6" w:space="0" w:color="auto"/>
              <w:left w:val="nil"/>
              <w:bottom w:val="nil"/>
              <w:right w:val="nil"/>
            </w:tcBorders>
          </w:tcPr>
          <w:p w:rsidR="00897C1E" w:rsidRPr="00911315" w:rsidRDefault="00897C1E" w:rsidP="00F104E9">
            <w:pPr>
              <w:pStyle w:val="braytabletext"/>
              <w:jc w:val="right"/>
              <w:rPr>
                <w:szCs w:val="16"/>
              </w:rPr>
            </w:pPr>
            <w:r w:rsidRPr="00911315">
              <w:rPr>
                <w:szCs w:val="16"/>
              </w:rPr>
              <w:t>Non-Indig-enous</w:t>
            </w:r>
          </w:p>
        </w:tc>
      </w:tr>
      <w:tr w:rsidR="00657163" w:rsidRPr="00911315" w:rsidTr="00CF518E">
        <w:trPr>
          <w:trHeight w:val="290"/>
        </w:trPr>
        <w:tc>
          <w:tcPr>
            <w:tcW w:w="1486" w:type="pct"/>
            <w:tcBorders>
              <w:top w:val="nil"/>
              <w:left w:val="nil"/>
              <w:bottom w:val="nil"/>
              <w:right w:val="nil"/>
            </w:tcBorders>
            <w:vAlign w:val="bottom"/>
          </w:tcPr>
          <w:p w:rsidR="00657163" w:rsidRPr="00911315" w:rsidRDefault="00657163" w:rsidP="00F104E9">
            <w:pPr>
              <w:pStyle w:val="braytabletext"/>
              <w:rPr>
                <w:szCs w:val="16"/>
              </w:rPr>
            </w:pPr>
          </w:p>
        </w:tc>
        <w:tc>
          <w:tcPr>
            <w:tcW w:w="915" w:type="pct"/>
            <w:gridSpan w:val="2"/>
            <w:tcBorders>
              <w:top w:val="single" w:sz="6" w:space="0" w:color="auto"/>
              <w:left w:val="nil"/>
              <w:bottom w:val="single" w:sz="6" w:space="0" w:color="auto"/>
              <w:right w:val="nil"/>
            </w:tcBorders>
            <w:vAlign w:val="bottom"/>
          </w:tcPr>
          <w:p w:rsidR="00657163" w:rsidRPr="00911315" w:rsidRDefault="00657163" w:rsidP="00657163">
            <w:pPr>
              <w:pStyle w:val="braytabletext"/>
              <w:rPr>
                <w:szCs w:val="16"/>
              </w:rPr>
            </w:pPr>
            <w:r w:rsidRPr="00911315">
              <w:rPr>
                <w:szCs w:val="16"/>
              </w:rPr>
              <w:t xml:space="preserve">Compulsory </w:t>
            </w:r>
          </w:p>
        </w:tc>
        <w:tc>
          <w:tcPr>
            <w:tcW w:w="132" w:type="pct"/>
            <w:tcBorders>
              <w:top w:val="single" w:sz="6" w:space="0" w:color="auto"/>
              <w:left w:val="nil"/>
              <w:bottom w:val="nil"/>
              <w:right w:val="nil"/>
            </w:tcBorders>
            <w:vAlign w:val="bottom"/>
          </w:tcPr>
          <w:p w:rsidR="00657163" w:rsidRPr="00911315" w:rsidRDefault="00657163" w:rsidP="00F104E9">
            <w:pPr>
              <w:pStyle w:val="braytabletext"/>
              <w:rPr>
                <w:szCs w:val="16"/>
              </w:rPr>
            </w:pPr>
          </w:p>
        </w:tc>
        <w:tc>
          <w:tcPr>
            <w:tcW w:w="801" w:type="pct"/>
            <w:gridSpan w:val="2"/>
            <w:tcBorders>
              <w:top w:val="single" w:sz="6" w:space="0" w:color="auto"/>
              <w:left w:val="nil"/>
              <w:bottom w:val="single" w:sz="6" w:space="0" w:color="auto"/>
              <w:right w:val="nil"/>
            </w:tcBorders>
          </w:tcPr>
          <w:p w:rsidR="00657163" w:rsidRPr="00911315" w:rsidRDefault="00657163" w:rsidP="00657163">
            <w:pPr>
              <w:pStyle w:val="braytabletext"/>
              <w:rPr>
                <w:szCs w:val="16"/>
              </w:rPr>
            </w:pPr>
            <w:r w:rsidRPr="00911315">
              <w:rPr>
                <w:szCs w:val="16"/>
              </w:rPr>
              <w:t xml:space="preserve">Voluntary </w:t>
            </w:r>
          </w:p>
        </w:tc>
        <w:tc>
          <w:tcPr>
            <w:tcW w:w="132" w:type="pct"/>
            <w:tcBorders>
              <w:top w:val="nil"/>
              <w:left w:val="nil"/>
              <w:bottom w:val="nil"/>
              <w:right w:val="nil"/>
            </w:tcBorders>
            <w:vAlign w:val="bottom"/>
          </w:tcPr>
          <w:p w:rsidR="00657163" w:rsidRPr="00911315" w:rsidRDefault="00657163" w:rsidP="00F104E9">
            <w:pPr>
              <w:pStyle w:val="braytabletext"/>
              <w:jc w:val="right"/>
              <w:rPr>
                <w:szCs w:val="16"/>
              </w:rPr>
            </w:pPr>
          </w:p>
        </w:tc>
        <w:tc>
          <w:tcPr>
            <w:tcW w:w="459" w:type="pct"/>
            <w:vMerge w:val="restart"/>
            <w:tcBorders>
              <w:top w:val="single" w:sz="4" w:space="0" w:color="auto"/>
              <w:left w:val="nil"/>
              <w:right w:val="nil"/>
            </w:tcBorders>
          </w:tcPr>
          <w:p w:rsidR="00657163" w:rsidRPr="00911315" w:rsidRDefault="00657163" w:rsidP="00A57B4E">
            <w:pPr>
              <w:pStyle w:val="braytabletext"/>
              <w:jc w:val="right"/>
              <w:rPr>
                <w:szCs w:val="16"/>
              </w:rPr>
            </w:pPr>
            <w:r w:rsidRPr="00911315">
              <w:rPr>
                <w:szCs w:val="16"/>
              </w:rPr>
              <w:t>Comp-ulsory</w:t>
            </w:r>
          </w:p>
        </w:tc>
        <w:tc>
          <w:tcPr>
            <w:tcW w:w="175" w:type="pct"/>
            <w:tcBorders>
              <w:top w:val="nil"/>
              <w:left w:val="nil"/>
              <w:bottom w:val="nil"/>
              <w:right w:val="nil"/>
            </w:tcBorders>
            <w:vAlign w:val="bottom"/>
          </w:tcPr>
          <w:p w:rsidR="00657163" w:rsidRPr="00911315" w:rsidRDefault="00657163" w:rsidP="00F104E9">
            <w:pPr>
              <w:pStyle w:val="braytabletext"/>
              <w:jc w:val="right"/>
              <w:rPr>
                <w:szCs w:val="16"/>
              </w:rPr>
            </w:pPr>
          </w:p>
        </w:tc>
        <w:tc>
          <w:tcPr>
            <w:tcW w:w="477" w:type="pct"/>
            <w:tcBorders>
              <w:top w:val="nil"/>
              <w:left w:val="nil"/>
              <w:bottom w:val="nil"/>
              <w:right w:val="nil"/>
            </w:tcBorders>
            <w:vAlign w:val="bottom"/>
          </w:tcPr>
          <w:p w:rsidR="00657163" w:rsidRPr="00911315" w:rsidRDefault="00657163" w:rsidP="00F104E9">
            <w:pPr>
              <w:pStyle w:val="braytabletext"/>
              <w:jc w:val="right"/>
              <w:rPr>
                <w:szCs w:val="16"/>
              </w:rPr>
            </w:pPr>
          </w:p>
        </w:tc>
        <w:tc>
          <w:tcPr>
            <w:tcW w:w="423" w:type="pct"/>
            <w:tcBorders>
              <w:top w:val="nil"/>
              <w:left w:val="nil"/>
              <w:bottom w:val="nil"/>
              <w:right w:val="nil"/>
            </w:tcBorders>
            <w:vAlign w:val="bottom"/>
          </w:tcPr>
          <w:p w:rsidR="00657163" w:rsidRPr="00911315" w:rsidRDefault="00657163" w:rsidP="00F104E9">
            <w:pPr>
              <w:pStyle w:val="braytabletext"/>
              <w:jc w:val="right"/>
              <w:rPr>
                <w:szCs w:val="16"/>
              </w:rPr>
            </w:pPr>
          </w:p>
        </w:tc>
      </w:tr>
      <w:tr w:rsidR="00657163" w:rsidRPr="00911315" w:rsidTr="001732D1">
        <w:trPr>
          <w:trHeight w:val="290"/>
        </w:trPr>
        <w:tc>
          <w:tcPr>
            <w:tcW w:w="1486" w:type="pct"/>
            <w:tcBorders>
              <w:top w:val="nil"/>
              <w:left w:val="nil"/>
              <w:bottom w:val="single" w:sz="6" w:space="0" w:color="auto"/>
              <w:right w:val="nil"/>
            </w:tcBorders>
            <w:vAlign w:val="bottom"/>
          </w:tcPr>
          <w:p w:rsidR="00657163" w:rsidRPr="00911315" w:rsidRDefault="00657163" w:rsidP="00F104E9">
            <w:pPr>
              <w:pStyle w:val="braytabletext"/>
              <w:rPr>
                <w:szCs w:val="16"/>
              </w:rPr>
            </w:pPr>
          </w:p>
        </w:tc>
        <w:tc>
          <w:tcPr>
            <w:tcW w:w="440" w:type="pct"/>
            <w:tcBorders>
              <w:top w:val="single" w:sz="6" w:space="0" w:color="auto"/>
              <w:left w:val="nil"/>
              <w:bottom w:val="single" w:sz="6" w:space="0" w:color="auto"/>
              <w:right w:val="nil"/>
            </w:tcBorders>
          </w:tcPr>
          <w:p w:rsidR="00657163" w:rsidRPr="00911315" w:rsidRDefault="00657163" w:rsidP="00F104E9">
            <w:pPr>
              <w:pStyle w:val="braytabletext"/>
              <w:jc w:val="right"/>
              <w:rPr>
                <w:szCs w:val="16"/>
              </w:rPr>
            </w:pPr>
            <w:r w:rsidRPr="00911315">
              <w:rPr>
                <w:szCs w:val="16"/>
              </w:rPr>
              <w:t>NTER area</w:t>
            </w:r>
          </w:p>
        </w:tc>
        <w:tc>
          <w:tcPr>
            <w:tcW w:w="475" w:type="pct"/>
            <w:tcBorders>
              <w:top w:val="single" w:sz="6" w:space="0" w:color="auto"/>
              <w:left w:val="nil"/>
              <w:bottom w:val="single" w:sz="6" w:space="0" w:color="auto"/>
              <w:right w:val="nil"/>
            </w:tcBorders>
          </w:tcPr>
          <w:p w:rsidR="00657163" w:rsidRPr="00911315" w:rsidRDefault="00657163" w:rsidP="00F104E9">
            <w:pPr>
              <w:pStyle w:val="braytabletext"/>
              <w:jc w:val="right"/>
              <w:rPr>
                <w:szCs w:val="16"/>
              </w:rPr>
            </w:pPr>
            <w:r w:rsidRPr="00911315">
              <w:rPr>
                <w:szCs w:val="16"/>
              </w:rPr>
              <w:t>non-NTER area</w:t>
            </w:r>
          </w:p>
        </w:tc>
        <w:tc>
          <w:tcPr>
            <w:tcW w:w="132" w:type="pct"/>
            <w:tcBorders>
              <w:top w:val="nil"/>
              <w:left w:val="nil"/>
              <w:bottom w:val="single" w:sz="6" w:space="0" w:color="auto"/>
              <w:right w:val="nil"/>
            </w:tcBorders>
            <w:vAlign w:val="bottom"/>
          </w:tcPr>
          <w:p w:rsidR="00657163" w:rsidRPr="00911315" w:rsidRDefault="00657163" w:rsidP="00F104E9">
            <w:pPr>
              <w:pStyle w:val="braytabletext"/>
              <w:jc w:val="right"/>
              <w:rPr>
                <w:szCs w:val="16"/>
              </w:rPr>
            </w:pPr>
          </w:p>
        </w:tc>
        <w:tc>
          <w:tcPr>
            <w:tcW w:w="403" w:type="pct"/>
            <w:tcBorders>
              <w:top w:val="single" w:sz="6" w:space="0" w:color="auto"/>
              <w:left w:val="nil"/>
              <w:bottom w:val="single" w:sz="6" w:space="0" w:color="auto"/>
              <w:right w:val="nil"/>
            </w:tcBorders>
          </w:tcPr>
          <w:p w:rsidR="00657163" w:rsidRPr="00911315" w:rsidRDefault="00657163" w:rsidP="00F104E9">
            <w:pPr>
              <w:pStyle w:val="braytabletext"/>
              <w:jc w:val="right"/>
              <w:rPr>
                <w:szCs w:val="16"/>
              </w:rPr>
            </w:pPr>
            <w:r w:rsidRPr="00911315">
              <w:rPr>
                <w:szCs w:val="16"/>
              </w:rPr>
              <w:t>NTER area</w:t>
            </w:r>
          </w:p>
        </w:tc>
        <w:tc>
          <w:tcPr>
            <w:tcW w:w="398" w:type="pct"/>
            <w:tcBorders>
              <w:top w:val="single" w:sz="6" w:space="0" w:color="auto"/>
              <w:left w:val="nil"/>
              <w:bottom w:val="single" w:sz="6" w:space="0" w:color="auto"/>
              <w:right w:val="nil"/>
            </w:tcBorders>
          </w:tcPr>
          <w:p w:rsidR="00657163" w:rsidRPr="00911315" w:rsidRDefault="00657163" w:rsidP="00F104E9">
            <w:pPr>
              <w:pStyle w:val="braytabletext"/>
              <w:jc w:val="right"/>
              <w:rPr>
                <w:szCs w:val="16"/>
              </w:rPr>
            </w:pPr>
            <w:r w:rsidRPr="00911315">
              <w:rPr>
                <w:szCs w:val="16"/>
              </w:rPr>
              <w:t>non-NTER area</w:t>
            </w:r>
          </w:p>
        </w:tc>
        <w:tc>
          <w:tcPr>
            <w:tcW w:w="132" w:type="pct"/>
            <w:tcBorders>
              <w:top w:val="nil"/>
              <w:left w:val="nil"/>
              <w:bottom w:val="single" w:sz="6" w:space="0" w:color="auto"/>
              <w:right w:val="nil"/>
            </w:tcBorders>
            <w:vAlign w:val="bottom"/>
          </w:tcPr>
          <w:p w:rsidR="00657163" w:rsidRPr="00911315" w:rsidRDefault="00657163" w:rsidP="00F104E9">
            <w:pPr>
              <w:pStyle w:val="braytabletext"/>
              <w:jc w:val="right"/>
              <w:rPr>
                <w:szCs w:val="16"/>
              </w:rPr>
            </w:pPr>
          </w:p>
        </w:tc>
        <w:tc>
          <w:tcPr>
            <w:tcW w:w="459" w:type="pct"/>
            <w:vMerge/>
            <w:tcBorders>
              <w:left w:val="nil"/>
              <w:bottom w:val="single" w:sz="6" w:space="0" w:color="auto"/>
              <w:right w:val="nil"/>
            </w:tcBorders>
            <w:vAlign w:val="bottom"/>
          </w:tcPr>
          <w:p w:rsidR="00657163" w:rsidRPr="00911315" w:rsidRDefault="00657163" w:rsidP="00F104E9">
            <w:pPr>
              <w:pStyle w:val="braytabletext"/>
              <w:jc w:val="right"/>
              <w:rPr>
                <w:szCs w:val="16"/>
              </w:rPr>
            </w:pPr>
          </w:p>
        </w:tc>
        <w:tc>
          <w:tcPr>
            <w:tcW w:w="175" w:type="pct"/>
            <w:tcBorders>
              <w:top w:val="nil"/>
              <w:left w:val="nil"/>
              <w:bottom w:val="single" w:sz="6" w:space="0" w:color="auto"/>
              <w:right w:val="nil"/>
            </w:tcBorders>
            <w:vAlign w:val="bottom"/>
          </w:tcPr>
          <w:p w:rsidR="00657163" w:rsidRPr="00911315" w:rsidRDefault="00657163" w:rsidP="00F104E9">
            <w:pPr>
              <w:pStyle w:val="braytabletext"/>
              <w:jc w:val="right"/>
              <w:rPr>
                <w:szCs w:val="16"/>
              </w:rPr>
            </w:pPr>
          </w:p>
        </w:tc>
        <w:tc>
          <w:tcPr>
            <w:tcW w:w="477" w:type="pct"/>
            <w:tcBorders>
              <w:top w:val="nil"/>
              <w:left w:val="nil"/>
              <w:bottom w:val="single" w:sz="6" w:space="0" w:color="auto"/>
              <w:right w:val="nil"/>
            </w:tcBorders>
            <w:vAlign w:val="bottom"/>
          </w:tcPr>
          <w:p w:rsidR="00657163" w:rsidRPr="00911315" w:rsidRDefault="00657163" w:rsidP="00F104E9">
            <w:pPr>
              <w:pStyle w:val="braytabletext"/>
              <w:jc w:val="right"/>
              <w:rPr>
                <w:szCs w:val="16"/>
              </w:rPr>
            </w:pPr>
          </w:p>
        </w:tc>
        <w:tc>
          <w:tcPr>
            <w:tcW w:w="423" w:type="pct"/>
            <w:tcBorders>
              <w:top w:val="nil"/>
              <w:left w:val="nil"/>
              <w:bottom w:val="single" w:sz="6" w:space="0" w:color="auto"/>
              <w:right w:val="nil"/>
            </w:tcBorders>
            <w:vAlign w:val="bottom"/>
          </w:tcPr>
          <w:p w:rsidR="00657163" w:rsidRPr="00911315" w:rsidRDefault="00657163" w:rsidP="00F104E9">
            <w:pPr>
              <w:pStyle w:val="braytabletext"/>
              <w:jc w:val="right"/>
              <w:rPr>
                <w:szCs w:val="16"/>
              </w:rPr>
            </w:pPr>
          </w:p>
        </w:tc>
      </w:tr>
      <w:tr w:rsidR="00897C1E" w:rsidRPr="00911315" w:rsidTr="00EB68B7">
        <w:trPr>
          <w:trHeight w:val="290"/>
        </w:trPr>
        <w:tc>
          <w:tcPr>
            <w:tcW w:w="1486" w:type="pct"/>
            <w:tcBorders>
              <w:top w:val="single" w:sz="4" w:space="0" w:color="auto"/>
              <w:left w:val="nil"/>
              <w:bottom w:val="nil"/>
              <w:right w:val="nil"/>
            </w:tcBorders>
            <w:vAlign w:val="bottom"/>
          </w:tcPr>
          <w:p w:rsidR="00897C1E" w:rsidRPr="00911315" w:rsidRDefault="00897C1E" w:rsidP="00F104E9">
            <w:pPr>
              <w:pStyle w:val="braytabletext"/>
              <w:rPr>
                <w:i/>
                <w:szCs w:val="16"/>
              </w:rPr>
            </w:pPr>
            <w:r w:rsidRPr="00911315">
              <w:rPr>
                <w:i/>
                <w:szCs w:val="16"/>
              </w:rPr>
              <w:t>Labour force status</w:t>
            </w:r>
          </w:p>
        </w:tc>
        <w:tc>
          <w:tcPr>
            <w:tcW w:w="440" w:type="pct"/>
            <w:tcBorders>
              <w:top w:val="single" w:sz="4" w:space="0" w:color="auto"/>
              <w:left w:val="nil"/>
              <w:bottom w:val="nil"/>
              <w:right w:val="nil"/>
            </w:tcBorders>
            <w:vAlign w:val="bottom"/>
          </w:tcPr>
          <w:p w:rsidR="00897C1E" w:rsidRPr="00911315" w:rsidRDefault="00897C1E" w:rsidP="00F104E9">
            <w:pPr>
              <w:pStyle w:val="braytabletext"/>
              <w:jc w:val="right"/>
              <w:rPr>
                <w:szCs w:val="16"/>
              </w:rPr>
            </w:pPr>
          </w:p>
        </w:tc>
        <w:tc>
          <w:tcPr>
            <w:tcW w:w="475" w:type="pct"/>
            <w:tcBorders>
              <w:top w:val="single" w:sz="4" w:space="0" w:color="auto"/>
              <w:left w:val="nil"/>
              <w:bottom w:val="nil"/>
              <w:right w:val="nil"/>
            </w:tcBorders>
            <w:vAlign w:val="bottom"/>
          </w:tcPr>
          <w:p w:rsidR="00897C1E" w:rsidRPr="00911315" w:rsidRDefault="00897C1E" w:rsidP="00F104E9">
            <w:pPr>
              <w:pStyle w:val="braytabletext"/>
              <w:jc w:val="right"/>
              <w:rPr>
                <w:szCs w:val="16"/>
              </w:rPr>
            </w:pPr>
          </w:p>
        </w:tc>
        <w:tc>
          <w:tcPr>
            <w:tcW w:w="132" w:type="pct"/>
            <w:tcBorders>
              <w:top w:val="single" w:sz="4" w:space="0" w:color="auto"/>
              <w:left w:val="nil"/>
              <w:bottom w:val="nil"/>
              <w:right w:val="nil"/>
            </w:tcBorders>
            <w:vAlign w:val="bottom"/>
          </w:tcPr>
          <w:p w:rsidR="00897C1E" w:rsidRPr="00911315" w:rsidRDefault="00897C1E" w:rsidP="00F104E9">
            <w:pPr>
              <w:pStyle w:val="braytabletext"/>
              <w:jc w:val="right"/>
              <w:rPr>
                <w:szCs w:val="16"/>
              </w:rPr>
            </w:pPr>
          </w:p>
        </w:tc>
        <w:tc>
          <w:tcPr>
            <w:tcW w:w="403" w:type="pct"/>
            <w:tcBorders>
              <w:top w:val="single" w:sz="4" w:space="0" w:color="auto"/>
              <w:left w:val="nil"/>
              <w:bottom w:val="nil"/>
              <w:right w:val="nil"/>
            </w:tcBorders>
            <w:vAlign w:val="bottom"/>
          </w:tcPr>
          <w:p w:rsidR="00897C1E" w:rsidRPr="00911315" w:rsidRDefault="00897C1E" w:rsidP="00F104E9">
            <w:pPr>
              <w:pStyle w:val="braytabletext"/>
              <w:jc w:val="right"/>
              <w:rPr>
                <w:szCs w:val="16"/>
              </w:rPr>
            </w:pPr>
          </w:p>
        </w:tc>
        <w:tc>
          <w:tcPr>
            <w:tcW w:w="398" w:type="pct"/>
            <w:tcBorders>
              <w:top w:val="single" w:sz="4" w:space="0" w:color="auto"/>
              <w:left w:val="nil"/>
              <w:bottom w:val="nil"/>
              <w:right w:val="nil"/>
            </w:tcBorders>
            <w:vAlign w:val="bottom"/>
          </w:tcPr>
          <w:p w:rsidR="00897C1E" w:rsidRPr="00911315" w:rsidRDefault="00897C1E" w:rsidP="00F104E9">
            <w:pPr>
              <w:pStyle w:val="braytabletext"/>
              <w:jc w:val="right"/>
              <w:rPr>
                <w:szCs w:val="16"/>
              </w:rPr>
            </w:pPr>
          </w:p>
        </w:tc>
        <w:tc>
          <w:tcPr>
            <w:tcW w:w="132" w:type="pct"/>
            <w:tcBorders>
              <w:top w:val="single" w:sz="4" w:space="0" w:color="auto"/>
              <w:left w:val="nil"/>
              <w:bottom w:val="nil"/>
              <w:right w:val="nil"/>
            </w:tcBorders>
            <w:vAlign w:val="bottom"/>
          </w:tcPr>
          <w:p w:rsidR="00897C1E" w:rsidRPr="00911315" w:rsidRDefault="00897C1E" w:rsidP="00F104E9">
            <w:pPr>
              <w:pStyle w:val="braytabletext"/>
              <w:jc w:val="right"/>
              <w:rPr>
                <w:szCs w:val="16"/>
              </w:rPr>
            </w:pPr>
          </w:p>
        </w:tc>
        <w:tc>
          <w:tcPr>
            <w:tcW w:w="459" w:type="pct"/>
            <w:tcBorders>
              <w:top w:val="single" w:sz="4" w:space="0" w:color="auto"/>
              <w:left w:val="nil"/>
              <w:bottom w:val="nil"/>
              <w:right w:val="nil"/>
            </w:tcBorders>
            <w:vAlign w:val="bottom"/>
          </w:tcPr>
          <w:p w:rsidR="00897C1E" w:rsidRPr="00911315" w:rsidRDefault="00897C1E" w:rsidP="00F104E9">
            <w:pPr>
              <w:pStyle w:val="braytabletext"/>
              <w:jc w:val="right"/>
              <w:rPr>
                <w:szCs w:val="16"/>
              </w:rPr>
            </w:pPr>
          </w:p>
        </w:tc>
        <w:tc>
          <w:tcPr>
            <w:tcW w:w="175" w:type="pct"/>
            <w:tcBorders>
              <w:top w:val="single" w:sz="4" w:space="0" w:color="auto"/>
              <w:left w:val="nil"/>
              <w:bottom w:val="nil"/>
              <w:right w:val="nil"/>
            </w:tcBorders>
            <w:vAlign w:val="bottom"/>
          </w:tcPr>
          <w:p w:rsidR="00897C1E" w:rsidRPr="00911315" w:rsidRDefault="00897C1E" w:rsidP="00F104E9">
            <w:pPr>
              <w:pStyle w:val="braytabletext"/>
              <w:jc w:val="right"/>
              <w:rPr>
                <w:szCs w:val="16"/>
              </w:rPr>
            </w:pPr>
          </w:p>
        </w:tc>
        <w:tc>
          <w:tcPr>
            <w:tcW w:w="477" w:type="pct"/>
            <w:tcBorders>
              <w:top w:val="single" w:sz="4" w:space="0" w:color="auto"/>
              <w:left w:val="nil"/>
              <w:bottom w:val="nil"/>
              <w:right w:val="nil"/>
            </w:tcBorders>
            <w:vAlign w:val="bottom"/>
          </w:tcPr>
          <w:p w:rsidR="00897C1E" w:rsidRPr="00911315" w:rsidRDefault="00897C1E" w:rsidP="00F104E9">
            <w:pPr>
              <w:pStyle w:val="braytabletext"/>
              <w:jc w:val="right"/>
              <w:rPr>
                <w:szCs w:val="16"/>
              </w:rPr>
            </w:pPr>
          </w:p>
        </w:tc>
        <w:tc>
          <w:tcPr>
            <w:tcW w:w="423" w:type="pct"/>
            <w:tcBorders>
              <w:top w:val="single" w:sz="4" w:space="0" w:color="auto"/>
              <w:left w:val="nil"/>
              <w:bottom w:val="nil"/>
              <w:right w:val="nil"/>
            </w:tcBorders>
            <w:vAlign w:val="bottom"/>
          </w:tcPr>
          <w:p w:rsidR="00897C1E" w:rsidRPr="00911315" w:rsidRDefault="00897C1E" w:rsidP="00F104E9">
            <w:pPr>
              <w:pStyle w:val="braytabletext"/>
              <w:jc w:val="right"/>
              <w:rPr>
                <w:szCs w:val="16"/>
              </w:rPr>
            </w:pPr>
          </w:p>
        </w:tc>
      </w:tr>
      <w:tr w:rsidR="00897C1E" w:rsidRPr="00911315" w:rsidTr="00EB68B7">
        <w:trPr>
          <w:trHeight w:val="290"/>
        </w:trPr>
        <w:tc>
          <w:tcPr>
            <w:tcW w:w="1486" w:type="pct"/>
            <w:tcBorders>
              <w:top w:val="nil"/>
              <w:left w:val="nil"/>
              <w:bottom w:val="nil"/>
              <w:right w:val="nil"/>
            </w:tcBorders>
            <w:vAlign w:val="bottom"/>
          </w:tcPr>
          <w:p w:rsidR="00897C1E" w:rsidRPr="00911315" w:rsidRDefault="00897C1E" w:rsidP="00F104E9">
            <w:pPr>
              <w:pStyle w:val="braytabletext"/>
              <w:rPr>
                <w:szCs w:val="16"/>
              </w:rPr>
            </w:pPr>
            <w:r w:rsidRPr="00911315">
              <w:rPr>
                <w:szCs w:val="16"/>
              </w:rPr>
              <w:t>CDEP/WfD</w:t>
            </w:r>
          </w:p>
        </w:tc>
        <w:tc>
          <w:tcPr>
            <w:tcW w:w="440"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12.3</w:t>
            </w:r>
          </w:p>
        </w:tc>
        <w:tc>
          <w:tcPr>
            <w:tcW w:w="475"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0.6</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6.3</w:t>
            </w:r>
          </w:p>
        </w:tc>
        <w:tc>
          <w:tcPr>
            <w:tcW w:w="398"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3.0</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1.1</w:t>
            </w:r>
          </w:p>
        </w:tc>
        <w:tc>
          <w:tcPr>
            <w:tcW w:w="175"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8.0</w:t>
            </w:r>
          </w:p>
        </w:tc>
        <w:tc>
          <w:tcPr>
            <w:tcW w:w="42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0.0</w:t>
            </w:r>
          </w:p>
        </w:tc>
      </w:tr>
      <w:tr w:rsidR="00897C1E" w:rsidRPr="00911315" w:rsidTr="00EB68B7">
        <w:trPr>
          <w:trHeight w:val="290"/>
        </w:trPr>
        <w:tc>
          <w:tcPr>
            <w:tcW w:w="1486" w:type="pct"/>
            <w:tcBorders>
              <w:top w:val="nil"/>
              <w:left w:val="nil"/>
              <w:bottom w:val="nil"/>
              <w:right w:val="nil"/>
            </w:tcBorders>
            <w:vAlign w:val="bottom"/>
          </w:tcPr>
          <w:p w:rsidR="00897C1E" w:rsidRPr="00911315" w:rsidRDefault="00897C1E" w:rsidP="00F104E9">
            <w:pPr>
              <w:pStyle w:val="braytabletext"/>
              <w:rPr>
                <w:szCs w:val="16"/>
              </w:rPr>
            </w:pPr>
            <w:r w:rsidRPr="00911315">
              <w:rPr>
                <w:szCs w:val="16"/>
              </w:rPr>
              <w:t>FT Employed</w:t>
            </w:r>
          </w:p>
        </w:tc>
        <w:tc>
          <w:tcPr>
            <w:tcW w:w="440"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2.0</w:t>
            </w:r>
          </w:p>
        </w:tc>
        <w:tc>
          <w:tcPr>
            <w:tcW w:w="475"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4.2</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0.0</w:t>
            </w:r>
          </w:p>
        </w:tc>
        <w:tc>
          <w:tcPr>
            <w:tcW w:w="398"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0.0</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7.1</w:t>
            </w:r>
          </w:p>
        </w:tc>
        <w:tc>
          <w:tcPr>
            <w:tcW w:w="175"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2.5</w:t>
            </w:r>
          </w:p>
        </w:tc>
        <w:tc>
          <w:tcPr>
            <w:tcW w:w="42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1.9</w:t>
            </w:r>
          </w:p>
        </w:tc>
      </w:tr>
      <w:tr w:rsidR="00897C1E" w:rsidRPr="00911315" w:rsidTr="00EB68B7">
        <w:trPr>
          <w:trHeight w:val="290"/>
        </w:trPr>
        <w:tc>
          <w:tcPr>
            <w:tcW w:w="1486" w:type="pct"/>
            <w:tcBorders>
              <w:top w:val="nil"/>
              <w:left w:val="nil"/>
              <w:bottom w:val="nil"/>
              <w:right w:val="nil"/>
            </w:tcBorders>
            <w:vAlign w:val="bottom"/>
          </w:tcPr>
          <w:p w:rsidR="00897C1E" w:rsidRPr="00911315" w:rsidRDefault="00897C1E" w:rsidP="00F104E9">
            <w:pPr>
              <w:pStyle w:val="braytabletext"/>
              <w:rPr>
                <w:szCs w:val="16"/>
              </w:rPr>
            </w:pPr>
            <w:r w:rsidRPr="00911315">
              <w:rPr>
                <w:szCs w:val="16"/>
              </w:rPr>
              <w:t>PT Employed</w:t>
            </w:r>
          </w:p>
        </w:tc>
        <w:tc>
          <w:tcPr>
            <w:tcW w:w="440"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8.2</w:t>
            </w:r>
          </w:p>
        </w:tc>
        <w:tc>
          <w:tcPr>
            <w:tcW w:w="475"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10.7</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3.9</w:t>
            </w:r>
          </w:p>
        </w:tc>
        <w:tc>
          <w:tcPr>
            <w:tcW w:w="398"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3.0</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27.2</w:t>
            </w:r>
          </w:p>
        </w:tc>
        <w:tc>
          <w:tcPr>
            <w:tcW w:w="175"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9.0</w:t>
            </w:r>
          </w:p>
        </w:tc>
        <w:tc>
          <w:tcPr>
            <w:tcW w:w="42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5.7</w:t>
            </w:r>
          </w:p>
        </w:tc>
      </w:tr>
      <w:tr w:rsidR="00897C1E" w:rsidRPr="00911315" w:rsidTr="00EB68B7">
        <w:trPr>
          <w:trHeight w:val="290"/>
        </w:trPr>
        <w:tc>
          <w:tcPr>
            <w:tcW w:w="1486" w:type="pct"/>
            <w:tcBorders>
              <w:top w:val="nil"/>
              <w:left w:val="nil"/>
              <w:bottom w:val="nil"/>
              <w:right w:val="nil"/>
            </w:tcBorders>
            <w:vAlign w:val="bottom"/>
          </w:tcPr>
          <w:p w:rsidR="00897C1E" w:rsidRPr="00911315" w:rsidRDefault="00897C1E" w:rsidP="00F104E9">
            <w:pPr>
              <w:pStyle w:val="braytabletext"/>
              <w:rPr>
                <w:szCs w:val="16"/>
              </w:rPr>
            </w:pPr>
            <w:r w:rsidRPr="00911315">
              <w:rPr>
                <w:szCs w:val="16"/>
              </w:rPr>
              <w:t>Looking for work</w:t>
            </w:r>
          </w:p>
        </w:tc>
        <w:tc>
          <w:tcPr>
            <w:tcW w:w="440"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35.2</w:t>
            </w:r>
          </w:p>
        </w:tc>
        <w:tc>
          <w:tcPr>
            <w:tcW w:w="475"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33.9</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7.0</w:t>
            </w:r>
          </w:p>
        </w:tc>
        <w:tc>
          <w:tcPr>
            <w:tcW w:w="398"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12.1</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25.5</w:t>
            </w:r>
          </w:p>
        </w:tc>
        <w:tc>
          <w:tcPr>
            <w:tcW w:w="175"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26.6</w:t>
            </w:r>
          </w:p>
        </w:tc>
        <w:tc>
          <w:tcPr>
            <w:tcW w:w="42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6.6</w:t>
            </w:r>
          </w:p>
        </w:tc>
      </w:tr>
      <w:tr w:rsidR="00897C1E" w:rsidRPr="00911315" w:rsidTr="00EB68B7">
        <w:trPr>
          <w:trHeight w:val="290"/>
        </w:trPr>
        <w:tc>
          <w:tcPr>
            <w:tcW w:w="1486" w:type="pct"/>
            <w:tcBorders>
              <w:top w:val="nil"/>
              <w:left w:val="nil"/>
              <w:bottom w:val="nil"/>
              <w:right w:val="nil"/>
            </w:tcBorders>
            <w:vAlign w:val="bottom"/>
          </w:tcPr>
          <w:p w:rsidR="00897C1E" w:rsidRPr="00911315" w:rsidRDefault="00897C1E" w:rsidP="00F104E9">
            <w:pPr>
              <w:pStyle w:val="braytabletext"/>
              <w:rPr>
                <w:szCs w:val="16"/>
              </w:rPr>
            </w:pPr>
            <w:r w:rsidRPr="00911315">
              <w:rPr>
                <w:szCs w:val="16"/>
              </w:rPr>
              <w:t>Discouraged job seeker</w:t>
            </w:r>
          </w:p>
        </w:tc>
        <w:tc>
          <w:tcPr>
            <w:tcW w:w="440"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9.0</w:t>
            </w:r>
          </w:p>
        </w:tc>
        <w:tc>
          <w:tcPr>
            <w:tcW w:w="475"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3.0</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7.0</w:t>
            </w:r>
          </w:p>
        </w:tc>
        <w:tc>
          <w:tcPr>
            <w:tcW w:w="398"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9.1</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1.6</w:t>
            </w:r>
          </w:p>
        </w:tc>
        <w:tc>
          <w:tcPr>
            <w:tcW w:w="175"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14.1</w:t>
            </w:r>
          </w:p>
        </w:tc>
        <w:tc>
          <w:tcPr>
            <w:tcW w:w="42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10.4</w:t>
            </w:r>
          </w:p>
        </w:tc>
      </w:tr>
      <w:tr w:rsidR="00897C1E" w:rsidRPr="00911315" w:rsidTr="00EB68B7">
        <w:trPr>
          <w:trHeight w:val="290"/>
        </w:trPr>
        <w:tc>
          <w:tcPr>
            <w:tcW w:w="1486" w:type="pct"/>
            <w:tcBorders>
              <w:top w:val="nil"/>
              <w:left w:val="nil"/>
              <w:bottom w:val="nil"/>
              <w:right w:val="nil"/>
            </w:tcBorders>
            <w:vAlign w:val="bottom"/>
          </w:tcPr>
          <w:p w:rsidR="00897C1E" w:rsidRPr="00911315" w:rsidRDefault="00897C1E" w:rsidP="00F104E9">
            <w:pPr>
              <w:pStyle w:val="braytabletext"/>
              <w:rPr>
                <w:szCs w:val="16"/>
              </w:rPr>
            </w:pPr>
            <w:r w:rsidRPr="00911315">
              <w:rPr>
                <w:szCs w:val="16"/>
              </w:rPr>
              <w:t>Family/Caring</w:t>
            </w:r>
          </w:p>
        </w:tc>
        <w:tc>
          <w:tcPr>
            <w:tcW w:w="440"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20.9</w:t>
            </w:r>
          </w:p>
        </w:tc>
        <w:tc>
          <w:tcPr>
            <w:tcW w:w="475"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31.5</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8.6</w:t>
            </w:r>
          </w:p>
        </w:tc>
        <w:tc>
          <w:tcPr>
            <w:tcW w:w="398"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3.0</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14.1</w:t>
            </w:r>
          </w:p>
        </w:tc>
        <w:tc>
          <w:tcPr>
            <w:tcW w:w="175"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14.1</w:t>
            </w:r>
          </w:p>
        </w:tc>
        <w:tc>
          <w:tcPr>
            <w:tcW w:w="42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0.9</w:t>
            </w:r>
          </w:p>
        </w:tc>
      </w:tr>
      <w:tr w:rsidR="00897C1E" w:rsidRPr="00911315" w:rsidTr="00EB68B7">
        <w:trPr>
          <w:trHeight w:val="290"/>
        </w:trPr>
        <w:tc>
          <w:tcPr>
            <w:tcW w:w="1486" w:type="pct"/>
            <w:tcBorders>
              <w:top w:val="nil"/>
              <w:left w:val="nil"/>
              <w:bottom w:val="nil"/>
              <w:right w:val="nil"/>
            </w:tcBorders>
            <w:vAlign w:val="bottom"/>
          </w:tcPr>
          <w:p w:rsidR="00897C1E" w:rsidRPr="00911315" w:rsidRDefault="00897C1E" w:rsidP="00F104E9">
            <w:pPr>
              <w:pStyle w:val="braytabletext"/>
              <w:rPr>
                <w:szCs w:val="16"/>
              </w:rPr>
            </w:pPr>
            <w:r w:rsidRPr="00911315">
              <w:rPr>
                <w:szCs w:val="16"/>
              </w:rPr>
              <w:t>Study/Waiting for job</w:t>
            </w:r>
          </w:p>
        </w:tc>
        <w:tc>
          <w:tcPr>
            <w:tcW w:w="440"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0.8</w:t>
            </w:r>
          </w:p>
        </w:tc>
        <w:tc>
          <w:tcPr>
            <w:tcW w:w="475"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5.4</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0.0</w:t>
            </w:r>
          </w:p>
        </w:tc>
        <w:tc>
          <w:tcPr>
            <w:tcW w:w="398"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0.0</w:t>
            </w:r>
          </w:p>
        </w:tc>
        <w:tc>
          <w:tcPr>
            <w:tcW w:w="132"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5.4</w:t>
            </w:r>
          </w:p>
        </w:tc>
        <w:tc>
          <w:tcPr>
            <w:tcW w:w="175" w:type="pct"/>
            <w:tcBorders>
              <w:top w:val="nil"/>
              <w:left w:val="nil"/>
              <w:bottom w:val="nil"/>
              <w:right w:val="nil"/>
            </w:tcBorders>
            <w:vAlign w:val="bottom"/>
          </w:tcPr>
          <w:p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0.5</w:t>
            </w:r>
          </w:p>
        </w:tc>
        <w:tc>
          <w:tcPr>
            <w:tcW w:w="423" w:type="pct"/>
            <w:tcBorders>
              <w:top w:val="nil"/>
              <w:left w:val="nil"/>
              <w:bottom w:val="nil"/>
              <w:right w:val="nil"/>
            </w:tcBorders>
            <w:vAlign w:val="bottom"/>
          </w:tcPr>
          <w:p w:rsidR="00897C1E" w:rsidRPr="00911315" w:rsidRDefault="00897C1E" w:rsidP="00F104E9">
            <w:pPr>
              <w:pStyle w:val="braytabletext"/>
              <w:jc w:val="right"/>
              <w:rPr>
                <w:szCs w:val="16"/>
              </w:rPr>
            </w:pPr>
            <w:r w:rsidRPr="00911315">
              <w:rPr>
                <w:szCs w:val="16"/>
              </w:rPr>
              <w:t>0.9</w:t>
            </w:r>
          </w:p>
        </w:tc>
      </w:tr>
      <w:tr w:rsidR="00897C1E" w:rsidRPr="00911315" w:rsidTr="00EB68B7">
        <w:trPr>
          <w:trHeight w:val="290"/>
        </w:trPr>
        <w:tc>
          <w:tcPr>
            <w:tcW w:w="1486" w:type="pct"/>
            <w:tcBorders>
              <w:top w:val="nil"/>
              <w:left w:val="nil"/>
              <w:right w:val="nil"/>
            </w:tcBorders>
            <w:vAlign w:val="bottom"/>
          </w:tcPr>
          <w:p w:rsidR="00897C1E" w:rsidRPr="00911315" w:rsidRDefault="00897C1E" w:rsidP="00F104E9">
            <w:pPr>
              <w:pStyle w:val="braytabletext"/>
              <w:rPr>
                <w:szCs w:val="16"/>
              </w:rPr>
            </w:pPr>
            <w:r w:rsidRPr="00911315">
              <w:rPr>
                <w:szCs w:val="16"/>
              </w:rPr>
              <w:t>Poor Health/Too old</w:t>
            </w:r>
          </w:p>
        </w:tc>
        <w:tc>
          <w:tcPr>
            <w:tcW w:w="440" w:type="pct"/>
            <w:tcBorders>
              <w:top w:val="nil"/>
              <w:left w:val="nil"/>
              <w:right w:val="nil"/>
            </w:tcBorders>
            <w:vAlign w:val="bottom"/>
          </w:tcPr>
          <w:p w:rsidR="00897C1E" w:rsidRPr="00911315" w:rsidRDefault="00897C1E" w:rsidP="00F104E9">
            <w:pPr>
              <w:pStyle w:val="braytabletext"/>
              <w:jc w:val="right"/>
              <w:rPr>
                <w:szCs w:val="16"/>
              </w:rPr>
            </w:pPr>
            <w:r w:rsidRPr="00911315">
              <w:rPr>
                <w:szCs w:val="16"/>
              </w:rPr>
              <w:t>4.9</w:t>
            </w:r>
          </w:p>
        </w:tc>
        <w:tc>
          <w:tcPr>
            <w:tcW w:w="475" w:type="pct"/>
            <w:tcBorders>
              <w:top w:val="nil"/>
              <w:left w:val="nil"/>
              <w:right w:val="nil"/>
            </w:tcBorders>
            <w:vAlign w:val="bottom"/>
          </w:tcPr>
          <w:p w:rsidR="00897C1E" w:rsidRPr="00911315" w:rsidRDefault="00897C1E" w:rsidP="00F104E9">
            <w:pPr>
              <w:pStyle w:val="braytabletext"/>
              <w:jc w:val="right"/>
              <w:rPr>
                <w:szCs w:val="16"/>
              </w:rPr>
            </w:pPr>
            <w:r w:rsidRPr="00911315">
              <w:rPr>
                <w:szCs w:val="16"/>
              </w:rPr>
              <w:t>5.4</w:t>
            </w:r>
          </w:p>
        </w:tc>
        <w:tc>
          <w:tcPr>
            <w:tcW w:w="132" w:type="pct"/>
            <w:tcBorders>
              <w:top w:val="nil"/>
              <w:left w:val="nil"/>
              <w:right w:val="nil"/>
            </w:tcBorders>
            <w:vAlign w:val="bottom"/>
          </w:tcPr>
          <w:p w:rsidR="00897C1E" w:rsidRPr="00911315" w:rsidRDefault="00897C1E" w:rsidP="00F104E9">
            <w:pPr>
              <w:pStyle w:val="braytabletext"/>
              <w:jc w:val="right"/>
              <w:rPr>
                <w:szCs w:val="16"/>
              </w:rPr>
            </w:pPr>
          </w:p>
        </w:tc>
        <w:tc>
          <w:tcPr>
            <w:tcW w:w="403" w:type="pct"/>
            <w:tcBorders>
              <w:top w:val="nil"/>
              <w:left w:val="nil"/>
              <w:right w:val="nil"/>
            </w:tcBorders>
            <w:vAlign w:val="bottom"/>
          </w:tcPr>
          <w:p w:rsidR="00897C1E" w:rsidRPr="00911315" w:rsidRDefault="00897C1E" w:rsidP="00F104E9">
            <w:pPr>
              <w:pStyle w:val="braytabletext"/>
              <w:jc w:val="right"/>
              <w:rPr>
                <w:szCs w:val="16"/>
              </w:rPr>
            </w:pPr>
            <w:r w:rsidRPr="00911315">
              <w:rPr>
                <w:szCs w:val="16"/>
              </w:rPr>
              <w:t>57.8</w:t>
            </w:r>
          </w:p>
        </w:tc>
        <w:tc>
          <w:tcPr>
            <w:tcW w:w="398" w:type="pct"/>
            <w:tcBorders>
              <w:top w:val="nil"/>
              <w:left w:val="nil"/>
              <w:right w:val="nil"/>
            </w:tcBorders>
            <w:vAlign w:val="bottom"/>
          </w:tcPr>
          <w:p w:rsidR="00897C1E" w:rsidRPr="00911315" w:rsidRDefault="00897C1E" w:rsidP="00F104E9">
            <w:pPr>
              <w:pStyle w:val="braytabletext"/>
              <w:jc w:val="right"/>
              <w:rPr>
                <w:szCs w:val="16"/>
              </w:rPr>
            </w:pPr>
            <w:r w:rsidRPr="00911315">
              <w:rPr>
                <w:szCs w:val="16"/>
              </w:rPr>
              <w:t>60.6</w:t>
            </w:r>
          </w:p>
        </w:tc>
        <w:tc>
          <w:tcPr>
            <w:tcW w:w="132" w:type="pct"/>
            <w:tcBorders>
              <w:top w:val="nil"/>
              <w:left w:val="nil"/>
              <w:right w:val="nil"/>
            </w:tcBorders>
            <w:vAlign w:val="bottom"/>
          </w:tcPr>
          <w:p w:rsidR="00897C1E" w:rsidRPr="00911315" w:rsidRDefault="00897C1E" w:rsidP="00F104E9">
            <w:pPr>
              <w:pStyle w:val="braytabletext"/>
              <w:jc w:val="right"/>
              <w:rPr>
                <w:szCs w:val="16"/>
              </w:rPr>
            </w:pPr>
          </w:p>
        </w:tc>
        <w:tc>
          <w:tcPr>
            <w:tcW w:w="459" w:type="pct"/>
            <w:tcBorders>
              <w:top w:val="nil"/>
              <w:left w:val="nil"/>
              <w:right w:val="nil"/>
            </w:tcBorders>
            <w:vAlign w:val="bottom"/>
          </w:tcPr>
          <w:p w:rsidR="00897C1E" w:rsidRPr="00911315" w:rsidRDefault="00897C1E" w:rsidP="00F104E9">
            <w:pPr>
              <w:pStyle w:val="braytabletext"/>
              <w:jc w:val="right"/>
              <w:rPr>
                <w:szCs w:val="16"/>
              </w:rPr>
            </w:pPr>
            <w:r w:rsidRPr="00911315">
              <w:rPr>
                <w:szCs w:val="16"/>
              </w:rPr>
              <w:t>12.0</w:t>
            </w:r>
          </w:p>
        </w:tc>
        <w:tc>
          <w:tcPr>
            <w:tcW w:w="175" w:type="pct"/>
            <w:tcBorders>
              <w:top w:val="nil"/>
              <w:left w:val="nil"/>
              <w:right w:val="nil"/>
            </w:tcBorders>
            <w:vAlign w:val="bottom"/>
          </w:tcPr>
          <w:p w:rsidR="00897C1E" w:rsidRPr="00911315" w:rsidRDefault="00897C1E" w:rsidP="00F104E9">
            <w:pPr>
              <w:pStyle w:val="braytabletext"/>
              <w:jc w:val="right"/>
              <w:rPr>
                <w:szCs w:val="16"/>
              </w:rPr>
            </w:pPr>
          </w:p>
        </w:tc>
        <w:tc>
          <w:tcPr>
            <w:tcW w:w="477" w:type="pct"/>
            <w:tcBorders>
              <w:top w:val="nil"/>
              <w:left w:val="nil"/>
              <w:right w:val="nil"/>
            </w:tcBorders>
            <w:vAlign w:val="bottom"/>
          </w:tcPr>
          <w:p w:rsidR="00897C1E" w:rsidRPr="00911315" w:rsidRDefault="00897C1E" w:rsidP="00F104E9">
            <w:pPr>
              <w:pStyle w:val="braytabletext"/>
              <w:jc w:val="right"/>
              <w:rPr>
                <w:szCs w:val="16"/>
              </w:rPr>
            </w:pPr>
            <w:r w:rsidRPr="00911315">
              <w:rPr>
                <w:szCs w:val="16"/>
              </w:rPr>
              <w:t>20.1</w:t>
            </w:r>
          </w:p>
        </w:tc>
        <w:tc>
          <w:tcPr>
            <w:tcW w:w="423" w:type="pct"/>
            <w:tcBorders>
              <w:top w:val="nil"/>
              <w:left w:val="nil"/>
              <w:right w:val="nil"/>
            </w:tcBorders>
            <w:vAlign w:val="bottom"/>
          </w:tcPr>
          <w:p w:rsidR="00897C1E" w:rsidRPr="00911315" w:rsidRDefault="00897C1E" w:rsidP="00F104E9">
            <w:pPr>
              <w:pStyle w:val="braytabletext"/>
              <w:jc w:val="right"/>
              <w:rPr>
                <w:szCs w:val="16"/>
              </w:rPr>
            </w:pPr>
            <w:r w:rsidRPr="00911315">
              <w:rPr>
                <w:szCs w:val="16"/>
              </w:rPr>
              <w:t>67.0</w:t>
            </w:r>
          </w:p>
        </w:tc>
      </w:tr>
      <w:tr w:rsidR="00897C1E" w:rsidRPr="00911315" w:rsidTr="00EB68B7">
        <w:trPr>
          <w:trHeight w:val="290"/>
        </w:trPr>
        <w:tc>
          <w:tcPr>
            <w:tcW w:w="1486" w:type="pct"/>
            <w:tcBorders>
              <w:top w:val="nil"/>
              <w:left w:val="nil"/>
              <w:bottom w:val="single" w:sz="4" w:space="0" w:color="auto"/>
              <w:right w:val="nil"/>
            </w:tcBorders>
            <w:vAlign w:val="bottom"/>
          </w:tcPr>
          <w:p w:rsidR="00897C1E" w:rsidRPr="00911315" w:rsidRDefault="00897C1E" w:rsidP="00F104E9">
            <w:pPr>
              <w:pStyle w:val="braytabletext"/>
              <w:rPr>
                <w:szCs w:val="16"/>
              </w:rPr>
            </w:pPr>
            <w:r w:rsidRPr="00911315">
              <w:rPr>
                <w:szCs w:val="16"/>
              </w:rPr>
              <w:t>Not employed – other</w:t>
            </w:r>
          </w:p>
        </w:tc>
        <w:tc>
          <w:tcPr>
            <w:tcW w:w="440" w:type="pct"/>
            <w:tcBorders>
              <w:top w:val="nil"/>
              <w:left w:val="nil"/>
              <w:bottom w:val="single" w:sz="4" w:space="0" w:color="auto"/>
              <w:right w:val="nil"/>
            </w:tcBorders>
            <w:vAlign w:val="bottom"/>
          </w:tcPr>
          <w:p w:rsidR="00897C1E" w:rsidRPr="00911315" w:rsidRDefault="00897C1E" w:rsidP="00F104E9">
            <w:pPr>
              <w:pStyle w:val="braytabletext"/>
              <w:jc w:val="right"/>
              <w:rPr>
                <w:szCs w:val="16"/>
              </w:rPr>
            </w:pPr>
            <w:r w:rsidRPr="00911315">
              <w:rPr>
                <w:szCs w:val="16"/>
              </w:rPr>
              <w:t>6.6</w:t>
            </w:r>
          </w:p>
        </w:tc>
        <w:tc>
          <w:tcPr>
            <w:tcW w:w="475" w:type="pct"/>
            <w:tcBorders>
              <w:top w:val="nil"/>
              <w:left w:val="nil"/>
              <w:bottom w:val="single" w:sz="4" w:space="0" w:color="auto"/>
              <w:right w:val="nil"/>
            </w:tcBorders>
            <w:vAlign w:val="bottom"/>
          </w:tcPr>
          <w:p w:rsidR="00897C1E" w:rsidRPr="00911315" w:rsidRDefault="00897C1E" w:rsidP="00F104E9">
            <w:pPr>
              <w:pStyle w:val="braytabletext"/>
              <w:jc w:val="right"/>
              <w:rPr>
                <w:szCs w:val="16"/>
              </w:rPr>
            </w:pPr>
            <w:r w:rsidRPr="00911315">
              <w:rPr>
                <w:szCs w:val="16"/>
              </w:rPr>
              <w:t>5.4</w:t>
            </w:r>
          </w:p>
        </w:tc>
        <w:tc>
          <w:tcPr>
            <w:tcW w:w="132" w:type="pct"/>
            <w:tcBorders>
              <w:top w:val="nil"/>
              <w:left w:val="nil"/>
              <w:bottom w:val="single" w:sz="4" w:space="0" w:color="auto"/>
              <w:right w:val="nil"/>
            </w:tcBorders>
            <w:vAlign w:val="bottom"/>
          </w:tcPr>
          <w:p w:rsidR="00897C1E" w:rsidRPr="00911315" w:rsidRDefault="00897C1E" w:rsidP="00F104E9">
            <w:pPr>
              <w:pStyle w:val="braytabletext"/>
              <w:jc w:val="right"/>
              <w:rPr>
                <w:szCs w:val="16"/>
              </w:rPr>
            </w:pPr>
          </w:p>
        </w:tc>
        <w:tc>
          <w:tcPr>
            <w:tcW w:w="403" w:type="pct"/>
            <w:tcBorders>
              <w:top w:val="nil"/>
              <w:left w:val="nil"/>
              <w:bottom w:val="single" w:sz="4" w:space="0" w:color="auto"/>
              <w:right w:val="nil"/>
            </w:tcBorders>
            <w:vAlign w:val="bottom"/>
          </w:tcPr>
          <w:p w:rsidR="00897C1E" w:rsidRPr="00911315" w:rsidRDefault="00897C1E" w:rsidP="00F104E9">
            <w:pPr>
              <w:pStyle w:val="braytabletext"/>
              <w:jc w:val="right"/>
              <w:rPr>
                <w:szCs w:val="16"/>
              </w:rPr>
            </w:pPr>
            <w:r w:rsidRPr="00911315">
              <w:rPr>
                <w:szCs w:val="16"/>
              </w:rPr>
              <w:t>9.4</w:t>
            </w:r>
          </w:p>
        </w:tc>
        <w:tc>
          <w:tcPr>
            <w:tcW w:w="398" w:type="pct"/>
            <w:tcBorders>
              <w:top w:val="nil"/>
              <w:left w:val="nil"/>
              <w:bottom w:val="single" w:sz="4" w:space="0" w:color="auto"/>
              <w:right w:val="nil"/>
            </w:tcBorders>
            <w:vAlign w:val="bottom"/>
          </w:tcPr>
          <w:p w:rsidR="00897C1E" w:rsidRPr="00911315" w:rsidRDefault="00897C1E" w:rsidP="00F104E9">
            <w:pPr>
              <w:pStyle w:val="braytabletext"/>
              <w:jc w:val="right"/>
              <w:rPr>
                <w:szCs w:val="16"/>
              </w:rPr>
            </w:pPr>
            <w:r w:rsidRPr="00911315">
              <w:rPr>
                <w:szCs w:val="16"/>
              </w:rPr>
              <w:t>9.1</w:t>
            </w:r>
          </w:p>
        </w:tc>
        <w:tc>
          <w:tcPr>
            <w:tcW w:w="132" w:type="pct"/>
            <w:tcBorders>
              <w:top w:val="nil"/>
              <w:left w:val="nil"/>
              <w:bottom w:val="single" w:sz="4" w:space="0" w:color="auto"/>
              <w:right w:val="nil"/>
            </w:tcBorders>
            <w:vAlign w:val="bottom"/>
          </w:tcPr>
          <w:p w:rsidR="00897C1E" w:rsidRPr="00911315" w:rsidRDefault="00897C1E" w:rsidP="00F104E9">
            <w:pPr>
              <w:pStyle w:val="braytabletext"/>
              <w:jc w:val="right"/>
              <w:rPr>
                <w:szCs w:val="16"/>
              </w:rPr>
            </w:pPr>
          </w:p>
        </w:tc>
        <w:tc>
          <w:tcPr>
            <w:tcW w:w="459" w:type="pct"/>
            <w:tcBorders>
              <w:top w:val="nil"/>
              <w:left w:val="nil"/>
              <w:bottom w:val="single" w:sz="4" w:space="0" w:color="auto"/>
              <w:right w:val="nil"/>
            </w:tcBorders>
            <w:vAlign w:val="bottom"/>
          </w:tcPr>
          <w:p w:rsidR="00897C1E" w:rsidRPr="00911315" w:rsidRDefault="00897C1E" w:rsidP="00F104E9">
            <w:pPr>
              <w:pStyle w:val="braytabletext"/>
              <w:jc w:val="right"/>
              <w:rPr>
                <w:szCs w:val="16"/>
              </w:rPr>
            </w:pPr>
            <w:r w:rsidRPr="00911315">
              <w:rPr>
                <w:szCs w:val="16"/>
              </w:rPr>
              <w:t>6.0</w:t>
            </w:r>
          </w:p>
        </w:tc>
        <w:tc>
          <w:tcPr>
            <w:tcW w:w="175" w:type="pct"/>
            <w:tcBorders>
              <w:top w:val="nil"/>
              <w:left w:val="nil"/>
              <w:bottom w:val="single" w:sz="4" w:space="0" w:color="auto"/>
              <w:right w:val="nil"/>
            </w:tcBorders>
            <w:vAlign w:val="bottom"/>
          </w:tcPr>
          <w:p w:rsidR="00897C1E" w:rsidRPr="00911315" w:rsidRDefault="00897C1E" w:rsidP="00F104E9">
            <w:pPr>
              <w:pStyle w:val="braytabletext"/>
              <w:jc w:val="right"/>
              <w:rPr>
                <w:szCs w:val="16"/>
              </w:rPr>
            </w:pPr>
          </w:p>
        </w:tc>
        <w:tc>
          <w:tcPr>
            <w:tcW w:w="477" w:type="pct"/>
            <w:tcBorders>
              <w:top w:val="nil"/>
              <w:left w:val="nil"/>
              <w:bottom w:val="single" w:sz="4" w:space="0" w:color="auto"/>
              <w:right w:val="nil"/>
            </w:tcBorders>
            <w:vAlign w:val="bottom"/>
          </w:tcPr>
          <w:p w:rsidR="00897C1E" w:rsidRPr="00911315" w:rsidRDefault="00897C1E" w:rsidP="00F104E9">
            <w:pPr>
              <w:pStyle w:val="braytabletext"/>
              <w:jc w:val="right"/>
              <w:rPr>
                <w:szCs w:val="16"/>
              </w:rPr>
            </w:pPr>
            <w:r w:rsidRPr="00911315">
              <w:rPr>
                <w:szCs w:val="16"/>
              </w:rPr>
              <w:t>5.0</w:t>
            </w:r>
          </w:p>
        </w:tc>
        <w:tc>
          <w:tcPr>
            <w:tcW w:w="423" w:type="pct"/>
            <w:tcBorders>
              <w:top w:val="nil"/>
              <w:left w:val="nil"/>
              <w:bottom w:val="single" w:sz="4" w:space="0" w:color="auto"/>
              <w:right w:val="nil"/>
            </w:tcBorders>
            <w:vAlign w:val="bottom"/>
          </w:tcPr>
          <w:p w:rsidR="00897C1E" w:rsidRPr="00911315" w:rsidRDefault="00897C1E" w:rsidP="00F104E9">
            <w:pPr>
              <w:pStyle w:val="braytabletext"/>
              <w:jc w:val="right"/>
              <w:rPr>
                <w:szCs w:val="16"/>
              </w:rPr>
            </w:pPr>
            <w:r w:rsidRPr="00911315">
              <w:rPr>
                <w:szCs w:val="16"/>
              </w:rPr>
              <w:t>6.6</w:t>
            </w:r>
          </w:p>
        </w:tc>
      </w:tr>
      <w:tr w:rsidR="00897C1E" w:rsidRPr="00911315" w:rsidTr="00EB68B7">
        <w:trPr>
          <w:trHeight w:val="290"/>
        </w:trPr>
        <w:tc>
          <w:tcPr>
            <w:tcW w:w="1486" w:type="pct"/>
            <w:tcBorders>
              <w:top w:val="single" w:sz="6" w:space="0" w:color="auto"/>
              <w:left w:val="nil"/>
              <w:bottom w:val="nil"/>
              <w:right w:val="nil"/>
            </w:tcBorders>
          </w:tcPr>
          <w:p w:rsidR="00897C1E" w:rsidRPr="00911315" w:rsidRDefault="00897C1E" w:rsidP="00F104E9">
            <w:pPr>
              <w:pStyle w:val="braytabletext"/>
              <w:rPr>
                <w:i/>
                <w:szCs w:val="16"/>
              </w:rPr>
            </w:pPr>
            <w:r w:rsidRPr="00911315">
              <w:rPr>
                <w:i/>
                <w:szCs w:val="16"/>
              </w:rPr>
              <w:t>Health status</w:t>
            </w:r>
          </w:p>
        </w:tc>
        <w:tc>
          <w:tcPr>
            <w:tcW w:w="440" w:type="pct"/>
            <w:tcBorders>
              <w:top w:val="single" w:sz="6" w:space="0" w:color="auto"/>
              <w:left w:val="nil"/>
              <w:bottom w:val="nil"/>
              <w:right w:val="nil"/>
            </w:tcBorders>
          </w:tcPr>
          <w:p w:rsidR="00897C1E" w:rsidRPr="00911315" w:rsidRDefault="00897C1E" w:rsidP="00F104E9">
            <w:pPr>
              <w:pStyle w:val="braytabletext"/>
              <w:jc w:val="right"/>
              <w:rPr>
                <w:szCs w:val="16"/>
              </w:rPr>
            </w:pPr>
          </w:p>
        </w:tc>
        <w:tc>
          <w:tcPr>
            <w:tcW w:w="475" w:type="pct"/>
            <w:tcBorders>
              <w:top w:val="single" w:sz="6" w:space="0" w:color="auto"/>
              <w:left w:val="nil"/>
              <w:bottom w:val="nil"/>
              <w:right w:val="nil"/>
            </w:tcBorders>
          </w:tcPr>
          <w:p w:rsidR="00897C1E" w:rsidRPr="00911315" w:rsidRDefault="00897C1E" w:rsidP="00F104E9">
            <w:pPr>
              <w:pStyle w:val="braytabletext"/>
              <w:jc w:val="right"/>
              <w:rPr>
                <w:szCs w:val="16"/>
              </w:rPr>
            </w:pPr>
          </w:p>
        </w:tc>
        <w:tc>
          <w:tcPr>
            <w:tcW w:w="132" w:type="pct"/>
            <w:tcBorders>
              <w:top w:val="single" w:sz="6" w:space="0" w:color="auto"/>
              <w:left w:val="nil"/>
              <w:bottom w:val="nil"/>
              <w:right w:val="nil"/>
            </w:tcBorders>
          </w:tcPr>
          <w:p w:rsidR="00897C1E" w:rsidRPr="00911315" w:rsidRDefault="00897C1E" w:rsidP="00F104E9">
            <w:pPr>
              <w:pStyle w:val="braytabletext"/>
              <w:jc w:val="right"/>
              <w:rPr>
                <w:szCs w:val="16"/>
              </w:rPr>
            </w:pPr>
          </w:p>
        </w:tc>
        <w:tc>
          <w:tcPr>
            <w:tcW w:w="403" w:type="pct"/>
            <w:tcBorders>
              <w:top w:val="single" w:sz="6" w:space="0" w:color="auto"/>
              <w:left w:val="nil"/>
              <w:bottom w:val="nil"/>
              <w:right w:val="nil"/>
            </w:tcBorders>
          </w:tcPr>
          <w:p w:rsidR="00897C1E" w:rsidRPr="00911315" w:rsidRDefault="00897C1E" w:rsidP="00F104E9">
            <w:pPr>
              <w:pStyle w:val="braytabletext"/>
              <w:jc w:val="right"/>
              <w:rPr>
                <w:szCs w:val="16"/>
              </w:rPr>
            </w:pPr>
          </w:p>
        </w:tc>
        <w:tc>
          <w:tcPr>
            <w:tcW w:w="398" w:type="pct"/>
            <w:tcBorders>
              <w:top w:val="single" w:sz="6" w:space="0" w:color="auto"/>
              <w:left w:val="nil"/>
              <w:bottom w:val="nil"/>
              <w:right w:val="nil"/>
            </w:tcBorders>
          </w:tcPr>
          <w:p w:rsidR="00897C1E" w:rsidRPr="00911315" w:rsidRDefault="00897C1E" w:rsidP="00F104E9">
            <w:pPr>
              <w:pStyle w:val="braytabletext"/>
              <w:jc w:val="right"/>
              <w:rPr>
                <w:szCs w:val="16"/>
              </w:rPr>
            </w:pPr>
          </w:p>
        </w:tc>
        <w:tc>
          <w:tcPr>
            <w:tcW w:w="132" w:type="pct"/>
            <w:tcBorders>
              <w:top w:val="single" w:sz="6" w:space="0" w:color="auto"/>
              <w:left w:val="nil"/>
              <w:bottom w:val="nil"/>
              <w:right w:val="nil"/>
            </w:tcBorders>
          </w:tcPr>
          <w:p w:rsidR="00897C1E" w:rsidRPr="00911315" w:rsidRDefault="00897C1E" w:rsidP="00F104E9">
            <w:pPr>
              <w:pStyle w:val="braytabletext"/>
              <w:jc w:val="right"/>
              <w:rPr>
                <w:szCs w:val="16"/>
              </w:rPr>
            </w:pPr>
          </w:p>
        </w:tc>
        <w:tc>
          <w:tcPr>
            <w:tcW w:w="459" w:type="pct"/>
            <w:tcBorders>
              <w:top w:val="single" w:sz="6" w:space="0" w:color="auto"/>
              <w:left w:val="nil"/>
              <w:bottom w:val="nil"/>
              <w:right w:val="nil"/>
            </w:tcBorders>
          </w:tcPr>
          <w:p w:rsidR="00897C1E" w:rsidRPr="00911315" w:rsidRDefault="00897C1E" w:rsidP="00F104E9">
            <w:pPr>
              <w:pStyle w:val="braytabletext"/>
              <w:jc w:val="right"/>
              <w:rPr>
                <w:szCs w:val="16"/>
              </w:rPr>
            </w:pPr>
          </w:p>
        </w:tc>
        <w:tc>
          <w:tcPr>
            <w:tcW w:w="175" w:type="pct"/>
            <w:tcBorders>
              <w:top w:val="single" w:sz="6" w:space="0" w:color="auto"/>
              <w:left w:val="nil"/>
              <w:bottom w:val="nil"/>
              <w:right w:val="nil"/>
            </w:tcBorders>
          </w:tcPr>
          <w:p w:rsidR="00897C1E" w:rsidRPr="00911315" w:rsidRDefault="00897C1E" w:rsidP="00F104E9">
            <w:pPr>
              <w:pStyle w:val="braytabletext"/>
              <w:jc w:val="right"/>
              <w:rPr>
                <w:szCs w:val="16"/>
              </w:rPr>
            </w:pPr>
          </w:p>
        </w:tc>
        <w:tc>
          <w:tcPr>
            <w:tcW w:w="477" w:type="pct"/>
            <w:tcBorders>
              <w:top w:val="single" w:sz="6" w:space="0" w:color="auto"/>
              <w:left w:val="nil"/>
              <w:bottom w:val="nil"/>
              <w:right w:val="nil"/>
            </w:tcBorders>
          </w:tcPr>
          <w:p w:rsidR="00897C1E" w:rsidRPr="00911315" w:rsidRDefault="00897C1E" w:rsidP="00F104E9">
            <w:pPr>
              <w:pStyle w:val="braytabletext"/>
              <w:jc w:val="right"/>
              <w:rPr>
                <w:szCs w:val="16"/>
              </w:rPr>
            </w:pPr>
          </w:p>
        </w:tc>
        <w:tc>
          <w:tcPr>
            <w:tcW w:w="423" w:type="pct"/>
            <w:tcBorders>
              <w:top w:val="single" w:sz="6" w:space="0" w:color="auto"/>
              <w:left w:val="nil"/>
              <w:bottom w:val="nil"/>
              <w:right w:val="nil"/>
            </w:tcBorders>
          </w:tcPr>
          <w:p w:rsidR="00897C1E" w:rsidRPr="00911315" w:rsidRDefault="00897C1E" w:rsidP="00F104E9">
            <w:pPr>
              <w:pStyle w:val="braytabletext"/>
              <w:jc w:val="right"/>
              <w:rPr>
                <w:szCs w:val="16"/>
              </w:rPr>
            </w:pPr>
          </w:p>
        </w:tc>
      </w:tr>
      <w:tr w:rsidR="00897C1E" w:rsidRPr="00911315" w:rsidTr="00EB68B7">
        <w:trPr>
          <w:trHeight w:val="290"/>
        </w:trPr>
        <w:tc>
          <w:tcPr>
            <w:tcW w:w="1486" w:type="pct"/>
            <w:tcBorders>
              <w:top w:val="nil"/>
              <w:left w:val="nil"/>
              <w:bottom w:val="nil"/>
              <w:right w:val="nil"/>
            </w:tcBorders>
          </w:tcPr>
          <w:p w:rsidR="00897C1E" w:rsidRPr="00911315" w:rsidRDefault="00897C1E" w:rsidP="00F104E9">
            <w:pPr>
              <w:pStyle w:val="braytabletext"/>
              <w:rPr>
                <w:szCs w:val="16"/>
              </w:rPr>
            </w:pPr>
            <w:r w:rsidRPr="00911315">
              <w:rPr>
                <w:szCs w:val="16"/>
              </w:rPr>
              <w:t>Good</w:t>
            </w:r>
          </w:p>
        </w:tc>
        <w:tc>
          <w:tcPr>
            <w:tcW w:w="440"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71.1</w:t>
            </w:r>
          </w:p>
        </w:tc>
        <w:tc>
          <w:tcPr>
            <w:tcW w:w="475"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59.4</w:t>
            </w:r>
          </w:p>
        </w:tc>
        <w:tc>
          <w:tcPr>
            <w:tcW w:w="132" w:type="pct"/>
            <w:tcBorders>
              <w:top w:val="nil"/>
              <w:left w:val="nil"/>
              <w:bottom w:val="nil"/>
              <w:right w:val="nil"/>
            </w:tcBorders>
          </w:tcPr>
          <w:p w:rsidR="00897C1E" w:rsidRPr="00911315" w:rsidRDefault="00897C1E" w:rsidP="00F104E9">
            <w:pPr>
              <w:pStyle w:val="braytabletext"/>
              <w:jc w:val="right"/>
              <w:rPr>
                <w:szCs w:val="16"/>
              </w:rPr>
            </w:pPr>
          </w:p>
        </w:tc>
        <w:tc>
          <w:tcPr>
            <w:tcW w:w="403"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51.2</w:t>
            </w:r>
          </w:p>
        </w:tc>
        <w:tc>
          <w:tcPr>
            <w:tcW w:w="398"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21.9</w:t>
            </w:r>
          </w:p>
        </w:tc>
        <w:tc>
          <w:tcPr>
            <w:tcW w:w="132" w:type="pct"/>
            <w:tcBorders>
              <w:top w:val="nil"/>
              <w:left w:val="nil"/>
              <w:bottom w:val="nil"/>
              <w:right w:val="nil"/>
            </w:tcBorders>
          </w:tcPr>
          <w:p w:rsidR="00897C1E" w:rsidRPr="00911315" w:rsidRDefault="00897C1E" w:rsidP="00F104E9">
            <w:pPr>
              <w:pStyle w:val="braytabletext"/>
              <w:jc w:val="right"/>
              <w:rPr>
                <w:szCs w:val="16"/>
              </w:rPr>
            </w:pPr>
          </w:p>
        </w:tc>
        <w:tc>
          <w:tcPr>
            <w:tcW w:w="459"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52.2</w:t>
            </w:r>
          </w:p>
        </w:tc>
        <w:tc>
          <w:tcPr>
            <w:tcW w:w="175" w:type="pct"/>
            <w:tcBorders>
              <w:top w:val="nil"/>
              <w:left w:val="nil"/>
              <w:bottom w:val="nil"/>
              <w:right w:val="nil"/>
            </w:tcBorders>
          </w:tcPr>
          <w:p w:rsidR="00897C1E" w:rsidRPr="00911315" w:rsidRDefault="00897C1E" w:rsidP="00F104E9">
            <w:pPr>
              <w:pStyle w:val="braytabletext"/>
              <w:jc w:val="right"/>
              <w:rPr>
                <w:szCs w:val="16"/>
              </w:rPr>
            </w:pPr>
          </w:p>
        </w:tc>
        <w:tc>
          <w:tcPr>
            <w:tcW w:w="477"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47.9</w:t>
            </w:r>
          </w:p>
        </w:tc>
        <w:tc>
          <w:tcPr>
            <w:tcW w:w="423"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21.0</w:t>
            </w:r>
          </w:p>
        </w:tc>
      </w:tr>
      <w:tr w:rsidR="00897C1E" w:rsidRPr="00911315" w:rsidTr="00EB68B7">
        <w:trPr>
          <w:trHeight w:val="290"/>
        </w:trPr>
        <w:tc>
          <w:tcPr>
            <w:tcW w:w="1486" w:type="pct"/>
            <w:tcBorders>
              <w:top w:val="nil"/>
              <w:left w:val="nil"/>
              <w:bottom w:val="nil"/>
              <w:right w:val="nil"/>
            </w:tcBorders>
          </w:tcPr>
          <w:p w:rsidR="00897C1E" w:rsidRPr="00911315" w:rsidRDefault="00897C1E" w:rsidP="00F104E9">
            <w:pPr>
              <w:pStyle w:val="braytabletext"/>
              <w:rPr>
                <w:szCs w:val="16"/>
              </w:rPr>
            </w:pPr>
            <w:r w:rsidRPr="00911315">
              <w:rPr>
                <w:szCs w:val="16"/>
              </w:rPr>
              <w:t>OK</w:t>
            </w:r>
          </w:p>
        </w:tc>
        <w:tc>
          <w:tcPr>
            <w:tcW w:w="440"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20.9</w:t>
            </w:r>
          </w:p>
        </w:tc>
        <w:tc>
          <w:tcPr>
            <w:tcW w:w="475"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27.3</w:t>
            </w:r>
          </w:p>
        </w:tc>
        <w:tc>
          <w:tcPr>
            <w:tcW w:w="132" w:type="pct"/>
            <w:tcBorders>
              <w:top w:val="nil"/>
              <w:left w:val="nil"/>
              <w:bottom w:val="nil"/>
              <w:right w:val="nil"/>
            </w:tcBorders>
          </w:tcPr>
          <w:p w:rsidR="00897C1E" w:rsidRPr="00911315" w:rsidRDefault="00897C1E" w:rsidP="00F104E9">
            <w:pPr>
              <w:pStyle w:val="braytabletext"/>
              <w:jc w:val="right"/>
              <w:rPr>
                <w:szCs w:val="16"/>
              </w:rPr>
            </w:pPr>
          </w:p>
        </w:tc>
        <w:tc>
          <w:tcPr>
            <w:tcW w:w="403"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27.6</w:t>
            </w:r>
          </w:p>
        </w:tc>
        <w:tc>
          <w:tcPr>
            <w:tcW w:w="398"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34.4</w:t>
            </w:r>
          </w:p>
        </w:tc>
        <w:tc>
          <w:tcPr>
            <w:tcW w:w="132" w:type="pct"/>
            <w:tcBorders>
              <w:top w:val="nil"/>
              <w:left w:val="nil"/>
              <w:bottom w:val="nil"/>
              <w:right w:val="nil"/>
            </w:tcBorders>
          </w:tcPr>
          <w:p w:rsidR="00897C1E" w:rsidRPr="00911315" w:rsidRDefault="00897C1E" w:rsidP="00F104E9">
            <w:pPr>
              <w:pStyle w:val="braytabletext"/>
              <w:jc w:val="right"/>
              <w:rPr>
                <w:szCs w:val="16"/>
              </w:rPr>
            </w:pPr>
          </w:p>
        </w:tc>
        <w:tc>
          <w:tcPr>
            <w:tcW w:w="459"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29.7</w:t>
            </w:r>
          </w:p>
        </w:tc>
        <w:tc>
          <w:tcPr>
            <w:tcW w:w="175" w:type="pct"/>
            <w:tcBorders>
              <w:top w:val="nil"/>
              <w:left w:val="nil"/>
              <w:bottom w:val="nil"/>
              <w:right w:val="nil"/>
            </w:tcBorders>
          </w:tcPr>
          <w:p w:rsidR="00897C1E" w:rsidRPr="00911315" w:rsidRDefault="00897C1E" w:rsidP="00F104E9">
            <w:pPr>
              <w:pStyle w:val="braytabletext"/>
              <w:jc w:val="right"/>
              <w:rPr>
                <w:szCs w:val="16"/>
              </w:rPr>
            </w:pPr>
          </w:p>
        </w:tc>
        <w:tc>
          <w:tcPr>
            <w:tcW w:w="477"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26.3</w:t>
            </w:r>
          </w:p>
        </w:tc>
        <w:tc>
          <w:tcPr>
            <w:tcW w:w="423"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48.6</w:t>
            </w:r>
          </w:p>
        </w:tc>
      </w:tr>
      <w:tr w:rsidR="00897C1E" w:rsidRPr="00911315" w:rsidTr="00EB68B7">
        <w:trPr>
          <w:trHeight w:val="290"/>
        </w:trPr>
        <w:tc>
          <w:tcPr>
            <w:tcW w:w="1486" w:type="pct"/>
            <w:tcBorders>
              <w:top w:val="nil"/>
              <w:left w:val="nil"/>
              <w:bottom w:val="nil"/>
              <w:right w:val="nil"/>
            </w:tcBorders>
          </w:tcPr>
          <w:p w:rsidR="00897C1E" w:rsidRPr="00911315" w:rsidRDefault="00897C1E" w:rsidP="00F104E9">
            <w:pPr>
              <w:pStyle w:val="braytabletext"/>
              <w:rPr>
                <w:szCs w:val="16"/>
              </w:rPr>
            </w:pPr>
            <w:r w:rsidRPr="00911315">
              <w:rPr>
                <w:szCs w:val="16"/>
              </w:rPr>
              <w:t>Not so good</w:t>
            </w:r>
          </w:p>
        </w:tc>
        <w:tc>
          <w:tcPr>
            <w:tcW w:w="440"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8.1</w:t>
            </w:r>
          </w:p>
        </w:tc>
        <w:tc>
          <w:tcPr>
            <w:tcW w:w="475"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13.3</w:t>
            </w:r>
          </w:p>
        </w:tc>
        <w:tc>
          <w:tcPr>
            <w:tcW w:w="132" w:type="pct"/>
            <w:tcBorders>
              <w:top w:val="nil"/>
              <w:left w:val="nil"/>
              <w:bottom w:val="nil"/>
              <w:right w:val="nil"/>
            </w:tcBorders>
          </w:tcPr>
          <w:p w:rsidR="00897C1E" w:rsidRPr="00911315" w:rsidRDefault="00897C1E" w:rsidP="00F104E9">
            <w:pPr>
              <w:pStyle w:val="braytabletext"/>
              <w:jc w:val="right"/>
              <w:rPr>
                <w:szCs w:val="16"/>
              </w:rPr>
            </w:pPr>
          </w:p>
        </w:tc>
        <w:tc>
          <w:tcPr>
            <w:tcW w:w="403"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21.3</w:t>
            </w:r>
          </w:p>
        </w:tc>
        <w:tc>
          <w:tcPr>
            <w:tcW w:w="398"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43.8</w:t>
            </w:r>
          </w:p>
        </w:tc>
        <w:tc>
          <w:tcPr>
            <w:tcW w:w="132" w:type="pct"/>
            <w:tcBorders>
              <w:top w:val="nil"/>
              <w:left w:val="nil"/>
              <w:bottom w:val="nil"/>
              <w:right w:val="nil"/>
            </w:tcBorders>
          </w:tcPr>
          <w:p w:rsidR="00897C1E" w:rsidRPr="00911315" w:rsidRDefault="00897C1E" w:rsidP="00F104E9">
            <w:pPr>
              <w:pStyle w:val="braytabletext"/>
              <w:jc w:val="right"/>
              <w:rPr>
                <w:szCs w:val="16"/>
              </w:rPr>
            </w:pPr>
          </w:p>
        </w:tc>
        <w:tc>
          <w:tcPr>
            <w:tcW w:w="459"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18.1</w:t>
            </w:r>
          </w:p>
        </w:tc>
        <w:tc>
          <w:tcPr>
            <w:tcW w:w="175" w:type="pct"/>
            <w:tcBorders>
              <w:top w:val="nil"/>
              <w:left w:val="nil"/>
              <w:bottom w:val="nil"/>
              <w:right w:val="nil"/>
            </w:tcBorders>
          </w:tcPr>
          <w:p w:rsidR="00897C1E" w:rsidRPr="00911315" w:rsidRDefault="00897C1E" w:rsidP="00F104E9">
            <w:pPr>
              <w:pStyle w:val="braytabletext"/>
              <w:jc w:val="right"/>
              <w:rPr>
                <w:szCs w:val="16"/>
              </w:rPr>
            </w:pPr>
          </w:p>
        </w:tc>
        <w:tc>
          <w:tcPr>
            <w:tcW w:w="477"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25.8</w:t>
            </w:r>
          </w:p>
        </w:tc>
        <w:tc>
          <w:tcPr>
            <w:tcW w:w="423"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30.5</w:t>
            </w:r>
          </w:p>
        </w:tc>
      </w:tr>
      <w:tr w:rsidR="00897C1E" w:rsidRPr="00911315" w:rsidTr="00EB68B7">
        <w:trPr>
          <w:trHeight w:val="290"/>
        </w:trPr>
        <w:tc>
          <w:tcPr>
            <w:tcW w:w="1486" w:type="pct"/>
            <w:tcBorders>
              <w:top w:val="nil"/>
              <w:left w:val="nil"/>
              <w:bottom w:val="single" w:sz="4" w:space="0" w:color="auto"/>
              <w:right w:val="nil"/>
            </w:tcBorders>
          </w:tcPr>
          <w:p w:rsidR="00897C1E" w:rsidRPr="00911315" w:rsidRDefault="00897C1E" w:rsidP="00F104E9">
            <w:pPr>
              <w:pStyle w:val="braytabletext"/>
              <w:rPr>
                <w:szCs w:val="16"/>
              </w:rPr>
            </w:pPr>
          </w:p>
        </w:tc>
        <w:tc>
          <w:tcPr>
            <w:tcW w:w="440" w:type="pct"/>
            <w:tcBorders>
              <w:top w:val="nil"/>
              <w:left w:val="nil"/>
              <w:bottom w:val="single" w:sz="4" w:space="0" w:color="auto"/>
              <w:right w:val="nil"/>
            </w:tcBorders>
          </w:tcPr>
          <w:p w:rsidR="00897C1E" w:rsidRPr="00911315" w:rsidRDefault="00897C1E" w:rsidP="00F104E9">
            <w:pPr>
              <w:pStyle w:val="braytabletext"/>
              <w:jc w:val="right"/>
              <w:rPr>
                <w:szCs w:val="16"/>
              </w:rPr>
            </w:pPr>
          </w:p>
        </w:tc>
        <w:tc>
          <w:tcPr>
            <w:tcW w:w="475" w:type="pct"/>
            <w:tcBorders>
              <w:top w:val="nil"/>
              <w:left w:val="nil"/>
              <w:bottom w:val="single" w:sz="4" w:space="0" w:color="auto"/>
              <w:right w:val="nil"/>
            </w:tcBorders>
          </w:tcPr>
          <w:p w:rsidR="00897C1E" w:rsidRPr="00911315" w:rsidRDefault="00897C1E" w:rsidP="00F104E9">
            <w:pPr>
              <w:pStyle w:val="braytabletext"/>
              <w:jc w:val="right"/>
              <w:rPr>
                <w:szCs w:val="16"/>
              </w:rPr>
            </w:pPr>
          </w:p>
        </w:tc>
        <w:tc>
          <w:tcPr>
            <w:tcW w:w="132" w:type="pct"/>
            <w:tcBorders>
              <w:top w:val="nil"/>
              <w:left w:val="nil"/>
              <w:bottom w:val="single" w:sz="4" w:space="0" w:color="auto"/>
              <w:right w:val="nil"/>
            </w:tcBorders>
          </w:tcPr>
          <w:p w:rsidR="00897C1E" w:rsidRPr="00911315" w:rsidRDefault="00897C1E" w:rsidP="00F104E9">
            <w:pPr>
              <w:pStyle w:val="braytabletext"/>
              <w:jc w:val="right"/>
              <w:rPr>
                <w:szCs w:val="16"/>
              </w:rPr>
            </w:pPr>
          </w:p>
        </w:tc>
        <w:tc>
          <w:tcPr>
            <w:tcW w:w="403" w:type="pct"/>
            <w:tcBorders>
              <w:top w:val="nil"/>
              <w:left w:val="nil"/>
              <w:bottom w:val="single" w:sz="4" w:space="0" w:color="auto"/>
              <w:right w:val="nil"/>
            </w:tcBorders>
          </w:tcPr>
          <w:p w:rsidR="00897C1E" w:rsidRPr="00911315" w:rsidRDefault="00897C1E" w:rsidP="00F104E9">
            <w:pPr>
              <w:pStyle w:val="braytabletext"/>
              <w:jc w:val="right"/>
              <w:rPr>
                <w:szCs w:val="16"/>
              </w:rPr>
            </w:pPr>
          </w:p>
        </w:tc>
        <w:tc>
          <w:tcPr>
            <w:tcW w:w="398" w:type="pct"/>
            <w:tcBorders>
              <w:top w:val="nil"/>
              <w:left w:val="nil"/>
              <w:bottom w:val="single" w:sz="4" w:space="0" w:color="auto"/>
              <w:right w:val="nil"/>
            </w:tcBorders>
          </w:tcPr>
          <w:p w:rsidR="00897C1E" w:rsidRPr="00911315" w:rsidRDefault="00897C1E" w:rsidP="00F104E9">
            <w:pPr>
              <w:pStyle w:val="braytabletext"/>
              <w:jc w:val="right"/>
              <w:rPr>
                <w:szCs w:val="16"/>
              </w:rPr>
            </w:pPr>
          </w:p>
        </w:tc>
        <w:tc>
          <w:tcPr>
            <w:tcW w:w="132" w:type="pct"/>
            <w:tcBorders>
              <w:top w:val="nil"/>
              <w:left w:val="nil"/>
              <w:bottom w:val="single" w:sz="4" w:space="0" w:color="auto"/>
              <w:right w:val="nil"/>
            </w:tcBorders>
          </w:tcPr>
          <w:p w:rsidR="00897C1E" w:rsidRPr="00911315" w:rsidRDefault="00897C1E" w:rsidP="00F104E9">
            <w:pPr>
              <w:pStyle w:val="braytabletext"/>
              <w:jc w:val="right"/>
              <w:rPr>
                <w:szCs w:val="16"/>
              </w:rPr>
            </w:pPr>
          </w:p>
        </w:tc>
        <w:tc>
          <w:tcPr>
            <w:tcW w:w="459" w:type="pct"/>
            <w:tcBorders>
              <w:top w:val="nil"/>
              <w:left w:val="nil"/>
              <w:bottom w:val="single" w:sz="4" w:space="0" w:color="auto"/>
              <w:right w:val="nil"/>
            </w:tcBorders>
          </w:tcPr>
          <w:p w:rsidR="00897C1E" w:rsidRPr="00911315" w:rsidRDefault="00897C1E" w:rsidP="00F104E9">
            <w:pPr>
              <w:pStyle w:val="braytabletext"/>
              <w:jc w:val="right"/>
              <w:rPr>
                <w:szCs w:val="16"/>
              </w:rPr>
            </w:pPr>
          </w:p>
        </w:tc>
        <w:tc>
          <w:tcPr>
            <w:tcW w:w="175" w:type="pct"/>
            <w:tcBorders>
              <w:top w:val="nil"/>
              <w:left w:val="nil"/>
              <w:bottom w:val="single" w:sz="4" w:space="0" w:color="auto"/>
              <w:right w:val="nil"/>
            </w:tcBorders>
          </w:tcPr>
          <w:p w:rsidR="00897C1E" w:rsidRPr="00911315" w:rsidRDefault="00897C1E" w:rsidP="00F104E9">
            <w:pPr>
              <w:pStyle w:val="braytabletext"/>
              <w:jc w:val="right"/>
              <w:rPr>
                <w:szCs w:val="16"/>
              </w:rPr>
            </w:pPr>
          </w:p>
        </w:tc>
        <w:tc>
          <w:tcPr>
            <w:tcW w:w="477" w:type="pct"/>
            <w:tcBorders>
              <w:top w:val="nil"/>
              <w:left w:val="nil"/>
              <w:bottom w:val="single" w:sz="4" w:space="0" w:color="auto"/>
              <w:right w:val="nil"/>
            </w:tcBorders>
          </w:tcPr>
          <w:p w:rsidR="00897C1E" w:rsidRPr="00911315" w:rsidRDefault="00897C1E" w:rsidP="00F104E9">
            <w:pPr>
              <w:pStyle w:val="braytabletext"/>
              <w:jc w:val="right"/>
              <w:rPr>
                <w:szCs w:val="16"/>
              </w:rPr>
            </w:pPr>
          </w:p>
        </w:tc>
        <w:tc>
          <w:tcPr>
            <w:tcW w:w="423" w:type="pct"/>
            <w:tcBorders>
              <w:top w:val="nil"/>
              <w:left w:val="nil"/>
              <w:bottom w:val="single" w:sz="4" w:space="0" w:color="auto"/>
              <w:right w:val="nil"/>
            </w:tcBorders>
          </w:tcPr>
          <w:p w:rsidR="00897C1E" w:rsidRPr="00911315" w:rsidRDefault="00897C1E" w:rsidP="00F104E9">
            <w:pPr>
              <w:pStyle w:val="braytabletext"/>
              <w:jc w:val="right"/>
              <w:rPr>
                <w:szCs w:val="16"/>
              </w:rPr>
            </w:pPr>
          </w:p>
        </w:tc>
      </w:tr>
      <w:tr w:rsidR="00897C1E" w:rsidRPr="00911315" w:rsidTr="00EB68B7">
        <w:trPr>
          <w:trHeight w:val="290"/>
        </w:trPr>
        <w:tc>
          <w:tcPr>
            <w:tcW w:w="1486" w:type="pct"/>
            <w:tcBorders>
              <w:top w:val="single" w:sz="4" w:space="0" w:color="auto"/>
              <w:left w:val="nil"/>
              <w:bottom w:val="single" w:sz="4" w:space="0" w:color="auto"/>
              <w:right w:val="nil"/>
            </w:tcBorders>
          </w:tcPr>
          <w:p w:rsidR="00897C1E" w:rsidRPr="00911315" w:rsidRDefault="00897C1E" w:rsidP="00F104E9">
            <w:pPr>
              <w:pStyle w:val="braytabletext"/>
              <w:rPr>
                <w:szCs w:val="16"/>
              </w:rPr>
            </w:pPr>
            <w:r w:rsidRPr="00911315">
              <w:rPr>
                <w:szCs w:val="16"/>
              </w:rPr>
              <w:t>Number of survey participants</w:t>
            </w:r>
          </w:p>
        </w:tc>
        <w:tc>
          <w:tcPr>
            <w:tcW w:w="440" w:type="pct"/>
            <w:tcBorders>
              <w:top w:val="single" w:sz="4" w:space="0" w:color="auto"/>
              <w:left w:val="nil"/>
              <w:bottom w:val="single" w:sz="4" w:space="0" w:color="auto"/>
              <w:right w:val="nil"/>
            </w:tcBorders>
          </w:tcPr>
          <w:p w:rsidR="00897C1E" w:rsidRPr="00911315" w:rsidRDefault="00897C1E" w:rsidP="00F104E9">
            <w:pPr>
              <w:pStyle w:val="braytabletext"/>
              <w:jc w:val="right"/>
              <w:rPr>
                <w:szCs w:val="16"/>
              </w:rPr>
            </w:pPr>
            <w:r w:rsidRPr="00911315">
              <w:rPr>
                <w:szCs w:val="16"/>
              </w:rPr>
              <w:t>244</w:t>
            </w:r>
          </w:p>
        </w:tc>
        <w:tc>
          <w:tcPr>
            <w:tcW w:w="475" w:type="pct"/>
            <w:tcBorders>
              <w:top w:val="single" w:sz="4" w:space="0" w:color="auto"/>
              <w:left w:val="nil"/>
              <w:bottom w:val="single" w:sz="4" w:space="0" w:color="auto"/>
              <w:right w:val="nil"/>
            </w:tcBorders>
          </w:tcPr>
          <w:p w:rsidR="00897C1E" w:rsidRPr="00911315" w:rsidRDefault="00897C1E" w:rsidP="00F104E9">
            <w:pPr>
              <w:pStyle w:val="braytabletext"/>
              <w:jc w:val="right"/>
              <w:rPr>
                <w:szCs w:val="16"/>
              </w:rPr>
            </w:pPr>
            <w:r w:rsidRPr="00911315">
              <w:rPr>
                <w:szCs w:val="16"/>
              </w:rPr>
              <w:t>168</w:t>
            </w:r>
          </w:p>
        </w:tc>
        <w:tc>
          <w:tcPr>
            <w:tcW w:w="132" w:type="pct"/>
            <w:tcBorders>
              <w:top w:val="single" w:sz="4" w:space="0" w:color="auto"/>
              <w:left w:val="nil"/>
              <w:bottom w:val="single" w:sz="4" w:space="0" w:color="auto"/>
              <w:right w:val="nil"/>
            </w:tcBorders>
          </w:tcPr>
          <w:p w:rsidR="00897C1E" w:rsidRPr="00911315" w:rsidRDefault="00897C1E" w:rsidP="00F104E9">
            <w:pPr>
              <w:pStyle w:val="braytabletext"/>
              <w:jc w:val="right"/>
              <w:rPr>
                <w:szCs w:val="16"/>
              </w:rPr>
            </w:pPr>
          </w:p>
        </w:tc>
        <w:tc>
          <w:tcPr>
            <w:tcW w:w="403" w:type="pct"/>
            <w:tcBorders>
              <w:top w:val="single" w:sz="4" w:space="0" w:color="auto"/>
              <w:left w:val="nil"/>
              <w:bottom w:val="single" w:sz="4" w:space="0" w:color="auto"/>
              <w:right w:val="nil"/>
            </w:tcBorders>
          </w:tcPr>
          <w:p w:rsidR="00897C1E" w:rsidRPr="00911315" w:rsidRDefault="00897C1E" w:rsidP="00F104E9">
            <w:pPr>
              <w:pStyle w:val="braytabletext"/>
              <w:jc w:val="right"/>
              <w:rPr>
                <w:szCs w:val="16"/>
              </w:rPr>
            </w:pPr>
            <w:r w:rsidRPr="00911315">
              <w:rPr>
                <w:szCs w:val="16"/>
              </w:rPr>
              <w:t>128</w:t>
            </w:r>
          </w:p>
        </w:tc>
        <w:tc>
          <w:tcPr>
            <w:tcW w:w="398" w:type="pct"/>
            <w:tcBorders>
              <w:top w:val="single" w:sz="4" w:space="0" w:color="auto"/>
              <w:left w:val="nil"/>
              <w:bottom w:val="single" w:sz="4" w:space="0" w:color="auto"/>
              <w:right w:val="nil"/>
            </w:tcBorders>
          </w:tcPr>
          <w:p w:rsidR="00897C1E" w:rsidRPr="00911315" w:rsidRDefault="00897C1E" w:rsidP="00F104E9">
            <w:pPr>
              <w:pStyle w:val="braytabletext"/>
              <w:jc w:val="right"/>
              <w:rPr>
                <w:szCs w:val="16"/>
              </w:rPr>
            </w:pPr>
            <w:r w:rsidRPr="00911315">
              <w:rPr>
                <w:szCs w:val="16"/>
              </w:rPr>
              <w:t>33</w:t>
            </w:r>
          </w:p>
        </w:tc>
        <w:tc>
          <w:tcPr>
            <w:tcW w:w="132" w:type="pct"/>
            <w:tcBorders>
              <w:top w:val="single" w:sz="4" w:space="0" w:color="auto"/>
              <w:left w:val="nil"/>
              <w:bottom w:val="single" w:sz="4" w:space="0" w:color="auto"/>
              <w:right w:val="nil"/>
            </w:tcBorders>
          </w:tcPr>
          <w:p w:rsidR="00897C1E" w:rsidRPr="00911315" w:rsidRDefault="00897C1E" w:rsidP="00F104E9">
            <w:pPr>
              <w:pStyle w:val="braytabletext"/>
              <w:jc w:val="right"/>
              <w:rPr>
                <w:szCs w:val="16"/>
              </w:rPr>
            </w:pPr>
          </w:p>
        </w:tc>
        <w:tc>
          <w:tcPr>
            <w:tcW w:w="459" w:type="pct"/>
            <w:tcBorders>
              <w:top w:val="single" w:sz="4" w:space="0" w:color="auto"/>
              <w:left w:val="nil"/>
              <w:bottom w:val="single" w:sz="4" w:space="0" w:color="auto"/>
              <w:right w:val="nil"/>
            </w:tcBorders>
          </w:tcPr>
          <w:p w:rsidR="00897C1E" w:rsidRPr="00911315" w:rsidRDefault="00897C1E" w:rsidP="00F104E9">
            <w:pPr>
              <w:pStyle w:val="braytabletext"/>
              <w:jc w:val="right"/>
              <w:rPr>
                <w:szCs w:val="16"/>
              </w:rPr>
            </w:pPr>
            <w:r w:rsidRPr="00911315">
              <w:rPr>
                <w:szCs w:val="16"/>
              </w:rPr>
              <w:t>184</w:t>
            </w:r>
          </w:p>
        </w:tc>
        <w:tc>
          <w:tcPr>
            <w:tcW w:w="175" w:type="pct"/>
            <w:tcBorders>
              <w:top w:val="single" w:sz="4" w:space="0" w:color="auto"/>
              <w:left w:val="nil"/>
              <w:bottom w:val="single" w:sz="4" w:space="0" w:color="auto"/>
              <w:right w:val="nil"/>
            </w:tcBorders>
          </w:tcPr>
          <w:p w:rsidR="00897C1E" w:rsidRPr="00911315" w:rsidRDefault="00897C1E" w:rsidP="00F104E9">
            <w:pPr>
              <w:pStyle w:val="braytabletext"/>
              <w:jc w:val="right"/>
              <w:rPr>
                <w:szCs w:val="16"/>
              </w:rPr>
            </w:pPr>
          </w:p>
        </w:tc>
        <w:tc>
          <w:tcPr>
            <w:tcW w:w="477" w:type="pct"/>
            <w:tcBorders>
              <w:top w:val="single" w:sz="4" w:space="0" w:color="auto"/>
              <w:left w:val="nil"/>
              <w:bottom w:val="single" w:sz="4" w:space="0" w:color="auto"/>
              <w:right w:val="nil"/>
            </w:tcBorders>
          </w:tcPr>
          <w:p w:rsidR="00897C1E" w:rsidRPr="00911315" w:rsidRDefault="00897C1E" w:rsidP="00F104E9">
            <w:pPr>
              <w:pStyle w:val="braytabletext"/>
              <w:jc w:val="right"/>
              <w:rPr>
                <w:szCs w:val="16"/>
              </w:rPr>
            </w:pPr>
            <w:r w:rsidRPr="00911315">
              <w:rPr>
                <w:szCs w:val="16"/>
              </w:rPr>
              <w:t>199</w:t>
            </w:r>
          </w:p>
        </w:tc>
        <w:tc>
          <w:tcPr>
            <w:tcW w:w="423" w:type="pct"/>
            <w:tcBorders>
              <w:top w:val="single" w:sz="4" w:space="0" w:color="auto"/>
              <w:left w:val="nil"/>
              <w:bottom w:val="single" w:sz="4" w:space="0" w:color="auto"/>
              <w:right w:val="nil"/>
            </w:tcBorders>
          </w:tcPr>
          <w:p w:rsidR="00897C1E" w:rsidRPr="00911315" w:rsidRDefault="00897C1E" w:rsidP="00F104E9">
            <w:pPr>
              <w:pStyle w:val="braytabletext"/>
              <w:jc w:val="right"/>
              <w:rPr>
                <w:szCs w:val="16"/>
              </w:rPr>
            </w:pPr>
            <w:r w:rsidRPr="00911315">
              <w:rPr>
                <w:szCs w:val="16"/>
              </w:rPr>
              <w:t>106</w:t>
            </w:r>
          </w:p>
        </w:tc>
      </w:tr>
    </w:tbl>
    <w:p w:rsidR="00897C1E" w:rsidRDefault="00897C1E" w:rsidP="00CF78DB">
      <w:pPr>
        <w:pStyle w:val="tablefootnotes"/>
      </w:pPr>
      <w:r w:rsidRPr="005911E2">
        <w:t xml:space="preserve">Note: </w:t>
      </w:r>
      <w:r w:rsidRPr="005911E2">
        <w:tab/>
        <w:t xml:space="preserve">The sample also included 55 survey participants comprised of 24 Indigenous and 28 non-Indigenous participants whose survey responses strongly indicated that they were not on </w:t>
      </w:r>
      <w:r w:rsidR="00F878E4">
        <w:t>income management</w:t>
      </w:r>
      <w:r w:rsidRPr="005911E2">
        <w:t xml:space="preserve"> at the time of the interview</w:t>
      </w:r>
      <w:r w:rsidR="00EB68B7">
        <w:t>,</w:t>
      </w:r>
      <w:r w:rsidRPr="005911E2">
        <w:t xml:space="preserve"> and 3 non-Indigenous people on </w:t>
      </w:r>
      <w:r w:rsidR="002B5A5C">
        <w:t>Voluntary Income Management</w:t>
      </w:r>
      <w:r w:rsidRPr="005911E2">
        <w:t>. These groups are excluded from most of the analysis in the remainder of the chapter and are therefore not reported in this table.</w:t>
      </w:r>
    </w:p>
    <w:p w:rsidR="00504C46" w:rsidRPr="005911E2" w:rsidRDefault="00504C46" w:rsidP="00504C46">
      <w:pPr>
        <w:pStyle w:val="tablefootnotes"/>
      </w:pPr>
      <w:r w:rsidRPr="005911E2">
        <w:t xml:space="preserve">Source: </w:t>
      </w:r>
      <w:r w:rsidRPr="005911E2">
        <w:tab/>
        <w:t>LSNIM Wave 1.</w:t>
      </w:r>
    </w:p>
    <w:p w:rsidR="00504C46" w:rsidRDefault="00504C46" w:rsidP="00CF78DB">
      <w:pPr>
        <w:pStyle w:val="tablefootnotes"/>
      </w:pPr>
    </w:p>
    <w:p w:rsidR="00897C1E" w:rsidRPr="005911E2" w:rsidRDefault="00897C1E" w:rsidP="00BD6DFD">
      <w:pPr>
        <w:pStyle w:val="Heading3"/>
      </w:pPr>
      <w:r w:rsidRPr="005911E2">
        <w:t>Education</w:t>
      </w:r>
    </w:p>
    <w:p w:rsidR="00897C1E" w:rsidRPr="005911E2" w:rsidRDefault="00897C1E" w:rsidP="00897C1E">
      <w:pPr>
        <w:pStyle w:val="BodyText"/>
        <w:rPr>
          <w:lang w:bidi="ar-SA"/>
        </w:rPr>
      </w:pPr>
      <w:r w:rsidRPr="005911E2">
        <w:rPr>
          <w:lang w:bidi="ar-SA"/>
        </w:rPr>
        <w:t xml:space="preserve">The Indigenous population on </w:t>
      </w:r>
      <w:r w:rsidR="00F878E4">
        <w:rPr>
          <w:lang w:bidi="ar-SA"/>
        </w:rPr>
        <w:t>income management</w:t>
      </w:r>
      <w:r w:rsidRPr="005911E2">
        <w:rPr>
          <w:lang w:bidi="ar-SA"/>
        </w:rPr>
        <w:t xml:space="preserve"> in the</w:t>
      </w:r>
      <w:r w:rsidR="006435C8">
        <w:rPr>
          <w:lang w:bidi="ar-SA"/>
        </w:rPr>
        <w:t xml:space="preserve"> Northern Territory </w:t>
      </w:r>
      <w:r w:rsidRPr="005911E2">
        <w:rPr>
          <w:lang w:bidi="ar-SA"/>
        </w:rPr>
        <w:t xml:space="preserve">have a much lower level of education than the non-Indigenous </w:t>
      </w:r>
      <w:r w:rsidR="00F878E4">
        <w:rPr>
          <w:lang w:bidi="ar-SA"/>
        </w:rPr>
        <w:t>income manage</w:t>
      </w:r>
      <w:r w:rsidR="00EB68B7">
        <w:rPr>
          <w:lang w:bidi="ar-SA"/>
        </w:rPr>
        <w:t>d</w:t>
      </w:r>
      <w:r w:rsidRPr="005911E2">
        <w:rPr>
          <w:lang w:bidi="ar-SA"/>
        </w:rPr>
        <w:t xml:space="preserve"> population. For example, 21 per cent of the Indigenous </w:t>
      </w:r>
      <w:r w:rsidR="00F878E4">
        <w:rPr>
          <w:lang w:bidi="ar-SA"/>
        </w:rPr>
        <w:t>income manage</w:t>
      </w:r>
      <w:r w:rsidR="00EB68B7">
        <w:rPr>
          <w:lang w:bidi="ar-SA"/>
        </w:rPr>
        <w:t>d</w:t>
      </w:r>
      <w:r w:rsidRPr="005911E2">
        <w:rPr>
          <w:lang w:bidi="ar-SA"/>
        </w:rPr>
        <w:t xml:space="preserve"> survey participants have primary education as their highest level of education</w:t>
      </w:r>
      <w:r w:rsidR="00EB68B7">
        <w:rPr>
          <w:lang w:bidi="ar-SA"/>
        </w:rPr>
        <w:t>,</w:t>
      </w:r>
      <w:r w:rsidRPr="005911E2">
        <w:rPr>
          <w:lang w:bidi="ar-SA"/>
        </w:rPr>
        <w:t xml:space="preserve"> compared to none of the non-Indigenous </w:t>
      </w:r>
      <w:r w:rsidR="00F878E4">
        <w:rPr>
          <w:lang w:bidi="ar-SA"/>
        </w:rPr>
        <w:t>income management</w:t>
      </w:r>
      <w:r w:rsidRPr="005911E2">
        <w:rPr>
          <w:lang w:bidi="ar-SA"/>
        </w:rPr>
        <w:t xml:space="preserve"> sample. </w:t>
      </w:r>
    </w:p>
    <w:p w:rsidR="00897C1E" w:rsidRPr="005911E2" w:rsidRDefault="00897C1E" w:rsidP="00897C1E">
      <w:pPr>
        <w:pStyle w:val="BodyText"/>
        <w:rPr>
          <w:lang w:bidi="ar-SA"/>
        </w:rPr>
      </w:pPr>
      <w:r w:rsidRPr="005911E2">
        <w:rPr>
          <w:lang w:bidi="ar-SA"/>
        </w:rPr>
        <w:t xml:space="preserve">There are big differences in the educational attainment between Indigenous people on </w:t>
      </w:r>
      <w:r w:rsidR="00F878E4">
        <w:rPr>
          <w:lang w:bidi="ar-SA"/>
        </w:rPr>
        <w:t>income management</w:t>
      </w:r>
      <w:r w:rsidRPr="005911E2">
        <w:rPr>
          <w:lang w:bidi="ar-SA"/>
        </w:rPr>
        <w:t xml:space="preserve"> in </w:t>
      </w:r>
      <w:r w:rsidR="00EB68B7">
        <w:rPr>
          <w:lang w:bidi="ar-SA"/>
        </w:rPr>
        <w:t xml:space="preserve">the original </w:t>
      </w:r>
      <w:r w:rsidRPr="005911E2">
        <w:rPr>
          <w:lang w:bidi="ar-SA"/>
        </w:rPr>
        <w:t xml:space="preserve">NTER </w:t>
      </w:r>
      <w:r w:rsidR="00EB68B7">
        <w:rPr>
          <w:lang w:bidi="ar-SA"/>
        </w:rPr>
        <w:t xml:space="preserve">area </w:t>
      </w:r>
      <w:r w:rsidRPr="005911E2">
        <w:rPr>
          <w:lang w:bidi="ar-SA"/>
        </w:rPr>
        <w:t xml:space="preserve">and those in non-NTER areas, with those in NTER areas having a lower level of education. There are also differences between Indigenous people on </w:t>
      </w:r>
      <w:r w:rsidR="00EB68B7">
        <w:rPr>
          <w:lang w:bidi="ar-SA"/>
        </w:rPr>
        <w:t>the voluntary meas</w:t>
      </w:r>
      <w:r w:rsidR="008D1145">
        <w:rPr>
          <w:lang w:bidi="ar-SA"/>
        </w:rPr>
        <w:t>u</w:t>
      </w:r>
      <w:r w:rsidR="00EB68B7">
        <w:rPr>
          <w:lang w:bidi="ar-SA"/>
        </w:rPr>
        <w:t xml:space="preserve">re </w:t>
      </w:r>
      <w:r w:rsidRPr="005911E2">
        <w:rPr>
          <w:lang w:bidi="ar-SA"/>
        </w:rPr>
        <w:t xml:space="preserve">and those on </w:t>
      </w:r>
      <w:r w:rsidR="00EB68B7">
        <w:rPr>
          <w:lang w:bidi="ar-SA"/>
        </w:rPr>
        <w:t xml:space="preserve">one of the compulsory </w:t>
      </w:r>
      <w:r w:rsidR="00504C46">
        <w:rPr>
          <w:lang w:bidi="ar-SA"/>
        </w:rPr>
        <w:t>streams</w:t>
      </w:r>
      <w:r w:rsidR="00EB68B7">
        <w:rPr>
          <w:lang w:bidi="ar-SA"/>
        </w:rPr>
        <w:t>,</w:t>
      </w:r>
      <w:r w:rsidRPr="005911E2">
        <w:rPr>
          <w:lang w:bidi="ar-SA"/>
        </w:rPr>
        <w:t xml:space="preserve"> with those on </w:t>
      </w:r>
      <w:r w:rsidR="002B5A5C">
        <w:rPr>
          <w:lang w:bidi="ar-SA"/>
        </w:rPr>
        <w:t>Voluntary Income Management</w:t>
      </w:r>
      <w:r w:rsidRPr="005911E2">
        <w:rPr>
          <w:lang w:bidi="ar-SA"/>
        </w:rPr>
        <w:t xml:space="preserve"> having a markedly lower level of education. For example, amongst those in NTER areas who are on </w:t>
      </w:r>
      <w:r w:rsidR="00EB68B7">
        <w:rPr>
          <w:lang w:bidi="ar-SA"/>
        </w:rPr>
        <w:t>the voluntary measure,</w:t>
      </w:r>
      <w:r w:rsidRPr="005911E2">
        <w:rPr>
          <w:lang w:bidi="ar-SA"/>
        </w:rPr>
        <w:t xml:space="preserve"> 38 per cent have only primary level education and a further 10 per cent report not having attended school at all. Although a higher proportion of Indigenous </w:t>
      </w:r>
      <w:r w:rsidR="002B5A5C">
        <w:rPr>
          <w:lang w:bidi="ar-SA"/>
        </w:rPr>
        <w:t>Voluntary Income Management</w:t>
      </w:r>
      <w:r w:rsidRPr="005911E2">
        <w:rPr>
          <w:lang w:bidi="ar-SA"/>
        </w:rPr>
        <w:t xml:space="preserve"> survey participants in the non-NTER locations have basic education, less than 20 per cent either finished high school or obtained a trade or higher qualification. </w:t>
      </w:r>
    </w:p>
    <w:p w:rsidR="00897C1E" w:rsidRPr="005911E2" w:rsidRDefault="00897C1E" w:rsidP="00897C1E">
      <w:pPr>
        <w:pStyle w:val="BodyText"/>
        <w:rPr>
          <w:lang w:bidi="ar-SA"/>
        </w:rPr>
      </w:pPr>
      <w:r w:rsidRPr="005911E2">
        <w:rPr>
          <w:lang w:bidi="ar-SA"/>
        </w:rPr>
        <w:t xml:space="preserve">Across both the Indigenous and non-Indigenous sample, about one-quarter of those on </w:t>
      </w:r>
      <w:r w:rsidR="00257A29">
        <w:rPr>
          <w:lang w:bidi="ar-SA"/>
        </w:rPr>
        <w:t>a compulsory measure of income management</w:t>
      </w:r>
      <w:r w:rsidRPr="005911E2">
        <w:rPr>
          <w:lang w:bidi="ar-SA"/>
        </w:rPr>
        <w:t xml:space="preserve"> report that</w:t>
      </w:r>
      <w:r w:rsidR="00ED38A8">
        <w:rPr>
          <w:lang w:bidi="ar-SA"/>
        </w:rPr>
        <w:t>,</w:t>
      </w:r>
      <w:r w:rsidRPr="005911E2">
        <w:rPr>
          <w:lang w:bidi="ar-SA"/>
        </w:rPr>
        <w:t xml:space="preserve"> while they did not complete high school</w:t>
      </w:r>
      <w:r w:rsidR="00257A29">
        <w:rPr>
          <w:lang w:bidi="ar-SA"/>
        </w:rPr>
        <w:t>,</w:t>
      </w:r>
      <w:r w:rsidRPr="005911E2">
        <w:rPr>
          <w:lang w:bidi="ar-SA"/>
        </w:rPr>
        <w:t xml:space="preserve"> they have subsequently obtained a certificate level qualification. In addition, for some of the population subgroups, a further proportion had completed high school and also obtained a certificate, or had completed a trade qualification. This suggests that these groups have had considerable access to vocational education.</w:t>
      </w:r>
    </w:p>
    <w:p w:rsidR="00897C1E" w:rsidRPr="005911E2" w:rsidRDefault="00897C1E" w:rsidP="00BD6DFD">
      <w:pPr>
        <w:pStyle w:val="Heading3"/>
      </w:pPr>
      <w:r w:rsidRPr="005911E2">
        <w:t>Labour force status</w:t>
      </w:r>
    </w:p>
    <w:p w:rsidR="00897C1E" w:rsidRPr="005911E2" w:rsidRDefault="00897C1E" w:rsidP="00897C1E">
      <w:pPr>
        <w:pStyle w:val="BodyText"/>
        <w:rPr>
          <w:lang w:bidi="ar-SA"/>
        </w:rPr>
      </w:pPr>
      <w:r w:rsidRPr="005911E2">
        <w:rPr>
          <w:lang w:bidi="ar-SA"/>
        </w:rPr>
        <w:t xml:space="preserve">About one-fifth (19 per cent) of the people </w:t>
      </w:r>
      <w:r w:rsidR="00504C46">
        <w:rPr>
          <w:lang w:bidi="ar-SA"/>
        </w:rPr>
        <w:t>i</w:t>
      </w:r>
      <w:r w:rsidR="00504C46" w:rsidRPr="005911E2">
        <w:rPr>
          <w:lang w:bidi="ar-SA"/>
        </w:rPr>
        <w:t xml:space="preserve">n </w:t>
      </w:r>
      <w:r w:rsidR="00257A29">
        <w:rPr>
          <w:lang w:bidi="ar-SA"/>
        </w:rPr>
        <w:t>a c</w:t>
      </w:r>
      <w:r w:rsidR="004808B3">
        <w:rPr>
          <w:lang w:bidi="ar-SA"/>
        </w:rPr>
        <w:t xml:space="preserve">ompulsory </w:t>
      </w:r>
      <w:r w:rsidR="00504C46">
        <w:rPr>
          <w:lang w:bidi="ar-SA"/>
        </w:rPr>
        <w:t>stream</w:t>
      </w:r>
      <w:r w:rsidR="00257A29">
        <w:rPr>
          <w:lang w:bidi="ar-SA"/>
        </w:rPr>
        <w:t xml:space="preserve"> of i</w:t>
      </w:r>
      <w:r w:rsidR="004808B3">
        <w:rPr>
          <w:lang w:bidi="ar-SA"/>
        </w:rPr>
        <w:t xml:space="preserve">ncome </w:t>
      </w:r>
      <w:r w:rsidR="00257A29">
        <w:rPr>
          <w:lang w:bidi="ar-SA"/>
        </w:rPr>
        <w:t>m</w:t>
      </w:r>
      <w:r w:rsidR="004808B3">
        <w:rPr>
          <w:lang w:bidi="ar-SA"/>
        </w:rPr>
        <w:t>anagement</w:t>
      </w:r>
      <w:r w:rsidRPr="005911E2">
        <w:rPr>
          <w:lang w:bidi="ar-SA"/>
        </w:rPr>
        <w:t xml:space="preserve"> reported being employed at the time of the </w:t>
      </w:r>
      <w:r w:rsidR="005B4122">
        <w:rPr>
          <w:lang w:bidi="ar-SA"/>
        </w:rPr>
        <w:t>survey</w:t>
      </w:r>
      <w:r w:rsidRPr="005911E2">
        <w:rPr>
          <w:lang w:bidi="ar-SA"/>
        </w:rPr>
        <w:t>. This comprised 4 per cent in full-time employment and 15 per cent in part-time employment. Employment was most frequently reported by non-</w:t>
      </w:r>
      <w:r w:rsidR="00614538" w:rsidRPr="005911E2">
        <w:rPr>
          <w:lang w:bidi="ar-SA"/>
        </w:rPr>
        <w:t>Indigenous</w:t>
      </w:r>
      <w:r w:rsidR="00614538">
        <w:rPr>
          <w:lang w:bidi="ar-SA"/>
        </w:rPr>
        <w:t xml:space="preserve"> </w:t>
      </w:r>
      <w:r w:rsidRPr="005911E2">
        <w:rPr>
          <w:lang w:bidi="ar-SA"/>
        </w:rPr>
        <w:t xml:space="preserve">survey participants </w:t>
      </w:r>
      <w:r w:rsidR="00504C46">
        <w:rPr>
          <w:lang w:bidi="ar-SA"/>
        </w:rPr>
        <w:t>i</w:t>
      </w:r>
      <w:r w:rsidR="00257A29">
        <w:rPr>
          <w:lang w:bidi="ar-SA"/>
        </w:rPr>
        <w:t xml:space="preserve">n </w:t>
      </w:r>
      <w:r w:rsidR="00504C46">
        <w:rPr>
          <w:lang w:bidi="ar-SA"/>
        </w:rPr>
        <w:t xml:space="preserve">a </w:t>
      </w:r>
      <w:r w:rsidR="00257A29">
        <w:rPr>
          <w:lang w:bidi="ar-SA"/>
        </w:rPr>
        <w:t xml:space="preserve">compulsory </w:t>
      </w:r>
      <w:r w:rsidR="00504C46">
        <w:rPr>
          <w:lang w:bidi="ar-SA"/>
        </w:rPr>
        <w:t xml:space="preserve">stream </w:t>
      </w:r>
      <w:r w:rsidR="00257A29">
        <w:rPr>
          <w:lang w:bidi="ar-SA"/>
        </w:rPr>
        <w:t xml:space="preserve">of income management, </w:t>
      </w:r>
      <w:r w:rsidRPr="005911E2">
        <w:rPr>
          <w:lang w:bidi="ar-SA"/>
        </w:rPr>
        <w:t xml:space="preserve">with 27 per cent reporting part-time employment and a further 7 per cent </w:t>
      </w:r>
      <w:r w:rsidR="00257A29">
        <w:rPr>
          <w:lang w:bidi="ar-SA"/>
        </w:rPr>
        <w:t xml:space="preserve">in </w:t>
      </w:r>
      <w:r w:rsidRPr="005911E2">
        <w:rPr>
          <w:lang w:bidi="ar-SA"/>
        </w:rPr>
        <w:t xml:space="preserve">full-time employment. A further 6 per cent were working in </w:t>
      </w:r>
      <w:r w:rsidR="00257A29">
        <w:rPr>
          <w:lang w:bidi="ar-SA"/>
        </w:rPr>
        <w:t>Community Development Employment Projects</w:t>
      </w:r>
      <w:r w:rsidR="00257A29" w:rsidRPr="005911E2">
        <w:rPr>
          <w:lang w:bidi="ar-SA"/>
        </w:rPr>
        <w:t xml:space="preserve"> </w:t>
      </w:r>
      <w:r w:rsidRPr="005911E2">
        <w:rPr>
          <w:lang w:bidi="ar-SA"/>
        </w:rPr>
        <w:t>or Work for the Dole. This was most common amongst Indigenous people on</w:t>
      </w:r>
      <w:r w:rsidR="00257A29">
        <w:rPr>
          <w:lang w:bidi="ar-SA"/>
        </w:rPr>
        <w:t xml:space="preserve"> </w:t>
      </w:r>
      <w:r w:rsidR="00504C46">
        <w:rPr>
          <w:lang w:bidi="ar-SA"/>
        </w:rPr>
        <w:t>Voluntary Income Management</w:t>
      </w:r>
      <w:r w:rsidRPr="005911E2">
        <w:rPr>
          <w:lang w:bidi="ar-SA"/>
        </w:rPr>
        <w:t xml:space="preserve"> who lived in NTER areas.</w:t>
      </w:r>
    </w:p>
    <w:p w:rsidR="00897C1E" w:rsidRPr="005911E2" w:rsidRDefault="00897C1E" w:rsidP="00897C1E">
      <w:pPr>
        <w:pStyle w:val="BodyText"/>
        <w:rPr>
          <w:lang w:bidi="ar-SA"/>
        </w:rPr>
      </w:pPr>
      <w:r w:rsidRPr="005911E2">
        <w:rPr>
          <w:lang w:bidi="ar-SA"/>
        </w:rPr>
        <w:t xml:space="preserve">Some 32 per cent of those subject to </w:t>
      </w:r>
      <w:r w:rsidR="00A57B4E">
        <w:rPr>
          <w:lang w:bidi="ar-SA"/>
        </w:rPr>
        <w:t>c</w:t>
      </w:r>
      <w:r w:rsidR="00504C46">
        <w:rPr>
          <w:lang w:bidi="ar-SA"/>
        </w:rPr>
        <w:t>ompulsory streams of income management</w:t>
      </w:r>
      <w:r w:rsidRPr="005911E2">
        <w:rPr>
          <w:lang w:bidi="ar-SA"/>
        </w:rPr>
        <w:t xml:space="preserve"> reported that they were looking for work</w:t>
      </w:r>
      <w:r w:rsidR="00257A29">
        <w:rPr>
          <w:lang w:bidi="ar-SA"/>
        </w:rPr>
        <w:t>;</w:t>
      </w:r>
      <w:r w:rsidRPr="005911E2">
        <w:rPr>
          <w:rStyle w:val="FootnoteReference"/>
          <w:lang w:bidi="ar-SA"/>
        </w:rPr>
        <w:footnoteReference w:id="102"/>
      </w:r>
      <w:r w:rsidRPr="005911E2">
        <w:rPr>
          <w:lang w:bidi="ar-SA"/>
        </w:rPr>
        <w:t xml:space="preserve"> 22 per cent reported that they had family or caring responsibilities that prevented employment and a further 7 per cent that they were too old, or had poor health. This proportion rose to around 60 per cent for those Indigenous people on </w:t>
      </w:r>
      <w:r w:rsidR="00504C46">
        <w:rPr>
          <w:lang w:bidi="ar-SA"/>
        </w:rPr>
        <w:t>Voluntary Income Management.</w:t>
      </w:r>
      <w:r w:rsidRPr="005911E2">
        <w:rPr>
          <w:lang w:bidi="ar-SA"/>
        </w:rPr>
        <w:t xml:space="preserve"> Over 40 per cent of Indigenous </w:t>
      </w:r>
      <w:r w:rsidR="002B5A5C">
        <w:rPr>
          <w:lang w:bidi="ar-SA"/>
        </w:rPr>
        <w:t>Voluntary Income Management</w:t>
      </w:r>
      <w:r w:rsidRPr="005911E2">
        <w:rPr>
          <w:lang w:bidi="ar-SA"/>
        </w:rPr>
        <w:t xml:space="preserve"> survey participants </w:t>
      </w:r>
      <w:r w:rsidR="00257A29">
        <w:rPr>
          <w:lang w:bidi="ar-SA"/>
        </w:rPr>
        <w:t xml:space="preserve">outside of the </w:t>
      </w:r>
      <w:r w:rsidRPr="005911E2">
        <w:rPr>
          <w:lang w:bidi="ar-SA"/>
        </w:rPr>
        <w:t>NTER areas reported that their health was ‘not so good’. This was the highest of any of the subgroups identified in the table.</w:t>
      </w:r>
    </w:p>
    <w:p w:rsidR="00897C1E" w:rsidRPr="005911E2" w:rsidRDefault="00897C1E" w:rsidP="00BD6DFD">
      <w:pPr>
        <w:pStyle w:val="Heading3"/>
      </w:pPr>
      <w:r w:rsidRPr="005911E2">
        <w:t xml:space="preserve">Understanding of </w:t>
      </w:r>
      <w:r w:rsidR="00F878E4">
        <w:t>income management</w:t>
      </w:r>
    </w:p>
    <w:p w:rsidR="00897C1E" w:rsidRPr="005911E2" w:rsidRDefault="00897C1E" w:rsidP="00897C1E">
      <w:pPr>
        <w:pStyle w:val="BodyText"/>
        <w:rPr>
          <w:lang w:eastAsia="en-US"/>
        </w:rPr>
      </w:pPr>
      <w:r w:rsidRPr="005911E2">
        <w:rPr>
          <w:lang w:eastAsia="en-US"/>
        </w:rPr>
        <w:t xml:space="preserve">While the first wave of the LSNIM did not specifically focus on survey participants’ understanding of </w:t>
      </w:r>
      <w:r w:rsidR="00F878E4">
        <w:rPr>
          <w:lang w:eastAsia="en-US"/>
        </w:rPr>
        <w:t>income management</w:t>
      </w:r>
      <w:r w:rsidRPr="005911E2">
        <w:rPr>
          <w:lang w:eastAsia="en-US"/>
        </w:rPr>
        <w:t xml:space="preserve">, the data from the survey nonetheless provides insights into the extent to which survey participants understand </w:t>
      </w:r>
      <w:r w:rsidR="00F878E4">
        <w:rPr>
          <w:lang w:eastAsia="en-US"/>
        </w:rPr>
        <w:t>income management</w:t>
      </w:r>
      <w:r w:rsidRPr="005911E2">
        <w:rPr>
          <w:lang w:eastAsia="en-US"/>
        </w:rPr>
        <w:t xml:space="preserve"> and how it operates. It is clear that many of the survey participants had only a limited understanding. This is evidenced by the </w:t>
      </w:r>
      <w:r w:rsidR="00ED38A8">
        <w:rPr>
          <w:lang w:eastAsia="en-US"/>
        </w:rPr>
        <w:t>numbers who reported that they</w:t>
      </w:r>
      <w:r w:rsidRPr="005911E2">
        <w:rPr>
          <w:lang w:eastAsia="en-US"/>
        </w:rPr>
        <w:t xml:space="preserve"> were uncertain whether or not they were income managed, and if so, under which measure.</w:t>
      </w:r>
      <w:r w:rsidRPr="005911E2">
        <w:rPr>
          <w:rStyle w:val="FootnoteReference"/>
        </w:rPr>
        <w:footnoteReference w:id="103"/>
      </w:r>
    </w:p>
    <w:p w:rsidR="00897C1E" w:rsidRPr="005911E2" w:rsidRDefault="00897C1E" w:rsidP="00897C1E">
      <w:pPr>
        <w:pStyle w:val="BodyText"/>
        <w:rPr>
          <w:lang w:eastAsia="en-US"/>
        </w:rPr>
      </w:pPr>
      <w:r w:rsidRPr="005911E2">
        <w:rPr>
          <w:lang w:eastAsia="en-US"/>
        </w:rPr>
        <w:t>Using the best estimate of whether or not a person was income managed</w:t>
      </w:r>
      <w:r w:rsidR="00257A29">
        <w:rPr>
          <w:lang w:eastAsia="en-US"/>
        </w:rPr>
        <w:t>,</w:t>
      </w:r>
      <w:r w:rsidRPr="005911E2">
        <w:rPr>
          <w:lang w:eastAsia="en-US"/>
        </w:rPr>
        <w:t xml:space="preserve"> some 5 per cent of Indigenous and 4 per cent of non-Indigenous people subject to </w:t>
      </w:r>
      <w:r w:rsidR="00257A29">
        <w:rPr>
          <w:lang w:eastAsia="en-US"/>
        </w:rPr>
        <w:t>c</w:t>
      </w:r>
      <w:r w:rsidR="004808B3">
        <w:rPr>
          <w:lang w:eastAsia="en-US"/>
        </w:rPr>
        <w:t xml:space="preserve">ompulsory </w:t>
      </w:r>
      <w:r w:rsidR="00257A29">
        <w:rPr>
          <w:lang w:eastAsia="en-US"/>
        </w:rPr>
        <w:t>measures</w:t>
      </w:r>
      <w:r w:rsidRPr="005911E2">
        <w:rPr>
          <w:lang w:eastAsia="en-US"/>
        </w:rPr>
        <w:t xml:space="preserve"> reported that they were not being income managed. This picture became more complex when survey participants were asked if they had ‘asked to go on </w:t>
      </w:r>
      <w:r w:rsidR="00F878E4">
        <w:rPr>
          <w:lang w:eastAsia="en-US"/>
        </w:rPr>
        <w:t>income management</w:t>
      </w:r>
      <w:r w:rsidRPr="005911E2">
        <w:rPr>
          <w:lang w:eastAsia="en-US"/>
        </w:rPr>
        <w:t xml:space="preserve">’. Amongst Indigenous people subject to </w:t>
      </w:r>
      <w:r w:rsidR="00257A29">
        <w:rPr>
          <w:lang w:eastAsia="en-US"/>
        </w:rPr>
        <w:t>compulsory measures,</w:t>
      </w:r>
      <w:r w:rsidRPr="005911E2">
        <w:rPr>
          <w:lang w:eastAsia="en-US"/>
        </w:rPr>
        <w:t xml:space="preserve"> 16 per cent report having </w:t>
      </w:r>
      <w:r w:rsidR="00257A29">
        <w:rPr>
          <w:lang w:eastAsia="en-US"/>
        </w:rPr>
        <w:t xml:space="preserve">been </w:t>
      </w:r>
      <w:r w:rsidRPr="005911E2">
        <w:rPr>
          <w:lang w:eastAsia="en-US"/>
        </w:rPr>
        <w:t>asked to go on</w:t>
      </w:r>
      <w:r w:rsidR="007660EB">
        <w:rPr>
          <w:lang w:eastAsia="en-US"/>
        </w:rPr>
        <w:t>;</w:t>
      </w:r>
      <w:r w:rsidRPr="005911E2">
        <w:rPr>
          <w:lang w:eastAsia="en-US"/>
        </w:rPr>
        <w:t xml:space="preserve"> while amongst Indigenous people on </w:t>
      </w:r>
      <w:r w:rsidR="007660EB">
        <w:rPr>
          <w:lang w:eastAsia="en-US"/>
        </w:rPr>
        <w:t>the v</w:t>
      </w:r>
      <w:r w:rsidR="002B5A5C">
        <w:rPr>
          <w:lang w:eastAsia="en-US"/>
        </w:rPr>
        <w:t xml:space="preserve">oluntary </w:t>
      </w:r>
      <w:r w:rsidR="007660EB">
        <w:rPr>
          <w:lang w:eastAsia="en-US"/>
        </w:rPr>
        <w:t xml:space="preserve">measure, </w:t>
      </w:r>
      <w:r w:rsidRPr="005911E2">
        <w:rPr>
          <w:lang w:eastAsia="en-US"/>
        </w:rPr>
        <w:t xml:space="preserve">only 25 per cent report that they had asked to go onto </w:t>
      </w:r>
      <w:r w:rsidR="00F878E4">
        <w:rPr>
          <w:lang w:eastAsia="en-US"/>
        </w:rPr>
        <w:t>income management</w:t>
      </w:r>
      <w:r w:rsidRPr="005911E2">
        <w:rPr>
          <w:lang w:eastAsia="en-US"/>
        </w:rPr>
        <w:t>. Amongst the non-Indigenous survey participants, the proportions were 4 per cent and 67 per cent (although this latter figure is based upon a very small sample size and therefore should be treated with caution).</w:t>
      </w:r>
    </w:p>
    <w:p w:rsidR="00897C1E" w:rsidRPr="005911E2" w:rsidRDefault="00897C1E" w:rsidP="00897C1E">
      <w:pPr>
        <w:pStyle w:val="BodyText"/>
        <w:rPr>
          <w:lang w:eastAsia="en-US"/>
        </w:rPr>
      </w:pPr>
      <w:r w:rsidRPr="005911E2">
        <w:rPr>
          <w:lang w:eastAsia="en-US"/>
        </w:rPr>
        <w:t xml:space="preserve">Further insight into the extent to which survey participants had a good understanding of the operation of </w:t>
      </w:r>
      <w:r w:rsidR="00F878E4">
        <w:rPr>
          <w:lang w:eastAsia="en-US"/>
        </w:rPr>
        <w:t>income management</w:t>
      </w:r>
      <w:r w:rsidRPr="005911E2">
        <w:rPr>
          <w:lang w:eastAsia="en-US"/>
        </w:rPr>
        <w:t xml:space="preserve"> is provided by a question about whether they had received ‘</w:t>
      </w:r>
      <w:r w:rsidRPr="005911E2">
        <w:rPr>
          <w:i/>
          <w:lang w:eastAsia="en-US"/>
        </w:rPr>
        <w:t xml:space="preserve">an incentive payment for asking to be on </w:t>
      </w:r>
      <w:r w:rsidR="00F878E4">
        <w:rPr>
          <w:i/>
        </w:rPr>
        <w:t>income management</w:t>
      </w:r>
      <w:r w:rsidRPr="005911E2">
        <w:rPr>
          <w:i/>
          <w:lang w:eastAsia="en-US"/>
        </w:rPr>
        <w:t>’</w:t>
      </w:r>
      <w:r w:rsidRPr="005911E2">
        <w:rPr>
          <w:lang w:eastAsia="en-US"/>
        </w:rPr>
        <w:t xml:space="preserve">. As outlined in Chapter 2, the </w:t>
      </w:r>
      <w:r w:rsidR="002B5A5C">
        <w:rPr>
          <w:lang w:eastAsia="en-US"/>
        </w:rPr>
        <w:t>Voluntary Income Management</w:t>
      </w:r>
      <w:r w:rsidRPr="005911E2">
        <w:rPr>
          <w:lang w:eastAsia="en-US"/>
        </w:rPr>
        <w:t xml:space="preserve"> incentive payment is only available to those on </w:t>
      </w:r>
      <w:r w:rsidR="002B5A5C">
        <w:rPr>
          <w:lang w:eastAsia="en-US"/>
        </w:rPr>
        <w:t>Voluntary Income Management</w:t>
      </w:r>
      <w:r w:rsidRPr="005911E2">
        <w:rPr>
          <w:lang w:eastAsia="en-US"/>
        </w:rPr>
        <w:t xml:space="preserve"> and is paid to all of those on </w:t>
      </w:r>
      <w:r w:rsidR="002B5A5C">
        <w:rPr>
          <w:lang w:eastAsia="en-US"/>
        </w:rPr>
        <w:t>Voluntary Income Management</w:t>
      </w:r>
      <w:r w:rsidRPr="005911E2">
        <w:rPr>
          <w:lang w:eastAsia="en-US"/>
        </w:rPr>
        <w:t xml:space="preserve"> for a period of more than 13 weeks. However, of the survey participants who were on </w:t>
      </w:r>
      <w:r w:rsidR="002B5A5C">
        <w:rPr>
          <w:lang w:eastAsia="en-US"/>
        </w:rPr>
        <w:t>Voluntary Income Management</w:t>
      </w:r>
      <w:r w:rsidRPr="005911E2">
        <w:rPr>
          <w:lang w:eastAsia="en-US"/>
        </w:rPr>
        <w:t xml:space="preserve"> (according to the administrative data), and who reported that they had chosen to go onto </w:t>
      </w:r>
      <w:r w:rsidR="00F878E4">
        <w:rPr>
          <w:lang w:eastAsia="en-US"/>
        </w:rPr>
        <w:t>income management</w:t>
      </w:r>
      <w:r w:rsidRPr="005911E2">
        <w:rPr>
          <w:lang w:eastAsia="en-US"/>
        </w:rPr>
        <w:t xml:space="preserve">, only half reported having received the incentive payment. Similarly just over half of those subject to </w:t>
      </w:r>
      <w:r w:rsidR="00BC16A8">
        <w:rPr>
          <w:lang w:eastAsia="en-US"/>
        </w:rPr>
        <w:t>a compulsory measure</w:t>
      </w:r>
      <w:r w:rsidRPr="005911E2">
        <w:rPr>
          <w:lang w:eastAsia="en-US"/>
        </w:rPr>
        <w:t xml:space="preserve"> who thought they had chosen to go onto </w:t>
      </w:r>
      <w:r w:rsidR="00F878E4">
        <w:rPr>
          <w:lang w:eastAsia="en-US"/>
        </w:rPr>
        <w:t>income management</w:t>
      </w:r>
      <w:r w:rsidRPr="005911E2">
        <w:rPr>
          <w:lang w:eastAsia="en-US"/>
        </w:rPr>
        <w:t xml:space="preserve"> reported that they had received an incentive payment, despite there being no such payment for them.</w:t>
      </w:r>
      <w:r w:rsidRPr="005911E2" w:rsidDel="00C63642">
        <w:rPr>
          <w:lang w:eastAsia="en-US"/>
        </w:rPr>
        <w:t xml:space="preserve"> </w:t>
      </w:r>
    </w:p>
    <w:p w:rsidR="00897C1E" w:rsidRPr="005911E2" w:rsidRDefault="00897C1E" w:rsidP="00897C1E">
      <w:pPr>
        <w:pStyle w:val="BodyText"/>
        <w:rPr>
          <w:lang w:eastAsia="en-US"/>
        </w:rPr>
      </w:pPr>
      <w:r w:rsidRPr="005911E2">
        <w:rPr>
          <w:lang w:eastAsia="en-US"/>
        </w:rPr>
        <w:t>While these results are not conclusive</w:t>
      </w:r>
      <w:r w:rsidR="00BC16A8">
        <w:rPr>
          <w:lang w:eastAsia="en-US"/>
        </w:rPr>
        <w:t>,</w:t>
      </w:r>
      <w:r w:rsidRPr="005911E2">
        <w:rPr>
          <w:lang w:eastAsia="en-US"/>
        </w:rPr>
        <w:t xml:space="preserve"> they strongly suggest that a relatively high proportion of people subject to </w:t>
      </w:r>
      <w:r w:rsidR="00F878E4">
        <w:rPr>
          <w:lang w:eastAsia="en-US"/>
        </w:rPr>
        <w:t>income management</w:t>
      </w:r>
      <w:r w:rsidRPr="005911E2">
        <w:rPr>
          <w:lang w:eastAsia="en-US"/>
        </w:rPr>
        <w:t xml:space="preserve"> do not fully understand the nature of the program and the reasons for their being income managed.</w:t>
      </w:r>
    </w:p>
    <w:p w:rsidR="00897C1E" w:rsidRPr="005911E2" w:rsidRDefault="00897C1E" w:rsidP="00BD6DFD">
      <w:pPr>
        <w:pStyle w:val="Heading3"/>
      </w:pPr>
      <w:r w:rsidRPr="005911E2">
        <w:t>Alcohol, drugs and gambling</w:t>
      </w:r>
    </w:p>
    <w:p w:rsidR="00897C1E" w:rsidRPr="005911E2" w:rsidRDefault="00897C1E" w:rsidP="00897C1E">
      <w:pPr>
        <w:pStyle w:val="BodyText"/>
        <w:keepNext/>
        <w:keepLines/>
        <w:rPr>
          <w:lang w:eastAsia="en-US"/>
        </w:rPr>
      </w:pPr>
      <w:r w:rsidRPr="005911E2">
        <w:rPr>
          <w:lang w:eastAsia="en-US"/>
        </w:rPr>
        <w:t xml:space="preserve">A central rationale for </w:t>
      </w:r>
      <w:r w:rsidR="00F878E4">
        <w:rPr>
          <w:lang w:eastAsia="en-US"/>
        </w:rPr>
        <w:t>income management</w:t>
      </w:r>
      <w:r w:rsidRPr="005911E2">
        <w:rPr>
          <w:lang w:eastAsia="en-US"/>
        </w:rPr>
        <w:t xml:space="preserve"> is to </w:t>
      </w:r>
      <w:r w:rsidRPr="005911E2">
        <w:rPr>
          <w:i/>
          <w:lang w:eastAsia="en-US"/>
        </w:rPr>
        <w:t>reduce the amount of welfare funds available to be spent on alcohol, gambling, tobacco products and pornography</w:t>
      </w:r>
      <w:r w:rsidRPr="005911E2">
        <w:rPr>
          <w:lang w:eastAsia="en-US"/>
        </w:rPr>
        <w:t xml:space="preserve"> (Australian Government</w:t>
      </w:r>
      <w:r w:rsidR="00BC16A8">
        <w:rPr>
          <w:lang w:eastAsia="en-US"/>
        </w:rPr>
        <w:t>,</w:t>
      </w:r>
      <w:r w:rsidRPr="005911E2">
        <w:rPr>
          <w:lang w:eastAsia="en-US"/>
        </w:rPr>
        <w:t xml:space="preserve"> 2009</w:t>
      </w:r>
      <w:r w:rsidR="00F8413B">
        <w:rPr>
          <w:lang w:eastAsia="en-US"/>
        </w:rPr>
        <w:t>,</w:t>
      </w:r>
      <w:r w:rsidR="00BC16A8">
        <w:rPr>
          <w:lang w:eastAsia="en-US"/>
        </w:rPr>
        <w:t xml:space="preserve"> p</w:t>
      </w:r>
      <w:r w:rsidR="00F8413B">
        <w:rPr>
          <w:lang w:eastAsia="en-US"/>
        </w:rPr>
        <w:t>. </w:t>
      </w:r>
      <w:r w:rsidRPr="005911E2">
        <w:rPr>
          <w:lang w:eastAsia="en-US"/>
        </w:rPr>
        <w:t>1). The LSNIM included questions designed to identify the extent to which survey participants thought that alcohol, drugs and gambling were a problem for their immediate family. The survey also asked about the severity of these problems (a ‘bit of a problem’ or a ‘very big problem’).</w:t>
      </w:r>
    </w:p>
    <w:p w:rsidR="00897C1E" w:rsidRDefault="00897C1E" w:rsidP="00897C1E">
      <w:pPr>
        <w:pStyle w:val="BodyText"/>
        <w:rPr>
          <w:lang w:eastAsia="en-US"/>
        </w:rPr>
      </w:pPr>
      <w:r w:rsidRPr="005911E2">
        <w:rPr>
          <w:lang w:eastAsia="en-US"/>
        </w:rPr>
        <w:t>The majority of survey participants reported that none of these issues were a problem for their family (</w:t>
      </w:r>
      <w:r w:rsidR="006F14AA" w:rsidRPr="005911E2">
        <w:t xml:space="preserve">Table </w:t>
      </w:r>
      <w:r w:rsidR="006F14AA" w:rsidRPr="005911E2">
        <w:rPr>
          <w:noProof/>
        </w:rPr>
        <w:t>10</w:t>
      </w:r>
      <w:r w:rsidR="006F14AA" w:rsidRPr="005911E2">
        <w:noBreakHyphen/>
      </w:r>
      <w:r w:rsidR="006F14AA" w:rsidRPr="005911E2">
        <w:rPr>
          <w:noProof/>
        </w:rPr>
        <w:t>3</w:t>
      </w:r>
      <w:r w:rsidRPr="005911E2">
        <w:rPr>
          <w:lang w:eastAsia="en-US"/>
        </w:rPr>
        <w:t xml:space="preserve">). Across all survey participants who were on </w:t>
      </w:r>
      <w:r w:rsidR="00F878E4">
        <w:rPr>
          <w:lang w:eastAsia="en-US"/>
        </w:rPr>
        <w:t>income management</w:t>
      </w:r>
      <w:r w:rsidRPr="005911E2">
        <w:rPr>
          <w:lang w:eastAsia="en-US"/>
        </w:rPr>
        <w:t>, just over one quarter (29 per cent) reported that alcohol was sometimes a problem, 23 per cent report</w:t>
      </w:r>
      <w:r w:rsidR="00B834CA">
        <w:rPr>
          <w:lang w:eastAsia="en-US"/>
        </w:rPr>
        <w:t>ed</w:t>
      </w:r>
      <w:r w:rsidRPr="005911E2">
        <w:rPr>
          <w:lang w:eastAsia="en-US"/>
        </w:rPr>
        <w:t xml:space="preserve"> that gambling was sometimes a problem</w:t>
      </w:r>
      <w:r w:rsidR="00BC16A8">
        <w:rPr>
          <w:lang w:eastAsia="en-US"/>
        </w:rPr>
        <w:t>,</w:t>
      </w:r>
      <w:r w:rsidRPr="005911E2">
        <w:rPr>
          <w:lang w:eastAsia="en-US"/>
        </w:rPr>
        <w:t xml:space="preserve"> and 17 per cent </w:t>
      </w:r>
      <w:r w:rsidR="00F34C94">
        <w:rPr>
          <w:lang w:eastAsia="en-US"/>
        </w:rPr>
        <w:t>reported</w:t>
      </w:r>
      <w:r w:rsidR="00BC16A8">
        <w:rPr>
          <w:lang w:eastAsia="en-US"/>
        </w:rPr>
        <w:t xml:space="preserve"> </w:t>
      </w:r>
      <w:r w:rsidRPr="005911E2">
        <w:rPr>
          <w:lang w:eastAsia="en-US"/>
        </w:rPr>
        <w:t xml:space="preserve">that drugs were a problem. Just over one-third (37 per cent) of survey participants reported one or more of these being a problem. In most cases the extent of the problem was seen as mild, with just 12 per cent reporting that one or more of these was a ‘very big problem’ for their families. The main problem </w:t>
      </w:r>
      <w:r w:rsidR="00BC16A8">
        <w:rPr>
          <w:lang w:eastAsia="en-US"/>
        </w:rPr>
        <w:t xml:space="preserve">reported </w:t>
      </w:r>
      <w:r w:rsidRPr="005911E2">
        <w:rPr>
          <w:lang w:eastAsia="en-US"/>
        </w:rPr>
        <w:t>was alcohol, although a considerable number of survey participants reported multiple problems.</w:t>
      </w:r>
    </w:p>
    <w:p w:rsidR="00E15AAB" w:rsidRPr="005911E2" w:rsidRDefault="00E15AAB" w:rsidP="00E15AAB">
      <w:pPr>
        <w:pStyle w:val="BodyText"/>
        <w:rPr>
          <w:lang w:eastAsia="en-US"/>
        </w:rPr>
      </w:pPr>
      <w:r>
        <w:rPr>
          <w:lang w:eastAsia="en-US"/>
        </w:rPr>
        <w:t>For people on compulsory measures, 6</w:t>
      </w:r>
      <w:r w:rsidRPr="005911E2">
        <w:rPr>
          <w:lang w:eastAsia="en-US"/>
        </w:rPr>
        <w:t xml:space="preserve"> per cent of the non-Indigenous population and 32 per cent of the Indigenous population</w:t>
      </w:r>
      <w:r>
        <w:rPr>
          <w:lang w:eastAsia="en-US"/>
        </w:rPr>
        <w:t xml:space="preserve"> </w:t>
      </w:r>
      <w:r w:rsidRPr="005911E2">
        <w:rPr>
          <w:lang w:eastAsia="en-US"/>
        </w:rPr>
        <w:t xml:space="preserve">reported that they had at least one of these problems in their families. Over half (53 per cent) of Indigenous people on </w:t>
      </w:r>
      <w:r>
        <w:rPr>
          <w:lang w:eastAsia="en-US"/>
        </w:rPr>
        <w:t>the voluntary measure</w:t>
      </w:r>
      <w:r w:rsidRPr="005911E2">
        <w:rPr>
          <w:lang w:eastAsia="en-US"/>
        </w:rPr>
        <w:t xml:space="preserve"> had at least one of these problems. Focusing on the severity of the problems, 14 per cent of Indigenous on </w:t>
      </w:r>
      <w:r>
        <w:rPr>
          <w:lang w:eastAsia="en-US"/>
        </w:rPr>
        <w:t xml:space="preserve">a compulsory measure </w:t>
      </w:r>
      <w:r w:rsidRPr="005911E2">
        <w:rPr>
          <w:lang w:eastAsia="en-US"/>
        </w:rPr>
        <w:t xml:space="preserve">said that at least one of the three represented a ‘very big’ problem for their family compared to 19 per cent of Indigenous people on </w:t>
      </w:r>
      <w:r>
        <w:rPr>
          <w:lang w:eastAsia="en-US"/>
        </w:rPr>
        <w:t>a voluntary measure</w:t>
      </w:r>
      <w:r w:rsidRPr="005911E2">
        <w:rPr>
          <w:lang w:eastAsia="en-US"/>
        </w:rPr>
        <w:t xml:space="preserve">. Very few (1.6 per cent) non-Indigenous people on </w:t>
      </w:r>
      <w:r>
        <w:rPr>
          <w:lang w:eastAsia="en-US"/>
        </w:rPr>
        <w:t xml:space="preserve">a compulsory measure </w:t>
      </w:r>
      <w:r w:rsidRPr="005911E2">
        <w:rPr>
          <w:lang w:eastAsia="en-US"/>
        </w:rPr>
        <w:t>reported that at least one of the three represented a ‘very big’ problem for their family.</w:t>
      </w:r>
    </w:p>
    <w:p w:rsidR="00897C1E" w:rsidRPr="005911E2" w:rsidRDefault="00897C1E" w:rsidP="00897C1E">
      <w:pPr>
        <w:pStyle w:val="tabfighead"/>
      </w:pPr>
      <w:bookmarkStart w:id="994" w:name="_Ref323940822"/>
      <w:bookmarkStart w:id="995" w:name="_Toc322470919"/>
      <w:bookmarkStart w:id="996" w:name="_Toc328601631"/>
      <w:bookmarkStart w:id="997" w:name="_Toc329051409"/>
      <w:bookmarkStart w:id="998" w:name="_Toc335915897"/>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10</w:t>
      </w:r>
      <w:r w:rsidR="00C7347D" w:rsidRPr="005911E2">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3</w:t>
      </w:r>
      <w:r w:rsidR="00C7347D" w:rsidRPr="005911E2">
        <w:fldChar w:fldCharType="end"/>
      </w:r>
      <w:bookmarkEnd w:id="994"/>
      <w:r w:rsidRPr="005911E2">
        <w:tab/>
      </w:r>
      <w:r w:rsidR="003A7987" w:rsidRPr="003A7987">
        <w:t>LSNIM Northern Territory and contrast sites</w:t>
      </w:r>
      <w:r w:rsidR="006C33D2">
        <w:t>;</w:t>
      </w:r>
      <w:r w:rsidRPr="005911E2">
        <w:t xml:space="preserve"> Is </w:t>
      </w:r>
      <w:r w:rsidR="00F34C94">
        <w:t>a</w:t>
      </w:r>
      <w:r w:rsidRPr="005911E2">
        <w:t xml:space="preserve">lcohol/drugs/gambling a problem for your family? by type of </w:t>
      </w:r>
      <w:bookmarkEnd w:id="995"/>
      <w:r w:rsidR="00F878E4">
        <w:t>income management</w:t>
      </w:r>
      <w:bookmarkEnd w:id="996"/>
      <w:bookmarkEnd w:id="997"/>
      <w:bookmarkEnd w:id="998"/>
    </w:p>
    <w:tbl>
      <w:tblPr>
        <w:tblW w:w="4867" w:type="pct"/>
        <w:jc w:val="right"/>
        <w:tblLayout w:type="fixed"/>
        <w:tblLook w:val="0000" w:firstRow="0" w:lastRow="0" w:firstColumn="0" w:lastColumn="0" w:noHBand="0" w:noVBand="0"/>
      </w:tblPr>
      <w:tblGrid>
        <w:gridCol w:w="33"/>
        <w:gridCol w:w="8"/>
        <w:gridCol w:w="1760"/>
        <w:gridCol w:w="11"/>
        <w:gridCol w:w="1009"/>
        <w:gridCol w:w="999"/>
        <w:gridCol w:w="296"/>
        <w:gridCol w:w="855"/>
        <w:gridCol w:w="708"/>
        <w:gridCol w:w="280"/>
        <w:gridCol w:w="9"/>
        <w:gridCol w:w="829"/>
        <w:gridCol w:w="11"/>
        <w:gridCol w:w="16"/>
        <w:gridCol w:w="266"/>
        <w:gridCol w:w="28"/>
        <w:gridCol w:w="676"/>
        <w:gridCol w:w="37"/>
        <w:gridCol w:w="956"/>
        <w:gridCol w:w="27"/>
        <w:gridCol w:w="11"/>
        <w:gridCol w:w="28"/>
      </w:tblGrid>
      <w:tr w:rsidR="00897C1E" w:rsidRPr="00911315" w:rsidTr="008E57A0">
        <w:trPr>
          <w:gridAfter w:val="2"/>
          <w:wAfter w:w="21" w:type="pct"/>
          <w:trHeight w:val="290"/>
          <w:jc w:val="right"/>
        </w:trPr>
        <w:tc>
          <w:tcPr>
            <w:tcW w:w="1024" w:type="pct"/>
            <w:gridSpan w:val="4"/>
            <w:tcBorders>
              <w:top w:val="single" w:sz="6" w:space="0" w:color="auto"/>
              <w:left w:val="nil"/>
              <w:bottom w:val="nil"/>
              <w:right w:val="nil"/>
            </w:tcBorders>
            <w:vAlign w:val="bottom"/>
          </w:tcPr>
          <w:p w:rsidR="00897C1E" w:rsidRPr="00911315" w:rsidRDefault="00897C1E" w:rsidP="00F104E9">
            <w:pPr>
              <w:pStyle w:val="braytabletext"/>
              <w:rPr>
                <w:szCs w:val="16"/>
              </w:rPr>
            </w:pPr>
          </w:p>
        </w:tc>
        <w:tc>
          <w:tcPr>
            <w:tcW w:w="2815" w:type="pct"/>
            <w:gridSpan w:val="8"/>
            <w:tcBorders>
              <w:top w:val="single" w:sz="6" w:space="0" w:color="auto"/>
              <w:left w:val="nil"/>
              <w:bottom w:val="single" w:sz="6" w:space="0" w:color="auto"/>
              <w:right w:val="nil"/>
            </w:tcBorders>
            <w:vAlign w:val="bottom"/>
          </w:tcPr>
          <w:p w:rsidR="00897C1E" w:rsidRPr="00911315" w:rsidRDefault="003A7987" w:rsidP="003A7987">
            <w:pPr>
              <w:pStyle w:val="braytabletext"/>
              <w:rPr>
                <w:szCs w:val="16"/>
              </w:rPr>
            </w:pPr>
            <w:r>
              <w:rPr>
                <w:szCs w:val="16"/>
              </w:rPr>
              <w:t>Northern Territory income managed</w:t>
            </w:r>
          </w:p>
        </w:tc>
        <w:tc>
          <w:tcPr>
            <w:tcW w:w="181" w:type="pct"/>
            <w:gridSpan w:val="4"/>
            <w:tcBorders>
              <w:top w:val="single" w:sz="6" w:space="0" w:color="auto"/>
              <w:left w:val="nil"/>
              <w:bottom w:val="nil"/>
              <w:right w:val="nil"/>
            </w:tcBorders>
            <w:vAlign w:val="bottom"/>
          </w:tcPr>
          <w:p w:rsidR="00897C1E" w:rsidRPr="00911315" w:rsidRDefault="00897C1E" w:rsidP="00F104E9">
            <w:pPr>
              <w:pStyle w:val="braytabletext"/>
              <w:rPr>
                <w:szCs w:val="16"/>
              </w:rPr>
            </w:pPr>
          </w:p>
        </w:tc>
        <w:tc>
          <w:tcPr>
            <w:tcW w:w="958" w:type="pct"/>
            <w:gridSpan w:val="4"/>
            <w:tcBorders>
              <w:top w:val="single" w:sz="6" w:space="0" w:color="auto"/>
              <w:left w:val="nil"/>
              <w:bottom w:val="single" w:sz="6" w:space="0" w:color="auto"/>
              <w:right w:val="nil"/>
            </w:tcBorders>
            <w:vAlign w:val="bottom"/>
          </w:tcPr>
          <w:p w:rsidR="00897C1E" w:rsidRPr="00911315" w:rsidRDefault="00897C1E" w:rsidP="00F104E9">
            <w:pPr>
              <w:pStyle w:val="braytabletext"/>
              <w:rPr>
                <w:szCs w:val="16"/>
              </w:rPr>
            </w:pPr>
            <w:r w:rsidRPr="00911315">
              <w:rPr>
                <w:szCs w:val="16"/>
              </w:rPr>
              <w:t>Contrast sites</w:t>
            </w:r>
          </w:p>
        </w:tc>
      </w:tr>
      <w:tr w:rsidR="00897C1E" w:rsidRPr="00911315" w:rsidTr="008A1D49">
        <w:trPr>
          <w:gridAfter w:val="1"/>
          <w:wAfter w:w="15" w:type="pct"/>
          <w:trHeight w:val="290"/>
          <w:jc w:val="right"/>
        </w:trPr>
        <w:tc>
          <w:tcPr>
            <w:tcW w:w="1024" w:type="pct"/>
            <w:gridSpan w:val="4"/>
            <w:tcBorders>
              <w:top w:val="nil"/>
              <w:left w:val="nil"/>
              <w:bottom w:val="nil"/>
              <w:right w:val="nil"/>
            </w:tcBorders>
            <w:vAlign w:val="bottom"/>
          </w:tcPr>
          <w:p w:rsidR="00897C1E" w:rsidRPr="00911315" w:rsidRDefault="00897C1E" w:rsidP="00F104E9">
            <w:pPr>
              <w:pStyle w:val="braytabletext"/>
              <w:rPr>
                <w:szCs w:val="16"/>
              </w:rPr>
            </w:pPr>
          </w:p>
        </w:tc>
        <w:tc>
          <w:tcPr>
            <w:tcW w:w="2184" w:type="pct"/>
            <w:gridSpan w:val="5"/>
            <w:tcBorders>
              <w:top w:val="single" w:sz="6" w:space="0" w:color="auto"/>
              <w:left w:val="nil"/>
              <w:bottom w:val="single" w:sz="6" w:space="0" w:color="auto"/>
              <w:right w:val="nil"/>
            </w:tcBorders>
          </w:tcPr>
          <w:p w:rsidR="00897C1E" w:rsidRPr="00911315" w:rsidRDefault="00897C1E" w:rsidP="00F104E9">
            <w:pPr>
              <w:pStyle w:val="braytabletext"/>
              <w:rPr>
                <w:szCs w:val="16"/>
              </w:rPr>
            </w:pPr>
            <w:r w:rsidRPr="00911315">
              <w:rPr>
                <w:szCs w:val="16"/>
              </w:rPr>
              <w:t>Indigenous</w:t>
            </w:r>
          </w:p>
        </w:tc>
        <w:tc>
          <w:tcPr>
            <w:tcW w:w="163" w:type="pct"/>
            <w:gridSpan w:val="2"/>
            <w:tcBorders>
              <w:top w:val="single" w:sz="6" w:space="0" w:color="auto"/>
              <w:left w:val="nil"/>
              <w:bottom w:val="nil"/>
              <w:right w:val="nil"/>
            </w:tcBorders>
            <w:vAlign w:val="bottom"/>
          </w:tcPr>
          <w:p w:rsidR="00897C1E" w:rsidRPr="00911315" w:rsidRDefault="00897C1E" w:rsidP="00F104E9">
            <w:pPr>
              <w:pStyle w:val="braytabletext"/>
              <w:jc w:val="right"/>
              <w:rPr>
                <w:szCs w:val="16"/>
              </w:rPr>
            </w:pPr>
          </w:p>
        </w:tc>
        <w:tc>
          <w:tcPr>
            <w:tcW w:w="483" w:type="pct"/>
            <w:gridSpan w:val="3"/>
            <w:tcBorders>
              <w:top w:val="single" w:sz="6" w:space="0" w:color="auto"/>
              <w:left w:val="nil"/>
              <w:bottom w:val="single" w:sz="4" w:space="0" w:color="auto"/>
              <w:right w:val="nil"/>
            </w:tcBorders>
          </w:tcPr>
          <w:p w:rsidR="00897C1E" w:rsidRPr="00911315" w:rsidRDefault="00897C1E" w:rsidP="008A1D49">
            <w:pPr>
              <w:pStyle w:val="braytabletext"/>
              <w:rPr>
                <w:szCs w:val="16"/>
              </w:rPr>
            </w:pPr>
            <w:r w:rsidRPr="00911315">
              <w:rPr>
                <w:szCs w:val="16"/>
              </w:rPr>
              <w:t>Non</w:t>
            </w:r>
            <w:r w:rsidR="006435C8">
              <w:rPr>
                <w:szCs w:val="16"/>
              </w:rPr>
              <w:t>-</w:t>
            </w:r>
            <w:r w:rsidRPr="00911315">
              <w:rPr>
                <w:szCs w:val="16"/>
              </w:rPr>
              <w:t xml:space="preserve"> Indig-</w:t>
            </w:r>
            <w:r w:rsidR="00614538" w:rsidRPr="00911315">
              <w:rPr>
                <w:szCs w:val="16"/>
              </w:rPr>
              <w:t xml:space="preserve">enous </w:t>
            </w:r>
          </w:p>
        </w:tc>
        <w:tc>
          <w:tcPr>
            <w:tcW w:w="166" w:type="pct"/>
            <w:gridSpan w:val="2"/>
            <w:tcBorders>
              <w:top w:val="nil"/>
              <w:left w:val="nil"/>
              <w:bottom w:val="nil"/>
              <w:right w:val="nil"/>
            </w:tcBorders>
            <w:vAlign w:val="bottom"/>
          </w:tcPr>
          <w:p w:rsidR="00897C1E" w:rsidRPr="00911315" w:rsidRDefault="00897C1E" w:rsidP="00F104E9">
            <w:pPr>
              <w:pStyle w:val="braytabletext"/>
              <w:jc w:val="right"/>
              <w:rPr>
                <w:szCs w:val="16"/>
              </w:rPr>
            </w:pPr>
          </w:p>
        </w:tc>
        <w:tc>
          <w:tcPr>
            <w:tcW w:w="403" w:type="pct"/>
            <w:gridSpan w:val="2"/>
            <w:tcBorders>
              <w:top w:val="single" w:sz="6" w:space="0" w:color="auto"/>
              <w:left w:val="nil"/>
              <w:bottom w:val="nil"/>
              <w:right w:val="nil"/>
            </w:tcBorders>
          </w:tcPr>
          <w:p w:rsidR="00897C1E" w:rsidRPr="00911315" w:rsidRDefault="00897C1E" w:rsidP="00F104E9">
            <w:pPr>
              <w:pStyle w:val="braytabletext"/>
              <w:jc w:val="right"/>
              <w:rPr>
                <w:szCs w:val="16"/>
              </w:rPr>
            </w:pPr>
            <w:r w:rsidRPr="00911315">
              <w:rPr>
                <w:szCs w:val="16"/>
              </w:rPr>
              <w:t>Indig-enous</w:t>
            </w:r>
          </w:p>
        </w:tc>
        <w:tc>
          <w:tcPr>
            <w:tcW w:w="561" w:type="pct"/>
            <w:gridSpan w:val="3"/>
            <w:tcBorders>
              <w:top w:val="single" w:sz="6" w:space="0" w:color="auto"/>
              <w:left w:val="nil"/>
              <w:bottom w:val="nil"/>
              <w:right w:val="nil"/>
            </w:tcBorders>
          </w:tcPr>
          <w:p w:rsidR="00897C1E" w:rsidRPr="00911315" w:rsidRDefault="00897C1E" w:rsidP="00F104E9">
            <w:pPr>
              <w:pStyle w:val="braytabletext"/>
              <w:jc w:val="right"/>
              <w:rPr>
                <w:szCs w:val="16"/>
              </w:rPr>
            </w:pPr>
            <w:r w:rsidRPr="00911315">
              <w:rPr>
                <w:szCs w:val="16"/>
              </w:rPr>
              <w:t>Non-Indig-enous</w:t>
            </w:r>
          </w:p>
        </w:tc>
      </w:tr>
      <w:tr w:rsidR="00A57B4E" w:rsidRPr="00911315" w:rsidTr="008E57A0">
        <w:trPr>
          <w:trHeight w:val="290"/>
          <w:jc w:val="right"/>
        </w:trPr>
        <w:tc>
          <w:tcPr>
            <w:tcW w:w="1024" w:type="pct"/>
            <w:gridSpan w:val="4"/>
            <w:tcBorders>
              <w:top w:val="nil"/>
              <w:left w:val="nil"/>
              <w:bottom w:val="nil"/>
              <w:right w:val="nil"/>
            </w:tcBorders>
            <w:vAlign w:val="bottom"/>
          </w:tcPr>
          <w:p w:rsidR="00A57B4E" w:rsidRPr="00911315" w:rsidRDefault="00A57B4E" w:rsidP="00F104E9">
            <w:pPr>
              <w:pStyle w:val="braytabletext"/>
              <w:rPr>
                <w:szCs w:val="16"/>
              </w:rPr>
            </w:pPr>
          </w:p>
        </w:tc>
        <w:tc>
          <w:tcPr>
            <w:tcW w:w="1134" w:type="pct"/>
            <w:gridSpan w:val="2"/>
            <w:tcBorders>
              <w:top w:val="single" w:sz="6" w:space="0" w:color="auto"/>
              <w:left w:val="nil"/>
              <w:bottom w:val="single" w:sz="6" w:space="0" w:color="auto"/>
              <w:right w:val="nil"/>
            </w:tcBorders>
            <w:vAlign w:val="bottom"/>
          </w:tcPr>
          <w:p w:rsidR="00A57B4E" w:rsidRPr="00911315" w:rsidRDefault="00A57B4E" w:rsidP="00A57B4E">
            <w:pPr>
              <w:pStyle w:val="braytabletext"/>
              <w:rPr>
                <w:szCs w:val="16"/>
              </w:rPr>
            </w:pPr>
            <w:r w:rsidRPr="00911315">
              <w:rPr>
                <w:szCs w:val="16"/>
              </w:rPr>
              <w:t xml:space="preserve">Compulsory </w:t>
            </w:r>
          </w:p>
        </w:tc>
        <w:tc>
          <w:tcPr>
            <w:tcW w:w="167" w:type="pct"/>
            <w:tcBorders>
              <w:top w:val="single" w:sz="6" w:space="0" w:color="auto"/>
              <w:left w:val="nil"/>
              <w:bottom w:val="nil"/>
              <w:right w:val="nil"/>
            </w:tcBorders>
            <w:vAlign w:val="bottom"/>
          </w:tcPr>
          <w:p w:rsidR="00A57B4E" w:rsidRPr="00911315" w:rsidRDefault="00A57B4E" w:rsidP="00F104E9">
            <w:pPr>
              <w:pStyle w:val="braytabletext"/>
              <w:rPr>
                <w:szCs w:val="16"/>
              </w:rPr>
            </w:pPr>
          </w:p>
        </w:tc>
        <w:tc>
          <w:tcPr>
            <w:tcW w:w="883" w:type="pct"/>
            <w:gridSpan w:val="2"/>
            <w:tcBorders>
              <w:top w:val="single" w:sz="6" w:space="0" w:color="auto"/>
              <w:left w:val="nil"/>
              <w:bottom w:val="single" w:sz="6" w:space="0" w:color="auto"/>
              <w:right w:val="nil"/>
            </w:tcBorders>
          </w:tcPr>
          <w:p w:rsidR="00A57B4E" w:rsidRPr="00911315" w:rsidRDefault="00A57B4E" w:rsidP="00A57B4E">
            <w:pPr>
              <w:pStyle w:val="braytabletext"/>
              <w:rPr>
                <w:szCs w:val="16"/>
              </w:rPr>
            </w:pPr>
            <w:r w:rsidRPr="00911315">
              <w:rPr>
                <w:szCs w:val="16"/>
              </w:rPr>
              <w:t xml:space="preserve">Voluntary </w:t>
            </w:r>
          </w:p>
        </w:tc>
        <w:tc>
          <w:tcPr>
            <w:tcW w:w="163" w:type="pct"/>
            <w:gridSpan w:val="2"/>
            <w:tcBorders>
              <w:top w:val="nil"/>
              <w:left w:val="nil"/>
              <w:bottom w:val="nil"/>
              <w:right w:val="nil"/>
            </w:tcBorders>
            <w:vAlign w:val="bottom"/>
          </w:tcPr>
          <w:p w:rsidR="00A57B4E" w:rsidRPr="00911315" w:rsidRDefault="00A57B4E" w:rsidP="00F104E9">
            <w:pPr>
              <w:pStyle w:val="braytabletext"/>
              <w:jc w:val="right"/>
              <w:rPr>
                <w:szCs w:val="16"/>
              </w:rPr>
            </w:pPr>
          </w:p>
        </w:tc>
        <w:tc>
          <w:tcPr>
            <w:tcW w:w="483" w:type="pct"/>
            <w:gridSpan w:val="3"/>
            <w:vMerge w:val="restart"/>
            <w:tcBorders>
              <w:top w:val="single" w:sz="4" w:space="0" w:color="auto"/>
              <w:left w:val="nil"/>
              <w:right w:val="nil"/>
            </w:tcBorders>
          </w:tcPr>
          <w:p w:rsidR="00A57B4E" w:rsidRPr="00911315" w:rsidRDefault="00A57B4E" w:rsidP="00A57B4E">
            <w:pPr>
              <w:pStyle w:val="braytabletext"/>
              <w:jc w:val="right"/>
              <w:rPr>
                <w:szCs w:val="16"/>
              </w:rPr>
            </w:pPr>
            <w:r w:rsidRPr="00911315">
              <w:rPr>
                <w:szCs w:val="16"/>
              </w:rPr>
              <w:t>Comp-ulsory</w:t>
            </w:r>
          </w:p>
        </w:tc>
        <w:tc>
          <w:tcPr>
            <w:tcW w:w="166" w:type="pct"/>
            <w:gridSpan w:val="2"/>
            <w:tcBorders>
              <w:top w:val="nil"/>
              <w:left w:val="nil"/>
              <w:bottom w:val="nil"/>
              <w:right w:val="nil"/>
            </w:tcBorders>
            <w:vAlign w:val="bottom"/>
          </w:tcPr>
          <w:p w:rsidR="00A57B4E" w:rsidRPr="00911315" w:rsidRDefault="00A57B4E" w:rsidP="00F104E9">
            <w:pPr>
              <w:pStyle w:val="braytabletext"/>
              <w:jc w:val="right"/>
              <w:rPr>
                <w:szCs w:val="16"/>
              </w:rPr>
            </w:pPr>
          </w:p>
        </w:tc>
        <w:tc>
          <w:tcPr>
            <w:tcW w:w="403" w:type="pct"/>
            <w:gridSpan w:val="2"/>
            <w:tcBorders>
              <w:top w:val="nil"/>
              <w:left w:val="nil"/>
              <w:bottom w:val="nil"/>
              <w:right w:val="nil"/>
            </w:tcBorders>
            <w:vAlign w:val="bottom"/>
          </w:tcPr>
          <w:p w:rsidR="00A57B4E" w:rsidRPr="00911315" w:rsidRDefault="00A57B4E" w:rsidP="00F104E9">
            <w:pPr>
              <w:pStyle w:val="braytabletext"/>
              <w:jc w:val="right"/>
              <w:rPr>
                <w:szCs w:val="16"/>
              </w:rPr>
            </w:pPr>
          </w:p>
        </w:tc>
        <w:tc>
          <w:tcPr>
            <w:tcW w:w="577" w:type="pct"/>
            <w:gridSpan w:val="4"/>
            <w:tcBorders>
              <w:top w:val="nil"/>
              <w:left w:val="nil"/>
              <w:bottom w:val="nil"/>
              <w:right w:val="nil"/>
            </w:tcBorders>
            <w:vAlign w:val="bottom"/>
          </w:tcPr>
          <w:p w:rsidR="00A57B4E" w:rsidRPr="00911315" w:rsidRDefault="00A57B4E" w:rsidP="00F104E9">
            <w:pPr>
              <w:pStyle w:val="braytabletext"/>
              <w:jc w:val="right"/>
              <w:rPr>
                <w:szCs w:val="16"/>
              </w:rPr>
            </w:pPr>
          </w:p>
        </w:tc>
      </w:tr>
      <w:tr w:rsidR="00A57B4E" w:rsidRPr="00911315" w:rsidTr="008E57A0">
        <w:trPr>
          <w:trHeight w:val="290"/>
          <w:jc w:val="right"/>
        </w:trPr>
        <w:tc>
          <w:tcPr>
            <w:tcW w:w="1024" w:type="pct"/>
            <w:gridSpan w:val="4"/>
            <w:tcBorders>
              <w:top w:val="nil"/>
              <w:left w:val="nil"/>
              <w:bottom w:val="single" w:sz="6" w:space="0" w:color="auto"/>
              <w:right w:val="nil"/>
            </w:tcBorders>
            <w:vAlign w:val="bottom"/>
          </w:tcPr>
          <w:p w:rsidR="00A57B4E" w:rsidRPr="00911315" w:rsidRDefault="00A57B4E" w:rsidP="00F104E9">
            <w:pPr>
              <w:pStyle w:val="braytabletext"/>
              <w:rPr>
                <w:szCs w:val="16"/>
              </w:rPr>
            </w:pPr>
          </w:p>
        </w:tc>
        <w:tc>
          <w:tcPr>
            <w:tcW w:w="570" w:type="pct"/>
            <w:tcBorders>
              <w:top w:val="single" w:sz="6" w:space="0" w:color="auto"/>
              <w:left w:val="nil"/>
              <w:bottom w:val="single" w:sz="6" w:space="0" w:color="auto"/>
              <w:right w:val="nil"/>
            </w:tcBorders>
          </w:tcPr>
          <w:p w:rsidR="00A57B4E" w:rsidRPr="00911315" w:rsidRDefault="00A57B4E" w:rsidP="00F104E9">
            <w:pPr>
              <w:pStyle w:val="braytabletext"/>
              <w:jc w:val="right"/>
              <w:rPr>
                <w:szCs w:val="16"/>
              </w:rPr>
            </w:pPr>
            <w:r w:rsidRPr="00911315">
              <w:rPr>
                <w:szCs w:val="16"/>
              </w:rPr>
              <w:t>NTER area</w:t>
            </w:r>
          </w:p>
        </w:tc>
        <w:tc>
          <w:tcPr>
            <w:tcW w:w="564" w:type="pct"/>
            <w:tcBorders>
              <w:top w:val="single" w:sz="6" w:space="0" w:color="auto"/>
              <w:left w:val="nil"/>
              <w:bottom w:val="single" w:sz="6" w:space="0" w:color="auto"/>
              <w:right w:val="nil"/>
            </w:tcBorders>
          </w:tcPr>
          <w:p w:rsidR="00A57B4E" w:rsidRPr="00911315" w:rsidRDefault="00A57B4E" w:rsidP="00F104E9">
            <w:pPr>
              <w:pStyle w:val="braytabletext"/>
              <w:jc w:val="right"/>
              <w:rPr>
                <w:szCs w:val="16"/>
              </w:rPr>
            </w:pPr>
            <w:r w:rsidRPr="00911315">
              <w:rPr>
                <w:szCs w:val="16"/>
              </w:rPr>
              <w:t>non-NTER area</w:t>
            </w:r>
          </w:p>
        </w:tc>
        <w:tc>
          <w:tcPr>
            <w:tcW w:w="167" w:type="pct"/>
            <w:tcBorders>
              <w:top w:val="nil"/>
              <w:left w:val="nil"/>
              <w:bottom w:val="single" w:sz="6" w:space="0" w:color="auto"/>
              <w:right w:val="nil"/>
            </w:tcBorders>
            <w:vAlign w:val="bottom"/>
          </w:tcPr>
          <w:p w:rsidR="00A57B4E" w:rsidRPr="00911315" w:rsidRDefault="00A57B4E" w:rsidP="00F104E9">
            <w:pPr>
              <w:pStyle w:val="braytabletext"/>
              <w:jc w:val="right"/>
              <w:rPr>
                <w:szCs w:val="16"/>
              </w:rPr>
            </w:pPr>
          </w:p>
        </w:tc>
        <w:tc>
          <w:tcPr>
            <w:tcW w:w="483" w:type="pct"/>
            <w:tcBorders>
              <w:top w:val="single" w:sz="6" w:space="0" w:color="auto"/>
              <w:left w:val="nil"/>
              <w:bottom w:val="single" w:sz="6" w:space="0" w:color="auto"/>
              <w:right w:val="nil"/>
            </w:tcBorders>
          </w:tcPr>
          <w:p w:rsidR="00A57B4E" w:rsidRPr="00911315" w:rsidRDefault="00A57B4E" w:rsidP="00F104E9">
            <w:pPr>
              <w:pStyle w:val="braytabletext"/>
              <w:jc w:val="right"/>
              <w:rPr>
                <w:szCs w:val="16"/>
              </w:rPr>
            </w:pPr>
            <w:r w:rsidRPr="00911315">
              <w:rPr>
                <w:szCs w:val="16"/>
              </w:rPr>
              <w:t>NTER area</w:t>
            </w:r>
          </w:p>
        </w:tc>
        <w:tc>
          <w:tcPr>
            <w:tcW w:w="400" w:type="pct"/>
            <w:tcBorders>
              <w:top w:val="single" w:sz="6" w:space="0" w:color="auto"/>
              <w:left w:val="nil"/>
              <w:bottom w:val="single" w:sz="6" w:space="0" w:color="auto"/>
              <w:right w:val="nil"/>
            </w:tcBorders>
          </w:tcPr>
          <w:p w:rsidR="00A57B4E" w:rsidRPr="00911315" w:rsidRDefault="00A57B4E" w:rsidP="00F104E9">
            <w:pPr>
              <w:pStyle w:val="braytabletext"/>
              <w:jc w:val="right"/>
              <w:rPr>
                <w:szCs w:val="16"/>
              </w:rPr>
            </w:pPr>
            <w:r w:rsidRPr="00911315">
              <w:rPr>
                <w:szCs w:val="16"/>
              </w:rPr>
              <w:t>non-NTER area</w:t>
            </w:r>
          </w:p>
        </w:tc>
        <w:tc>
          <w:tcPr>
            <w:tcW w:w="163" w:type="pct"/>
            <w:gridSpan w:val="2"/>
            <w:tcBorders>
              <w:top w:val="nil"/>
              <w:left w:val="nil"/>
              <w:bottom w:val="single" w:sz="6" w:space="0" w:color="auto"/>
              <w:right w:val="nil"/>
            </w:tcBorders>
            <w:vAlign w:val="bottom"/>
          </w:tcPr>
          <w:p w:rsidR="00A57B4E" w:rsidRPr="00911315" w:rsidRDefault="00A57B4E" w:rsidP="00F104E9">
            <w:pPr>
              <w:pStyle w:val="braytabletext"/>
              <w:jc w:val="right"/>
              <w:rPr>
                <w:szCs w:val="16"/>
              </w:rPr>
            </w:pPr>
          </w:p>
        </w:tc>
        <w:tc>
          <w:tcPr>
            <w:tcW w:w="483" w:type="pct"/>
            <w:gridSpan w:val="3"/>
            <w:vMerge/>
            <w:tcBorders>
              <w:left w:val="nil"/>
              <w:bottom w:val="single" w:sz="6" w:space="0" w:color="auto"/>
              <w:right w:val="nil"/>
            </w:tcBorders>
            <w:vAlign w:val="bottom"/>
          </w:tcPr>
          <w:p w:rsidR="00A57B4E" w:rsidRPr="00911315" w:rsidRDefault="00A57B4E" w:rsidP="00F104E9">
            <w:pPr>
              <w:pStyle w:val="braytabletext"/>
              <w:jc w:val="right"/>
              <w:rPr>
                <w:szCs w:val="16"/>
              </w:rPr>
            </w:pPr>
          </w:p>
        </w:tc>
        <w:tc>
          <w:tcPr>
            <w:tcW w:w="166" w:type="pct"/>
            <w:gridSpan w:val="2"/>
            <w:tcBorders>
              <w:top w:val="nil"/>
              <w:left w:val="nil"/>
              <w:bottom w:val="single" w:sz="6" w:space="0" w:color="auto"/>
              <w:right w:val="nil"/>
            </w:tcBorders>
            <w:vAlign w:val="bottom"/>
          </w:tcPr>
          <w:p w:rsidR="00A57B4E" w:rsidRPr="00911315" w:rsidRDefault="00A57B4E" w:rsidP="00F104E9">
            <w:pPr>
              <w:pStyle w:val="braytabletext"/>
              <w:jc w:val="right"/>
              <w:rPr>
                <w:szCs w:val="16"/>
              </w:rPr>
            </w:pPr>
          </w:p>
        </w:tc>
        <w:tc>
          <w:tcPr>
            <w:tcW w:w="403" w:type="pct"/>
            <w:gridSpan w:val="2"/>
            <w:tcBorders>
              <w:top w:val="nil"/>
              <w:left w:val="nil"/>
              <w:bottom w:val="single" w:sz="6" w:space="0" w:color="auto"/>
              <w:right w:val="nil"/>
            </w:tcBorders>
            <w:vAlign w:val="bottom"/>
          </w:tcPr>
          <w:p w:rsidR="00A57B4E" w:rsidRPr="00911315" w:rsidRDefault="00A57B4E" w:rsidP="00F104E9">
            <w:pPr>
              <w:pStyle w:val="braytabletext"/>
              <w:jc w:val="right"/>
              <w:rPr>
                <w:szCs w:val="16"/>
              </w:rPr>
            </w:pPr>
          </w:p>
        </w:tc>
        <w:tc>
          <w:tcPr>
            <w:tcW w:w="577" w:type="pct"/>
            <w:gridSpan w:val="4"/>
            <w:tcBorders>
              <w:top w:val="nil"/>
              <w:left w:val="nil"/>
              <w:bottom w:val="single" w:sz="6" w:space="0" w:color="auto"/>
              <w:right w:val="nil"/>
            </w:tcBorders>
            <w:vAlign w:val="bottom"/>
          </w:tcPr>
          <w:p w:rsidR="00A57B4E" w:rsidRPr="00911315" w:rsidRDefault="00A57B4E" w:rsidP="00F104E9">
            <w:pPr>
              <w:pStyle w:val="braytabletext"/>
              <w:jc w:val="right"/>
              <w:rPr>
                <w:szCs w:val="16"/>
              </w:rPr>
            </w:pPr>
          </w:p>
        </w:tc>
      </w:tr>
      <w:tr w:rsidR="00897C1E" w:rsidRPr="00911315" w:rsidTr="008A1D49">
        <w:trPr>
          <w:gridBefore w:val="2"/>
          <w:gridAfter w:val="3"/>
          <w:wBefore w:w="24" w:type="pct"/>
          <w:wAfter w:w="37" w:type="pct"/>
          <w:trHeight w:val="290"/>
          <w:jc w:val="right"/>
        </w:trPr>
        <w:tc>
          <w:tcPr>
            <w:tcW w:w="993" w:type="pct"/>
            <w:tcBorders>
              <w:left w:val="nil"/>
              <w:bottom w:val="nil"/>
              <w:right w:val="nil"/>
            </w:tcBorders>
          </w:tcPr>
          <w:p w:rsidR="00897C1E" w:rsidRPr="00911315" w:rsidRDefault="00897C1E" w:rsidP="00F104E9">
            <w:pPr>
              <w:pStyle w:val="braytabletext"/>
              <w:rPr>
                <w:szCs w:val="16"/>
              </w:rPr>
            </w:pPr>
            <w:r w:rsidRPr="00911315">
              <w:rPr>
                <w:szCs w:val="16"/>
              </w:rPr>
              <w:t>Alcohol</w:t>
            </w:r>
          </w:p>
        </w:tc>
        <w:tc>
          <w:tcPr>
            <w:tcW w:w="576" w:type="pct"/>
            <w:gridSpan w:val="2"/>
            <w:tcBorders>
              <w:left w:val="nil"/>
              <w:bottom w:val="nil"/>
              <w:right w:val="nil"/>
            </w:tcBorders>
          </w:tcPr>
          <w:p w:rsidR="00897C1E" w:rsidRPr="00911315" w:rsidRDefault="00897C1E" w:rsidP="00F104E9">
            <w:pPr>
              <w:pStyle w:val="braytabletext"/>
              <w:jc w:val="center"/>
              <w:rPr>
                <w:szCs w:val="16"/>
              </w:rPr>
            </w:pPr>
          </w:p>
        </w:tc>
        <w:tc>
          <w:tcPr>
            <w:tcW w:w="3369" w:type="pct"/>
            <w:gridSpan w:val="14"/>
            <w:tcBorders>
              <w:left w:val="nil"/>
              <w:bottom w:val="nil"/>
              <w:right w:val="nil"/>
            </w:tcBorders>
            <w:vAlign w:val="center"/>
          </w:tcPr>
          <w:p w:rsidR="00897C1E" w:rsidRPr="00911315" w:rsidRDefault="00897C1E" w:rsidP="008A1D49">
            <w:pPr>
              <w:pStyle w:val="braytabletext"/>
              <w:jc w:val="center"/>
              <w:rPr>
                <w:szCs w:val="16"/>
              </w:rPr>
            </w:pPr>
            <w:r w:rsidRPr="00911315">
              <w:rPr>
                <w:szCs w:val="16"/>
              </w:rPr>
              <w:t>- % -</w:t>
            </w:r>
          </w:p>
        </w:tc>
      </w:tr>
      <w:tr w:rsidR="00897C1E" w:rsidRPr="00911315" w:rsidTr="008E57A0">
        <w:trPr>
          <w:gridBefore w:val="2"/>
          <w:wBefore w:w="24" w:type="pct"/>
          <w:trHeight w:val="290"/>
          <w:jc w:val="right"/>
        </w:trPr>
        <w:tc>
          <w:tcPr>
            <w:tcW w:w="993" w:type="pct"/>
            <w:tcBorders>
              <w:top w:val="nil"/>
              <w:left w:val="nil"/>
              <w:bottom w:val="nil"/>
              <w:right w:val="nil"/>
            </w:tcBorders>
          </w:tcPr>
          <w:p w:rsidR="00897C1E" w:rsidRPr="00911315" w:rsidRDefault="00897C1E" w:rsidP="00F104E9">
            <w:pPr>
              <w:pStyle w:val="braytabletext"/>
              <w:rPr>
                <w:szCs w:val="16"/>
              </w:rPr>
            </w:pPr>
            <w:r w:rsidRPr="00911315">
              <w:rPr>
                <w:szCs w:val="16"/>
              </w:rPr>
              <w:t>Not a problem</w:t>
            </w:r>
          </w:p>
        </w:tc>
        <w:tc>
          <w:tcPr>
            <w:tcW w:w="576" w:type="pct"/>
            <w:gridSpan w:val="2"/>
            <w:tcBorders>
              <w:top w:val="nil"/>
              <w:left w:val="nil"/>
              <w:bottom w:val="nil"/>
              <w:right w:val="nil"/>
            </w:tcBorders>
          </w:tcPr>
          <w:p w:rsidR="00897C1E" w:rsidRPr="00911315" w:rsidRDefault="00897C1E" w:rsidP="00F104E9">
            <w:pPr>
              <w:pStyle w:val="braytabletext"/>
              <w:jc w:val="right"/>
              <w:rPr>
                <w:szCs w:val="16"/>
              </w:rPr>
            </w:pPr>
            <w:r w:rsidRPr="00911315">
              <w:rPr>
                <w:szCs w:val="16"/>
              </w:rPr>
              <w:t>55.7</w:t>
            </w:r>
          </w:p>
        </w:tc>
        <w:tc>
          <w:tcPr>
            <w:tcW w:w="564"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78.9</w:t>
            </w:r>
          </w:p>
        </w:tc>
        <w:tc>
          <w:tcPr>
            <w:tcW w:w="167" w:type="pct"/>
            <w:tcBorders>
              <w:top w:val="nil"/>
              <w:left w:val="nil"/>
              <w:bottom w:val="nil"/>
              <w:right w:val="nil"/>
            </w:tcBorders>
          </w:tcPr>
          <w:p w:rsidR="00897C1E" w:rsidRPr="00911315" w:rsidRDefault="00897C1E" w:rsidP="00F104E9">
            <w:pPr>
              <w:pStyle w:val="braytabletext"/>
              <w:jc w:val="right"/>
              <w:rPr>
                <w:szCs w:val="16"/>
              </w:rPr>
            </w:pPr>
          </w:p>
        </w:tc>
        <w:tc>
          <w:tcPr>
            <w:tcW w:w="483"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56.7</w:t>
            </w:r>
          </w:p>
        </w:tc>
        <w:tc>
          <w:tcPr>
            <w:tcW w:w="400"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45.8</w:t>
            </w:r>
          </w:p>
        </w:tc>
        <w:tc>
          <w:tcPr>
            <w:tcW w:w="163" w:type="pct"/>
            <w:gridSpan w:val="2"/>
            <w:tcBorders>
              <w:top w:val="nil"/>
              <w:left w:val="nil"/>
              <w:bottom w:val="nil"/>
              <w:right w:val="nil"/>
            </w:tcBorders>
          </w:tcPr>
          <w:p w:rsidR="00897C1E" w:rsidRPr="00911315" w:rsidRDefault="00897C1E" w:rsidP="00F104E9">
            <w:pPr>
              <w:pStyle w:val="braytabletext"/>
              <w:jc w:val="right"/>
              <w:rPr>
                <w:szCs w:val="16"/>
              </w:rPr>
            </w:pPr>
          </w:p>
        </w:tc>
        <w:tc>
          <w:tcPr>
            <w:tcW w:w="483" w:type="pct"/>
            <w:gridSpan w:val="3"/>
            <w:tcBorders>
              <w:top w:val="nil"/>
              <w:left w:val="nil"/>
              <w:bottom w:val="nil"/>
              <w:right w:val="nil"/>
            </w:tcBorders>
          </w:tcPr>
          <w:p w:rsidR="00897C1E" w:rsidRPr="00911315" w:rsidRDefault="00897C1E" w:rsidP="00F104E9">
            <w:pPr>
              <w:pStyle w:val="braytabletext"/>
              <w:jc w:val="right"/>
              <w:rPr>
                <w:szCs w:val="16"/>
              </w:rPr>
            </w:pPr>
            <w:r w:rsidRPr="00911315">
              <w:rPr>
                <w:szCs w:val="16"/>
              </w:rPr>
              <w:t>96.7</w:t>
            </w:r>
          </w:p>
        </w:tc>
        <w:tc>
          <w:tcPr>
            <w:tcW w:w="166" w:type="pct"/>
            <w:gridSpan w:val="2"/>
            <w:tcBorders>
              <w:top w:val="nil"/>
              <w:left w:val="nil"/>
              <w:bottom w:val="nil"/>
              <w:right w:val="nil"/>
            </w:tcBorders>
          </w:tcPr>
          <w:p w:rsidR="00897C1E" w:rsidRPr="00911315" w:rsidRDefault="00897C1E" w:rsidP="00F104E9">
            <w:pPr>
              <w:pStyle w:val="braytabletext"/>
              <w:jc w:val="right"/>
              <w:rPr>
                <w:szCs w:val="16"/>
              </w:rPr>
            </w:pPr>
          </w:p>
        </w:tc>
        <w:tc>
          <w:tcPr>
            <w:tcW w:w="403" w:type="pct"/>
            <w:gridSpan w:val="2"/>
            <w:tcBorders>
              <w:top w:val="nil"/>
              <w:left w:val="nil"/>
              <w:bottom w:val="nil"/>
              <w:right w:val="nil"/>
            </w:tcBorders>
          </w:tcPr>
          <w:p w:rsidR="00897C1E" w:rsidRPr="00911315" w:rsidRDefault="00897C1E" w:rsidP="00F104E9">
            <w:pPr>
              <w:pStyle w:val="braytabletext"/>
              <w:jc w:val="right"/>
              <w:rPr>
                <w:szCs w:val="16"/>
              </w:rPr>
            </w:pPr>
            <w:r w:rsidRPr="00911315">
              <w:rPr>
                <w:szCs w:val="16"/>
              </w:rPr>
              <w:t>52.1</w:t>
            </w:r>
          </w:p>
        </w:tc>
        <w:tc>
          <w:tcPr>
            <w:tcW w:w="577" w:type="pct"/>
            <w:gridSpan w:val="4"/>
            <w:tcBorders>
              <w:top w:val="nil"/>
              <w:left w:val="nil"/>
              <w:bottom w:val="nil"/>
              <w:right w:val="nil"/>
            </w:tcBorders>
          </w:tcPr>
          <w:p w:rsidR="00897C1E" w:rsidRPr="00911315" w:rsidRDefault="00897C1E" w:rsidP="00F104E9">
            <w:pPr>
              <w:pStyle w:val="braytabletext"/>
              <w:jc w:val="right"/>
              <w:rPr>
                <w:szCs w:val="16"/>
              </w:rPr>
            </w:pPr>
            <w:r w:rsidRPr="00911315">
              <w:rPr>
                <w:szCs w:val="16"/>
              </w:rPr>
              <w:t>82.9</w:t>
            </w:r>
          </w:p>
        </w:tc>
      </w:tr>
      <w:tr w:rsidR="00897C1E" w:rsidRPr="00911315" w:rsidTr="008E57A0">
        <w:trPr>
          <w:gridBefore w:val="2"/>
          <w:wBefore w:w="24" w:type="pct"/>
          <w:trHeight w:val="290"/>
          <w:jc w:val="right"/>
        </w:trPr>
        <w:tc>
          <w:tcPr>
            <w:tcW w:w="993" w:type="pct"/>
            <w:tcBorders>
              <w:top w:val="nil"/>
              <w:left w:val="nil"/>
              <w:bottom w:val="nil"/>
              <w:right w:val="nil"/>
            </w:tcBorders>
          </w:tcPr>
          <w:p w:rsidR="00897C1E" w:rsidRPr="00911315" w:rsidRDefault="00897C1E" w:rsidP="00F104E9">
            <w:pPr>
              <w:pStyle w:val="braytabletext"/>
              <w:rPr>
                <w:szCs w:val="16"/>
              </w:rPr>
            </w:pPr>
            <w:r w:rsidRPr="00911315">
              <w:rPr>
                <w:szCs w:val="16"/>
              </w:rPr>
              <w:t>A bit of a problem</w:t>
            </w:r>
          </w:p>
        </w:tc>
        <w:tc>
          <w:tcPr>
            <w:tcW w:w="576" w:type="pct"/>
            <w:gridSpan w:val="2"/>
            <w:tcBorders>
              <w:top w:val="nil"/>
              <w:left w:val="nil"/>
              <w:bottom w:val="nil"/>
              <w:right w:val="nil"/>
            </w:tcBorders>
          </w:tcPr>
          <w:p w:rsidR="00897C1E" w:rsidRPr="00911315" w:rsidRDefault="00897C1E" w:rsidP="00F104E9">
            <w:pPr>
              <w:pStyle w:val="braytabletext"/>
              <w:jc w:val="right"/>
              <w:rPr>
                <w:szCs w:val="16"/>
              </w:rPr>
            </w:pPr>
            <w:r w:rsidRPr="00911315">
              <w:rPr>
                <w:szCs w:val="16"/>
              </w:rPr>
              <w:t>28.9</w:t>
            </w:r>
          </w:p>
        </w:tc>
        <w:tc>
          <w:tcPr>
            <w:tcW w:w="564"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17.4</w:t>
            </w:r>
          </w:p>
        </w:tc>
        <w:tc>
          <w:tcPr>
            <w:tcW w:w="167" w:type="pct"/>
            <w:tcBorders>
              <w:top w:val="nil"/>
              <w:left w:val="nil"/>
              <w:bottom w:val="nil"/>
              <w:right w:val="nil"/>
            </w:tcBorders>
          </w:tcPr>
          <w:p w:rsidR="00897C1E" w:rsidRPr="00911315" w:rsidRDefault="00897C1E" w:rsidP="00F104E9">
            <w:pPr>
              <w:pStyle w:val="braytabletext"/>
              <w:jc w:val="right"/>
              <w:rPr>
                <w:szCs w:val="16"/>
              </w:rPr>
            </w:pPr>
          </w:p>
        </w:tc>
        <w:tc>
          <w:tcPr>
            <w:tcW w:w="483"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30.8</w:t>
            </w:r>
          </w:p>
        </w:tc>
        <w:tc>
          <w:tcPr>
            <w:tcW w:w="400"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29.2</w:t>
            </w:r>
          </w:p>
        </w:tc>
        <w:tc>
          <w:tcPr>
            <w:tcW w:w="163" w:type="pct"/>
            <w:gridSpan w:val="2"/>
            <w:tcBorders>
              <w:top w:val="nil"/>
              <w:left w:val="nil"/>
              <w:bottom w:val="nil"/>
              <w:right w:val="nil"/>
            </w:tcBorders>
          </w:tcPr>
          <w:p w:rsidR="00897C1E" w:rsidRPr="00911315" w:rsidRDefault="00897C1E" w:rsidP="00F104E9">
            <w:pPr>
              <w:pStyle w:val="braytabletext"/>
              <w:jc w:val="right"/>
              <w:rPr>
                <w:szCs w:val="16"/>
              </w:rPr>
            </w:pPr>
          </w:p>
        </w:tc>
        <w:tc>
          <w:tcPr>
            <w:tcW w:w="483" w:type="pct"/>
            <w:gridSpan w:val="3"/>
            <w:tcBorders>
              <w:top w:val="nil"/>
              <w:left w:val="nil"/>
              <w:bottom w:val="nil"/>
              <w:right w:val="nil"/>
            </w:tcBorders>
          </w:tcPr>
          <w:p w:rsidR="00897C1E" w:rsidRPr="00911315" w:rsidRDefault="00897C1E" w:rsidP="00F104E9">
            <w:pPr>
              <w:pStyle w:val="braytabletext"/>
              <w:jc w:val="right"/>
              <w:rPr>
                <w:szCs w:val="16"/>
              </w:rPr>
            </w:pPr>
            <w:r w:rsidRPr="00911315">
              <w:rPr>
                <w:szCs w:val="16"/>
              </w:rPr>
              <w:t>2.7</w:t>
            </w:r>
          </w:p>
        </w:tc>
        <w:tc>
          <w:tcPr>
            <w:tcW w:w="166" w:type="pct"/>
            <w:gridSpan w:val="2"/>
            <w:tcBorders>
              <w:top w:val="nil"/>
              <w:left w:val="nil"/>
              <w:bottom w:val="nil"/>
              <w:right w:val="nil"/>
            </w:tcBorders>
          </w:tcPr>
          <w:p w:rsidR="00897C1E" w:rsidRPr="00911315" w:rsidRDefault="00897C1E" w:rsidP="00F104E9">
            <w:pPr>
              <w:pStyle w:val="braytabletext"/>
              <w:jc w:val="right"/>
              <w:rPr>
                <w:szCs w:val="16"/>
              </w:rPr>
            </w:pPr>
          </w:p>
        </w:tc>
        <w:tc>
          <w:tcPr>
            <w:tcW w:w="403" w:type="pct"/>
            <w:gridSpan w:val="2"/>
            <w:tcBorders>
              <w:top w:val="nil"/>
              <w:left w:val="nil"/>
              <w:bottom w:val="nil"/>
              <w:right w:val="nil"/>
            </w:tcBorders>
          </w:tcPr>
          <w:p w:rsidR="00897C1E" w:rsidRPr="00911315" w:rsidRDefault="00897C1E" w:rsidP="00F104E9">
            <w:pPr>
              <w:pStyle w:val="braytabletext"/>
              <w:jc w:val="right"/>
              <w:rPr>
                <w:szCs w:val="16"/>
              </w:rPr>
            </w:pPr>
            <w:r w:rsidRPr="00911315">
              <w:rPr>
                <w:szCs w:val="16"/>
              </w:rPr>
              <w:t>32.8</w:t>
            </w:r>
          </w:p>
        </w:tc>
        <w:tc>
          <w:tcPr>
            <w:tcW w:w="577" w:type="pct"/>
            <w:gridSpan w:val="4"/>
            <w:tcBorders>
              <w:top w:val="nil"/>
              <w:left w:val="nil"/>
              <w:bottom w:val="nil"/>
              <w:right w:val="nil"/>
            </w:tcBorders>
          </w:tcPr>
          <w:p w:rsidR="00897C1E" w:rsidRPr="00911315" w:rsidRDefault="00897C1E" w:rsidP="00F104E9">
            <w:pPr>
              <w:pStyle w:val="braytabletext"/>
              <w:jc w:val="right"/>
              <w:rPr>
                <w:szCs w:val="16"/>
              </w:rPr>
            </w:pPr>
            <w:r w:rsidRPr="00911315">
              <w:rPr>
                <w:szCs w:val="16"/>
              </w:rPr>
              <w:t>14.3</w:t>
            </w:r>
          </w:p>
        </w:tc>
      </w:tr>
      <w:tr w:rsidR="00897C1E" w:rsidRPr="00911315" w:rsidTr="008E57A0">
        <w:trPr>
          <w:gridBefore w:val="2"/>
          <w:wBefore w:w="24" w:type="pct"/>
          <w:trHeight w:val="290"/>
          <w:jc w:val="right"/>
        </w:trPr>
        <w:tc>
          <w:tcPr>
            <w:tcW w:w="993" w:type="pct"/>
            <w:tcBorders>
              <w:top w:val="nil"/>
              <w:left w:val="nil"/>
              <w:bottom w:val="nil"/>
              <w:right w:val="nil"/>
            </w:tcBorders>
          </w:tcPr>
          <w:p w:rsidR="00897C1E" w:rsidRPr="00911315" w:rsidRDefault="00897C1E" w:rsidP="00F104E9">
            <w:pPr>
              <w:pStyle w:val="braytabletext"/>
              <w:rPr>
                <w:szCs w:val="16"/>
              </w:rPr>
            </w:pPr>
            <w:r w:rsidRPr="00911315">
              <w:rPr>
                <w:szCs w:val="16"/>
              </w:rPr>
              <w:t>A very big problem</w:t>
            </w:r>
          </w:p>
        </w:tc>
        <w:tc>
          <w:tcPr>
            <w:tcW w:w="576" w:type="pct"/>
            <w:gridSpan w:val="2"/>
            <w:tcBorders>
              <w:top w:val="nil"/>
              <w:left w:val="nil"/>
              <w:bottom w:val="nil"/>
              <w:right w:val="nil"/>
            </w:tcBorders>
          </w:tcPr>
          <w:p w:rsidR="00897C1E" w:rsidRPr="00911315" w:rsidRDefault="00897C1E" w:rsidP="00F104E9">
            <w:pPr>
              <w:pStyle w:val="braytabletext"/>
              <w:jc w:val="right"/>
              <w:rPr>
                <w:szCs w:val="16"/>
              </w:rPr>
            </w:pPr>
            <w:r w:rsidRPr="00911315">
              <w:rPr>
                <w:szCs w:val="16"/>
              </w:rPr>
              <w:t>15.4</w:t>
            </w:r>
          </w:p>
        </w:tc>
        <w:tc>
          <w:tcPr>
            <w:tcW w:w="564"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3.7</w:t>
            </w:r>
          </w:p>
        </w:tc>
        <w:tc>
          <w:tcPr>
            <w:tcW w:w="167" w:type="pct"/>
            <w:tcBorders>
              <w:top w:val="nil"/>
              <w:left w:val="nil"/>
              <w:bottom w:val="nil"/>
              <w:right w:val="nil"/>
            </w:tcBorders>
          </w:tcPr>
          <w:p w:rsidR="00897C1E" w:rsidRPr="00911315" w:rsidRDefault="00897C1E" w:rsidP="00F104E9">
            <w:pPr>
              <w:pStyle w:val="braytabletext"/>
              <w:jc w:val="right"/>
              <w:rPr>
                <w:szCs w:val="16"/>
              </w:rPr>
            </w:pPr>
          </w:p>
        </w:tc>
        <w:tc>
          <w:tcPr>
            <w:tcW w:w="483"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12.5</w:t>
            </w:r>
          </w:p>
        </w:tc>
        <w:tc>
          <w:tcPr>
            <w:tcW w:w="400"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25.0</w:t>
            </w:r>
          </w:p>
        </w:tc>
        <w:tc>
          <w:tcPr>
            <w:tcW w:w="163" w:type="pct"/>
            <w:gridSpan w:val="2"/>
            <w:tcBorders>
              <w:top w:val="nil"/>
              <w:left w:val="nil"/>
              <w:bottom w:val="nil"/>
              <w:right w:val="nil"/>
            </w:tcBorders>
          </w:tcPr>
          <w:p w:rsidR="00897C1E" w:rsidRPr="00911315" w:rsidRDefault="00897C1E" w:rsidP="00F104E9">
            <w:pPr>
              <w:pStyle w:val="braytabletext"/>
              <w:jc w:val="right"/>
              <w:rPr>
                <w:szCs w:val="16"/>
              </w:rPr>
            </w:pPr>
          </w:p>
        </w:tc>
        <w:tc>
          <w:tcPr>
            <w:tcW w:w="483" w:type="pct"/>
            <w:gridSpan w:val="3"/>
            <w:tcBorders>
              <w:top w:val="nil"/>
              <w:left w:val="nil"/>
              <w:bottom w:val="nil"/>
              <w:right w:val="nil"/>
            </w:tcBorders>
          </w:tcPr>
          <w:p w:rsidR="00897C1E" w:rsidRPr="00911315" w:rsidRDefault="00897C1E" w:rsidP="00F104E9">
            <w:pPr>
              <w:pStyle w:val="braytabletext"/>
              <w:jc w:val="right"/>
              <w:rPr>
                <w:szCs w:val="16"/>
              </w:rPr>
            </w:pPr>
            <w:r w:rsidRPr="00911315">
              <w:rPr>
                <w:szCs w:val="16"/>
              </w:rPr>
              <w:t>0.5</w:t>
            </w:r>
          </w:p>
        </w:tc>
        <w:tc>
          <w:tcPr>
            <w:tcW w:w="166" w:type="pct"/>
            <w:gridSpan w:val="2"/>
            <w:tcBorders>
              <w:top w:val="nil"/>
              <w:left w:val="nil"/>
              <w:bottom w:val="nil"/>
              <w:right w:val="nil"/>
            </w:tcBorders>
          </w:tcPr>
          <w:p w:rsidR="00897C1E" w:rsidRPr="00911315" w:rsidRDefault="00897C1E" w:rsidP="00F104E9">
            <w:pPr>
              <w:pStyle w:val="braytabletext"/>
              <w:jc w:val="right"/>
              <w:rPr>
                <w:szCs w:val="16"/>
              </w:rPr>
            </w:pPr>
          </w:p>
        </w:tc>
        <w:tc>
          <w:tcPr>
            <w:tcW w:w="403" w:type="pct"/>
            <w:gridSpan w:val="2"/>
            <w:tcBorders>
              <w:top w:val="nil"/>
              <w:left w:val="nil"/>
              <w:bottom w:val="nil"/>
              <w:right w:val="nil"/>
            </w:tcBorders>
          </w:tcPr>
          <w:p w:rsidR="00897C1E" w:rsidRPr="00911315" w:rsidRDefault="00897C1E" w:rsidP="00F104E9">
            <w:pPr>
              <w:pStyle w:val="braytabletext"/>
              <w:jc w:val="right"/>
              <w:rPr>
                <w:szCs w:val="16"/>
              </w:rPr>
            </w:pPr>
            <w:r w:rsidRPr="00911315">
              <w:rPr>
                <w:szCs w:val="16"/>
              </w:rPr>
              <w:t>15.1</w:t>
            </w:r>
          </w:p>
        </w:tc>
        <w:tc>
          <w:tcPr>
            <w:tcW w:w="577" w:type="pct"/>
            <w:gridSpan w:val="4"/>
            <w:tcBorders>
              <w:top w:val="nil"/>
              <w:left w:val="nil"/>
              <w:bottom w:val="nil"/>
              <w:right w:val="nil"/>
            </w:tcBorders>
          </w:tcPr>
          <w:p w:rsidR="00897C1E" w:rsidRPr="00911315" w:rsidRDefault="00897C1E" w:rsidP="00F104E9">
            <w:pPr>
              <w:pStyle w:val="braytabletext"/>
              <w:jc w:val="right"/>
              <w:rPr>
                <w:szCs w:val="16"/>
              </w:rPr>
            </w:pPr>
            <w:r w:rsidRPr="00911315">
              <w:rPr>
                <w:szCs w:val="16"/>
              </w:rPr>
              <w:t>2.9</w:t>
            </w:r>
          </w:p>
        </w:tc>
      </w:tr>
      <w:tr w:rsidR="00897C1E" w:rsidRPr="00911315" w:rsidTr="008E57A0">
        <w:trPr>
          <w:gridBefore w:val="2"/>
          <w:wBefore w:w="24" w:type="pct"/>
          <w:trHeight w:val="290"/>
          <w:jc w:val="right"/>
        </w:trPr>
        <w:tc>
          <w:tcPr>
            <w:tcW w:w="993" w:type="pct"/>
            <w:tcBorders>
              <w:top w:val="nil"/>
              <w:left w:val="nil"/>
              <w:bottom w:val="single" w:sz="4" w:space="0" w:color="auto"/>
              <w:right w:val="nil"/>
            </w:tcBorders>
          </w:tcPr>
          <w:p w:rsidR="00897C1E" w:rsidRPr="00911315" w:rsidRDefault="00897C1E" w:rsidP="00F104E9">
            <w:pPr>
              <w:pStyle w:val="braytabletext"/>
              <w:rPr>
                <w:szCs w:val="16"/>
              </w:rPr>
            </w:pPr>
            <w:r w:rsidRPr="00911315">
              <w:rPr>
                <w:szCs w:val="16"/>
              </w:rPr>
              <w:t xml:space="preserve">Total </w:t>
            </w:r>
          </w:p>
        </w:tc>
        <w:tc>
          <w:tcPr>
            <w:tcW w:w="576" w:type="pct"/>
            <w:gridSpan w:val="2"/>
            <w:tcBorders>
              <w:top w:val="nil"/>
              <w:left w:val="nil"/>
              <w:bottom w:val="single" w:sz="4" w:space="0" w:color="auto"/>
              <w:right w:val="nil"/>
            </w:tcBorders>
          </w:tcPr>
          <w:p w:rsidR="00897C1E" w:rsidRPr="00911315" w:rsidRDefault="00897C1E" w:rsidP="00F104E9">
            <w:pPr>
              <w:pStyle w:val="braytabletext"/>
              <w:jc w:val="right"/>
              <w:rPr>
                <w:szCs w:val="16"/>
              </w:rPr>
            </w:pPr>
            <w:r w:rsidRPr="00911315">
              <w:rPr>
                <w:szCs w:val="16"/>
              </w:rPr>
              <w:t>100.0</w:t>
            </w:r>
          </w:p>
        </w:tc>
        <w:tc>
          <w:tcPr>
            <w:tcW w:w="564" w:type="pct"/>
            <w:tcBorders>
              <w:top w:val="nil"/>
              <w:left w:val="nil"/>
              <w:bottom w:val="single" w:sz="4" w:space="0" w:color="auto"/>
              <w:right w:val="nil"/>
            </w:tcBorders>
          </w:tcPr>
          <w:p w:rsidR="00897C1E" w:rsidRPr="00911315" w:rsidRDefault="00897C1E" w:rsidP="00F104E9">
            <w:pPr>
              <w:pStyle w:val="braytabletext"/>
              <w:jc w:val="right"/>
              <w:rPr>
                <w:szCs w:val="16"/>
              </w:rPr>
            </w:pPr>
            <w:r w:rsidRPr="00911315">
              <w:rPr>
                <w:szCs w:val="16"/>
              </w:rPr>
              <w:t>100.0</w:t>
            </w:r>
          </w:p>
        </w:tc>
        <w:tc>
          <w:tcPr>
            <w:tcW w:w="167" w:type="pct"/>
            <w:tcBorders>
              <w:top w:val="nil"/>
              <w:left w:val="nil"/>
              <w:bottom w:val="single" w:sz="4" w:space="0" w:color="auto"/>
              <w:right w:val="nil"/>
            </w:tcBorders>
          </w:tcPr>
          <w:p w:rsidR="00897C1E" w:rsidRPr="00911315" w:rsidRDefault="00897C1E" w:rsidP="00F104E9">
            <w:pPr>
              <w:pStyle w:val="braytabletext"/>
              <w:jc w:val="right"/>
              <w:rPr>
                <w:szCs w:val="16"/>
              </w:rPr>
            </w:pPr>
          </w:p>
        </w:tc>
        <w:tc>
          <w:tcPr>
            <w:tcW w:w="483" w:type="pct"/>
            <w:tcBorders>
              <w:top w:val="nil"/>
              <w:left w:val="nil"/>
              <w:bottom w:val="single" w:sz="4" w:space="0" w:color="auto"/>
              <w:right w:val="nil"/>
            </w:tcBorders>
          </w:tcPr>
          <w:p w:rsidR="00897C1E" w:rsidRPr="00911315" w:rsidRDefault="00897C1E" w:rsidP="00F104E9">
            <w:pPr>
              <w:pStyle w:val="braytabletext"/>
              <w:jc w:val="right"/>
              <w:rPr>
                <w:szCs w:val="16"/>
              </w:rPr>
            </w:pPr>
            <w:r w:rsidRPr="00911315">
              <w:rPr>
                <w:szCs w:val="16"/>
              </w:rPr>
              <w:t>100.0</w:t>
            </w:r>
          </w:p>
        </w:tc>
        <w:tc>
          <w:tcPr>
            <w:tcW w:w="400" w:type="pct"/>
            <w:tcBorders>
              <w:top w:val="nil"/>
              <w:left w:val="nil"/>
              <w:bottom w:val="single" w:sz="4" w:space="0" w:color="auto"/>
              <w:right w:val="nil"/>
            </w:tcBorders>
          </w:tcPr>
          <w:p w:rsidR="00897C1E" w:rsidRPr="00911315" w:rsidRDefault="00897C1E" w:rsidP="00F104E9">
            <w:pPr>
              <w:pStyle w:val="braytabletext"/>
              <w:jc w:val="right"/>
              <w:rPr>
                <w:szCs w:val="16"/>
              </w:rPr>
            </w:pPr>
            <w:r w:rsidRPr="00911315">
              <w:rPr>
                <w:szCs w:val="16"/>
              </w:rPr>
              <w:t>100.0</w:t>
            </w:r>
          </w:p>
        </w:tc>
        <w:tc>
          <w:tcPr>
            <w:tcW w:w="163" w:type="pct"/>
            <w:gridSpan w:val="2"/>
            <w:tcBorders>
              <w:top w:val="nil"/>
              <w:left w:val="nil"/>
              <w:bottom w:val="single" w:sz="4" w:space="0" w:color="auto"/>
              <w:right w:val="nil"/>
            </w:tcBorders>
          </w:tcPr>
          <w:p w:rsidR="00897C1E" w:rsidRPr="00911315" w:rsidRDefault="00897C1E" w:rsidP="00F104E9">
            <w:pPr>
              <w:pStyle w:val="braytabletext"/>
              <w:jc w:val="right"/>
              <w:rPr>
                <w:szCs w:val="16"/>
              </w:rPr>
            </w:pPr>
          </w:p>
        </w:tc>
        <w:tc>
          <w:tcPr>
            <w:tcW w:w="483" w:type="pct"/>
            <w:gridSpan w:val="3"/>
            <w:tcBorders>
              <w:top w:val="nil"/>
              <w:left w:val="nil"/>
              <w:bottom w:val="single" w:sz="4" w:space="0" w:color="auto"/>
              <w:right w:val="nil"/>
            </w:tcBorders>
          </w:tcPr>
          <w:p w:rsidR="00897C1E" w:rsidRPr="00911315" w:rsidRDefault="00897C1E" w:rsidP="00F104E9">
            <w:pPr>
              <w:pStyle w:val="braytabletext"/>
              <w:jc w:val="right"/>
              <w:rPr>
                <w:szCs w:val="16"/>
              </w:rPr>
            </w:pPr>
            <w:r w:rsidRPr="00911315">
              <w:rPr>
                <w:szCs w:val="16"/>
              </w:rPr>
              <w:t>100.0</w:t>
            </w:r>
          </w:p>
        </w:tc>
        <w:tc>
          <w:tcPr>
            <w:tcW w:w="166" w:type="pct"/>
            <w:gridSpan w:val="2"/>
            <w:tcBorders>
              <w:top w:val="nil"/>
              <w:left w:val="nil"/>
              <w:bottom w:val="single" w:sz="4" w:space="0" w:color="auto"/>
              <w:right w:val="nil"/>
            </w:tcBorders>
          </w:tcPr>
          <w:p w:rsidR="00897C1E" w:rsidRPr="00911315" w:rsidRDefault="00897C1E" w:rsidP="00F104E9">
            <w:pPr>
              <w:pStyle w:val="braytabletext"/>
              <w:jc w:val="right"/>
              <w:rPr>
                <w:szCs w:val="16"/>
              </w:rPr>
            </w:pPr>
          </w:p>
        </w:tc>
        <w:tc>
          <w:tcPr>
            <w:tcW w:w="403" w:type="pct"/>
            <w:gridSpan w:val="2"/>
            <w:tcBorders>
              <w:top w:val="nil"/>
              <w:left w:val="nil"/>
              <w:bottom w:val="single" w:sz="4" w:space="0" w:color="auto"/>
              <w:right w:val="nil"/>
            </w:tcBorders>
          </w:tcPr>
          <w:p w:rsidR="00897C1E" w:rsidRPr="00911315" w:rsidRDefault="00897C1E" w:rsidP="00F104E9">
            <w:pPr>
              <w:pStyle w:val="braytabletext"/>
              <w:jc w:val="right"/>
              <w:rPr>
                <w:szCs w:val="16"/>
              </w:rPr>
            </w:pPr>
            <w:r w:rsidRPr="00911315">
              <w:rPr>
                <w:szCs w:val="16"/>
              </w:rPr>
              <w:t>100.0</w:t>
            </w:r>
          </w:p>
        </w:tc>
        <w:tc>
          <w:tcPr>
            <w:tcW w:w="577" w:type="pct"/>
            <w:gridSpan w:val="4"/>
            <w:tcBorders>
              <w:top w:val="nil"/>
              <w:left w:val="nil"/>
              <w:bottom w:val="single" w:sz="4" w:space="0" w:color="auto"/>
              <w:right w:val="nil"/>
            </w:tcBorders>
          </w:tcPr>
          <w:p w:rsidR="00897C1E" w:rsidRPr="00911315" w:rsidRDefault="00897C1E" w:rsidP="00F104E9">
            <w:pPr>
              <w:pStyle w:val="braytabletext"/>
              <w:jc w:val="right"/>
              <w:rPr>
                <w:szCs w:val="16"/>
              </w:rPr>
            </w:pPr>
            <w:r w:rsidRPr="00911315">
              <w:rPr>
                <w:szCs w:val="16"/>
              </w:rPr>
              <w:t>100.0</w:t>
            </w:r>
          </w:p>
        </w:tc>
      </w:tr>
      <w:tr w:rsidR="00897C1E" w:rsidRPr="00911315" w:rsidTr="008E57A0">
        <w:trPr>
          <w:gridBefore w:val="2"/>
          <w:wBefore w:w="24" w:type="pct"/>
          <w:trHeight w:val="290"/>
          <w:jc w:val="right"/>
        </w:trPr>
        <w:tc>
          <w:tcPr>
            <w:tcW w:w="993" w:type="pct"/>
            <w:tcBorders>
              <w:top w:val="single" w:sz="4" w:space="0" w:color="auto"/>
              <w:left w:val="nil"/>
              <w:bottom w:val="nil"/>
              <w:right w:val="nil"/>
            </w:tcBorders>
          </w:tcPr>
          <w:p w:rsidR="00897C1E" w:rsidRPr="00911315" w:rsidRDefault="00897C1E" w:rsidP="00F104E9">
            <w:pPr>
              <w:pStyle w:val="braytabletext"/>
              <w:rPr>
                <w:szCs w:val="16"/>
              </w:rPr>
            </w:pPr>
            <w:r w:rsidRPr="00911315">
              <w:rPr>
                <w:szCs w:val="16"/>
              </w:rPr>
              <w:t>Drugs</w:t>
            </w:r>
          </w:p>
        </w:tc>
        <w:tc>
          <w:tcPr>
            <w:tcW w:w="576" w:type="pct"/>
            <w:gridSpan w:val="2"/>
            <w:tcBorders>
              <w:top w:val="single" w:sz="4" w:space="0" w:color="auto"/>
              <w:left w:val="nil"/>
              <w:bottom w:val="nil"/>
              <w:right w:val="nil"/>
            </w:tcBorders>
          </w:tcPr>
          <w:p w:rsidR="00897C1E" w:rsidRPr="00911315" w:rsidRDefault="00897C1E" w:rsidP="00F104E9">
            <w:pPr>
              <w:pStyle w:val="braytabletext"/>
              <w:jc w:val="right"/>
              <w:rPr>
                <w:szCs w:val="16"/>
              </w:rPr>
            </w:pPr>
          </w:p>
        </w:tc>
        <w:tc>
          <w:tcPr>
            <w:tcW w:w="564" w:type="pct"/>
            <w:tcBorders>
              <w:top w:val="single" w:sz="4" w:space="0" w:color="auto"/>
              <w:left w:val="nil"/>
              <w:bottom w:val="nil"/>
              <w:right w:val="nil"/>
            </w:tcBorders>
          </w:tcPr>
          <w:p w:rsidR="00897C1E" w:rsidRPr="00911315" w:rsidRDefault="00897C1E" w:rsidP="00F104E9">
            <w:pPr>
              <w:pStyle w:val="braytabletext"/>
              <w:jc w:val="right"/>
              <w:rPr>
                <w:szCs w:val="16"/>
              </w:rPr>
            </w:pPr>
          </w:p>
        </w:tc>
        <w:tc>
          <w:tcPr>
            <w:tcW w:w="167" w:type="pct"/>
            <w:tcBorders>
              <w:top w:val="single" w:sz="4" w:space="0" w:color="auto"/>
              <w:left w:val="nil"/>
              <w:bottom w:val="nil"/>
              <w:right w:val="nil"/>
            </w:tcBorders>
          </w:tcPr>
          <w:p w:rsidR="00897C1E" w:rsidRPr="00911315" w:rsidRDefault="00897C1E" w:rsidP="00F104E9">
            <w:pPr>
              <w:pStyle w:val="braytabletext"/>
              <w:jc w:val="right"/>
              <w:rPr>
                <w:szCs w:val="16"/>
              </w:rPr>
            </w:pPr>
          </w:p>
        </w:tc>
        <w:tc>
          <w:tcPr>
            <w:tcW w:w="483" w:type="pct"/>
            <w:tcBorders>
              <w:top w:val="single" w:sz="4" w:space="0" w:color="auto"/>
              <w:left w:val="nil"/>
              <w:bottom w:val="nil"/>
              <w:right w:val="nil"/>
            </w:tcBorders>
          </w:tcPr>
          <w:p w:rsidR="00897C1E" w:rsidRPr="00911315" w:rsidRDefault="00897C1E" w:rsidP="00F104E9">
            <w:pPr>
              <w:pStyle w:val="braytabletext"/>
              <w:jc w:val="right"/>
              <w:rPr>
                <w:szCs w:val="16"/>
              </w:rPr>
            </w:pPr>
          </w:p>
        </w:tc>
        <w:tc>
          <w:tcPr>
            <w:tcW w:w="400" w:type="pct"/>
            <w:tcBorders>
              <w:top w:val="single" w:sz="4" w:space="0" w:color="auto"/>
              <w:left w:val="nil"/>
              <w:bottom w:val="nil"/>
              <w:right w:val="nil"/>
            </w:tcBorders>
          </w:tcPr>
          <w:p w:rsidR="00897C1E" w:rsidRPr="00911315" w:rsidRDefault="00897C1E" w:rsidP="00F104E9">
            <w:pPr>
              <w:pStyle w:val="braytabletext"/>
              <w:jc w:val="right"/>
              <w:rPr>
                <w:szCs w:val="16"/>
              </w:rPr>
            </w:pPr>
          </w:p>
        </w:tc>
        <w:tc>
          <w:tcPr>
            <w:tcW w:w="163" w:type="pct"/>
            <w:gridSpan w:val="2"/>
            <w:tcBorders>
              <w:top w:val="single" w:sz="4" w:space="0" w:color="auto"/>
              <w:left w:val="nil"/>
              <w:bottom w:val="nil"/>
              <w:right w:val="nil"/>
            </w:tcBorders>
          </w:tcPr>
          <w:p w:rsidR="00897C1E" w:rsidRPr="00911315" w:rsidRDefault="00897C1E" w:rsidP="00F104E9">
            <w:pPr>
              <w:pStyle w:val="braytabletext"/>
              <w:jc w:val="right"/>
              <w:rPr>
                <w:szCs w:val="16"/>
              </w:rPr>
            </w:pPr>
          </w:p>
        </w:tc>
        <w:tc>
          <w:tcPr>
            <w:tcW w:w="483" w:type="pct"/>
            <w:gridSpan w:val="3"/>
            <w:tcBorders>
              <w:top w:val="single" w:sz="4" w:space="0" w:color="auto"/>
              <w:left w:val="nil"/>
              <w:bottom w:val="nil"/>
              <w:right w:val="nil"/>
            </w:tcBorders>
          </w:tcPr>
          <w:p w:rsidR="00897C1E" w:rsidRPr="00911315" w:rsidRDefault="00897C1E" w:rsidP="00F104E9">
            <w:pPr>
              <w:pStyle w:val="braytabletext"/>
              <w:jc w:val="right"/>
              <w:rPr>
                <w:szCs w:val="16"/>
              </w:rPr>
            </w:pPr>
          </w:p>
        </w:tc>
        <w:tc>
          <w:tcPr>
            <w:tcW w:w="166" w:type="pct"/>
            <w:gridSpan w:val="2"/>
            <w:tcBorders>
              <w:top w:val="single" w:sz="4" w:space="0" w:color="auto"/>
              <w:left w:val="nil"/>
              <w:bottom w:val="nil"/>
              <w:right w:val="nil"/>
            </w:tcBorders>
          </w:tcPr>
          <w:p w:rsidR="00897C1E" w:rsidRPr="00911315" w:rsidRDefault="00897C1E" w:rsidP="00F104E9">
            <w:pPr>
              <w:pStyle w:val="braytabletext"/>
              <w:jc w:val="right"/>
              <w:rPr>
                <w:szCs w:val="16"/>
              </w:rPr>
            </w:pPr>
          </w:p>
        </w:tc>
        <w:tc>
          <w:tcPr>
            <w:tcW w:w="403" w:type="pct"/>
            <w:gridSpan w:val="2"/>
            <w:tcBorders>
              <w:top w:val="single" w:sz="4" w:space="0" w:color="auto"/>
              <w:left w:val="nil"/>
              <w:bottom w:val="nil"/>
              <w:right w:val="nil"/>
            </w:tcBorders>
          </w:tcPr>
          <w:p w:rsidR="00897C1E" w:rsidRPr="00911315" w:rsidRDefault="00897C1E" w:rsidP="00F104E9">
            <w:pPr>
              <w:pStyle w:val="braytabletext"/>
              <w:jc w:val="right"/>
              <w:rPr>
                <w:szCs w:val="16"/>
              </w:rPr>
            </w:pPr>
          </w:p>
        </w:tc>
        <w:tc>
          <w:tcPr>
            <w:tcW w:w="577" w:type="pct"/>
            <w:gridSpan w:val="4"/>
            <w:tcBorders>
              <w:top w:val="single" w:sz="4" w:space="0" w:color="auto"/>
              <w:left w:val="nil"/>
              <w:bottom w:val="nil"/>
              <w:right w:val="nil"/>
            </w:tcBorders>
          </w:tcPr>
          <w:p w:rsidR="00897C1E" w:rsidRPr="00911315" w:rsidRDefault="00897C1E" w:rsidP="00F104E9">
            <w:pPr>
              <w:pStyle w:val="braytabletext"/>
              <w:jc w:val="right"/>
              <w:rPr>
                <w:szCs w:val="16"/>
              </w:rPr>
            </w:pPr>
          </w:p>
        </w:tc>
      </w:tr>
      <w:tr w:rsidR="00897C1E" w:rsidRPr="00911315" w:rsidTr="008E57A0">
        <w:trPr>
          <w:gridBefore w:val="2"/>
          <w:wBefore w:w="24" w:type="pct"/>
          <w:trHeight w:val="290"/>
          <w:jc w:val="right"/>
        </w:trPr>
        <w:tc>
          <w:tcPr>
            <w:tcW w:w="993" w:type="pct"/>
            <w:tcBorders>
              <w:top w:val="nil"/>
              <w:left w:val="nil"/>
              <w:bottom w:val="nil"/>
              <w:right w:val="nil"/>
            </w:tcBorders>
          </w:tcPr>
          <w:p w:rsidR="00897C1E" w:rsidRPr="00911315" w:rsidRDefault="00897C1E" w:rsidP="00F104E9">
            <w:pPr>
              <w:pStyle w:val="braytabletext"/>
              <w:rPr>
                <w:szCs w:val="16"/>
              </w:rPr>
            </w:pPr>
            <w:r w:rsidRPr="00911315">
              <w:rPr>
                <w:szCs w:val="16"/>
              </w:rPr>
              <w:t>Not a problem</w:t>
            </w:r>
          </w:p>
        </w:tc>
        <w:tc>
          <w:tcPr>
            <w:tcW w:w="576" w:type="pct"/>
            <w:gridSpan w:val="2"/>
            <w:tcBorders>
              <w:top w:val="nil"/>
              <w:left w:val="nil"/>
              <w:bottom w:val="nil"/>
              <w:right w:val="nil"/>
            </w:tcBorders>
          </w:tcPr>
          <w:p w:rsidR="00897C1E" w:rsidRPr="00911315" w:rsidRDefault="00897C1E" w:rsidP="00F104E9">
            <w:pPr>
              <w:pStyle w:val="braytabletext"/>
              <w:jc w:val="right"/>
              <w:rPr>
                <w:szCs w:val="16"/>
              </w:rPr>
            </w:pPr>
            <w:r w:rsidRPr="00911315">
              <w:rPr>
                <w:szCs w:val="16"/>
              </w:rPr>
              <w:t>73.9</w:t>
            </w:r>
          </w:p>
        </w:tc>
        <w:tc>
          <w:tcPr>
            <w:tcW w:w="564"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89.9</w:t>
            </w:r>
          </w:p>
        </w:tc>
        <w:tc>
          <w:tcPr>
            <w:tcW w:w="167" w:type="pct"/>
            <w:tcBorders>
              <w:top w:val="nil"/>
              <w:left w:val="nil"/>
              <w:bottom w:val="nil"/>
              <w:right w:val="nil"/>
            </w:tcBorders>
          </w:tcPr>
          <w:p w:rsidR="00897C1E" w:rsidRPr="00911315" w:rsidRDefault="00897C1E" w:rsidP="00F104E9">
            <w:pPr>
              <w:pStyle w:val="braytabletext"/>
              <w:jc w:val="right"/>
              <w:rPr>
                <w:szCs w:val="16"/>
              </w:rPr>
            </w:pPr>
          </w:p>
        </w:tc>
        <w:tc>
          <w:tcPr>
            <w:tcW w:w="483"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78.5</w:t>
            </w:r>
          </w:p>
        </w:tc>
        <w:tc>
          <w:tcPr>
            <w:tcW w:w="400"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46.2</w:t>
            </w:r>
          </w:p>
        </w:tc>
        <w:tc>
          <w:tcPr>
            <w:tcW w:w="163" w:type="pct"/>
            <w:gridSpan w:val="2"/>
            <w:tcBorders>
              <w:top w:val="nil"/>
              <w:left w:val="nil"/>
              <w:bottom w:val="nil"/>
              <w:right w:val="nil"/>
            </w:tcBorders>
          </w:tcPr>
          <w:p w:rsidR="00897C1E" w:rsidRPr="00911315" w:rsidRDefault="00897C1E" w:rsidP="00F104E9">
            <w:pPr>
              <w:pStyle w:val="braytabletext"/>
              <w:jc w:val="right"/>
              <w:rPr>
                <w:szCs w:val="16"/>
              </w:rPr>
            </w:pPr>
          </w:p>
        </w:tc>
        <w:tc>
          <w:tcPr>
            <w:tcW w:w="483" w:type="pct"/>
            <w:gridSpan w:val="3"/>
            <w:tcBorders>
              <w:top w:val="nil"/>
              <w:left w:val="nil"/>
              <w:bottom w:val="nil"/>
              <w:right w:val="nil"/>
            </w:tcBorders>
          </w:tcPr>
          <w:p w:rsidR="00897C1E" w:rsidRPr="00911315" w:rsidRDefault="00897C1E" w:rsidP="00F104E9">
            <w:pPr>
              <w:pStyle w:val="braytabletext"/>
              <w:jc w:val="right"/>
              <w:rPr>
                <w:szCs w:val="16"/>
              </w:rPr>
            </w:pPr>
            <w:r w:rsidRPr="00911315">
              <w:rPr>
                <w:szCs w:val="16"/>
              </w:rPr>
              <w:t>96.7</w:t>
            </w:r>
          </w:p>
        </w:tc>
        <w:tc>
          <w:tcPr>
            <w:tcW w:w="166" w:type="pct"/>
            <w:gridSpan w:val="2"/>
            <w:tcBorders>
              <w:top w:val="nil"/>
              <w:left w:val="nil"/>
              <w:bottom w:val="nil"/>
              <w:right w:val="nil"/>
            </w:tcBorders>
          </w:tcPr>
          <w:p w:rsidR="00897C1E" w:rsidRPr="00911315" w:rsidRDefault="00897C1E" w:rsidP="00F104E9">
            <w:pPr>
              <w:pStyle w:val="braytabletext"/>
              <w:jc w:val="right"/>
              <w:rPr>
                <w:szCs w:val="16"/>
              </w:rPr>
            </w:pPr>
          </w:p>
        </w:tc>
        <w:tc>
          <w:tcPr>
            <w:tcW w:w="403" w:type="pct"/>
            <w:gridSpan w:val="2"/>
            <w:tcBorders>
              <w:top w:val="nil"/>
              <w:left w:val="nil"/>
              <w:bottom w:val="nil"/>
              <w:right w:val="nil"/>
            </w:tcBorders>
          </w:tcPr>
          <w:p w:rsidR="00897C1E" w:rsidRPr="00911315" w:rsidRDefault="00897C1E" w:rsidP="00F104E9">
            <w:pPr>
              <w:pStyle w:val="braytabletext"/>
              <w:jc w:val="right"/>
              <w:rPr>
                <w:szCs w:val="16"/>
              </w:rPr>
            </w:pPr>
            <w:r w:rsidRPr="00911315">
              <w:rPr>
                <w:szCs w:val="16"/>
              </w:rPr>
              <w:t>64.1</w:t>
            </w:r>
          </w:p>
        </w:tc>
        <w:tc>
          <w:tcPr>
            <w:tcW w:w="577" w:type="pct"/>
            <w:gridSpan w:val="4"/>
            <w:tcBorders>
              <w:top w:val="nil"/>
              <w:left w:val="nil"/>
              <w:bottom w:val="nil"/>
              <w:right w:val="nil"/>
            </w:tcBorders>
          </w:tcPr>
          <w:p w:rsidR="00897C1E" w:rsidRPr="00911315" w:rsidRDefault="00897C1E" w:rsidP="00F104E9">
            <w:pPr>
              <w:pStyle w:val="braytabletext"/>
              <w:jc w:val="right"/>
              <w:rPr>
                <w:szCs w:val="16"/>
              </w:rPr>
            </w:pPr>
            <w:r w:rsidRPr="00911315">
              <w:rPr>
                <w:szCs w:val="16"/>
              </w:rPr>
              <w:t>84.9</w:t>
            </w:r>
          </w:p>
        </w:tc>
      </w:tr>
      <w:tr w:rsidR="00897C1E" w:rsidRPr="00911315" w:rsidTr="008E57A0">
        <w:trPr>
          <w:gridBefore w:val="2"/>
          <w:wBefore w:w="24" w:type="pct"/>
          <w:trHeight w:val="290"/>
          <w:jc w:val="right"/>
        </w:trPr>
        <w:tc>
          <w:tcPr>
            <w:tcW w:w="993" w:type="pct"/>
            <w:tcBorders>
              <w:top w:val="nil"/>
              <w:left w:val="nil"/>
              <w:bottom w:val="nil"/>
              <w:right w:val="nil"/>
            </w:tcBorders>
          </w:tcPr>
          <w:p w:rsidR="00897C1E" w:rsidRPr="00911315" w:rsidRDefault="00897C1E" w:rsidP="00F104E9">
            <w:pPr>
              <w:pStyle w:val="braytabletext"/>
              <w:rPr>
                <w:szCs w:val="16"/>
              </w:rPr>
            </w:pPr>
            <w:r w:rsidRPr="00911315">
              <w:rPr>
                <w:szCs w:val="16"/>
              </w:rPr>
              <w:t>A bit of a problem</w:t>
            </w:r>
          </w:p>
        </w:tc>
        <w:tc>
          <w:tcPr>
            <w:tcW w:w="576" w:type="pct"/>
            <w:gridSpan w:val="2"/>
            <w:tcBorders>
              <w:top w:val="nil"/>
              <w:left w:val="nil"/>
              <w:bottom w:val="nil"/>
              <w:right w:val="nil"/>
            </w:tcBorders>
          </w:tcPr>
          <w:p w:rsidR="00897C1E" w:rsidRPr="00911315" w:rsidRDefault="00897C1E" w:rsidP="00F104E9">
            <w:pPr>
              <w:pStyle w:val="braytabletext"/>
              <w:jc w:val="right"/>
              <w:rPr>
                <w:szCs w:val="16"/>
              </w:rPr>
            </w:pPr>
            <w:r w:rsidRPr="00911315">
              <w:rPr>
                <w:szCs w:val="16"/>
              </w:rPr>
              <w:t>14.2</w:t>
            </w:r>
          </w:p>
        </w:tc>
        <w:tc>
          <w:tcPr>
            <w:tcW w:w="564"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8.2</w:t>
            </w:r>
          </w:p>
        </w:tc>
        <w:tc>
          <w:tcPr>
            <w:tcW w:w="167" w:type="pct"/>
            <w:tcBorders>
              <w:top w:val="nil"/>
              <w:left w:val="nil"/>
              <w:bottom w:val="nil"/>
              <w:right w:val="nil"/>
            </w:tcBorders>
          </w:tcPr>
          <w:p w:rsidR="00897C1E" w:rsidRPr="00911315" w:rsidRDefault="00897C1E" w:rsidP="00F104E9">
            <w:pPr>
              <w:pStyle w:val="braytabletext"/>
              <w:jc w:val="right"/>
              <w:rPr>
                <w:szCs w:val="16"/>
              </w:rPr>
            </w:pPr>
          </w:p>
        </w:tc>
        <w:tc>
          <w:tcPr>
            <w:tcW w:w="483"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14.9</w:t>
            </w:r>
          </w:p>
        </w:tc>
        <w:tc>
          <w:tcPr>
            <w:tcW w:w="400"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34.6</w:t>
            </w:r>
          </w:p>
        </w:tc>
        <w:tc>
          <w:tcPr>
            <w:tcW w:w="163" w:type="pct"/>
            <w:gridSpan w:val="2"/>
            <w:tcBorders>
              <w:top w:val="nil"/>
              <w:left w:val="nil"/>
              <w:bottom w:val="nil"/>
              <w:right w:val="nil"/>
            </w:tcBorders>
          </w:tcPr>
          <w:p w:rsidR="00897C1E" w:rsidRPr="00911315" w:rsidRDefault="00897C1E" w:rsidP="00F104E9">
            <w:pPr>
              <w:pStyle w:val="braytabletext"/>
              <w:jc w:val="right"/>
              <w:rPr>
                <w:szCs w:val="16"/>
              </w:rPr>
            </w:pPr>
          </w:p>
        </w:tc>
        <w:tc>
          <w:tcPr>
            <w:tcW w:w="483" w:type="pct"/>
            <w:gridSpan w:val="3"/>
            <w:tcBorders>
              <w:top w:val="nil"/>
              <w:left w:val="nil"/>
              <w:bottom w:val="nil"/>
              <w:right w:val="nil"/>
            </w:tcBorders>
          </w:tcPr>
          <w:p w:rsidR="00897C1E" w:rsidRPr="00911315" w:rsidRDefault="00897C1E" w:rsidP="00F104E9">
            <w:pPr>
              <w:pStyle w:val="braytabletext"/>
              <w:jc w:val="right"/>
              <w:rPr>
                <w:szCs w:val="16"/>
              </w:rPr>
            </w:pPr>
            <w:r w:rsidRPr="00911315">
              <w:rPr>
                <w:szCs w:val="16"/>
              </w:rPr>
              <w:t>2.7</w:t>
            </w:r>
          </w:p>
        </w:tc>
        <w:tc>
          <w:tcPr>
            <w:tcW w:w="166" w:type="pct"/>
            <w:gridSpan w:val="2"/>
            <w:tcBorders>
              <w:top w:val="nil"/>
              <w:left w:val="nil"/>
              <w:bottom w:val="nil"/>
              <w:right w:val="nil"/>
            </w:tcBorders>
          </w:tcPr>
          <w:p w:rsidR="00897C1E" w:rsidRPr="00911315" w:rsidRDefault="00897C1E" w:rsidP="00F104E9">
            <w:pPr>
              <w:pStyle w:val="braytabletext"/>
              <w:jc w:val="right"/>
              <w:rPr>
                <w:szCs w:val="16"/>
              </w:rPr>
            </w:pPr>
          </w:p>
        </w:tc>
        <w:tc>
          <w:tcPr>
            <w:tcW w:w="403" w:type="pct"/>
            <w:gridSpan w:val="2"/>
            <w:tcBorders>
              <w:top w:val="nil"/>
              <w:left w:val="nil"/>
              <w:bottom w:val="nil"/>
              <w:right w:val="nil"/>
            </w:tcBorders>
          </w:tcPr>
          <w:p w:rsidR="00897C1E" w:rsidRPr="00911315" w:rsidRDefault="00897C1E" w:rsidP="00F104E9">
            <w:pPr>
              <w:pStyle w:val="braytabletext"/>
              <w:jc w:val="right"/>
              <w:rPr>
                <w:szCs w:val="16"/>
              </w:rPr>
            </w:pPr>
            <w:r w:rsidRPr="00911315">
              <w:rPr>
                <w:szCs w:val="16"/>
              </w:rPr>
              <w:t>21.7</w:t>
            </w:r>
          </w:p>
        </w:tc>
        <w:tc>
          <w:tcPr>
            <w:tcW w:w="577" w:type="pct"/>
            <w:gridSpan w:val="4"/>
            <w:tcBorders>
              <w:top w:val="nil"/>
              <w:left w:val="nil"/>
              <w:bottom w:val="nil"/>
              <w:right w:val="nil"/>
            </w:tcBorders>
          </w:tcPr>
          <w:p w:rsidR="00897C1E" w:rsidRPr="00911315" w:rsidRDefault="00897C1E" w:rsidP="00F104E9">
            <w:pPr>
              <w:pStyle w:val="braytabletext"/>
              <w:jc w:val="right"/>
              <w:rPr>
                <w:szCs w:val="16"/>
              </w:rPr>
            </w:pPr>
            <w:r w:rsidRPr="00911315">
              <w:rPr>
                <w:szCs w:val="16"/>
              </w:rPr>
              <w:t>11.3</w:t>
            </w:r>
          </w:p>
        </w:tc>
      </w:tr>
      <w:tr w:rsidR="00897C1E" w:rsidRPr="00911315" w:rsidTr="008E57A0">
        <w:trPr>
          <w:gridBefore w:val="2"/>
          <w:wBefore w:w="24" w:type="pct"/>
          <w:trHeight w:val="290"/>
          <w:jc w:val="right"/>
        </w:trPr>
        <w:tc>
          <w:tcPr>
            <w:tcW w:w="993" w:type="pct"/>
            <w:tcBorders>
              <w:top w:val="nil"/>
              <w:left w:val="nil"/>
              <w:bottom w:val="nil"/>
              <w:right w:val="nil"/>
            </w:tcBorders>
          </w:tcPr>
          <w:p w:rsidR="00897C1E" w:rsidRPr="00911315" w:rsidRDefault="00897C1E" w:rsidP="00F104E9">
            <w:pPr>
              <w:pStyle w:val="braytabletext"/>
              <w:rPr>
                <w:szCs w:val="16"/>
              </w:rPr>
            </w:pPr>
            <w:r w:rsidRPr="00911315">
              <w:rPr>
                <w:szCs w:val="16"/>
              </w:rPr>
              <w:t>A very big problem</w:t>
            </w:r>
          </w:p>
        </w:tc>
        <w:tc>
          <w:tcPr>
            <w:tcW w:w="576" w:type="pct"/>
            <w:gridSpan w:val="2"/>
            <w:tcBorders>
              <w:top w:val="nil"/>
              <w:left w:val="nil"/>
              <w:bottom w:val="nil"/>
              <w:right w:val="nil"/>
            </w:tcBorders>
          </w:tcPr>
          <w:p w:rsidR="00897C1E" w:rsidRPr="00911315" w:rsidRDefault="00897C1E" w:rsidP="00F104E9">
            <w:pPr>
              <w:pStyle w:val="braytabletext"/>
              <w:jc w:val="right"/>
              <w:rPr>
                <w:szCs w:val="16"/>
              </w:rPr>
            </w:pPr>
            <w:r w:rsidRPr="00911315">
              <w:rPr>
                <w:szCs w:val="16"/>
              </w:rPr>
              <w:t>11.9</w:t>
            </w:r>
          </w:p>
        </w:tc>
        <w:tc>
          <w:tcPr>
            <w:tcW w:w="564"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1.9</w:t>
            </w:r>
          </w:p>
        </w:tc>
        <w:tc>
          <w:tcPr>
            <w:tcW w:w="167" w:type="pct"/>
            <w:tcBorders>
              <w:top w:val="nil"/>
              <w:left w:val="nil"/>
              <w:bottom w:val="nil"/>
              <w:right w:val="nil"/>
            </w:tcBorders>
          </w:tcPr>
          <w:p w:rsidR="00897C1E" w:rsidRPr="00911315" w:rsidRDefault="00897C1E" w:rsidP="00F104E9">
            <w:pPr>
              <w:pStyle w:val="braytabletext"/>
              <w:jc w:val="right"/>
              <w:rPr>
                <w:szCs w:val="16"/>
              </w:rPr>
            </w:pPr>
          </w:p>
        </w:tc>
        <w:tc>
          <w:tcPr>
            <w:tcW w:w="483"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6.6</w:t>
            </w:r>
          </w:p>
        </w:tc>
        <w:tc>
          <w:tcPr>
            <w:tcW w:w="400"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19.2</w:t>
            </w:r>
          </w:p>
        </w:tc>
        <w:tc>
          <w:tcPr>
            <w:tcW w:w="163" w:type="pct"/>
            <w:gridSpan w:val="2"/>
            <w:tcBorders>
              <w:top w:val="nil"/>
              <w:left w:val="nil"/>
              <w:bottom w:val="nil"/>
              <w:right w:val="nil"/>
            </w:tcBorders>
          </w:tcPr>
          <w:p w:rsidR="00897C1E" w:rsidRPr="00911315" w:rsidRDefault="00897C1E" w:rsidP="00F104E9">
            <w:pPr>
              <w:pStyle w:val="braytabletext"/>
              <w:jc w:val="right"/>
              <w:rPr>
                <w:szCs w:val="16"/>
              </w:rPr>
            </w:pPr>
          </w:p>
        </w:tc>
        <w:tc>
          <w:tcPr>
            <w:tcW w:w="483" w:type="pct"/>
            <w:gridSpan w:val="3"/>
            <w:tcBorders>
              <w:top w:val="nil"/>
              <w:left w:val="nil"/>
              <w:bottom w:val="nil"/>
              <w:right w:val="nil"/>
            </w:tcBorders>
          </w:tcPr>
          <w:p w:rsidR="00897C1E" w:rsidRPr="00911315" w:rsidRDefault="00897C1E" w:rsidP="00F104E9">
            <w:pPr>
              <w:pStyle w:val="braytabletext"/>
              <w:jc w:val="right"/>
              <w:rPr>
                <w:szCs w:val="16"/>
              </w:rPr>
            </w:pPr>
            <w:r w:rsidRPr="00911315">
              <w:rPr>
                <w:szCs w:val="16"/>
              </w:rPr>
              <w:t>0.5</w:t>
            </w:r>
          </w:p>
        </w:tc>
        <w:tc>
          <w:tcPr>
            <w:tcW w:w="166" w:type="pct"/>
            <w:gridSpan w:val="2"/>
            <w:tcBorders>
              <w:top w:val="nil"/>
              <w:left w:val="nil"/>
              <w:bottom w:val="nil"/>
              <w:right w:val="nil"/>
            </w:tcBorders>
          </w:tcPr>
          <w:p w:rsidR="00897C1E" w:rsidRPr="00911315" w:rsidRDefault="00897C1E" w:rsidP="00F104E9">
            <w:pPr>
              <w:pStyle w:val="braytabletext"/>
              <w:jc w:val="right"/>
              <w:rPr>
                <w:szCs w:val="16"/>
              </w:rPr>
            </w:pPr>
          </w:p>
        </w:tc>
        <w:tc>
          <w:tcPr>
            <w:tcW w:w="403" w:type="pct"/>
            <w:gridSpan w:val="2"/>
            <w:tcBorders>
              <w:top w:val="nil"/>
              <w:left w:val="nil"/>
              <w:bottom w:val="nil"/>
              <w:right w:val="nil"/>
            </w:tcBorders>
          </w:tcPr>
          <w:p w:rsidR="00897C1E" w:rsidRPr="00911315" w:rsidRDefault="00897C1E" w:rsidP="00F104E9">
            <w:pPr>
              <w:pStyle w:val="braytabletext"/>
              <w:jc w:val="right"/>
              <w:rPr>
                <w:szCs w:val="16"/>
              </w:rPr>
            </w:pPr>
            <w:r w:rsidRPr="00911315">
              <w:rPr>
                <w:szCs w:val="16"/>
              </w:rPr>
              <w:t>14.1</w:t>
            </w:r>
          </w:p>
        </w:tc>
        <w:tc>
          <w:tcPr>
            <w:tcW w:w="577" w:type="pct"/>
            <w:gridSpan w:val="4"/>
            <w:tcBorders>
              <w:top w:val="nil"/>
              <w:left w:val="nil"/>
              <w:bottom w:val="nil"/>
              <w:right w:val="nil"/>
            </w:tcBorders>
          </w:tcPr>
          <w:p w:rsidR="00897C1E" w:rsidRPr="00911315" w:rsidRDefault="00897C1E" w:rsidP="00F104E9">
            <w:pPr>
              <w:pStyle w:val="braytabletext"/>
              <w:jc w:val="right"/>
              <w:rPr>
                <w:szCs w:val="16"/>
              </w:rPr>
            </w:pPr>
            <w:r w:rsidRPr="00911315">
              <w:rPr>
                <w:szCs w:val="16"/>
              </w:rPr>
              <w:t>3.8</w:t>
            </w:r>
          </w:p>
        </w:tc>
      </w:tr>
      <w:tr w:rsidR="00897C1E" w:rsidRPr="00911315" w:rsidTr="008E57A0">
        <w:trPr>
          <w:gridBefore w:val="2"/>
          <w:wBefore w:w="24" w:type="pct"/>
          <w:trHeight w:val="290"/>
          <w:jc w:val="right"/>
        </w:trPr>
        <w:tc>
          <w:tcPr>
            <w:tcW w:w="993" w:type="pct"/>
            <w:tcBorders>
              <w:top w:val="nil"/>
              <w:left w:val="nil"/>
              <w:bottom w:val="single" w:sz="4" w:space="0" w:color="auto"/>
              <w:right w:val="nil"/>
            </w:tcBorders>
          </w:tcPr>
          <w:p w:rsidR="00897C1E" w:rsidRPr="00911315" w:rsidRDefault="00897C1E" w:rsidP="00F104E9">
            <w:pPr>
              <w:pStyle w:val="braytabletext"/>
              <w:rPr>
                <w:szCs w:val="16"/>
              </w:rPr>
            </w:pPr>
            <w:r w:rsidRPr="00911315">
              <w:rPr>
                <w:szCs w:val="16"/>
              </w:rPr>
              <w:t xml:space="preserve">Total </w:t>
            </w:r>
          </w:p>
        </w:tc>
        <w:tc>
          <w:tcPr>
            <w:tcW w:w="576" w:type="pct"/>
            <w:gridSpan w:val="2"/>
            <w:tcBorders>
              <w:top w:val="nil"/>
              <w:left w:val="nil"/>
              <w:bottom w:val="single" w:sz="4" w:space="0" w:color="auto"/>
              <w:right w:val="nil"/>
            </w:tcBorders>
          </w:tcPr>
          <w:p w:rsidR="00897C1E" w:rsidRPr="00911315" w:rsidRDefault="00897C1E" w:rsidP="00F104E9">
            <w:pPr>
              <w:pStyle w:val="braytabletext"/>
              <w:jc w:val="right"/>
              <w:rPr>
                <w:szCs w:val="16"/>
              </w:rPr>
            </w:pPr>
            <w:r w:rsidRPr="00911315">
              <w:rPr>
                <w:szCs w:val="16"/>
              </w:rPr>
              <w:t>100.0</w:t>
            </w:r>
          </w:p>
        </w:tc>
        <w:tc>
          <w:tcPr>
            <w:tcW w:w="564" w:type="pct"/>
            <w:tcBorders>
              <w:top w:val="nil"/>
              <w:left w:val="nil"/>
              <w:bottom w:val="single" w:sz="4" w:space="0" w:color="auto"/>
              <w:right w:val="nil"/>
            </w:tcBorders>
          </w:tcPr>
          <w:p w:rsidR="00897C1E" w:rsidRPr="00911315" w:rsidRDefault="00897C1E" w:rsidP="00F104E9">
            <w:pPr>
              <w:pStyle w:val="braytabletext"/>
              <w:jc w:val="right"/>
              <w:rPr>
                <w:szCs w:val="16"/>
              </w:rPr>
            </w:pPr>
            <w:r w:rsidRPr="00911315">
              <w:rPr>
                <w:szCs w:val="16"/>
              </w:rPr>
              <w:t>100.0</w:t>
            </w:r>
          </w:p>
        </w:tc>
        <w:tc>
          <w:tcPr>
            <w:tcW w:w="167" w:type="pct"/>
            <w:tcBorders>
              <w:top w:val="nil"/>
              <w:left w:val="nil"/>
              <w:bottom w:val="single" w:sz="4" w:space="0" w:color="auto"/>
              <w:right w:val="nil"/>
            </w:tcBorders>
          </w:tcPr>
          <w:p w:rsidR="00897C1E" w:rsidRPr="00911315" w:rsidRDefault="00897C1E" w:rsidP="00F104E9">
            <w:pPr>
              <w:pStyle w:val="braytabletext"/>
              <w:jc w:val="right"/>
              <w:rPr>
                <w:szCs w:val="16"/>
              </w:rPr>
            </w:pPr>
          </w:p>
        </w:tc>
        <w:tc>
          <w:tcPr>
            <w:tcW w:w="483" w:type="pct"/>
            <w:tcBorders>
              <w:top w:val="nil"/>
              <w:left w:val="nil"/>
              <w:bottom w:val="single" w:sz="4" w:space="0" w:color="auto"/>
              <w:right w:val="nil"/>
            </w:tcBorders>
          </w:tcPr>
          <w:p w:rsidR="00897C1E" w:rsidRPr="00911315" w:rsidRDefault="00897C1E" w:rsidP="00F104E9">
            <w:pPr>
              <w:pStyle w:val="braytabletext"/>
              <w:jc w:val="right"/>
              <w:rPr>
                <w:szCs w:val="16"/>
              </w:rPr>
            </w:pPr>
            <w:r w:rsidRPr="00911315">
              <w:rPr>
                <w:szCs w:val="16"/>
              </w:rPr>
              <w:t>100.0</w:t>
            </w:r>
          </w:p>
        </w:tc>
        <w:tc>
          <w:tcPr>
            <w:tcW w:w="400" w:type="pct"/>
            <w:tcBorders>
              <w:top w:val="nil"/>
              <w:left w:val="nil"/>
              <w:bottom w:val="single" w:sz="4" w:space="0" w:color="auto"/>
              <w:right w:val="nil"/>
            </w:tcBorders>
          </w:tcPr>
          <w:p w:rsidR="00897C1E" w:rsidRPr="00911315" w:rsidRDefault="00897C1E" w:rsidP="00F104E9">
            <w:pPr>
              <w:pStyle w:val="braytabletext"/>
              <w:jc w:val="right"/>
              <w:rPr>
                <w:szCs w:val="16"/>
              </w:rPr>
            </w:pPr>
            <w:r w:rsidRPr="00911315">
              <w:rPr>
                <w:szCs w:val="16"/>
              </w:rPr>
              <w:t>100.0</w:t>
            </w:r>
          </w:p>
        </w:tc>
        <w:tc>
          <w:tcPr>
            <w:tcW w:w="163" w:type="pct"/>
            <w:gridSpan w:val="2"/>
            <w:tcBorders>
              <w:top w:val="nil"/>
              <w:left w:val="nil"/>
              <w:bottom w:val="single" w:sz="4" w:space="0" w:color="auto"/>
              <w:right w:val="nil"/>
            </w:tcBorders>
          </w:tcPr>
          <w:p w:rsidR="00897C1E" w:rsidRPr="00911315" w:rsidRDefault="00897C1E" w:rsidP="00F104E9">
            <w:pPr>
              <w:pStyle w:val="braytabletext"/>
              <w:jc w:val="right"/>
              <w:rPr>
                <w:szCs w:val="16"/>
              </w:rPr>
            </w:pPr>
          </w:p>
        </w:tc>
        <w:tc>
          <w:tcPr>
            <w:tcW w:w="483" w:type="pct"/>
            <w:gridSpan w:val="3"/>
            <w:tcBorders>
              <w:top w:val="nil"/>
              <w:left w:val="nil"/>
              <w:bottom w:val="single" w:sz="4" w:space="0" w:color="auto"/>
              <w:right w:val="nil"/>
            </w:tcBorders>
          </w:tcPr>
          <w:p w:rsidR="00897C1E" w:rsidRPr="00911315" w:rsidRDefault="00897C1E" w:rsidP="00F104E9">
            <w:pPr>
              <w:pStyle w:val="braytabletext"/>
              <w:jc w:val="right"/>
              <w:rPr>
                <w:szCs w:val="16"/>
              </w:rPr>
            </w:pPr>
            <w:r w:rsidRPr="00911315">
              <w:rPr>
                <w:szCs w:val="16"/>
              </w:rPr>
              <w:t>100.0</w:t>
            </w:r>
          </w:p>
        </w:tc>
        <w:tc>
          <w:tcPr>
            <w:tcW w:w="166" w:type="pct"/>
            <w:gridSpan w:val="2"/>
            <w:tcBorders>
              <w:top w:val="nil"/>
              <w:left w:val="nil"/>
              <w:bottom w:val="single" w:sz="4" w:space="0" w:color="auto"/>
              <w:right w:val="nil"/>
            </w:tcBorders>
          </w:tcPr>
          <w:p w:rsidR="00897C1E" w:rsidRPr="00911315" w:rsidRDefault="00897C1E" w:rsidP="00F104E9">
            <w:pPr>
              <w:pStyle w:val="braytabletext"/>
              <w:jc w:val="right"/>
              <w:rPr>
                <w:szCs w:val="16"/>
              </w:rPr>
            </w:pPr>
          </w:p>
        </w:tc>
        <w:tc>
          <w:tcPr>
            <w:tcW w:w="403" w:type="pct"/>
            <w:gridSpan w:val="2"/>
            <w:tcBorders>
              <w:top w:val="nil"/>
              <w:left w:val="nil"/>
              <w:bottom w:val="single" w:sz="4" w:space="0" w:color="auto"/>
              <w:right w:val="nil"/>
            </w:tcBorders>
          </w:tcPr>
          <w:p w:rsidR="00897C1E" w:rsidRPr="00911315" w:rsidRDefault="00897C1E" w:rsidP="00F104E9">
            <w:pPr>
              <w:pStyle w:val="braytabletext"/>
              <w:jc w:val="right"/>
              <w:rPr>
                <w:szCs w:val="16"/>
              </w:rPr>
            </w:pPr>
            <w:r w:rsidRPr="00911315">
              <w:rPr>
                <w:szCs w:val="16"/>
              </w:rPr>
              <w:t>100.0</w:t>
            </w:r>
          </w:p>
        </w:tc>
        <w:tc>
          <w:tcPr>
            <w:tcW w:w="577" w:type="pct"/>
            <w:gridSpan w:val="4"/>
            <w:tcBorders>
              <w:top w:val="nil"/>
              <w:left w:val="nil"/>
              <w:bottom w:val="single" w:sz="4" w:space="0" w:color="auto"/>
              <w:right w:val="nil"/>
            </w:tcBorders>
          </w:tcPr>
          <w:p w:rsidR="00897C1E" w:rsidRPr="00911315" w:rsidRDefault="00897C1E" w:rsidP="00F104E9">
            <w:pPr>
              <w:pStyle w:val="braytabletext"/>
              <w:jc w:val="right"/>
              <w:rPr>
                <w:szCs w:val="16"/>
              </w:rPr>
            </w:pPr>
            <w:r w:rsidRPr="00911315">
              <w:rPr>
                <w:szCs w:val="16"/>
              </w:rPr>
              <w:t>100.0</w:t>
            </w:r>
          </w:p>
        </w:tc>
      </w:tr>
      <w:tr w:rsidR="00897C1E" w:rsidRPr="00911315" w:rsidTr="008E57A0">
        <w:trPr>
          <w:gridBefore w:val="2"/>
          <w:wBefore w:w="24" w:type="pct"/>
          <w:trHeight w:val="290"/>
          <w:jc w:val="right"/>
        </w:trPr>
        <w:tc>
          <w:tcPr>
            <w:tcW w:w="993" w:type="pct"/>
            <w:tcBorders>
              <w:top w:val="single" w:sz="4" w:space="0" w:color="auto"/>
              <w:left w:val="nil"/>
              <w:bottom w:val="nil"/>
              <w:right w:val="nil"/>
            </w:tcBorders>
          </w:tcPr>
          <w:p w:rsidR="00897C1E" w:rsidRPr="00911315" w:rsidRDefault="00897C1E" w:rsidP="00F104E9">
            <w:pPr>
              <w:pStyle w:val="braytabletext"/>
              <w:rPr>
                <w:szCs w:val="16"/>
              </w:rPr>
            </w:pPr>
            <w:r w:rsidRPr="00911315">
              <w:rPr>
                <w:szCs w:val="16"/>
              </w:rPr>
              <w:t>Gambling</w:t>
            </w:r>
          </w:p>
        </w:tc>
        <w:tc>
          <w:tcPr>
            <w:tcW w:w="576" w:type="pct"/>
            <w:gridSpan w:val="2"/>
            <w:tcBorders>
              <w:top w:val="single" w:sz="4" w:space="0" w:color="auto"/>
              <w:left w:val="nil"/>
              <w:bottom w:val="nil"/>
              <w:right w:val="nil"/>
            </w:tcBorders>
          </w:tcPr>
          <w:p w:rsidR="00897C1E" w:rsidRPr="00911315" w:rsidRDefault="00897C1E" w:rsidP="00F104E9">
            <w:pPr>
              <w:pStyle w:val="braytabletext"/>
              <w:jc w:val="right"/>
              <w:rPr>
                <w:szCs w:val="16"/>
              </w:rPr>
            </w:pPr>
          </w:p>
        </w:tc>
        <w:tc>
          <w:tcPr>
            <w:tcW w:w="564" w:type="pct"/>
            <w:tcBorders>
              <w:top w:val="single" w:sz="4" w:space="0" w:color="auto"/>
              <w:left w:val="nil"/>
              <w:bottom w:val="nil"/>
              <w:right w:val="nil"/>
            </w:tcBorders>
          </w:tcPr>
          <w:p w:rsidR="00897C1E" w:rsidRPr="00911315" w:rsidRDefault="00897C1E" w:rsidP="00F104E9">
            <w:pPr>
              <w:pStyle w:val="braytabletext"/>
              <w:jc w:val="right"/>
              <w:rPr>
                <w:szCs w:val="16"/>
              </w:rPr>
            </w:pPr>
          </w:p>
        </w:tc>
        <w:tc>
          <w:tcPr>
            <w:tcW w:w="167" w:type="pct"/>
            <w:tcBorders>
              <w:top w:val="single" w:sz="4" w:space="0" w:color="auto"/>
              <w:left w:val="nil"/>
              <w:bottom w:val="nil"/>
              <w:right w:val="nil"/>
            </w:tcBorders>
          </w:tcPr>
          <w:p w:rsidR="00897C1E" w:rsidRPr="00911315" w:rsidRDefault="00897C1E" w:rsidP="00F104E9">
            <w:pPr>
              <w:pStyle w:val="braytabletext"/>
              <w:jc w:val="right"/>
              <w:rPr>
                <w:szCs w:val="16"/>
              </w:rPr>
            </w:pPr>
          </w:p>
        </w:tc>
        <w:tc>
          <w:tcPr>
            <w:tcW w:w="483" w:type="pct"/>
            <w:tcBorders>
              <w:top w:val="single" w:sz="4" w:space="0" w:color="auto"/>
              <w:left w:val="nil"/>
              <w:bottom w:val="nil"/>
              <w:right w:val="nil"/>
            </w:tcBorders>
          </w:tcPr>
          <w:p w:rsidR="00897C1E" w:rsidRPr="00911315" w:rsidRDefault="00897C1E" w:rsidP="00F104E9">
            <w:pPr>
              <w:pStyle w:val="braytabletext"/>
              <w:jc w:val="right"/>
              <w:rPr>
                <w:szCs w:val="16"/>
              </w:rPr>
            </w:pPr>
          </w:p>
        </w:tc>
        <w:tc>
          <w:tcPr>
            <w:tcW w:w="400" w:type="pct"/>
            <w:tcBorders>
              <w:top w:val="single" w:sz="4" w:space="0" w:color="auto"/>
              <w:left w:val="nil"/>
              <w:bottom w:val="nil"/>
              <w:right w:val="nil"/>
            </w:tcBorders>
          </w:tcPr>
          <w:p w:rsidR="00897C1E" w:rsidRPr="00911315" w:rsidRDefault="00897C1E" w:rsidP="00F104E9">
            <w:pPr>
              <w:pStyle w:val="braytabletext"/>
              <w:jc w:val="right"/>
              <w:rPr>
                <w:szCs w:val="16"/>
              </w:rPr>
            </w:pPr>
          </w:p>
        </w:tc>
        <w:tc>
          <w:tcPr>
            <w:tcW w:w="163" w:type="pct"/>
            <w:gridSpan w:val="2"/>
            <w:tcBorders>
              <w:top w:val="single" w:sz="4" w:space="0" w:color="auto"/>
              <w:left w:val="nil"/>
              <w:bottom w:val="nil"/>
              <w:right w:val="nil"/>
            </w:tcBorders>
          </w:tcPr>
          <w:p w:rsidR="00897C1E" w:rsidRPr="00911315" w:rsidRDefault="00897C1E" w:rsidP="00F104E9">
            <w:pPr>
              <w:pStyle w:val="braytabletext"/>
              <w:jc w:val="right"/>
              <w:rPr>
                <w:szCs w:val="16"/>
              </w:rPr>
            </w:pPr>
          </w:p>
        </w:tc>
        <w:tc>
          <w:tcPr>
            <w:tcW w:w="483" w:type="pct"/>
            <w:gridSpan w:val="3"/>
            <w:tcBorders>
              <w:top w:val="single" w:sz="4" w:space="0" w:color="auto"/>
              <w:left w:val="nil"/>
              <w:bottom w:val="nil"/>
              <w:right w:val="nil"/>
            </w:tcBorders>
          </w:tcPr>
          <w:p w:rsidR="00897C1E" w:rsidRPr="00911315" w:rsidRDefault="00897C1E" w:rsidP="00F104E9">
            <w:pPr>
              <w:pStyle w:val="braytabletext"/>
              <w:jc w:val="right"/>
              <w:rPr>
                <w:szCs w:val="16"/>
              </w:rPr>
            </w:pPr>
          </w:p>
        </w:tc>
        <w:tc>
          <w:tcPr>
            <w:tcW w:w="166" w:type="pct"/>
            <w:gridSpan w:val="2"/>
            <w:tcBorders>
              <w:top w:val="single" w:sz="4" w:space="0" w:color="auto"/>
              <w:left w:val="nil"/>
              <w:bottom w:val="nil"/>
              <w:right w:val="nil"/>
            </w:tcBorders>
          </w:tcPr>
          <w:p w:rsidR="00897C1E" w:rsidRPr="00911315" w:rsidRDefault="00897C1E" w:rsidP="00F104E9">
            <w:pPr>
              <w:pStyle w:val="braytabletext"/>
              <w:jc w:val="right"/>
              <w:rPr>
                <w:szCs w:val="16"/>
              </w:rPr>
            </w:pPr>
          </w:p>
        </w:tc>
        <w:tc>
          <w:tcPr>
            <w:tcW w:w="403" w:type="pct"/>
            <w:gridSpan w:val="2"/>
            <w:tcBorders>
              <w:top w:val="single" w:sz="4" w:space="0" w:color="auto"/>
              <w:left w:val="nil"/>
              <w:bottom w:val="nil"/>
              <w:right w:val="nil"/>
            </w:tcBorders>
          </w:tcPr>
          <w:p w:rsidR="00897C1E" w:rsidRPr="00911315" w:rsidRDefault="00897C1E" w:rsidP="00F104E9">
            <w:pPr>
              <w:pStyle w:val="braytabletext"/>
              <w:jc w:val="right"/>
              <w:rPr>
                <w:szCs w:val="16"/>
              </w:rPr>
            </w:pPr>
          </w:p>
        </w:tc>
        <w:tc>
          <w:tcPr>
            <w:tcW w:w="577" w:type="pct"/>
            <w:gridSpan w:val="4"/>
            <w:tcBorders>
              <w:top w:val="single" w:sz="4" w:space="0" w:color="auto"/>
              <w:left w:val="nil"/>
              <w:bottom w:val="nil"/>
              <w:right w:val="nil"/>
            </w:tcBorders>
          </w:tcPr>
          <w:p w:rsidR="00897C1E" w:rsidRPr="00911315" w:rsidRDefault="00897C1E" w:rsidP="00F104E9">
            <w:pPr>
              <w:pStyle w:val="braytabletext"/>
              <w:jc w:val="right"/>
              <w:rPr>
                <w:szCs w:val="16"/>
              </w:rPr>
            </w:pPr>
          </w:p>
        </w:tc>
      </w:tr>
      <w:tr w:rsidR="00897C1E" w:rsidRPr="00911315" w:rsidTr="008E57A0">
        <w:trPr>
          <w:gridBefore w:val="2"/>
          <w:wBefore w:w="24" w:type="pct"/>
          <w:trHeight w:val="290"/>
          <w:jc w:val="right"/>
        </w:trPr>
        <w:tc>
          <w:tcPr>
            <w:tcW w:w="993" w:type="pct"/>
            <w:tcBorders>
              <w:top w:val="nil"/>
              <w:left w:val="nil"/>
              <w:bottom w:val="nil"/>
              <w:right w:val="nil"/>
            </w:tcBorders>
          </w:tcPr>
          <w:p w:rsidR="00897C1E" w:rsidRPr="00911315" w:rsidRDefault="00897C1E" w:rsidP="00F104E9">
            <w:pPr>
              <w:pStyle w:val="braytabletext"/>
              <w:rPr>
                <w:szCs w:val="16"/>
              </w:rPr>
            </w:pPr>
            <w:r w:rsidRPr="00911315">
              <w:rPr>
                <w:szCs w:val="16"/>
              </w:rPr>
              <w:t>Not a problem</w:t>
            </w:r>
          </w:p>
        </w:tc>
        <w:tc>
          <w:tcPr>
            <w:tcW w:w="576" w:type="pct"/>
            <w:gridSpan w:val="2"/>
            <w:tcBorders>
              <w:top w:val="nil"/>
              <w:left w:val="nil"/>
              <w:bottom w:val="nil"/>
              <w:right w:val="nil"/>
            </w:tcBorders>
          </w:tcPr>
          <w:p w:rsidR="00897C1E" w:rsidRPr="00911315" w:rsidRDefault="00897C1E" w:rsidP="00F104E9">
            <w:pPr>
              <w:pStyle w:val="braytabletext"/>
              <w:jc w:val="right"/>
              <w:rPr>
                <w:szCs w:val="16"/>
              </w:rPr>
            </w:pPr>
            <w:r w:rsidRPr="00911315">
              <w:rPr>
                <w:szCs w:val="16"/>
              </w:rPr>
              <w:t>59.1</w:t>
            </w:r>
          </w:p>
        </w:tc>
        <w:tc>
          <w:tcPr>
            <w:tcW w:w="564"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89.6</w:t>
            </w:r>
          </w:p>
        </w:tc>
        <w:tc>
          <w:tcPr>
            <w:tcW w:w="167" w:type="pct"/>
            <w:tcBorders>
              <w:top w:val="nil"/>
              <w:left w:val="nil"/>
              <w:bottom w:val="nil"/>
              <w:right w:val="nil"/>
            </w:tcBorders>
          </w:tcPr>
          <w:p w:rsidR="00897C1E" w:rsidRPr="00911315" w:rsidRDefault="00897C1E" w:rsidP="00F104E9">
            <w:pPr>
              <w:pStyle w:val="braytabletext"/>
              <w:jc w:val="right"/>
              <w:rPr>
                <w:szCs w:val="16"/>
              </w:rPr>
            </w:pPr>
          </w:p>
        </w:tc>
        <w:tc>
          <w:tcPr>
            <w:tcW w:w="483"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69.2</w:t>
            </w:r>
          </w:p>
        </w:tc>
        <w:tc>
          <w:tcPr>
            <w:tcW w:w="400"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48.1</w:t>
            </w:r>
          </w:p>
        </w:tc>
        <w:tc>
          <w:tcPr>
            <w:tcW w:w="163" w:type="pct"/>
            <w:gridSpan w:val="2"/>
            <w:tcBorders>
              <w:top w:val="nil"/>
              <w:left w:val="nil"/>
              <w:bottom w:val="nil"/>
              <w:right w:val="nil"/>
            </w:tcBorders>
          </w:tcPr>
          <w:p w:rsidR="00897C1E" w:rsidRPr="00911315" w:rsidRDefault="00897C1E" w:rsidP="00F104E9">
            <w:pPr>
              <w:pStyle w:val="braytabletext"/>
              <w:jc w:val="right"/>
              <w:rPr>
                <w:szCs w:val="16"/>
              </w:rPr>
            </w:pPr>
          </w:p>
        </w:tc>
        <w:tc>
          <w:tcPr>
            <w:tcW w:w="483" w:type="pct"/>
            <w:gridSpan w:val="3"/>
            <w:tcBorders>
              <w:top w:val="nil"/>
              <w:left w:val="nil"/>
              <w:bottom w:val="nil"/>
              <w:right w:val="nil"/>
            </w:tcBorders>
          </w:tcPr>
          <w:p w:rsidR="00897C1E" w:rsidRPr="00911315" w:rsidRDefault="00897C1E" w:rsidP="00F104E9">
            <w:pPr>
              <w:pStyle w:val="braytabletext"/>
              <w:jc w:val="right"/>
              <w:rPr>
                <w:szCs w:val="16"/>
              </w:rPr>
            </w:pPr>
            <w:r w:rsidRPr="00911315">
              <w:rPr>
                <w:szCs w:val="16"/>
              </w:rPr>
              <w:t>98.4</w:t>
            </w:r>
          </w:p>
        </w:tc>
        <w:tc>
          <w:tcPr>
            <w:tcW w:w="166" w:type="pct"/>
            <w:gridSpan w:val="2"/>
            <w:tcBorders>
              <w:top w:val="nil"/>
              <w:left w:val="nil"/>
              <w:bottom w:val="nil"/>
              <w:right w:val="nil"/>
            </w:tcBorders>
          </w:tcPr>
          <w:p w:rsidR="00897C1E" w:rsidRPr="00911315" w:rsidRDefault="00897C1E" w:rsidP="00F104E9">
            <w:pPr>
              <w:pStyle w:val="braytabletext"/>
              <w:jc w:val="right"/>
              <w:rPr>
                <w:szCs w:val="16"/>
              </w:rPr>
            </w:pPr>
          </w:p>
        </w:tc>
        <w:tc>
          <w:tcPr>
            <w:tcW w:w="403" w:type="pct"/>
            <w:gridSpan w:val="2"/>
            <w:tcBorders>
              <w:top w:val="nil"/>
              <w:left w:val="nil"/>
              <w:bottom w:val="nil"/>
              <w:right w:val="nil"/>
            </w:tcBorders>
          </w:tcPr>
          <w:p w:rsidR="00897C1E" w:rsidRPr="00911315" w:rsidRDefault="00897C1E" w:rsidP="00F104E9">
            <w:pPr>
              <w:pStyle w:val="braytabletext"/>
              <w:jc w:val="right"/>
              <w:rPr>
                <w:szCs w:val="16"/>
              </w:rPr>
            </w:pPr>
            <w:r w:rsidRPr="00911315">
              <w:rPr>
                <w:szCs w:val="16"/>
              </w:rPr>
              <w:t>54.5</w:t>
            </w:r>
          </w:p>
        </w:tc>
        <w:tc>
          <w:tcPr>
            <w:tcW w:w="577" w:type="pct"/>
            <w:gridSpan w:val="4"/>
            <w:tcBorders>
              <w:top w:val="nil"/>
              <w:left w:val="nil"/>
              <w:bottom w:val="nil"/>
              <w:right w:val="nil"/>
            </w:tcBorders>
          </w:tcPr>
          <w:p w:rsidR="00897C1E" w:rsidRPr="00911315" w:rsidRDefault="00897C1E" w:rsidP="00F104E9">
            <w:pPr>
              <w:pStyle w:val="braytabletext"/>
              <w:jc w:val="right"/>
              <w:rPr>
                <w:szCs w:val="16"/>
              </w:rPr>
            </w:pPr>
            <w:r w:rsidRPr="00911315">
              <w:rPr>
                <w:szCs w:val="16"/>
              </w:rPr>
              <w:t>83.8</w:t>
            </w:r>
          </w:p>
        </w:tc>
      </w:tr>
      <w:tr w:rsidR="00897C1E" w:rsidRPr="00911315" w:rsidTr="008E57A0">
        <w:trPr>
          <w:gridBefore w:val="2"/>
          <w:wBefore w:w="24" w:type="pct"/>
          <w:trHeight w:val="290"/>
          <w:jc w:val="right"/>
        </w:trPr>
        <w:tc>
          <w:tcPr>
            <w:tcW w:w="993" w:type="pct"/>
            <w:tcBorders>
              <w:top w:val="nil"/>
              <w:left w:val="nil"/>
              <w:bottom w:val="nil"/>
              <w:right w:val="nil"/>
            </w:tcBorders>
          </w:tcPr>
          <w:p w:rsidR="00897C1E" w:rsidRPr="00911315" w:rsidRDefault="00897C1E" w:rsidP="00F104E9">
            <w:pPr>
              <w:pStyle w:val="braytabletext"/>
              <w:rPr>
                <w:szCs w:val="16"/>
              </w:rPr>
            </w:pPr>
            <w:r w:rsidRPr="00911315">
              <w:rPr>
                <w:szCs w:val="16"/>
              </w:rPr>
              <w:t>A bit of a problem</w:t>
            </w:r>
          </w:p>
        </w:tc>
        <w:tc>
          <w:tcPr>
            <w:tcW w:w="576" w:type="pct"/>
            <w:gridSpan w:val="2"/>
            <w:tcBorders>
              <w:top w:val="nil"/>
              <w:left w:val="nil"/>
              <w:bottom w:val="nil"/>
              <w:right w:val="nil"/>
            </w:tcBorders>
          </w:tcPr>
          <w:p w:rsidR="00897C1E" w:rsidRPr="00911315" w:rsidRDefault="00897C1E" w:rsidP="00F104E9">
            <w:pPr>
              <w:pStyle w:val="braytabletext"/>
              <w:jc w:val="right"/>
              <w:rPr>
                <w:szCs w:val="16"/>
              </w:rPr>
            </w:pPr>
            <w:r w:rsidRPr="00911315">
              <w:rPr>
                <w:szCs w:val="16"/>
              </w:rPr>
              <w:t>28.9</w:t>
            </w:r>
          </w:p>
        </w:tc>
        <w:tc>
          <w:tcPr>
            <w:tcW w:w="564"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9.2</w:t>
            </w:r>
          </w:p>
        </w:tc>
        <w:tc>
          <w:tcPr>
            <w:tcW w:w="167" w:type="pct"/>
            <w:tcBorders>
              <w:top w:val="nil"/>
              <w:left w:val="nil"/>
              <w:bottom w:val="nil"/>
              <w:right w:val="nil"/>
            </w:tcBorders>
          </w:tcPr>
          <w:p w:rsidR="00897C1E" w:rsidRPr="00911315" w:rsidRDefault="00897C1E" w:rsidP="00F104E9">
            <w:pPr>
              <w:pStyle w:val="braytabletext"/>
              <w:jc w:val="right"/>
              <w:rPr>
                <w:szCs w:val="16"/>
              </w:rPr>
            </w:pPr>
          </w:p>
        </w:tc>
        <w:tc>
          <w:tcPr>
            <w:tcW w:w="483"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23.3</w:t>
            </w:r>
          </w:p>
        </w:tc>
        <w:tc>
          <w:tcPr>
            <w:tcW w:w="400"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29.6</w:t>
            </w:r>
          </w:p>
        </w:tc>
        <w:tc>
          <w:tcPr>
            <w:tcW w:w="163" w:type="pct"/>
            <w:gridSpan w:val="2"/>
            <w:tcBorders>
              <w:top w:val="nil"/>
              <w:left w:val="nil"/>
              <w:bottom w:val="nil"/>
              <w:right w:val="nil"/>
            </w:tcBorders>
          </w:tcPr>
          <w:p w:rsidR="00897C1E" w:rsidRPr="00911315" w:rsidRDefault="00897C1E" w:rsidP="00F104E9">
            <w:pPr>
              <w:pStyle w:val="braytabletext"/>
              <w:jc w:val="right"/>
              <w:rPr>
                <w:szCs w:val="16"/>
              </w:rPr>
            </w:pPr>
          </w:p>
        </w:tc>
        <w:tc>
          <w:tcPr>
            <w:tcW w:w="483" w:type="pct"/>
            <w:gridSpan w:val="3"/>
            <w:tcBorders>
              <w:top w:val="nil"/>
              <w:left w:val="nil"/>
              <w:bottom w:val="nil"/>
              <w:right w:val="nil"/>
            </w:tcBorders>
          </w:tcPr>
          <w:p w:rsidR="00897C1E" w:rsidRPr="00911315" w:rsidRDefault="00897C1E" w:rsidP="00F104E9">
            <w:pPr>
              <w:pStyle w:val="braytabletext"/>
              <w:jc w:val="right"/>
              <w:rPr>
                <w:szCs w:val="16"/>
              </w:rPr>
            </w:pPr>
            <w:r w:rsidRPr="00911315">
              <w:rPr>
                <w:szCs w:val="16"/>
              </w:rPr>
              <w:t>1.1</w:t>
            </w:r>
          </w:p>
        </w:tc>
        <w:tc>
          <w:tcPr>
            <w:tcW w:w="166" w:type="pct"/>
            <w:gridSpan w:val="2"/>
            <w:tcBorders>
              <w:top w:val="nil"/>
              <w:left w:val="nil"/>
              <w:bottom w:val="nil"/>
              <w:right w:val="nil"/>
            </w:tcBorders>
          </w:tcPr>
          <w:p w:rsidR="00897C1E" w:rsidRPr="00911315" w:rsidRDefault="00897C1E" w:rsidP="00F104E9">
            <w:pPr>
              <w:pStyle w:val="braytabletext"/>
              <w:jc w:val="right"/>
              <w:rPr>
                <w:szCs w:val="16"/>
              </w:rPr>
            </w:pPr>
          </w:p>
        </w:tc>
        <w:tc>
          <w:tcPr>
            <w:tcW w:w="403" w:type="pct"/>
            <w:gridSpan w:val="2"/>
            <w:tcBorders>
              <w:top w:val="nil"/>
              <w:left w:val="nil"/>
              <w:bottom w:val="nil"/>
              <w:right w:val="nil"/>
            </w:tcBorders>
          </w:tcPr>
          <w:p w:rsidR="00897C1E" w:rsidRPr="00911315" w:rsidRDefault="00897C1E" w:rsidP="00F104E9">
            <w:pPr>
              <w:pStyle w:val="braytabletext"/>
              <w:jc w:val="right"/>
              <w:rPr>
                <w:szCs w:val="16"/>
              </w:rPr>
            </w:pPr>
            <w:r w:rsidRPr="00911315">
              <w:rPr>
                <w:szCs w:val="16"/>
              </w:rPr>
              <w:t>25.1</w:t>
            </w:r>
          </w:p>
        </w:tc>
        <w:tc>
          <w:tcPr>
            <w:tcW w:w="577" w:type="pct"/>
            <w:gridSpan w:val="4"/>
            <w:tcBorders>
              <w:top w:val="nil"/>
              <w:left w:val="nil"/>
              <w:bottom w:val="nil"/>
              <w:right w:val="nil"/>
            </w:tcBorders>
          </w:tcPr>
          <w:p w:rsidR="00897C1E" w:rsidRPr="00911315" w:rsidRDefault="00897C1E" w:rsidP="00F104E9">
            <w:pPr>
              <w:pStyle w:val="braytabletext"/>
              <w:jc w:val="right"/>
              <w:rPr>
                <w:szCs w:val="16"/>
              </w:rPr>
            </w:pPr>
            <w:r w:rsidRPr="00911315">
              <w:rPr>
                <w:szCs w:val="16"/>
              </w:rPr>
              <w:t>13.3</w:t>
            </w:r>
          </w:p>
        </w:tc>
      </w:tr>
      <w:tr w:rsidR="00897C1E" w:rsidRPr="00911315" w:rsidTr="008E57A0">
        <w:trPr>
          <w:gridBefore w:val="2"/>
          <w:wBefore w:w="24" w:type="pct"/>
          <w:trHeight w:val="290"/>
          <w:jc w:val="right"/>
        </w:trPr>
        <w:tc>
          <w:tcPr>
            <w:tcW w:w="993" w:type="pct"/>
            <w:tcBorders>
              <w:top w:val="nil"/>
              <w:left w:val="nil"/>
              <w:bottom w:val="nil"/>
              <w:right w:val="nil"/>
            </w:tcBorders>
          </w:tcPr>
          <w:p w:rsidR="00897C1E" w:rsidRPr="00911315" w:rsidRDefault="00897C1E" w:rsidP="00F104E9">
            <w:pPr>
              <w:pStyle w:val="braytabletext"/>
              <w:rPr>
                <w:szCs w:val="16"/>
              </w:rPr>
            </w:pPr>
            <w:r w:rsidRPr="00911315">
              <w:rPr>
                <w:szCs w:val="16"/>
              </w:rPr>
              <w:t>A very big problem</w:t>
            </w:r>
          </w:p>
        </w:tc>
        <w:tc>
          <w:tcPr>
            <w:tcW w:w="576" w:type="pct"/>
            <w:gridSpan w:val="2"/>
            <w:tcBorders>
              <w:top w:val="nil"/>
              <w:left w:val="nil"/>
              <w:bottom w:val="nil"/>
              <w:right w:val="nil"/>
            </w:tcBorders>
          </w:tcPr>
          <w:p w:rsidR="00897C1E" w:rsidRPr="00911315" w:rsidRDefault="00897C1E" w:rsidP="00F104E9">
            <w:pPr>
              <w:pStyle w:val="braytabletext"/>
              <w:jc w:val="right"/>
              <w:rPr>
                <w:szCs w:val="16"/>
              </w:rPr>
            </w:pPr>
            <w:r w:rsidRPr="00911315">
              <w:rPr>
                <w:szCs w:val="16"/>
              </w:rPr>
              <w:t>12.0</w:t>
            </w:r>
          </w:p>
        </w:tc>
        <w:tc>
          <w:tcPr>
            <w:tcW w:w="564"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1.2</w:t>
            </w:r>
          </w:p>
        </w:tc>
        <w:tc>
          <w:tcPr>
            <w:tcW w:w="167" w:type="pct"/>
            <w:tcBorders>
              <w:top w:val="nil"/>
              <w:left w:val="nil"/>
              <w:bottom w:val="nil"/>
              <w:right w:val="nil"/>
            </w:tcBorders>
          </w:tcPr>
          <w:p w:rsidR="00897C1E" w:rsidRPr="00911315" w:rsidRDefault="00897C1E" w:rsidP="00F104E9">
            <w:pPr>
              <w:pStyle w:val="braytabletext"/>
              <w:jc w:val="right"/>
              <w:rPr>
                <w:szCs w:val="16"/>
              </w:rPr>
            </w:pPr>
          </w:p>
        </w:tc>
        <w:tc>
          <w:tcPr>
            <w:tcW w:w="483"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7.5</w:t>
            </w:r>
          </w:p>
        </w:tc>
        <w:tc>
          <w:tcPr>
            <w:tcW w:w="400"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22.2</w:t>
            </w:r>
          </w:p>
        </w:tc>
        <w:tc>
          <w:tcPr>
            <w:tcW w:w="163" w:type="pct"/>
            <w:gridSpan w:val="2"/>
            <w:tcBorders>
              <w:top w:val="nil"/>
              <w:left w:val="nil"/>
              <w:bottom w:val="nil"/>
              <w:right w:val="nil"/>
            </w:tcBorders>
          </w:tcPr>
          <w:p w:rsidR="00897C1E" w:rsidRPr="00911315" w:rsidRDefault="00897C1E" w:rsidP="00F104E9">
            <w:pPr>
              <w:pStyle w:val="braytabletext"/>
              <w:jc w:val="right"/>
              <w:rPr>
                <w:szCs w:val="16"/>
              </w:rPr>
            </w:pPr>
          </w:p>
        </w:tc>
        <w:tc>
          <w:tcPr>
            <w:tcW w:w="483" w:type="pct"/>
            <w:gridSpan w:val="3"/>
            <w:tcBorders>
              <w:top w:val="nil"/>
              <w:left w:val="nil"/>
              <w:bottom w:val="nil"/>
              <w:right w:val="nil"/>
            </w:tcBorders>
          </w:tcPr>
          <w:p w:rsidR="00897C1E" w:rsidRPr="00911315" w:rsidRDefault="00897C1E" w:rsidP="00F104E9">
            <w:pPr>
              <w:pStyle w:val="braytabletext"/>
              <w:jc w:val="right"/>
              <w:rPr>
                <w:szCs w:val="16"/>
              </w:rPr>
            </w:pPr>
            <w:r w:rsidRPr="00911315">
              <w:rPr>
                <w:szCs w:val="16"/>
              </w:rPr>
              <w:t>0.5</w:t>
            </w:r>
          </w:p>
        </w:tc>
        <w:tc>
          <w:tcPr>
            <w:tcW w:w="166" w:type="pct"/>
            <w:gridSpan w:val="2"/>
            <w:tcBorders>
              <w:top w:val="nil"/>
              <w:left w:val="nil"/>
              <w:bottom w:val="nil"/>
              <w:right w:val="nil"/>
            </w:tcBorders>
          </w:tcPr>
          <w:p w:rsidR="00897C1E" w:rsidRPr="00911315" w:rsidRDefault="00897C1E" w:rsidP="00F104E9">
            <w:pPr>
              <w:pStyle w:val="braytabletext"/>
              <w:jc w:val="right"/>
              <w:rPr>
                <w:szCs w:val="16"/>
              </w:rPr>
            </w:pPr>
          </w:p>
        </w:tc>
        <w:tc>
          <w:tcPr>
            <w:tcW w:w="403" w:type="pct"/>
            <w:gridSpan w:val="2"/>
            <w:tcBorders>
              <w:top w:val="nil"/>
              <w:left w:val="nil"/>
              <w:bottom w:val="nil"/>
              <w:right w:val="nil"/>
            </w:tcBorders>
          </w:tcPr>
          <w:p w:rsidR="00897C1E" w:rsidRPr="00911315" w:rsidRDefault="00897C1E" w:rsidP="00F104E9">
            <w:pPr>
              <w:pStyle w:val="braytabletext"/>
              <w:jc w:val="right"/>
              <w:rPr>
                <w:szCs w:val="16"/>
              </w:rPr>
            </w:pPr>
            <w:r w:rsidRPr="00911315">
              <w:rPr>
                <w:szCs w:val="16"/>
              </w:rPr>
              <w:t>20.4</w:t>
            </w:r>
          </w:p>
        </w:tc>
        <w:tc>
          <w:tcPr>
            <w:tcW w:w="577" w:type="pct"/>
            <w:gridSpan w:val="4"/>
            <w:tcBorders>
              <w:top w:val="nil"/>
              <w:left w:val="nil"/>
              <w:bottom w:val="nil"/>
              <w:right w:val="nil"/>
            </w:tcBorders>
          </w:tcPr>
          <w:p w:rsidR="00897C1E" w:rsidRPr="00911315" w:rsidRDefault="00897C1E" w:rsidP="00F104E9">
            <w:pPr>
              <w:pStyle w:val="braytabletext"/>
              <w:jc w:val="right"/>
              <w:rPr>
                <w:szCs w:val="16"/>
              </w:rPr>
            </w:pPr>
            <w:r w:rsidRPr="00911315">
              <w:rPr>
                <w:szCs w:val="16"/>
              </w:rPr>
              <w:t>2.9</w:t>
            </w:r>
          </w:p>
        </w:tc>
      </w:tr>
      <w:tr w:rsidR="00897C1E" w:rsidRPr="00911315" w:rsidTr="008E57A0">
        <w:trPr>
          <w:gridBefore w:val="2"/>
          <w:wBefore w:w="24" w:type="pct"/>
          <w:trHeight w:val="290"/>
          <w:jc w:val="right"/>
        </w:trPr>
        <w:tc>
          <w:tcPr>
            <w:tcW w:w="993" w:type="pct"/>
            <w:tcBorders>
              <w:top w:val="nil"/>
              <w:left w:val="nil"/>
              <w:bottom w:val="single" w:sz="4" w:space="0" w:color="auto"/>
              <w:right w:val="nil"/>
            </w:tcBorders>
          </w:tcPr>
          <w:p w:rsidR="00897C1E" w:rsidRPr="00911315" w:rsidRDefault="00897C1E" w:rsidP="00F104E9">
            <w:pPr>
              <w:pStyle w:val="braytabletext"/>
              <w:rPr>
                <w:szCs w:val="16"/>
              </w:rPr>
            </w:pPr>
            <w:r w:rsidRPr="00911315">
              <w:rPr>
                <w:szCs w:val="16"/>
              </w:rPr>
              <w:t xml:space="preserve">Total </w:t>
            </w:r>
          </w:p>
        </w:tc>
        <w:tc>
          <w:tcPr>
            <w:tcW w:w="576" w:type="pct"/>
            <w:gridSpan w:val="2"/>
            <w:tcBorders>
              <w:top w:val="nil"/>
              <w:left w:val="nil"/>
              <w:bottom w:val="single" w:sz="4" w:space="0" w:color="auto"/>
              <w:right w:val="nil"/>
            </w:tcBorders>
          </w:tcPr>
          <w:p w:rsidR="00897C1E" w:rsidRPr="00911315" w:rsidRDefault="00897C1E" w:rsidP="00F104E9">
            <w:pPr>
              <w:pStyle w:val="braytabletext"/>
              <w:jc w:val="right"/>
              <w:rPr>
                <w:szCs w:val="16"/>
              </w:rPr>
            </w:pPr>
            <w:r w:rsidRPr="00911315">
              <w:rPr>
                <w:szCs w:val="16"/>
              </w:rPr>
              <w:t>8.4</w:t>
            </w:r>
          </w:p>
        </w:tc>
        <w:tc>
          <w:tcPr>
            <w:tcW w:w="564" w:type="pct"/>
            <w:tcBorders>
              <w:top w:val="nil"/>
              <w:left w:val="nil"/>
              <w:bottom w:val="single" w:sz="4" w:space="0" w:color="auto"/>
              <w:right w:val="nil"/>
            </w:tcBorders>
          </w:tcPr>
          <w:p w:rsidR="00897C1E" w:rsidRPr="00911315" w:rsidRDefault="00897C1E" w:rsidP="00F104E9">
            <w:pPr>
              <w:pStyle w:val="braytabletext"/>
              <w:jc w:val="right"/>
              <w:rPr>
                <w:szCs w:val="16"/>
              </w:rPr>
            </w:pPr>
            <w:r w:rsidRPr="00911315">
              <w:rPr>
                <w:szCs w:val="16"/>
              </w:rPr>
              <w:t>3.1</w:t>
            </w:r>
          </w:p>
        </w:tc>
        <w:tc>
          <w:tcPr>
            <w:tcW w:w="167" w:type="pct"/>
            <w:tcBorders>
              <w:top w:val="nil"/>
              <w:left w:val="nil"/>
              <w:bottom w:val="single" w:sz="4" w:space="0" w:color="auto"/>
              <w:right w:val="nil"/>
            </w:tcBorders>
          </w:tcPr>
          <w:p w:rsidR="00897C1E" w:rsidRPr="00911315" w:rsidRDefault="00897C1E" w:rsidP="00F104E9">
            <w:pPr>
              <w:pStyle w:val="braytabletext"/>
              <w:jc w:val="right"/>
              <w:rPr>
                <w:szCs w:val="16"/>
              </w:rPr>
            </w:pPr>
          </w:p>
        </w:tc>
        <w:tc>
          <w:tcPr>
            <w:tcW w:w="483" w:type="pct"/>
            <w:tcBorders>
              <w:top w:val="nil"/>
              <w:left w:val="nil"/>
              <w:bottom w:val="single" w:sz="4" w:space="0" w:color="auto"/>
              <w:right w:val="nil"/>
            </w:tcBorders>
          </w:tcPr>
          <w:p w:rsidR="00897C1E" w:rsidRPr="00911315" w:rsidRDefault="00897C1E" w:rsidP="00F104E9">
            <w:pPr>
              <w:pStyle w:val="braytabletext"/>
              <w:jc w:val="right"/>
              <w:rPr>
                <w:szCs w:val="16"/>
              </w:rPr>
            </w:pPr>
            <w:r w:rsidRPr="00911315">
              <w:rPr>
                <w:szCs w:val="16"/>
              </w:rPr>
              <w:t>6.7</w:t>
            </w:r>
          </w:p>
        </w:tc>
        <w:tc>
          <w:tcPr>
            <w:tcW w:w="400" w:type="pct"/>
            <w:tcBorders>
              <w:top w:val="nil"/>
              <w:left w:val="nil"/>
              <w:bottom w:val="single" w:sz="4" w:space="0" w:color="auto"/>
              <w:right w:val="nil"/>
            </w:tcBorders>
          </w:tcPr>
          <w:p w:rsidR="00897C1E" w:rsidRPr="00911315" w:rsidRDefault="00897C1E" w:rsidP="00F104E9">
            <w:pPr>
              <w:pStyle w:val="braytabletext"/>
              <w:jc w:val="right"/>
              <w:rPr>
                <w:szCs w:val="16"/>
              </w:rPr>
            </w:pPr>
            <w:r w:rsidRPr="00911315">
              <w:rPr>
                <w:szCs w:val="16"/>
              </w:rPr>
              <w:t>22.2</w:t>
            </w:r>
          </w:p>
        </w:tc>
        <w:tc>
          <w:tcPr>
            <w:tcW w:w="163" w:type="pct"/>
            <w:gridSpan w:val="2"/>
            <w:tcBorders>
              <w:top w:val="nil"/>
              <w:left w:val="nil"/>
              <w:bottom w:val="single" w:sz="4" w:space="0" w:color="auto"/>
              <w:right w:val="nil"/>
            </w:tcBorders>
          </w:tcPr>
          <w:p w:rsidR="00897C1E" w:rsidRPr="00911315" w:rsidRDefault="00897C1E" w:rsidP="00F104E9">
            <w:pPr>
              <w:pStyle w:val="braytabletext"/>
              <w:jc w:val="right"/>
              <w:rPr>
                <w:szCs w:val="16"/>
              </w:rPr>
            </w:pPr>
          </w:p>
        </w:tc>
        <w:tc>
          <w:tcPr>
            <w:tcW w:w="483" w:type="pct"/>
            <w:gridSpan w:val="3"/>
            <w:tcBorders>
              <w:top w:val="nil"/>
              <w:left w:val="nil"/>
              <w:bottom w:val="single" w:sz="4" w:space="0" w:color="auto"/>
              <w:right w:val="nil"/>
            </w:tcBorders>
          </w:tcPr>
          <w:p w:rsidR="00897C1E" w:rsidRPr="00911315" w:rsidRDefault="00897C1E" w:rsidP="00F104E9">
            <w:pPr>
              <w:pStyle w:val="braytabletext"/>
              <w:jc w:val="right"/>
              <w:rPr>
                <w:szCs w:val="16"/>
              </w:rPr>
            </w:pPr>
            <w:r w:rsidRPr="00911315">
              <w:rPr>
                <w:szCs w:val="16"/>
              </w:rPr>
              <w:t>1.1</w:t>
            </w:r>
          </w:p>
        </w:tc>
        <w:tc>
          <w:tcPr>
            <w:tcW w:w="166" w:type="pct"/>
            <w:gridSpan w:val="2"/>
            <w:tcBorders>
              <w:top w:val="nil"/>
              <w:left w:val="nil"/>
              <w:bottom w:val="single" w:sz="4" w:space="0" w:color="auto"/>
              <w:right w:val="nil"/>
            </w:tcBorders>
          </w:tcPr>
          <w:p w:rsidR="00897C1E" w:rsidRPr="00911315" w:rsidRDefault="00897C1E" w:rsidP="00F104E9">
            <w:pPr>
              <w:pStyle w:val="braytabletext"/>
              <w:jc w:val="right"/>
              <w:rPr>
                <w:szCs w:val="16"/>
              </w:rPr>
            </w:pPr>
          </w:p>
        </w:tc>
        <w:tc>
          <w:tcPr>
            <w:tcW w:w="403" w:type="pct"/>
            <w:gridSpan w:val="2"/>
            <w:tcBorders>
              <w:top w:val="nil"/>
              <w:left w:val="nil"/>
              <w:bottom w:val="single" w:sz="4" w:space="0" w:color="auto"/>
              <w:right w:val="nil"/>
            </w:tcBorders>
          </w:tcPr>
          <w:p w:rsidR="00897C1E" w:rsidRPr="00911315" w:rsidRDefault="00897C1E" w:rsidP="00F104E9">
            <w:pPr>
              <w:pStyle w:val="braytabletext"/>
              <w:jc w:val="right"/>
              <w:rPr>
                <w:szCs w:val="16"/>
              </w:rPr>
            </w:pPr>
            <w:r w:rsidRPr="00911315">
              <w:rPr>
                <w:szCs w:val="16"/>
              </w:rPr>
              <w:t>4.2</w:t>
            </w:r>
          </w:p>
        </w:tc>
        <w:tc>
          <w:tcPr>
            <w:tcW w:w="577" w:type="pct"/>
            <w:gridSpan w:val="4"/>
            <w:tcBorders>
              <w:top w:val="nil"/>
              <w:left w:val="nil"/>
              <w:bottom w:val="single" w:sz="4" w:space="0" w:color="auto"/>
              <w:right w:val="nil"/>
            </w:tcBorders>
          </w:tcPr>
          <w:p w:rsidR="00897C1E" w:rsidRPr="00911315" w:rsidRDefault="00897C1E" w:rsidP="00F104E9">
            <w:pPr>
              <w:pStyle w:val="braytabletext"/>
              <w:jc w:val="right"/>
              <w:rPr>
                <w:szCs w:val="16"/>
              </w:rPr>
            </w:pPr>
            <w:r w:rsidRPr="00911315">
              <w:rPr>
                <w:szCs w:val="16"/>
              </w:rPr>
              <w:t>1.0</w:t>
            </w:r>
          </w:p>
        </w:tc>
      </w:tr>
      <w:tr w:rsidR="00897C1E" w:rsidRPr="00911315" w:rsidTr="008E57A0">
        <w:trPr>
          <w:gridBefore w:val="2"/>
          <w:wBefore w:w="24" w:type="pct"/>
          <w:trHeight w:val="290"/>
          <w:jc w:val="right"/>
        </w:trPr>
        <w:tc>
          <w:tcPr>
            <w:tcW w:w="993" w:type="pct"/>
            <w:tcBorders>
              <w:top w:val="single" w:sz="4" w:space="0" w:color="auto"/>
              <w:left w:val="nil"/>
              <w:bottom w:val="nil"/>
              <w:right w:val="nil"/>
            </w:tcBorders>
          </w:tcPr>
          <w:p w:rsidR="00897C1E" w:rsidRPr="00911315" w:rsidRDefault="00897C1E" w:rsidP="00F104E9">
            <w:pPr>
              <w:pStyle w:val="braytabletext"/>
              <w:rPr>
                <w:szCs w:val="16"/>
              </w:rPr>
            </w:pPr>
            <w:r w:rsidRPr="00911315">
              <w:rPr>
                <w:szCs w:val="16"/>
              </w:rPr>
              <w:t>Any of the above</w:t>
            </w:r>
          </w:p>
        </w:tc>
        <w:tc>
          <w:tcPr>
            <w:tcW w:w="576" w:type="pct"/>
            <w:gridSpan w:val="2"/>
            <w:tcBorders>
              <w:top w:val="single" w:sz="4" w:space="0" w:color="auto"/>
              <w:left w:val="nil"/>
              <w:bottom w:val="nil"/>
              <w:right w:val="nil"/>
            </w:tcBorders>
          </w:tcPr>
          <w:p w:rsidR="00897C1E" w:rsidRPr="00911315" w:rsidRDefault="00897C1E" w:rsidP="00F104E9">
            <w:pPr>
              <w:pStyle w:val="braytabletext"/>
              <w:jc w:val="right"/>
              <w:rPr>
                <w:szCs w:val="16"/>
              </w:rPr>
            </w:pPr>
          </w:p>
        </w:tc>
        <w:tc>
          <w:tcPr>
            <w:tcW w:w="564" w:type="pct"/>
            <w:tcBorders>
              <w:top w:val="single" w:sz="4" w:space="0" w:color="auto"/>
              <w:left w:val="nil"/>
              <w:bottom w:val="nil"/>
              <w:right w:val="nil"/>
            </w:tcBorders>
          </w:tcPr>
          <w:p w:rsidR="00897C1E" w:rsidRPr="00911315" w:rsidRDefault="00897C1E" w:rsidP="00F104E9">
            <w:pPr>
              <w:pStyle w:val="braytabletext"/>
              <w:jc w:val="right"/>
              <w:rPr>
                <w:szCs w:val="16"/>
              </w:rPr>
            </w:pPr>
          </w:p>
        </w:tc>
        <w:tc>
          <w:tcPr>
            <w:tcW w:w="167" w:type="pct"/>
            <w:tcBorders>
              <w:top w:val="single" w:sz="4" w:space="0" w:color="auto"/>
              <w:left w:val="nil"/>
              <w:bottom w:val="nil"/>
              <w:right w:val="nil"/>
            </w:tcBorders>
          </w:tcPr>
          <w:p w:rsidR="00897C1E" w:rsidRPr="00911315" w:rsidRDefault="00897C1E" w:rsidP="00F104E9">
            <w:pPr>
              <w:pStyle w:val="braytabletext"/>
              <w:jc w:val="right"/>
              <w:rPr>
                <w:szCs w:val="16"/>
              </w:rPr>
            </w:pPr>
          </w:p>
        </w:tc>
        <w:tc>
          <w:tcPr>
            <w:tcW w:w="483" w:type="pct"/>
            <w:tcBorders>
              <w:top w:val="single" w:sz="4" w:space="0" w:color="auto"/>
              <w:left w:val="nil"/>
              <w:bottom w:val="nil"/>
              <w:right w:val="nil"/>
            </w:tcBorders>
          </w:tcPr>
          <w:p w:rsidR="00897C1E" w:rsidRPr="00911315" w:rsidRDefault="00897C1E" w:rsidP="00F104E9">
            <w:pPr>
              <w:pStyle w:val="braytabletext"/>
              <w:jc w:val="right"/>
              <w:rPr>
                <w:szCs w:val="16"/>
              </w:rPr>
            </w:pPr>
          </w:p>
        </w:tc>
        <w:tc>
          <w:tcPr>
            <w:tcW w:w="400" w:type="pct"/>
            <w:tcBorders>
              <w:top w:val="single" w:sz="4" w:space="0" w:color="auto"/>
              <w:left w:val="nil"/>
              <w:bottom w:val="nil"/>
              <w:right w:val="nil"/>
            </w:tcBorders>
          </w:tcPr>
          <w:p w:rsidR="00897C1E" w:rsidRPr="00911315" w:rsidRDefault="00897C1E" w:rsidP="00F104E9">
            <w:pPr>
              <w:pStyle w:val="braytabletext"/>
              <w:jc w:val="right"/>
              <w:rPr>
                <w:szCs w:val="16"/>
              </w:rPr>
            </w:pPr>
          </w:p>
        </w:tc>
        <w:tc>
          <w:tcPr>
            <w:tcW w:w="163" w:type="pct"/>
            <w:gridSpan w:val="2"/>
            <w:tcBorders>
              <w:top w:val="single" w:sz="4" w:space="0" w:color="auto"/>
              <w:left w:val="nil"/>
              <w:bottom w:val="nil"/>
              <w:right w:val="nil"/>
            </w:tcBorders>
          </w:tcPr>
          <w:p w:rsidR="00897C1E" w:rsidRPr="00911315" w:rsidRDefault="00897C1E" w:rsidP="00F104E9">
            <w:pPr>
              <w:pStyle w:val="braytabletext"/>
              <w:jc w:val="right"/>
              <w:rPr>
                <w:szCs w:val="16"/>
              </w:rPr>
            </w:pPr>
          </w:p>
        </w:tc>
        <w:tc>
          <w:tcPr>
            <w:tcW w:w="483" w:type="pct"/>
            <w:gridSpan w:val="3"/>
            <w:tcBorders>
              <w:top w:val="single" w:sz="4" w:space="0" w:color="auto"/>
              <w:left w:val="nil"/>
              <w:bottom w:val="nil"/>
              <w:right w:val="nil"/>
            </w:tcBorders>
          </w:tcPr>
          <w:p w:rsidR="00897C1E" w:rsidRPr="00911315" w:rsidRDefault="00897C1E" w:rsidP="00F104E9">
            <w:pPr>
              <w:pStyle w:val="braytabletext"/>
              <w:jc w:val="right"/>
              <w:rPr>
                <w:szCs w:val="16"/>
              </w:rPr>
            </w:pPr>
          </w:p>
        </w:tc>
        <w:tc>
          <w:tcPr>
            <w:tcW w:w="166" w:type="pct"/>
            <w:gridSpan w:val="2"/>
            <w:tcBorders>
              <w:top w:val="single" w:sz="4" w:space="0" w:color="auto"/>
              <w:left w:val="nil"/>
              <w:bottom w:val="nil"/>
              <w:right w:val="nil"/>
            </w:tcBorders>
          </w:tcPr>
          <w:p w:rsidR="00897C1E" w:rsidRPr="00911315" w:rsidRDefault="00897C1E" w:rsidP="00F104E9">
            <w:pPr>
              <w:pStyle w:val="braytabletext"/>
              <w:jc w:val="right"/>
              <w:rPr>
                <w:szCs w:val="16"/>
              </w:rPr>
            </w:pPr>
          </w:p>
        </w:tc>
        <w:tc>
          <w:tcPr>
            <w:tcW w:w="403" w:type="pct"/>
            <w:gridSpan w:val="2"/>
            <w:tcBorders>
              <w:top w:val="single" w:sz="4" w:space="0" w:color="auto"/>
              <w:left w:val="nil"/>
              <w:bottom w:val="nil"/>
              <w:right w:val="nil"/>
            </w:tcBorders>
          </w:tcPr>
          <w:p w:rsidR="00897C1E" w:rsidRPr="00911315" w:rsidRDefault="00897C1E" w:rsidP="00F104E9">
            <w:pPr>
              <w:pStyle w:val="braytabletext"/>
              <w:jc w:val="right"/>
              <w:rPr>
                <w:szCs w:val="16"/>
              </w:rPr>
            </w:pPr>
          </w:p>
        </w:tc>
        <w:tc>
          <w:tcPr>
            <w:tcW w:w="577" w:type="pct"/>
            <w:gridSpan w:val="4"/>
            <w:tcBorders>
              <w:top w:val="single" w:sz="4" w:space="0" w:color="auto"/>
              <w:left w:val="nil"/>
              <w:bottom w:val="nil"/>
              <w:right w:val="nil"/>
            </w:tcBorders>
          </w:tcPr>
          <w:p w:rsidR="00897C1E" w:rsidRPr="00911315" w:rsidRDefault="00897C1E" w:rsidP="00F104E9">
            <w:pPr>
              <w:pStyle w:val="braytabletext"/>
              <w:jc w:val="right"/>
              <w:rPr>
                <w:szCs w:val="16"/>
              </w:rPr>
            </w:pPr>
          </w:p>
        </w:tc>
      </w:tr>
      <w:tr w:rsidR="00897C1E" w:rsidRPr="00911315" w:rsidTr="008E57A0">
        <w:trPr>
          <w:gridBefore w:val="2"/>
          <w:wBefore w:w="24" w:type="pct"/>
          <w:trHeight w:val="290"/>
          <w:jc w:val="right"/>
        </w:trPr>
        <w:tc>
          <w:tcPr>
            <w:tcW w:w="993" w:type="pct"/>
            <w:tcBorders>
              <w:top w:val="nil"/>
              <w:left w:val="nil"/>
              <w:bottom w:val="nil"/>
              <w:right w:val="nil"/>
            </w:tcBorders>
          </w:tcPr>
          <w:p w:rsidR="00897C1E" w:rsidRPr="00911315" w:rsidRDefault="00897C1E" w:rsidP="00F104E9">
            <w:pPr>
              <w:pStyle w:val="braytabletext"/>
              <w:rPr>
                <w:szCs w:val="16"/>
              </w:rPr>
            </w:pPr>
            <w:r w:rsidRPr="00911315">
              <w:rPr>
                <w:szCs w:val="16"/>
              </w:rPr>
              <w:t>No problems (a)</w:t>
            </w:r>
          </w:p>
        </w:tc>
        <w:tc>
          <w:tcPr>
            <w:tcW w:w="576" w:type="pct"/>
            <w:gridSpan w:val="2"/>
            <w:tcBorders>
              <w:top w:val="nil"/>
              <w:left w:val="nil"/>
              <w:bottom w:val="nil"/>
              <w:right w:val="nil"/>
            </w:tcBorders>
          </w:tcPr>
          <w:p w:rsidR="00897C1E" w:rsidRPr="00911315" w:rsidRDefault="00897C1E" w:rsidP="00F104E9">
            <w:pPr>
              <w:pStyle w:val="braytabletext"/>
              <w:jc w:val="right"/>
              <w:rPr>
                <w:szCs w:val="16"/>
              </w:rPr>
            </w:pPr>
            <w:r w:rsidRPr="00911315">
              <w:rPr>
                <w:szCs w:val="16"/>
              </w:rPr>
              <w:t>42.6</w:t>
            </w:r>
          </w:p>
        </w:tc>
        <w:tc>
          <w:tcPr>
            <w:tcW w:w="564"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75.0</w:t>
            </w:r>
          </w:p>
        </w:tc>
        <w:tc>
          <w:tcPr>
            <w:tcW w:w="167" w:type="pct"/>
            <w:tcBorders>
              <w:top w:val="nil"/>
              <w:left w:val="nil"/>
              <w:bottom w:val="nil"/>
              <w:right w:val="nil"/>
            </w:tcBorders>
          </w:tcPr>
          <w:p w:rsidR="00897C1E" w:rsidRPr="00911315" w:rsidRDefault="00897C1E" w:rsidP="00F104E9">
            <w:pPr>
              <w:pStyle w:val="braytabletext"/>
              <w:jc w:val="right"/>
              <w:rPr>
                <w:szCs w:val="16"/>
              </w:rPr>
            </w:pPr>
          </w:p>
        </w:tc>
        <w:tc>
          <w:tcPr>
            <w:tcW w:w="483"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46.9</w:t>
            </w:r>
          </w:p>
        </w:tc>
        <w:tc>
          <w:tcPr>
            <w:tcW w:w="400"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48.5</w:t>
            </w:r>
          </w:p>
        </w:tc>
        <w:tc>
          <w:tcPr>
            <w:tcW w:w="163" w:type="pct"/>
            <w:gridSpan w:val="2"/>
            <w:tcBorders>
              <w:top w:val="nil"/>
              <w:left w:val="nil"/>
              <w:bottom w:val="nil"/>
              <w:right w:val="nil"/>
            </w:tcBorders>
          </w:tcPr>
          <w:p w:rsidR="00897C1E" w:rsidRPr="00911315" w:rsidRDefault="00897C1E" w:rsidP="00F104E9">
            <w:pPr>
              <w:pStyle w:val="braytabletext"/>
              <w:jc w:val="right"/>
              <w:rPr>
                <w:szCs w:val="16"/>
              </w:rPr>
            </w:pPr>
          </w:p>
        </w:tc>
        <w:tc>
          <w:tcPr>
            <w:tcW w:w="483" w:type="pct"/>
            <w:gridSpan w:val="3"/>
            <w:tcBorders>
              <w:top w:val="nil"/>
              <w:left w:val="nil"/>
              <w:bottom w:val="nil"/>
              <w:right w:val="nil"/>
            </w:tcBorders>
          </w:tcPr>
          <w:p w:rsidR="00897C1E" w:rsidRPr="00911315" w:rsidRDefault="00897C1E" w:rsidP="00F104E9">
            <w:pPr>
              <w:pStyle w:val="braytabletext"/>
              <w:jc w:val="right"/>
              <w:rPr>
                <w:szCs w:val="16"/>
              </w:rPr>
            </w:pPr>
            <w:r w:rsidRPr="00911315">
              <w:rPr>
                <w:szCs w:val="16"/>
              </w:rPr>
              <w:t>94.0</w:t>
            </w:r>
          </w:p>
        </w:tc>
        <w:tc>
          <w:tcPr>
            <w:tcW w:w="166" w:type="pct"/>
            <w:gridSpan w:val="2"/>
            <w:tcBorders>
              <w:top w:val="nil"/>
              <w:left w:val="nil"/>
              <w:bottom w:val="nil"/>
              <w:right w:val="nil"/>
            </w:tcBorders>
          </w:tcPr>
          <w:p w:rsidR="00897C1E" w:rsidRPr="00911315" w:rsidRDefault="00897C1E" w:rsidP="00F104E9">
            <w:pPr>
              <w:pStyle w:val="braytabletext"/>
              <w:jc w:val="right"/>
              <w:rPr>
                <w:szCs w:val="16"/>
              </w:rPr>
            </w:pPr>
          </w:p>
        </w:tc>
        <w:tc>
          <w:tcPr>
            <w:tcW w:w="403" w:type="pct"/>
            <w:gridSpan w:val="2"/>
            <w:tcBorders>
              <w:top w:val="nil"/>
              <w:left w:val="nil"/>
              <w:bottom w:val="nil"/>
              <w:right w:val="nil"/>
            </w:tcBorders>
          </w:tcPr>
          <w:p w:rsidR="00897C1E" w:rsidRPr="00911315" w:rsidRDefault="00897C1E" w:rsidP="00F104E9">
            <w:pPr>
              <w:pStyle w:val="braytabletext"/>
              <w:jc w:val="right"/>
              <w:rPr>
                <w:szCs w:val="16"/>
              </w:rPr>
            </w:pPr>
            <w:r w:rsidRPr="00911315">
              <w:rPr>
                <w:szCs w:val="16"/>
              </w:rPr>
              <w:t>45.7</w:t>
            </w:r>
          </w:p>
        </w:tc>
        <w:tc>
          <w:tcPr>
            <w:tcW w:w="577" w:type="pct"/>
            <w:gridSpan w:val="4"/>
            <w:tcBorders>
              <w:top w:val="nil"/>
              <w:left w:val="nil"/>
              <w:bottom w:val="nil"/>
              <w:right w:val="nil"/>
            </w:tcBorders>
          </w:tcPr>
          <w:p w:rsidR="00897C1E" w:rsidRPr="00911315" w:rsidRDefault="00897C1E" w:rsidP="00F104E9">
            <w:pPr>
              <w:pStyle w:val="braytabletext"/>
              <w:jc w:val="right"/>
              <w:rPr>
                <w:szCs w:val="16"/>
              </w:rPr>
            </w:pPr>
            <w:r w:rsidRPr="00911315">
              <w:rPr>
                <w:szCs w:val="16"/>
              </w:rPr>
              <w:t>76.4</w:t>
            </w:r>
          </w:p>
        </w:tc>
      </w:tr>
      <w:tr w:rsidR="00897C1E" w:rsidRPr="00911315" w:rsidTr="008E57A0">
        <w:trPr>
          <w:gridBefore w:val="2"/>
          <w:wBefore w:w="24" w:type="pct"/>
          <w:trHeight w:val="290"/>
          <w:jc w:val="right"/>
        </w:trPr>
        <w:tc>
          <w:tcPr>
            <w:tcW w:w="993" w:type="pct"/>
            <w:tcBorders>
              <w:top w:val="nil"/>
              <w:left w:val="nil"/>
              <w:bottom w:val="nil"/>
              <w:right w:val="nil"/>
            </w:tcBorders>
          </w:tcPr>
          <w:p w:rsidR="00897C1E" w:rsidRPr="00911315" w:rsidRDefault="00897C1E" w:rsidP="00F104E9">
            <w:pPr>
              <w:pStyle w:val="braytabletext"/>
              <w:rPr>
                <w:szCs w:val="16"/>
              </w:rPr>
            </w:pPr>
            <w:r w:rsidRPr="00911315">
              <w:rPr>
                <w:szCs w:val="16"/>
              </w:rPr>
              <w:t>At least 1 a bit</w:t>
            </w:r>
            <w:r w:rsidR="00B834CA" w:rsidRPr="00911315">
              <w:rPr>
                <w:szCs w:val="16"/>
              </w:rPr>
              <w:t xml:space="preserve"> (b)</w:t>
            </w:r>
          </w:p>
        </w:tc>
        <w:tc>
          <w:tcPr>
            <w:tcW w:w="576" w:type="pct"/>
            <w:gridSpan w:val="2"/>
            <w:tcBorders>
              <w:top w:val="nil"/>
              <w:left w:val="nil"/>
              <w:bottom w:val="nil"/>
              <w:right w:val="nil"/>
            </w:tcBorders>
          </w:tcPr>
          <w:p w:rsidR="00897C1E" w:rsidRPr="00911315" w:rsidRDefault="00897C1E" w:rsidP="00F104E9">
            <w:pPr>
              <w:pStyle w:val="braytabletext"/>
              <w:jc w:val="right"/>
              <w:rPr>
                <w:szCs w:val="16"/>
              </w:rPr>
            </w:pPr>
            <w:r w:rsidRPr="00911315">
              <w:rPr>
                <w:szCs w:val="16"/>
              </w:rPr>
              <w:t>35.7</w:t>
            </w:r>
          </w:p>
        </w:tc>
        <w:tc>
          <w:tcPr>
            <w:tcW w:w="564"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21.4</w:t>
            </w:r>
          </w:p>
        </w:tc>
        <w:tc>
          <w:tcPr>
            <w:tcW w:w="167" w:type="pct"/>
            <w:tcBorders>
              <w:top w:val="nil"/>
              <w:left w:val="nil"/>
              <w:bottom w:val="nil"/>
              <w:right w:val="nil"/>
            </w:tcBorders>
          </w:tcPr>
          <w:p w:rsidR="00897C1E" w:rsidRPr="00911315" w:rsidRDefault="00897C1E" w:rsidP="00F104E9">
            <w:pPr>
              <w:pStyle w:val="braytabletext"/>
              <w:jc w:val="right"/>
              <w:rPr>
                <w:szCs w:val="16"/>
              </w:rPr>
            </w:pPr>
          </w:p>
        </w:tc>
        <w:tc>
          <w:tcPr>
            <w:tcW w:w="483"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37.5</w:t>
            </w:r>
          </w:p>
        </w:tc>
        <w:tc>
          <w:tcPr>
            <w:tcW w:w="400"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21.2</w:t>
            </w:r>
          </w:p>
        </w:tc>
        <w:tc>
          <w:tcPr>
            <w:tcW w:w="163" w:type="pct"/>
            <w:gridSpan w:val="2"/>
            <w:tcBorders>
              <w:top w:val="nil"/>
              <w:left w:val="nil"/>
              <w:bottom w:val="nil"/>
              <w:right w:val="nil"/>
            </w:tcBorders>
          </w:tcPr>
          <w:p w:rsidR="00897C1E" w:rsidRPr="00911315" w:rsidRDefault="00897C1E" w:rsidP="00F104E9">
            <w:pPr>
              <w:pStyle w:val="braytabletext"/>
              <w:jc w:val="right"/>
              <w:rPr>
                <w:szCs w:val="16"/>
              </w:rPr>
            </w:pPr>
          </w:p>
        </w:tc>
        <w:tc>
          <w:tcPr>
            <w:tcW w:w="483" w:type="pct"/>
            <w:gridSpan w:val="3"/>
            <w:tcBorders>
              <w:top w:val="nil"/>
              <w:left w:val="nil"/>
              <w:bottom w:val="nil"/>
              <w:right w:val="nil"/>
            </w:tcBorders>
          </w:tcPr>
          <w:p w:rsidR="00897C1E" w:rsidRPr="00911315" w:rsidRDefault="00897C1E" w:rsidP="00F104E9">
            <w:pPr>
              <w:pStyle w:val="braytabletext"/>
              <w:jc w:val="right"/>
              <w:rPr>
                <w:szCs w:val="16"/>
              </w:rPr>
            </w:pPr>
            <w:r w:rsidRPr="00911315">
              <w:rPr>
                <w:szCs w:val="16"/>
              </w:rPr>
              <w:t>4.3</w:t>
            </w:r>
          </w:p>
        </w:tc>
        <w:tc>
          <w:tcPr>
            <w:tcW w:w="166" w:type="pct"/>
            <w:gridSpan w:val="2"/>
            <w:tcBorders>
              <w:top w:val="nil"/>
              <w:left w:val="nil"/>
              <w:bottom w:val="nil"/>
              <w:right w:val="nil"/>
            </w:tcBorders>
          </w:tcPr>
          <w:p w:rsidR="00897C1E" w:rsidRPr="00911315" w:rsidRDefault="00897C1E" w:rsidP="00F104E9">
            <w:pPr>
              <w:pStyle w:val="braytabletext"/>
              <w:jc w:val="right"/>
              <w:rPr>
                <w:szCs w:val="16"/>
              </w:rPr>
            </w:pPr>
          </w:p>
        </w:tc>
        <w:tc>
          <w:tcPr>
            <w:tcW w:w="403" w:type="pct"/>
            <w:gridSpan w:val="2"/>
            <w:tcBorders>
              <w:top w:val="nil"/>
              <w:left w:val="nil"/>
              <w:bottom w:val="nil"/>
              <w:right w:val="nil"/>
            </w:tcBorders>
          </w:tcPr>
          <w:p w:rsidR="00897C1E" w:rsidRPr="00911315" w:rsidRDefault="00897C1E" w:rsidP="00F104E9">
            <w:pPr>
              <w:pStyle w:val="braytabletext"/>
              <w:jc w:val="right"/>
              <w:rPr>
                <w:szCs w:val="16"/>
              </w:rPr>
            </w:pPr>
            <w:r w:rsidRPr="00911315">
              <w:rPr>
                <w:szCs w:val="16"/>
              </w:rPr>
              <w:t>27.6</w:t>
            </w:r>
          </w:p>
        </w:tc>
        <w:tc>
          <w:tcPr>
            <w:tcW w:w="577" w:type="pct"/>
            <w:gridSpan w:val="4"/>
            <w:tcBorders>
              <w:top w:val="nil"/>
              <w:left w:val="nil"/>
              <w:bottom w:val="nil"/>
              <w:right w:val="nil"/>
            </w:tcBorders>
          </w:tcPr>
          <w:p w:rsidR="00897C1E" w:rsidRPr="00911315" w:rsidRDefault="00897C1E" w:rsidP="00F104E9">
            <w:pPr>
              <w:pStyle w:val="braytabletext"/>
              <w:jc w:val="right"/>
              <w:rPr>
                <w:szCs w:val="16"/>
              </w:rPr>
            </w:pPr>
            <w:r w:rsidRPr="00911315">
              <w:rPr>
                <w:szCs w:val="16"/>
              </w:rPr>
              <w:t>19.8</w:t>
            </w:r>
          </w:p>
        </w:tc>
      </w:tr>
      <w:tr w:rsidR="00897C1E" w:rsidRPr="00911315" w:rsidTr="008E57A0">
        <w:trPr>
          <w:gridBefore w:val="2"/>
          <w:wBefore w:w="24" w:type="pct"/>
          <w:trHeight w:val="290"/>
          <w:jc w:val="right"/>
        </w:trPr>
        <w:tc>
          <w:tcPr>
            <w:tcW w:w="993" w:type="pct"/>
            <w:tcBorders>
              <w:top w:val="nil"/>
              <w:left w:val="nil"/>
              <w:bottom w:val="nil"/>
              <w:right w:val="nil"/>
            </w:tcBorders>
          </w:tcPr>
          <w:p w:rsidR="00897C1E" w:rsidRPr="00911315" w:rsidRDefault="00897C1E" w:rsidP="00F104E9">
            <w:pPr>
              <w:pStyle w:val="braytabletext"/>
              <w:rPr>
                <w:szCs w:val="16"/>
              </w:rPr>
            </w:pPr>
            <w:r w:rsidRPr="00911315">
              <w:rPr>
                <w:szCs w:val="16"/>
              </w:rPr>
              <w:t>At least 1 big</w:t>
            </w:r>
          </w:p>
        </w:tc>
        <w:tc>
          <w:tcPr>
            <w:tcW w:w="576" w:type="pct"/>
            <w:gridSpan w:val="2"/>
            <w:tcBorders>
              <w:top w:val="nil"/>
              <w:left w:val="nil"/>
              <w:bottom w:val="nil"/>
              <w:right w:val="nil"/>
            </w:tcBorders>
          </w:tcPr>
          <w:p w:rsidR="00897C1E" w:rsidRPr="00911315" w:rsidRDefault="00897C1E" w:rsidP="00F104E9">
            <w:pPr>
              <w:pStyle w:val="braytabletext"/>
              <w:jc w:val="right"/>
              <w:rPr>
                <w:szCs w:val="16"/>
              </w:rPr>
            </w:pPr>
            <w:r w:rsidRPr="00911315">
              <w:rPr>
                <w:szCs w:val="16"/>
              </w:rPr>
              <w:t>21.7</w:t>
            </w:r>
          </w:p>
        </w:tc>
        <w:tc>
          <w:tcPr>
            <w:tcW w:w="564"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3.6</w:t>
            </w:r>
          </w:p>
        </w:tc>
        <w:tc>
          <w:tcPr>
            <w:tcW w:w="167" w:type="pct"/>
            <w:tcBorders>
              <w:top w:val="nil"/>
              <w:left w:val="nil"/>
              <w:bottom w:val="nil"/>
              <w:right w:val="nil"/>
            </w:tcBorders>
          </w:tcPr>
          <w:p w:rsidR="00897C1E" w:rsidRPr="00911315" w:rsidRDefault="00897C1E" w:rsidP="00F104E9">
            <w:pPr>
              <w:pStyle w:val="braytabletext"/>
              <w:jc w:val="right"/>
              <w:rPr>
                <w:szCs w:val="16"/>
              </w:rPr>
            </w:pPr>
          </w:p>
        </w:tc>
        <w:tc>
          <w:tcPr>
            <w:tcW w:w="483"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15.6</w:t>
            </w:r>
          </w:p>
        </w:tc>
        <w:tc>
          <w:tcPr>
            <w:tcW w:w="400"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30.3</w:t>
            </w:r>
          </w:p>
        </w:tc>
        <w:tc>
          <w:tcPr>
            <w:tcW w:w="163" w:type="pct"/>
            <w:gridSpan w:val="2"/>
            <w:tcBorders>
              <w:top w:val="nil"/>
              <w:left w:val="nil"/>
              <w:bottom w:val="nil"/>
              <w:right w:val="nil"/>
            </w:tcBorders>
          </w:tcPr>
          <w:p w:rsidR="00897C1E" w:rsidRPr="00911315" w:rsidRDefault="00897C1E" w:rsidP="00F104E9">
            <w:pPr>
              <w:pStyle w:val="braytabletext"/>
              <w:jc w:val="right"/>
              <w:rPr>
                <w:szCs w:val="16"/>
              </w:rPr>
            </w:pPr>
          </w:p>
        </w:tc>
        <w:tc>
          <w:tcPr>
            <w:tcW w:w="483" w:type="pct"/>
            <w:gridSpan w:val="3"/>
            <w:tcBorders>
              <w:top w:val="nil"/>
              <w:left w:val="nil"/>
              <w:bottom w:val="nil"/>
              <w:right w:val="nil"/>
            </w:tcBorders>
          </w:tcPr>
          <w:p w:rsidR="00897C1E" w:rsidRPr="00911315" w:rsidRDefault="00897C1E" w:rsidP="00F104E9">
            <w:pPr>
              <w:pStyle w:val="braytabletext"/>
              <w:jc w:val="right"/>
              <w:rPr>
                <w:szCs w:val="16"/>
              </w:rPr>
            </w:pPr>
            <w:r w:rsidRPr="00911315">
              <w:rPr>
                <w:szCs w:val="16"/>
              </w:rPr>
              <w:t>1.6</w:t>
            </w:r>
          </w:p>
        </w:tc>
        <w:tc>
          <w:tcPr>
            <w:tcW w:w="166" w:type="pct"/>
            <w:gridSpan w:val="2"/>
            <w:tcBorders>
              <w:top w:val="nil"/>
              <w:left w:val="nil"/>
              <w:bottom w:val="nil"/>
              <w:right w:val="nil"/>
            </w:tcBorders>
          </w:tcPr>
          <w:p w:rsidR="00897C1E" w:rsidRPr="00911315" w:rsidRDefault="00897C1E" w:rsidP="00F104E9">
            <w:pPr>
              <w:pStyle w:val="braytabletext"/>
              <w:jc w:val="right"/>
              <w:rPr>
                <w:szCs w:val="16"/>
              </w:rPr>
            </w:pPr>
          </w:p>
        </w:tc>
        <w:tc>
          <w:tcPr>
            <w:tcW w:w="403" w:type="pct"/>
            <w:gridSpan w:val="2"/>
            <w:tcBorders>
              <w:top w:val="nil"/>
              <w:left w:val="nil"/>
              <w:bottom w:val="nil"/>
              <w:right w:val="nil"/>
            </w:tcBorders>
          </w:tcPr>
          <w:p w:rsidR="00897C1E" w:rsidRPr="00911315" w:rsidRDefault="00897C1E" w:rsidP="00F104E9">
            <w:pPr>
              <w:pStyle w:val="braytabletext"/>
              <w:jc w:val="right"/>
              <w:rPr>
                <w:szCs w:val="16"/>
              </w:rPr>
            </w:pPr>
            <w:r w:rsidRPr="00911315">
              <w:rPr>
                <w:szCs w:val="16"/>
              </w:rPr>
              <w:t>26.6</w:t>
            </w:r>
          </w:p>
        </w:tc>
        <w:tc>
          <w:tcPr>
            <w:tcW w:w="577" w:type="pct"/>
            <w:gridSpan w:val="4"/>
            <w:tcBorders>
              <w:top w:val="nil"/>
              <w:left w:val="nil"/>
              <w:bottom w:val="nil"/>
              <w:right w:val="nil"/>
            </w:tcBorders>
          </w:tcPr>
          <w:p w:rsidR="00897C1E" w:rsidRPr="00911315" w:rsidRDefault="00897C1E" w:rsidP="00F104E9">
            <w:pPr>
              <w:pStyle w:val="braytabletext"/>
              <w:jc w:val="right"/>
              <w:rPr>
                <w:szCs w:val="16"/>
              </w:rPr>
            </w:pPr>
            <w:r w:rsidRPr="00911315">
              <w:rPr>
                <w:szCs w:val="16"/>
              </w:rPr>
              <w:t>3.8</w:t>
            </w:r>
          </w:p>
        </w:tc>
      </w:tr>
      <w:tr w:rsidR="00897C1E" w:rsidRPr="00911315" w:rsidTr="008E57A0">
        <w:trPr>
          <w:gridBefore w:val="2"/>
          <w:wBefore w:w="24" w:type="pct"/>
          <w:trHeight w:val="290"/>
          <w:jc w:val="right"/>
        </w:trPr>
        <w:tc>
          <w:tcPr>
            <w:tcW w:w="993" w:type="pct"/>
            <w:tcBorders>
              <w:top w:val="nil"/>
              <w:left w:val="nil"/>
              <w:bottom w:val="nil"/>
              <w:right w:val="nil"/>
            </w:tcBorders>
          </w:tcPr>
          <w:p w:rsidR="00897C1E" w:rsidRPr="00911315" w:rsidRDefault="00897C1E" w:rsidP="00F104E9">
            <w:pPr>
              <w:pStyle w:val="braytabletext"/>
              <w:rPr>
                <w:szCs w:val="16"/>
              </w:rPr>
            </w:pPr>
            <w:r w:rsidRPr="00911315">
              <w:rPr>
                <w:szCs w:val="16"/>
              </w:rPr>
              <w:t xml:space="preserve">Total </w:t>
            </w:r>
          </w:p>
        </w:tc>
        <w:tc>
          <w:tcPr>
            <w:tcW w:w="576" w:type="pct"/>
            <w:gridSpan w:val="2"/>
            <w:tcBorders>
              <w:top w:val="nil"/>
              <w:left w:val="nil"/>
              <w:bottom w:val="nil"/>
              <w:right w:val="nil"/>
            </w:tcBorders>
          </w:tcPr>
          <w:p w:rsidR="00897C1E" w:rsidRPr="00911315" w:rsidRDefault="00897C1E" w:rsidP="00F104E9">
            <w:pPr>
              <w:pStyle w:val="braytabletext"/>
              <w:jc w:val="right"/>
              <w:rPr>
                <w:szCs w:val="16"/>
              </w:rPr>
            </w:pPr>
            <w:r w:rsidRPr="00911315">
              <w:rPr>
                <w:szCs w:val="16"/>
              </w:rPr>
              <w:t>100.0</w:t>
            </w:r>
          </w:p>
        </w:tc>
        <w:tc>
          <w:tcPr>
            <w:tcW w:w="564"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100.0</w:t>
            </w:r>
          </w:p>
        </w:tc>
        <w:tc>
          <w:tcPr>
            <w:tcW w:w="167" w:type="pct"/>
            <w:tcBorders>
              <w:top w:val="nil"/>
              <w:left w:val="nil"/>
              <w:bottom w:val="nil"/>
              <w:right w:val="nil"/>
            </w:tcBorders>
          </w:tcPr>
          <w:p w:rsidR="00897C1E" w:rsidRPr="00911315" w:rsidRDefault="00897C1E" w:rsidP="00F104E9">
            <w:pPr>
              <w:pStyle w:val="braytabletext"/>
              <w:jc w:val="right"/>
              <w:rPr>
                <w:szCs w:val="16"/>
              </w:rPr>
            </w:pPr>
          </w:p>
        </w:tc>
        <w:tc>
          <w:tcPr>
            <w:tcW w:w="483"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100.0</w:t>
            </w:r>
          </w:p>
        </w:tc>
        <w:tc>
          <w:tcPr>
            <w:tcW w:w="400" w:type="pct"/>
            <w:tcBorders>
              <w:top w:val="nil"/>
              <w:left w:val="nil"/>
              <w:bottom w:val="nil"/>
              <w:right w:val="nil"/>
            </w:tcBorders>
          </w:tcPr>
          <w:p w:rsidR="00897C1E" w:rsidRPr="00911315" w:rsidRDefault="00897C1E" w:rsidP="00F104E9">
            <w:pPr>
              <w:pStyle w:val="braytabletext"/>
              <w:jc w:val="right"/>
              <w:rPr>
                <w:szCs w:val="16"/>
              </w:rPr>
            </w:pPr>
            <w:r w:rsidRPr="00911315">
              <w:rPr>
                <w:szCs w:val="16"/>
              </w:rPr>
              <w:t>100.0</w:t>
            </w:r>
          </w:p>
        </w:tc>
        <w:tc>
          <w:tcPr>
            <w:tcW w:w="163" w:type="pct"/>
            <w:gridSpan w:val="2"/>
            <w:tcBorders>
              <w:top w:val="nil"/>
              <w:left w:val="nil"/>
              <w:bottom w:val="nil"/>
              <w:right w:val="nil"/>
            </w:tcBorders>
          </w:tcPr>
          <w:p w:rsidR="00897C1E" w:rsidRPr="00911315" w:rsidRDefault="00897C1E" w:rsidP="00F104E9">
            <w:pPr>
              <w:pStyle w:val="braytabletext"/>
              <w:jc w:val="right"/>
              <w:rPr>
                <w:szCs w:val="16"/>
              </w:rPr>
            </w:pPr>
          </w:p>
        </w:tc>
        <w:tc>
          <w:tcPr>
            <w:tcW w:w="483" w:type="pct"/>
            <w:gridSpan w:val="3"/>
            <w:tcBorders>
              <w:top w:val="nil"/>
              <w:left w:val="nil"/>
              <w:bottom w:val="nil"/>
              <w:right w:val="nil"/>
            </w:tcBorders>
          </w:tcPr>
          <w:p w:rsidR="00897C1E" w:rsidRPr="00911315" w:rsidRDefault="00897C1E" w:rsidP="00F104E9">
            <w:pPr>
              <w:pStyle w:val="braytabletext"/>
              <w:jc w:val="right"/>
              <w:rPr>
                <w:szCs w:val="16"/>
              </w:rPr>
            </w:pPr>
            <w:r w:rsidRPr="00911315">
              <w:rPr>
                <w:szCs w:val="16"/>
              </w:rPr>
              <w:t>100.0</w:t>
            </w:r>
          </w:p>
        </w:tc>
        <w:tc>
          <w:tcPr>
            <w:tcW w:w="166" w:type="pct"/>
            <w:gridSpan w:val="2"/>
            <w:tcBorders>
              <w:top w:val="nil"/>
              <w:left w:val="nil"/>
              <w:bottom w:val="nil"/>
              <w:right w:val="nil"/>
            </w:tcBorders>
          </w:tcPr>
          <w:p w:rsidR="00897C1E" w:rsidRPr="00911315" w:rsidRDefault="00897C1E" w:rsidP="00F104E9">
            <w:pPr>
              <w:pStyle w:val="braytabletext"/>
              <w:jc w:val="right"/>
              <w:rPr>
                <w:szCs w:val="16"/>
              </w:rPr>
            </w:pPr>
          </w:p>
        </w:tc>
        <w:tc>
          <w:tcPr>
            <w:tcW w:w="403" w:type="pct"/>
            <w:gridSpan w:val="2"/>
            <w:tcBorders>
              <w:top w:val="nil"/>
              <w:left w:val="nil"/>
              <w:bottom w:val="nil"/>
              <w:right w:val="nil"/>
            </w:tcBorders>
          </w:tcPr>
          <w:p w:rsidR="00897C1E" w:rsidRPr="00911315" w:rsidRDefault="00897C1E" w:rsidP="00F104E9">
            <w:pPr>
              <w:pStyle w:val="braytabletext"/>
              <w:jc w:val="right"/>
              <w:rPr>
                <w:szCs w:val="16"/>
              </w:rPr>
            </w:pPr>
            <w:r w:rsidRPr="00911315">
              <w:rPr>
                <w:szCs w:val="16"/>
              </w:rPr>
              <w:t>100.0</w:t>
            </w:r>
          </w:p>
        </w:tc>
        <w:tc>
          <w:tcPr>
            <w:tcW w:w="577" w:type="pct"/>
            <w:gridSpan w:val="4"/>
            <w:tcBorders>
              <w:top w:val="nil"/>
              <w:left w:val="nil"/>
              <w:bottom w:val="nil"/>
              <w:right w:val="nil"/>
            </w:tcBorders>
          </w:tcPr>
          <w:p w:rsidR="00897C1E" w:rsidRPr="00911315" w:rsidRDefault="00897C1E" w:rsidP="00F104E9">
            <w:pPr>
              <w:pStyle w:val="braytabletext"/>
              <w:jc w:val="right"/>
              <w:rPr>
                <w:szCs w:val="16"/>
              </w:rPr>
            </w:pPr>
            <w:r w:rsidRPr="00911315">
              <w:rPr>
                <w:szCs w:val="16"/>
              </w:rPr>
              <w:t>100.0</w:t>
            </w:r>
          </w:p>
        </w:tc>
      </w:tr>
      <w:tr w:rsidR="00897C1E" w:rsidRPr="00911315" w:rsidTr="008E57A0">
        <w:tblPrEx>
          <w:tblLook w:val="04A0" w:firstRow="1" w:lastRow="0" w:firstColumn="1" w:lastColumn="0" w:noHBand="0" w:noVBand="1"/>
        </w:tblPrEx>
        <w:trPr>
          <w:gridBefore w:val="1"/>
          <w:wBefore w:w="19" w:type="pct"/>
          <w:trHeight w:val="288"/>
          <w:jc w:val="right"/>
        </w:trPr>
        <w:tc>
          <w:tcPr>
            <w:tcW w:w="999" w:type="pct"/>
            <w:gridSpan w:val="2"/>
            <w:tcBorders>
              <w:top w:val="single" w:sz="4" w:space="0" w:color="auto"/>
              <w:left w:val="nil"/>
              <w:bottom w:val="single" w:sz="4" w:space="0" w:color="auto"/>
              <w:right w:val="nil"/>
            </w:tcBorders>
            <w:shd w:val="clear" w:color="auto" w:fill="auto"/>
            <w:noWrap/>
            <w:vAlign w:val="bottom"/>
            <w:hideMark/>
          </w:tcPr>
          <w:p w:rsidR="00897C1E" w:rsidRPr="00911315" w:rsidRDefault="00897C1E" w:rsidP="00F104E9">
            <w:pPr>
              <w:pStyle w:val="braytabletext"/>
              <w:rPr>
                <w:szCs w:val="16"/>
              </w:rPr>
            </w:pPr>
            <w:r w:rsidRPr="00911315">
              <w:rPr>
                <w:szCs w:val="16"/>
              </w:rPr>
              <w:t>Survey participants</w:t>
            </w:r>
          </w:p>
        </w:tc>
        <w:tc>
          <w:tcPr>
            <w:tcW w:w="576" w:type="pct"/>
            <w:gridSpan w:val="2"/>
            <w:tcBorders>
              <w:top w:val="single" w:sz="4" w:space="0" w:color="auto"/>
              <w:left w:val="nil"/>
              <w:bottom w:val="single" w:sz="4" w:space="0" w:color="auto"/>
              <w:right w:val="nil"/>
            </w:tcBorders>
            <w:shd w:val="clear" w:color="auto" w:fill="auto"/>
            <w:noWrap/>
            <w:vAlign w:val="bottom"/>
            <w:hideMark/>
          </w:tcPr>
          <w:p w:rsidR="00897C1E" w:rsidRPr="00911315" w:rsidRDefault="00897C1E" w:rsidP="00F104E9">
            <w:pPr>
              <w:pStyle w:val="braytabletext"/>
              <w:jc w:val="right"/>
              <w:rPr>
                <w:szCs w:val="16"/>
              </w:rPr>
            </w:pPr>
            <w:r w:rsidRPr="00911315">
              <w:rPr>
                <w:szCs w:val="16"/>
              </w:rPr>
              <w:t>244</w:t>
            </w:r>
          </w:p>
        </w:tc>
        <w:tc>
          <w:tcPr>
            <w:tcW w:w="564" w:type="pct"/>
            <w:tcBorders>
              <w:top w:val="single" w:sz="4" w:space="0" w:color="auto"/>
              <w:left w:val="nil"/>
              <w:bottom w:val="single" w:sz="4" w:space="0" w:color="auto"/>
              <w:right w:val="nil"/>
            </w:tcBorders>
            <w:shd w:val="clear" w:color="auto" w:fill="auto"/>
            <w:noWrap/>
            <w:vAlign w:val="bottom"/>
            <w:hideMark/>
          </w:tcPr>
          <w:p w:rsidR="00897C1E" w:rsidRPr="00911315" w:rsidRDefault="00897C1E" w:rsidP="00F104E9">
            <w:pPr>
              <w:pStyle w:val="braytabletext"/>
              <w:jc w:val="right"/>
              <w:rPr>
                <w:szCs w:val="16"/>
              </w:rPr>
            </w:pPr>
            <w:r w:rsidRPr="00911315">
              <w:rPr>
                <w:szCs w:val="16"/>
              </w:rPr>
              <w:t>168</w:t>
            </w:r>
          </w:p>
        </w:tc>
        <w:tc>
          <w:tcPr>
            <w:tcW w:w="167" w:type="pct"/>
            <w:tcBorders>
              <w:top w:val="single" w:sz="4" w:space="0" w:color="auto"/>
              <w:left w:val="nil"/>
              <w:bottom w:val="single" w:sz="4" w:space="0" w:color="auto"/>
              <w:right w:val="nil"/>
            </w:tcBorders>
            <w:shd w:val="clear" w:color="auto" w:fill="auto"/>
            <w:noWrap/>
            <w:vAlign w:val="bottom"/>
            <w:hideMark/>
          </w:tcPr>
          <w:p w:rsidR="00897C1E" w:rsidRPr="00911315" w:rsidRDefault="00897C1E" w:rsidP="00F104E9">
            <w:pPr>
              <w:pStyle w:val="braytabletext"/>
              <w:jc w:val="right"/>
              <w:rPr>
                <w:szCs w:val="16"/>
              </w:rPr>
            </w:pPr>
          </w:p>
        </w:tc>
        <w:tc>
          <w:tcPr>
            <w:tcW w:w="483" w:type="pct"/>
            <w:tcBorders>
              <w:top w:val="single" w:sz="4" w:space="0" w:color="auto"/>
              <w:left w:val="nil"/>
              <w:bottom w:val="single" w:sz="4" w:space="0" w:color="auto"/>
              <w:right w:val="nil"/>
            </w:tcBorders>
            <w:shd w:val="clear" w:color="auto" w:fill="auto"/>
            <w:noWrap/>
            <w:vAlign w:val="bottom"/>
            <w:hideMark/>
          </w:tcPr>
          <w:p w:rsidR="00897C1E" w:rsidRPr="00911315" w:rsidRDefault="00897C1E" w:rsidP="00F104E9">
            <w:pPr>
              <w:pStyle w:val="braytabletext"/>
              <w:jc w:val="right"/>
              <w:rPr>
                <w:szCs w:val="16"/>
              </w:rPr>
            </w:pPr>
            <w:r w:rsidRPr="00911315">
              <w:rPr>
                <w:szCs w:val="16"/>
              </w:rPr>
              <w:t>128</w:t>
            </w:r>
          </w:p>
        </w:tc>
        <w:tc>
          <w:tcPr>
            <w:tcW w:w="400" w:type="pct"/>
            <w:tcBorders>
              <w:top w:val="single" w:sz="4" w:space="0" w:color="auto"/>
              <w:left w:val="nil"/>
              <w:bottom w:val="single" w:sz="4" w:space="0" w:color="auto"/>
              <w:right w:val="nil"/>
            </w:tcBorders>
          </w:tcPr>
          <w:p w:rsidR="00897C1E" w:rsidRPr="00911315" w:rsidRDefault="00897C1E" w:rsidP="00F104E9">
            <w:pPr>
              <w:pStyle w:val="braytabletext"/>
              <w:jc w:val="right"/>
              <w:rPr>
                <w:szCs w:val="16"/>
              </w:rPr>
            </w:pPr>
            <w:r w:rsidRPr="00911315">
              <w:rPr>
                <w:szCs w:val="16"/>
              </w:rPr>
              <w:t>33</w:t>
            </w:r>
          </w:p>
        </w:tc>
        <w:tc>
          <w:tcPr>
            <w:tcW w:w="158" w:type="pct"/>
            <w:tcBorders>
              <w:top w:val="single" w:sz="4" w:space="0" w:color="auto"/>
              <w:left w:val="nil"/>
              <w:bottom w:val="single" w:sz="4" w:space="0" w:color="auto"/>
              <w:right w:val="nil"/>
            </w:tcBorders>
            <w:shd w:val="clear" w:color="auto" w:fill="auto"/>
            <w:noWrap/>
            <w:vAlign w:val="bottom"/>
            <w:hideMark/>
          </w:tcPr>
          <w:p w:rsidR="00897C1E" w:rsidRPr="00911315" w:rsidRDefault="00897C1E" w:rsidP="00F104E9">
            <w:pPr>
              <w:pStyle w:val="braytabletext"/>
              <w:jc w:val="right"/>
              <w:rPr>
                <w:szCs w:val="16"/>
              </w:rPr>
            </w:pPr>
          </w:p>
        </w:tc>
        <w:tc>
          <w:tcPr>
            <w:tcW w:w="479" w:type="pct"/>
            <w:gridSpan w:val="3"/>
            <w:tcBorders>
              <w:top w:val="single" w:sz="4" w:space="0" w:color="auto"/>
              <w:left w:val="nil"/>
              <w:bottom w:val="single" w:sz="4" w:space="0" w:color="auto"/>
              <w:right w:val="nil"/>
            </w:tcBorders>
            <w:shd w:val="clear" w:color="auto" w:fill="auto"/>
            <w:noWrap/>
            <w:vAlign w:val="bottom"/>
            <w:hideMark/>
          </w:tcPr>
          <w:p w:rsidR="00897C1E" w:rsidRPr="00911315" w:rsidRDefault="00897C1E" w:rsidP="00F104E9">
            <w:pPr>
              <w:pStyle w:val="braytabletext"/>
              <w:jc w:val="right"/>
              <w:rPr>
                <w:szCs w:val="16"/>
              </w:rPr>
            </w:pPr>
            <w:r w:rsidRPr="00911315">
              <w:rPr>
                <w:szCs w:val="16"/>
              </w:rPr>
              <w:t>184</w:t>
            </w:r>
          </w:p>
        </w:tc>
        <w:tc>
          <w:tcPr>
            <w:tcW w:w="159" w:type="pct"/>
            <w:gridSpan w:val="2"/>
            <w:tcBorders>
              <w:top w:val="single" w:sz="4" w:space="0" w:color="auto"/>
              <w:left w:val="nil"/>
              <w:bottom w:val="single" w:sz="4" w:space="0" w:color="auto"/>
              <w:right w:val="nil"/>
            </w:tcBorders>
            <w:shd w:val="clear" w:color="auto" w:fill="auto"/>
            <w:noWrap/>
            <w:vAlign w:val="bottom"/>
            <w:hideMark/>
          </w:tcPr>
          <w:p w:rsidR="00897C1E" w:rsidRPr="00911315" w:rsidRDefault="00897C1E" w:rsidP="00F104E9">
            <w:pPr>
              <w:pStyle w:val="braytabletext"/>
              <w:jc w:val="right"/>
              <w:rPr>
                <w:szCs w:val="16"/>
              </w:rPr>
            </w:pPr>
          </w:p>
        </w:tc>
        <w:tc>
          <w:tcPr>
            <w:tcW w:w="398" w:type="pct"/>
            <w:gridSpan w:val="2"/>
            <w:tcBorders>
              <w:top w:val="single" w:sz="4" w:space="0" w:color="auto"/>
              <w:left w:val="nil"/>
              <w:bottom w:val="single" w:sz="4" w:space="0" w:color="auto"/>
              <w:right w:val="nil"/>
            </w:tcBorders>
            <w:shd w:val="clear" w:color="auto" w:fill="auto"/>
            <w:noWrap/>
            <w:vAlign w:val="bottom"/>
            <w:hideMark/>
          </w:tcPr>
          <w:p w:rsidR="00897C1E" w:rsidRPr="00911315" w:rsidRDefault="00897C1E" w:rsidP="00F104E9">
            <w:pPr>
              <w:pStyle w:val="braytabletext"/>
              <w:jc w:val="right"/>
              <w:rPr>
                <w:szCs w:val="16"/>
              </w:rPr>
            </w:pPr>
            <w:r w:rsidRPr="00911315">
              <w:rPr>
                <w:szCs w:val="16"/>
              </w:rPr>
              <w:t>199</w:t>
            </w:r>
          </w:p>
        </w:tc>
        <w:tc>
          <w:tcPr>
            <w:tcW w:w="598" w:type="pct"/>
            <w:gridSpan w:val="5"/>
            <w:tcBorders>
              <w:top w:val="single" w:sz="4" w:space="0" w:color="auto"/>
              <w:left w:val="nil"/>
              <w:bottom w:val="single" w:sz="4" w:space="0" w:color="auto"/>
              <w:right w:val="nil"/>
            </w:tcBorders>
            <w:shd w:val="clear" w:color="auto" w:fill="auto"/>
            <w:noWrap/>
            <w:vAlign w:val="bottom"/>
            <w:hideMark/>
          </w:tcPr>
          <w:p w:rsidR="00897C1E" w:rsidRPr="00911315" w:rsidRDefault="00897C1E" w:rsidP="00F104E9">
            <w:pPr>
              <w:pStyle w:val="braytabletext"/>
              <w:jc w:val="right"/>
              <w:rPr>
                <w:szCs w:val="16"/>
              </w:rPr>
            </w:pPr>
            <w:r w:rsidRPr="00911315">
              <w:rPr>
                <w:szCs w:val="16"/>
              </w:rPr>
              <w:t>106</w:t>
            </w:r>
          </w:p>
        </w:tc>
      </w:tr>
    </w:tbl>
    <w:p w:rsidR="00D96A58" w:rsidRPr="00FF16A3" w:rsidRDefault="00A57B4E" w:rsidP="00FF16A3">
      <w:pPr>
        <w:pStyle w:val="tablefootnotes"/>
      </w:pPr>
      <w:r w:rsidRPr="00FF16A3">
        <w:t>Notes:</w:t>
      </w:r>
    </w:p>
    <w:p w:rsidR="00897C1E" w:rsidRDefault="00FF16A3" w:rsidP="00CF518E">
      <w:pPr>
        <w:pStyle w:val="tablefootnotes"/>
      </w:pPr>
      <w:r>
        <w:t>(a)</w:t>
      </w:r>
      <w:r>
        <w:tab/>
      </w:r>
      <w:r w:rsidR="00897C1E" w:rsidRPr="00FF16A3">
        <w:t>Excludes those who did not answer the question.</w:t>
      </w:r>
    </w:p>
    <w:p w:rsidR="00B834CA" w:rsidRPr="00FF16A3" w:rsidRDefault="00B834CA" w:rsidP="00CF518E">
      <w:pPr>
        <w:pStyle w:val="tablefootnotes"/>
      </w:pPr>
      <w:r>
        <w:t>(b)</w:t>
      </w:r>
      <w:r>
        <w:tab/>
        <w:t>At least one is a ‘bit of problem’ but none are a ‘big problem’</w:t>
      </w:r>
      <w:r w:rsidR="00CB5D8B">
        <w:t>.</w:t>
      </w:r>
    </w:p>
    <w:p w:rsidR="00897C1E" w:rsidRPr="00FF16A3" w:rsidRDefault="00897C1E" w:rsidP="00FF16A3">
      <w:pPr>
        <w:pStyle w:val="tablefootnotes"/>
      </w:pPr>
      <w:r w:rsidRPr="00FF16A3">
        <w:t xml:space="preserve">Source: </w:t>
      </w:r>
      <w:r w:rsidR="00FF16A3">
        <w:tab/>
      </w:r>
      <w:r w:rsidRPr="00FF16A3">
        <w:t>LSNIM, Wave 1.</w:t>
      </w:r>
    </w:p>
    <w:p w:rsidR="0016195A" w:rsidRPr="005911E2" w:rsidRDefault="0016195A" w:rsidP="00CF78DB">
      <w:pPr>
        <w:pStyle w:val="tablefootnotes"/>
      </w:pPr>
    </w:p>
    <w:p w:rsidR="0016195A" w:rsidRPr="005911E2" w:rsidRDefault="0016195A" w:rsidP="0016195A">
      <w:pPr>
        <w:pStyle w:val="BodyText"/>
        <w:rPr>
          <w:lang w:eastAsia="en-US"/>
        </w:rPr>
      </w:pPr>
      <w:bookmarkStart w:id="999" w:name="_Toc322470832"/>
      <w:r w:rsidRPr="005911E2">
        <w:rPr>
          <w:lang w:eastAsia="en-US"/>
        </w:rPr>
        <w:t xml:space="preserve">There were also marked differences in the proportion reporting these </w:t>
      </w:r>
      <w:r>
        <w:rPr>
          <w:lang w:eastAsia="en-US"/>
        </w:rPr>
        <w:t xml:space="preserve">as </w:t>
      </w:r>
      <w:r w:rsidRPr="005911E2">
        <w:rPr>
          <w:lang w:eastAsia="en-US"/>
        </w:rPr>
        <w:t xml:space="preserve">being a problem for their family between NTER and non-NTER areas, in particular for Indigenous people on </w:t>
      </w:r>
      <w:r>
        <w:rPr>
          <w:lang w:eastAsia="en-US"/>
        </w:rPr>
        <w:t>a compulsory measure</w:t>
      </w:r>
      <w:r w:rsidRPr="005911E2">
        <w:rPr>
          <w:lang w:eastAsia="en-US"/>
        </w:rPr>
        <w:t xml:space="preserve">. </w:t>
      </w:r>
      <w:r>
        <w:rPr>
          <w:lang w:eastAsia="en-US"/>
        </w:rPr>
        <w:t>For people in NTER areas, 57</w:t>
      </w:r>
      <w:r w:rsidRPr="005911E2">
        <w:rPr>
          <w:lang w:eastAsia="en-US"/>
        </w:rPr>
        <w:t xml:space="preserve"> per cent of those on </w:t>
      </w:r>
      <w:r>
        <w:rPr>
          <w:lang w:eastAsia="en-US"/>
        </w:rPr>
        <w:t>a compulsory measure</w:t>
      </w:r>
      <w:r w:rsidRPr="005911E2">
        <w:rPr>
          <w:lang w:eastAsia="en-US"/>
        </w:rPr>
        <w:t xml:space="preserve"> reported that their families experience one of these problems, double the rate of those in non-NTER areas. </w:t>
      </w:r>
    </w:p>
    <w:p w:rsidR="0016195A" w:rsidRPr="005911E2" w:rsidRDefault="0016195A" w:rsidP="0016195A">
      <w:pPr>
        <w:pStyle w:val="BodyText"/>
        <w:rPr>
          <w:lang w:eastAsia="en-US"/>
        </w:rPr>
      </w:pPr>
      <w:r w:rsidRPr="005911E2">
        <w:rPr>
          <w:lang w:eastAsia="en-US"/>
        </w:rPr>
        <w:t xml:space="preserve">Men were a little more likely to report problems than women. For example amongst Indigenous people on </w:t>
      </w:r>
      <w:r>
        <w:rPr>
          <w:lang w:eastAsia="en-US"/>
        </w:rPr>
        <w:t>compulsory measures</w:t>
      </w:r>
      <w:r w:rsidRPr="005911E2">
        <w:rPr>
          <w:lang w:eastAsia="en-US"/>
        </w:rPr>
        <w:t>, 47</w:t>
      </w:r>
      <w:r w:rsidR="00B834CA">
        <w:rPr>
          <w:lang w:eastAsia="en-US"/>
        </w:rPr>
        <w:t> </w:t>
      </w:r>
      <w:r w:rsidRPr="005911E2">
        <w:rPr>
          <w:lang w:eastAsia="en-US"/>
        </w:rPr>
        <w:t>per cent of men and 43 per cent of women reported one or more of these three problems. However</w:t>
      </w:r>
      <w:r>
        <w:rPr>
          <w:lang w:eastAsia="en-US"/>
        </w:rPr>
        <w:t>,</w:t>
      </w:r>
      <w:r w:rsidRPr="005911E2">
        <w:rPr>
          <w:lang w:eastAsia="en-US"/>
        </w:rPr>
        <w:t xml:space="preserve"> when women identified a problem they were more likely to identify it as being ‘very big’ – with 17 per cent reporting at least one very big problem in contrast to just 8 per cent of men. </w:t>
      </w:r>
    </w:p>
    <w:p w:rsidR="00897C1E" w:rsidRPr="005911E2" w:rsidRDefault="0031584C" w:rsidP="00616B0F">
      <w:pPr>
        <w:pStyle w:val="Heading2"/>
      </w:pPr>
      <w:bookmarkStart w:id="1000" w:name="_Toc328601530"/>
      <w:bookmarkStart w:id="1001" w:name="_Toc329870411"/>
      <w:bookmarkStart w:id="1002" w:name="_Toc335915797"/>
      <w:r>
        <w:t>The impa</w:t>
      </w:r>
      <w:r w:rsidR="00897C1E" w:rsidRPr="005911E2">
        <w:t xml:space="preserve">ct of </w:t>
      </w:r>
      <w:bookmarkEnd w:id="999"/>
      <w:r w:rsidR="00F878E4">
        <w:t>income management</w:t>
      </w:r>
      <w:bookmarkEnd w:id="1000"/>
      <w:bookmarkEnd w:id="1001"/>
      <w:bookmarkEnd w:id="1002"/>
    </w:p>
    <w:p w:rsidR="00897C1E" w:rsidRPr="005911E2" w:rsidRDefault="00897C1E" w:rsidP="00897C1E">
      <w:pPr>
        <w:pStyle w:val="BodyText"/>
      </w:pPr>
      <w:r w:rsidRPr="005911E2">
        <w:rPr>
          <w:lang w:eastAsia="en-US"/>
        </w:rPr>
        <w:t xml:space="preserve">This section focuses on the perceptions of the changes that have arisen from the introduction of NIM. </w:t>
      </w:r>
      <w:r w:rsidR="00A06FCB">
        <w:rPr>
          <w:lang w:eastAsia="en-US"/>
        </w:rPr>
        <w:t>As</w:t>
      </w:r>
      <w:r w:rsidRPr="005911E2">
        <w:rPr>
          <w:lang w:eastAsia="en-US"/>
        </w:rPr>
        <w:t xml:space="preserve"> the survey first went into the field after NIM was introduced, it needs to rely on people’s recall of how things were before </w:t>
      </w:r>
      <w:r w:rsidR="00F878E4">
        <w:rPr>
          <w:lang w:eastAsia="en-US"/>
        </w:rPr>
        <w:t>income management</w:t>
      </w:r>
      <w:r w:rsidRPr="005911E2">
        <w:rPr>
          <w:lang w:eastAsia="en-US"/>
        </w:rPr>
        <w:t xml:space="preserve"> and the changes over time.</w:t>
      </w:r>
      <w:r w:rsidRPr="005911E2">
        <w:rPr>
          <w:rStyle w:val="FootnoteReference"/>
        </w:rPr>
        <w:footnoteReference w:id="104"/>
      </w:r>
    </w:p>
    <w:p w:rsidR="00897C1E" w:rsidRPr="005911E2" w:rsidRDefault="00897C1E" w:rsidP="00BD6DFD">
      <w:pPr>
        <w:pStyle w:val="Heading3"/>
      </w:pPr>
      <w:r w:rsidRPr="005911E2">
        <w:t xml:space="preserve">NTER </w:t>
      </w:r>
      <w:r w:rsidR="00F878E4">
        <w:t>income management</w:t>
      </w:r>
    </w:p>
    <w:p w:rsidR="00897C1E" w:rsidRPr="005911E2" w:rsidRDefault="00897C1E" w:rsidP="00897C1E">
      <w:pPr>
        <w:pStyle w:val="BodyText"/>
        <w:rPr>
          <w:lang w:eastAsia="en-US"/>
        </w:rPr>
      </w:pPr>
      <w:r w:rsidRPr="005911E2">
        <w:rPr>
          <w:lang w:eastAsia="en-US"/>
        </w:rPr>
        <w:t>A</w:t>
      </w:r>
      <w:r w:rsidR="00950933">
        <w:rPr>
          <w:lang w:eastAsia="en-US"/>
        </w:rPr>
        <w:t>s</w:t>
      </w:r>
      <w:r w:rsidRPr="005911E2">
        <w:rPr>
          <w:lang w:eastAsia="en-US"/>
        </w:rPr>
        <w:t xml:space="preserve"> discussed previously a potential confounding factor in measuring the impact of NIM is the role of the NTER and the high proportion of the survey participants who had been subject to </w:t>
      </w:r>
      <w:r w:rsidR="00F878E4">
        <w:rPr>
          <w:lang w:eastAsia="en-US"/>
        </w:rPr>
        <w:t>income management</w:t>
      </w:r>
      <w:r w:rsidRPr="005911E2">
        <w:rPr>
          <w:lang w:eastAsia="en-US"/>
        </w:rPr>
        <w:t xml:space="preserve"> under the NTER.</w:t>
      </w:r>
    </w:p>
    <w:p w:rsidR="00897C1E" w:rsidRDefault="00897C1E" w:rsidP="00897C1E">
      <w:pPr>
        <w:pStyle w:val="BodyText"/>
        <w:rPr>
          <w:lang w:eastAsia="en-US"/>
        </w:rPr>
      </w:pPr>
      <w:r w:rsidRPr="005911E2">
        <w:rPr>
          <w:lang w:eastAsia="en-US"/>
        </w:rPr>
        <w:t xml:space="preserve">In the case of those who had been on NTER IM, their experience of </w:t>
      </w:r>
      <w:r w:rsidR="00F878E4">
        <w:rPr>
          <w:lang w:eastAsia="en-US"/>
        </w:rPr>
        <w:t>income management</w:t>
      </w:r>
      <w:r w:rsidRPr="005911E2">
        <w:rPr>
          <w:lang w:eastAsia="en-US"/>
        </w:rPr>
        <w:t xml:space="preserve"> may include several years being income managed under a combination </w:t>
      </w:r>
      <w:r w:rsidR="0016195A">
        <w:rPr>
          <w:lang w:eastAsia="en-US"/>
        </w:rPr>
        <w:t>of</w:t>
      </w:r>
      <w:r w:rsidRPr="005911E2">
        <w:rPr>
          <w:lang w:eastAsia="en-US"/>
        </w:rPr>
        <w:t xml:space="preserve"> NTER IM</w:t>
      </w:r>
      <w:r w:rsidR="0016195A">
        <w:rPr>
          <w:lang w:eastAsia="en-US"/>
        </w:rPr>
        <w:t xml:space="preserve"> and then NIM</w:t>
      </w:r>
      <w:r w:rsidRPr="005911E2">
        <w:rPr>
          <w:lang w:eastAsia="en-US"/>
        </w:rPr>
        <w:t>. Over half (56 per cent) of the people surveyed in the</w:t>
      </w:r>
      <w:r w:rsidR="006435C8">
        <w:rPr>
          <w:lang w:eastAsia="en-US"/>
        </w:rPr>
        <w:t xml:space="preserve"> Northern Territory </w:t>
      </w:r>
      <w:r w:rsidRPr="005911E2">
        <w:rPr>
          <w:lang w:eastAsia="en-US"/>
        </w:rPr>
        <w:t>had been subject to the NTER IM (</w:t>
      </w:r>
      <w:r w:rsidR="006F14AA" w:rsidRPr="005911E2">
        <w:t xml:space="preserve">Table </w:t>
      </w:r>
      <w:r w:rsidR="006F14AA" w:rsidRPr="005911E2">
        <w:rPr>
          <w:noProof/>
        </w:rPr>
        <w:t>10</w:t>
      </w:r>
      <w:r w:rsidR="006F14AA" w:rsidRPr="005911E2">
        <w:noBreakHyphen/>
      </w:r>
      <w:r w:rsidR="006F14AA" w:rsidRPr="005911E2">
        <w:rPr>
          <w:noProof/>
        </w:rPr>
        <w:t>4</w:t>
      </w:r>
      <w:r w:rsidRPr="005911E2">
        <w:rPr>
          <w:lang w:eastAsia="en-US"/>
        </w:rPr>
        <w:t xml:space="preserve">). This included almost all (96 per cent) of Indigenous people on </w:t>
      </w:r>
      <w:r w:rsidR="002B5A5C">
        <w:rPr>
          <w:lang w:eastAsia="en-US"/>
        </w:rPr>
        <w:t>Voluntary Income Management</w:t>
      </w:r>
      <w:r w:rsidRPr="005911E2">
        <w:rPr>
          <w:lang w:eastAsia="en-US"/>
        </w:rPr>
        <w:t xml:space="preserve"> and 68 per cent of those subject to </w:t>
      </w:r>
      <w:r w:rsidR="00705DD1">
        <w:rPr>
          <w:lang w:eastAsia="en-US"/>
        </w:rPr>
        <w:t>c</w:t>
      </w:r>
      <w:r w:rsidR="004808B3">
        <w:rPr>
          <w:lang w:eastAsia="en-US"/>
        </w:rPr>
        <w:t xml:space="preserve">ompulsory </w:t>
      </w:r>
      <w:r w:rsidR="00705DD1">
        <w:rPr>
          <w:lang w:eastAsia="en-US"/>
        </w:rPr>
        <w:t>measures</w:t>
      </w:r>
      <w:r w:rsidRPr="005911E2">
        <w:rPr>
          <w:lang w:eastAsia="en-US"/>
        </w:rPr>
        <w:t xml:space="preserve">. In </w:t>
      </w:r>
      <w:r w:rsidR="00950933">
        <w:rPr>
          <w:lang w:eastAsia="en-US"/>
        </w:rPr>
        <w:t>comparison</w:t>
      </w:r>
      <w:r w:rsidR="00B834CA">
        <w:rPr>
          <w:lang w:eastAsia="en-US"/>
        </w:rPr>
        <w:t>,</w:t>
      </w:r>
      <w:r w:rsidRPr="005911E2">
        <w:rPr>
          <w:lang w:eastAsia="en-US"/>
        </w:rPr>
        <w:t xml:space="preserve"> </w:t>
      </w:r>
      <w:r w:rsidR="00EA1B30">
        <w:rPr>
          <w:lang w:eastAsia="en-US"/>
        </w:rPr>
        <w:t>2</w:t>
      </w:r>
      <w:r w:rsidR="00EA1B30" w:rsidRPr="005911E2">
        <w:rPr>
          <w:lang w:eastAsia="en-US"/>
        </w:rPr>
        <w:t xml:space="preserve"> </w:t>
      </w:r>
      <w:r w:rsidRPr="005911E2">
        <w:rPr>
          <w:lang w:eastAsia="en-US"/>
        </w:rPr>
        <w:t xml:space="preserve">per cent of non-Indigenous people whose income was compulsorily managed had been subject to </w:t>
      </w:r>
      <w:r w:rsidR="00F878E4">
        <w:rPr>
          <w:lang w:eastAsia="en-US"/>
        </w:rPr>
        <w:t>income management</w:t>
      </w:r>
      <w:r w:rsidRPr="005911E2">
        <w:rPr>
          <w:lang w:eastAsia="en-US"/>
        </w:rPr>
        <w:t xml:space="preserve"> under the NTER. </w:t>
      </w:r>
    </w:p>
    <w:p w:rsidR="00E15AAB" w:rsidRPr="005911E2" w:rsidRDefault="00E15AAB" w:rsidP="00E15AAB">
      <w:pPr>
        <w:pStyle w:val="BodyText"/>
        <w:rPr>
          <w:lang w:eastAsia="en-US"/>
        </w:rPr>
      </w:pPr>
      <w:r w:rsidRPr="005911E2">
        <w:rPr>
          <w:lang w:eastAsia="en-US"/>
        </w:rPr>
        <w:t>The second potential impact concerns whether or not people were living in an NTER location (at the time of the fieldwork for the first wave of the LSNIM in late 2011 or early 2012).</w:t>
      </w:r>
      <w:r w:rsidRPr="005911E2">
        <w:rPr>
          <w:rStyle w:val="FootnoteReference"/>
        </w:rPr>
        <w:footnoteReference w:id="105"/>
      </w:r>
      <w:r w:rsidRPr="005911E2">
        <w:rPr>
          <w:lang w:eastAsia="en-US"/>
        </w:rPr>
        <w:t xml:space="preserve"> The proportion living in NTER locations was slightly lower than the proportion that had been on NTER IM. Taking the survey participants in the</w:t>
      </w:r>
      <w:r w:rsidR="006435C8">
        <w:rPr>
          <w:lang w:eastAsia="en-US"/>
        </w:rPr>
        <w:t xml:space="preserve"> Northern Territory </w:t>
      </w:r>
      <w:r w:rsidRPr="005911E2">
        <w:rPr>
          <w:lang w:eastAsia="en-US"/>
        </w:rPr>
        <w:t>as a whole, 48 per cent were living in NTER areas, including:</w:t>
      </w:r>
    </w:p>
    <w:p w:rsidR="00E15AAB" w:rsidRPr="005911E2" w:rsidRDefault="00E15AAB" w:rsidP="00911315">
      <w:pPr>
        <w:pStyle w:val="ListBullet"/>
      </w:pPr>
      <w:r w:rsidRPr="005911E2">
        <w:t>80 per cent of Indigenous survey participants who were on</w:t>
      </w:r>
      <w:r>
        <w:t xml:space="preserve"> Voluntary Income Management</w:t>
      </w:r>
      <w:r w:rsidRPr="005911E2">
        <w:t xml:space="preserve"> </w:t>
      </w:r>
    </w:p>
    <w:p w:rsidR="00E15AAB" w:rsidRPr="005911E2" w:rsidRDefault="00E15AAB" w:rsidP="00911315">
      <w:pPr>
        <w:pStyle w:val="ListBullet"/>
      </w:pPr>
      <w:r w:rsidRPr="005911E2">
        <w:t xml:space="preserve">59 per cent of Indigenous survey participants subject to </w:t>
      </w:r>
      <w:r>
        <w:t>compulsory measures</w:t>
      </w:r>
    </w:p>
    <w:p w:rsidR="00E15AAB" w:rsidRPr="005911E2" w:rsidRDefault="00E15AAB" w:rsidP="00911315">
      <w:pPr>
        <w:pStyle w:val="ListBullet"/>
      </w:pPr>
      <w:r w:rsidRPr="005911E2">
        <w:t xml:space="preserve">1 per cent of non-Indigenous survey participants subject to </w:t>
      </w:r>
      <w:r>
        <w:t>compulsory measures</w:t>
      </w:r>
      <w:r w:rsidRPr="005911E2">
        <w:t>.</w:t>
      </w:r>
    </w:p>
    <w:p w:rsidR="00897C1E" w:rsidRPr="005911E2" w:rsidRDefault="00897C1E" w:rsidP="00897C1E">
      <w:pPr>
        <w:pStyle w:val="tabfighead"/>
      </w:pPr>
      <w:bookmarkStart w:id="1003" w:name="_Ref323940853"/>
      <w:bookmarkStart w:id="1004" w:name="_Toc322470920"/>
      <w:bookmarkStart w:id="1005" w:name="_Toc328601632"/>
      <w:bookmarkStart w:id="1006" w:name="_Toc329051410"/>
      <w:bookmarkStart w:id="1007" w:name="_Toc335915898"/>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10</w:t>
      </w:r>
      <w:r w:rsidR="00C7347D" w:rsidRPr="005911E2">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4</w:t>
      </w:r>
      <w:r w:rsidR="00C7347D" w:rsidRPr="005911E2">
        <w:fldChar w:fldCharType="end"/>
      </w:r>
      <w:bookmarkEnd w:id="1003"/>
      <w:r w:rsidRPr="005911E2">
        <w:t>:</w:t>
      </w:r>
      <w:r w:rsidRPr="005911E2">
        <w:tab/>
      </w:r>
      <w:r w:rsidR="006435C8">
        <w:t xml:space="preserve">Northern Territory </w:t>
      </w:r>
      <w:r w:rsidR="003A7987">
        <w:t>LSNIM</w:t>
      </w:r>
      <w:r w:rsidRPr="005911E2">
        <w:t xml:space="preserve"> participants, whether subject to NTER IM or currently live in NTER prescribed communities</w:t>
      </w:r>
      <w:bookmarkEnd w:id="1004"/>
      <w:bookmarkEnd w:id="1005"/>
      <w:bookmarkEnd w:id="1006"/>
      <w:bookmarkEnd w:id="1007"/>
      <w:r w:rsidRPr="005911E2">
        <w:t xml:space="preserve"> </w:t>
      </w:r>
    </w:p>
    <w:tbl>
      <w:tblPr>
        <w:tblW w:w="7989" w:type="dxa"/>
        <w:jc w:val="right"/>
        <w:tblLayout w:type="fixed"/>
        <w:tblCellMar>
          <w:left w:w="57" w:type="dxa"/>
          <w:right w:w="57" w:type="dxa"/>
        </w:tblCellMar>
        <w:tblLook w:val="04A0" w:firstRow="1" w:lastRow="0" w:firstColumn="1" w:lastColumn="0" w:noHBand="0" w:noVBand="1"/>
      </w:tblPr>
      <w:tblGrid>
        <w:gridCol w:w="1701"/>
        <w:gridCol w:w="992"/>
        <w:gridCol w:w="851"/>
        <w:gridCol w:w="708"/>
        <w:gridCol w:w="284"/>
        <w:gridCol w:w="992"/>
        <w:gridCol w:w="902"/>
        <w:gridCol w:w="850"/>
        <w:gridCol w:w="709"/>
      </w:tblGrid>
      <w:tr w:rsidR="0016195A" w:rsidRPr="00911315" w:rsidTr="008E57A0">
        <w:trPr>
          <w:trHeight w:val="288"/>
          <w:jc w:val="right"/>
        </w:trPr>
        <w:tc>
          <w:tcPr>
            <w:tcW w:w="1701" w:type="dxa"/>
            <w:tcBorders>
              <w:top w:val="single" w:sz="6" w:space="0" w:color="auto"/>
            </w:tcBorders>
            <w:shd w:val="clear" w:color="auto" w:fill="auto"/>
            <w:noWrap/>
            <w:vAlign w:val="bottom"/>
            <w:hideMark/>
          </w:tcPr>
          <w:p w:rsidR="00897C1E" w:rsidRPr="00911315" w:rsidRDefault="00897C1E" w:rsidP="00F104E9">
            <w:pPr>
              <w:keepNext/>
              <w:keepLines/>
              <w:spacing w:after="0" w:line="240" w:lineRule="auto"/>
              <w:ind w:left="0"/>
              <w:rPr>
                <w:rFonts w:cs="Arial"/>
                <w:color w:val="000000"/>
                <w:sz w:val="16"/>
                <w:szCs w:val="16"/>
                <w:lang w:eastAsia="en-AU" w:bidi="ar-SA"/>
              </w:rPr>
            </w:pPr>
          </w:p>
        </w:tc>
        <w:tc>
          <w:tcPr>
            <w:tcW w:w="2551" w:type="dxa"/>
            <w:gridSpan w:val="3"/>
            <w:tcBorders>
              <w:top w:val="single" w:sz="6" w:space="0" w:color="auto"/>
              <w:bottom w:val="single" w:sz="6" w:space="0" w:color="auto"/>
            </w:tcBorders>
            <w:shd w:val="clear" w:color="auto" w:fill="auto"/>
            <w:noWrap/>
            <w:hideMark/>
          </w:tcPr>
          <w:p w:rsidR="00897C1E" w:rsidRPr="00911315" w:rsidRDefault="00897C1E" w:rsidP="00F104E9">
            <w:pPr>
              <w:keepNext/>
              <w:keepLines/>
              <w:spacing w:after="0" w:line="240" w:lineRule="auto"/>
              <w:ind w:left="0"/>
              <w:jc w:val="left"/>
              <w:rPr>
                <w:rFonts w:cs="Arial"/>
                <w:b/>
                <w:smallCaps/>
                <w:color w:val="000000"/>
                <w:spacing w:val="20"/>
                <w:sz w:val="16"/>
                <w:szCs w:val="16"/>
                <w:lang w:eastAsia="en-AU" w:bidi="ar-SA"/>
              </w:rPr>
            </w:pPr>
            <w:r w:rsidRPr="00911315">
              <w:rPr>
                <w:rFonts w:cs="Arial"/>
                <w:color w:val="000000"/>
                <w:sz w:val="16"/>
                <w:szCs w:val="16"/>
                <w:lang w:eastAsia="en-AU" w:bidi="ar-SA"/>
              </w:rPr>
              <w:t>Indigenous</w:t>
            </w:r>
          </w:p>
        </w:tc>
        <w:tc>
          <w:tcPr>
            <w:tcW w:w="284" w:type="dxa"/>
            <w:tcBorders>
              <w:top w:val="single" w:sz="6" w:space="0" w:color="auto"/>
            </w:tcBorders>
          </w:tcPr>
          <w:p w:rsidR="00897C1E" w:rsidRPr="00911315" w:rsidRDefault="00897C1E" w:rsidP="00F104E9">
            <w:pPr>
              <w:keepNext/>
              <w:keepLines/>
              <w:spacing w:after="0" w:line="240" w:lineRule="auto"/>
              <w:ind w:left="0"/>
              <w:jc w:val="right"/>
              <w:rPr>
                <w:rFonts w:cs="Arial"/>
                <w:color w:val="000000"/>
                <w:sz w:val="16"/>
                <w:szCs w:val="16"/>
                <w:lang w:eastAsia="en-AU" w:bidi="ar-SA"/>
              </w:rPr>
            </w:pPr>
          </w:p>
        </w:tc>
        <w:tc>
          <w:tcPr>
            <w:tcW w:w="2744" w:type="dxa"/>
            <w:gridSpan w:val="3"/>
            <w:tcBorders>
              <w:top w:val="single" w:sz="6" w:space="0" w:color="auto"/>
              <w:bottom w:val="single" w:sz="6" w:space="0" w:color="auto"/>
            </w:tcBorders>
            <w:shd w:val="clear" w:color="auto" w:fill="auto"/>
            <w:noWrap/>
            <w:hideMark/>
          </w:tcPr>
          <w:p w:rsidR="00897C1E" w:rsidRPr="00911315" w:rsidRDefault="00897C1E" w:rsidP="00F104E9">
            <w:pPr>
              <w:keepNext/>
              <w:keepLines/>
              <w:spacing w:after="0" w:line="240" w:lineRule="auto"/>
              <w:ind w:left="0"/>
              <w:jc w:val="left"/>
              <w:rPr>
                <w:rFonts w:cs="Arial"/>
                <w:b/>
                <w:smallCaps/>
                <w:color w:val="000000"/>
                <w:spacing w:val="20"/>
                <w:sz w:val="16"/>
                <w:szCs w:val="16"/>
                <w:lang w:eastAsia="en-AU" w:bidi="ar-SA"/>
              </w:rPr>
            </w:pPr>
            <w:r w:rsidRPr="00911315">
              <w:rPr>
                <w:rFonts w:cs="Arial"/>
                <w:color w:val="000000"/>
                <w:sz w:val="16"/>
                <w:szCs w:val="16"/>
                <w:lang w:eastAsia="en-AU" w:bidi="ar-SA"/>
              </w:rPr>
              <w:t>Non-Indigenous</w:t>
            </w:r>
          </w:p>
        </w:tc>
        <w:tc>
          <w:tcPr>
            <w:tcW w:w="709" w:type="dxa"/>
            <w:vMerge w:val="restart"/>
            <w:tcBorders>
              <w:top w:val="single" w:sz="6" w:space="0" w:color="auto"/>
            </w:tcBorders>
            <w:shd w:val="clear" w:color="auto" w:fill="auto"/>
            <w:noWrap/>
            <w:hideMark/>
          </w:tcPr>
          <w:p w:rsidR="00897C1E" w:rsidRPr="00911315" w:rsidRDefault="00897C1E" w:rsidP="00F104E9">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Total</w:t>
            </w:r>
          </w:p>
        </w:tc>
      </w:tr>
      <w:tr w:rsidR="0016195A" w:rsidRPr="00911315" w:rsidTr="008E57A0">
        <w:trPr>
          <w:trHeight w:val="288"/>
          <w:jc w:val="right"/>
        </w:trPr>
        <w:tc>
          <w:tcPr>
            <w:tcW w:w="1701" w:type="dxa"/>
            <w:tcBorders>
              <w:bottom w:val="single" w:sz="6" w:space="0" w:color="auto"/>
            </w:tcBorders>
            <w:shd w:val="clear" w:color="auto" w:fill="auto"/>
            <w:noWrap/>
            <w:vAlign w:val="bottom"/>
            <w:hideMark/>
          </w:tcPr>
          <w:p w:rsidR="00897C1E" w:rsidRPr="00911315" w:rsidRDefault="00897C1E" w:rsidP="00F104E9">
            <w:pPr>
              <w:keepNext/>
              <w:keepLines/>
              <w:spacing w:after="0" w:line="240" w:lineRule="auto"/>
              <w:ind w:left="0"/>
              <w:rPr>
                <w:rFonts w:cs="Arial"/>
                <w:color w:val="000000"/>
                <w:sz w:val="16"/>
                <w:szCs w:val="16"/>
                <w:lang w:eastAsia="en-AU" w:bidi="ar-SA"/>
              </w:rPr>
            </w:pPr>
          </w:p>
        </w:tc>
        <w:tc>
          <w:tcPr>
            <w:tcW w:w="992" w:type="dxa"/>
            <w:tcBorders>
              <w:top w:val="single" w:sz="6" w:space="0" w:color="auto"/>
              <w:bottom w:val="single" w:sz="6" w:space="0" w:color="auto"/>
            </w:tcBorders>
            <w:shd w:val="clear" w:color="auto" w:fill="auto"/>
            <w:noWrap/>
            <w:hideMark/>
          </w:tcPr>
          <w:p w:rsidR="00897C1E" w:rsidRPr="00911315" w:rsidRDefault="0081564E" w:rsidP="0016195A">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Compulsory</w:t>
            </w:r>
          </w:p>
        </w:tc>
        <w:tc>
          <w:tcPr>
            <w:tcW w:w="851" w:type="dxa"/>
            <w:tcBorders>
              <w:top w:val="single" w:sz="6" w:space="0" w:color="auto"/>
              <w:bottom w:val="single" w:sz="6" w:space="0" w:color="auto"/>
            </w:tcBorders>
            <w:shd w:val="clear" w:color="auto" w:fill="auto"/>
            <w:noWrap/>
            <w:hideMark/>
          </w:tcPr>
          <w:p w:rsidR="00897C1E" w:rsidRPr="00911315" w:rsidRDefault="0081564E" w:rsidP="0016195A">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Voluntary</w:t>
            </w:r>
          </w:p>
        </w:tc>
        <w:tc>
          <w:tcPr>
            <w:tcW w:w="708" w:type="dxa"/>
            <w:tcBorders>
              <w:top w:val="single" w:sz="6" w:space="0" w:color="auto"/>
              <w:bottom w:val="single" w:sz="6" w:space="0" w:color="auto"/>
            </w:tcBorders>
            <w:shd w:val="clear" w:color="auto" w:fill="auto"/>
            <w:noWrap/>
            <w:hideMark/>
          </w:tcPr>
          <w:p w:rsidR="00897C1E" w:rsidRPr="00911315" w:rsidRDefault="00897C1E" w:rsidP="00F104E9">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No IM</w:t>
            </w:r>
          </w:p>
        </w:tc>
        <w:tc>
          <w:tcPr>
            <w:tcW w:w="284" w:type="dxa"/>
            <w:tcBorders>
              <w:bottom w:val="single" w:sz="6" w:space="0" w:color="auto"/>
            </w:tcBorders>
          </w:tcPr>
          <w:p w:rsidR="00897C1E" w:rsidRPr="00911315" w:rsidDel="00AA4E2F" w:rsidRDefault="00897C1E" w:rsidP="00F104E9">
            <w:pPr>
              <w:keepNext/>
              <w:keepLines/>
              <w:spacing w:after="0" w:line="240" w:lineRule="auto"/>
              <w:ind w:left="0"/>
              <w:jc w:val="right"/>
              <w:rPr>
                <w:rFonts w:cs="Arial"/>
                <w:color w:val="000000"/>
                <w:sz w:val="16"/>
                <w:szCs w:val="16"/>
                <w:lang w:eastAsia="en-AU" w:bidi="ar-SA"/>
              </w:rPr>
            </w:pPr>
          </w:p>
        </w:tc>
        <w:tc>
          <w:tcPr>
            <w:tcW w:w="992" w:type="dxa"/>
            <w:tcBorders>
              <w:top w:val="single" w:sz="6" w:space="0" w:color="auto"/>
              <w:bottom w:val="single" w:sz="6" w:space="0" w:color="auto"/>
            </w:tcBorders>
            <w:shd w:val="clear" w:color="auto" w:fill="auto"/>
            <w:noWrap/>
            <w:hideMark/>
          </w:tcPr>
          <w:p w:rsidR="00897C1E" w:rsidRPr="00911315" w:rsidRDefault="0081564E" w:rsidP="0016195A">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Compulsory</w:t>
            </w:r>
          </w:p>
        </w:tc>
        <w:tc>
          <w:tcPr>
            <w:tcW w:w="902" w:type="dxa"/>
            <w:tcBorders>
              <w:top w:val="single" w:sz="6" w:space="0" w:color="auto"/>
              <w:bottom w:val="single" w:sz="6" w:space="0" w:color="auto"/>
            </w:tcBorders>
            <w:shd w:val="clear" w:color="auto" w:fill="auto"/>
            <w:noWrap/>
            <w:hideMark/>
          </w:tcPr>
          <w:p w:rsidR="003E441A" w:rsidRPr="00911315" w:rsidRDefault="003E441A" w:rsidP="0016195A">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V</w:t>
            </w:r>
            <w:r w:rsidR="0081564E" w:rsidRPr="00911315">
              <w:rPr>
                <w:rFonts w:cs="Arial"/>
                <w:color w:val="000000"/>
                <w:sz w:val="16"/>
                <w:szCs w:val="16"/>
                <w:lang w:eastAsia="en-AU" w:bidi="ar-SA"/>
              </w:rPr>
              <w:t>oluntary</w:t>
            </w:r>
          </w:p>
        </w:tc>
        <w:tc>
          <w:tcPr>
            <w:tcW w:w="850" w:type="dxa"/>
            <w:tcBorders>
              <w:top w:val="single" w:sz="6" w:space="0" w:color="auto"/>
              <w:bottom w:val="single" w:sz="6" w:space="0" w:color="auto"/>
            </w:tcBorders>
            <w:shd w:val="clear" w:color="auto" w:fill="auto"/>
            <w:noWrap/>
            <w:hideMark/>
          </w:tcPr>
          <w:p w:rsidR="00897C1E" w:rsidRPr="00911315" w:rsidRDefault="0081564E" w:rsidP="00F104E9">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N</w:t>
            </w:r>
            <w:r w:rsidR="00897C1E" w:rsidRPr="00911315">
              <w:rPr>
                <w:rFonts w:cs="Arial"/>
                <w:color w:val="000000"/>
                <w:sz w:val="16"/>
                <w:szCs w:val="16"/>
                <w:lang w:eastAsia="en-AU" w:bidi="ar-SA"/>
              </w:rPr>
              <w:t>o IM</w:t>
            </w:r>
          </w:p>
        </w:tc>
        <w:tc>
          <w:tcPr>
            <w:tcW w:w="709" w:type="dxa"/>
            <w:vMerge/>
            <w:tcBorders>
              <w:bottom w:val="single" w:sz="6" w:space="0" w:color="auto"/>
            </w:tcBorders>
            <w:shd w:val="clear" w:color="auto" w:fill="auto"/>
            <w:noWrap/>
            <w:hideMark/>
          </w:tcPr>
          <w:p w:rsidR="00897C1E" w:rsidRPr="00911315" w:rsidRDefault="00897C1E" w:rsidP="00F104E9">
            <w:pPr>
              <w:keepNext/>
              <w:keepLines/>
              <w:spacing w:after="0" w:line="240" w:lineRule="auto"/>
              <w:ind w:left="0"/>
              <w:jc w:val="right"/>
              <w:rPr>
                <w:rFonts w:cs="Arial"/>
                <w:color w:val="000000"/>
                <w:sz w:val="16"/>
                <w:szCs w:val="16"/>
                <w:lang w:eastAsia="en-AU" w:bidi="ar-SA"/>
              </w:rPr>
            </w:pPr>
          </w:p>
        </w:tc>
      </w:tr>
      <w:tr w:rsidR="0016195A" w:rsidRPr="00911315" w:rsidTr="008A1D49">
        <w:trPr>
          <w:trHeight w:val="288"/>
          <w:jc w:val="right"/>
        </w:trPr>
        <w:tc>
          <w:tcPr>
            <w:tcW w:w="1701" w:type="dxa"/>
            <w:tcBorders>
              <w:top w:val="single" w:sz="6" w:space="0" w:color="auto"/>
            </w:tcBorders>
            <w:shd w:val="clear" w:color="auto" w:fill="auto"/>
            <w:noWrap/>
            <w:vAlign w:val="bottom"/>
            <w:hideMark/>
          </w:tcPr>
          <w:p w:rsidR="00897C1E" w:rsidRPr="00911315" w:rsidRDefault="00897C1E" w:rsidP="00F104E9">
            <w:pPr>
              <w:keepNext/>
              <w:keepLines/>
              <w:spacing w:after="0" w:line="240" w:lineRule="auto"/>
              <w:ind w:left="0"/>
              <w:rPr>
                <w:rFonts w:cs="Arial"/>
                <w:color w:val="000000"/>
                <w:sz w:val="16"/>
                <w:szCs w:val="16"/>
                <w:lang w:eastAsia="en-AU" w:bidi="ar-SA"/>
              </w:rPr>
            </w:pPr>
          </w:p>
        </w:tc>
        <w:tc>
          <w:tcPr>
            <w:tcW w:w="6288" w:type="dxa"/>
            <w:gridSpan w:val="8"/>
            <w:tcBorders>
              <w:top w:val="single" w:sz="6" w:space="0" w:color="auto"/>
            </w:tcBorders>
            <w:shd w:val="clear" w:color="auto" w:fill="auto"/>
            <w:noWrap/>
            <w:vAlign w:val="center"/>
            <w:hideMark/>
          </w:tcPr>
          <w:p w:rsidR="00897C1E" w:rsidRPr="00911315" w:rsidRDefault="00897C1E" w:rsidP="008A1D49">
            <w:pPr>
              <w:keepNext/>
              <w:keepLines/>
              <w:spacing w:after="0" w:line="240" w:lineRule="auto"/>
              <w:ind w:left="0"/>
              <w:jc w:val="center"/>
              <w:rPr>
                <w:rFonts w:cs="Arial"/>
                <w:smallCaps/>
                <w:color w:val="000000"/>
                <w:spacing w:val="5"/>
                <w:sz w:val="16"/>
                <w:szCs w:val="16"/>
                <w:lang w:eastAsia="en-AU" w:bidi="ar-SA"/>
              </w:rPr>
            </w:pPr>
            <w:r w:rsidRPr="00911315">
              <w:rPr>
                <w:rFonts w:cs="Arial"/>
                <w:color w:val="000000"/>
                <w:sz w:val="16"/>
                <w:szCs w:val="16"/>
                <w:lang w:eastAsia="en-AU" w:bidi="ar-SA"/>
              </w:rPr>
              <w:t>%</w:t>
            </w:r>
          </w:p>
        </w:tc>
      </w:tr>
      <w:tr w:rsidR="0016195A" w:rsidRPr="00911315" w:rsidTr="008E57A0">
        <w:trPr>
          <w:trHeight w:val="288"/>
          <w:jc w:val="right"/>
        </w:trPr>
        <w:tc>
          <w:tcPr>
            <w:tcW w:w="1701" w:type="dxa"/>
            <w:shd w:val="clear" w:color="auto" w:fill="auto"/>
            <w:noWrap/>
            <w:vAlign w:val="bottom"/>
            <w:hideMark/>
          </w:tcPr>
          <w:p w:rsidR="00D96A58" w:rsidRPr="00911315" w:rsidRDefault="00897C1E" w:rsidP="0016195A">
            <w:pPr>
              <w:keepNext/>
              <w:keepLines/>
              <w:spacing w:after="0" w:line="240" w:lineRule="auto"/>
              <w:ind w:left="0"/>
              <w:jc w:val="left"/>
              <w:rPr>
                <w:rFonts w:cs="Arial"/>
                <w:color w:val="000000"/>
                <w:sz w:val="16"/>
                <w:szCs w:val="16"/>
                <w:lang w:eastAsia="en-AU" w:bidi="ar-SA"/>
              </w:rPr>
            </w:pPr>
            <w:r w:rsidRPr="00911315">
              <w:rPr>
                <w:rFonts w:cs="Arial"/>
                <w:color w:val="000000"/>
                <w:sz w:val="16"/>
                <w:szCs w:val="16"/>
                <w:lang w:eastAsia="en-AU" w:bidi="ar-SA"/>
              </w:rPr>
              <w:t>In NTER location</w:t>
            </w:r>
          </w:p>
        </w:tc>
        <w:tc>
          <w:tcPr>
            <w:tcW w:w="992" w:type="dxa"/>
            <w:shd w:val="clear" w:color="auto" w:fill="auto"/>
            <w:noWrap/>
            <w:vAlign w:val="bottom"/>
            <w:hideMark/>
          </w:tcPr>
          <w:p w:rsidR="00897C1E" w:rsidRPr="00911315" w:rsidRDefault="00897C1E" w:rsidP="00F104E9">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59.3</w:t>
            </w:r>
          </w:p>
        </w:tc>
        <w:tc>
          <w:tcPr>
            <w:tcW w:w="851" w:type="dxa"/>
            <w:shd w:val="clear" w:color="auto" w:fill="auto"/>
            <w:noWrap/>
            <w:vAlign w:val="bottom"/>
            <w:hideMark/>
          </w:tcPr>
          <w:p w:rsidR="00897C1E" w:rsidRPr="00911315" w:rsidRDefault="00897C1E" w:rsidP="00F104E9">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79.5</w:t>
            </w:r>
          </w:p>
        </w:tc>
        <w:tc>
          <w:tcPr>
            <w:tcW w:w="708" w:type="dxa"/>
            <w:shd w:val="clear" w:color="auto" w:fill="auto"/>
            <w:noWrap/>
            <w:vAlign w:val="bottom"/>
            <w:hideMark/>
          </w:tcPr>
          <w:p w:rsidR="00897C1E" w:rsidRPr="00911315" w:rsidRDefault="00897C1E" w:rsidP="00F104E9">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56.0</w:t>
            </w:r>
          </w:p>
        </w:tc>
        <w:tc>
          <w:tcPr>
            <w:tcW w:w="284" w:type="dxa"/>
          </w:tcPr>
          <w:p w:rsidR="00897C1E" w:rsidRPr="00911315" w:rsidRDefault="00897C1E" w:rsidP="00F104E9">
            <w:pPr>
              <w:keepNext/>
              <w:keepLines/>
              <w:spacing w:after="0" w:line="240" w:lineRule="auto"/>
              <w:ind w:left="0"/>
              <w:jc w:val="right"/>
              <w:rPr>
                <w:rFonts w:cs="Arial"/>
                <w:color w:val="000000"/>
                <w:sz w:val="16"/>
                <w:szCs w:val="16"/>
                <w:lang w:eastAsia="en-AU" w:bidi="ar-SA"/>
              </w:rPr>
            </w:pPr>
          </w:p>
        </w:tc>
        <w:tc>
          <w:tcPr>
            <w:tcW w:w="992" w:type="dxa"/>
            <w:shd w:val="clear" w:color="auto" w:fill="auto"/>
            <w:noWrap/>
            <w:vAlign w:val="bottom"/>
            <w:hideMark/>
          </w:tcPr>
          <w:p w:rsidR="00897C1E" w:rsidRPr="00911315" w:rsidRDefault="00897C1E" w:rsidP="00F104E9">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1.1</w:t>
            </w:r>
          </w:p>
        </w:tc>
        <w:tc>
          <w:tcPr>
            <w:tcW w:w="902" w:type="dxa"/>
            <w:shd w:val="clear" w:color="auto" w:fill="auto"/>
            <w:noWrap/>
            <w:vAlign w:val="bottom"/>
            <w:hideMark/>
          </w:tcPr>
          <w:p w:rsidR="00897C1E" w:rsidRPr="00911315" w:rsidRDefault="00897C1E" w:rsidP="00F104E9">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0.0</w:t>
            </w:r>
          </w:p>
        </w:tc>
        <w:tc>
          <w:tcPr>
            <w:tcW w:w="850" w:type="dxa"/>
            <w:shd w:val="clear" w:color="auto" w:fill="auto"/>
            <w:noWrap/>
            <w:vAlign w:val="bottom"/>
            <w:hideMark/>
          </w:tcPr>
          <w:p w:rsidR="00897C1E" w:rsidRPr="00911315" w:rsidRDefault="00897C1E" w:rsidP="00F104E9">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0.0</w:t>
            </w:r>
          </w:p>
        </w:tc>
        <w:tc>
          <w:tcPr>
            <w:tcW w:w="709" w:type="dxa"/>
            <w:shd w:val="clear" w:color="auto" w:fill="auto"/>
            <w:noWrap/>
            <w:vAlign w:val="bottom"/>
            <w:hideMark/>
          </w:tcPr>
          <w:p w:rsidR="00897C1E" w:rsidRPr="00911315" w:rsidRDefault="00897C1E" w:rsidP="00F104E9">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47.8</w:t>
            </w:r>
          </w:p>
        </w:tc>
      </w:tr>
      <w:tr w:rsidR="0016195A" w:rsidRPr="00911315" w:rsidTr="008E57A0">
        <w:trPr>
          <w:trHeight w:val="288"/>
          <w:jc w:val="right"/>
        </w:trPr>
        <w:tc>
          <w:tcPr>
            <w:tcW w:w="1701" w:type="dxa"/>
            <w:tcBorders>
              <w:bottom w:val="single" w:sz="6" w:space="0" w:color="auto"/>
            </w:tcBorders>
            <w:shd w:val="clear" w:color="auto" w:fill="auto"/>
            <w:noWrap/>
            <w:vAlign w:val="bottom"/>
            <w:hideMark/>
          </w:tcPr>
          <w:p w:rsidR="00D96A58" w:rsidRPr="00911315" w:rsidRDefault="00897C1E" w:rsidP="0016195A">
            <w:pPr>
              <w:keepNext/>
              <w:keepLines/>
              <w:spacing w:after="0" w:line="240" w:lineRule="auto"/>
              <w:ind w:left="0"/>
              <w:jc w:val="left"/>
              <w:rPr>
                <w:rFonts w:cs="Arial"/>
                <w:smallCaps/>
                <w:color w:val="000000"/>
                <w:spacing w:val="5"/>
                <w:sz w:val="16"/>
                <w:szCs w:val="16"/>
                <w:lang w:val="en-US" w:eastAsia="en-AU" w:bidi="ar-SA"/>
              </w:rPr>
            </w:pPr>
            <w:r w:rsidRPr="00911315">
              <w:rPr>
                <w:rFonts w:cs="Arial"/>
                <w:color w:val="000000"/>
                <w:sz w:val="16"/>
                <w:szCs w:val="16"/>
                <w:lang w:eastAsia="en-AU" w:bidi="ar-SA"/>
              </w:rPr>
              <w:t>Were on NTER IM</w:t>
            </w:r>
          </w:p>
        </w:tc>
        <w:tc>
          <w:tcPr>
            <w:tcW w:w="992" w:type="dxa"/>
            <w:tcBorders>
              <w:bottom w:val="single" w:sz="6" w:space="0" w:color="auto"/>
            </w:tcBorders>
            <w:shd w:val="clear" w:color="auto" w:fill="auto"/>
            <w:noWrap/>
            <w:vAlign w:val="bottom"/>
            <w:hideMark/>
          </w:tcPr>
          <w:p w:rsidR="00897C1E" w:rsidRPr="00911315" w:rsidRDefault="00897C1E" w:rsidP="00F104E9">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68.3</w:t>
            </w:r>
          </w:p>
        </w:tc>
        <w:tc>
          <w:tcPr>
            <w:tcW w:w="851" w:type="dxa"/>
            <w:tcBorders>
              <w:bottom w:val="single" w:sz="6" w:space="0" w:color="auto"/>
            </w:tcBorders>
            <w:shd w:val="clear" w:color="auto" w:fill="auto"/>
            <w:noWrap/>
            <w:vAlign w:val="bottom"/>
            <w:hideMark/>
          </w:tcPr>
          <w:p w:rsidR="00897C1E" w:rsidRPr="00911315" w:rsidRDefault="00897C1E" w:rsidP="00F104E9">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96.3</w:t>
            </w:r>
          </w:p>
        </w:tc>
        <w:tc>
          <w:tcPr>
            <w:tcW w:w="708" w:type="dxa"/>
            <w:tcBorders>
              <w:bottom w:val="single" w:sz="6" w:space="0" w:color="auto"/>
            </w:tcBorders>
            <w:shd w:val="clear" w:color="auto" w:fill="auto"/>
            <w:noWrap/>
            <w:vAlign w:val="bottom"/>
            <w:hideMark/>
          </w:tcPr>
          <w:p w:rsidR="00897C1E" w:rsidRPr="00911315" w:rsidRDefault="00897C1E" w:rsidP="00F104E9">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64.0</w:t>
            </w:r>
          </w:p>
        </w:tc>
        <w:tc>
          <w:tcPr>
            <w:tcW w:w="284" w:type="dxa"/>
            <w:tcBorders>
              <w:bottom w:val="single" w:sz="6" w:space="0" w:color="auto"/>
            </w:tcBorders>
          </w:tcPr>
          <w:p w:rsidR="00897C1E" w:rsidRPr="00911315" w:rsidRDefault="00897C1E" w:rsidP="00F104E9">
            <w:pPr>
              <w:keepNext/>
              <w:keepLines/>
              <w:spacing w:after="0" w:line="240" w:lineRule="auto"/>
              <w:ind w:left="0"/>
              <w:jc w:val="right"/>
              <w:rPr>
                <w:rFonts w:cs="Arial"/>
                <w:color w:val="000000"/>
                <w:sz w:val="16"/>
                <w:szCs w:val="16"/>
                <w:lang w:eastAsia="en-AU" w:bidi="ar-SA"/>
              </w:rPr>
            </w:pPr>
          </w:p>
        </w:tc>
        <w:tc>
          <w:tcPr>
            <w:tcW w:w="992" w:type="dxa"/>
            <w:tcBorders>
              <w:bottom w:val="single" w:sz="6" w:space="0" w:color="auto"/>
            </w:tcBorders>
            <w:shd w:val="clear" w:color="auto" w:fill="auto"/>
            <w:noWrap/>
            <w:vAlign w:val="bottom"/>
            <w:hideMark/>
          </w:tcPr>
          <w:p w:rsidR="00897C1E" w:rsidRPr="00911315" w:rsidRDefault="00897C1E" w:rsidP="00F104E9">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2.2</w:t>
            </w:r>
          </w:p>
        </w:tc>
        <w:tc>
          <w:tcPr>
            <w:tcW w:w="902" w:type="dxa"/>
            <w:tcBorders>
              <w:bottom w:val="single" w:sz="6" w:space="0" w:color="auto"/>
            </w:tcBorders>
            <w:shd w:val="clear" w:color="auto" w:fill="auto"/>
            <w:noWrap/>
            <w:vAlign w:val="bottom"/>
            <w:hideMark/>
          </w:tcPr>
          <w:p w:rsidR="00897C1E" w:rsidRPr="00911315" w:rsidRDefault="00897C1E" w:rsidP="00F104E9">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33.3</w:t>
            </w:r>
          </w:p>
        </w:tc>
        <w:tc>
          <w:tcPr>
            <w:tcW w:w="850" w:type="dxa"/>
            <w:tcBorders>
              <w:bottom w:val="single" w:sz="6" w:space="0" w:color="auto"/>
            </w:tcBorders>
            <w:shd w:val="clear" w:color="auto" w:fill="auto"/>
            <w:noWrap/>
            <w:vAlign w:val="bottom"/>
            <w:hideMark/>
          </w:tcPr>
          <w:p w:rsidR="00897C1E" w:rsidRPr="00911315" w:rsidRDefault="00897C1E" w:rsidP="00F104E9">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0.0</w:t>
            </w:r>
          </w:p>
        </w:tc>
        <w:tc>
          <w:tcPr>
            <w:tcW w:w="709" w:type="dxa"/>
            <w:tcBorders>
              <w:bottom w:val="single" w:sz="6" w:space="0" w:color="auto"/>
            </w:tcBorders>
            <w:shd w:val="clear" w:color="auto" w:fill="auto"/>
            <w:noWrap/>
            <w:vAlign w:val="bottom"/>
            <w:hideMark/>
          </w:tcPr>
          <w:p w:rsidR="00897C1E" w:rsidRPr="00911315" w:rsidRDefault="00897C1E" w:rsidP="00F104E9">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56.4</w:t>
            </w:r>
          </w:p>
        </w:tc>
      </w:tr>
    </w:tbl>
    <w:p w:rsidR="00897C1E" w:rsidRPr="00FF16A3" w:rsidRDefault="00897C1E" w:rsidP="00FF16A3">
      <w:pPr>
        <w:pStyle w:val="tablefootnotes"/>
      </w:pPr>
      <w:r w:rsidRPr="00FF16A3">
        <w:t xml:space="preserve">Source: </w:t>
      </w:r>
      <w:r w:rsidR="00FF16A3">
        <w:tab/>
      </w:r>
      <w:r w:rsidRPr="00FF16A3">
        <w:t>LSNIM, Wave 1.</w:t>
      </w:r>
    </w:p>
    <w:p w:rsidR="00897C1E" w:rsidRPr="005911E2" w:rsidRDefault="00897C1E" w:rsidP="00CF78DB">
      <w:pPr>
        <w:pStyle w:val="tablefootnotes"/>
      </w:pPr>
    </w:p>
    <w:p w:rsidR="00897C1E" w:rsidRPr="005911E2" w:rsidRDefault="00897C1E" w:rsidP="00897C1E">
      <w:pPr>
        <w:pStyle w:val="BodyText"/>
        <w:rPr>
          <w:lang w:eastAsia="en-US"/>
        </w:rPr>
      </w:pPr>
      <w:r w:rsidRPr="005911E2">
        <w:rPr>
          <w:lang w:eastAsia="en-US"/>
        </w:rPr>
        <w:t>The reason for considering both of these approaches to evaluating the impact of the NTER IM arrangements is that it is an open question whether at this time any possible impact of IM is felt via a locational effect (i.e., as a result of changes in the aggregate level of funds available for various activities within a location or changes in norms or behaviours in the community), or whether the main impact is felt via its effect on individuals. A further issue is the extent to which other initiatives associated with the NTER and policies relating to the Indigenous Reform Agenda ‘Closing the Gap’ have had a strong locational element and therefore interact with the effects of NIM.</w:t>
      </w:r>
    </w:p>
    <w:p w:rsidR="00897C1E" w:rsidRPr="005911E2" w:rsidRDefault="00897C1E" w:rsidP="00B834CA">
      <w:pPr>
        <w:pStyle w:val="Heading3"/>
      </w:pPr>
      <w:r w:rsidRPr="005911E2">
        <w:t xml:space="preserve">Personal financial circumstances before and after </w:t>
      </w:r>
      <w:r w:rsidR="00F878E4">
        <w:t>income management</w:t>
      </w:r>
    </w:p>
    <w:p w:rsidR="00897C1E" w:rsidRPr="005911E2" w:rsidRDefault="00897C1E" w:rsidP="00E24340">
      <w:pPr>
        <w:pStyle w:val="BodyText"/>
        <w:keepNext/>
        <w:keepLines/>
        <w:rPr>
          <w:lang w:eastAsia="en-US"/>
        </w:rPr>
      </w:pPr>
      <w:r w:rsidRPr="005911E2">
        <w:rPr>
          <w:lang w:eastAsia="en-US"/>
        </w:rPr>
        <w:t xml:space="preserve">Survey participants were asked about the extent to which they had experienced a series of financial problems and whether this had changed over time. In the </w:t>
      </w:r>
      <w:r w:rsidR="006435C8">
        <w:rPr>
          <w:lang w:eastAsia="en-US"/>
        </w:rPr>
        <w:t>Northern Territory,</w:t>
      </w:r>
      <w:r w:rsidRPr="005911E2">
        <w:rPr>
          <w:lang w:eastAsia="en-US"/>
        </w:rPr>
        <w:t xml:space="preserve"> survey participants were asked about whether they had experienced financial problems prior to </w:t>
      </w:r>
      <w:r w:rsidR="00F878E4">
        <w:rPr>
          <w:lang w:eastAsia="en-US"/>
        </w:rPr>
        <w:t>income management</w:t>
      </w:r>
      <w:r w:rsidRPr="005911E2">
        <w:rPr>
          <w:lang w:eastAsia="en-US"/>
        </w:rPr>
        <w:t xml:space="preserve"> and whether there had been a change in the extent to which they experienced these since starting </w:t>
      </w:r>
      <w:r w:rsidR="00F878E4">
        <w:rPr>
          <w:lang w:eastAsia="en-US"/>
        </w:rPr>
        <w:t>income management</w:t>
      </w:r>
      <w:r w:rsidRPr="005911E2">
        <w:rPr>
          <w:lang w:eastAsia="en-US"/>
        </w:rPr>
        <w:t>. In the contrast sites outside of the</w:t>
      </w:r>
      <w:r w:rsidR="006435C8">
        <w:rPr>
          <w:lang w:eastAsia="en-US"/>
        </w:rPr>
        <w:t xml:space="preserve"> Northern Territory </w:t>
      </w:r>
      <w:r w:rsidRPr="005911E2">
        <w:rPr>
          <w:lang w:eastAsia="en-US"/>
        </w:rPr>
        <w:t>survey participants were asked about the experience of financial hardships last year and changes since last year.</w:t>
      </w:r>
    </w:p>
    <w:p w:rsidR="00897C1E" w:rsidRPr="00E24340" w:rsidRDefault="00897C1E" w:rsidP="00E24340">
      <w:pPr>
        <w:pStyle w:val="BodyText"/>
        <w:rPr>
          <w:i/>
        </w:rPr>
      </w:pPr>
      <w:r w:rsidRPr="005911E2">
        <w:rPr>
          <w:lang w:eastAsia="en-US"/>
        </w:rPr>
        <w:t>In the case of the</w:t>
      </w:r>
      <w:r w:rsidR="006435C8">
        <w:rPr>
          <w:lang w:eastAsia="en-US"/>
        </w:rPr>
        <w:t xml:space="preserve"> Northern Territory </w:t>
      </w:r>
      <w:r w:rsidRPr="005911E2">
        <w:rPr>
          <w:lang w:eastAsia="en-US"/>
        </w:rPr>
        <w:t>population the initial question was phrased as follows:</w:t>
      </w:r>
      <w:r w:rsidR="00B834CA">
        <w:rPr>
          <w:lang w:eastAsia="en-US"/>
        </w:rPr>
        <w:t xml:space="preserve"> ‘</w:t>
      </w:r>
      <w:r w:rsidRPr="00E24340">
        <w:rPr>
          <w:i/>
        </w:rPr>
        <w:t>Thinking back now to before you were first income managed did any of the following happen to you?</w:t>
      </w:r>
      <w:r w:rsidR="00B834CA">
        <w:rPr>
          <w:i/>
        </w:rPr>
        <w:t>’</w:t>
      </w:r>
      <w:r w:rsidRPr="00E24340">
        <w:rPr>
          <w:i/>
        </w:rPr>
        <w:t xml:space="preserve"> </w:t>
      </w:r>
    </w:p>
    <w:p w:rsidR="00897C1E" w:rsidRPr="00E24340" w:rsidRDefault="00897C1E" w:rsidP="00E24340">
      <w:pPr>
        <w:pStyle w:val="BodyText"/>
        <w:rPr>
          <w:i/>
        </w:rPr>
      </w:pPr>
      <w:r w:rsidRPr="005911E2">
        <w:rPr>
          <w:lang w:eastAsia="en-US"/>
        </w:rPr>
        <w:t>For the contrast group the question was asked in terms of whether or not an issue had occurred in the past year. These questions were then asked again of both groups in terms of:</w:t>
      </w:r>
      <w:r w:rsidR="00B834CA">
        <w:rPr>
          <w:lang w:eastAsia="en-US"/>
        </w:rPr>
        <w:t xml:space="preserve"> ‘</w:t>
      </w:r>
      <w:r w:rsidRPr="00E24340">
        <w:rPr>
          <w:i/>
        </w:rPr>
        <w:t>In the past four weeks did any of the following happen to you?</w:t>
      </w:r>
      <w:r w:rsidR="00B834CA">
        <w:rPr>
          <w:i/>
        </w:rPr>
        <w:t>’</w:t>
      </w:r>
    </w:p>
    <w:p w:rsidR="00897C1E" w:rsidRPr="005911E2" w:rsidRDefault="00897C1E" w:rsidP="00897C1E">
      <w:pPr>
        <w:pStyle w:val="BodyText"/>
        <w:rPr>
          <w:lang w:eastAsia="en-US"/>
        </w:rPr>
      </w:pPr>
      <w:r w:rsidRPr="005911E2">
        <w:rPr>
          <w:lang w:eastAsia="en-US"/>
        </w:rPr>
        <w:t xml:space="preserve">While these differences in the question structure mean that the answers, especially with regard to the </w:t>
      </w:r>
      <w:r w:rsidRPr="005911E2">
        <w:t>base</w:t>
      </w:r>
      <w:r w:rsidRPr="005911E2">
        <w:rPr>
          <w:lang w:eastAsia="en-US"/>
        </w:rPr>
        <w:t xml:space="preserve"> reference point, are not strictly comparable, our assessment is that this </w:t>
      </w:r>
      <w:r w:rsidR="00B834CA">
        <w:rPr>
          <w:lang w:eastAsia="en-US"/>
        </w:rPr>
        <w:t xml:space="preserve">is </w:t>
      </w:r>
      <w:r w:rsidRPr="005911E2">
        <w:rPr>
          <w:lang w:eastAsia="en-US"/>
        </w:rPr>
        <w:t>unlikely to invalidate comparison o</w:t>
      </w:r>
      <w:r w:rsidR="00B834CA">
        <w:rPr>
          <w:lang w:eastAsia="en-US"/>
        </w:rPr>
        <w:t>f</w:t>
      </w:r>
      <w:r w:rsidRPr="005911E2">
        <w:rPr>
          <w:lang w:eastAsia="en-US"/>
        </w:rPr>
        <w:t xml:space="preserve"> these questions between</w:t>
      </w:r>
      <w:r w:rsidR="006435C8">
        <w:rPr>
          <w:lang w:eastAsia="en-US"/>
        </w:rPr>
        <w:t xml:space="preserve"> Northern Territory </w:t>
      </w:r>
      <w:r w:rsidRPr="005911E2">
        <w:rPr>
          <w:lang w:eastAsia="en-US"/>
        </w:rPr>
        <w:t>survey participants and survey participants in the contrast sites.</w:t>
      </w:r>
      <w:r w:rsidRPr="005911E2">
        <w:rPr>
          <w:rStyle w:val="FootnoteReference"/>
        </w:rPr>
        <w:footnoteReference w:id="106"/>
      </w:r>
      <w:r w:rsidR="00B62B2D">
        <w:rPr>
          <w:lang w:eastAsia="en-US"/>
        </w:rPr>
        <w:t xml:space="preserve"> </w:t>
      </w:r>
      <w:r w:rsidRPr="005911E2">
        <w:rPr>
          <w:lang w:eastAsia="en-US"/>
        </w:rPr>
        <w:t xml:space="preserve">More specifically with regard to the </w:t>
      </w:r>
      <w:r w:rsidR="00F878E4">
        <w:rPr>
          <w:lang w:eastAsia="en-US"/>
        </w:rPr>
        <w:t>income manage</w:t>
      </w:r>
      <w:r w:rsidR="002230A5">
        <w:rPr>
          <w:lang w:eastAsia="en-US"/>
        </w:rPr>
        <w:t>d</w:t>
      </w:r>
      <w:r w:rsidRPr="005911E2">
        <w:rPr>
          <w:lang w:eastAsia="en-US"/>
        </w:rPr>
        <w:t xml:space="preserve"> population</w:t>
      </w:r>
      <w:r w:rsidR="002230A5">
        <w:rPr>
          <w:lang w:eastAsia="en-US"/>
        </w:rPr>
        <w:t>,</w:t>
      </w:r>
      <w:r w:rsidRPr="005911E2">
        <w:rPr>
          <w:lang w:eastAsia="en-US"/>
        </w:rPr>
        <w:t xml:space="preserve"> a more complex issue arises in trying to disentangle the impact of the NTER IM from NIM. For example some 70 per cent of Indigenous people on </w:t>
      </w:r>
      <w:r w:rsidR="002230A5">
        <w:rPr>
          <w:lang w:eastAsia="en-US"/>
        </w:rPr>
        <w:t>c</w:t>
      </w:r>
      <w:r w:rsidR="004808B3">
        <w:rPr>
          <w:lang w:eastAsia="en-US"/>
        </w:rPr>
        <w:t xml:space="preserve">ompulsory </w:t>
      </w:r>
      <w:r w:rsidR="002230A5">
        <w:rPr>
          <w:lang w:eastAsia="en-US"/>
        </w:rPr>
        <w:t>measures</w:t>
      </w:r>
      <w:r w:rsidRPr="005911E2">
        <w:rPr>
          <w:lang w:eastAsia="en-US"/>
        </w:rPr>
        <w:t xml:space="preserve"> who live in NTER locations who participated in the survey indicated that their period of </w:t>
      </w:r>
      <w:r w:rsidR="00F878E4">
        <w:rPr>
          <w:lang w:eastAsia="en-US"/>
        </w:rPr>
        <w:t>income management</w:t>
      </w:r>
      <w:r w:rsidRPr="005911E2">
        <w:rPr>
          <w:lang w:eastAsia="en-US"/>
        </w:rPr>
        <w:t xml:space="preserve"> commenced prior to NIM, as did 75 per cent of the Indigenous people on </w:t>
      </w:r>
      <w:r w:rsidR="0016195A">
        <w:rPr>
          <w:lang w:eastAsia="en-US"/>
        </w:rPr>
        <w:t xml:space="preserve">Voluntary Income Management </w:t>
      </w:r>
      <w:r w:rsidR="00B834CA">
        <w:rPr>
          <w:lang w:eastAsia="en-US"/>
        </w:rPr>
        <w:t xml:space="preserve">in </w:t>
      </w:r>
      <w:r w:rsidRPr="005911E2">
        <w:rPr>
          <w:lang w:eastAsia="en-US"/>
        </w:rPr>
        <w:t>these locations. As such</w:t>
      </w:r>
      <w:r w:rsidR="002230A5">
        <w:rPr>
          <w:lang w:eastAsia="en-US"/>
        </w:rPr>
        <w:t>,</w:t>
      </w:r>
      <w:r w:rsidRPr="005911E2">
        <w:rPr>
          <w:lang w:eastAsia="en-US"/>
        </w:rPr>
        <w:t xml:space="preserve"> the time period to which this question is asked can be very significant, stretching back to 2008.</w:t>
      </w:r>
    </w:p>
    <w:p w:rsidR="00897C1E" w:rsidRPr="005911E2" w:rsidRDefault="00897C1E" w:rsidP="00A26515">
      <w:pPr>
        <w:pStyle w:val="BodyText"/>
        <w:keepNext/>
        <w:rPr>
          <w:lang w:eastAsia="en-US"/>
        </w:rPr>
      </w:pPr>
      <w:r w:rsidRPr="005911E2">
        <w:rPr>
          <w:lang w:eastAsia="en-US"/>
        </w:rPr>
        <w:t>The financial problems asked about are</w:t>
      </w:r>
      <w:r w:rsidR="00FA5A6B">
        <w:rPr>
          <w:lang w:eastAsia="en-US"/>
        </w:rPr>
        <w:t>:</w:t>
      </w:r>
      <w:r w:rsidRPr="005911E2">
        <w:rPr>
          <w:rStyle w:val="FootnoteReference"/>
          <w:lang w:eastAsia="en-US"/>
        </w:rPr>
        <w:footnoteReference w:id="107"/>
      </w:r>
    </w:p>
    <w:p w:rsidR="00897C1E" w:rsidRPr="005911E2" w:rsidRDefault="00897C1E" w:rsidP="00051CDC">
      <w:pPr>
        <w:pStyle w:val="ListBullet"/>
      </w:pPr>
      <w:r w:rsidRPr="005911E2">
        <w:t xml:space="preserve">ran out of money to buy food clothing or medicine </w:t>
      </w:r>
    </w:p>
    <w:p w:rsidR="00897C1E" w:rsidRPr="005911E2" w:rsidRDefault="00897C1E" w:rsidP="00051CDC">
      <w:pPr>
        <w:pStyle w:val="ListBullet"/>
      </w:pPr>
      <w:r w:rsidRPr="005911E2">
        <w:t xml:space="preserve">unable to pay rent on time </w:t>
      </w:r>
    </w:p>
    <w:p w:rsidR="00897C1E" w:rsidRPr="005911E2" w:rsidRDefault="00E15AAB" w:rsidP="00051CDC">
      <w:pPr>
        <w:pStyle w:val="ListBullet"/>
      </w:pPr>
      <w:r>
        <w:t xml:space="preserve">unable to </w:t>
      </w:r>
      <w:r w:rsidR="00897C1E" w:rsidRPr="005911E2">
        <w:t>save money for bond</w:t>
      </w:r>
    </w:p>
    <w:p w:rsidR="00897C1E" w:rsidRPr="005911E2" w:rsidRDefault="00E15AAB" w:rsidP="00051CDC">
      <w:pPr>
        <w:pStyle w:val="ListBullet"/>
      </w:pPr>
      <w:r>
        <w:t xml:space="preserve">unable to </w:t>
      </w:r>
      <w:r w:rsidR="00897C1E" w:rsidRPr="005911E2">
        <w:t xml:space="preserve">pay water/electricity on time </w:t>
      </w:r>
    </w:p>
    <w:p w:rsidR="00897C1E" w:rsidRPr="005911E2" w:rsidRDefault="00897C1E" w:rsidP="00051CDC">
      <w:pPr>
        <w:pStyle w:val="ListBullet"/>
      </w:pPr>
      <w:r w:rsidRPr="005911E2">
        <w:t xml:space="preserve">financial problems because gave money to others </w:t>
      </w:r>
    </w:p>
    <w:p w:rsidR="00897C1E" w:rsidRPr="005911E2" w:rsidRDefault="00897C1E" w:rsidP="00051CDC">
      <w:pPr>
        <w:pStyle w:val="ListBullet"/>
      </w:pPr>
      <w:r w:rsidRPr="005911E2">
        <w:t xml:space="preserve">asked for money from others because could not buy essentials </w:t>
      </w:r>
    </w:p>
    <w:p w:rsidR="00897C1E" w:rsidRPr="005911E2" w:rsidRDefault="00897C1E" w:rsidP="00051CDC">
      <w:pPr>
        <w:pStyle w:val="ListBullet"/>
      </w:pPr>
      <w:r w:rsidRPr="005911E2">
        <w:t xml:space="preserve">asked for Emergency Relief </w:t>
      </w:r>
    </w:p>
    <w:p w:rsidR="00897C1E" w:rsidRPr="005911E2" w:rsidRDefault="00897C1E" w:rsidP="00051CDC">
      <w:pPr>
        <w:pStyle w:val="ListBullet"/>
      </w:pPr>
      <w:r w:rsidRPr="005911E2">
        <w:t xml:space="preserve">unable to afford travel to visit family and friends </w:t>
      </w:r>
    </w:p>
    <w:p w:rsidR="00897C1E" w:rsidRPr="005911E2" w:rsidRDefault="00897C1E" w:rsidP="00051CDC">
      <w:pPr>
        <w:pStyle w:val="ListBullet"/>
      </w:pPr>
      <w:r w:rsidRPr="005911E2">
        <w:t>unable to pay for school activities/trips for sport for children.</w:t>
      </w:r>
    </w:p>
    <w:p w:rsidR="00897C1E" w:rsidRDefault="00897C1E" w:rsidP="00897C1E">
      <w:pPr>
        <w:pStyle w:val="BodyText"/>
        <w:rPr>
          <w:lang w:eastAsia="en-US"/>
        </w:rPr>
      </w:pPr>
      <w:r w:rsidRPr="005911E2">
        <w:rPr>
          <w:lang w:eastAsia="en-US"/>
        </w:rPr>
        <w:t>For each of these measures of financial problems,</w:t>
      </w:r>
      <w:r w:rsidRPr="005911E2">
        <w:t xml:space="preserve"> </w:t>
      </w:r>
      <w:r w:rsidR="006F14AA" w:rsidRPr="005911E2">
        <w:t xml:space="preserve">Table </w:t>
      </w:r>
      <w:r w:rsidR="006F14AA" w:rsidRPr="005911E2">
        <w:rPr>
          <w:noProof/>
        </w:rPr>
        <w:t>10</w:t>
      </w:r>
      <w:r w:rsidR="006F14AA" w:rsidRPr="005911E2">
        <w:noBreakHyphen/>
      </w:r>
      <w:r w:rsidR="006F14AA" w:rsidRPr="005911E2">
        <w:rPr>
          <w:noProof/>
        </w:rPr>
        <w:t>5</w:t>
      </w:r>
      <w:r w:rsidR="00EB0967" w:rsidRPr="005911E2">
        <w:rPr>
          <w:noProof/>
        </w:rPr>
        <w:t xml:space="preserve"> </w:t>
      </w:r>
      <w:r w:rsidRPr="005911E2">
        <w:rPr>
          <w:lang w:eastAsia="en-US"/>
        </w:rPr>
        <w:t xml:space="preserve">shows the proportion of survey participants who said that this was </w:t>
      </w:r>
      <w:r w:rsidR="00B834CA">
        <w:rPr>
          <w:lang w:eastAsia="en-US"/>
        </w:rPr>
        <w:t xml:space="preserve">a </w:t>
      </w:r>
      <w:r w:rsidRPr="005911E2">
        <w:rPr>
          <w:lang w:eastAsia="en-US"/>
        </w:rPr>
        <w:t xml:space="preserve">problem for them before </w:t>
      </w:r>
      <w:r w:rsidR="00F878E4">
        <w:rPr>
          <w:lang w:eastAsia="en-US"/>
        </w:rPr>
        <w:t>income management</w:t>
      </w:r>
      <w:r w:rsidRPr="005911E2">
        <w:rPr>
          <w:lang w:eastAsia="en-US"/>
        </w:rPr>
        <w:t xml:space="preserve"> (or in the last year for those outside of NT) and whether the extent to which they experienced the financial problem had changed since </w:t>
      </w:r>
      <w:r w:rsidR="002230A5">
        <w:rPr>
          <w:lang w:eastAsia="en-US"/>
        </w:rPr>
        <w:t>being</w:t>
      </w:r>
      <w:r w:rsidR="002230A5" w:rsidRPr="005911E2">
        <w:rPr>
          <w:lang w:eastAsia="en-US"/>
        </w:rPr>
        <w:t xml:space="preserve"> </w:t>
      </w:r>
      <w:r w:rsidR="00F878E4">
        <w:rPr>
          <w:lang w:eastAsia="en-US"/>
        </w:rPr>
        <w:t>income manage</w:t>
      </w:r>
      <w:r w:rsidR="002230A5">
        <w:rPr>
          <w:lang w:eastAsia="en-US"/>
        </w:rPr>
        <w:t>d</w:t>
      </w:r>
      <w:r w:rsidRPr="005911E2">
        <w:rPr>
          <w:lang w:eastAsia="en-US"/>
        </w:rPr>
        <w:t xml:space="preserve"> (or </w:t>
      </w:r>
      <w:r w:rsidR="00B834CA">
        <w:rPr>
          <w:lang w:eastAsia="en-US"/>
        </w:rPr>
        <w:t xml:space="preserve">over the </w:t>
      </w:r>
      <w:r w:rsidRPr="005911E2">
        <w:rPr>
          <w:lang w:eastAsia="en-US"/>
        </w:rPr>
        <w:t xml:space="preserve">last year for the contrast group). The change in the extent </w:t>
      </w:r>
      <w:r w:rsidR="00B834CA">
        <w:rPr>
          <w:lang w:eastAsia="en-US"/>
        </w:rPr>
        <w:t xml:space="preserve">to which </w:t>
      </w:r>
      <w:r w:rsidRPr="005911E2">
        <w:rPr>
          <w:lang w:eastAsia="en-US"/>
        </w:rPr>
        <w:t>a particular financial problem was experienced is measured by the proportion who reported a reduction in the experience of the financial problem (i.e. were experiencing the problem in the past but were no longer experiencing the problem) minus the proportion who reported an increase in the experience of the financial hardship (i.e. were not experiencing the problem in the past but were experiencing the problem</w:t>
      </w:r>
      <w:r w:rsidR="00ED3A41">
        <w:rPr>
          <w:lang w:eastAsia="en-US"/>
        </w:rPr>
        <w:t xml:space="preserve"> now</w:t>
      </w:r>
      <w:r w:rsidRPr="005911E2">
        <w:rPr>
          <w:lang w:eastAsia="en-US"/>
        </w:rPr>
        <w:t>).</w:t>
      </w:r>
      <w:r w:rsidRPr="005911E2">
        <w:rPr>
          <w:rStyle w:val="FootnoteReference"/>
        </w:rPr>
        <w:footnoteReference w:id="108"/>
      </w:r>
      <w:r w:rsidRPr="005911E2">
        <w:rPr>
          <w:lang w:eastAsia="en-US"/>
        </w:rPr>
        <w:t xml:space="preserve"> A positive net change indicates that more people reported a decrease in their experience of the financial problem than those who reported an increase in their experience of the financial problem. </w:t>
      </w:r>
    </w:p>
    <w:p w:rsidR="00897C1E" w:rsidRPr="005911E2" w:rsidRDefault="00897C1E" w:rsidP="00897C1E">
      <w:pPr>
        <w:pStyle w:val="tabfighead"/>
      </w:pPr>
      <w:bookmarkStart w:id="1008" w:name="_Ref323940893"/>
      <w:bookmarkStart w:id="1009" w:name="_Toc322470921"/>
      <w:bookmarkStart w:id="1010" w:name="_Toc328601633"/>
      <w:bookmarkStart w:id="1011" w:name="_Toc329051411"/>
      <w:bookmarkStart w:id="1012" w:name="_Toc335915899"/>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10</w:t>
      </w:r>
      <w:r w:rsidR="00C7347D" w:rsidRPr="005911E2">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5</w:t>
      </w:r>
      <w:r w:rsidR="00C7347D" w:rsidRPr="005911E2">
        <w:fldChar w:fldCharType="end"/>
      </w:r>
      <w:bookmarkEnd w:id="1008"/>
      <w:r w:rsidRPr="005911E2">
        <w:tab/>
      </w:r>
      <w:r w:rsidR="003A7987" w:rsidRPr="003A7987">
        <w:t>LSNIM Northern Territory and contrast sites</w:t>
      </w:r>
      <w:r w:rsidRPr="005911E2">
        <w:t xml:space="preserve">, </w:t>
      </w:r>
      <w:r w:rsidR="00423C90">
        <w:t>i</w:t>
      </w:r>
      <w:r w:rsidRPr="005911E2">
        <w:t xml:space="preserve">ncidence of financial problems prior to </w:t>
      </w:r>
      <w:r w:rsidR="00F878E4">
        <w:t>income management</w:t>
      </w:r>
      <w:r w:rsidRPr="005911E2">
        <w:t xml:space="preserve"> and change since </w:t>
      </w:r>
      <w:r w:rsidR="00F878E4">
        <w:t>income management</w:t>
      </w:r>
      <w:r w:rsidRPr="005911E2">
        <w:t>/last year</w:t>
      </w:r>
      <w:bookmarkEnd w:id="1009"/>
      <w:bookmarkEnd w:id="1010"/>
      <w:bookmarkEnd w:id="1011"/>
      <w:bookmarkEnd w:id="1012"/>
    </w:p>
    <w:tbl>
      <w:tblPr>
        <w:tblW w:w="8187" w:type="dxa"/>
        <w:jc w:val="right"/>
        <w:tblInd w:w="97" w:type="dxa"/>
        <w:tblLayout w:type="fixed"/>
        <w:tblLook w:val="04A0" w:firstRow="1" w:lastRow="0" w:firstColumn="1" w:lastColumn="0" w:noHBand="0" w:noVBand="1"/>
      </w:tblPr>
      <w:tblGrid>
        <w:gridCol w:w="1777"/>
        <w:gridCol w:w="271"/>
        <w:gridCol w:w="622"/>
        <w:gridCol w:w="797"/>
        <w:gridCol w:w="236"/>
        <w:gridCol w:w="710"/>
        <w:gridCol w:w="731"/>
        <w:gridCol w:w="349"/>
        <w:gridCol w:w="851"/>
        <w:gridCol w:w="283"/>
        <w:gridCol w:w="851"/>
        <w:gridCol w:w="709"/>
      </w:tblGrid>
      <w:tr w:rsidR="003A7987" w:rsidRPr="00911315" w:rsidTr="008A1D49">
        <w:trPr>
          <w:trHeight w:val="288"/>
          <w:jc w:val="right"/>
        </w:trPr>
        <w:tc>
          <w:tcPr>
            <w:tcW w:w="1777" w:type="dxa"/>
            <w:tcBorders>
              <w:top w:val="single" w:sz="4" w:space="0" w:color="auto"/>
              <w:left w:val="nil"/>
              <w:bottom w:val="nil"/>
              <w:right w:val="nil"/>
            </w:tcBorders>
            <w:shd w:val="clear" w:color="auto" w:fill="auto"/>
            <w:noWrap/>
            <w:vAlign w:val="bottom"/>
            <w:hideMark/>
          </w:tcPr>
          <w:p w:rsidR="003A7987" w:rsidRPr="00911315" w:rsidRDefault="003A7987" w:rsidP="003A7987">
            <w:pPr>
              <w:keepNext/>
              <w:keepLines/>
              <w:spacing w:after="40" w:line="240" w:lineRule="auto"/>
              <w:ind w:left="0"/>
              <w:rPr>
                <w:rFonts w:cs="Arial"/>
                <w:color w:val="000000"/>
                <w:sz w:val="16"/>
                <w:szCs w:val="16"/>
                <w:lang w:eastAsia="en-AU" w:bidi="ar-SA"/>
              </w:rPr>
            </w:pPr>
          </w:p>
        </w:tc>
        <w:tc>
          <w:tcPr>
            <w:tcW w:w="3367" w:type="dxa"/>
            <w:gridSpan w:val="6"/>
            <w:tcBorders>
              <w:top w:val="single" w:sz="4" w:space="0" w:color="auto"/>
              <w:left w:val="nil"/>
              <w:bottom w:val="single" w:sz="4" w:space="0" w:color="auto"/>
              <w:right w:val="nil"/>
            </w:tcBorders>
            <w:shd w:val="clear" w:color="auto" w:fill="auto"/>
            <w:noWrap/>
            <w:vAlign w:val="bottom"/>
            <w:hideMark/>
          </w:tcPr>
          <w:p w:rsidR="003A7987" w:rsidRPr="00911315" w:rsidRDefault="003A7987" w:rsidP="003A7987">
            <w:pPr>
              <w:keepNext/>
              <w:keepLines/>
              <w:spacing w:after="40" w:line="240" w:lineRule="auto"/>
              <w:ind w:left="0"/>
              <w:rPr>
                <w:rFonts w:cs="Arial"/>
                <w:color w:val="000000"/>
                <w:sz w:val="16"/>
                <w:szCs w:val="16"/>
                <w:lang w:eastAsia="en-AU" w:bidi="ar-SA"/>
              </w:rPr>
            </w:pPr>
            <w:r>
              <w:rPr>
                <w:rFonts w:cs="Arial"/>
                <w:color w:val="000000"/>
                <w:sz w:val="16"/>
                <w:szCs w:val="16"/>
                <w:lang w:eastAsia="en-AU" w:bidi="ar-SA"/>
              </w:rPr>
              <w:t>Northern Territory income managed</w:t>
            </w:r>
          </w:p>
        </w:tc>
        <w:tc>
          <w:tcPr>
            <w:tcW w:w="349" w:type="dxa"/>
            <w:tcBorders>
              <w:top w:val="single" w:sz="4" w:space="0" w:color="auto"/>
              <w:left w:val="nil"/>
              <w:bottom w:val="single" w:sz="4" w:space="0" w:color="auto"/>
              <w:right w:val="nil"/>
            </w:tcBorders>
          </w:tcPr>
          <w:p w:rsidR="003A7987" w:rsidRPr="00911315" w:rsidRDefault="003A7987" w:rsidP="003A7987">
            <w:pPr>
              <w:keepNext/>
              <w:keepLines/>
              <w:spacing w:after="40" w:line="240" w:lineRule="auto"/>
              <w:ind w:left="0"/>
              <w:rPr>
                <w:rFonts w:cs="Arial"/>
                <w:color w:val="000000"/>
                <w:sz w:val="16"/>
                <w:szCs w:val="16"/>
                <w:lang w:eastAsia="en-AU" w:bidi="ar-SA"/>
              </w:rPr>
            </w:pPr>
          </w:p>
        </w:tc>
        <w:tc>
          <w:tcPr>
            <w:tcW w:w="851" w:type="dxa"/>
            <w:tcBorders>
              <w:top w:val="single" w:sz="4" w:space="0" w:color="auto"/>
              <w:left w:val="nil"/>
              <w:bottom w:val="single" w:sz="4" w:space="0" w:color="auto"/>
              <w:right w:val="nil"/>
            </w:tcBorders>
            <w:shd w:val="clear" w:color="auto" w:fill="auto"/>
            <w:noWrap/>
            <w:vAlign w:val="bottom"/>
            <w:hideMark/>
          </w:tcPr>
          <w:p w:rsidR="003A7987" w:rsidRPr="00911315" w:rsidRDefault="003A7987" w:rsidP="003A7987">
            <w:pPr>
              <w:keepNext/>
              <w:keepLines/>
              <w:spacing w:after="40" w:line="240" w:lineRule="auto"/>
              <w:ind w:left="0"/>
              <w:rPr>
                <w:rFonts w:cs="Arial"/>
                <w:color w:val="000000"/>
                <w:sz w:val="16"/>
                <w:szCs w:val="16"/>
                <w:lang w:eastAsia="en-AU" w:bidi="ar-SA"/>
              </w:rPr>
            </w:pPr>
          </w:p>
        </w:tc>
        <w:tc>
          <w:tcPr>
            <w:tcW w:w="283" w:type="dxa"/>
            <w:tcBorders>
              <w:top w:val="single" w:sz="4" w:space="0" w:color="auto"/>
              <w:left w:val="nil"/>
              <w:bottom w:val="nil"/>
              <w:right w:val="nil"/>
            </w:tcBorders>
            <w:shd w:val="clear" w:color="auto" w:fill="auto"/>
            <w:noWrap/>
            <w:vAlign w:val="bottom"/>
            <w:hideMark/>
          </w:tcPr>
          <w:p w:rsidR="003A7987" w:rsidRPr="00911315" w:rsidRDefault="003A7987" w:rsidP="003A7987">
            <w:pPr>
              <w:keepNext/>
              <w:keepLines/>
              <w:spacing w:after="40" w:line="240" w:lineRule="auto"/>
              <w:ind w:left="0"/>
              <w:rPr>
                <w:rFonts w:cs="Arial"/>
                <w:color w:val="000000"/>
                <w:sz w:val="16"/>
                <w:szCs w:val="16"/>
                <w:lang w:eastAsia="en-AU" w:bidi="ar-SA"/>
              </w:rPr>
            </w:pPr>
          </w:p>
        </w:tc>
        <w:tc>
          <w:tcPr>
            <w:tcW w:w="1560" w:type="dxa"/>
            <w:gridSpan w:val="2"/>
            <w:tcBorders>
              <w:top w:val="single" w:sz="4" w:space="0" w:color="auto"/>
              <w:left w:val="nil"/>
              <w:bottom w:val="single" w:sz="4" w:space="0" w:color="auto"/>
              <w:right w:val="nil"/>
            </w:tcBorders>
            <w:shd w:val="clear" w:color="auto" w:fill="auto"/>
            <w:noWrap/>
            <w:vAlign w:val="bottom"/>
            <w:hideMark/>
          </w:tcPr>
          <w:p w:rsidR="003A7987" w:rsidRPr="00911315" w:rsidRDefault="003A7987" w:rsidP="008A1D49">
            <w:pPr>
              <w:keepNext/>
              <w:keepLines/>
              <w:spacing w:after="40" w:line="240" w:lineRule="auto"/>
              <w:ind w:left="0"/>
              <w:jc w:val="left"/>
              <w:rPr>
                <w:rFonts w:cs="Arial"/>
                <w:color w:val="000000"/>
                <w:sz w:val="16"/>
                <w:szCs w:val="16"/>
                <w:lang w:eastAsia="en-AU" w:bidi="ar-SA"/>
              </w:rPr>
            </w:pPr>
            <w:r w:rsidRPr="00911315">
              <w:rPr>
                <w:rFonts w:cs="Arial"/>
                <w:color w:val="000000"/>
                <w:sz w:val="16"/>
                <w:szCs w:val="16"/>
                <w:lang w:eastAsia="en-AU" w:bidi="ar-SA"/>
              </w:rPr>
              <w:t xml:space="preserve">Contrast sites </w:t>
            </w:r>
          </w:p>
        </w:tc>
      </w:tr>
      <w:tr w:rsidR="00E15AAB" w:rsidRPr="00911315" w:rsidTr="003A7987">
        <w:trPr>
          <w:trHeight w:val="288"/>
          <w:jc w:val="right"/>
        </w:trPr>
        <w:tc>
          <w:tcPr>
            <w:tcW w:w="1777"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3367" w:type="dxa"/>
            <w:gridSpan w:val="6"/>
            <w:tcBorders>
              <w:top w:val="single" w:sz="4" w:space="0" w:color="auto"/>
              <w:left w:val="nil"/>
              <w:bottom w:val="single" w:sz="4" w:space="0" w:color="auto"/>
              <w:right w:val="nil"/>
            </w:tcBorders>
            <w:shd w:val="clear" w:color="auto" w:fill="auto"/>
            <w:noWrap/>
            <w:hideMark/>
          </w:tcPr>
          <w:p w:rsidR="00897C1E" w:rsidRPr="00911315" w:rsidRDefault="00897C1E" w:rsidP="003A7987">
            <w:pPr>
              <w:keepNext/>
              <w:keepLines/>
              <w:spacing w:after="40" w:line="240" w:lineRule="auto"/>
              <w:ind w:left="0"/>
              <w:jc w:val="left"/>
              <w:rPr>
                <w:rFonts w:cs="Arial"/>
                <w:color w:val="000000"/>
                <w:sz w:val="16"/>
                <w:szCs w:val="16"/>
                <w:lang w:eastAsia="en-AU" w:bidi="ar-SA"/>
              </w:rPr>
            </w:pPr>
            <w:r w:rsidRPr="00911315">
              <w:rPr>
                <w:rFonts w:cs="Arial"/>
                <w:color w:val="000000"/>
                <w:sz w:val="16"/>
                <w:szCs w:val="16"/>
                <w:lang w:eastAsia="en-AU" w:bidi="ar-SA"/>
              </w:rPr>
              <w:t>Indigenous</w:t>
            </w:r>
          </w:p>
        </w:tc>
        <w:tc>
          <w:tcPr>
            <w:tcW w:w="349" w:type="dxa"/>
            <w:tcBorders>
              <w:top w:val="single" w:sz="4" w:space="0" w:color="auto"/>
              <w:left w:val="nil"/>
              <w:right w:val="nil"/>
            </w:tcBorders>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single" w:sz="4" w:space="0" w:color="auto"/>
              <w:left w:val="nil"/>
              <w:bottom w:val="single" w:sz="4" w:space="0" w:color="auto"/>
              <w:right w:val="nil"/>
            </w:tcBorders>
            <w:shd w:val="clear" w:color="auto" w:fill="auto"/>
            <w:vAlign w:val="bottom"/>
            <w:hideMark/>
          </w:tcPr>
          <w:p w:rsidR="00897C1E" w:rsidRPr="00911315" w:rsidRDefault="00E15AAB"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Non</w:t>
            </w:r>
            <w:r w:rsidR="00897C1E" w:rsidRPr="00911315">
              <w:rPr>
                <w:rFonts w:cs="Arial"/>
                <w:color w:val="000000"/>
                <w:sz w:val="16"/>
                <w:szCs w:val="16"/>
                <w:lang w:eastAsia="en-AU" w:bidi="ar-SA"/>
              </w:rPr>
              <w:t xml:space="preserve">-Indig-enous </w:t>
            </w:r>
          </w:p>
        </w:tc>
        <w:tc>
          <w:tcPr>
            <w:tcW w:w="283"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vMerge w:val="restart"/>
            <w:tcBorders>
              <w:top w:val="single" w:sz="4" w:space="0" w:color="auto"/>
              <w:left w:val="nil"/>
              <w:right w:val="nil"/>
            </w:tcBorders>
            <w:shd w:val="clear" w:color="auto" w:fill="auto"/>
            <w:noWrap/>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Indig-enous</w:t>
            </w:r>
          </w:p>
        </w:tc>
        <w:tc>
          <w:tcPr>
            <w:tcW w:w="709" w:type="dxa"/>
            <w:vMerge w:val="restart"/>
            <w:tcBorders>
              <w:top w:val="single" w:sz="4" w:space="0" w:color="auto"/>
              <w:left w:val="nil"/>
              <w:right w:val="nil"/>
            </w:tcBorders>
            <w:shd w:val="clear" w:color="auto" w:fill="auto"/>
            <w:noWrap/>
            <w:hideMark/>
          </w:tcPr>
          <w:p w:rsidR="00897C1E" w:rsidRPr="00911315" w:rsidRDefault="00E15AAB"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Non</w:t>
            </w:r>
            <w:r w:rsidR="00897C1E" w:rsidRPr="00911315">
              <w:rPr>
                <w:rFonts w:cs="Arial"/>
                <w:color w:val="000000"/>
                <w:sz w:val="16"/>
                <w:szCs w:val="16"/>
                <w:lang w:eastAsia="en-AU" w:bidi="ar-SA"/>
              </w:rPr>
              <w:t>-Indig-enous</w:t>
            </w:r>
          </w:p>
        </w:tc>
      </w:tr>
      <w:tr w:rsidR="00E15AAB" w:rsidRPr="00911315" w:rsidTr="00E24340">
        <w:trPr>
          <w:trHeight w:val="288"/>
          <w:jc w:val="right"/>
        </w:trPr>
        <w:tc>
          <w:tcPr>
            <w:tcW w:w="1777" w:type="dxa"/>
            <w:tcBorders>
              <w:top w:val="nil"/>
              <w:left w:val="nil"/>
              <w:bottom w:val="nil"/>
              <w:right w:val="nil"/>
            </w:tcBorders>
            <w:shd w:val="clear" w:color="auto" w:fill="auto"/>
            <w:noWrap/>
            <w:vAlign w:val="bottom"/>
            <w:hideMark/>
          </w:tcPr>
          <w:p w:rsidR="00E15AAB" w:rsidRPr="00911315" w:rsidRDefault="00E15AAB" w:rsidP="003A7987">
            <w:pPr>
              <w:keepNext/>
              <w:keepLines/>
              <w:spacing w:after="40" w:line="240" w:lineRule="auto"/>
              <w:ind w:left="0"/>
              <w:rPr>
                <w:rFonts w:cs="Arial"/>
                <w:color w:val="000000"/>
                <w:sz w:val="16"/>
                <w:szCs w:val="16"/>
                <w:lang w:eastAsia="en-AU" w:bidi="ar-SA"/>
              </w:rPr>
            </w:pPr>
          </w:p>
        </w:tc>
        <w:tc>
          <w:tcPr>
            <w:tcW w:w="1690" w:type="dxa"/>
            <w:gridSpan w:val="3"/>
            <w:tcBorders>
              <w:top w:val="single" w:sz="4" w:space="0" w:color="auto"/>
              <w:left w:val="nil"/>
              <w:bottom w:val="single" w:sz="4" w:space="0" w:color="auto"/>
              <w:right w:val="nil"/>
            </w:tcBorders>
            <w:shd w:val="clear" w:color="auto" w:fill="auto"/>
            <w:noWrap/>
            <w:vAlign w:val="bottom"/>
            <w:hideMark/>
          </w:tcPr>
          <w:p w:rsidR="00E15AAB" w:rsidRPr="00911315" w:rsidRDefault="00E15AAB"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Compulsory</w:t>
            </w:r>
          </w:p>
        </w:tc>
        <w:tc>
          <w:tcPr>
            <w:tcW w:w="236" w:type="dxa"/>
            <w:tcBorders>
              <w:top w:val="single" w:sz="4" w:space="0" w:color="auto"/>
              <w:left w:val="nil"/>
              <w:bottom w:val="nil"/>
              <w:right w:val="nil"/>
            </w:tcBorders>
            <w:shd w:val="clear" w:color="auto" w:fill="auto"/>
            <w:noWrap/>
            <w:vAlign w:val="bottom"/>
            <w:hideMark/>
          </w:tcPr>
          <w:p w:rsidR="00E15AAB" w:rsidRPr="00911315" w:rsidRDefault="00E15AAB" w:rsidP="003A7987">
            <w:pPr>
              <w:keepNext/>
              <w:keepLines/>
              <w:spacing w:after="40" w:line="240" w:lineRule="auto"/>
              <w:ind w:left="0"/>
              <w:rPr>
                <w:rFonts w:cs="Arial"/>
                <w:color w:val="000000"/>
                <w:sz w:val="16"/>
                <w:szCs w:val="16"/>
                <w:lang w:eastAsia="en-AU" w:bidi="ar-SA"/>
              </w:rPr>
            </w:pPr>
          </w:p>
        </w:tc>
        <w:tc>
          <w:tcPr>
            <w:tcW w:w="1441" w:type="dxa"/>
            <w:gridSpan w:val="2"/>
            <w:tcBorders>
              <w:top w:val="single" w:sz="4" w:space="0" w:color="auto"/>
              <w:left w:val="nil"/>
              <w:bottom w:val="single" w:sz="4" w:space="0" w:color="auto"/>
              <w:right w:val="nil"/>
            </w:tcBorders>
            <w:shd w:val="clear" w:color="auto" w:fill="auto"/>
            <w:noWrap/>
            <w:vAlign w:val="bottom"/>
            <w:hideMark/>
          </w:tcPr>
          <w:p w:rsidR="00E15AAB" w:rsidRPr="00911315" w:rsidRDefault="00E15AAB"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Voluntary</w:t>
            </w:r>
          </w:p>
        </w:tc>
        <w:tc>
          <w:tcPr>
            <w:tcW w:w="349" w:type="dxa"/>
            <w:tcBorders>
              <w:left w:val="nil"/>
              <w:right w:val="nil"/>
            </w:tcBorders>
          </w:tcPr>
          <w:p w:rsidR="00E15AAB" w:rsidRPr="00911315" w:rsidRDefault="00E15AAB" w:rsidP="003A7987">
            <w:pPr>
              <w:keepNext/>
              <w:keepLines/>
              <w:spacing w:after="40" w:line="240" w:lineRule="auto"/>
              <w:ind w:left="0"/>
              <w:jc w:val="right"/>
              <w:rPr>
                <w:rFonts w:cs="Arial"/>
                <w:color w:val="000000"/>
                <w:sz w:val="16"/>
                <w:szCs w:val="16"/>
                <w:lang w:eastAsia="en-AU" w:bidi="ar-SA"/>
              </w:rPr>
            </w:pPr>
          </w:p>
        </w:tc>
        <w:tc>
          <w:tcPr>
            <w:tcW w:w="851" w:type="dxa"/>
            <w:vMerge w:val="restart"/>
            <w:tcBorders>
              <w:top w:val="single" w:sz="4" w:space="0" w:color="auto"/>
              <w:left w:val="nil"/>
              <w:bottom w:val="single" w:sz="4" w:space="0" w:color="auto"/>
              <w:right w:val="nil"/>
            </w:tcBorders>
          </w:tcPr>
          <w:p w:rsidR="00E15AAB" w:rsidRPr="00911315" w:rsidRDefault="00E15AAB"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Compul-sory</w:t>
            </w:r>
          </w:p>
        </w:tc>
        <w:tc>
          <w:tcPr>
            <w:tcW w:w="283" w:type="dxa"/>
            <w:tcBorders>
              <w:top w:val="nil"/>
              <w:left w:val="nil"/>
              <w:bottom w:val="nil"/>
              <w:right w:val="nil"/>
            </w:tcBorders>
            <w:shd w:val="clear" w:color="auto" w:fill="auto"/>
            <w:noWrap/>
            <w:vAlign w:val="bottom"/>
            <w:hideMark/>
          </w:tcPr>
          <w:p w:rsidR="00E15AAB" w:rsidRPr="00911315" w:rsidRDefault="00E15AAB" w:rsidP="003A7987">
            <w:pPr>
              <w:keepNext/>
              <w:keepLines/>
              <w:spacing w:after="40" w:line="240" w:lineRule="auto"/>
              <w:ind w:left="0"/>
              <w:rPr>
                <w:rFonts w:cs="Arial"/>
                <w:color w:val="000000"/>
                <w:sz w:val="16"/>
                <w:szCs w:val="16"/>
                <w:lang w:eastAsia="en-AU" w:bidi="ar-SA"/>
              </w:rPr>
            </w:pPr>
          </w:p>
        </w:tc>
        <w:tc>
          <w:tcPr>
            <w:tcW w:w="851" w:type="dxa"/>
            <w:vMerge/>
            <w:tcBorders>
              <w:left w:val="nil"/>
              <w:right w:val="nil"/>
            </w:tcBorders>
            <w:shd w:val="clear" w:color="auto" w:fill="auto"/>
            <w:noWrap/>
            <w:vAlign w:val="bottom"/>
            <w:hideMark/>
          </w:tcPr>
          <w:p w:rsidR="00E15AAB" w:rsidRPr="00911315" w:rsidRDefault="00E15AAB" w:rsidP="003A7987">
            <w:pPr>
              <w:keepNext/>
              <w:keepLines/>
              <w:spacing w:after="40" w:line="240" w:lineRule="auto"/>
              <w:ind w:left="0"/>
              <w:rPr>
                <w:rFonts w:cs="Arial"/>
                <w:color w:val="000000"/>
                <w:sz w:val="16"/>
                <w:szCs w:val="16"/>
                <w:lang w:eastAsia="en-AU" w:bidi="ar-SA"/>
              </w:rPr>
            </w:pPr>
          </w:p>
        </w:tc>
        <w:tc>
          <w:tcPr>
            <w:tcW w:w="709" w:type="dxa"/>
            <w:vMerge/>
            <w:tcBorders>
              <w:left w:val="nil"/>
              <w:right w:val="nil"/>
            </w:tcBorders>
            <w:shd w:val="clear" w:color="auto" w:fill="auto"/>
            <w:noWrap/>
            <w:vAlign w:val="bottom"/>
            <w:hideMark/>
          </w:tcPr>
          <w:p w:rsidR="00E15AAB" w:rsidRPr="00911315" w:rsidRDefault="00E15AAB" w:rsidP="003A7987">
            <w:pPr>
              <w:keepNext/>
              <w:keepLines/>
              <w:spacing w:after="40" w:line="240" w:lineRule="auto"/>
              <w:ind w:left="0"/>
              <w:rPr>
                <w:rFonts w:cs="Arial"/>
                <w:color w:val="000000"/>
                <w:sz w:val="16"/>
                <w:szCs w:val="16"/>
                <w:lang w:eastAsia="en-AU" w:bidi="ar-SA"/>
              </w:rPr>
            </w:pPr>
          </w:p>
        </w:tc>
      </w:tr>
      <w:tr w:rsidR="00E15AAB" w:rsidRPr="00911315" w:rsidTr="00E24340">
        <w:trPr>
          <w:trHeight w:val="288"/>
          <w:jc w:val="right"/>
        </w:trPr>
        <w:tc>
          <w:tcPr>
            <w:tcW w:w="1777" w:type="dxa"/>
            <w:tcBorders>
              <w:top w:val="nil"/>
              <w:left w:val="nil"/>
              <w:bottom w:val="single" w:sz="4" w:space="0" w:color="auto"/>
              <w:right w:val="nil"/>
            </w:tcBorders>
            <w:shd w:val="clear" w:color="auto" w:fill="auto"/>
            <w:noWrap/>
            <w:vAlign w:val="bottom"/>
            <w:hideMark/>
          </w:tcPr>
          <w:p w:rsidR="00E15AAB" w:rsidRPr="00911315" w:rsidRDefault="00E15AAB" w:rsidP="003A7987">
            <w:pPr>
              <w:keepNext/>
              <w:keepLines/>
              <w:spacing w:after="40" w:line="240" w:lineRule="auto"/>
              <w:ind w:left="0"/>
              <w:rPr>
                <w:rFonts w:cs="Arial"/>
                <w:color w:val="000000"/>
                <w:sz w:val="16"/>
                <w:szCs w:val="16"/>
                <w:lang w:eastAsia="en-AU" w:bidi="ar-SA"/>
              </w:rPr>
            </w:pPr>
          </w:p>
        </w:tc>
        <w:tc>
          <w:tcPr>
            <w:tcW w:w="893" w:type="dxa"/>
            <w:gridSpan w:val="2"/>
            <w:tcBorders>
              <w:top w:val="single" w:sz="4" w:space="0" w:color="auto"/>
              <w:left w:val="nil"/>
              <w:bottom w:val="single" w:sz="4" w:space="0" w:color="auto"/>
              <w:right w:val="nil"/>
            </w:tcBorders>
            <w:shd w:val="clear" w:color="auto" w:fill="auto"/>
            <w:noWrap/>
            <w:vAlign w:val="bottom"/>
            <w:hideMark/>
          </w:tcPr>
          <w:p w:rsidR="00E15AAB" w:rsidRPr="00911315" w:rsidRDefault="00E15AAB"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NTER area</w:t>
            </w:r>
          </w:p>
        </w:tc>
        <w:tc>
          <w:tcPr>
            <w:tcW w:w="797" w:type="dxa"/>
            <w:tcBorders>
              <w:top w:val="single" w:sz="4" w:space="0" w:color="auto"/>
              <w:left w:val="nil"/>
              <w:bottom w:val="single" w:sz="4" w:space="0" w:color="auto"/>
              <w:right w:val="nil"/>
            </w:tcBorders>
            <w:shd w:val="clear" w:color="auto" w:fill="auto"/>
            <w:noWrap/>
            <w:vAlign w:val="bottom"/>
            <w:hideMark/>
          </w:tcPr>
          <w:p w:rsidR="00E15AAB" w:rsidRPr="00911315" w:rsidRDefault="00E15AAB"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Not NTER</w:t>
            </w:r>
          </w:p>
        </w:tc>
        <w:tc>
          <w:tcPr>
            <w:tcW w:w="236" w:type="dxa"/>
            <w:tcBorders>
              <w:top w:val="nil"/>
              <w:left w:val="nil"/>
              <w:bottom w:val="single" w:sz="4" w:space="0" w:color="auto"/>
              <w:right w:val="nil"/>
            </w:tcBorders>
            <w:shd w:val="clear" w:color="auto" w:fill="auto"/>
            <w:noWrap/>
            <w:vAlign w:val="bottom"/>
            <w:hideMark/>
          </w:tcPr>
          <w:p w:rsidR="00E15AAB" w:rsidRPr="00911315" w:rsidRDefault="00E15AAB" w:rsidP="003A7987">
            <w:pPr>
              <w:keepNext/>
              <w:keepLines/>
              <w:spacing w:after="40" w:line="240" w:lineRule="auto"/>
              <w:ind w:left="0"/>
              <w:jc w:val="right"/>
              <w:rPr>
                <w:rFonts w:cs="Arial"/>
                <w:color w:val="000000"/>
                <w:sz w:val="16"/>
                <w:szCs w:val="16"/>
                <w:lang w:eastAsia="en-AU" w:bidi="ar-SA"/>
              </w:rPr>
            </w:pPr>
          </w:p>
        </w:tc>
        <w:tc>
          <w:tcPr>
            <w:tcW w:w="710" w:type="dxa"/>
            <w:tcBorders>
              <w:top w:val="single" w:sz="4" w:space="0" w:color="auto"/>
              <w:left w:val="nil"/>
              <w:bottom w:val="single" w:sz="4" w:space="0" w:color="auto"/>
              <w:right w:val="nil"/>
            </w:tcBorders>
            <w:shd w:val="clear" w:color="auto" w:fill="auto"/>
            <w:noWrap/>
            <w:vAlign w:val="bottom"/>
            <w:hideMark/>
          </w:tcPr>
          <w:p w:rsidR="00E15AAB" w:rsidRPr="00911315" w:rsidRDefault="00E15AAB"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NTER area</w:t>
            </w:r>
          </w:p>
        </w:tc>
        <w:tc>
          <w:tcPr>
            <w:tcW w:w="731" w:type="dxa"/>
            <w:tcBorders>
              <w:top w:val="single" w:sz="4" w:space="0" w:color="auto"/>
              <w:left w:val="nil"/>
              <w:bottom w:val="single" w:sz="4" w:space="0" w:color="auto"/>
              <w:right w:val="nil"/>
            </w:tcBorders>
            <w:shd w:val="clear" w:color="auto" w:fill="auto"/>
            <w:noWrap/>
            <w:vAlign w:val="bottom"/>
            <w:hideMark/>
          </w:tcPr>
          <w:p w:rsidR="00E15AAB" w:rsidRPr="00911315" w:rsidRDefault="00E15AAB"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Not NTER</w:t>
            </w:r>
          </w:p>
        </w:tc>
        <w:tc>
          <w:tcPr>
            <w:tcW w:w="349" w:type="dxa"/>
            <w:tcBorders>
              <w:left w:val="nil"/>
              <w:bottom w:val="single" w:sz="4" w:space="0" w:color="auto"/>
              <w:right w:val="nil"/>
            </w:tcBorders>
          </w:tcPr>
          <w:p w:rsidR="00E15AAB" w:rsidRPr="00911315" w:rsidRDefault="00E15AAB" w:rsidP="003A7987">
            <w:pPr>
              <w:keepNext/>
              <w:keepLines/>
              <w:spacing w:after="40" w:line="240" w:lineRule="auto"/>
              <w:ind w:left="0"/>
              <w:rPr>
                <w:rFonts w:cs="Arial"/>
                <w:color w:val="000000"/>
                <w:sz w:val="16"/>
                <w:szCs w:val="16"/>
                <w:lang w:eastAsia="en-AU" w:bidi="ar-SA"/>
              </w:rPr>
            </w:pPr>
          </w:p>
        </w:tc>
        <w:tc>
          <w:tcPr>
            <w:tcW w:w="851" w:type="dxa"/>
            <w:vMerge/>
            <w:tcBorders>
              <w:left w:val="nil"/>
              <w:bottom w:val="single" w:sz="4" w:space="0" w:color="auto"/>
              <w:right w:val="nil"/>
            </w:tcBorders>
            <w:shd w:val="clear" w:color="auto" w:fill="auto"/>
            <w:vAlign w:val="center"/>
            <w:hideMark/>
          </w:tcPr>
          <w:p w:rsidR="00E15AAB" w:rsidRPr="00911315" w:rsidRDefault="00E15AAB" w:rsidP="003A7987">
            <w:pPr>
              <w:keepNext/>
              <w:keepLines/>
              <w:spacing w:after="40" w:line="240" w:lineRule="auto"/>
              <w:ind w:left="0"/>
              <w:rPr>
                <w:rFonts w:cs="Arial"/>
                <w:color w:val="000000"/>
                <w:sz w:val="16"/>
                <w:szCs w:val="16"/>
                <w:lang w:eastAsia="en-AU" w:bidi="ar-SA"/>
              </w:rPr>
            </w:pPr>
          </w:p>
        </w:tc>
        <w:tc>
          <w:tcPr>
            <w:tcW w:w="283" w:type="dxa"/>
            <w:tcBorders>
              <w:top w:val="nil"/>
              <w:left w:val="nil"/>
              <w:bottom w:val="single" w:sz="4" w:space="0" w:color="auto"/>
              <w:right w:val="nil"/>
            </w:tcBorders>
            <w:shd w:val="clear" w:color="auto" w:fill="auto"/>
            <w:noWrap/>
            <w:vAlign w:val="bottom"/>
            <w:hideMark/>
          </w:tcPr>
          <w:p w:rsidR="00E15AAB" w:rsidRPr="00911315" w:rsidRDefault="00E15AAB" w:rsidP="003A7987">
            <w:pPr>
              <w:keepNext/>
              <w:keepLines/>
              <w:spacing w:after="40" w:line="240" w:lineRule="auto"/>
              <w:ind w:left="0"/>
              <w:rPr>
                <w:rFonts w:cs="Arial"/>
                <w:color w:val="000000"/>
                <w:sz w:val="16"/>
                <w:szCs w:val="16"/>
                <w:lang w:eastAsia="en-AU" w:bidi="ar-SA"/>
              </w:rPr>
            </w:pPr>
          </w:p>
        </w:tc>
        <w:tc>
          <w:tcPr>
            <w:tcW w:w="851" w:type="dxa"/>
            <w:vMerge/>
            <w:tcBorders>
              <w:left w:val="nil"/>
              <w:bottom w:val="single" w:sz="4" w:space="0" w:color="auto"/>
              <w:right w:val="nil"/>
            </w:tcBorders>
            <w:shd w:val="clear" w:color="auto" w:fill="auto"/>
            <w:noWrap/>
            <w:vAlign w:val="bottom"/>
            <w:hideMark/>
          </w:tcPr>
          <w:p w:rsidR="00E15AAB" w:rsidRPr="00911315" w:rsidRDefault="00E15AAB" w:rsidP="003A7987">
            <w:pPr>
              <w:keepNext/>
              <w:keepLines/>
              <w:spacing w:after="40" w:line="240" w:lineRule="auto"/>
              <w:ind w:left="0"/>
              <w:rPr>
                <w:rFonts w:cs="Arial"/>
                <w:color w:val="000000"/>
                <w:sz w:val="16"/>
                <w:szCs w:val="16"/>
                <w:lang w:eastAsia="en-AU" w:bidi="ar-SA"/>
              </w:rPr>
            </w:pPr>
          </w:p>
        </w:tc>
        <w:tc>
          <w:tcPr>
            <w:tcW w:w="709" w:type="dxa"/>
            <w:vMerge/>
            <w:tcBorders>
              <w:left w:val="nil"/>
              <w:bottom w:val="single" w:sz="4" w:space="0" w:color="auto"/>
              <w:right w:val="nil"/>
            </w:tcBorders>
            <w:shd w:val="clear" w:color="auto" w:fill="auto"/>
            <w:noWrap/>
            <w:vAlign w:val="bottom"/>
            <w:hideMark/>
          </w:tcPr>
          <w:p w:rsidR="00E15AAB" w:rsidRPr="00911315" w:rsidRDefault="00E15AAB" w:rsidP="003A7987">
            <w:pPr>
              <w:keepNext/>
              <w:keepLines/>
              <w:spacing w:after="40" w:line="240" w:lineRule="auto"/>
              <w:ind w:left="0"/>
              <w:rPr>
                <w:rFonts w:cs="Arial"/>
                <w:color w:val="000000"/>
                <w:sz w:val="16"/>
                <w:szCs w:val="16"/>
                <w:lang w:eastAsia="en-AU" w:bidi="ar-SA"/>
              </w:rPr>
            </w:pPr>
          </w:p>
        </w:tc>
      </w:tr>
      <w:tr w:rsidR="00E15AAB" w:rsidRPr="00911315" w:rsidTr="00E24340">
        <w:trPr>
          <w:trHeight w:hRule="exact" w:val="227"/>
          <w:jc w:val="right"/>
        </w:trPr>
        <w:tc>
          <w:tcPr>
            <w:tcW w:w="3467" w:type="dxa"/>
            <w:gridSpan w:val="4"/>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r w:rsidRPr="00911315">
              <w:rPr>
                <w:rFonts w:cs="Arial"/>
                <w:i/>
                <w:color w:val="000000"/>
                <w:sz w:val="16"/>
                <w:szCs w:val="16"/>
                <w:lang w:eastAsia="en-AU" w:bidi="ar-SA"/>
              </w:rPr>
              <w:t>Ran out of money to buy food</w:t>
            </w:r>
          </w:p>
        </w:tc>
        <w:tc>
          <w:tcPr>
            <w:tcW w:w="236"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731"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349" w:type="dxa"/>
            <w:tcBorders>
              <w:top w:val="single" w:sz="4" w:space="0" w:color="auto"/>
              <w:left w:val="nil"/>
              <w:bottom w:val="nil"/>
              <w:right w:val="nil"/>
            </w:tcBorders>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283"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709"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r>
      <w:tr w:rsidR="00E15AAB" w:rsidRPr="00911315" w:rsidTr="00E24340">
        <w:trPr>
          <w:trHeight w:hRule="exact" w:val="227"/>
          <w:jc w:val="right"/>
        </w:trPr>
        <w:tc>
          <w:tcPr>
            <w:tcW w:w="2048" w:type="dxa"/>
            <w:gridSpan w:val="2"/>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Original Problem (%) (a)</w:t>
            </w:r>
          </w:p>
        </w:tc>
        <w:tc>
          <w:tcPr>
            <w:tcW w:w="622"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46.8</w:t>
            </w:r>
          </w:p>
        </w:tc>
        <w:tc>
          <w:tcPr>
            <w:tcW w:w="797"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28.5</w:t>
            </w:r>
          </w:p>
        </w:tc>
        <w:tc>
          <w:tcPr>
            <w:tcW w:w="236"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46.3</w:t>
            </w:r>
          </w:p>
        </w:tc>
        <w:tc>
          <w:tcPr>
            <w:tcW w:w="731"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35.7</w:t>
            </w:r>
          </w:p>
        </w:tc>
        <w:tc>
          <w:tcPr>
            <w:tcW w:w="349" w:type="dxa"/>
            <w:tcBorders>
              <w:top w:val="nil"/>
              <w:left w:val="nil"/>
              <w:bottom w:val="nil"/>
              <w:right w:val="nil"/>
            </w:tcBorders>
          </w:tcPr>
          <w:p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25.4</w:t>
            </w:r>
          </w:p>
        </w:tc>
        <w:tc>
          <w:tcPr>
            <w:tcW w:w="283"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59.4</w:t>
            </w:r>
          </w:p>
        </w:tc>
        <w:tc>
          <w:tcPr>
            <w:tcW w:w="709"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31.7</w:t>
            </w:r>
          </w:p>
        </w:tc>
      </w:tr>
      <w:tr w:rsidR="00E15AAB" w:rsidRPr="00911315" w:rsidTr="00E24340">
        <w:trPr>
          <w:trHeight w:hRule="exact" w:val="227"/>
          <w:jc w:val="right"/>
        </w:trPr>
        <w:tc>
          <w:tcPr>
            <w:tcW w:w="2048" w:type="dxa"/>
            <w:gridSpan w:val="2"/>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Net improvement (b)</w:t>
            </w:r>
          </w:p>
        </w:tc>
        <w:tc>
          <w:tcPr>
            <w:tcW w:w="622"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8.2</w:t>
            </w:r>
          </w:p>
        </w:tc>
        <w:tc>
          <w:tcPr>
            <w:tcW w:w="797"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-3.0</w:t>
            </w:r>
          </w:p>
        </w:tc>
        <w:tc>
          <w:tcPr>
            <w:tcW w:w="236"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5.8</w:t>
            </w:r>
          </w:p>
        </w:tc>
        <w:tc>
          <w:tcPr>
            <w:tcW w:w="731"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10.7</w:t>
            </w:r>
          </w:p>
        </w:tc>
        <w:tc>
          <w:tcPr>
            <w:tcW w:w="349" w:type="dxa"/>
            <w:tcBorders>
              <w:top w:val="nil"/>
              <w:left w:val="nil"/>
              <w:bottom w:val="single" w:sz="4" w:space="0" w:color="auto"/>
              <w:right w:val="nil"/>
            </w:tcBorders>
          </w:tcPr>
          <w:p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6.6</w:t>
            </w:r>
          </w:p>
        </w:tc>
        <w:tc>
          <w:tcPr>
            <w:tcW w:w="283"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8.3</w:t>
            </w:r>
          </w:p>
        </w:tc>
        <w:tc>
          <w:tcPr>
            <w:tcW w:w="709"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5.8</w:t>
            </w:r>
          </w:p>
        </w:tc>
      </w:tr>
      <w:tr w:rsidR="00E15AAB" w:rsidRPr="00911315" w:rsidTr="00E24340">
        <w:trPr>
          <w:trHeight w:hRule="exact" w:val="227"/>
          <w:jc w:val="right"/>
        </w:trPr>
        <w:tc>
          <w:tcPr>
            <w:tcW w:w="3467" w:type="dxa"/>
            <w:gridSpan w:val="4"/>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r w:rsidRPr="00911315">
              <w:rPr>
                <w:rFonts w:cs="Arial"/>
                <w:i/>
                <w:color w:val="000000"/>
                <w:sz w:val="16"/>
                <w:szCs w:val="16"/>
                <w:lang w:eastAsia="en-AU" w:bidi="ar-SA"/>
              </w:rPr>
              <w:t>Ran out of money to buy clothing</w:t>
            </w:r>
          </w:p>
        </w:tc>
        <w:tc>
          <w:tcPr>
            <w:tcW w:w="236"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710"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731"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349" w:type="dxa"/>
            <w:tcBorders>
              <w:top w:val="single" w:sz="4" w:space="0" w:color="auto"/>
              <w:left w:val="nil"/>
              <w:bottom w:val="nil"/>
              <w:right w:val="nil"/>
            </w:tcBorders>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851"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283"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851"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709"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r>
      <w:tr w:rsidR="00E15AAB" w:rsidRPr="00911315" w:rsidTr="00E24340">
        <w:trPr>
          <w:trHeight w:hRule="exact" w:val="227"/>
          <w:jc w:val="right"/>
        </w:trPr>
        <w:tc>
          <w:tcPr>
            <w:tcW w:w="1777"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Original Problem (%)</w:t>
            </w:r>
          </w:p>
        </w:tc>
        <w:tc>
          <w:tcPr>
            <w:tcW w:w="893" w:type="dxa"/>
            <w:gridSpan w:val="2"/>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44.5</w:t>
            </w:r>
          </w:p>
        </w:tc>
        <w:tc>
          <w:tcPr>
            <w:tcW w:w="797"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26.7</w:t>
            </w:r>
          </w:p>
        </w:tc>
        <w:tc>
          <w:tcPr>
            <w:tcW w:w="236"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45.9</w:t>
            </w:r>
          </w:p>
        </w:tc>
        <w:tc>
          <w:tcPr>
            <w:tcW w:w="731"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32.1</w:t>
            </w:r>
          </w:p>
        </w:tc>
        <w:tc>
          <w:tcPr>
            <w:tcW w:w="349" w:type="dxa"/>
            <w:tcBorders>
              <w:top w:val="nil"/>
              <w:left w:val="nil"/>
              <w:bottom w:val="nil"/>
              <w:right w:val="nil"/>
            </w:tcBorders>
          </w:tcPr>
          <w:p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24.2</w:t>
            </w:r>
          </w:p>
        </w:tc>
        <w:tc>
          <w:tcPr>
            <w:tcW w:w="283"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56.8</w:t>
            </w:r>
          </w:p>
        </w:tc>
        <w:tc>
          <w:tcPr>
            <w:tcW w:w="709"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31.1</w:t>
            </w:r>
          </w:p>
        </w:tc>
      </w:tr>
      <w:tr w:rsidR="00E15AAB" w:rsidRPr="00911315" w:rsidTr="00E24340">
        <w:trPr>
          <w:trHeight w:hRule="exact" w:val="227"/>
          <w:jc w:val="right"/>
        </w:trPr>
        <w:tc>
          <w:tcPr>
            <w:tcW w:w="1777"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 xml:space="preserve">Net improvement </w:t>
            </w:r>
          </w:p>
        </w:tc>
        <w:tc>
          <w:tcPr>
            <w:tcW w:w="893" w:type="dxa"/>
            <w:gridSpan w:val="2"/>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11.4</w:t>
            </w:r>
          </w:p>
        </w:tc>
        <w:tc>
          <w:tcPr>
            <w:tcW w:w="797"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-1.8</w:t>
            </w:r>
          </w:p>
        </w:tc>
        <w:tc>
          <w:tcPr>
            <w:tcW w:w="236"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9.0</w:t>
            </w:r>
          </w:p>
        </w:tc>
        <w:tc>
          <w:tcPr>
            <w:tcW w:w="731"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10.7</w:t>
            </w:r>
          </w:p>
        </w:tc>
        <w:tc>
          <w:tcPr>
            <w:tcW w:w="349" w:type="dxa"/>
            <w:tcBorders>
              <w:top w:val="nil"/>
              <w:left w:val="nil"/>
              <w:bottom w:val="single" w:sz="4" w:space="0" w:color="auto"/>
              <w:right w:val="nil"/>
            </w:tcBorders>
          </w:tcPr>
          <w:p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7.1</w:t>
            </w:r>
          </w:p>
        </w:tc>
        <w:tc>
          <w:tcPr>
            <w:tcW w:w="283"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5.3</w:t>
            </w:r>
          </w:p>
        </w:tc>
        <w:tc>
          <w:tcPr>
            <w:tcW w:w="709"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6.8</w:t>
            </w:r>
          </w:p>
        </w:tc>
      </w:tr>
      <w:tr w:rsidR="00E15AAB" w:rsidRPr="00911315" w:rsidTr="00E24340">
        <w:trPr>
          <w:trHeight w:hRule="exact" w:val="227"/>
          <w:jc w:val="right"/>
        </w:trPr>
        <w:tc>
          <w:tcPr>
            <w:tcW w:w="3467" w:type="dxa"/>
            <w:gridSpan w:val="4"/>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r w:rsidRPr="00911315">
              <w:rPr>
                <w:rFonts w:cs="Arial"/>
                <w:i/>
                <w:color w:val="000000"/>
                <w:sz w:val="16"/>
                <w:szCs w:val="16"/>
                <w:lang w:eastAsia="en-AU" w:bidi="ar-SA"/>
              </w:rPr>
              <w:t>Ran out of money to buy medicine</w:t>
            </w:r>
          </w:p>
        </w:tc>
        <w:tc>
          <w:tcPr>
            <w:tcW w:w="236"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710"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731"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349" w:type="dxa"/>
            <w:tcBorders>
              <w:top w:val="single" w:sz="4" w:space="0" w:color="auto"/>
              <w:left w:val="nil"/>
              <w:bottom w:val="nil"/>
              <w:right w:val="nil"/>
            </w:tcBorders>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851"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283"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851"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709"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r>
      <w:tr w:rsidR="00E15AAB" w:rsidRPr="00911315" w:rsidTr="00E24340">
        <w:trPr>
          <w:trHeight w:hRule="exact" w:val="227"/>
          <w:jc w:val="right"/>
        </w:trPr>
        <w:tc>
          <w:tcPr>
            <w:tcW w:w="1777"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Original Problem (%)</w:t>
            </w:r>
          </w:p>
        </w:tc>
        <w:tc>
          <w:tcPr>
            <w:tcW w:w="893" w:type="dxa"/>
            <w:gridSpan w:val="2"/>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27.9</w:t>
            </w:r>
          </w:p>
        </w:tc>
        <w:tc>
          <w:tcPr>
            <w:tcW w:w="797"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19.1</w:t>
            </w:r>
          </w:p>
        </w:tc>
        <w:tc>
          <w:tcPr>
            <w:tcW w:w="236"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23.3</w:t>
            </w:r>
          </w:p>
        </w:tc>
        <w:tc>
          <w:tcPr>
            <w:tcW w:w="731"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32.1</w:t>
            </w:r>
          </w:p>
        </w:tc>
        <w:tc>
          <w:tcPr>
            <w:tcW w:w="349" w:type="dxa"/>
            <w:tcBorders>
              <w:top w:val="nil"/>
              <w:left w:val="nil"/>
              <w:bottom w:val="nil"/>
              <w:right w:val="nil"/>
            </w:tcBorders>
          </w:tcPr>
          <w:p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20.8</w:t>
            </w:r>
          </w:p>
        </w:tc>
        <w:tc>
          <w:tcPr>
            <w:tcW w:w="283"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38.8</w:t>
            </w:r>
          </w:p>
        </w:tc>
        <w:tc>
          <w:tcPr>
            <w:tcW w:w="709"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28.2</w:t>
            </w:r>
          </w:p>
        </w:tc>
      </w:tr>
      <w:tr w:rsidR="00E15AAB" w:rsidRPr="00911315" w:rsidTr="00E24340">
        <w:trPr>
          <w:trHeight w:hRule="exact" w:val="227"/>
          <w:jc w:val="right"/>
        </w:trPr>
        <w:tc>
          <w:tcPr>
            <w:tcW w:w="1777"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 xml:space="preserve">Net improvement </w:t>
            </w:r>
          </w:p>
        </w:tc>
        <w:tc>
          <w:tcPr>
            <w:tcW w:w="893" w:type="dxa"/>
            <w:gridSpan w:val="2"/>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4.4</w:t>
            </w:r>
          </w:p>
        </w:tc>
        <w:tc>
          <w:tcPr>
            <w:tcW w:w="797"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0.6</w:t>
            </w:r>
          </w:p>
        </w:tc>
        <w:tc>
          <w:tcPr>
            <w:tcW w:w="236"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7.0</w:t>
            </w:r>
          </w:p>
        </w:tc>
        <w:tc>
          <w:tcPr>
            <w:tcW w:w="731"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14.3</w:t>
            </w:r>
          </w:p>
        </w:tc>
        <w:tc>
          <w:tcPr>
            <w:tcW w:w="349" w:type="dxa"/>
            <w:tcBorders>
              <w:top w:val="nil"/>
              <w:left w:val="nil"/>
              <w:bottom w:val="single" w:sz="4" w:space="0" w:color="auto"/>
              <w:right w:val="nil"/>
            </w:tcBorders>
          </w:tcPr>
          <w:p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2.2</w:t>
            </w:r>
          </w:p>
        </w:tc>
        <w:tc>
          <w:tcPr>
            <w:tcW w:w="283"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9.1</w:t>
            </w:r>
          </w:p>
        </w:tc>
        <w:tc>
          <w:tcPr>
            <w:tcW w:w="709"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3.9</w:t>
            </w:r>
          </w:p>
        </w:tc>
      </w:tr>
      <w:tr w:rsidR="00E15AAB" w:rsidRPr="00911315" w:rsidTr="00E24340">
        <w:trPr>
          <w:trHeight w:hRule="exact" w:val="227"/>
          <w:jc w:val="right"/>
        </w:trPr>
        <w:tc>
          <w:tcPr>
            <w:tcW w:w="2670" w:type="dxa"/>
            <w:gridSpan w:val="3"/>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r w:rsidRPr="00911315">
              <w:rPr>
                <w:rFonts w:cs="Arial"/>
                <w:i/>
                <w:color w:val="000000"/>
                <w:sz w:val="16"/>
                <w:szCs w:val="16"/>
                <w:lang w:eastAsia="en-AU" w:bidi="ar-SA"/>
              </w:rPr>
              <w:t>Unable to pay rent on time</w:t>
            </w:r>
          </w:p>
        </w:tc>
        <w:tc>
          <w:tcPr>
            <w:tcW w:w="797"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236"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710"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731"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349" w:type="dxa"/>
            <w:tcBorders>
              <w:top w:val="single" w:sz="4" w:space="0" w:color="auto"/>
              <w:left w:val="nil"/>
              <w:bottom w:val="nil"/>
              <w:right w:val="nil"/>
            </w:tcBorders>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851"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283"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851"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709"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r>
      <w:tr w:rsidR="00E15AAB" w:rsidRPr="00911315" w:rsidTr="00E24340">
        <w:trPr>
          <w:trHeight w:hRule="exact" w:val="227"/>
          <w:jc w:val="right"/>
        </w:trPr>
        <w:tc>
          <w:tcPr>
            <w:tcW w:w="1777"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Original Problem (%)</w:t>
            </w:r>
          </w:p>
        </w:tc>
        <w:tc>
          <w:tcPr>
            <w:tcW w:w="893" w:type="dxa"/>
            <w:gridSpan w:val="2"/>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23.3</w:t>
            </w:r>
          </w:p>
        </w:tc>
        <w:tc>
          <w:tcPr>
            <w:tcW w:w="797"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18.6</w:t>
            </w:r>
          </w:p>
        </w:tc>
        <w:tc>
          <w:tcPr>
            <w:tcW w:w="236"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25.0</w:t>
            </w:r>
          </w:p>
        </w:tc>
        <w:tc>
          <w:tcPr>
            <w:tcW w:w="731"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24.0</w:t>
            </w:r>
          </w:p>
        </w:tc>
        <w:tc>
          <w:tcPr>
            <w:tcW w:w="349" w:type="dxa"/>
            <w:tcBorders>
              <w:top w:val="nil"/>
              <w:left w:val="nil"/>
              <w:bottom w:val="nil"/>
              <w:right w:val="nil"/>
            </w:tcBorders>
          </w:tcPr>
          <w:p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20.2</w:t>
            </w:r>
          </w:p>
        </w:tc>
        <w:tc>
          <w:tcPr>
            <w:tcW w:w="283"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28.1</w:t>
            </w:r>
          </w:p>
        </w:tc>
        <w:tc>
          <w:tcPr>
            <w:tcW w:w="709"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33.3</w:t>
            </w:r>
          </w:p>
        </w:tc>
      </w:tr>
      <w:tr w:rsidR="00E15AAB" w:rsidRPr="00911315" w:rsidTr="00E24340">
        <w:trPr>
          <w:trHeight w:hRule="exact" w:val="227"/>
          <w:jc w:val="right"/>
        </w:trPr>
        <w:tc>
          <w:tcPr>
            <w:tcW w:w="1777"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 xml:space="preserve">Net improvement </w:t>
            </w:r>
          </w:p>
        </w:tc>
        <w:tc>
          <w:tcPr>
            <w:tcW w:w="893" w:type="dxa"/>
            <w:gridSpan w:val="2"/>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11.9</w:t>
            </w:r>
          </w:p>
        </w:tc>
        <w:tc>
          <w:tcPr>
            <w:tcW w:w="797"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0.0</w:t>
            </w:r>
          </w:p>
        </w:tc>
        <w:tc>
          <w:tcPr>
            <w:tcW w:w="236"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8.0</w:t>
            </w:r>
          </w:p>
        </w:tc>
        <w:tc>
          <w:tcPr>
            <w:tcW w:w="731"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16.0</w:t>
            </w:r>
          </w:p>
        </w:tc>
        <w:tc>
          <w:tcPr>
            <w:tcW w:w="349" w:type="dxa"/>
            <w:tcBorders>
              <w:top w:val="nil"/>
              <w:left w:val="nil"/>
              <w:bottom w:val="single" w:sz="4" w:space="0" w:color="auto"/>
              <w:right w:val="nil"/>
            </w:tcBorders>
          </w:tcPr>
          <w:p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5.1</w:t>
            </w:r>
          </w:p>
        </w:tc>
        <w:tc>
          <w:tcPr>
            <w:tcW w:w="283"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9.0</w:t>
            </w:r>
          </w:p>
        </w:tc>
        <w:tc>
          <w:tcPr>
            <w:tcW w:w="709"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5.3</w:t>
            </w:r>
          </w:p>
        </w:tc>
      </w:tr>
      <w:tr w:rsidR="00E15AAB" w:rsidRPr="00911315" w:rsidTr="00E24340">
        <w:trPr>
          <w:trHeight w:hRule="exact" w:val="227"/>
          <w:jc w:val="right"/>
        </w:trPr>
        <w:tc>
          <w:tcPr>
            <w:tcW w:w="3467" w:type="dxa"/>
            <w:gridSpan w:val="4"/>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r w:rsidRPr="00911315">
              <w:rPr>
                <w:rFonts w:cs="Arial"/>
                <w:i/>
                <w:color w:val="000000"/>
                <w:sz w:val="16"/>
                <w:szCs w:val="16"/>
                <w:lang w:eastAsia="en-AU" w:bidi="ar-SA"/>
              </w:rPr>
              <w:t>Unable to save money for bond</w:t>
            </w:r>
          </w:p>
        </w:tc>
        <w:tc>
          <w:tcPr>
            <w:tcW w:w="236"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710"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731"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349" w:type="dxa"/>
            <w:tcBorders>
              <w:top w:val="single" w:sz="4" w:space="0" w:color="auto"/>
              <w:left w:val="nil"/>
              <w:bottom w:val="nil"/>
              <w:right w:val="nil"/>
            </w:tcBorders>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851"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283"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851"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709"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r>
      <w:tr w:rsidR="00E15AAB" w:rsidRPr="00911315" w:rsidTr="00E24340">
        <w:trPr>
          <w:trHeight w:hRule="exact" w:val="227"/>
          <w:jc w:val="right"/>
        </w:trPr>
        <w:tc>
          <w:tcPr>
            <w:tcW w:w="1777"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Original Problem (%)</w:t>
            </w:r>
          </w:p>
        </w:tc>
        <w:tc>
          <w:tcPr>
            <w:tcW w:w="893" w:type="dxa"/>
            <w:gridSpan w:val="2"/>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22.6</w:t>
            </w:r>
          </w:p>
        </w:tc>
        <w:tc>
          <w:tcPr>
            <w:tcW w:w="797"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24.0</w:t>
            </w:r>
          </w:p>
        </w:tc>
        <w:tc>
          <w:tcPr>
            <w:tcW w:w="236"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20.8</w:t>
            </w:r>
          </w:p>
        </w:tc>
        <w:tc>
          <w:tcPr>
            <w:tcW w:w="731"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45.0</w:t>
            </w:r>
          </w:p>
        </w:tc>
        <w:tc>
          <w:tcPr>
            <w:tcW w:w="349" w:type="dxa"/>
            <w:tcBorders>
              <w:top w:val="nil"/>
              <w:left w:val="nil"/>
              <w:bottom w:val="nil"/>
              <w:right w:val="nil"/>
            </w:tcBorders>
          </w:tcPr>
          <w:p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20.2</w:t>
            </w:r>
          </w:p>
        </w:tc>
        <w:tc>
          <w:tcPr>
            <w:tcW w:w="283"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24.0</w:t>
            </w:r>
          </w:p>
        </w:tc>
        <w:tc>
          <w:tcPr>
            <w:tcW w:w="709"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32.8</w:t>
            </w:r>
          </w:p>
        </w:tc>
      </w:tr>
      <w:tr w:rsidR="00E15AAB" w:rsidRPr="00911315" w:rsidTr="00E24340">
        <w:trPr>
          <w:trHeight w:hRule="exact" w:val="227"/>
          <w:jc w:val="right"/>
        </w:trPr>
        <w:tc>
          <w:tcPr>
            <w:tcW w:w="1777"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 xml:space="preserve">Net improvement </w:t>
            </w:r>
          </w:p>
        </w:tc>
        <w:tc>
          <w:tcPr>
            <w:tcW w:w="893" w:type="dxa"/>
            <w:gridSpan w:val="2"/>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3.2</w:t>
            </w:r>
          </w:p>
        </w:tc>
        <w:tc>
          <w:tcPr>
            <w:tcW w:w="797"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1.6</w:t>
            </w:r>
          </w:p>
        </w:tc>
        <w:tc>
          <w:tcPr>
            <w:tcW w:w="236"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15.1</w:t>
            </w:r>
          </w:p>
        </w:tc>
        <w:tc>
          <w:tcPr>
            <w:tcW w:w="731"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c>
          <w:tcPr>
            <w:tcW w:w="349" w:type="dxa"/>
            <w:tcBorders>
              <w:top w:val="nil"/>
              <w:left w:val="nil"/>
              <w:bottom w:val="single" w:sz="4" w:space="0" w:color="auto"/>
              <w:right w:val="nil"/>
            </w:tcBorders>
          </w:tcPr>
          <w:p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6.5</w:t>
            </w:r>
          </w:p>
        </w:tc>
        <w:tc>
          <w:tcPr>
            <w:tcW w:w="283"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7.7</w:t>
            </w:r>
          </w:p>
        </w:tc>
        <w:tc>
          <w:tcPr>
            <w:tcW w:w="709"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10.4</w:t>
            </w:r>
          </w:p>
        </w:tc>
      </w:tr>
      <w:tr w:rsidR="00E15AAB" w:rsidRPr="00911315" w:rsidTr="00E24340">
        <w:trPr>
          <w:trHeight w:hRule="exact" w:val="227"/>
          <w:jc w:val="right"/>
        </w:trPr>
        <w:tc>
          <w:tcPr>
            <w:tcW w:w="3703" w:type="dxa"/>
            <w:gridSpan w:val="5"/>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r w:rsidRPr="00911315">
              <w:rPr>
                <w:rFonts w:cs="Arial"/>
                <w:i/>
                <w:color w:val="000000"/>
                <w:sz w:val="16"/>
                <w:szCs w:val="16"/>
                <w:lang w:eastAsia="en-AU" w:bidi="ar-SA"/>
              </w:rPr>
              <w:t>Unable to pay water/electricity on time</w:t>
            </w:r>
          </w:p>
        </w:tc>
        <w:tc>
          <w:tcPr>
            <w:tcW w:w="710"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731"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349" w:type="dxa"/>
            <w:tcBorders>
              <w:top w:val="single" w:sz="4" w:space="0" w:color="auto"/>
              <w:left w:val="nil"/>
              <w:bottom w:val="nil"/>
              <w:right w:val="nil"/>
            </w:tcBorders>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851"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283"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851"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709"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r>
      <w:tr w:rsidR="00E15AAB" w:rsidRPr="00911315" w:rsidTr="00E24340">
        <w:trPr>
          <w:trHeight w:hRule="exact" w:val="227"/>
          <w:jc w:val="right"/>
        </w:trPr>
        <w:tc>
          <w:tcPr>
            <w:tcW w:w="1777"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Original Problem (%)</w:t>
            </w:r>
          </w:p>
        </w:tc>
        <w:tc>
          <w:tcPr>
            <w:tcW w:w="893" w:type="dxa"/>
            <w:gridSpan w:val="2"/>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28.7</w:t>
            </w:r>
          </w:p>
        </w:tc>
        <w:tc>
          <w:tcPr>
            <w:tcW w:w="797"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22.4</w:t>
            </w:r>
          </w:p>
        </w:tc>
        <w:tc>
          <w:tcPr>
            <w:tcW w:w="236"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23.7</w:t>
            </w:r>
          </w:p>
        </w:tc>
        <w:tc>
          <w:tcPr>
            <w:tcW w:w="731"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23.1</w:t>
            </w:r>
          </w:p>
        </w:tc>
        <w:tc>
          <w:tcPr>
            <w:tcW w:w="349" w:type="dxa"/>
            <w:tcBorders>
              <w:top w:val="nil"/>
              <w:left w:val="nil"/>
              <w:bottom w:val="nil"/>
              <w:right w:val="nil"/>
            </w:tcBorders>
          </w:tcPr>
          <w:p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23.0</w:t>
            </w:r>
          </w:p>
        </w:tc>
        <w:tc>
          <w:tcPr>
            <w:tcW w:w="283"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34.3</w:t>
            </w:r>
          </w:p>
        </w:tc>
        <w:tc>
          <w:tcPr>
            <w:tcW w:w="709"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27.6</w:t>
            </w:r>
          </w:p>
        </w:tc>
      </w:tr>
      <w:tr w:rsidR="00E15AAB" w:rsidRPr="00911315" w:rsidTr="00E24340">
        <w:trPr>
          <w:trHeight w:hRule="exact" w:val="227"/>
          <w:jc w:val="right"/>
        </w:trPr>
        <w:tc>
          <w:tcPr>
            <w:tcW w:w="1777"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 xml:space="preserve">Net improvement </w:t>
            </w:r>
          </w:p>
        </w:tc>
        <w:tc>
          <w:tcPr>
            <w:tcW w:w="893" w:type="dxa"/>
            <w:gridSpan w:val="2"/>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8.0</w:t>
            </w:r>
          </w:p>
        </w:tc>
        <w:tc>
          <w:tcPr>
            <w:tcW w:w="797"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1.2</w:t>
            </w:r>
          </w:p>
        </w:tc>
        <w:tc>
          <w:tcPr>
            <w:tcW w:w="236"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10.8</w:t>
            </w:r>
          </w:p>
        </w:tc>
        <w:tc>
          <w:tcPr>
            <w:tcW w:w="731"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15.4</w:t>
            </w:r>
          </w:p>
        </w:tc>
        <w:tc>
          <w:tcPr>
            <w:tcW w:w="349" w:type="dxa"/>
            <w:tcBorders>
              <w:top w:val="nil"/>
              <w:left w:val="nil"/>
              <w:bottom w:val="single" w:sz="4" w:space="0" w:color="auto"/>
              <w:right w:val="nil"/>
            </w:tcBorders>
          </w:tcPr>
          <w:p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8.4</w:t>
            </w:r>
          </w:p>
        </w:tc>
        <w:tc>
          <w:tcPr>
            <w:tcW w:w="283"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0.0</w:t>
            </w:r>
          </w:p>
        </w:tc>
        <w:tc>
          <w:tcPr>
            <w:tcW w:w="709"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11.2</w:t>
            </w:r>
          </w:p>
        </w:tc>
      </w:tr>
      <w:tr w:rsidR="00E15AAB" w:rsidRPr="00911315" w:rsidTr="00E24340">
        <w:trPr>
          <w:trHeight w:hRule="exact" w:val="227"/>
          <w:jc w:val="right"/>
        </w:trPr>
        <w:tc>
          <w:tcPr>
            <w:tcW w:w="4413" w:type="dxa"/>
            <w:gridSpan w:val="6"/>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r w:rsidRPr="00911315">
              <w:rPr>
                <w:rFonts w:cs="Arial"/>
                <w:i/>
                <w:color w:val="000000"/>
                <w:sz w:val="16"/>
                <w:szCs w:val="16"/>
                <w:lang w:eastAsia="en-AU" w:bidi="ar-SA"/>
              </w:rPr>
              <w:t>Financial problem because gave money to others</w:t>
            </w:r>
          </w:p>
        </w:tc>
        <w:tc>
          <w:tcPr>
            <w:tcW w:w="731"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349" w:type="dxa"/>
            <w:tcBorders>
              <w:top w:val="single" w:sz="4" w:space="0" w:color="auto"/>
              <w:left w:val="nil"/>
              <w:bottom w:val="nil"/>
              <w:right w:val="nil"/>
            </w:tcBorders>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851"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283"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851"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709"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r>
      <w:tr w:rsidR="00E15AAB" w:rsidRPr="00911315" w:rsidTr="00E24340">
        <w:trPr>
          <w:trHeight w:hRule="exact" w:val="227"/>
          <w:jc w:val="right"/>
        </w:trPr>
        <w:tc>
          <w:tcPr>
            <w:tcW w:w="1777"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Original Problem (%)</w:t>
            </w:r>
          </w:p>
        </w:tc>
        <w:tc>
          <w:tcPr>
            <w:tcW w:w="893" w:type="dxa"/>
            <w:gridSpan w:val="2"/>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43.6</w:t>
            </w:r>
          </w:p>
        </w:tc>
        <w:tc>
          <w:tcPr>
            <w:tcW w:w="797"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23.9</w:t>
            </w:r>
          </w:p>
        </w:tc>
        <w:tc>
          <w:tcPr>
            <w:tcW w:w="236"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42.3</w:t>
            </w:r>
          </w:p>
        </w:tc>
        <w:tc>
          <w:tcPr>
            <w:tcW w:w="731"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50.0</w:t>
            </w:r>
          </w:p>
        </w:tc>
        <w:tc>
          <w:tcPr>
            <w:tcW w:w="349" w:type="dxa"/>
            <w:tcBorders>
              <w:top w:val="nil"/>
              <w:left w:val="nil"/>
              <w:bottom w:val="nil"/>
              <w:right w:val="nil"/>
            </w:tcBorders>
          </w:tcPr>
          <w:p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14.9</w:t>
            </w:r>
          </w:p>
        </w:tc>
        <w:tc>
          <w:tcPr>
            <w:tcW w:w="283"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54.9</w:t>
            </w:r>
          </w:p>
        </w:tc>
        <w:tc>
          <w:tcPr>
            <w:tcW w:w="709"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18.3</w:t>
            </w:r>
          </w:p>
        </w:tc>
      </w:tr>
      <w:tr w:rsidR="00E15AAB" w:rsidRPr="00911315" w:rsidTr="00E24340">
        <w:trPr>
          <w:trHeight w:hRule="exact" w:val="227"/>
          <w:jc w:val="right"/>
        </w:trPr>
        <w:tc>
          <w:tcPr>
            <w:tcW w:w="1777"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 xml:space="preserve">Net improvement </w:t>
            </w:r>
          </w:p>
        </w:tc>
        <w:tc>
          <w:tcPr>
            <w:tcW w:w="893" w:type="dxa"/>
            <w:gridSpan w:val="2"/>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15.4</w:t>
            </w:r>
          </w:p>
        </w:tc>
        <w:tc>
          <w:tcPr>
            <w:tcW w:w="797"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8.0</w:t>
            </w:r>
          </w:p>
        </w:tc>
        <w:tc>
          <w:tcPr>
            <w:tcW w:w="236"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8.1</w:t>
            </w:r>
          </w:p>
        </w:tc>
        <w:tc>
          <w:tcPr>
            <w:tcW w:w="731"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21.4</w:t>
            </w:r>
          </w:p>
        </w:tc>
        <w:tc>
          <w:tcPr>
            <w:tcW w:w="349" w:type="dxa"/>
            <w:tcBorders>
              <w:top w:val="nil"/>
              <w:left w:val="nil"/>
              <w:bottom w:val="single" w:sz="4" w:space="0" w:color="auto"/>
              <w:right w:val="nil"/>
            </w:tcBorders>
          </w:tcPr>
          <w:p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7.2</w:t>
            </w:r>
          </w:p>
        </w:tc>
        <w:tc>
          <w:tcPr>
            <w:tcW w:w="283"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4.6</w:t>
            </w:r>
          </w:p>
        </w:tc>
        <w:tc>
          <w:tcPr>
            <w:tcW w:w="709"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2.0</w:t>
            </w:r>
          </w:p>
        </w:tc>
      </w:tr>
      <w:tr w:rsidR="00E15AAB" w:rsidRPr="00911315" w:rsidTr="00E24340">
        <w:trPr>
          <w:trHeight w:hRule="exact" w:val="227"/>
          <w:jc w:val="right"/>
        </w:trPr>
        <w:tc>
          <w:tcPr>
            <w:tcW w:w="5144" w:type="dxa"/>
            <w:gridSpan w:val="7"/>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r w:rsidRPr="00911315">
              <w:rPr>
                <w:rFonts w:cs="Arial"/>
                <w:i/>
                <w:color w:val="000000"/>
                <w:sz w:val="16"/>
                <w:szCs w:val="16"/>
                <w:lang w:eastAsia="en-AU" w:bidi="ar-SA"/>
              </w:rPr>
              <w:t>Asked for money from others because could not buy essentials</w:t>
            </w:r>
          </w:p>
        </w:tc>
        <w:tc>
          <w:tcPr>
            <w:tcW w:w="349" w:type="dxa"/>
            <w:tcBorders>
              <w:top w:val="single" w:sz="4" w:space="0" w:color="auto"/>
              <w:left w:val="nil"/>
              <w:bottom w:val="nil"/>
              <w:right w:val="nil"/>
            </w:tcBorders>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851"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283"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851"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709"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r>
      <w:tr w:rsidR="00E15AAB" w:rsidRPr="00911315" w:rsidTr="00E24340">
        <w:trPr>
          <w:trHeight w:hRule="exact" w:val="227"/>
          <w:jc w:val="right"/>
        </w:trPr>
        <w:tc>
          <w:tcPr>
            <w:tcW w:w="1777"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Original Problem (%)</w:t>
            </w:r>
          </w:p>
        </w:tc>
        <w:tc>
          <w:tcPr>
            <w:tcW w:w="893" w:type="dxa"/>
            <w:gridSpan w:val="2"/>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51.5</w:t>
            </w:r>
          </w:p>
        </w:tc>
        <w:tc>
          <w:tcPr>
            <w:tcW w:w="797"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26.7</w:t>
            </w:r>
          </w:p>
        </w:tc>
        <w:tc>
          <w:tcPr>
            <w:tcW w:w="236"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41.9</w:t>
            </w:r>
          </w:p>
        </w:tc>
        <w:tc>
          <w:tcPr>
            <w:tcW w:w="731"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41.4</w:t>
            </w:r>
          </w:p>
        </w:tc>
        <w:tc>
          <w:tcPr>
            <w:tcW w:w="349" w:type="dxa"/>
            <w:tcBorders>
              <w:top w:val="nil"/>
              <w:left w:val="nil"/>
              <w:bottom w:val="nil"/>
              <w:right w:val="nil"/>
            </w:tcBorders>
          </w:tcPr>
          <w:p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23.8</w:t>
            </w:r>
          </w:p>
        </w:tc>
        <w:tc>
          <w:tcPr>
            <w:tcW w:w="283"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58.4</w:t>
            </w:r>
          </w:p>
        </w:tc>
        <w:tc>
          <w:tcPr>
            <w:tcW w:w="709"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19.2</w:t>
            </w:r>
          </w:p>
        </w:tc>
      </w:tr>
      <w:tr w:rsidR="00E15AAB" w:rsidRPr="00911315" w:rsidTr="00E24340">
        <w:trPr>
          <w:trHeight w:hRule="exact" w:val="227"/>
          <w:jc w:val="right"/>
        </w:trPr>
        <w:tc>
          <w:tcPr>
            <w:tcW w:w="1777"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 xml:space="preserve">Net improvement </w:t>
            </w:r>
          </w:p>
        </w:tc>
        <w:tc>
          <w:tcPr>
            <w:tcW w:w="893" w:type="dxa"/>
            <w:gridSpan w:val="2"/>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5.7</w:t>
            </w:r>
          </w:p>
        </w:tc>
        <w:tc>
          <w:tcPr>
            <w:tcW w:w="797"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8.5</w:t>
            </w:r>
          </w:p>
        </w:tc>
        <w:tc>
          <w:tcPr>
            <w:tcW w:w="236"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4.8</w:t>
            </w:r>
          </w:p>
        </w:tc>
        <w:tc>
          <w:tcPr>
            <w:tcW w:w="731"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13.8</w:t>
            </w:r>
          </w:p>
        </w:tc>
        <w:tc>
          <w:tcPr>
            <w:tcW w:w="349" w:type="dxa"/>
            <w:tcBorders>
              <w:top w:val="nil"/>
              <w:left w:val="nil"/>
              <w:bottom w:val="single" w:sz="4" w:space="0" w:color="auto"/>
              <w:right w:val="nil"/>
            </w:tcBorders>
          </w:tcPr>
          <w:p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15.5</w:t>
            </w:r>
          </w:p>
        </w:tc>
        <w:tc>
          <w:tcPr>
            <w:tcW w:w="283"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8.1</w:t>
            </w:r>
          </w:p>
        </w:tc>
        <w:tc>
          <w:tcPr>
            <w:tcW w:w="709"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5.8</w:t>
            </w:r>
          </w:p>
        </w:tc>
      </w:tr>
      <w:tr w:rsidR="00E15AAB" w:rsidRPr="00911315" w:rsidTr="00E24340">
        <w:trPr>
          <w:trHeight w:hRule="exact" w:val="227"/>
          <w:jc w:val="right"/>
        </w:trPr>
        <w:tc>
          <w:tcPr>
            <w:tcW w:w="2670" w:type="dxa"/>
            <w:gridSpan w:val="3"/>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r w:rsidRPr="00911315">
              <w:rPr>
                <w:rFonts w:cs="Arial"/>
                <w:i/>
                <w:color w:val="000000"/>
                <w:sz w:val="16"/>
                <w:szCs w:val="16"/>
                <w:lang w:eastAsia="en-AU" w:bidi="ar-SA"/>
              </w:rPr>
              <w:t>Asked for Emergency Relief</w:t>
            </w:r>
          </w:p>
        </w:tc>
        <w:tc>
          <w:tcPr>
            <w:tcW w:w="797"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236"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710"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731"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349" w:type="dxa"/>
            <w:tcBorders>
              <w:top w:val="single" w:sz="4" w:space="0" w:color="auto"/>
              <w:left w:val="nil"/>
              <w:bottom w:val="nil"/>
              <w:right w:val="nil"/>
            </w:tcBorders>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851"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283"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851"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709"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r>
      <w:tr w:rsidR="00E15AAB" w:rsidRPr="00911315" w:rsidTr="00E24340">
        <w:trPr>
          <w:trHeight w:hRule="exact" w:val="227"/>
          <w:jc w:val="right"/>
        </w:trPr>
        <w:tc>
          <w:tcPr>
            <w:tcW w:w="1777"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Original Problem (%)</w:t>
            </w:r>
          </w:p>
        </w:tc>
        <w:tc>
          <w:tcPr>
            <w:tcW w:w="893" w:type="dxa"/>
            <w:gridSpan w:val="2"/>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27.3</w:t>
            </w:r>
          </w:p>
        </w:tc>
        <w:tc>
          <w:tcPr>
            <w:tcW w:w="797"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22.6</w:t>
            </w:r>
          </w:p>
        </w:tc>
        <w:tc>
          <w:tcPr>
            <w:tcW w:w="236"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21.6</w:t>
            </w:r>
          </w:p>
        </w:tc>
        <w:tc>
          <w:tcPr>
            <w:tcW w:w="731"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50.0</w:t>
            </w:r>
          </w:p>
        </w:tc>
        <w:tc>
          <w:tcPr>
            <w:tcW w:w="349" w:type="dxa"/>
            <w:tcBorders>
              <w:top w:val="nil"/>
              <w:left w:val="nil"/>
              <w:bottom w:val="nil"/>
              <w:right w:val="nil"/>
            </w:tcBorders>
          </w:tcPr>
          <w:p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27.6</w:t>
            </w:r>
          </w:p>
        </w:tc>
        <w:tc>
          <w:tcPr>
            <w:tcW w:w="283"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42.9</w:t>
            </w:r>
          </w:p>
        </w:tc>
        <w:tc>
          <w:tcPr>
            <w:tcW w:w="709"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21.2</w:t>
            </w:r>
          </w:p>
        </w:tc>
      </w:tr>
      <w:tr w:rsidR="00E15AAB" w:rsidRPr="00911315" w:rsidTr="00E24340">
        <w:trPr>
          <w:trHeight w:hRule="exact" w:val="227"/>
          <w:jc w:val="right"/>
        </w:trPr>
        <w:tc>
          <w:tcPr>
            <w:tcW w:w="1777"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 xml:space="preserve">Net improvement </w:t>
            </w:r>
          </w:p>
        </w:tc>
        <w:tc>
          <w:tcPr>
            <w:tcW w:w="893" w:type="dxa"/>
            <w:gridSpan w:val="2"/>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6.8</w:t>
            </w:r>
          </w:p>
        </w:tc>
        <w:tc>
          <w:tcPr>
            <w:tcW w:w="797"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11.0</w:t>
            </w:r>
          </w:p>
        </w:tc>
        <w:tc>
          <w:tcPr>
            <w:tcW w:w="236"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6.2</w:t>
            </w:r>
          </w:p>
        </w:tc>
        <w:tc>
          <w:tcPr>
            <w:tcW w:w="731"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16.7</w:t>
            </w:r>
          </w:p>
        </w:tc>
        <w:tc>
          <w:tcPr>
            <w:tcW w:w="349" w:type="dxa"/>
            <w:tcBorders>
              <w:top w:val="nil"/>
              <w:left w:val="nil"/>
              <w:bottom w:val="single" w:sz="4" w:space="0" w:color="auto"/>
              <w:right w:val="nil"/>
            </w:tcBorders>
          </w:tcPr>
          <w:p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13.3</w:t>
            </w:r>
          </w:p>
        </w:tc>
        <w:tc>
          <w:tcPr>
            <w:tcW w:w="283"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15.5</w:t>
            </w:r>
          </w:p>
        </w:tc>
        <w:tc>
          <w:tcPr>
            <w:tcW w:w="709"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4.8</w:t>
            </w:r>
          </w:p>
        </w:tc>
      </w:tr>
      <w:tr w:rsidR="00E15AAB" w:rsidRPr="00911315" w:rsidTr="00E24340">
        <w:trPr>
          <w:trHeight w:hRule="exact" w:val="227"/>
          <w:jc w:val="right"/>
        </w:trPr>
        <w:tc>
          <w:tcPr>
            <w:tcW w:w="4413" w:type="dxa"/>
            <w:gridSpan w:val="6"/>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r w:rsidRPr="00911315">
              <w:rPr>
                <w:rFonts w:cs="Arial"/>
                <w:i/>
                <w:color w:val="000000"/>
                <w:sz w:val="16"/>
                <w:szCs w:val="16"/>
                <w:lang w:eastAsia="en-AU" w:bidi="ar-SA"/>
              </w:rPr>
              <w:t>Unable to afford travel to visit family and Friends</w:t>
            </w:r>
          </w:p>
        </w:tc>
        <w:tc>
          <w:tcPr>
            <w:tcW w:w="731"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349" w:type="dxa"/>
            <w:tcBorders>
              <w:top w:val="single" w:sz="4" w:space="0" w:color="auto"/>
              <w:left w:val="nil"/>
              <w:bottom w:val="nil"/>
              <w:right w:val="nil"/>
            </w:tcBorders>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851"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283"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851"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709"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r>
      <w:tr w:rsidR="00E15AAB" w:rsidRPr="00911315" w:rsidTr="00E24340">
        <w:trPr>
          <w:trHeight w:hRule="exact" w:val="227"/>
          <w:jc w:val="right"/>
        </w:trPr>
        <w:tc>
          <w:tcPr>
            <w:tcW w:w="1777"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Original Problem (%)</w:t>
            </w:r>
          </w:p>
        </w:tc>
        <w:tc>
          <w:tcPr>
            <w:tcW w:w="893" w:type="dxa"/>
            <w:gridSpan w:val="2"/>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39.5</w:t>
            </w:r>
          </w:p>
        </w:tc>
        <w:tc>
          <w:tcPr>
            <w:tcW w:w="797"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27.6</w:t>
            </w:r>
          </w:p>
        </w:tc>
        <w:tc>
          <w:tcPr>
            <w:tcW w:w="236"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33.0</w:t>
            </w:r>
          </w:p>
        </w:tc>
        <w:tc>
          <w:tcPr>
            <w:tcW w:w="731"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30.0</w:t>
            </w:r>
          </w:p>
        </w:tc>
        <w:tc>
          <w:tcPr>
            <w:tcW w:w="349" w:type="dxa"/>
            <w:tcBorders>
              <w:top w:val="nil"/>
              <w:left w:val="nil"/>
              <w:bottom w:val="nil"/>
              <w:right w:val="nil"/>
            </w:tcBorders>
          </w:tcPr>
          <w:p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33.9</w:t>
            </w:r>
          </w:p>
        </w:tc>
        <w:tc>
          <w:tcPr>
            <w:tcW w:w="283"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42.2</w:t>
            </w:r>
          </w:p>
        </w:tc>
        <w:tc>
          <w:tcPr>
            <w:tcW w:w="709"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27.2</w:t>
            </w:r>
          </w:p>
        </w:tc>
      </w:tr>
      <w:tr w:rsidR="00E15AAB" w:rsidRPr="00911315" w:rsidTr="00E24340">
        <w:trPr>
          <w:trHeight w:hRule="exact" w:val="227"/>
          <w:jc w:val="right"/>
        </w:trPr>
        <w:tc>
          <w:tcPr>
            <w:tcW w:w="1777"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 xml:space="preserve">Net improvement </w:t>
            </w:r>
          </w:p>
        </w:tc>
        <w:tc>
          <w:tcPr>
            <w:tcW w:w="893" w:type="dxa"/>
            <w:gridSpan w:val="2"/>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9.6</w:t>
            </w:r>
          </w:p>
        </w:tc>
        <w:tc>
          <w:tcPr>
            <w:tcW w:w="797"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-2.5</w:t>
            </w:r>
          </w:p>
        </w:tc>
        <w:tc>
          <w:tcPr>
            <w:tcW w:w="236"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-0.9</w:t>
            </w:r>
          </w:p>
        </w:tc>
        <w:tc>
          <w:tcPr>
            <w:tcW w:w="731"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23.3</w:t>
            </w:r>
          </w:p>
        </w:tc>
        <w:tc>
          <w:tcPr>
            <w:tcW w:w="349" w:type="dxa"/>
            <w:tcBorders>
              <w:top w:val="nil"/>
              <w:left w:val="nil"/>
              <w:bottom w:val="single" w:sz="4" w:space="0" w:color="auto"/>
              <w:right w:val="nil"/>
            </w:tcBorders>
          </w:tcPr>
          <w:p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6.7</w:t>
            </w:r>
          </w:p>
        </w:tc>
        <w:tc>
          <w:tcPr>
            <w:tcW w:w="283"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7.5</w:t>
            </w:r>
          </w:p>
        </w:tc>
        <w:tc>
          <w:tcPr>
            <w:tcW w:w="709" w:type="dxa"/>
            <w:tcBorders>
              <w:top w:val="nil"/>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6.8</w:t>
            </w:r>
          </w:p>
        </w:tc>
      </w:tr>
      <w:tr w:rsidR="00E15AAB" w:rsidRPr="00911315" w:rsidTr="00E24340">
        <w:trPr>
          <w:trHeight w:hRule="exact" w:val="227"/>
          <w:jc w:val="right"/>
        </w:trPr>
        <w:tc>
          <w:tcPr>
            <w:tcW w:w="5144" w:type="dxa"/>
            <w:gridSpan w:val="7"/>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r w:rsidRPr="00911315">
              <w:rPr>
                <w:rFonts w:cs="Arial"/>
                <w:i/>
                <w:color w:val="000000"/>
                <w:sz w:val="16"/>
                <w:szCs w:val="16"/>
                <w:lang w:eastAsia="en-AU" w:bidi="ar-SA"/>
              </w:rPr>
              <w:t>Unable to pay for school activities/trips or sport for children</w:t>
            </w:r>
          </w:p>
        </w:tc>
        <w:tc>
          <w:tcPr>
            <w:tcW w:w="349" w:type="dxa"/>
            <w:tcBorders>
              <w:top w:val="single" w:sz="4" w:space="0" w:color="auto"/>
              <w:left w:val="nil"/>
              <w:bottom w:val="nil"/>
              <w:right w:val="nil"/>
            </w:tcBorders>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851"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283"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851"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709" w:type="dxa"/>
            <w:tcBorders>
              <w:top w:val="single" w:sz="4" w:space="0" w:color="auto"/>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i/>
                <w:color w:val="000000"/>
                <w:sz w:val="16"/>
                <w:szCs w:val="16"/>
                <w:lang w:eastAsia="en-AU" w:bidi="ar-SA"/>
              </w:rPr>
            </w:pPr>
          </w:p>
        </w:tc>
      </w:tr>
      <w:tr w:rsidR="00E15AAB" w:rsidRPr="00911315" w:rsidTr="00E24340">
        <w:trPr>
          <w:trHeight w:hRule="exact" w:val="227"/>
          <w:jc w:val="right"/>
        </w:trPr>
        <w:tc>
          <w:tcPr>
            <w:tcW w:w="1777"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Original Problem (%)</w:t>
            </w:r>
          </w:p>
        </w:tc>
        <w:tc>
          <w:tcPr>
            <w:tcW w:w="893" w:type="dxa"/>
            <w:gridSpan w:val="2"/>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33.6</w:t>
            </w:r>
          </w:p>
        </w:tc>
        <w:tc>
          <w:tcPr>
            <w:tcW w:w="797"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15.0</w:t>
            </w:r>
          </w:p>
        </w:tc>
        <w:tc>
          <w:tcPr>
            <w:tcW w:w="236"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29.9</w:t>
            </w:r>
          </w:p>
        </w:tc>
        <w:tc>
          <w:tcPr>
            <w:tcW w:w="731"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21.1</w:t>
            </w:r>
          </w:p>
        </w:tc>
        <w:tc>
          <w:tcPr>
            <w:tcW w:w="349" w:type="dxa"/>
            <w:tcBorders>
              <w:top w:val="nil"/>
              <w:left w:val="nil"/>
              <w:bottom w:val="nil"/>
              <w:right w:val="nil"/>
            </w:tcBorders>
          </w:tcPr>
          <w:p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11.4</w:t>
            </w:r>
          </w:p>
        </w:tc>
        <w:tc>
          <w:tcPr>
            <w:tcW w:w="283"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28.2</w:t>
            </w:r>
          </w:p>
        </w:tc>
        <w:tc>
          <w:tcPr>
            <w:tcW w:w="709"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20.9</w:t>
            </w:r>
          </w:p>
        </w:tc>
      </w:tr>
      <w:tr w:rsidR="00E15AAB" w:rsidRPr="00911315" w:rsidTr="00E24340">
        <w:trPr>
          <w:trHeight w:hRule="exact" w:val="227"/>
          <w:jc w:val="right"/>
        </w:trPr>
        <w:tc>
          <w:tcPr>
            <w:tcW w:w="1777"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 xml:space="preserve">Net improvement </w:t>
            </w:r>
          </w:p>
        </w:tc>
        <w:tc>
          <w:tcPr>
            <w:tcW w:w="893" w:type="dxa"/>
            <w:gridSpan w:val="2"/>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-4.6</w:t>
            </w:r>
          </w:p>
        </w:tc>
        <w:tc>
          <w:tcPr>
            <w:tcW w:w="797"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3.6</w:t>
            </w:r>
          </w:p>
        </w:tc>
        <w:tc>
          <w:tcPr>
            <w:tcW w:w="236"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-4.5</w:t>
            </w:r>
          </w:p>
        </w:tc>
        <w:tc>
          <w:tcPr>
            <w:tcW w:w="731"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-5.3</w:t>
            </w:r>
          </w:p>
        </w:tc>
        <w:tc>
          <w:tcPr>
            <w:tcW w:w="349" w:type="dxa"/>
            <w:tcBorders>
              <w:top w:val="nil"/>
              <w:left w:val="nil"/>
              <w:bottom w:val="nil"/>
              <w:right w:val="nil"/>
            </w:tcBorders>
          </w:tcPr>
          <w:p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5.0</w:t>
            </w:r>
          </w:p>
        </w:tc>
        <w:tc>
          <w:tcPr>
            <w:tcW w:w="283"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4.8</w:t>
            </w:r>
          </w:p>
        </w:tc>
        <w:tc>
          <w:tcPr>
            <w:tcW w:w="709" w:type="dxa"/>
            <w:tcBorders>
              <w:top w:val="nil"/>
              <w:left w:val="nil"/>
              <w:bottom w:val="nil"/>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3.3</w:t>
            </w:r>
          </w:p>
        </w:tc>
      </w:tr>
      <w:tr w:rsidR="00E15AAB" w:rsidRPr="00911315" w:rsidTr="00E24340">
        <w:trPr>
          <w:trHeight w:hRule="exact" w:val="413"/>
          <w:jc w:val="right"/>
        </w:trPr>
        <w:tc>
          <w:tcPr>
            <w:tcW w:w="1777" w:type="dxa"/>
            <w:tcBorders>
              <w:top w:val="single" w:sz="4" w:space="0" w:color="auto"/>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Number of survey participants</w:t>
            </w:r>
          </w:p>
        </w:tc>
        <w:tc>
          <w:tcPr>
            <w:tcW w:w="893" w:type="dxa"/>
            <w:gridSpan w:val="2"/>
            <w:tcBorders>
              <w:top w:val="single" w:sz="4" w:space="0" w:color="auto"/>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244</w:t>
            </w:r>
          </w:p>
        </w:tc>
        <w:tc>
          <w:tcPr>
            <w:tcW w:w="797" w:type="dxa"/>
            <w:tcBorders>
              <w:top w:val="single" w:sz="4" w:space="0" w:color="auto"/>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168</w:t>
            </w:r>
          </w:p>
        </w:tc>
        <w:tc>
          <w:tcPr>
            <w:tcW w:w="236" w:type="dxa"/>
            <w:tcBorders>
              <w:top w:val="single" w:sz="4" w:space="0" w:color="auto"/>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single" w:sz="4" w:space="0" w:color="auto"/>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128</w:t>
            </w:r>
          </w:p>
        </w:tc>
        <w:tc>
          <w:tcPr>
            <w:tcW w:w="731" w:type="dxa"/>
            <w:tcBorders>
              <w:top w:val="single" w:sz="4" w:space="0" w:color="auto"/>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33</w:t>
            </w:r>
          </w:p>
        </w:tc>
        <w:tc>
          <w:tcPr>
            <w:tcW w:w="349" w:type="dxa"/>
            <w:tcBorders>
              <w:top w:val="single" w:sz="4" w:space="0" w:color="auto"/>
              <w:left w:val="nil"/>
              <w:bottom w:val="single" w:sz="4" w:space="0" w:color="auto"/>
              <w:right w:val="nil"/>
            </w:tcBorders>
          </w:tcPr>
          <w:p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single" w:sz="4" w:space="0" w:color="auto"/>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184</w:t>
            </w:r>
          </w:p>
        </w:tc>
        <w:tc>
          <w:tcPr>
            <w:tcW w:w="283" w:type="dxa"/>
            <w:tcBorders>
              <w:top w:val="single" w:sz="4" w:space="0" w:color="auto"/>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 xml:space="preserve"> </w:t>
            </w:r>
          </w:p>
        </w:tc>
        <w:tc>
          <w:tcPr>
            <w:tcW w:w="851" w:type="dxa"/>
            <w:tcBorders>
              <w:top w:val="single" w:sz="4" w:space="0" w:color="auto"/>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199</w:t>
            </w:r>
          </w:p>
        </w:tc>
        <w:tc>
          <w:tcPr>
            <w:tcW w:w="709" w:type="dxa"/>
            <w:tcBorders>
              <w:top w:val="single" w:sz="4" w:space="0" w:color="auto"/>
              <w:left w:val="nil"/>
              <w:bottom w:val="single" w:sz="4" w:space="0" w:color="auto"/>
              <w:right w:val="nil"/>
            </w:tcBorders>
            <w:shd w:val="clear" w:color="auto" w:fill="auto"/>
            <w:noWrap/>
            <w:vAlign w:val="bottom"/>
            <w:hideMark/>
          </w:tcPr>
          <w:p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106</w:t>
            </w:r>
          </w:p>
        </w:tc>
      </w:tr>
    </w:tbl>
    <w:p w:rsidR="0016195A" w:rsidRDefault="0016195A" w:rsidP="00CF78DB">
      <w:pPr>
        <w:pStyle w:val="tablefootnotes"/>
      </w:pPr>
      <w:r>
        <w:t>Notes:</w:t>
      </w:r>
    </w:p>
    <w:p w:rsidR="00897C1E" w:rsidRPr="005911E2" w:rsidRDefault="00897C1E" w:rsidP="00CF78DB">
      <w:pPr>
        <w:pStyle w:val="tablefootnotes"/>
      </w:pPr>
      <w:r w:rsidRPr="005911E2">
        <w:t xml:space="preserve">(a) </w:t>
      </w:r>
      <w:r w:rsidRPr="005911E2">
        <w:tab/>
        <w:t xml:space="preserve">Excludes people with </w:t>
      </w:r>
      <w:r w:rsidR="00ED3A41">
        <w:t>‘</w:t>
      </w:r>
      <w:r w:rsidRPr="005911E2">
        <w:t>don’t know</w:t>
      </w:r>
      <w:r w:rsidR="00ED3A41">
        <w:t>’</w:t>
      </w:r>
      <w:r w:rsidRPr="005911E2">
        <w:t xml:space="preserve">, </w:t>
      </w:r>
      <w:r w:rsidR="00ED3A41">
        <w:t>‘</w:t>
      </w:r>
      <w:r w:rsidRPr="005911E2">
        <w:t>not applicable</w:t>
      </w:r>
      <w:r w:rsidR="00ED3A41">
        <w:t>’</w:t>
      </w:r>
      <w:r w:rsidRPr="005911E2">
        <w:t xml:space="preserve"> and </w:t>
      </w:r>
      <w:r w:rsidR="00ED3A41">
        <w:t>‘</w:t>
      </w:r>
      <w:r w:rsidRPr="005911E2">
        <w:t>can’t recall</w:t>
      </w:r>
      <w:r w:rsidR="00ED3A41">
        <w:t>’</w:t>
      </w:r>
      <w:r w:rsidRPr="005911E2">
        <w:t xml:space="preserve"> responses in either time period.</w:t>
      </w:r>
    </w:p>
    <w:p w:rsidR="00897C1E" w:rsidRPr="005911E2" w:rsidRDefault="00897C1E" w:rsidP="00CF78DB">
      <w:pPr>
        <w:pStyle w:val="tablefootnotes"/>
      </w:pPr>
      <w:r w:rsidRPr="005911E2">
        <w:t xml:space="preserve">(b) </w:t>
      </w:r>
      <w:r w:rsidRPr="005911E2">
        <w:tab/>
        <w:t xml:space="preserve">Proportion of population reporting an improvement less the proportion reporting deterioration. </w:t>
      </w:r>
    </w:p>
    <w:p w:rsidR="00897C1E" w:rsidRPr="005911E2" w:rsidRDefault="00897C1E" w:rsidP="00CF78DB">
      <w:pPr>
        <w:pStyle w:val="tablefootnotes"/>
      </w:pPr>
      <w:r w:rsidRPr="005911E2">
        <w:t xml:space="preserve">Source: </w:t>
      </w:r>
      <w:r w:rsidRPr="005911E2">
        <w:tab/>
        <w:t>LSNIM, Wave 1.</w:t>
      </w:r>
    </w:p>
    <w:p w:rsidR="00897C1E" w:rsidRPr="005911E2" w:rsidRDefault="00897C1E" w:rsidP="0016195A">
      <w:pPr>
        <w:pStyle w:val="tablefootnotes"/>
      </w:pPr>
    </w:p>
    <w:p w:rsidR="00CB5D8B" w:rsidRPr="005911E2" w:rsidRDefault="00CB5D8B" w:rsidP="00CB5D8B">
      <w:pPr>
        <w:pStyle w:val="BodyText"/>
        <w:rPr>
          <w:lang w:eastAsia="en-US"/>
        </w:rPr>
      </w:pPr>
      <w:r w:rsidRPr="005911E2">
        <w:rPr>
          <w:lang w:eastAsia="en-US"/>
        </w:rPr>
        <w:t xml:space="preserve">A considerable minority (and in a couple of cases a majority) of participants in both the NIM and the contrast groups reported having experienced financial problems before </w:t>
      </w:r>
      <w:r>
        <w:rPr>
          <w:lang w:eastAsia="en-US"/>
        </w:rPr>
        <w:t>income management</w:t>
      </w:r>
      <w:r w:rsidRPr="005911E2">
        <w:rPr>
          <w:lang w:eastAsia="en-US"/>
        </w:rPr>
        <w:t xml:space="preserve"> (or 12 months ago in the case of participants in the contrast areas). However, for most types of financial hardships, more participants indicated improvement than deterioration, and thus the overall finding was a net improvement</w:t>
      </w:r>
      <w:r>
        <w:rPr>
          <w:lang w:eastAsia="en-US"/>
        </w:rPr>
        <w:t>.</w:t>
      </w:r>
      <w:r w:rsidRPr="005911E2">
        <w:rPr>
          <w:lang w:eastAsia="en-US"/>
        </w:rPr>
        <w:t xml:space="preserve"> </w:t>
      </w:r>
    </w:p>
    <w:p w:rsidR="00CB5D8B" w:rsidRPr="005911E2" w:rsidRDefault="00CB5D8B" w:rsidP="00CB5D8B">
      <w:pPr>
        <w:pStyle w:val="BodyText"/>
        <w:rPr>
          <w:lang w:eastAsia="en-US"/>
        </w:rPr>
      </w:pPr>
      <w:r w:rsidRPr="005911E2">
        <w:rPr>
          <w:lang w:eastAsia="en-US"/>
        </w:rPr>
        <w:t xml:space="preserve">However, for most </w:t>
      </w:r>
      <w:r>
        <w:rPr>
          <w:lang w:eastAsia="en-US"/>
        </w:rPr>
        <w:t xml:space="preserve">of </w:t>
      </w:r>
      <w:r w:rsidRPr="005911E2">
        <w:rPr>
          <w:lang w:eastAsia="en-US"/>
        </w:rPr>
        <w:t>the types of financial hardships, more respondents indicated that the situation had improved than indicated it had deteriorated (resulting in a net improvement).</w:t>
      </w:r>
      <w:r w:rsidRPr="005911E2">
        <w:rPr>
          <w:rStyle w:val="FootnoteReference"/>
        </w:rPr>
        <w:footnoteReference w:id="109"/>
      </w:r>
    </w:p>
    <w:p w:rsidR="00897C1E" w:rsidRPr="005911E2" w:rsidRDefault="00897C1E" w:rsidP="00897C1E">
      <w:pPr>
        <w:pStyle w:val="BodyText"/>
        <w:rPr>
          <w:lang w:eastAsia="en-US"/>
        </w:rPr>
      </w:pPr>
      <w:r w:rsidRPr="005911E2">
        <w:rPr>
          <w:lang w:eastAsia="en-US"/>
        </w:rPr>
        <w:t xml:space="preserve">While </w:t>
      </w:r>
      <w:r w:rsidR="006F14AA" w:rsidRPr="005911E2">
        <w:t xml:space="preserve">Table </w:t>
      </w:r>
      <w:r w:rsidR="006F14AA" w:rsidRPr="005911E2">
        <w:rPr>
          <w:noProof/>
        </w:rPr>
        <w:t>10</w:t>
      </w:r>
      <w:r w:rsidR="006F14AA" w:rsidRPr="005911E2">
        <w:noBreakHyphen/>
      </w:r>
      <w:r w:rsidR="006F14AA" w:rsidRPr="005911E2">
        <w:rPr>
          <w:noProof/>
        </w:rPr>
        <w:t>5</w:t>
      </w:r>
      <w:r w:rsidR="00EB0967" w:rsidRPr="005911E2">
        <w:t xml:space="preserve"> </w:t>
      </w:r>
      <w:r w:rsidRPr="005911E2">
        <w:rPr>
          <w:lang w:eastAsia="en-US"/>
        </w:rPr>
        <w:t xml:space="preserve">provides a summary measure – the extent to which participants </w:t>
      </w:r>
      <w:r w:rsidR="00E15AAB" w:rsidRPr="005911E2">
        <w:rPr>
          <w:lang w:eastAsia="en-US"/>
        </w:rPr>
        <w:t>report</w:t>
      </w:r>
      <w:r w:rsidR="00E15AAB">
        <w:rPr>
          <w:lang w:eastAsia="en-US"/>
        </w:rPr>
        <w:t>ed</w:t>
      </w:r>
      <w:r w:rsidR="00E15AAB" w:rsidRPr="005911E2">
        <w:rPr>
          <w:lang w:eastAsia="en-US"/>
        </w:rPr>
        <w:t xml:space="preserve"> </w:t>
      </w:r>
      <w:r w:rsidRPr="005911E2">
        <w:rPr>
          <w:lang w:eastAsia="en-US"/>
        </w:rPr>
        <w:t xml:space="preserve">things as having become better or worse – it hides the diversity of experiences which underlie the responses to these questions. This can be illustrated using, as an example, the question about running out of money to buy food. In </w:t>
      </w:r>
      <w:r w:rsidR="006F14AA" w:rsidRPr="005911E2">
        <w:t xml:space="preserve">Table </w:t>
      </w:r>
      <w:r w:rsidR="006F14AA" w:rsidRPr="005911E2">
        <w:rPr>
          <w:noProof/>
        </w:rPr>
        <w:t>10</w:t>
      </w:r>
      <w:r w:rsidR="006F14AA" w:rsidRPr="005911E2">
        <w:noBreakHyphen/>
      </w:r>
      <w:r w:rsidR="006F14AA" w:rsidRPr="005911E2">
        <w:rPr>
          <w:noProof/>
        </w:rPr>
        <w:t>5</w:t>
      </w:r>
      <w:r w:rsidRPr="005911E2">
        <w:rPr>
          <w:lang w:eastAsia="en-US"/>
        </w:rPr>
        <w:t xml:space="preserve">, taken as a whole across all Indigenous people subject to </w:t>
      </w:r>
      <w:r w:rsidR="00F878E4">
        <w:rPr>
          <w:lang w:eastAsia="en-US"/>
        </w:rPr>
        <w:t>income management</w:t>
      </w:r>
      <w:r w:rsidR="00FF161B" w:rsidRPr="005911E2">
        <w:rPr>
          <w:lang w:eastAsia="en-US"/>
        </w:rPr>
        <w:t>,</w:t>
      </w:r>
      <w:r w:rsidRPr="005911E2">
        <w:rPr>
          <w:lang w:eastAsia="en-US"/>
        </w:rPr>
        <w:t xml:space="preserve"> the response to this question represents a net improvement of 3.4 percentage points from an initial level of incidence of 42.3 per cent. This simple summation of change, however, disguises the act</w:t>
      </w:r>
      <w:r w:rsidR="00C56AA3">
        <w:rPr>
          <w:lang w:eastAsia="en-US"/>
        </w:rPr>
        <w:t>ual dynamics of change. The 3.4 </w:t>
      </w:r>
      <w:r w:rsidRPr="005911E2">
        <w:rPr>
          <w:lang w:eastAsia="en-US"/>
        </w:rPr>
        <w:t xml:space="preserve">percentage point gain rather represents the net effect of 18.7 per cent who reported that they had run out of money for food prior to the introduction of </w:t>
      </w:r>
      <w:r w:rsidR="00F878E4">
        <w:rPr>
          <w:lang w:eastAsia="en-US"/>
        </w:rPr>
        <w:t>income management</w:t>
      </w:r>
      <w:r w:rsidRPr="005911E2">
        <w:rPr>
          <w:lang w:eastAsia="en-US"/>
        </w:rPr>
        <w:t>, but not in the last four weeks</w:t>
      </w:r>
      <w:r w:rsidR="000016E1">
        <w:rPr>
          <w:lang w:eastAsia="en-US"/>
        </w:rPr>
        <w:t>;</w:t>
      </w:r>
      <w:r w:rsidRPr="005911E2">
        <w:rPr>
          <w:lang w:eastAsia="en-US"/>
        </w:rPr>
        <w:t xml:space="preserve"> and 15.3 per cent reported that while they had not run out of money for food prior to the introduction of </w:t>
      </w:r>
      <w:r w:rsidR="00F878E4">
        <w:rPr>
          <w:lang w:eastAsia="en-US"/>
        </w:rPr>
        <w:t>income management</w:t>
      </w:r>
      <w:r w:rsidR="000016E1">
        <w:rPr>
          <w:lang w:eastAsia="en-US"/>
        </w:rPr>
        <w:t>,</w:t>
      </w:r>
      <w:r w:rsidRPr="005911E2">
        <w:rPr>
          <w:lang w:eastAsia="en-US"/>
        </w:rPr>
        <w:t xml:space="preserve"> </w:t>
      </w:r>
      <w:r w:rsidR="000016E1">
        <w:rPr>
          <w:lang w:eastAsia="en-US"/>
        </w:rPr>
        <w:t xml:space="preserve">they </w:t>
      </w:r>
      <w:r w:rsidRPr="005911E2">
        <w:rPr>
          <w:lang w:eastAsia="en-US"/>
        </w:rPr>
        <w:t>did in the four weeks prior to the survey (</w:t>
      </w:r>
      <w:r w:rsidR="006F14AA" w:rsidRPr="005911E2">
        <w:t xml:space="preserve">Table </w:t>
      </w:r>
      <w:r w:rsidR="006F14AA" w:rsidRPr="005911E2">
        <w:rPr>
          <w:noProof/>
        </w:rPr>
        <w:t>10</w:t>
      </w:r>
      <w:r w:rsidR="006F14AA" w:rsidRPr="005911E2">
        <w:noBreakHyphen/>
      </w:r>
      <w:r w:rsidR="006F14AA" w:rsidRPr="005911E2">
        <w:rPr>
          <w:noProof/>
        </w:rPr>
        <w:t>6</w:t>
      </w:r>
      <w:r w:rsidRPr="005911E2">
        <w:rPr>
          <w:lang w:eastAsia="en-US"/>
        </w:rPr>
        <w:t>).</w:t>
      </w:r>
    </w:p>
    <w:p w:rsidR="00897C1E" w:rsidRPr="005911E2" w:rsidRDefault="0031584C" w:rsidP="00897C1E">
      <w:pPr>
        <w:pStyle w:val="tabfighead"/>
      </w:pPr>
      <w:bookmarkStart w:id="1013" w:name="_Ref323940996"/>
      <w:bookmarkStart w:id="1014" w:name="_Toc322470922"/>
      <w:bookmarkStart w:id="1015" w:name="_Toc328601634"/>
      <w:bookmarkStart w:id="1016" w:name="_Toc329051412"/>
      <w:bookmarkStart w:id="1017" w:name="_Toc335915900"/>
      <w:r w:rsidRPr="005911E2">
        <w:t xml:space="preserve">Table </w:t>
      </w:r>
      <w:r w:rsidR="00C7347D">
        <w:fldChar w:fldCharType="begin"/>
      </w:r>
      <w:r w:rsidR="00580DF3">
        <w:instrText xml:space="preserve"> STYLEREF 1 \s </w:instrText>
      </w:r>
      <w:r w:rsidR="00C7347D">
        <w:fldChar w:fldCharType="separate"/>
      </w:r>
      <w:r w:rsidR="007D7E45">
        <w:rPr>
          <w:noProof/>
        </w:rPr>
        <w:t>10</w:t>
      </w:r>
      <w:r w:rsidR="00C7347D">
        <w:fldChar w:fldCharType="end"/>
      </w:r>
      <w:r w:rsidRPr="005911E2">
        <w:noBreakHyphen/>
      </w:r>
      <w:r w:rsidR="00C7347D">
        <w:fldChar w:fldCharType="begin"/>
      </w:r>
      <w:r w:rsidR="00580DF3">
        <w:instrText xml:space="preserve"> SEQ Table \* ARABIC \s 1 </w:instrText>
      </w:r>
      <w:r w:rsidR="00C7347D">
        <w:fldChar w:fldCharType="separate"/>
      </w:r>
      <w:r w:rsidR="007D7E45">
        <w:rPr>
          <w:noProof/>
        </w:rPr>
        <w:t>6</w:t>
      </w:r>
      <w:r w:rsidR="00C7347D">
        <w:fldChar w:fldCharType="end"/>
      </w:r>
      <w:bookmarkEnd w:id="1013"/>
      <w:r w:rsidRPr="005911E2">
        <w:tab/>
      </w:r>
      <w:r w:rsidR="006435C8">
        <w:t xml:space="preserve">Northern Territory </w:t>
      </w:r>
      <w:r w:rsidRPr="005911E2">
        <w:t xml:space="preserve">Indigenous </w:t>
      </w:r>
      <w:r>
        <w:t xml:space="preserve">LSNIM </w:t>
      </w:r>
      <w:r w:rsidRPr="005911E2">
        <w:t xml:space="preserve">participants on </w:t>
      </w:r>
      <w:r>
        <w:t>compulsory measures</w:t>
      </w:r>
      <w:r w:rsidRPr="005911E2">
        <w:t xml:space="preserve">, whether </w:t>
      </w:r>
      <w:r>
        <w:t xml:space="preserve">they </w:t>
      </w:r>
      <w:r w:rsidRPr="005911E2">
        <w:t xml:space="preserve">ran out of money for food before and after </w:t>
      </w:r>
      <w:bookmarkEnd w:id="1014"/>
      <w:r>
        <w:t>income management</w:t>
      </w:r>
      <w:bookmarkEnd w:id="1015"/>
      <w:bookmarkEnd w:id="1016"/>
      <w:bookmarkEnd w:id="1017"/>
    </w:p>
    <w:tbl>
      <w:tblPr>
        <w:tblW w:w="4922" w:type="dxa"/>
        <w:tblInd w:w="1803" w:type="dxa"/>
        <w:tblBorders>
          <w:top w:val="single" w:sz="4" w:space="0" w:color="000000"/>
          <w:bottom w:val="single" w:sz="4" w:space="0" w:color="000000"/>
        </w:tblBorders>
        <w:tblLook w:val="04A0" w:firstRow="1" w:lastRow="0" w:firstColumn="1" w:lastColumn="0" w:noHBand="0" w:noVBand="1"/>
      </w:tblPr>
      <w:tblGrid>
        <w:gridCol w:w="1246"/>
        <w:gridCol w:w="674"/>
        <w:gridCol w:w="883"/>
        <w:gridCol w:w="883"/>
        <w:gridCol w:w="1236"/>
      </w:tblGrid>
      <w:tr w:rsidR="00897C1E" w:rsidRPr="005911E2" w:rsidTr="00AA664C">
        <w:trPr>
          <w:trHeight w:val="315"/>
        </w:trPr>
        <w:tc>
          <w:tcPr>
            <w:tcW w:w="1920" w:type="dxa"/>
            <w:gridSpan w:val="2"/>
            <w:vMerge w:val="restart"/>
            <w:tcBorders>
              <w:top w:val="single" w:sz="4" w:space="0" w:color="000000"/>
              <w:bottom w:val="nil"/>
              <w:right w:val="single" w:sz="4" w:space="0" w:color="auto"/>
            </w:tcBorders>
            <w:shd w:val="clear" w:color="auto" w:fill="auto"/>
            <w:noWrap/>
            <w:hideMark/>
          </w:tcPr>
          <w:p w:rsidR="00897C1E" w:rsidRPr="005911E2" w:rsidRDefault="00897C1E" w:rsidP="00CB5D8B">
            <w:pPr>
              <w:pStyle w:val="braytabletext"/>
            </w:pPr>
            <w:r w:rsidRPr="005911E2">
              <w:t>Ran ou</w:t>
            </w:r>
            <w:r w:rsidR="00423C90">
              <w:t xml:space="preserve">t of money to buy food </w:t>
            </w:r>
            <w:r w:rsidRPr="005911E2">
              <w:t>:</w:t>
            </w:r>
          </w:p>
        </w:tc>
        <w:tc>
          <w:tcPr>
            <w:tcW w:w="3002" w:type="dxa"/>
            <w:gridSpan w:val="3"/>
            <w:tcBorders>
              <w:top w:val="single" w:sz="4" w:space="0" w:color="000000"/>
              <w:left w:val="single" w:sz="4" w:space="0" w:color="auto"/>
              <w:bottom w:val="single" w:sz="4" w:space="0" w:color="auto"/>
            </w:tcBorders>
            <w:shd w:val="clear" w:color="auto" w:fill="auto"/>
            <w:noWrap/>
            <w:vAlign w:val="bottom"/>
            <w:hideMark/>
          </w:tcPr>
          <w:p w:rsidR="00897C1E" w:rsidRPr="005911E2" w:rsidRDefault="00897C1E" w:rsidP="00CB5D8B">
            <w:pPr>
              <w:pStyle w:val="braytabletext"/>
            </w:pPr>
            <w:r w:rsidRPr="005911E2">
              <w:t>After IM</w:t>
            </w:r>
          </w:p>
        </w:tc>
      </w:tr>
      <w:tr w:rsidR="00897C1E" w:rsidRPr="005911E2" w:rsidTr="00AA664C">
        <w:trPr>
          <w:trHeight w:val="315"/>
        </w:trPr>
        <w:tc>
          <w:tcPr>
            <w:tcW w:w="1920" w:type="dxa"/>
            <w:gridSpan w:val="2"/>
            <w:vMerge/>
            <w:tcBorders>
              <w:top w:val="nil"/>
              <w:bottom w:val="single" w:sz="4" w:space="0" w:color="000000"/>
              <w:right w:val="single" w:sz="4" w:space="0" w:color="auto"/>
            </w:tcBorders>
            <w:vAlign w:val="center"/>
            <w:hideMark/>
          </w:tcPr>
          <w:p w:rsidR="00897C1E" w:rsidRPr="005911E2" w:rsidRDefault="00897C1E" w:rsidP="00CB5D8B">
            <w:pPr>
              <w:pStyle w:val="braytabletext"/>
            </w:pPr>
          </w:p>
        </w:tc>
        <w:tc>
          <w:tcPr>
            <w:tcW w:w="883" w:type="dxa"/>
            <w:tcBorders>
              <w:top w:val="single" w:sz="4" w:space="0" w:color="auto"/>
              <w:left w:val="single" w:sz="4" w:space="0" w:color="auto"/>
              <w:bottom w:val="single" w:sz="4" w:space="0" w:color="000000"/>
            </w:tcBorders>
            <w:shd w:val="clear" w:color="auto" w:fill="auto"/>
            <w:noWrap/>
            <w:vAlign w:val="bottom"/>
            <w:hideMark/>
          </w:tcPr>
          <w:p w:rsidR="00897C1E" w:rsidRPr="005911E2" w:rsidRDefault="00897C1E" w:rsidP="00CB5D8B">
            <w:pPr>
              <w:pStyle w:val="braytabletext"/>
              <w:jc w:val="right"/>
            </w:pPr>
            <w:r w:rsidRPr="005911E2">
              <w:t>Yes</w:t>
            </w:r>
          </w:p>
        </w:tc>
        <w:tc>
          <w:tcPr>
            <w:tcW w:w="883" w:type="dxa"/>
            <w:tcBorders>
              <w:top w:val="single" w:sz="4" w:space="0" w:color="auto"/>
              <w:bottom w:val="single" w:sz="4" w:space="0" w:color="000000"/>
            </w:tcBorders>
            <w:shd w:val="clear" w:color="auto" w:fill="auto"/>
            <w:noWrap/>
            <w:vAlign w:val="bottom"/>
            <w:hideMark/>
          </w:tcPr>
          <w:p w:rsidR="00897C1E" w:rsidRPr="005911E2" w:rsidRDefault="00897C1E" w:rsidP="00CB5D8B">
            <w:pPr>
              <w:pStyle w:val="braytabletext"/>
              <w:jc w:val="right"/>
            </w:pPr>
            <w:r w:rsidRPr="005911E2">
              <w:t>No</w:t>
            </w:r>
          </w:p>
        </w:tc>
        <w:tc>
          <w:tcPr>
            <w:tcW w:w="1236" w:type="dxa"/>
            <w:tcBorders>
              <w:top w:val="single" w:sz="4" w:space="0" w:color="auto"/>
              <w:bottom w:val="single" w:sz="4" w:space="0" w:color="000000"/>
            </w:tcBorders>
            <w:shd w:val="clear" w:color="auto" w:fill="auto"/>
            <w:noWrap/>
            <w:vAlign w:val="bottom"/>
            <w:hideMark/>
          </w:tcPr>
          <w:p w:rsidR="00897C1E" w:rsidRPr="005911E2" w:rsidRDefault="00897C1E" w:rsidP="00CB5D8B">
            <w:pPr>
              <w:pStyle w:val="braytabletext"/>
              <w:jc w:val="right"/>
            </w:pPr>
            <w:r w:rsidRPr="005911E2">
              <w:t>Total</w:t>
            </w:r>
          </w:p>
        </w:tc>
      </w:tr>
      <w:tr w:rsidR="00C44B43" w:rsidRPr="005911E2" w:rsidTr="00AA664C">
        <w:trPr>
          <w:trHeight w:val="300"/>
        </w:trPr>
        <w:tc>
          <w:tcPr>
            <w:tcW w:w="1246" w:type="dxa"/>
            <w:tcBorders>
              <w:top w:val="single" w:sz="4" w:space="0" w:color="000000"/>
              <w:bottom w:val="nil"/>
              <w:right w:val="single" w:sz="4" w:space="0" w:color="auto"/>
            </w:tcBorders>
            <w:shd w:val="clear" w:color="auto" w:fill="auto"/>
            <w:noWrap/>
            <w:hideMark/>
          </w:tcPr>
          <w:p w:rsidR="00C44B43" w:rsidRPr="005911E2" w:rsidRDefault="00C44B43" w:rsidP="00CB5D8B">
            <w:pPr>
              <w:pStyle w:val="braytabletext"/>
            </w:pPr>
          </w:p>
        </w:tc>
        <w:tc>
          <w:tcPr>
            <w:tcW w:w="674" w:type="dxa"/>
            <w:tcBorders>
              <w:top w:val="single" w:sz="4" w:space="0" w:color="000000"/>
              <w:left w:val="single" w:sz="4" w:space="0" w:color="auto"/>
              <w:bottom w:val="nil"/>
              <w:right w:val="single" w:sz="4" w:space="0" w:color="auto"/>
            </w:tcBorders>
            <w:shd w:val="clear" w:color="auto" w:fill="auto"/>
            <w:noWrap/>
            <w:vAlign w:val="bottom"/>
            <w:hideMark/>
          </w:tcPr>
          <w:p w:rsidR="00C44B43" w:rsidRPr="005911E2" w:rsidRDefault="00C44B43" w:rsidP="00CB5D8B">
            <w:pPr>
              <w:pStyle w:val="braytabletext"/>
            </w:pPr>
          </w:p>
        </w:tc>
        <w:tc>
          <w:tcPr>
            <w:tcW w:w="3002" w:type="dxa"/>
            <w:gridSpan w:val="3"/>
            <w:tcBorders>
              <w:top w:val="single" w:sz="4" w:space="0" w:color="000000"/>
              <w:left w:val="single" w:sz="4" w:space="0" w:color="auto"/>
              <w:bottom w:val="nil"/>
            </w:tcBorders>
            <w:shd w:val="clear" w:color="auto" w:fill="auto"/>
            <w:noWrap/>
            <w:hideMark/>
          </w:tcPr>
          <w:p w:rsidR="00C44B43" w:rsidRPr="005911E2" w:rsidRDefault="00C44B43" w:rsidP="00CB5D8B">
            <w:pPr>
              <w:pStyle w:val="braytabletext"/>
              <w:jc w:val="center"/>
            </w:pPr>
            <w:r>
              <w:t>- % -</w:t>
            </w:r>
          </w:p>
        </w:tc>
      </w:tr>
      <w:tr w:rsidR="00897C1E" w:rsidRPr="005911E2" w:rsidTr="00AA664C">
        <w:trPr>
          <w:trHeight w:val="300"/>
        </w:trPr>
        <w:tc>
          <w:tcPr>
            <w:tcW w:w="1246" w:type="dxa"/>
            <w:vMerge w:val="restart"/>
            <w:tcBorders>
              <w:top w:val="nil"/>
              <w:bottom w:val="single" w:sz="4" w:space="0" w:color="auto"/>
              <w:right w:val="single" w:sz="4" w:space="0" w:color="auto"/>
            </w:tcBorders>
            <w:shd w:val="clear" w:color="auto" w:fill="auto"/>
            <w:noWrap/>
            <w:hideMark/>
          </w:tcPr>
          <w:p w:rsidR="00897C1E" w:rsidRPr="005911E2" w:rsidRDefault="00897C1E" w:rsidP="00CB5D8B">
            <w:pPr>
              <w:pStyle w:val="braytabletext"/>
            </w:pPr>
            <w:r w:rsidRPr="005911E2">
              <w:t>Before IM</w:t>
            </w:r>
          </w:p>
        </w:tc>
        <w:tc>
          <w:tcPr>
            <w:tcW w:w="674" w:type="dxa"/>
            <w:tcBorders>
              <w:top w:val="nil"/>
              <w:left w:val="single" w:sz="4" w:space="0" w:color="auto"/>
              <w:bottom w:val="nil"/>
              <w:right w:val="single" w:sz="4" w:space="0" w:color="auto"/>
            </w:tcBorders>
            <w:shd w:val="clear" w:color="auto" w:fill="auto"/>
            <w:noWrap/>
            <w:vAlign w:val="bottom"/>
            <w:hideMark/>
          </w:tcPr>
          <w:p w:rsidR="00897C1E" w:rsidRPr="005911E2" w:rsidRDefault="00897C1E" w:rsidP="00CB5D8B">
            <w:pPr>
              <w:pStyle w:val="braytabletext"/>
            </w:pPr>
            <w:r w:rsidRPr="005911E2">
              <w:t xml:space="preserve">Yes </w:t>
            </w:r>
          </w:p>
        </w:tc>
        <w:tc>
          <w:tcPr>
            <w:tcW w:w="883" w:type="dxa"/>
            <w:tcBorders>
              <w:top w:val="nil"/>
              <w:left w:val="single" w:sz="4" w:space="0" w:color="auto"/>
              <w:bottom w:val="nil"/>
            </w:tcBorders>
            <w:shd w:val="clear" w:color="auto" w:fill="auto"/>
            <w:noWrap/>
            <w:vAlign w:val="bottom"/>
            <w:hideMark/>
          </w:tcPr>
          <w:p w:rsidR="00897C1E" w:rsidRPr="005911E2" w:rsidRDefault="00897C1E" w:rsidP="00CB5D8B">
            <w:pPr>
              <w:pStyle w:val="braytabletext"/>
              <w:jc w:val="right"/>
            </w:pPr>
            <w:r w:rsidRPr="005911E2">
              <w:t>23.6</w:t>
            </w:r>
          </w:p>
        </w:tc>
        <w:tc>
          <w:tcPr>
            <w:tcW w:w="883" w:type="dxa"/>
            <w:tcBorders>
              <w:top w:val="nil"/>
              <w:bottom w:val="nil"/>
            </w:tcBorders>
            <w:shd w:val="clear" w:color="auto" w:fill="auto"/>
            <w:noWrap/>
            <w:vAlign w:val="bottom"/>
            <w:hideMark/>
          </w:tcPr>
          <w:p w:rsidR="00897C1E" w:rsidRPr="005911E2" w:rsidRDefault="00897C1E" w:rsidP="00CB5D8B">
            <w:pPr>
              <w:pStyle w:val="braytabletext"/>
              <w:jc w:val="right"/>
            </w:pPr>
            <w:r w:rsidRPr="005911E2">
              <w:t>18.7</w:t>
            </w:r>
          </w:p>
        </w:tc>
        <w:tc>
          <w:tcPr>
            <w:tcW w:w="1236" w:type="dxa"/>
            <w:tcBorders>
              <w:top w:val="nil"/>
              <w:bottom w:val="nil"/>
            </w:tcBorders>
            <w:shd w:val="clear" w:color="auto" w:fill="auto"/>
            <w:noWrap/>
            <w:vAlign w:val="bottom"/>
            <w:hideMark/>
          </w:tcPr>
          <w:p w:rsidR="00897C1E" w:rsidRPr="005911E2" w:rsidRDefault="00897C1E" w:rsidP="00CB5D8B">
            <w:pPr>
              <w:pStyle w:val="braytabletext"/>
              <w:jc w:val="right"/>
            </w:pPr>
            <w:r w:rsidRPr="005911E2">
              <w:t>42.3</w:t>
            </w:r>
          </w:p>
        </w:tc>
      </w:tr>
      <w:tr w:rsidR="00897C1E" w:rsidRPr="005911E2" w:rsidTr="00AA664C">
        <w:trPr>
          <w:trHeight w:val="315"/>
        </w:trPr>
        <w:tc>
          <w:tcPr>
            <w:tcW w:w="1246" w:type="dxa"/>
            <w:vMerge/>
            <w:tcBorders>
              <w:top w:val="nil"/>
              <w:bottom w:val="single" w:sz="4" w:space="0" w:color="auto"/>
              <w:right w:val="single" w:sz="4" w:space="0" w:color="auto"/>
            </w:tcBorders>
            <w:vAlign w:val="center"/>
            <w:hideMark/>
          </w:tcPr>
          <w:p w:rsidR="00897C1E" w:rsidRPr="005911E2" w:rsidRDefault="00897C1E" w:rsidP="00CB5D8B">
            <w:pPr>
              <w:pStyle w:val="braytabletext"/>
            </w:pPr>
          </w:p>
        </w:tc>
        <w:tc>
          <w:tcPr>
            <w:tcW w:w="674" w:type="dxa"/>
            <w:tcBorders>
              <w:top w:val="nil"/>
              <w:left w:val="single" w:sz="4" w:space="0" w:color="auto"/>
              <w:right w:val="single" w:sz="4" w:space="0" w:color="auto"/>
            </w:tcBorders>
            <w:shd w:val="clear" w:color="auto" w:fill="auto"/>
            <w:noWrap/>
            <w:vAlign w:val="bottom"/>
            <w:hideMark/>
          </w:tcPr>
          <w:p w:rsidR="00897C1E" w:rsidRPr="005911E2" w:rsidRDefault="00897C1E" w:rsidP="00CB5D8B">
            <w:pPr>
              <w:pStyle w:val="braytabletext"/>
            </w:pPr>
            <w:r w:rsidRPr="005911E2">
              <w:t>No</w:t>
            </w:r>
          </w:p>
        </w:tc>
        <w:tc>
          <w:tcPr>
            <w:tcW w:w="883" w:type="dxa"/>
            <w:tcBorders>
              <w:top w:val="nil"/>
              <w:left w:val="single" w:sz="4" w:space="0" w:color="auto"/>
            </w:tcBorders>
            <w:shd w:val="clear" w:color="auto" w:fill="auto"/>
            <w:noWrap/>
            <w:vAlign w:val="bottom"/>
            <w:hideMark/>
          </w:tcPr>
          <w:p w:rsidR="00897C1E" w:rsidRPr="005911E2" w:rsidRDefault="00897C1E" w:rsidP="00CB5D8B">
            <w:pPr>
              <w:pStyle w:val="braytabletext"/>
              <w:jc w:val="right"/>
            </w:pPr>
            <w:r w:rsidRPr="005911E2">
              <w:t>15.3</w:t>
            </w:r>
          </w:p>
        </w:tc>
        <w:tc>
          <w:tcPr>
            <w:tcW w:w="883" w:type="dxa"/>
            <w:tcBorders>
              <w:top w:val="nil"/>
            </w:tcBorders>
            <w:shd w:val="clear" w:color="auto" w:fill="auto"/>
            <w:noWrap/>
            <w:vAlign w:val="bottom"/>
            <w:hideMark/>
          </w:tcPr>
          <w:p w:rsidR="00897C1E" w:rsidRPr="005911E2" w:rsidRDefault="00897C1E" w:rsidP="00CB5D8B">
            <w:pPr>
              <w:pStyle w:val="braytabletext"/>
              <w:jc w:val="right"/>
            </w:pPr>
            <w:r w:rsidRPr="005911E2">
              <w:t>42.3</w:t>
            </w:r>
          </w:p>
        </w:tc>
        <w:tc>
          <w:tcPr>
            <w:tcW w:w="1236" w:type="dxa"/>
            <w:tcBorders>
              <w:top w:val="nil"/>
            </w:tcBorders>
            <w:shd w:val="clear" w:color="auto" w:fill="auto"/>
            <w:noWrap/>
            <w:vAlign w:val="bottom"/>
            <w:hideMark/>
          </w:tcPr>
          <w:p w:rsidR="00897C1E" w:rsidRPr="005911E2" w:rsidRDefault="00897C1E" w:rsidP="00CB5D8B">
            <w:pPr>
              <w:pStyle w:val="braytabletext"/>
              <w:jc w:val="right"/>
            </w:pPr>
            <w:r w:rsidRPr="005911E2">
              <w:t>57.7</w:t>
            </w:r>
          </w:p>
        </w:tc>
      </w:tr>
      <w:tr w:rsidR="00897C1E" w:rsidRPr="005911E2" w:rsidTr="00AA664C">
        <w:trPr>
          <w:trHeight w:val="300"/>
        </w:trPr>
        <w:tc>
          <w:tcPr>
            <w:tcW w:w="1246" w:type="dxa"/>
            <w:vMerge/>
            <w:tcBorders>
              <w:top w:val="nil"/>
              <w:bottom w:val="single" w:sz="4" w:space="0" w:color="auto"/>
              <w:right w:val="single" w:sz="4" w:space="0" w:color="auto"/>
            </w:tcBorders>
            <w:vAlign w:val="center"/>
            <w:hideMark/>
          </w:tcPr>
          <w:p w:rsidR="00897C1E" w:rsidRPr="005911E2" w:rsidRDefault="00897C1E" w:rsidP="00CB5D8B">
            <w:pPr>
              <w:pStyle w:val="braytabletext"/>
            </w:pPr>
          </w:p>
        </w:tc>
        <w:tc>
          <w:tcPr>
            <w:tcW w:w="674" w:type="dxa"/>
            <w:tcBorders>
              <w:left w:val="single" w:sz="4" w:space="0" w:color="auto"/>
              <w:bottom w:val="single" w:sz="4" w:space="0" w:color="000000"/>
              <w:right w:val="single" w:sz="4" w:space="0" w:color="auto"/>
            </w:tcBorders>
            <w:shd w:val="clear" w:color="auto" w:fill="auto"/>
            <w:noWrap/>
            <w:vAlign w:val="bottom"/>
            <w:hideMark/>
          </w:tcPr>
          <w:p w:rsidR="00897C1E" w:rsidRPr="005911E2" w:rsidRDefault="00897C1E" w:rsidP="00CB5D8B">
            <w:pPr>
              <w:pStyle w:val="braytabletext"/>
            </w:pPr>
            <w:r w:rsidRPr="005911E2">
              <w:t>Total</w:t>
            </w:r>
          </w:p>
        </w:tc>
        <w:tc>
          <w:tcPr>
            <w:tcW w:w="883" w:type="dxa"/>
            <w:tcBorders>
              <w:left w:val="single" w:sz="4" w:space="0" w:color="auto"/>
            </w:tcBorders>
            <w:shd w:val="clear" w:color="auto" w:fill="auto"/>
            <w:noWrap/>
            <w:vAlign w:val="bottom"/>
            <w:hideMark/>
          </w:tcPr>
          <w:p w:rsidR="00897C1E" w:rsidRPr="005911E2" w:rsidRDefault="00897C1E" w:rsidP="00CB5D8B">
            <w:pPr>
              <w:pStyle w:val="braytabletext"/>
              <w:jc w:val="right"/>
            </w:pPr>
            <w:r w:rsidRPr="005911E2">
              <w:t>39.0</w:t>
            </w:r>
          </w:p>
        </w:tc>
        <w:tc>
          <w:tcPr>
            <w:tcW w:w="883" w:type="dxa"/>
            <w:shd w:val="clear" w:color="auto" w:fill="auto"/>
            <w:noWrap/>
            <w:vAlign w:val="bottom"/>
            <w:hideMark/>
          </w:tcPr>
          <w:p w:rsidR="00897C1E" w:rsidRPr="005911E2" w:rsidRDefault="00897C1E" w:rsidP="00CB5D8B">
            <w:pPr>
              <w:pStyle w:val="braytabletext"/>
              <w:jc w:val="right"/>
            </w:pPr>
            <w:r w:rsidRPr="005911E2">
              <w:t>61.0</w:t>
            </w:r>
          </w:p>
        </w:tc>
        <w:tc>
          <w:tcPr>
            <w:tcW w:w="1236" w:type="dxa"/>
            <w:shd w:val="clear" w:color="auto" w:fill="auto"/>
            <w:noWrap/>
            <w:vAlign w:val="bottom"/>
            <w:hideMark/>
          </w:tcPr>
          <w:p w:rsidR="00897C1E" w:rsidRPr="005911E2" w:rsidRDefault="00897C1E" w:rsidP="00CB5D8B">
            <w:pPr>
              <w:pStyle w:val="braytabletext"/>
              <w:jc w:val="right"/>
            </w:pPr>
            <w:r w:rsidRPr="005911E2">
              <w:t>100.0</w:t>
            </w:r>
          </w:p>
        </w:tc>
      </w:tr>
    </w:tbl>
    <w:p w:rsidR="00897C1E" w:rsidRPr="005911E2" w:rsidRDefault="00FF16A3" w:rsidP="00CF78DB">
      <w:pPr>
        <w:pStyle w:val="tablefootnotes"/>
      </w:pPr>
      <w:r>
        <w:t>Notes:</w:t>
      </w:r>
      <w:r w:rsidR="00423C90">
        <w:tab/>
      </w:r>
      <w:r w:rsidR="00897C1E" w:rsidRPr="005911E2">
        <w:t xml:space="preserve">Excludes </w:t>
      </w:r>
      <w:r w:rsidR="00AA6226">
        <w:t>‘</w:t>
      </w:r>
      <w:r w:rsidR="00897C1E" w:rsidRPr="005911E2">
        <w:t>don’t know</w:t>
      </w:r>
      <w:r w:rsidR="00AA6226">
        <w:t>’</w:t>
      </w:r>
      <w:r w:rsidR="00897C1E" w:rsidRPr="005911E2">
        <w:t xml:space="preserve">, </w:t>
      </w:r>
      <w:r w:rsidR="00AA6226">
        <w:t>‘</w:t>
      </w:r>
      <w:r w:rsidR="00897C1E" w:rsidRPr="005911E2">
        <w:t>not applicable</w:t>
      </w:r>
      <w:r w:rsidR="00AA6226">
        <w:t>’</w:t>
      </w:r>
      <w:r w:rsidR="00897C1E" w:rsidRPr="005911E2">
        <w:t xml:space="preserve"> and </w:t>
      </w:r>
      <w:r w:rsidR="00AA6226">
        <w:t>‘</w:t>
      </w:r>
      <w:r w:rsidR="00897C1E" w:rsidRPr="005911E2">
        <w:t>can’t recall</w:t>
      </w:r>
      <w:r w:rsidR="00AA6226">
        <w:t>’</w:t>
      </w:r>
      <w:r w:rsidR="00897C1E" w:rsidRPr="005911E2">
        <w:t xml:space="preserve"> responses.</w:t>
      </w:r>
    </w:p>
    <w:p w:rsidR="00897C1E" w:rsidRPr="005911E2" w:rsidRDefault="00897C1E" w:rsidP="00CF78DB">
      <w:pPr>
        <w:pStyle w:val="tablefootnotes"/>
      </w:pPr>
      <w:r w:rsidRPr="005911E2">
        <w:t xml:space="preserve">Source: </w:t>
      </w:r>
      <w:r w:rsidRPr="005911E2">
        <w:tab/>
        <w:t>LSNIM, Wave 1.</w:t>
      </w:r>
    </w:p>
    <w:p w:rsidR="00897C1E" w:rsidRPr="005911E2" w:rsidRDefault="00897C1E" w:rsidP="00CF78DB">
      <w:pPr>
        <w:pStyle w:val="tablefootnotes"/>
      </w:pPr>
    </w:p>
    <w:p w:rsidR="00897C1E" w:rsidRPr="005911E2" w:rsidRDefault="00897C1E" w:rsidP="00897C1E">
      <w:pPr>
        <w:pStyle w:val="BodyText"/>
        <w:rPr>
          <w:lang w:eastAsia="en-US"/>
        </w:rPr>
      </w:pPr>
      <w:r w:rsidRPr="005911E2">
        <w:rPr>
          <w:lang w:eastAsia="en-US"/>
        </w:rPr>
        <w:t xml:space="preserve">The proportion of participants currently on </w:t>
      </w:r>
      <w:r w:rsidR="00F878E4">
        <w:rPr>
          <w:lang w:eastAsia="en-US"/>
        </w:rPr>
        <w:t>income management</w:t>
      </w:r>
      <w:r w:rsidRPr="005911E2">
        <w:rPr>
          <w:lang w:eastAsia="en-US"/>
        </w:rPr>
        <w:t xml:space="preserve"> who reported running out of money to buy food prior to the introduction of </w:t>
      </w:r>
      <w:r w:rsidR="00F878E4">
        <w:rPr>
          <w:lang w:eastAsia="en-US"/>
        </w:rPr>
        <w:t>income management</w:t>
      </w:r>
      <w:r w:rsidRPr="005911E2">
        <w:rPr>
          <w:lang w:eastAsia="en-US"/>
        </w:rPr>
        <w:t xml:space="preserve"> ranged from 47 per cent of those on </w:t>
      </w:r>
      <w:r w:rsidR="00AA6226">
        <w:rPr>
          <w:lang w:eastAsia="en-US"/>
        </w:rPr>
        <w:t>c</w:t>
      </w:r>
      <w:r w:rsidR="004808B3">
        <w:rPr>
          <w:lang w:eastAsia="en-US"/>
        </w:rPr>
        <w:t xml:space="preserve">ompulsory </w:t>
      </w:r>
      <w:r w:rsidR="00AA6226">
        <w:rPr>
          <w:lang w:eastAsia="en-US"/>
        </w:rPr>
        <w:t>measures</w:t>
      </w:r>
      <w:r w:rsidRPr="005911E2">
        <w:rPr>
          <w:lang w:eastAsia="en-US"/>
        </w:rPr>
        <w:t xml:space="preserve"> in NTER locations, to 25 per cent of non-Indigenous people on these measures (</w:t>
      </w:r>
      <w:r w:rsidR="006F14AA" w:rsidRPr="005911E2">
        <w:t xml:space="preserve">Table </w:t>
      </w:r>
      <w:r w:rsidR="006F14AA" w:rsidRPr="005911E2">
        <w:rPr>
          <w:noProof/>
        </w:rPr>
        <w:t>10</w:t>
      </w:r>
      <w:r w:rsidR="006F14AA" w:rsidRPr="005911E2">
        <w:noBreakHyphen/>
      </w:r>
      <w:r w:rsidR="006F14AA" w:rsidRPr="005911E2">
        <w:rPr>
          <w:noProof/>
        </w:rPr>
        <w:t>5</w:t>
      </w:r>
      <w:r w:rsidRPr="005911E2">
        <w:rPr>
          <w:lang w:eastAsia="en-US"/>
        </w:rPr>
        <w:t xml:space="preserve">). This compares with 59 per cent of the Indigenous population of income support recipients in the comparison sites and 32 per cent </w:t>
      </w:r>
      <w:r w:rsidRPr="005911E2">
        <w:t>of</w:t>
      </w:r>
      <w:r w:rsidRPr="005911E2">
        <w:rPr>
          <w:lang w:eastAsia="en-US"/>
        </w:rPr>
        <w:t xml:space="preserve"> the non-Indigenous population. All sub-populations (other than Indigenous people on </w:t>
      </w:r>
      <w:r w:rsidR="00783EEA">
        <w:rPr>
          <w:lang w:eastAsia="en-US"/>
        </w:rPr>
        <w:t>c</w:t>
      </w:r>
      <w:r w:rsidR="004808B3">
        <w:rPr>
          <w:lang w:eastAsia="en-US"/>
        </w:rPr>
        <w:t xml:space="preserve">ompulsory </w:t>
      </w:r>
      <w:r w:rsidR="00783EEA">
        <w:rPr>
          <w:lang w:eastAsia="en-US"/>
        </w:rPr>
        <w:t>measures</w:t>
      </w:r>
      <w:r w:rsidRPr="005911E2">
        <w:rPr>
          <w:lang w:eastAsia="en-US"/>
        </w:rPr>
        <w:t xml:space="preserve"> who are not in NTER areas) report, on balance, some improvement in having enough money to buy food.</w:t>
      </w:r>
    </w:p>
    <w:p w:rsidR="00897C1E" w:rsidRPr="005911E2" w:rsidRDefault="00897C1E" w:rsidP="00897C1E">
      <w:pPr>
        <w:pStyle w:val="BodyText"/>
        <w:rPr>
          <w:lang w:eastAsia="en-US"/>
        </w:rPr>
      </w:pPr>
      <w:r w:rsidRPr="005911E2">
        <w:rPr>
          <w:lang w:eastAsia="en-US"/>
        </w:rPr>
        <w:t xml:space="preserve">The incidence of problems is usually lower for the non-Indigenous survey participants than for Indigenous survey participants, both for those on </w:t>
      </w:r>
      <w:r w:rsidR="00F878E4">
        <w:rPr>
          <w:lang w:eastAsia="en-US"/>
        </w:rPr>
        <w:t>income management</w:t>
      </w:r>
      <w:r w:rsidRPr="005911E2">
        <w:rPr>
          <w:lang w:eastAsia="en-US"/>
        </w:rPr>
        <w:t xml:space="preserve"> and in the contrast sites.</w:t>
      </w:r>
      <w:r w:rsidRPr="005911E2">
        <w:rPr>
          <w:rStyle w:val="FootnoteReference"/>
        </w:rPr>
        <w:t xml:space="preserve"> </w:t>
      </w:r>
    </w:p>
    <w:p w:rsidR="00897C1E" w:rsidRPr="005911E2" w:rsidRDefault="00897C1E" w:rsidP="00897C1E">
      <w:pPr>
        <w:pStyle w:val="BodyText"/>
        <w:rPr>
          <w:lang w:eastAsia="en-US"/>
        </w:rPr>
      </w:pPr>
      <w:r w:rsidRPr="005911E2">
        <w:rPr>
          <w:lang w:eastAsia="en-US"/>
        </w:rPr>
        <w:t xml:space="preserve">In general, Indigenous people on </w:t>
      </w:r>
      <w:r w:rsidR="00783EEA">
        <w:rPr>
          <w:lang w:eastAsia="en-US"/>
        </w:rPr>
        <w:t>c</w:t>
      </w:r>
      <w:r w:rsidR="004808B3">
        <w:rPr>
          <w:lang w:eastAsia="en-US"/>
        </w:rPr>
        <w:t xml:space="preserve">ompulsory </w:t>
      </w:r>
      <w:r w:rsidR="00783EEA">
        <w:rPr>
          <w:lang w:eastAsia="en-US"/>
        </w:rPr>
        <w:t>measures</w:t>
      </w:r>
      <w:r w:rsidRPr="005911E2">
        <w:rPr>
          <w:lang w:eastAsia="en-US"/>
        </w:rPr>
        <w:t xml:space="preserve"> living in NTER areas reported bigger decreases in financial hardship since NIM commenced than those in non-NTER areas. For those on </w:t>
      </w:r>
      <w:r w:rsidR="0016195A">
        <w:rPr>
          <w:lang w:eastAsia="en-US"/>
        </w:rPr>
        <w:t>Voluntary Income Management</w:t>
      </w:r>
      <w:r w:rsidRPr="005911E2">
        <w:rPr>
          <w:lang w:eastAsia="en-US"/>
        </w:rPr>
        <w:t>, while there are differences between NTER and non-NTER areas</w:t>
      </w:r>
      <w:r w:rsidR="00783EEA">
        <w:rPr>
          <w:lang w:eastAsia="en-US"/>
        </w:rPr>
        <w:t>,</w:t>
      </w:r>
      <w:r w:rsidRPr="005911E2">
        <w:rPr>
          <w:lang w:eastAsia="en-US"/>
        </w:rPr>
        <w:t xml:space="preserve"> there is no consistent pattern, with bigger improvements in NTER areas for some outcome measures, and bigger improvements in non-NTER areas for others. </w:t>
      </w:r>
    </w:p>
    <w:p w:rsidR="00897C1E" w:rsidRPr="005911E2" w:rsidRDefault="00897C1E" w:rsidP="00897C1E">
      <w:pPr>
        <w:pStyle w:val="BodyText"/>
        <w:rPr>
          <w:lang w:eastAsia="en-US"/>
        </w:rPr>
      </w:pPr>
      <w:r w:rsidRPr="005911E2">
        <w:rPr>
          <w:lang w:eastAsia="en-US"/>
        </w:rPr>
        <w:t>Five problems (running out of money for medicine, being unable to save money for a bond, financial problems because of giving money to others, asking for money from others</w:t>
      </w:r>
      <w:r w:rsidR="00783EEA">
        <w:rPr>
          <w:lang w:eastAsia="en-US"/>
        </w:rPr>
        <w:t>,</w:t>
      </w:r>
      <w:r w:rsidRPr="005911E2">
        <w:rPr>
          <w:lang w:eastAsia="en-US"/>
        </w:rPr>
        <w:t xml:space="preserve"> and the use of emergency relief) showed a consistent pattern of improvement for all population subgroups. Limiting the comparison to Indigenous survey participants, only the questions on payment of utility bills and giving money to others showed rates of improvement for all population subgroups on </w:t>
      </w:r>
      <w:r w:rsidR="00F878E4">
        <w:rPr>
          <w:lang w:eastAsia="en-US"/>
        </w:rPr>
        <w:t>income management</w:t>
      </w:r>
      <w:r w:rsidRPr="005911E2">
        <w:rPr>
          <w:lang w:eastAsia="en-US"/>
        </w:rPr>
        <w:t xml:space="preserve"> compared to those </w:t>
      </w:r>
      <w:r w:rsidR="00E15AAB">
        <w:rPr>
          <w:lang w:eastAsia="en-US"/>
        </w:rPr>
        <w:t>in</w:t>
      </w:r>
      <w:r w:rsidR="00E15AAB" w:rsidRPr="005911E2">
        <w:rPr>
          <w:lang w:eastAsia="en-US"/>
        </w:rPr>
        <w:t xml:space="preserve"> </w:t>
      </w:r>
      <w:r w:rsidRPr="005911E2">
        <w:rPr>
          <w:lang w:eastAsia="en-US"/>
        </w:rPr>
        <w:t xml:space="preserve">the contrast </w:t>
      </w:r>
      <w:r w:rsidR="00E15AAB">
        <w:rPr>
          <w:lang w:eastAsia="en-US"/>
        </w:rPr>
        <w:t>sites</w:t>
      </w:r>
      <w:r w:rsidR="00E15AAB" w:rsidRPr="005911E2">
        <w:rPr>
          <w:lang w:eastAsia="en-US"/>
        </w:rPr>
        <w:t xml:space="preserve"> </w:t>
      </w:r>
      <w:r w:rsidRPr="005911E2">
        <w:rPr>
          <w:lang w:eastAsia="en-US"/>
        </w:rPr>
        <w:t xml:space="preserve">outside of the </w:t>
      </w:r>
      <w:r w:rsidR="006435C8">
        <w:rPr>
          <w:lang w:eastAsia="en-US"/>
        </w:rPr>
        <w:t>Northern Territory.</w:t>
      </w:r>
    </w:p>
    <w:p w:rsidR="00897C1E" w:rsidRPr="005911E2" w:rsidRDefault="00897C1E" w:rsidP="007B4471">
      <w:pPr>
        <w:pStyle w:val="Heading4"/>
      </w:pPr>
      <w:r w:rsidRPr="005911E2">
        <w:t>Multivariate analysis</w:t>
      </w:r>
    </w:p>
    <w:p w:rsidR="00897C1E" w:rsidRPr="005911E2" w:rsidRDefault="00897C1E" w:rsidP="00897C1E">
      <w:pPr>
        <w:pStyle w:val="BodyText"/>
      </w:pPr>
      <w:r w:rsidRPr="005911E2">
        <w:t>Regression analysis has been used to isolate the extent to which there are differences in outcomes for the population subgroups</w:t>
      </w:r>
      <w:r w:rsidR="00E15AAB">
        <w:t>,</w:t>
      </w:r>
      <w:r w:rsidRPr="005911E2">
        <w:t xml:space="preserve"> given these also have different characteristics, such as age and gender, which may also have an effect on their experiences. The way in which this is done is to compare the outcomes for the subgroups of people subject to different types of </w:t>
      </w:r>
      <w:r w:rsidR="00F878E4">
        <w:t>income management</w:t>
      </w:r>
      <w:r w:rsidRPr="005911E2">
        <w:t xml:space="preserve"> and whether they are in an area affected by the NTER or not, with those of the contrast sites.</w:t>
      </w:r>
      <w:r w:rsidRPr="005911E2">
        <w:rPr>
          <w:rStyle w:val="FootnoteReference"/>
        </w:rPr>
        <w:footnoteReference w:id="110"/>
      </w:r>
      <w:r w:rsidRPr="005911E2">
        <w:t xml:space="preserve"> </w:t>
      </w:r>
    </w:p>
    <w:p w:rsidR="00897C1E" w:rsidRPr="005911E2" w:rsidRDefault="00897C1E" w:rsidP="00897C1E">
      <w:pPr>
        <w:pStyle w:val="BodyText"/>
      </w:pPr>
      <w:r w:rsidRPr="005911E2">
        <w:t xml:space="preserve">This analysis needed to be undertaken separately for the Indigenous and non-Indigenous populations. In this </w:t>
      </w:r>
      <w:r w:rsidR="006C33D2" w:rsidRPr="005911E2">
        <w:t>discussion</w:t>
      </w:r>
      <w:r w:rsidR="00783EEA">
        <w:t>,</w:t>
      </w:r>
      <w:r w:rsidRPr="005911E2">
        <w:t xml:space="preserve"> and in the following sections</w:t>
      </w:r>
      <w:r w:rsidR="00783EEA">
        <w:t>,</w:t>
      </w:r>
      <w:r w:rsidRPr="005911E2">
        <w:t xml:space="preserve"> the focus is on the results for Indigenous participants only</w:t>
      </w:r>
      <w:r w:rsidR="00783EEA">
        <w:t>, a</w:t>
      </w:r>
      <w:r w:rsidRPr="005911E2">
        <w:t xml:space="preserve">s Indigenous people make up over 90 per cent of the population subject to </w:t>
      </w:r>
      <w:r w:rsidR="00F878E4">
        <w:t>income management</w:t>
      </w:r>
      <w:r w:rsidRPr="005911E2">
        <w:t xml:space="preserve">. A summary of outcomes for non-Indigenous </w:t>
      </w:r>
      <w:r w:rsidR="006C33D2">
        <w:t xml:space="preserve">people </w:t>
      </w:r>
      <w:r w:rsidRPr="005911E2">
        <w:t xml:space="preserve">is presented in </w:t>
      </w:r>
      <w:r w:rsidR="00C0361A">
        <w:t>S</w:t>
      </w:r>
      <w:r w:rsidR="00C0361A" w:rsidRPr="0016195A">
        <w:t>ection</w:t>
      </w:r>
      <w:r w:rsidR="00C0361A">
        <w:t xml:space="preserve"> </w:t>
      </w:r>
      <w:r w:rsidR="00C7347D">
        <w:fldChar w:fldCharType="begin"/>
      </w:r>
      <w:r w:rsidR="006E1807">
        <w:instrText xml:space="preserve"> REF _Ref328493177 \r \h </w:instrText>
      </w:r>
      <w:r w:rsidR="00C7347D">
        <w:fldChar w:fldCharType="separate"/>
      </w:r>
      <w:r w:rsidR="007D7E45">
        <w:t>10.6.1</w:t>
      </w:r>
      <w:r w:rsidR="00C7347D">
        <w:fldChar w:fldCharType="end"/>
      </w:r>
      <w:r w:rsidR="006E1807">
        <w:t>.</w:t>
      </w:r>
      <w:r w:rsidR="00EB0967" w:rsidRPr="0016195A">
        <w:t xml:space="preserve"> </w:t>
      </w:r>
    </w:p>
    <w:p w:rsidR="00897C1E" w:rsidRPr="005911E2" w:rsidRDefault="00897C1E" w:rsidP="00897C1E">
      <w:pPr>
        <w:pStyle w:val="BodyText"/>
      </w:pPr>
      <w:r w:rsidRPr="005911E2">
        <w:t>The measures of change in financial problems are standardised.</w:t>
      </w:r>
      <w:r w:rsidRPr="005911E2">
        <w:rPr>
          <w:rStyle w:val="FootnoteReference"/>
        </w:rPr>
        <w:footnoteReference w:id="111"/>
      </w:r>
      <w:r w:rsidRPr="005911E2">
        <w:t xml:space="preserve"> This allows the direct comparison of the size of effects for these questions with others provided in later tables which use measures based on different rating scales.</w:t>
      </w:r>
      <w:r w:rsidRPr="005911E2">
        <w:rPr>
          <w:rStyle w:val="FootnoteReference"/>
        </w:rPr>
        <w:footnoteReference w:id="112"/>
      </w:r>
      <w:r w:rsidRPr="005911E2">
        <w:t xml:space="preserve"> The explanatory variables included are such as the type of </w:t>
      </w:r>
      <w:r w:rsidR="0031584C">
        <w:t>income</w:t>
      </w:r>
      <w:r w:rsidR="00F878E4">
        <w:t xml:space="preserve"> management</w:t>
      </w:r>
      <w:r w:rsidRPr="005911E2">
        <w:t xml:space="preserve"> they are on, whether they are in an NTER area and whether they were on NTER IM, gender, age, education and employment</w:t>
      </w:r>
      <w:r w:rsidR="00E15AAB">
        <w:t>. These</w:t>
      </w:r>
      <w:r w:rsidRPr="005911E2">
        <w:t xml:space="preserve"> explain only a small part of the variation in outcomes.</w:t>
      </w:r>
    </w:p>
    <w:p w:rsidR="00897C1E" w:rsidRPr="005911E2" w:rsidRDefault="00897C1E" w:rsidP="00897C1E">
      <w:pPr>
        <w:pStyle w:val="BodyText"/>
      </w:pPr>
      <w:r w:rsidRPr="005911E2">
        <w:t>The models</w:t>
      </w:r>
      <w:r w:rsidRPr="005911E2">
        <w:rPr>
          <w:rStyle w:val="FootnoteReference"/>
        </w:rPr>
        <w:footnoteReference w:id="113"/>
      </w:r>
      <w:r w:rsidRPr="005911E2">
        <w:t xml:space="preserve"> used in this multivariate analysis in general explained only a small proportion of the variation in the sample.</w:t>
      </w:r>
      <w:r w:rsidRPr="005911E2">
        <w:rPr>
          <w:rStyle w:val="FootnoteReference"/>
        </w:rPr>
        <w:footnoteReference w:id="114"/>
      </w:r>
      <w:r w:rsidRPr="005911E2">
        <w:t xml:space="preserve"> This is not unusual in this type of analysis. It indicates that there may be many other factors which influence outcomes which have not been included in the model, or that the parameters have been measured with some error. Furthermore, very few of the other explanatory variables were statistically significant. In addition, as discussed previously, there are a number of different treatment effects which need to be taken into account, including whether or not the person had been subject to NTER IM. This gives rise to a range of complex interactions between treatments not all of which have been able to be explored at this time. </w:t>
      </w:r>
    </w:p>
    <w:p w:rsidR="00897C1E" w:rsidRPr="005911E2" w:rsidRDefault="00897C1E" w:rsidP="00897C1E">
      <w:pPr>
        <w:pStyle w:val="BodyText"/>
      </w:pPr>
      <w:r w:rsidRPr="005911E2">
        <w:t xml:space="preserve">The only outcome measure for which a number of the subgroups are statistically significant is whether there had been a change in the extent to which people faced financial difficulties because they gave money to others. The main finding was that Indigenous people on </w:t>
      </w:r>
      <w:r w:rsidR="008B0F91">
        <w:t>c</w:t>
      </w:r>
      <w:r w:rsidR="004808B3">
        <w:t xml:space="preserve">ompulsory </w:t>
      </w:r>
      <w:r w:rsidR="008B0F91">
        <w:t>measures</w:t>
      </w:r>
      <w:r w:rsidRPr="005911E2">
        <w:t xml:space="preserve"> in NTER areas who had been on NTER IM reported a reduction in financial difficulties due to giving money to others compared to Indigenous people</w:t>
      </w:r>
      <w:r w:rsidR="00C56AA3">
        <w:t xml:space="preserve"> in the contrast sites, of 0.28 </w:t>
      </w:r>
      <w:r w:rsidR="00593501">
        <w:t>of the standard deviation</w:t>
      </w:r>
      <w:r w:rsidR="008B0F91">
        <w:t>.</w:t>
      </w:r>
      <w:r w:rsidRPr="005911E2">
        <w:rPr>
          <w:rStyle w:val="FootnoteReference"/>
        </w:rPr>
        <w:footnoteReference w:id="115"/>
      </w:r>
      <w:r w:rsidRPr="005911E2">
        <w:t xml:space="preserve"> </w:t>
      </w:r>
    </w:p>
    <w:p w:rsidR="00897C1E" w:rsidRPr="005911E2" w:rsidRDefault="00897C1E" w:rsidP="00897C1E">
      <w:pPr>
        <w:pStyle w:val="BodyText"/>
      </w:pPr>
      <w:r w:rsidRPr="005911E2">
        <w:t>While a number of other questions had one or two groups with a significant difference from those in the contrast sites, there was no systematic pattern to these.</w:t>
      </w:r>
    </w:p>
    <w:p w:rsidR="00897C1E" w:rsidRPr="005911E2" w:rsidRDefault="00897C1E" w:rsidP="00897C1E">
      <w:pPr>
        <w:pStyle w:val="BodyText"/>
      </w:pPr>
      <w:r w:rsidRPr="005911E2">
        <w:t xml:space="preserve">In summary, while there is, on average, a pattern of reduced incidence of various forms of financial stress </w:t>
      </w:r>
      <w:r w:rsidR="008B0F91" w:rsidRPr="005911E2">
        <w:t xml:space="preserve">reported </w:t>
      </w:r>
      <w:r w:rsidRPr="005911E2">
        <w:t xml:space="preserve">amongst people who were subject to NIM, similar reductions were reported by people in the contrast sites. </w:t>
      </w:r>
    </w:p>
    <w:p w:rsidR="00897C1E" w:rsidRPr="005911E2" w:rsidRDefault="00897C1E" w:rsidP="00897C1E">
      <w:pPr>
        <w:pStyle w:val="BodyText"/>
      </w:pPr>
      <w:r w:rsidRPr="005911E2">
        <w:t>More detailed analysis found that</w:t>
      </w:r>
      <w:r w:rsidR="008B0F91">
        <w:t>,</w:t>
      </w:r>
      <w:r w:rsidRPr="005911E2">
        <w:t xml:space="preserve"> once account was taken of personal and other characteristics</w:t>
      </w:r>
      <w:r w:rsidR="008B0F91">
        <w:t>,</w:t>
      </w:r>
      <w:r w:rsidRPr="005911E2">
        <w:t xml:space="preserve"> there was no consistent evidence to suggest that the difference in outcomes between the contrast sites and those on </w:t>
      </w:r>
      <w:r w:rsidR="00F878E4">
        <w:t>income management</w:t>
      </w:r>
      <w:r w:rsidRPr="005911E2">
        <w:t xml:space="preserve"> are significant, nor associated with specific policies such as </w:t>
      </w:r>
      <w:r w:rsidR="00F878E4">
        <w:t>income management</w:t>
      </w:r>
      <w:r w:rsidRPr="005911E2">
        <w:t>.</w:t>
      </w:r>
    </w:p>
    <w:p w:rsidR="00897C1E" w:rsidRPr="005911E2" w:rsidRDefault="00897C1E" w:rsidP="00BD6DFD">
      <w:pPr>
        <w:pStyle w:val="Heading3"/>
      </w:pPr>
      <w:r w:rsidRPr="005911E2">
        <w:t xml:space="preserve">Impact of </w:t>
      </w:r>
      <w:r w:rsidR="00F878E4">
        <w:t>income management</w:t>
      </w:r>
      <w:r w:rsidRPr="005911E2">
        <w:t xml:space="preserve"> on perceived level of financial stress</w:t>
      </w:r>
    </w:p>
    <w:p w:rsidR="00897C1E" w:rsidRPr="005911E2" w:rsidRDefault="00897C1E" w:rsidP="00897C1E">
      <w:pPr>
        <w:pStyle w:val="BodyText"/>
        <w:rPr>
          <w:lang w:eastAsia="en-US"/>
        </w:rPr>
      </w:pPr>
      <w:r w:rsidRPr="005911E2">
        <w:rPr>
          <w:lang w:eastAsia="en-US"/>
        </w:rPr>
        <w:t xml:space="preserve">The previous section has focused on survey participants’ reports of the extent to which there has been a change in the experience of a range of financial hardships since going on </w:t>
      </w:r>
      <w:r w:rsidR="00F878E4">
        <w:rPr>
          <w:lang w:eastAsia="en-US"/>
        </w:rPr>
        <w:t>income management</w:t>
      </w:r>
      <w:r w:rsidRPr="005911E2">
        <w:rPr>
          <w:lang w:eastAsia="en-US"/>
        </w:rPr>
        <w:t>. The LSNIM also asked questions about whether survey participants felt that managing certain aspects of their finances and lives had become harder or easier.</w:t>
      </w:r>
      <w:r w:rsidR="00B62B2D">
        <w:rPr>
          <w:lang w:eastAsia="en-US"/>
        </w:rPr>
        <w:t xml:space="preserve"> </w:t>
      </w:r>
      <w:r w:rsidRPr="005911E2">
        <w:rPr>
          <w:lang w:eastAsia="en-US"/>
        </w:rPr>
        <w:t xml:space="preserve">In the case of participants in the survey in the </w:t>
      </w:r>
      <w:r w:rsidR="006435C8">
        <w:rPr>
          <w:lang w:eastAsia="en-US"/>
        </w:rPr>
        <w:t>Northern Territory,</w:t>
      </w:r>
      <w:r w:rsidRPr="005911E2">
        <w:rPr>
          <w:lang w:eastAsia="en-US"/>
        </w:rPr>
        <w:t xml:space="preserve"> the question was </w:t>
      </w:r>
      <w:r w:rsidR="008B0F91">
        <w:rPr>
          <w:lang w:eastAsia="en-US"/>
        </w:rPr>
        <w:t>’</w:t>
      </w:r>
      <w:r w:rsidRPr="005911E2">
        <w:rPr>
          <w:i/>
          <w:lang w:eastAsia="en-US"/>
        </w:rPr>
        <w:t xml:space="preserve">Have things changed since being on </w:t>
      </w:r>
      <w:r w:rsidR="00F878E4">
        <w:rPr>
          <w:i/>
          <w:lang w:eastAsia="en-US"/>
        </w:rPr>
        <w:t>income management</w:t>
      </w:r>
      <w:r w:rsidRPr="005911E2">
        <w:rPr>
          <w:i/>
          <w:lang w:eastAsia="en-US"/>
        </w:rPr>
        <w:t>?</w:t>
      </w:r>
      <w:r w:rsidR="008B0F91">
        <w:rPr>
          <w:lang w:eastAsia="en-US"/>
        </w:rPr>
        <w:t>’</w:t>
      </w:r>
      <w:r w:rsidRPr="005911E2">
        <w:rPr>
          <w:lang w:eastAsia="en-US"/>
        </w:rPr>
        <w:t xml:space="preserve"> and for the participants in the survey in the contrast sites </w:t>
      </w:r>
      <w:r w:rsidR="008B0F91">
        <w:rPr>
          <w:lang w:eastAsia="en-US"/>
        </w:rPr>
        <w:t>‘</w:t>
      </w:r>
      <w:r w:rsidRPr="005911E2">
        <w:rPr>
          <w:i/>
          <w:lang w:eastAsia="en-US"/>
        </w:rPr>
        <w:t>Have things changed since 12 months ago?</w:t>
      </w:r>
      <w:r w:rsidR="008B0F91">
        <w:rPr>
          <w:lang w:eastAsia="en-US"/>
        </w:rPr>
        <w:t>’</w:t>
      </w:r>
      <w:r w:rsidRPr="005911E2">
        <w:rPr>
          <w:lang w:eastAsia="en-US"/>
        </w:rPr>
        <w:t xml:space="preserve"> </w:t>
      </w:r>
    </w:p>
    <w:p w:rsidR="00897C1E" w:rsidRDefault="00897C1E" w:rsidP="00897C1E">
      <w:pPr>
        <w:pStyle w:val="BodyText"/>
        <w:rPr>
          <w:lang w:eastAsia="en-US"/>
        </w:rPr>
      </w:pPr>
      <w:r w:rsidRPr="005911E2">
        <w:rPr>
          <w:lang w:eastAsia="en-US"/>
        </w:rPr>
        <w:t>Again, because the questions which were asked of those in the</w:t>
      </w:r>
      <w:r w:rsidR="006435C8">
        <w:rPr>
          <w:lang w:eastAsia="en-US"/>
        </w:rPr>
        <w:t xml:space="preserve"> Northern Territory </w:t>
      </w:r>
      <w:r w:rsidRPr="005911E2">
        <w:rPr>
          <w:lang w:eastAsia="en-US"/>
        </w:rPr>
        <w:t>and the contrast sites w</w:t>
      </w:r>
      <w:r w:rsidR="008B0F91">
        <w:rPr>
          <w:lang w:eastAsia="en-US"/>
        </w:rPr>
        <w:t>ere</w:t>
      </w:r>
      <w:r w:rsidRPr="005911E2">
        <w:rPr>
          <w:lang w:eastAsia="en-US"/>
        </w:rPr>
        <w:t xml:space="preserve"> different, the same caveats as described earlier need to be placed on interpreting these as being precisely equivalent.</w:t>
      </w:r>
    </w:p>
    <w:p w:rsidR="00E15AAB" w:rsidRPr="005911E2" w:rsidRDefault="00E15AAB" w:rsidP="00E15AAB">
      <w:pPr>
        <w:pStyle w:val="BodyText"/>
        <w:rPr>
          <w:lang w:eastAsia="en-US"/>
        </w:rPr>
      </w:pPr>
      <w:r w:rsidRPr="005911E2">
        <w:rPr>
          <w:lang w:eastAsia="en-US"/>
        </w:rPr>
        <w:t xml:space="preserve">Taken as a whole, the pattern of responses by those subject to </w:t>
      </w:r>
      <w:r>
        <w:rPr>
          <w:lang w:eastAsia="en-US"/>
        </w:rPr>
        <w:t>income management</w:t>
      </w:r>
      <w:r w:rsidRPr="005911E2">
        <w:rPr>
          <w:lang w:eastAsia="en-US"/>
        </w:rPr>
        <w:t xml:space="preserve"> suggest</w:t>
      </w:r>
      <w:r>
        <w:rPr>
          <w:lang w:eastAsia="en-US"/>
        </w:rPr>
        <w:t>s</w:t>
      </w:r>
      <w:r w:rsidRPr="005911E2">
        <w:rPr>
          <w:lang w:eastAsia="en-US"/>
        </w:rPr>
        <w:t xml:space="preserve"> that </w:t>
      </w:r>
      <w:r>
        <w:rPr>
          <w:lang w:eastAsia="en-US"/>
        </w:rPr>
        <w:t>people</w:t>
      </w:r>
      <w:r w:rsidRPr="005911E2">
        <w:rPr>
          <w:lang w:eastAsia="en-US"/>
        </w:rPr>
        <w:t xml:space="preserve"> have found </w:t>
      </w:r>
      <w:r>
        <w:rPr>
          <w:lang w:eastAsia="en-US"/>
        </w:rPr>
        <w:t xml:space="preserve">that </w:t>
      </w:r>
      <w:r w:rsidRPr="005911E2">
        <w:rPr>
          <w:lang w:eastAsia="en-US"/>
        </w:rPr>
        <w:t xml:space="preserve">managing many aspects of their finances and lives had become easier since being subject to </w:t>
      </w:r>
      <w:r>
        <w:rPr>
          <w:lang w:eastAsia="en-US"/>
        </w:rPr>
        <w:t>income management</w:t>
      </w:r>
      <w:r w:rsidRPr="005911E2">
        <w:rPr>
          <w:lang w:eastAsia="en-US"/>
        </w:rPr>
        <w:t>. There is</w:t>
      </w:r>
      <w:r>
        <w:rPr>
          <w:lang w:eastAsia="en-US"/>
        </w:rPr>
        <w:t>,</w:t>
      </w:r>
      <w:r w:rsidRPr="005911E2">
        <w:rPr>
          <w:lang w:eastAsia="en-US"/>
        </w:rPr>
        <w:t xml:space="preserve"> however</w:t>
      </w:r>
      <w:r>
        <w:rPr>
          <w:lang w:eastAsia="en-US"/>
        </w:rPr>
        <w:t>,</w:t>
      </w:r>
      <w:r w:rsidRPr="005911E2">
        <w:rPr>
          <w:lang w:eastAsia="en-US"/>
        </w:rPr>
        <w:t xml:space="preserve"> much inconsistency in their responses. Amongst Indigenous people on </w:t>
      </w:r>
      <w:r>
        <w:rPr>
          <w:lang w:eastAsia="en-US"/>
        </w:rPr>
        <w:t xml:space="preserve">compulsory measures </w:t>
      </w:r>
      <w:r w:rsidRPr="005911E2">
        <w:rPr>
          <w:lang w:eastAsia="en-US"/>
        </w:rPr>
        <w:t xml:space="preserve">in NTER areas, the proportion reporting that it was easier to manage these aspects of their lives comprehensively outweighed those reporting it was more difficult. </w:t>
      </w:r>
      <w:r w:rsidR="00950933">
        <w:rPr>
          <w:lang w:eastAsia="en-US"/>
        </w:rPr>
        <w:t>T</w:t>
      </w:r>
      <w:r w:rsidRPr="005911E2">
        <w:rPr>
          <w:lang w:eastAsia="en-US"/>
        </w:rPr>
        <w:t xml:space="preserve">hose in non-NTER areas were more likely to say that it had become harder to manage their money and to save money. Amongst those in non-NTER areas about equal numbers of participants in the survey reported that it had become either easier or harder to know how much money they had, or to look after family obligations. </w:t>
      </w:r>
    </w:p>
    <w:p w:rsidR="00E15AAB" w:rsidRDefault="00E15AAB" w:rsidP="00E15AAB">
      <w:pPr>
        <w:pStyle w:val="BodyText"/>
        <w:rPr>
          <w:lang w:eastAsia="en-US"/>
        </w:rPr>
      </w:pPr>
      <w:r w:rsidRPr="005911E2">
        <w:rPr>
          <w:lang w:eastAsia="en-US"/>
        </w:rPr>
        <w:t xml:space="preserve">Between two and ten times as many Indigenous people on </w:t>
      </w:r>
      <w:r>
        <w:rPr>
          <w:lang w:eastAsia="en-US"/>
        </w:rPr>
        <w:t xml:space="preserve">Voluntary Income Management </w:t>
      </w:r>
      <w:r w:rsidRPr="005911E2">
        <w:rPr>
          <w:lang w:eastAsia="en-US"/>
        </w:rPr>
        <w:t xml:space="preserve">(in both NTER and non-NTER areas) reported that they considered managing their financial affairs, providing food and meeting their family obligations had become easier since being on </w:t>
      </w:r>
      <w:r>
        <w:rPr>
          <w:lang w:eastAsia="en-US"/>
        </w:rPr>
        <w:t>income management compared with</w:t>
      </w:r>
      <w:r w:rsidRPr="005911E2">
        <w:rPr>
          <w:lang w:eastAsia="en-US"/>
        </w:rPr>
        <w:t xml:space="preserve"> those reporting more difficulties in these areas. However</w:t>
      </w:r>
      <w:r>
        <w:rPr>
          <w:lang w:eastAsia="en-US"/>
        </w:rPr>
        <w:t>,</w:t>
      </w:r>
      <w:r w:rsidRPr="005911E2">
        <w:rPr>
          <w:lang w:eastAsia="en-US"/>
        </w:rPr>
        <w:t xml:space="preserve"> a very substantial number (35 to 50 per cent) report</w:t>
      </w:r>
      <w:r>
        <w:rPr>
          <w:lang w:eastAsia="en-US"/>
        </w:rPr>
        <w:t>ed</w:t>
      </w:r>
      <w:r w:rsidRPr="005911E2">
        <w:rPr>
          <w:lang w:eastAsia="en-US"/>
        </w:rPr>
        <w:t xml:space="preserve"> that managing these tasks was much the same as it was prior to </w:t>
      </w:r>
      <w:r>
        <w:rPr>
          <w:lang w:eastAsia="en-US"/>
        </w:rPr>
        <w:t>income management</w:t>
      </w:r>
      <w:r w:rsidRPr="005911E2">
        <w:rPr>
          <w:lang w:eastAsia="en-US"/>
        </w:rPr>
        <w:t xml:space="preserve">. </w:t>
      </w:r>
    </w:p>
    <w:p w:rsidR="00CB5D8B" w:rsidRPr="005911E2" w:rsidRDefault="00CB5D8B" w:rsidP="00CB5D8B">
      <w:pPr>
        <w:pStyle w:val="BodyText"/>
        <w:rPr>
          <w:lang w:eastAsia="en-US"/>
        </w:rPr>
      </w:pPr>
      <w:r w:rsidRPr="005911E2">
        <w:rPr>
          <w:lang w:eastAsia="en-US"/>
        </w:rPr>
        <w:t>In the contrast sites, Indigenous survey participants were similarly more likely to say managing their money ha</w:t>
      </w:r>
      <w:r>
        <w:rPr>
          <w:lang w:eastAsia="en-US"/>
        </w:rPr>
        <w:t>d</w:t>
      </w:r>
      <w:r w:rsidRPr="005911E2">
        <w:rPr>
          <w:lang w:eastAsia="en-US"/>
        </w:rPr>
        <w:t xml:space="preserve"> become easier than that it had become harder (with the exception of the question on savings) and also that the most common response was ‘no change’ in these tasks.</w:t>
      </w:r>
    </w:p>
    <w:p w:rsidR="00CB5D8B" w:rsidRPr="005911E2" w:rsidRDefault="00CB5D8B" w:rsidP="00CB5D8B">
      <w:pPr>
        <w:pStyle w:val="BodyText"/>
        <w:rPr>
          <w:lang w:eastAsia="en-US"/>
        </w:rPr>
      </w:pPr>
      <w:r w:rsidRPr="005911E2">
        <w:rPr>
          <w:lang w:eastAsia="en-US"/>
        </w:rPr>
        <w:t xml:space="preserve">The statistical significance of some of these changes is considered </w:t>
      </w:r>
      <w:r>
        <w:rPr>
          <w:lang w:eastAsia="en-US"/>
        </w:rPr>
        <w:t xml:space="preserve">later in this chapter </w:t>
      </w:r>
      <w:r w:rsidRPr="005911E2">
        <w:rPr>
          <w:lang w:eastAsia="en-US"/>
        </w:rPr>
        <w:t xml:space="preserve">in </w:t>
      </w:r>
      <w:r w:rsidRPr="005911E2">
        <w:t xml:space="preserve">Table </w:t>
      </w:r>
      <w:r w:rsidRPr="005911E2">
        <w:rPr>
          <w:noProof/>
        </w:rPr>
        <w:t>10</w:t>
      </w:r>
      <w:r w:rsidRPr="005911E2">
        <w:noBreakHyphen/>
      </w:r>
      <w:r w:rsidRPr="005911E2">
        <w:rPr>
          <w:noProof/>
        </w:rPr>
        <w:t>10</w:t>
      </w:r>
      <w:r w:rsidRPr="005911E2">
        <w:rPr>
          <w:lang w:eastAsia="en-US"/>
        </w:rPr>
        <w:t xml:space="preserve">. </w:t>
      </w:r>
    </w:p>
    <w:p w:rsidR="00CB5D8B" w:rsidRPr="005911E2" w:rsidRDefault="00CB5D8B" w:rsidP="00CB5D8B">
      <w:pPr>
        <w:pStyle w:val="BodyText"/>
      </w:pPr>
      <w:r w:rsidRPr="005911E2">
        <w:t xml:space="preserve">Non-Indigenous survey participants who were subject to </w:t>
      </w:r>
      <w:r>
        <w:t>compulsory measures</w:t>
      </w:r>
      <w:r w:rsidRPr="005911E2">
        <w:t xml:space="preserve"> were much more likely to report that these tasks had become harder since commencing income management. This result was particularly marked with regard to managing, saving and knowing how much money they had.</w:t>
      </w:r>
      <w:r>
        <w:t xml:space="preserve"> </w:t>
      </w:r>
      <w:r w:rsidRPr="005911E2">
        <w:t>When compared with the contrast sites these non-Indigenous respondents were much more likely to report change, either positive or negative, than those on income support only. On balance</w:t>
      </w:r>
      <w:r>
        <w:t>,</w:t>
      </w:r>
      <w:r w:rsidRPr="005911E2">
        <w:t xml:space="preserve"> non-Indigenous survey participants in both the contrast sites and the intervention sites reported more negative than positive changes.</w:t>
      </w:r>
    </w:p>
    <w:p w:rsidR="00CB5D8B" w:rsidRPr="005911E2" w:rsidRDefault="00CB5D8B" w:rsidP="00CB5D8B">
      <w:pPr>
        <w:pStyle w:val="BodyText"/>
      </w:pPr>
      <w:r w:rsidRPr="005911E2">
        <w:t>While questions about perceptions of change can provide a valuable insight into what has occurred</w:t>
      </w:r>
      <w:r>
        <w:t>,</w:t>
      </w:r>
      <w:r w:rsidRPr="005911E2">
        <w:t xml:space="preserve"> it </w:t>
      </w:r>
      <w:r>
        <w:t xml:space="preserve">also </w:t>
      </w:r>
      <w:r w:rsidRPr="005911E2">
        <w:t xml:space="preserve">needs to be recognised that reported perceptions can at times be fallible and may reflect more general issues of outlook or other changes in the environment in which people live. </w:t>
      </w:r>
    </w:p>
    <w:p w:rsidR="00CB5D8B" w:rsidRPr="005911E2" w:rsidRDefault="00CB5D8B" w:rsidP="00CB5D8B">
      <w:pPr>
        <w:pStyle w:val="BodyText"/>
      </w:pPr>
      <w:r w:rsidRPr="005911E2">
        <w:t>In this study this can be tested by comparing the responses to the questions on change in the incidence of running out of money to purchase food with the extent people felt it had become easier or harder to have enough money for food.</w:t>
      </w:r>
    </w:p>
    <w:p w:rsidR="00CB5D8B" w:rsidRPr="005911E2" w:rsidRDefault="00CB5D8B" w:rsidP="00CB5D8B">
      <w:pPr>
        <w:pStyle w:val="BodyText"/>
      </w:pPr>
      <w:r w:rsidRPr="005911E2">
        <w:t xml:space="preserve">This is demonstrated in Figure </w:t>
      </w:r>
      <w:r w:rsidRPr="005911E2">
        <w:rPr>
          <w:noProof/>
        </w:rPr>
        <w:t>10</w:t>
      </w:r>
      <w:r w:rsidRPr="005911E2">
        <w:noBreakHyphen/>
      </w:r>
      <w:r w:rsidRPr="005911E2">
        <w:rPr>
          <w:noProof/>
        </w:rPr>
        <w:t>1</w:t>
      </w:r>
      <w:r w:rsidRPr="005911E2">
        <w:t xml:space="preserve"> which shows, for a range of population subgroups, the rate of reported net improvement with respect to whether they ran out of money for food </w:t>
      </w:r>
      <w:r>
        <w:t>(</w:t>
      </w:r>
      <w:r w:rsidRPr="005911E2">
        <w:t xml:space="preserve">Table </w:t>
      </w:r>
      <w:r w:rsidRPr="005911E2">
        <w:rPr>
          <w:noProof/>
        </w:rPr>
        <w:t>10</w:t>
      </w:r>
      <w:r w:rsidRPr="005911E2">
        <w:noBreakHyphen/>
      </w:r>
      <w:r w:rsidRPr="005911E2">
        <w:rPr>
          <w:noProof/>
        </w:rPr>
        <w:t>5</w:t>
      </w:r>
      <w:r w:rsidRPr="005911E2">
        <w:t xml:space="preserve">) with the net change in their perception of whether it was easier to have enough money for food (Table </w:t>
      </w:r>
      <w:r w:rsidRPr="005911E2">
        <w:rPr>
          <w:noProof/>
        </w:rPr>
        <w:t>10</w:t>
      </w:r>
      <w:r w:rsidRPr="005911E2">
        <w:noBreakHyphen/>
      </w:r>
      <w:r w:rsidRPr="005911E2">
        <w:rPr>
          <w:noProof/>
        </w:rPr>
        <w:t>7</w:t>
      </w:r>
      <w:r w:rsidRPr="005911E2">
        <w:t>)</w:t>
      </w:r>
      <w:r>
        <w:t>.</w:t>
      </w:r>
      <w:r w:rsidRPr="005911E2">
        <w:rPr>
          <w:rStyle w:val="FootnoteReference"/>
        </w:rPr>
        <w:footnoteReference w:id="116"/>
      </w:r>
      <w:r w:rsidRPr="005911E2">
        <w:t xml:space="preserve"> </w:t>
      </w:r>
    </w:p>
    <w:p w:rsidR="00897C1E" w:rsidRPr="005911E2" w:rsidRDefault="00897C1E" w:rsidP="00897C1E">
      <w:pPr>
        <w:pStyle w:val="tabfighead"/>
      </w:pPr>
      <w:bookmarkStart w:id="1018" w:name="_Ref323941447"/>
      <w:bookmarkStart w:id="1019" w:name="_Toc322470923"/>
      <w:bookmarkStart w:id="1020" w:name="_Toc328601635"/>
      <w:bookmarkStart w:id="1021" w:name="_Toc329051413"/>
      <w:bookmarkStart w:id="1022" w:name="_Toc335915901"/>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10</w:t>
      </w:r>
      <w:r w:rsidR="00C7347D" w:rsidRPr="005911E2">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7</w:t>
      </w:r>
      <w:r w:rsidR="00C7347D" w:rsidRPr="005911E2">
        <w:fldChar w:fldCharType="end"/>
      </w:r>
      <w:bookmarkEnd w:id="1018"/>
      <w:r w:rsidRPr="005911E2">
        <w:tab/>
        <w:t>LSNIM</w:t>
      </w:r>
      <w:r w:rsidR="006435C8">
        <w:t xml:space="preserve"> Northern Territory </w:t>
      </w:r>
      <w:r w:rsidRPr="005911E2">
        <w:t xml:space="preserve">and contrast site survey participants, impact of </w:t>
      </w:r>
      <w:r w:rsidR="00F878E4">
        <w:t>income management</w:t>
      </w:r>
      <w:r w:rsidRPr="005911E2">
        <w:t>/change in last year on aspects of financial management</w:t>
      </w:r>
      <w:bookmarkEnd w:id="1019"/>
      <w:bookmarkEnd w:id="1020"/>
      <w:bookmarkEnd w:id="1021"/>
      <w:bookmarkEnd w:id="1022"/>
    </w:p>
    <w:tbl>
      <w:tblPr>
        <w:tblW w:w="4523" w:type="pct"/>
        <w:jc w:val="right"/>
        <w:tblLayout w:type="fixed"/>
        <w:tblLook w:val="04A0" w:firstRow="1" w:lastRow="0" w:firstColumn="1" w:lastColumn="0" w:noHBand="0" w:noVBand="1"/>
      </w:tblPr>
      <w:tblGrid>
        <w:gridCol w:w="1668"/>
        <w:gridCol w:w="849"/>
        <w:gridCol w:w="711"/>
        <w:gridCol w:w="237"/>
        <w:gridCol w:w="875"/>
        <w:gridCol w:w="903"/>
        <w:gridCol w:w="285"/>
        <w:gridCol w:w="856"/>
        <w:gridCol w:w="237"/>
        <w:gridCol w:w="759"/>
        <w:gridCol w:w="847"/>
      </w:tblGrid>
      <w:tr w:rsidR="00200EFE" w:rsidRPr="00CB5D8B" w:rsidTr="00AA664C">
        <w:trPr>
          <w:trHeight w:val="288"/>
          <w:jc w:val="right"/>
        </w:trPr>
        <w:tc>
          <w:tcPr>
            <w:tcW w:w="1014" w:type="pct"/>
            <w:tcBorders>
              <w:top w:val="single" w:sz="4" w:space="0" w:color="auto"/>
              <w:left w:val="nil"/>
              <w:right w:val="nil"/>
            </w:tcBorders>
            <w:shd w:val="clear" w:color="auto" w:fill="auto"/>
            <w:noWrap/>
            <w:vAlign w:val="bottom"/>
            <w:hideMark/>
          </w:tcPr>
          <w:p w:rsidR="00200EFE" w:rsidRPr="00CB5D8B" w:rsidRDefault="00200EFE" w:rsidP="00F104E9">
            <w:pPr>
              <w:keepNext/>
              <w:keepLines/>
              <w:spacing w:after="0" w:line="240" w:lineRule="auto"/>
              <w:ind w:left="0"/>
              <w:rPr>
                <w:rFonts w:cs="Arial"/>
                <w:color w:val="000000"/>
                <w:sz w:val="16"/>
                <w:szCs w:val="16"/>
                <w:lang w:eastAsia="en-AU" w:bidi="ar-SA"/>
              </w:rPr>
            </w:pPr>
          </w:p>
        </w:tc>
        <w:tc>
          <w:tcPr>
            <w:tcW w:w="2866" w:type="pct"/>
            <w:gridSpan w:val="7"/>
            <w:tcBorders>
              <w:top w:val="single" w:sz="4" w:space="0" w:color="auto"/>
              <w:left w:val="nil"/>
              <w:bottom w:val="single" w:sz="4" w:space="0" w:color="auto"/>
              <w:right w:val="nil"/>
            </w:tcBorders>
            <w:shd w:val="clear" w:color="auto" w:fill="auto"/>
            <w:noWrap/>
            <w:vAlign w:val="bottom"/>
            <w:hideMark/>
          </w:tcPr>
          <w:p w:rsidR="00200EFE" w:rsidRPr="00CB5D8B" w:rsidRDefault="00200EF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Income Managed</w:t>
            </w:r>
          </w:p>
        </w:tc>
        <w:tc>
          <w:tcPr>
            <w:tcW w:w="144" w:type="pct"/>
            <w:tcBorders>
              <w:top w:val="single" w:sz="4" w:space="0" w:color="auto"/>
              <w:left w:val="nil"/>
              <w:right w:val="nil"/>
            </w:tcBorders>
            <w:shd w:val="clear" w:color="auto" w:fill="auto"/>
            <w:noWrap/>
            <w:vAlign w:val="bottom"/>
            <w:hideMark/>
          </w:tcPr>
          <w:p w:rsidR="00200EFE" w:rsidRPr="00CB5D8B" w:rsidRDefault="00200EFE" w:rsidP="00F104E9">
            <w:pPr>
              <w:keepNext/>
              <w:keepLines/>
              <w:spacing w:after="0" w:line="240" w:lineRule="auto"/>
              <w:ind w:left="0"/>
              <w:rPr>
                <w:rFonts w:cs="Arial"/>
                <w:color w:val="000000"/>
                <w:sz w:val="16"/>
                <w:szCs w:val="16"/>
                <w:lang w:eastAsia="en-AU" w:bidi="ar-SA"/>
              </w:rPr>
            </w:pPr>
          </w:p>
        </w:tc>
        <w:tc>
          <w:tcPr>
            <w:tcW w:w="976" w:type="pct"/>
            <w:gridSpan w:val="2"/>
            <w:tcBorders>
              <w:top w:val="single" w:sz="4" w:space="0" w:color="auto"/>
              <w:left w:val="nil"/>
              <w:bottom w:val="single" w:sz="4" w:space="0" w:color="auto"/>
              <w:right w:val="nil"/>
            </w:tcBorders>
            <w:shd w:val="clear" w:color="auto" w:fill="auto"/>
            <w:noWrap/>
            <w:vAlign w:val="bottom"/>
            <w:hideMark/>
          </w:tcPr>
          <w:p w:rsidR="00200EFE" w:rsidRPr="00CB5D8B" w:rsidRDefault="00200EF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Contrast sites</w:t>
            </w:r>
          </w:p>
        </w:tc>
      </w:tr>
      <w:tr w:rsidR="00897C1E" w:rsidRPr="00CB5D8B" w:rsidTr="008A1D49">
        <w:trPr>
          <w:trHeight w:val="288"/>
          <w:jc w:val="right"/>
        </w:trPr>
        <w:tc>
          <w:tcPr>
            <w:tcW w:w="1014" w:type="pct"/>
            <w:tcBorders>
              <w:left w:val="nil"/>
              <w:bottom w:val="nil"/>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p>
        </w:tc>
        <w:tc>
          <w:tcPr>
            <w:tcW w:w="948" w:type="pct"/>
            <w:gridSpan w:val="2"/>
            <w:tcBorders>
              <w:top w:val="single" w:sz="4" w:space="0" w:color="auto"/>
              <w:left w:val="nil"/>
              <w:bottom w:val="single" w:sz="4" w:space="0" w:color="auto"/>
              <w:right w:val="nil"/>
            </w:tcBorders>
            <w:shd w:val="clear" w:color="auto" w:fill="auto"/>
            <w:noWrap/>
            <w:hideMark/>
          </w:tcPr>
          <w:p w:rsidR="00897C1E" w:rsidRPr="00CB5D8B" w:rsidRDefault="00897C1E" w:rsidP="00200EFE">
            <w:pPr>
              <w:keepNext/>
              <w:keepLines/>
              <w:spacing w:after="0" w:line="240" w:lineRule="auto"/>
              <w:ind w:left="0"/>
              <w:jc w:val="left"/>
              <w:rPr>
                <w:rFonts w:cs="Arial"/>
                <w:color w:val="000000"/>
                <w:sz w:val="16"/>
                <w:szCs w:val="16"/>
                <w:lang w:eastAsia="en-AU" w:bidi="ar-SA"/>
              </w:rPr>
            </w:pPr>
            <w:r w:rsidRPr="00CB5D8B">
              <w:rPr>
                <w:rFonts w:cs="Arial"/>
                <w:color w:val="000000"/>
                <w:sz w:val="16"/>
                <w:szCs w:val="16"/>
                <w:lang w:eastAsia="en-AU" w:bidi="ar-SA"/>
              </w:rPr>
              <w:t>Indigenous</w:t>
            </w:r>
          </w:p>
        </w:tc>
        <w:tc>
          <w:tcPr>
            <w:tcW w:w="144" w:type="pct"/>
            <w:tcBorders>
              <w:top w:val="single" w:sz="4" w:space="0" w:color="auto"/>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p>
        </w:tc>
        <w:tc>
          <w:tcPr>
            <w:tcW w:w="532" w:type="pct"/>
            <w:tcBorders>
              <w:top w:val="single" w:sz="4" w:space="0" w:color="auto"/>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p>
        </w:tc>
        <w:tc>
          <w:tcPr>
            <w:tcW w:w="549" w:type="pct"/>
            <w:tcBorders>
              <w:top w:val="single" w:sz="4" w:space="0" w:color="auto"/>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p>
        </w:tc>
        <w:tc>
          <w:tcPr>
            <w:tcW w:w="173" w:type="pct"/>
            <w:tcBorders>
              <w:top w:val="single" w:sz="4" w:space="0" w:color="auto"/>
              <w:left w:val="nil"/>
              <w:right w:val="nil"/>
            </w:tcBorders>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20" w:type="pct"/>
            <w:tcBorders>
              <w:top w:val="single" w:sz="4" w:space="0" w:color="auto"/>
              <w:left w:val="nil"/>
              <w:bottom w:val="single" w:sz="4" w:space="0" w:color="auto"/>
              <w:right w:val="nil"/>
            </w:tcBorders>
            <w:shd w:val="clear" w:color="auto" w:fill="auto"/>
            <w:hideMark/>
          </w:tcPr>
          <w:p w:rsidR="00897C1E" w:rsidRPr="00CB5D8B" w:rsidRDefault="00897C1E" w:rsidP="008A1D49">
            <w:pPr>
              <w:keepNext/>
              <w:keepLines/>
              <w:spacing w:after="0" w:line="240" w:lineRule="auto"/>
              <w:ind w:left="0"/>
              <w:jc w:val="left"/>
              <w:rPr>
                <w:rFonts w:cs="Arial"/>
                <w:color w:val="000000"/>
                <w:sz w:val="16"/>
                <w:szCs w:val="16"/>
                <w:lang w:eastAsia="en-AU" w:bidi="ar-SA"/>
              </w:rPr>
            </w:pPr>
            <w:r w:rsidRPr="00CB5D8B">
              <w:rPr>
                <w:rFonts w:cs="Arial"/>
                <w:color w:val="000000"/>
                <w:sz w:val="16"/>
                <w:szCs w:val="16"/>
                <w:lang w:eastAsia="en-AU" w:bidi="ar-SA"/>
              </w:rPr>
              <w:t xml:space="preserve">Non-Indig-enous </w:t>
            </w:r>
          </w:p>
        </w:tc>
        <w:tc>
          <w:tcPr>
            <w:tcW w:w="144" w:type="pct"/>
            <w:tcBorders>
              <w:left w:val="nil"/>
              <w:bottom w:val="nil"/>
              <w:right w:val="nil"/>
            </w:tcBorders>
            <w:shd w:val="clear" w:color="auto" w:fill="auto"/>
            <w:noWrap/>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461" w:type="pct"/>
            <w:vMerge w:val="restart"/>
            <w:tcBorders>
              <w:top w:val="single" w:sz="4" w:space="0" w:color="auto"/>
              <w:left w:val="nil"/>
              <w:right w:val="nil"/>
            </w:tcBorders>
            <w:shd w:val="clear" w:color="auto" w:fill="auto"/>
            <w:noWrap/>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Indig-enous</w:t>
            </w:r>
          </w:p>
        </w:tc>
        <w:tc>
          <w:tcPr>
            <w:tcW w:w="515" w:type="pct"/>
            <w:vMerge w:val="restart"/>
            <w:tcBorders>
              <w:top w:val="single" w:sz="4" w:space="0" w:color="auto"/>
              <w:left w:val="nil"/>
              <w:right w:val="nil"/>
            </w:tcBorders>
            <w:shd w:val="clear" w:color="auto" w:fill="auto"/>
            <w:noWrap/>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Non-Indig-enous</w:t>
            </w:r>
          </w:p>
        </w:tc>
      </w:tr>
      <w:tr w:rsidR="00200EFE" w:rsidRPr="00CB5D8B" w:rsidTr="00AA664C">
        <w:trPr>
          <w:trHeight w:val="288"/>
          <w:jc w:val="right"/>
        </w:trPr>
        <w:tc>
          <w:tcPr>
            <w:tcW w:w="1014" w:type="pct"/>
            <w:tcBorders>
              <w:top w:val="nil"/>
              <w:left w:val="nil"/>
              <w:bottom w:val="nil"/>
              <w:right w:val="nil"/>
            </w:tcBorders>
            <w:shd w:val="clear" w:color="auto" w:fill="auto"/>
            <w:noWrap/>
            <w:vAlign w:val="bottom"/>
            <w:hideMark/>
          </w:tcPr>
          <w:p w:rsidR="00200EFE" w:rsidRPr="00CB5D8B" w:rsidRDefault="00200EFE" w:rsidP="00F104E9">
            <w:pPr>
              <w:keepNext/>
              <w:keepLines/>
              <w:spacing w:after="0" w:line="240" w:lineRule="auto"/>
              <w:ind w:left="0"/>
              <w:rPr>
                <w:rFonts w:cs="Arial"/>
                <w:color w:val="000000"/>
                <w:sz w:val="16"/>
                <w:szCs w:val="16"/>
                <w:lang w:eastAsia="en-AU" w:bidi="ar-SA"/>
              </w:rPr>
            </w:pPr>
          </w:p>
        </w:tc>
        <w:tc>
          <w:tcPr>
            <w:tcW w:w="948" w:type="pct"/>
            <w:gridSpan w:val="2"/>
            <w:tcBorders>
              <w:top w:val="single" w:sz="4" w:space="0" w:color="auto"/>
              <w:left w:val="nil"/>
              <w:bottom w:val="single" w:sz="4" w:space="0" w:color="auto"/>
              <w:right w:val="nil"/>
            </w:tcBorders>
            <w:shd w:val="clear" w:color="auto" w:fill="auto"/>
            <w:noWrap/>
            <w:hideMark/>
          </w:tcPr>
          <w:p w:rsidR="00200EFE" w:rsidRPr="00CB5D8B" w:rsidRDefault="00200EFE" w:rsidP="00200EFE">
            <w:pPr>
              <w:keepNext/>
              <w:keepLines/>
              <w:spacing w:after="0" w:line="240" w:lineRule="auto"/>
              <w:ind w:left="0"/>
              <w:jc w:val="left"/>
              <w:rPr>
                <w:rFonts w:cs="Arial"/>
                <w:color w:val="000000"/>
                <w:sz w:val="16"/>
                <w:szCs w:val="16"/>
                <w:lang w:eastAsia="en-AU" w:bidi="ar-SA"/>
              </w:rPr>
            </w:pPr>
            <w:r w:rsidRPr="00CB5D8B">
              <w:rPr>
                <w:rFonts w:cs="Arial"/>
                <w:color w:val="000000"/>
                <w:sz w:val="16"/>
                <w:szCs w:val="16"/>
                <w:lang w:eastAsia="en-AU" w:bidi="ar-SA"/>
              </w:rPr>
              <w:t xml:space="preserve">Compulsory </w:t>
            </w:r>
          </w:p>
        </w:tc>
        <w:tc>
          <w:tcPr>
            <w:tcW w:w="144" w:type="pct"/>
            <w:tcBorders>
              <w:top w:val="single" w:sz="4" w:space="0" w:color="auto"/>
              <w:left w:val="nil"/>
              <w:bottom w:val="nil"/>
              <w:right w:val="nil"/>
            </w:tcBorders>
            <w:shd w:val="clear" w:color="auto" w:fill="auto"/>
            <w:noWrap/>
            <w:hideMark/>
          </w:tcPr>
          <w:p w:rsidR="00200EFE" w:rsidRPr="00CB5D8B" w:rsidRDefault="00200EFE" w:rsidP="00200EFE">
            <w:pPr>
              <w:keepNext/>
              <w:keepLines/>
              <w:spacing w:after="0" w:line="240" w:lineRule="auto"/>
              <w:ind w:left="0"/>
              <w:jc w:val="left"/>
              <w:rPr>
                <w:rFonts w:cs="Arial"/>
                <w:color w:val="000000"/>
                <w:sz w:val="16"/>
                <w:szCs w:val="16"/>
                <w:lang w:eastAsia="en-AU" w:bidi="ar-SA"/>
              </w:rPr>
            </w:pPr>
          </w:p>
        </w:tc>
        <w:tc>
          <w:tcPr>
            <w:tcW w:w="1081" w:type="pct"/>
            <w:gridSpan w:val="2"/>
            <w:tcBorders>
              <w:top w:val="single" w:sz="4" w:space="0" w:color="auto"/>
              <w:left w:val="nil"/>
              <w:bottom w:val="single" w:sz="4" w:space="0" w:color="auto"/>
              <w:right w:val="nil"/>
            </w:tcBorders>
            <w:shd w:val="clear" w:color="auto" w:fill="auto"/>
            <w:noWrap/>
            <w:hideMark/>
          </w:tcPr>
          <w:p w:rsidR="00200EFE" w:rsidRPr="00CB5D8B" w:rsidRDefault="00200EFE" w:rsidP="00200EFE">
            <w:pPr>
              <w:keepNext/>
              <w:keepLines/>
              <w:spacing w:after="0" w:line="240" w:lineRule="auto"/>
              <w:ind w:left="0"/>
              <w:jc w:val="left"/>
              <w:rPr>
                <w:rFonts w:cs="Arial"/>
                <w:color w:val="000000"/>
                <w:sz w:val="16"/>
                <w:szCs w:val="16"/>
                <w:lang w:eastAsia="en-AU" w:bidi="ar-SA"/>
              </w:rPr>
            </w:pPr>
            <w:r w:rsidRPr="00CB5D8B">
              <w:rPr>
                <w:rFonts w:cs="Arial"/>
                <w:color w:val="000000"/>
                <w:sz w:val="16"/>
                <w:szCs w:val="16"/>
                <w:lang w:eastAsia="en-AU" w:bidi="ar-SA"/>
              </w:rPr>
              <w:t xml:space="preserve">Voluntary </w:t>
            </w:r>
          </w:p>
        </w:tc>
        <w:tc>
          <w:tcPr>
            <w:tcW w:w="173" w:type="pct"/>
            <w:tcBorders>
              <w:left w:val="nil"/>
              <w:right w:val="nil"/>
            </w:tcBorders>
          </w:tcPr>
          <w:p w:rsidR="00200EFE" w:rsidRPr="00CB5D8B" w:rsidRDefault="00200EFE" w:rsidP="00F104E9">
            <w:pPr>
              <w:keepNext/>
              <w:keepLines/>
              <w:spacing w:after="0" w:line="240" w:lineRule="auto"/>
              <w:ind w:left="0"/>
              <w:rPr>
                <w:rFonts w:cs="Arial"/>
                <w:color w:val="000000"/>
                <w:sz w:val="16"/>
                <w:szCs w:val="16"/>
                <w:lang w:eastAsia="en-AU" w:bidi="ar-SA"/>
              </w:rPr>
            </w:pPr>
          </w:p>
        </w:tc>
        <w:tc>
          <w:tcPr>
            <w:tcW w:w="520" w:type="pct"/>
            <w:vMerge w:val="restart"/>
            <w:tcBorders>
              <w:top w:val="single" w:sz="4" w:space="0" w:color="auto"/>
              <w:left w:val="nil"/>
              <w:right w:val="nil"/>
            </w:tcBorders>
            <w:shd w:val="clear" w:color="auto" w:fill="auto"/>
            <w:hideMark/>
          </w:tcPr>
          <w:p w:rsidR="00200EFE" w:rsidRPr="00CB5D8B" w:rsidRDefault="00200EFE" w:rsidP="00200EFE">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 xml:space="preserve">Comp-ulsory </w:t>
            </w:r>
          </w:p>
        </w:tc>
        <w:tc>
          <w:tcPr>
            <w:tcW w:w="144" w:type="pct"/>
            <w:tcBorders>
              <w:top w:val="nil"/>
              <w:left w:val="nil"/>
              <w:bottom w:val="nil"/>
              <w:right w:val="nil"/>
            </w:tcBorders>
            <w:shd w:val="clear" w:color="auto" w:fill="auto"/>
            <w:noWrap/>
            <w:vAlign w:val="bottom"/>
            <w:hideMark/>
          </w:tcPr>
          <w:p w:rsidR="00200EFE" w:rsidRPr="00CB5D8B" w:rsidRDefault="00200EFE" w:rsidP="00F104E9">
            <w:pPr>
              <w:keepNext/>
              <w:keepLines/>
              <w:spacing w:after="0" w:line="240" w:lineRule="auto"/>
              <w:ind w:left="0"/>
              <w:rPr>
                <w:rFonts w:cs="Arial"/>
                <w:color w:val="000000"/>
                <w:sz w:val="16"/>
                <w:szCs w:val="16"/>
                <w:lang w:eastAsia="en-AU" w:bidi="ar-SA"/>
              </w:rPr>
            </w:pPr>
          </w:p>
        </w:tc>
        <w:tc>
          <w:tcPr>
            <w:tcW w:w="461" w:type="pct"/>
            <w:vMerge/>
            <w:tcBorders>
              <w:left w:val="nil"/>
              <w:right w:val="nil"/>
            </w:tcBorders>
            <w:shd w:val="clear" w:color="auto" w:fill="auto"/>
            <w:noWrap/>
            <w:vAlign w:val="bottom"/>
            <w:hideMark/>
          </w:tcPr>
          <w:p w:rsidR="00200EFE" w:rsidRPr="00CB5D8B" w:rsidRDefault="00200EFE" w:rsidP="00F104E9">
            <w:pPr>
              <w:keepNext/>
              <w:keepLines/>
              <w:spacing w:after="0" w:line="240" w:lineRule="auto"/>
              <w:ind w:left="0"/>
              <w:rPr>
                <w:rFonts w:cs="Arial"/>
                <w:color w:val="000000"/>
                <w:sz w:val="16"/>
                <w:szCs w:val="16"/>
                <w:lang w:eastAsia="en-AU" w:bidi="ar-SA"/>
              </w:rPr>
            </w:pPr>
          </w:p>
        </w:tc>
        <w:tc>
          <w:tcPr>
            <w:tcW w:w="515" w:type="pct"/>
            <w:vMerge/>
            <w:tcBorders>
              <w:left w:val="nil"/>
              <w:right w:val="nil"/>
            </w:tcBorders>
            <w:shd w:val="clear" w:color="auto" w:fill="auto"/>
            <w:noWrap/>
            <w:vAlign w:val="bottom"/>
            <w:hideMark/>
          </w:tcPr>
          <w:p w:rsidR="00200EFE" w:rsidRPr="00CB5D8B" w:rsidRDefault="00200EFE" w:rsidP="00F104E9">
            <w:pPr>
              <w:keepNext/>
              <w:keepLines/>
              <w:spacing w:after="0" w:line="240" w:lineRule="auto"/>
              <w:ind w:left="0"/>
              <w:rPr>
                <w:rFonts w:cs="Arial"/>
                <w:color w:val="000000"/>
                <w:sz w:val="16"/>
                <w:szCs w:val="16"/>
                <w:lang w:eastAsia="en-AU" w:bidi="ar-SA"/>
              </w:rPr>
            </w:pPr>
          </w:p>
        </w:tc>
      </w:tr>
      <w:tr w:rsidR="00200EFE" w:rsidRPr="00CB5D8B" w:rsidTr="00AA664C">
        <w:trPr>
          <w:trHeight w:val="288"/>
          <w:jc w:val="right"/>
        </w:trPr>
        <w:tc>
          <w:tcPr>
            <w:tcW w:w="1014" w:type="pct"/>
            <w:tcBorders>
              <w:top w:val="nil"/>
              <w:left w:val="nil"/>
              <w:bottom w:val="single" w:sz="4" w:space="0" w:color="auto"/>
              <w:right w:val="nil"/>
            </w:tcBorders>
            <w:shd w:val="clear" w:color="auto" w:fill="auto"/>
            <w:noWrap/>
            <w:vAlign w:val="bottom"/>
            <w:hideMark/>
          </w:tcPr>
          <w:p w:rsidR="00200EFE" w:rsidRPr="00CB5D8B" w:rsidRDefault="00200EFE" w:rsidP="00F104E9">
            <w:pPr>
              <w:keepNext/>
              <w:keepLines/>
              <w:spacing w:after="0" w:line="240" w:lineRule="auto"/>
              <w:ind w:left="0"/>
              <w:rPr>
                <w:rFonts w:cs="Arial"/>
                <w:color w:val="000000"/>
                <w:sz w:val="16"/>
                <w:szCs w:val="16"/>
                <w:lang w:eastAsia="en-AU" w:bidi="ar-SA"/>
              </w:rPr>
            </w:pPr>
          </w:p>
        </w:tc>
        <w:tc>
          <w:tcPr>
            <w:tcW w:w="516" w:type="pct"/>
            <w:tcBorders>
              <w:top w:val="single" w:sz="4" w:space="0" w:color="auto"/>
              <w:left w:val="nil"/>
              <w:bottom w:val="single" w:sz="4" w:space="0" w:color="auto"/>
              <w:right w:val="nil"/>
            </w:tcBorders>
            <w:shd w:val="clear" w:color="auto" w:fill="auto"/>
            <w:noWrap/>
            <w:hideMark/>
          </w:tcPr>
          <w:p w:rsidR="00200EFE" w:rsidRPr="00CB5D8B" w:rsidRDefault="00200EF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NTER area</w:t>
            </w:r>
          </w:p>
        </w:tc>
        <w:tc>
          <w:tcPr>
            <w:tcW w:w="432" w:type="pct"/>
            <w:tcBorders>
              <w:top w:val="single" w:sz="4" w:space="0" w:color="auto"/>
              <w:left w:val="nil"/>
              <w:bottom w:val="single" w:sz="4" w:space="0" w:color="auto"/>
              <w:right w:val="nil"/>
            </w:tcBorders>
            <w:shd w:val="clear" w:color="auto" w:fill="auto"/>
            <w:noWrap/>
            <w:hideMark/>
          </w:tcPr>
          <w:p w:rsidR="00200EFE" w:rsidRPr="00CB5D8B" w:rsidRDefault="00200EF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Not NTER</w:t>
            </w:r>
          </w:p>
        </w:tc>
        <w:tc>
          <w:tcPr>
            <w:tcW w:w="144" w:type="pct"/>
            <w:tcBorders>
              <w:top w:val="nil"/>
              <w:left w:val="nil"/>
              <w:bottom w:val="single" w:sz="4" w:space="0" w:color="auto"/>
              <w:right w:val="nil"/>
            </w:tcBorders>
            <w:shd w:val="clear" w:color="auto" w:fill="auto"/>
            <w:noWrap/>
            <w:hideMark/>
          </w:tcPr>
          <w:p w:rsidR="00200EFE" w:rsidRPr="00CB5D8B" w:rsidRDefault="00200EFE" w:rsidP="00F104E9">
            <w:pPr>
              <w:keepNext/>
              <w:keepLines/>
              <w:spacing w:after="0" w:line="240" w:lineRule="auto"/>
              <w:ind w:left="0"/>
              <w:jc w:val="right"/>
              <w:rPr>
                <w:rFonts w:cs="Arial"/>
                <w:color w:val="000000"/>
                <w:sz w:val="16"/>
                <w:szCs w:val="16"/>
                <w:lang w:eastAsia="en-AU" w:bidi="ar-SA"/>
              </w:rPr>
            </w:pPr>
          </w:p>
        </w:tc>
        <w:tc>
          <w:tcPr>
            <w:tcW w:w="532" w:type="pct"/>
            <w:tcBorders>
              <w:top w:val="single" w:sz="4" w:space="0" w:color="auto"/>
              <w:left w:val="nil"/>
              <w:bottom w:val="single" w:sz="4" w:space="0" w:color="auto"/>
              <w:right w:val="nil"/>
            </w:tcBorders>
            <w:shd w:val="clear" w:color="auto" w:fill="auto"/>
            <w:noWrap/>
            <w:hideMark/>
          </w:tcPr>
          <w:p w:rsidR="00200EFE" w:rsidRPr="00CB5D8B" w:rsidRDefault="00200EF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NTER area</w:t>
            </w:r>
          </w:p>
        </w:tc>
        <w:tc>
          <w:tcPr>
            <w:tcW w:w="549" w:type="pct"/>
            <w:tcBorders>
              <w:top w:val="single" w:sz="4" w:space="0" w:color="auto"/>
              <w:left w:val="nil"/>
              <w:bottom w:val="single" w:sz="4" w:space="0" w:color="auto"/>
              <w:right w:val="nil"/>
            </w:tcBorders>
            <w:shd w:val="clear" w:color="auto" w:fill="auto"/>
            <w:noWrap/>
            <w:hideMark/>
          </w:tcPr>
          <w:p w:rsidR="00200EFE" w:rsidRPr="00CB5D8B" w:rsidRDefault="00200EF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Not NTER</w:t>
            </w:r>
          </w:p>
        </w:tc>
        <w:tc>
          <w:tcPr>
            <w:tcW w:w="173" w:type="pct"/>
            <w:tcBorders>
              <w:left w:val="nil"/>
              <w:bottom w:val="single" w:sz="4" w:space="0" w:color="auto"/>
              <w:right w:val="nil"/>
            </w:tcBorders>
          </w:tcPr>
          <w:p w:rsidR="00200EFE" w:rsidRPr="00CB5D8B" w:rsidRDefault="00200EFE" w:rsidP="00F104E9">
            <w:pPr>
              <w:keepNext/>
              <w:keepLines/>
              <w:spacing w:after="0" w:line="240" w:lineRule="auto"/>
              <w:ind w:left="0"/>
              <w:rPr>
                <w:rFonts w:cs="Arial"/>
                <w:color w:val="000000"/>
                <w:sz w:val="16"/>
                <w:szCs w:val="16"/>
                <w:lang w:eastAsia="en-AU" w:bidi="ar-SA"/>
              </w:rPr>
            </w:pPr>
          </w:p>
        </w:tc>
        <w:tc>
          <w:tcPr>
            <w:tcW w:w="520" w:type="pct"/>
            <w:vMerge/>
            <w:tcBorders>
              <w:left w:val="nil"/>
              <w:bottom w:val="single" w:sz="4" w:space="0" w:color="auto"/>
              <w:right w:val="nil"/>
            </w:tcBorders>
            <w:shd w:val="clear" w:color="auto" w:fill="auto"/>
            <w:vAlign w:val="center"/>
            <w:hideMark/>
          </w:tcPr>
          <w:p w:rsidR="00200EFE" w:rsidRPr="00CB5D8B" w:rsidRDefault="00200EFE" w:rsidP="00F104E9">
            <w:pPr>
              <w:keepNext/>
              <w:keepLines/>
              <w:spacing w:after="0" w:line="240" w:lineRule="auto"/>
              <w:ind w:left="0"/>
              <w:rPr>
                <w:rFonts w:cs="Arial"/>
                <w:color w:val="000000"/>
                <w:sz w:val="16"/>
                <w:szCs w:val="16"/>
                <w:lang w:eastAsia="en-AU" w:bidi="ar-SA"/>
              </w:rPr>
            </w:pPr>
          </w:p>
        </w:tc>
        <w:tc>
          <w:tcPr>
            <w:tcW w:w="144" w:type="pct"/>
            <w:tcBorders>
              <w:top w:val="nil"/>
              <w:left w:val="nil"/>
              <w:bottom w:val="single" w:sz="4" w:space="0" w:color="auto"/>
              <w:right w:val="nil"/>
            </w:tcBorders>
            <w:shd w:val="clear" w:color="auto" w:fill="auto"/>
            <w:noWrap/>
            <w:vAlign w:val="bottom"/>
            <w:hideMark/>
          </w:tcPr>
          <w:p w:rsidR="00200EFE" w:rsidRPr="00CB5D8B" w:rsidRDefault="00200EFE" w:rsidP="00F104E9">
            <w:pPr>
              <w:keepNext/>
              <w:keepLines/>
              <w:spacing w:after="0" w:line="240" w:lineRule="auto"/>
              <w:ind w:left="0"/>
              <w:rPr>
                <w:rFonts w:cs="Arial"/>
                <w:color w:val="000000"/>
                <w:sz w:val="16"/>
                <w:szCs w:val="16"/>
                <w:lang w:eastAsia="en-AU" w:bidi="ar-SA"/>
              </w:rPr>
            </w:pPr>
          </w:p>
        </w:tc>
        <w:tc>
          <w:tcPr>
            <w:tcW w:w="461" w:type="pct"/>
            <w:vMerge/>
            <w:tcBorders>
              <w:left w:val="nil"/>
              <w:bottom w:val="single" w:sz="4" w:space="0" w:color="auto"/>
              <w:right w:val="nil"/>
            </w:tcBorders>
            <w:shd w:val="clear" w:color="auto" w:fill="auto"/>
            <w:noWrap/>
            <w:vAlign w:val="bottom"/>
            <w:hideMark/>
          </w:tcPr>
          <w:p w:rsidR="00200EFE" w:rsidRPr="00CB5D8B" w:rsidRDefault="00200EFE" w:rsidP="00F104E9">
            <w:pPr>
              <w:keepNext/>
              <w:keepLines/>
              <w:spacing w:after="0" w:line="240" w:lineRule="auto"/>
              <w:ind w:left="0"/>
              <w:rPr>
                <w:rFonts w:cs="Arial"/>
                <w:color w:val="000000"/>
                <w:sz w:val="16"/>
                <w:szCs w:val="16"/>
                <w:lang w:eastAsia="en-AU" w:bidi="ar-SA"/>
              </w:rPr>
            </w:pPr>
          </w:p>
        </w:tc>
        <w:tc>
          <w:tcPr>
            <w:tcW w:w="515" w:type="pct"/>
            <w:vMerge/>
            <w:tcBorders>
              <w:left w:val="nil"/>
              <w:bottom w:val="single" w:sz="4" w:space="0" w:color="auto"/>
              <w:right w:val="nil"/>
            </w:tcBorders>
            <w:shd w:val="clear" w:color="auto" w:fill="auto"/>
            <w:noWrap/>
            <w:vAlign w:val="bottom"/>
            <w:hideMark/>
          </w:tcPr>
          <w:p w:rsidR="00200EFE" w:rsidRPr="00CB5D8B" w:rsidRDefault="00200EFE" w:rsidP="00F104E9">
            <w:pPr>
              <w:keepNext/>
              <w:keepLines/>
              <w:spacing w:after="0" w:line="240" w:lineRule="auto"/>
              <w:ind w:left="0"/>
              <w:rPr>
                <w:rFonts w:cs="Arial"/>
                <w:color w:val="000000"/>
                <w:sz w:val="16"/>
                <w:szCs w:val="16"/>
                <w:lang w:eastAsia="en-AU" w:bidi="ar-SA"/>
              </w:rPr>
            </w:pPr>
          </w:p>
        </w:tc>
      </w:tr>
      <w:tr w:rsidR="00200EFE" w:rsidRPr="00CB5D8B" w:rsidTr="00AA664C">
        <w:trPr>
          <w:trHeight w:val="288"/>
          <w:jc w:val="right"/>
        </w:trPr>
        <w:tc>
          <w:tcPr>
            <w:tcW w:w="5000" w:type="pct"/>
            <w:gridSpan w:val="11"/>
            <w:tcBorders>
              <w:top w:val="single" w:sz="4" w:space="0" w:color="auto"/>
              <w:left w:val="nil"/>
              <w:right w:val="nil"/>
            </w:tcBorders>
            <w:vAlign w:val="center"/>
          </w:tcPr>
          <w:p w:rsidR="00200EFE" w:rsidRPr="00CB5D8B" w:rsidRDefault="00200EFE" w:rsidP="00200EFE">
            <w:pPr>
              <w:keepNext/>
              <w:keepLines/>
              <w:spacing w:after="0" w:line="240" w:lineRule="auto"/>
              <w:ind w:left="0"/>
              <w:jc w:val="center"/>
              <w:rPr>
                <w:rFonts w:cs="Arial"/>
                <w:i/>
                <w:color w:val="000000"/>
                <w:sz w:val="16"/>
                <w:szCs w:val="16"/>
                <w:lang w:eastAsia="en-AU" w:bidi="ar-SA"/>
              </w:rPr>
            </w:pPr>
            <w:r w:rsidRPr="00CB5D8B">
              <w:rPr>
                <w:rFonts w:cs="Arial"/>
                <w:i/>
                <w:color w:val="000000"/>
                <w:sz w:val="16"/>
                <w:szCs w:val="16"/>
                <w:lang w:eastAsia="en-AU" w:bidi="ar-SA"/>
              </w:rPr>
              <w:t>- % -</w:t>
            </w:r>
          </w:p>
        </w:tc>
      </w:tr>
      <w:tr w:rsidR="00897C1E" w:rsidRPr="00CB5D8B" w:rsidTr="00AA664C">
        <w:trPr>
          <w:trHeight w:val="288"/>
          <w:jc w:val="right"/>
        </w:trPr>
        <w:tc>
          <w:tcPr>
            <w:tcW w:w="5000" w:type="pct"/>
            <w:gridSpan w:val="11"/>
            <w:tcBorders>
              <w:left w:val="nil"/>
              <w:bottom w:val="nil"/>
              <w:right w:val="nil"/>
            </w:tcBorders>
            <w:vAlign w:val="center"/>
          </w:tcPr>
          <w:p w:rsidR="00897C1E" w:rsidRPr="00CB5D8B" w:rsidRDefault="00897C1E" w:rsidP="00F104E9">
            <w:pPr>
              <w:keepNext/>
              <w:keepLines/>
              <w:spacing w:after="0" w:line="240" w:lineRule="auto"/>
              <w:ind w:left="0"/>
              <w:jc w:val="left"/>
              <w:rPr>
                <w:rFonts w:cs="Arial"/>
                <w:i/>
                <w:color w:val="000000"/>
                <w:sz w:val="16"/>
                <w:szCs w:val="16"/>
                <w:lang w:eastAsia="en-AU" w:bidi="ar-SA"/>
              </w:rPr>
            </w:pPr>
            <w:r w:rsidRPr="00CB5D8B">
              <w:rPr>
                <w:rFonts w:cs="Arial"/>
                <w:i/>
                <w:color w:val="000000"/>
                <w:sz w:val="16"/>
                <w:szCs w:val="16"/>
                <w:lang w:eastAsia="en-AU" w:bidi="ar-SA"/>
              </w:rPr>
              <w:t>Managing your money</w:t>
            </w:r>
          </w:p>
        </w:tc>
      </w:tr>
      <w:tr w:rsidR="00897C1E" w:rsidRPr="00CB5D8B" w:rsidTr="00AA664C">
        <w:trPr>
          <w:trHeight w:val="288"/>
          <w:jc w:val="right"/>
        </w:trPr>
        <w:tc>
          <w:tcPr>
            <w:tcW w:w="1014"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left"/>
              <w:rPr>
                <w:rFonts w:cs="Arial"/>
                <w:color w:val="000000"/>
                <w:sz w:val="16"/>
                <w:szCs w:val="16"/>
                <w:lang w:eastAsia="en-AU" w:bidi="ar-SA"/>
              </w:rPr>
            </w:pPr>
            <w:r w:rsidRPr="00CB5D8B">
              <w:rPr>
                <w:rFonts w:cs="Arial"/>
                <w:color w:val="000000"/>
                <w:sz w:val="16"/>
                <w:szCs w:val="16"/>
                <w:lang w:eastAsia="en-AU" w:bidi="ar-SA"/>
              </w:rPr>
              <w:t>Easier</w:t>
            </w:r>
          </w:p>
        </w:tc>
        <w:tc>
          <w:tcPr>
            <w:tcW w:w="516"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50.2</w:t>
            </w:r>
          </w:p>
        </w:tc>
        <w:tc>
          <w:tcPr>
            <w:tcW w:w="432"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23.9</w:t>
            </w:r>
          </w:p>
        </w:tc>
        <w:tc>
          <w:tcPr>
            <w:tcW w:w="144"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32"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50.8</w:t>
            </w:r>
          </w:p>
        </w:tc>
        <w:tc>
          <w:tcPr>
            <w:tcW w:w="549"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37.0</w:t>
            </w:r>
          </w:p>
        </w:tc>
        <w:tc>
          <w:tcPr>
            <w:tcW w:w="173" w:type="pct"/>
            <w:tcBorders>
              <w:top w:val="nil"/>
              <w:left w:val="nil"/>
              <w:bottom w:val="nil"/>
              <w:right w:val="nil"/>
            </w:tcBorders>
            <w:vAlign w:val="center"/>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20"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24.0</w:t>
            </w:r>
          </w:p>
        </w:tc>
        <w:tc>
          <w:tcPr>
            <w:tcW w:w="144"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461"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19.7</w:t>
            </w:r>
          </w:p>
        </w:tc>
        <w:tc>
          <w:tcPr>
            <w:tcW w:w="515"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1.9</w:t>
            </w:r>
          </w:p>
        </w:tc>
      </w:tr>
      <w:tr w:rsidR="00897C1E" w:rsidRPr="00CB5D8B" w:rsidTr="00AA664C">
        <w:trPr>
          <w:trHeight w:val="288"/>
          <w:jc w:val="right"/>
        </w:trPr>
        <w:tc>
          <w:tcPr>
            <w:tcW w:w="1014"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left"/>
              <w:rPr>
                <w:rFonts w:cs="Arial"/>
                <w:color w:val="000000"/>
                <w:sz w:val="16"/>
                <w:szCs w:val="16"/>
                <w:lang w:eastAsia="en-AU" w:bidi="ar-SA"/>
              </w:rPr>
            </w:pPr>
            <w:r w:rsidRPr="00CB5D8B">
              <w:rPr>
                <w:rFonts w:cs="Arial"/>
                <w:color w:val="000000"/>
                <w:sz w:val="16"/>
                <w:szCs w:val="16"/>
                <w:lang w:eastAsia="en-AU" w:bidi="ar-SA"/>
              </w:rPr>
              <w:t>About the same</w:t>
            </w:r>
          </w:p>
        </w:tc>
        <w:tc>
          <w:tcPr>
            <w:tcW w:w="516"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37.1</w:t>
            </w:r>
          </w:p>
        </w:tc>
        <w:tc>
          <w:tcPr>
            <w:tcW w:w="432"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40.5</w:t>
            </w:r>
          </w:p>
        </w:tc>
        <w:tc>
          <w:tcPr>
            <w:tcW w:w="144"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32"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43.2</w:t>
            </w:r>
          </w:p>
        </w:tc>
        <w:tc>
          <w:tcPr>
            <w:tcW w:w="549"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48.1</w:t>
            </w:r>
          </w:p>
        </w:tc>
        <w:tc>
          <w:tcPr>
            <w:tcW w:w="173" w:type="pct"/>
            <w:tcBorders>
              <w:top w:val="nil"/>
              <w:left w:val="nil"/>
              <w:bottom w:val="nil"/>
              <w:right w:val="nil"/>
            </w:tcBorders>
            <w:vAlign w:val="center"/>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20"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23.0</w:t>
            </w:r>
          </w:p>
        </w:tc>
        <w:tc>
          <w:tcPr>
            <w:tcW w:w="144"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461"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68.5</w:t>
            </w:r>
          </w:p>
        </w:tc>
        <w:tc>
          <w:tcPr>
            <w:tcW w:w="515"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84.0</w:t>
            </w:r>
          </w:p>
        </w:tc>
      </w:tr>
      <w:tr w:rsidR="00897C1E" w:rsidRPr="00CB5D8B" w:rsidTr="00AA664C">
        <w:trPr>
          <w:trHeight w:val="288"/>
          <w:jc w:val="right"/>
        </w:trPr>
        <w:tc>
          <w:tcPr>
            <w:tcW w:w="1014"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left"/>
              <w:rPr>
                <w:rFonts w:cs="Arial"/>
                <w:color w:val="000000"/>
                <w:sz w:val="16"/>
                <w:szCs w:val="16"/>
                <w:lang w:eastAsia="en-AU" w:bidi="ar-SA"/>
              </w:rPr>
            </w:pPr>
            <w:r w:rsidRPr="00CB5D8B">
              <w:rPr>
                <w:rFonts w:cs="Arial"/>
                <w:color w:val="000000"/>
                <w:sz w:val="16"/>
                <w:szCs w:val="16"/>
                <w:lang w:eastAsia="en-AU" w:bidi="ar-SA"/>
              </w:rPr>
              <w:t xml:space="preserve">Harder </w:t>
            </w:r>
          </w:p>
        </w:tc>
        <w:tc>
          <w:tcPr>
            <w:tcW w:w="516"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12.7</w:t>
            </w:r>
          </w:p>
        </w:tc>
        <w:tc>
          <w:tcPr>
            <w:tcW w:w="432"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35.6</w:t>
            </w:r>
          </w:p>
        </w:tc>
        <w:tc>
          <w:tcPr>
            <w:tcW w:w="144"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32"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5.9</w:t>
            </w:r>
          </w:p>
        </w:tc>
        <w:tc>
          <w:tcPr>
            <w:tcW w:w="549"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14.8</w:t>
            </w:r>
          </w:p>
        </w:tc>
        <w:tc>
          <w:tcPr>
            <w:tcW w:w="173" w:type="pct"/>
            <w:tcBorders>
              <w:top w:val="nil"/>
              <w:left w:val="nil"/>
              <w:bottom w:val="single" w:sz="4" w:space="0" w:color="auto"/>
              <w:right w:val="nil"/>
            </w:tcBorders>
            <w:vAlign w:val="center"/>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20"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53.0</w:t>
            </w:r>
          </w:p>
        </w:tc>
        <w:tc>
          <w:tcPr>
            <w:tcW w:w="144"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461"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11.8</w:t>
            </w:r>
          </w:p>
        </w:tc>
        <w:tc>
          <w:tcPr>
            <w:tcW w:w="515"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14.2</w:t>
            </w:r>
          </w:p>
        </w:tc>
      </w:tr>
      <w:tr w:rsidR="00897C1E" w:rsidRPr="00CB5D8B" w:rsidTr="00AA664C">
        <w:trPr>
          <w:trHeight w:val="288"/>
          <w:jc w:val="right"/>
        </w:trPr>
        <w:tc>
          <w:tcPr>
            <w:tcW w:w="1014" w:type="pct"/>
            <w:tcBorders>
              <w:top w:val="single" w:sz="4" w:space="0" w:color="auto"/>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left"/>
              <w:rPr>
                <w:rFonts w:cs="Arial"/>
                <w:i/>
                <w:color w:val="000000"/>
                <w:sz w:val="16"/>
                <w:szCs w:val="16"/>
                <w:lang w:eastAsia="en-AU" w:bidi="ar-SA"/>
              </w:rPr>
            </w:pPr>
            <w:r w:rsidRPr="00CB5D8B">
              <w:rPr>
                <w:rFonts w:cs="Arial"/>
                <w:i/>
                <w:color w:val="000000"/>
                <w:sz w:val="16"/>
                <w:szCs w:val="16"/>
                <w:lang w:eastAsia="en-AU" w:bidi="ar-SA"/>
              </w:rPr>
              <w:t>Saving Money</w:t>
            </w:r>
          </w:p>
        </w:tc>
        <w:tc>
          <w:tcPr>
            <w:tcW w:w="516" w:type="pct"/>
            <w:tcBorders>
              <w:top w:val="single" w:sz="4" w:space="0" w:color="auto"/>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i/>
                <w:color w:val="000000"/>
                <w:sz w:val="16"/>
                <w:szCs w:val="16"/>
                <w:lang w:eastAsia="en-AU" w:bidi="ar-SA"/>
              </w:rPr>
            </w:pPr>
          </w:p>
        </w:tc>
        <w:tc>
          <w:tcPr>
            <w:tcW w:w="432" w:type="pct"/>
            <w:tcBorders>
              <w:top w:val="single" w:sz="4" w:space="0" w:color="auto"/>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i/>
                <w:color w:val="000000"/>
                <w:sz w:val="16"/>
                <w:szCs w:val="16"/>
                <w:lang w:eastAsia="en-AU" w:bidi="ar-SA"/>
              </w:rPr>
            </w:pPr>
          </w:p>
        </w:tc>
        <w:tc>
          <w:tcPr>
            <w:tcW w:w="144" w:type="pct"/>
            <w:tcBorders>
              <w:top w:val="single" w:sz="4" w:space="0" w:color="auto"/>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i/>
                <w:color w:val="000000"/>
                <w:sz w:val="16"/>
                <w:szCs w:val="16"/>
                <w:lang w:eastAsia="en-AU" w:bidi="ar-SA"/>
              </w:rPr>
            </w:pPr>
          </w:p>
        </w:tc>
        <w:tc>
          <w:tcPr>
            <w:tcW w:w="532" w:type="pct"/>
            <w:tcBorders>
              <w:top w:val="single" w:sz="4" w:space="0" w:color="auto"/>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i/>
                <w:color w:val="000000"/>
                <w:sz w:val="16"/>
                <w:szCs w:val="16"/>
                <w:lang w:eastAsia="en-AU" w:bidi="ar-SA"/>
              </w:rPr>
            </w:pPr>
          </w:p>
        </w:tc>
        <w:tc>
          <w:tcPr>
            <w:tcW w:w="549" w:type="pct"/>
            <w:tcBorders>
              <w:top w:val="single" w:sz="4" w:space="0" w:color="auto"/>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i/>
                <w:color w:val="000000"/>
                <w:sz w:val="16"/>
                <w:szCs w:val="16"/>
                <w:lang w:eastAsia="en-AU" w:bidi="ar-SA"/>
              </w:rPr>
            </w:pPr>
          </w:p>
        </w:tc>
        <w:tc>
          <w:tcPr>
            <w:tcW w:w="173" w:type="pct"/>
            <w:tcBorders>
              <w:top w:val="single" w:sz="4" w:space="0" w:color="auto"/>
              <w:left w:val="nil"/>
              <w:bottom w:val="nil"/>
              <w:right w:val="nil"/>
            </w:tcBorders>
            <w:vAlign w:val="center"/>
          </w:tcPr>
          <w:p w:rsidR="00897C1E" w:rsidRPr="00CB5D8B" w:rsidRDefault="00897C1E" w:rsidP="00F104E9">
            <w:pPr>
              <w:keepNext/>
              <w:keepLines/>
              <w:spacing w:after="0" w:line="240" w:lineRule="auto"/>
              <w:ind w:left="0"/>
              <w:jc w:val="right"/>
              <w:rPr>
                <w:rFonts w:cs="Arial"/>
                <w:i/>
                <w:color w:val="000000"/>
                <w:sz w:val="16"/>
                <w:szCs w:val="16"/>
                <w:lang w:eastAsia="en-AU" w:bidi="ar-SA"/>
              </w:rPr>
            </w:pPr>
          </w:p>
        </w:tc>
        <w:tc>
          <w:tcPr>
            <w:tcW w:w="520" w:type="pct"/>
            <w:tcBorders>
              <w:top w:val="single" w:sz="4" w:space="0" w:color="auto"/>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i/>
                <w:color w:val="000000"/>
                <w:sz w:val="16"/>
                <w:szCs w:val="16"/>
                <w:lang w:eastAsia="en-AU" w:bidi="ar-SA"/>
              </w:rPr>
            </w:pPr>
          </w:p>
        </w:tc>
        <w:tc>
          <w:tcPr>
            <w:tcW w:w="144" w:type="pct"/>
            <w:tcBorders>
              <w:top w:val="single" w:sz="4" w:space="0" w:color="auto"/>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i/>
                <w:color w:val="000000"/>
                <w:sz w:val="16"/>
                <w:szCs w:val="16"/>
                <w:lang w:eastAsia="en-AU" w:bidi="ar-SA"/>
              </w:rPr>
            </w:pPr>
          </w:p>
        </w:tc>
        <w:tc>
          <w:tcPr>
            <w:tcW w:w="461" w:type="pct"/>
            <w:tcBorders>
              <w:top w:val="single" w:sz="4" w:space="0" w:color="auto"/>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i/>
                <w:color w:val="000000"/>
                <w:sz w:val="16"/>
                <w:szCs w:val="16"/>
                <w:lang w:eastAsia="en-AU" w:bidi="ar-SA"/>
              </w:rPr>
            </w:pPr>
          </w:p>
        </w:tc>
        <w:tc>
          <w:tcPr>
            <w:tcW w:w="515" w:type="pct"/>
            <w:tcBorders>
              <w:top w:val="single" w:sz="4" w:space="0" w:color="auto"/>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i/>
                <w:color w:val="000000"/>
                <w:sz w:val="16"/>
                <w:szCs w:val="16"/>
                <w:lang w:eastAsia="en-AU" w:bidi="ar-SA"/>
              </w:rPr>
            </w:pPr>
          </w:p>
        </w:tc>
      </w:tr>
      <w:tr w:rsidR="00897C1E" w:rsidRPr="00CB5D8B" w:rsidTr="00AA664C">
        <w:trPr>
          <w:trHeight w:val="288"/>
          <w:jc w:val="right"/>
        </w:trPr>
        <w:tc>
          <w:tcPr>
            <w:tcW w:w="1014"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left"/>
              <w:rPr>
                <w:rFonts w:cs="Arial"/>
                <w:color w:val="000000"/>
                <w:sz w:val="16"/>
                <w:szCs w:val="16"/>
                <w:lang w:eastAsia="en-AU" w:bidi="ar-SA"/>
              </w:rPr>
            </w:pPr>
            <w:r w:rsidRPr="00CB5D8B">
              <w:rPr>
                <w:rFonts w:cs="Arial"/>
                <w:color w:val="000000"/>
                <w:sz w:val="16"/>
                <w:szCs w:val="16"/>
                <w:lang w:eastAsia="en-AU" w:bidi="ar-SA"/>
              </w:rPr>
              <w:t>Easier</w:t>
            </w:r>
          </w:p>
        </w:tc>
        <w:tc>
          <w:tcPr>
            <w:tcW w:w="516"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46.8</w:t>
            </w:r>
          </w:p>
        </w:tc>
        <w:tc>
          <w:tcPr>
            <w:tcW w:w="432"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18.1</w:t>
            </w:r>
          </w:p>
        </w:tc>
        <w:tc>
          <w:tcPr>
            <w:tcW w:w="144"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32"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46.6</w:t>
            </w:r>
          </w:p>
        </w:tc>
        <w:tc>
          <w:tcPr>
            <w:tcW w:w="549"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46.4</w:t>
            </w:r>
          </w:p>
        </w:tc>
        <w:tc>
          <w:tcPr>
            <w:tcW w:w="173" w:type="pct"/>
            <w:tcBorders>
              <w:top w:val="nil"/>
              <w:left w:val="nil"/>
              <w:bottom w:val="nil"/>
              <w:right w:val="nil"/>
            </w:tcBorders>
            <w:vAlign w:val="center"/>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20"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12.5</w:t>
            </w:r>
          </w:p>
        </w:tc>
        <w:tc>
          <w:tcPr>
            <w:tcW w:w="144"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461"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18.6</w:t>
            </w:r>
          </w:p>
        </w:tc>
        <w:tc>
          <w:tcPr>
            <w:tcW w:w="515"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1.9</w:t>
            </w:r>
          </w:p>
        </w:tc>
      </w:tr>
      <w:tr w:rsidR="00897C1E" w:rsidRPr="00CB5D8B" w:rsidTr="00AA664C">
        <w:trPr>
          <w:trHeight w:val="288"/>
          <w:jc w:val="right"/>
        </w:trPr>
        <w:tc>
          <w:tcPr>
            <w:tcW w:w="1014"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left"/>
              <w:rPr>
                <w:rFonts w:cs="Arial"/>
                <w:color w:val="000000"/>
                <w:sz w:val="16"/>
                <w:szCs w:val="16"/>
                <w:lang w:eastAsia="en-AU" w:bidi="ar-SA"/>
              </w:rPr>
            </w:pPr>
            <w:r w:rsidRPr="00CB5D8B">
              <w:rPr>
                <w:rFonts w:cs="Arial"/>
                <w:color w:val="000000"/>
                <w:sz w:val="16"/>
                <w:szCs w:val="16"/>
                <w:lang w:eastAsia="en-AU" w:bidi="ar-SA"/>
              </w:rPr>
              <w:t>About the same</w:t>
            </w:r>
          </w:p>
        </w:tc>
        <w:tc>
          <w:tcPr>
            <w:tcW w:w="516"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37.0</w:t>
            </w:r>
          </w:p>
        </w:tc>
        <w:tc>
          <w:tcPr>
            <w:tcW w:w="432"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40.4</w:t>
            </w:r>
          </w:p>
        </w:tc>
        <w:tc>
          <w:tcPr>
            <w:tcW w:w="144"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32"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42.4</w:t>
            </w:r>
          </w:p>
        </w:tc>
        <w:tc>
          <w:tcPr>
            <w:tcW w:w="549"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35.7</w:t>
            </w:r>
          </w:p>
        </w:tc>
        <w:tc>
          <w:tcPr>
            <w:tcW w:w="173" w:type="pct"/>
            <w:tcBorders>
              <w:top w:val="nil"/>
              <w:left w:val="nil"/>
              <w:bottom w:val="nil"/>
              <w:right w:val="nil"/>
            </w:tcBorders>
            <w:vAlign w:val="center"/>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20"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27.3</w:t>
            </w:r>
          </w:p>
        </w:tc>
        <w:tc>
          <w:tcPr>
            <w:tcW w:w="144"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461"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59.0</w:t>
            </w:r>
          </w:p>
        </w:tc>
        <w:tc>
          <w:tcPr>
            <w:tcW w:w="515"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76.4</w:t>
            </w:r>
          </w:p>
        </w:tc>
      </w:tr>
      <w:tr w:rsidR="00897C1E" w:rsidRPr="00CB5D8B" w:rsidTr="00AA664C">
        <w:trPr>
          <w:trHeight w:val="288"/>
          <w:jc w:val="right"/>
        </w:trPr>
        <w:tc>
          <w:tcPr>
            <w:tcW w:w="1014"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left"/>
              <w:rPr>
                <w:rFonts w:cs="Arial"/>
                <w:color w:val="000000"/>
                <w:sz w:val="16"/>
                <w:szCs w:val="16"/>
                <w:lang w:eastAsia="en-AU" w:bidi="ar-SA"/>
              </w:rPr>
            </w:pPr>
            <w:r w:rsidRPr="00CB5D8B">
              <w:rPr>
                <w:rFonts w:cs="Arial"/>
                <w:color w:val="000000"/>
                <w:sz w:val="16"/>
                <w:szCs w:val="16"/>
                <w:lang w:eastAsia="en-AU" w:bidi="ar-SA"/>
              </w:rPr>
              <w:t xml:space="preserve">Harder </w:t>
            </w:r>
          </w:p>
        </w:tc>
        <w:tc>
          <w:tcPr>
            <w:tcW w:w="516"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16.2</w:t>
            </w:r>
          </w:p>
        </w:tc>
        <w:tc>
          <w:tcPr>
            <w:tcW w:w="432"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41.6</w:t>
            </w:r>
          </w:p>
        </w:tc>
        <w:tc>
          <w:tcPr>
            <w:tcW w:w="144"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32"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11.0</w:t>
            </w:r>
          </w:p>
        </w:tc>
        <w:tc>
          <w:tcPr>
            <w:tcW w:w="549"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17.9</w:t>
            </w:r>
          </w:p>
        </w:tc>
        <w:tc>
          <w:tcPr>
            <w:tcW w:w="173" w:type="pct"/>
            <w:tcBorders>
              <w:top w:val="nil"/>
              <w:left w:val="nil"/>
              <w:bottom w:val="single" w:sz="4" w:space="0" w:color="auto"/>
              <w:right w:val="nil"/>
            </w:tcBorders>
            <w:vAlign w:val="center"/>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20"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60.2</w:t>
            </w:r>
          </w:p>
        </w:tc>
        <w:tc>
          <w:tcPr>
            <w:tcW w:w="144"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461"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22.3</w:t>
            </w:r>
          </w:p>
        </w:tc>
        <w:tc>
          <w:tcPr>
            <w:tcW w:w="515"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21.7</w:t>
            </w:r>
          </w:p>
        </w:tc>
      </w:tr>
      <w:tr w:rsidR="00897C1E" w:rsidRPr="00CB5D8B" w:rsidTr="00AA664C">
        <w:trPr>
          <w:trHeight w:val="288"/>
          <w:jc w:val="right"/>
        </w:trPr>
        <w:tc>
          <w:tcPr>
            <w:tcW w:w="5000" w:type="pct"/>
            <w:gridSpan w:val="11"/>
            <w:tcBorders>
              <w:top w:val="single" w:sz="4" w:space="0" w:color="auto"/>
              <w:left w:val="nil"/>
              <w:bottom w:val="nil"/>
              <w:right w:val="nil"/>
            </w:tcBorders>
            <w:vAlign w:val="center"/>
          </w:tcPr>
          <w:p w:rsidR="00897C1E" w:rsidRPr="00CB5D8B" w:rsidRDefault="00897C1E" w:rsidP="00F104E9">
            <w:pPr>
              <w:keepNext/>
              <w:keepLines/>
              <w:spacing w:after="0" w:line="240" w:lineRule="auto"/>
              <w:ind w:left="0"/>
              <w:jc w:val="left"/>
              <w:rPr>
                <w:rFonts w:cs="Arial"/>
                <w:i/>
                <w:color w:val="000000"/>
                <w:sz w:val="16"/>
                <w:szCs w:val="16"/>
                <w:lang w:eastAsia="en-AU" w:bidi="ar-SA"/>
              </w:rPr>
            </w:pPr>
            <w:r w:rsidRPr="00CB5D8B">
              <w:rPr>
                <w:rFonts w:cs="Arial"/>
                <w:i/>
                <w:color w:val="000000"/>
                <w:sz w:val="16"/>
                <w:szCs w:val="16"/>
                <w:lang w:eastAsia="en-AU" w:bidi="ar-SA"/>
              </w:rPr>
              <w:t>Enough money for food</w:t>
            </w:r>
          </w:p>
        </w:tc>
      </w:tr>
      <w:tr w:rsidR="00897C1E" w:rsidRPr="00CB5D8B" w:rsidTr="00AA664C">
        <w:trPr>
          <w:trHeight w:val="288"/>
          <w:jc w:val="right"/>
        </w:trPr>
        <w:tc>
          <w:tcPr>
            <w:tcW w:w="1014"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left"/>
              <w:rPr>
                <w:rFonts w:cs="Arial"/>
                <w:color w:val="000000"/>
                <w:sz w:val="16"/>
                <w:szCs w:val="16"/>
                <w:lang w:eastAsia="en-AU" w:bidi="ar-SA"/>
              </w:rPr>
            </w:pPr>
            <w:r w:rsidRPr="00CB5D8B">
              <w:rPr>
                <w:rFonts w:cs="Arial"/>
                <w:color w:val="000000"/>
                <w:sz w:val="16"/>
                <w:szCs w:val="16"/>
                <w:lang w:eastAsia="en-AU" w:bidi="ar-SA"/>
              </w:rPr>
              <w:t>Easier</w:t>
            </w:r>
          </w:p>
        </w:tc>
        <w:tc>
          <w:tcPr>
            <w:tcW w:w="516"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51.9</w:t>
            </w:r>
          </w:p>
        </w:tc>
        <w:tc>
          <w:tcPr>
            <w:tcW w:w="432"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41.1</w:t>
            </w:r>
          </w:p>
        </w:tc>
        <w:tc>
          <w:tcPr>
            <w:tcW w:w="144"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32"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52.8</w:t>
            </w:r>
          </w:p>
        </w:tc>
        <w:tc>
          <w:tcPr>
            <w:tcW w:w="549"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53.3</w:t>
            </w:r>
          </w:p>
        </w:tc>
        <w:tc>
          <w:tcPr>
            <w:tcW w:w="173" w:type="pct"/>
            <w:tcBorders>
              <w:top w:val="nil"/>
              <w:left w:val="nil"/>
              <w:bottom w:val="nil"/>
              <w:right w:val="nil"/>
            </w:tcBorders>
            <w:vAlign w:val="center"/>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20"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29.3</w:t>
            </w:r>
          </w:p>
        </w:tc>
        <w:tc>
          <w:tcPr>
            <w:tcW w:w="144"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461"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22.2</w:t>
            </w:r>
          </w:p>
        </w:tc>
        <w:tc>
          <w:tcPr>
            <w:tcW w:w="515"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1.9</w:t>
            </w:r>
          </w:p>
        </w:tc>
      </w:tr>
      <w:tr w:rsidR="00897C1E" w:rsidRPr="00CB5D8B" w:rsidTr="00AA664C">
        <w:trPr>
          <w:trHeight w:val="288"/>
          <w:jc w:val="right"/>
        </w:trPr>
        <w:tc>
          <w:tcPr>
            <w:tcW w:w="1014"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left"/>
              <w:rPr>
                <w:rFonts w:cs="Arial"/>
                <w:color w:val="000000"/>
                <w:sz w:val="16"/>
                <w:szCs w:val="16"/>
                <w:lang w:eastAsia="en-AU" w:bidi="ar-SA"/>
              </w:rPr>
            </w:pPr>
            <w:r w:rsidRPr="00CB5D8B">
              <w:rPr>
                <w:rFonts w:cs="Arial"/>
                <w:color w:val="000000"/>
                <w:sz w:val="16"/>
                <w:szCs w:val="16"/>
                <w:lang w:eastAsia="en-AU" w:bidi="ar-SA"/>
              </w:rPr>
              <w:t>About the same</w:t>
            </w:r>
          </w:p>
        </w:tc>
        <w:tc>
          <w:tcPr>
            <w:tcW w:w="516"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40.2</w:t>
            </w:r>
          </w:p>
        </w:tc>
        <w:tc>
          <w:tcPr>
            <w:tcW w:w="432"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45.2</w:t>
            </w:r>
          </w:p>
        </w:tc>
        <w:tc>
          <w:tcPr>
            <w:tcW w:w="144"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32"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42.4</w:t>
            </w:r>
          </w:p>
        </w:tc>
        <w:tc>
          <w:tcPr>
            <w:tcW w:w="549"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40.0</w:t>
            </w:r>
          </w:p>
        </w:tc>
        <w:tc>
          <w:tcPr>
            <w:tcW w:w="173" w:type="pct"/>
            <w:tcBorders>
              <w:top w:val="nil"/>
              <w:left w:val="nil"/>
              <w:bottom w:val="nil"/>
              <w:right w:val="nil"/>
            </w:tcBorders>
            <w:vAlign w:val="center"/>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20"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47.5</w:t>
            </w:r>
          </w:p>
        </w:tc>
        <w:tc>
          <w:tcPr>
            <w:tcW w:w="144"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461"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61.3</w:t>
            </w:r>
          </w:p>
        </w:tc>
        <w:tc>
          <w:tcPr>
            <w:tcW w:w="515"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84.9</w:t>
            </w:r>
          </w:p>
        </w:tc>
      </w:tr>
      <w:tr w:rsidR="00897C1E" w:rsidRPr="00CB5D8B" w:rsidTr="00AA664C">
        <w:trPr>
          <w:trHeight w:val="288"/>
          <w:jc w:val="right"/>
        </w:trPr>
        <w:tc>
          <w:tcPr>
            <w:tcW w:w="1014"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left"/>
              <w:rPr>
                <w:rFonts w:cs="Arial"/>
                <w:color w:val="000000"/>
                <w:sz w:val="16"/>
                <w:szCs w:val="16"/>
                <w:lang w:eastAsia="en-AU" w:bidi="ar-SA"/>
              </w:rPr>
            </w:pPr>
            <w:r w:rsidRPr="00CB5D8B">
              <w:rPr>
                <w:rFonts w:cs="Arial"/>
                <w:color w:val="000000"/>
                <w:sz w:val="16"/>
                <w:szCs w:val="16"/>
                <w:lang w:eastAsia="en-AU" w:bidi="ar-SA"/>
              </w:rPr>
              <w:t xml:space="preserve">Harder </w:t>
            </w:r>
          </w:p>
        </w:tc>
        <w:tc>
          <w:tcPr>
            <w:tcW w:w="516"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7.9</w:t>
            </w:r>
          </w:p>
        </w:tc>
        <w:tc>
          <w:tcPr>
            <w:tcW w:w="432"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13.7</w:t>
            </w:r>
          </w:p>
        </w:tc>
        <w:tc>
          <w:tcPr>
            <w:tcW w:w="144"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32"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4.8</w:t>
            </w:r>
          </w:p>
        </w:tc>
        <w:tc>
          <w:tcPr>
            <w:tcW w:w="549"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6.7</w:t>
            </w:r>
          </w:p>
        </w:tc>
        <w:tc>
          <w:tcPr>
            <w:tcW w:w="173" w:type="pct"/>
            <w:tcBorders>
              <w:top w:val="nil"/>
              <w:left w:val="nil"/>
              <w:bottom w:val="single" w:sz="4" w:space="0" w:color="auto"/>
              <w:right w:val="nil"/>
            </w:tcBorders>
            <w:vAlign w:val="center"/>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20"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23.2</w:t>
            </w:r>
          </w:p>
        </w:tc>
        <w:tc>
          <w:tcPr>
            <w:tcW w:w="144"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461"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16.5</w:t>
            </w:r>
          </w:p>
        </w:tc>
        <w:tc>
          <w:tcPr>
            <w:tcW w:w="515"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13.2</w:t>
            </w:r>
          </w:p>
        </w:tc>
      </w:tr>
      <w:tr w:rsidR="00897C1E" w:rsidRPr="00CB5D8B" w:rsidTr="00AA664C">
        <w:trPr>
          <w:trHeight w:val="288"/>
          <w:jc w:val="right"/>
        </w:trPr>
        <w:tc>
          <w:tcPr>
            <w:tcW w:w="1962" w:type="pct"/>
            <w:gridSpan w:val="3"/>
            <w:tcBorders>
              <w:top w:val="single" w:sz="4" w:space="0" w:color="auto"/>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left"/>
              <w:rPr>
                <w:rFonts w:cs="Arial"/>
                <w:i/>
                <w:color w:val="000000"/>
                <w:sz w:val="16"/>
                <w:szCs w:val="16"/>
                <w:lang w:eastAsia="en-AU" w:bidi="ar-SA"/>
              </w:rPr>
            </w:pPr>
            <w:r w:rsidRPr="00CB5D8B">
              <w:rPr>
                <w:rFonts w:cs="Arial"/>
                <w:i/>
                <w:color w:val="000000"/>
                <w:sz w:val="16"/>
                <w:szCs w:val="16"/>
                <w:lang w:eastAsia="en-AU" w:bidi="ar-SA"/>
              </w:rPr>
              <w:t>Knowing how much money you have</w:t>
            </w:r>
          </w:p>
        </w:tc>
        <w:tc>
          <w:tcPr>
            <w:tcW w:w="144" w:type="pct"/>
            <w:tcBorders>
              <w:top w:val="single" w:sz="4" w:space="0" w:color="auto"/>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i/>
                <w:color w:val="000000"/>
                <w:sz w:val="16"/>
                <w:szCs w:val="16"/>
                <w:lang w:eastAsia="en-AU" w:bidi="ar-SA"/>
              </w:rPr>
            </w:pPr>
          </w:p>
        </w:tc>
        <w:tc>
          <w:tcPr>
            <w:tcW w:w="532" w:type="pct"/>
            <w:tcBorders>
              <w:top w:val="single" w:sz="4" w:space="0" w:color="auto"/>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i/>
                <w:color w:val="000000"/>
                <w:sz w:val="16"/>
                <w:szCs w:val="16"/>
                <w:lang w:eastAsia="en-AU" w:bidi="ar-SA"/>
              </w:rPr>
            </w:pPr>
          </w:p>
        </w:tc>
        <w:tc>
          <w:tcPr>
            <w:tcW w:w="549" w:type="pct"/>
            <w:tcBorders>
              <w:top w:val="single" w:sz="4" w:space="0" w:color="auto"/>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i/>
                <w:color w:val="000000"/>
                <w:sz w:val="16"/>
                <w:szCs w:val="16"/>
                <w:lang w:eastAsia="en-AU" w:bidi="ar-SA"/>
              </w:rPr>
            </w:pPr>
          </w:p>
        </w:tc>
        <w:tc>
          <w:tcPr>
            <w:tcW w:w="173" w:type="pct"/>
            <w:tcBorders>
              <w:top w:val="single" w:sz="4" w:space="0" w:color="auto"/>
              <w:left w:val="nil"/>
              <w:bottom w:val="nil"/>
              <w:right w:val="nil"/>
            </w:tcBorders>
            <w:vAlign w:val="center"/>
          </w:tcPr>
          <w:p w:rsidR="00897C1E" w:rsidRPr="00CB5D8B" w:rsidRDefault="00897C1E" w:rsidP="00F104E9">
            <w:pPr>
              <w:keepNext/>
              <w:keepLines/>
              <w:spacing w:after="0" w:line="240" w:lineRule="auto"/>
              <w:ind w:left="0"/>
              <w:jc w:val="right"/>
              <w:rPr>
                <w:rFonts w:cs="Arial"/>
                <w:i/>
                <w:color w:val="000000"/>
                <w:sz w:val="16"/>
                <w:szCs w:val="16"/>
                <w:lang w:eastAsia="en-AU" w:bidi="ar-SA"/>
              </w:rPr>
            </w:pPr>
          </w:p>
        </w:tc>
        <w:tc>
          <w:tcPr>
            <w:tcW w:w="520" w:type="pct"/>
            <w:tcBorders>
              <w:top w:val="single" w:sz="4" w:space="0" w:color="auto"/>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i/>
                <w:color w:val="000000"/>
                <w:sz w:val="16"/>
                <w:szCs w:val="16"/>
                <w:lang w:eastAsia="en-AU" w:bidi="ar-SA"/>
              </w:rPr>
            </w:pPr>
          </w:p>
        </w:tc>
        <w:tc>
          <w:tcPr>
            <w:tcW w:w="144" w:type="pct"/>
            <w:tcBorders>
              <w:top w:val="single" w:sz="4" w:space="0" w:color="auto"/>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i/>
                <w:color w:val="000000"/>
                <w:sz w:val="16"/>
                <w:szCs w:val="16"/>
                <w:lang w:eastAsia="en-AU" w:bidi="ar-SA"/>
              </w:rPr>
            </w:pPr>
          </w:p>
        </w:tc>
        <w:tc>
          <w:tcPr>
            <w:tcW w:w="461" w:type="pct"/>
            <w:tcBorders>
              <w:top w:val="single" w:sz="4" w:space="0" w:color="auto"/>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i/>
                <w:color w:val="000000"/>
                <w:sz w:val="16"/>
                <w:szCs w:val="16"/>
                <w:lang w:eastAsia="en-AU" w:bidi="ar-SA"/>
              </w:rPr>
            </w:pPr>
          </w:p>
        </w:tc>
        <w:tc>
          <w:tcPr>
            <w:tcW w:w="515" w:type="pct"/>
            <w:tcBorders>
              <w:top w:val="single" w:sz="4" w:space="0" w:color="auto"/>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i/>
                <w:color w:val="000000"/>
                <w:sz w:val="16"/>
                <w:szCs w:val="16"/>
                <w:lang w:eastAsia="en-AU" w:bidi="ar-SA"/>
              </w:rPr>
            </w:pPr>
          </w:p>
        </w:tc>
      </w:tr>
      <w:tr w:rsidR="00897C1E" w:rsidRPr="00CB5D8B" w:rsidTr="00AA664C">
        <w:trPr>
          <w:trHeight w:val="288"/>
          <w:jc w:val="right"/>
        </w:trPr>
        <w:tc>
          <w:tcPr>
            <w:tcW w:w="1014"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left"/>
              <w:rPr>
                <w:rFonts w:cs="Arial"/>
                <w:color w:val="000000"/>
                <w:sz w:val="16"/>
                <w:szCs w:val="16"/>
                <w:lang w:eastAsia="en-AU" w:bidi="ar-SA"/>
              </w:rPr>
            </w:pPr>
            <w:r w:rsidRPr="00CB5D8B">
              <w:rPr>
                <w:rFonts w:cs="Arial"/>
                <w:color w:val="000000"/>
                <w:sz w:val="16"/>
                <w:szCs w:val="16"/>
                <w:lang w:eastAsia="en-AU" w:bidi="ar-SA"/>
              </w:rPr>
              <w:t>Easier</w:t>
            </w:r>
          </w:p>
        </w:tc>
        <w:tc>
          <w:tcPr>
            <w:tcW w:w="516"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60.7</w:t>
            </w:r>
          </w:p>
        </w:tc>
        <w:tc>
          <w:tcPr>
            <w:tcW w:w="432"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31.1</w:t>
            </w:r>
          </w:p>
        </w:tc>
        <w:tc>
          <w:tcPr>
            <w:tcW w:w="144"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32"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53.4</w:t>
            </w:r>
          </w:p>
        </w:tc>
        <w:tc>
          <w:tcPr>
            <w:tcW w:w="549"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50.0</w:t>
            </w:r>
          </w:p>
        </w:tc>
        <w:tc>
          <w:tcPr>
            <w:tcW w:w="173" w:type="pct"/>
            <w:tcBorders>
              <w:top w:val="nil"/>
              <w:left w:val="nil"/>
              <w:bottom w:val="nil"/>
              <w:right w:val="nil"/>
            </w:tcBorders>
            <w:vAlign w:val="center"/>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20"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21.4</w:t>
            </w:r>
          </w:p>
        </w:tc>
        <w:tc>
          <w:tcPr>
            <w:tcW w:w="144"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461"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22.7</w:t>
            </w:r>
          </w:p>
        </w:tc>
        <w:tc>
          <w:tcPr>
            <w:tcW w:w="515"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1.9</w:t>
            </w:r>
          </w:p>
        </w:tc>
      </w:tr>
      <w:tr w:rsidR="00897C1E" w:rsidRPr="00CB5D8B" w:rsidTr="00AA664C">
        <w:trPr>
          <w:trHeight w:val="288"/>
          <w:jc w:val="right"/>
        </w:trPr>
        <w:tc>
          <w:tcPr>
            <w:tcW w:w="1014"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left"/>
              <w:rPr>
                <w:rFonts w:cs="Arial"/>
                <w:color w:val="000000"/>
                <w:sz w:val="16"/>
                <w:szCs w:val="16"/>
                <w:lang w:eastAsia="en-AU" w:bidi="ar-SA"/>
              </w:rPr>
            </w:pPr>
            <w:r w:rsidRPr="00CB5D8B">
              <w:rPr>
                <w:rFonts w:cs="Arial"/>
                <w:color w:val="000000"/>
                <w:sz w:val="16"/>
                <w:szCs w:val="16"/>
                <w:lang w:eastAsia="en-AU" w:bidi="ar-SA"/>
              </w:rPr>
              <w:t>About the same</w:t>
            </w:r>
          </w:p>
        </w:tc>
        <w:tc>
          <w:tcPr>
            <w:tcW w:w="516"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28.6</w:t>
            </w:r>
          </w:p>
        </w:tc>
        <w:tc>
          <w:tcPr>
            <w:tcW w:w="432"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40.1</w:t>
            </w:r>
          </w:p>
        </w:tc>
        <w:tc>
          <w:tcPr>
            <w:tcW w:w="144"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32"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38.8</w:t>
            </w:r>
          </w:p>
        </w:tc>
        <w:tc>
          <w:tcPr>
            <w:tcW w:w="549"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33.3</w:t>
            </w:r>
          </w:p>
        </w:tc>
        <w:tc>
          <w:tcPr>
            <w:tcW w:w="173" w:type="pct"/>
            <w:tcBorders>
              <w:top w:val="nil"/>
              <w:left w:val="nil"/>
              <w:bottom w:val="nil"/>
              <w:right w:val="nil"/>
            </w:tcBorders>
            <w:vAlign w:val="center"/>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20"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27.5</w:t>
            </w:r>
          </w:p>
        </w:tc>
        <w:tc>
          <w:tcPr>
            <w:tcW w:w="144"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461"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62.7</w:t>
            </w:r>
          </w:p>
        </w:tc>
        <w:tc>
          <w:tcPr>
            <w:tcW w:w="515"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86.8</w:t>
            </w:r>
          </w:p>
        </w:tc>
      </w:tr>
      <w:tr w:rsidR="00897C1E" w:rsidRPr="00CB5D8B" w:rsidTr="00AA664C">
        <w:trPr>
          <w:trHeight w:val="288"/>
          <w:jc w:val="right"/>
        </w:trPr>
        <w:tc>
          <w:tcPr>
            <w:tcW w:w="1014"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left"/>
              <w:rPr>
                <w:rFonts w:cs="Arial"/>
                <w:color w:val="000000"/>
                <w:sz w:val="16"/>
                <w:szCs w:val="16"/>
                <w:lang w:eastAsia="en-AU" w:bidi="ar-SA"/>
              </w:rPr>
            </w:pPr>
            <w:r w:rsidRPr="00CB5D8B">
              <w:rPr>
                <w:rFonts w:cs="Arial"/>
                <w:color w:val="000000"/>
                <w:sz w:val="16"/>
                <w:szCs w:val="16"/>
                <w:lang w:eastAsia="en-AU" w:bidi="ar-SA"/>
              </w:rPr>
              <w:t xml:space="preserve">Harder </w:t>
            </w:r>
          </w:p>
        </w:tc>
        <w:tc>
          <w:tcPr>
            <w:tcW w:w="516"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10.7</w:t>
            </w:r>
          </w:p>
        </w:tc>
        <w:tc>
          <w:tcPr>
            <w:tcW w:w="432"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28.7</w:t>
            </w:r>
          </w:p>
        </w:tc>
        <w:tc>
          <w:tcPr>
            <w:tcW w:w="144"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32"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7.8</w:t>
            </w:r>
          </w:p>
        </w:tc>
        <w:tc>
          <w:tcPr>
            <w:tcW w:w="549"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16.7</w:t>
            </w:r>
          </w:p>
        </w:tc>
        <w:tc>
          <w:tcPr>
            <w:tcW w:w="173" w:type="pct"/>
            <w:tcBorders>
              <w:top w:val="nil"/>
              <w:left w:val="nil"/>
              <w:bottom w:val="single" w:sz="4" w:space="0" w:color="auto"/>
              <w:right w:val="nil"/>
            </w:tcBorders>
            <w:vAlign w:val="center"/>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20"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51.1</w:t>
            </w:r>
          </w:p>
        </w:tc>
        <w:tc>
          <w:tcPr>
            <w:tcW w:w="144"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461"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14.6</w:t>
            </w:r>
          </w:p>
        </w:tc>
        <w:tc>
          <w:tcPr>
            <w:tcW w:w="515"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11.3</w:t>
            </w:r>
          </w:p>
        </w:tc>
      </w:tr>
      <w:tr w:rsidR="00897C1E" w:rsidRPr="00CB5D8B" w:rsidTr="00AA664C">
        <w:trPr>
          <w:trHeight w:val="288"/>
          <w:jc w:val="right"/>
        </w:trPr>
        <w:tc>
          <w:tcPr>
            <w:tcW w:w="5000" w:type="pct"/>
            <w:gridSpan w:val="11"/>
            <w:tcBorders>
              <w:top w:val="single" w:sz="4" w:space="0" w:color="auto"/>
              <w:left w:val="nil"/>
              <w:bottom w:val="nil"/>
            </w:tcBorders>
            <w:vAlign w:val="center"/>
          </w:tcPr>
          <w:p w:rsidR="00897C1E" w:rsidRPr="00CB5D8B" w:rsidRDefault="00897C1E" w:rsidP="00F104E9">
            <w:pPr>
              <w:keepNext/>
              <w:keepLines/>
              <w:spacing w:after="0" w:line="240" w:lineRule="auto"/>
              <w:ind w:left="0"/>
              <w:jc w:val="left"/>
              <w:rPr>
                <w:rFonts w:cs="Arial"/>
                <w:i/>
                <w:color w:val="000000"/>
                <w:sz w:val="16"/>
                <w:szCs w:val="16"/>
                <w:lang w:eastAsia="en-AU" w:bidi="ar-SA"/>
              </w:rPr>
            </w:pPr>
            <w:r w:rsidRPr="00CB5D8B">
              <w:rPr>
                <w:rFonts w:cs="Arial"/>
                <w:i/>
                <w:color w:val="000000"/>
                <w:sz w:val="16"/>
                <w:szCs w:val="16"/>
                <w:lang w:eastAsia="en-AU" w:bidi="ar-SA"/>
              </w:rPr>
              <w:t>Looking after family obligations</w:t>
            </w:r>
          </w:p>
        </w:tc>
      </w:tr>
      <w:tr w:rsidR="00897C1E" w:rsidRPr="00CB5D8B" w:rsidTr="00AA664C">
        <w:trPr>
          <w:trHeight w:val="288"/>
          <w:jc w:val="right"/>
        </w:trPr>
        <w:tc>
          <w:tcPr>
            <w:tcW w:w="1014"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left"/>
              <w:rPr>
                <w:rFonts w:cs="Arial"/>
                <w:color w:val="000000"/>
                <w:sz w:val="16"/>
                <w:szCs w:val="16"/>
                <w:lang w:eastAsia="en-AU" w:bidi="ar-SA"/>
              </w:rPr>
            </w:pPr>
            <w:r w:rsidRPr="00CB5D8B">
              <w:rPr>
                <w:rFonts w:cs="Arial"/>
                <w:color w:val="000000"/>
                <w:sz w:val="16"/>
                <w:szCs w:val="16"/>
                <w:lang w:eastAsia="en-AU" w:bidi="ar-SA"/>
              </w:rPr>
              <w:t>Easier</w:t>
            </w:r>
          </w:p>
        </w:tc>
        <w:tc>
          <w:tcPr>
            <w:tcW w:w="516"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56.8</w:t>
            </w:r>
          </w:p>
        </w:tc>
        <w:tc>
          <w:tcPr>
            <w:tcW w:w="432"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28.1</w:t>
            </w:r>
          </w:p>
        </w:tc>
        <w:tc>
          <w:tcPr>
            <w:tcW w:w="144"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32"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52.1</w:t>
            </w:r>
          </w:p>
        </w:tc>
        <w:tc>
          <w:tcPr>
            <w:tcW w:w="549"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44.8</w:t>
            </w:r>
          </w:p>
        </w:tc>
        <w:tc>
          <w:tcPr>
            <w:tcW w:w="173" w:type="pct"/>
            <w:tcBorders>
              <w:top w:val="nil"/>
              <w:left w:val="nil"/>
              <w:bottom w:val="nil"/>
              <w:right w:val="nil"/>
            </w:tcBorders>
            <w:vAlign w:val="center"/>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20"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18.3</w:t>
            </w:r>
          </w:p>
        </w:tc>
        <w:tc>
          <w:tcPr>
            <w:tcW w:w="144"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461"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21.8</w:t>
            </w:r>
          </w:p>
        </w:tc>
        <w:tc>
          <w:tcPr>
            <w:tcW w:w="515"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2.8</w:t>
            </w:r>
          </w:p>
        </w:tc>
      </w:tr>
      <w:tr w:rsidR="00897C1E" w:rsidRPr="00CB5D8B" w:rsidTr="00AA664C">
        <w:trPr>
          <w:trHeight w:val="288"/>
          <w:jc w:val="right"/>
        </w:trPr>
        <w:tc>
          <w:tcPr>
            <w:tcW w:w="1014"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left"/>
              <w:rPr>
                <w:rFonts w:cs="Arial"/>
                <w:color w:val="000000"/>
                <w:sz w:val="16"/>
                <w:szCs w:val="16"/>
                <w:lang w:eastAsia="en-AU" w:bidi="ar-SA"/>
              </w:rPr>
            </w:pPr>
            <w:r w:rsidRPr="00CB5D8B">
              <w:rPr>
                <w:rFonts w:cs="Arial"/>
                <w:color w:val="000000"/>
                <w:sz w:val="16"/>
                <w:szCs w:val="16"/>
                <w:lang w:eastAsia="en-AU" w:bidi="ar-SA"/>
              </w:rPr>
              <w:t>About the same</w:t>
            </w:r>
          </w:p>
        </w:tc>
        <w:tc>
          <w:tcPr>
            <w:tcW w:w="516"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31.6</w:t>
            </w:r>
          </w:p>
        </w:tc>
        <w:tc>
          <w:tcPr>
            <w:tcW w:w="432"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44.9</w:t>
            </w:r>
          </w:p>
        </w:tc>
        <w:tc>
          <w:tcPr>
            <w:tcW w:w="144"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32"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38.7</w:t>
            </w:r>
          </w:p>
        </w:tc>
        <w:tc>
          <w:tcPr>
            <w:tcW w:w="549"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41.4</w:t>
            </w:r>
          </w:p>
        </w:tc>
        <w:tc>
          <w:tcPr>
            <w:tcW w:w="173" w:type="pct"/>
            <w:tcBorders>
              <w:top w:val="nil"/>
              <w:left w:val="nil"/>
              <w:bottom w:val="nil"/>
              <w:right w:val="nil"/>
            </w:tcBorders>
            <w:vAlign w:val="center"/>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20"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45.1</w:t>
            </w:r>
          </w:p>
        </w:tc>
        <w:tc>
          <w:tcPr>
            <w:tcW w:w="144"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461"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64.2</w:t>
            </w:r>
          </w:p>
        </w:tc>
        <w:tc>
          <w:tcPr>
            <w:tcW w:w="515" w:type="pct"/>
            <w:tcBorders>
              <w:top w:val="nil"/>
              <w:left w:val="nil"/>
              <w:bottom w:val="nil"/>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83.0</w:t>
            </w:r>
          </w:p>
        </w:tc>
      </w:tr>
      <w:tr w:rsidR="00897C1E" w:rsidRPr="00CB5D8B" w:rsidTr="00AA664C">
        <w:trPr>
          <w:trHeight w:val="288"/>
          <w:jc w:val="right"/>
        </w:trPr>
        <w:tc>
          <w:tcPr>
            <w:tcW w:w="1014"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left"/>
              <w:rPr>
                <w:rFonts w:cs="Arial"/>
                <w:color w:val="000000"/>
                <w:sz w:val="16"/>
                <w:szCs w:val="16"/>
                <w:lang w:eastAsia="en-AU" w:bidi="ar-SA"/>
              </w:rPr>
            </w:pPr>
            <w:r w:rsidRPr="00CB5D8B">
              <w:rPr>
                <w:rFonts w:cs="Arial"/>
                <w:color w:val="000000"/>
                <w:sz w:val="16"/>
                <w:szCs w:val="16"/>
                <w:lang w:eastAsia="en-AU" w:bidi="ar-SA"/>
              </w:rPr>
              <w:t xml:space="preserve">Harder </w:t>
            </w:r>
          </w:p>
        </w:tc>
        <w:tc>
          <w:tcPr>
            <w:tcW w:w="516"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11.5</w:t>
            </w:r>
          </w:p>
        </w:tc>
        <w:tc>
          <w:tcPr>
            <w:tcW w:w="432"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26.9</w:t>
            </w:r>
          </w:p>
        </w:tc>
        <w:tc>
          <w:tcPr>
            <w:tcW w:w="144"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32"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9.2</w:t>
            </w:r>
          </w:p>
        </w:tc>
        <w:tc>
          <w:tcPr>
            <w:tcW w:w="549"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13.8</w:t>
            </w:r>
          </w:p>
        </w:tc>
        <w:tc>
          <w:tcPr>
            <w:tcW w:w="173" w:type="pct"/>
            <w:tcBorders>
              <w:top w:val="nil"/>
              <w:left w:val="nil"/>
              <w:bottom w:val="single" w:sz="4" w:space="0" w:color="auto"/>
              <w:right w:val="nil"/>
            </w:tcBorders>
            <w:vAlign w:val="center"/>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20"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36.6</w:t>
            </w:r>
          </w:p>
        </w:tc>
        <w:tc>
          <w:tcPr>
            <w:tcW w:w="144"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461"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14.0</w:t>
            </w:r>
          </w:p>
        </w:tc>
        <w:tc>
          <w:tcPr>
            <w:tcW w:w="515" w:type="pct"/>
            <w:tcBorders>
              <w:top w:val="nil"/>
              <w:left w:val="nil"/>
              <w:bottom w:val="single" w:sz="4" w:space="0" w:color="auto"/>
              <w:right w:val="nil"/>
            </w:tcBorders>
            <w:shd w:val="clear" w:color="auto" w:fill="auto"/>
            <w:noWrap/>
            <w:vAlign w:val="center"/>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14.2</w:t>
            </w:r>
          </w:p>
        </w:tc>
      </w:tr>
      <w:tr w:rsidR="00897C1E" w:rsidRPr="00CB5D8B" w:rsidTr="00AA664C">
        <w:trPr>
          <w:trHeight w:val="288"/>
          <w:jc w:val="right"/>
        </w:trPr>
        <w:tc>
          <w:tcPr>
            <w:tcW w:w="1014" w:type="pct"/>
            <w:tcBorders>
              <w:top w:val="single" w:sz="4" w:space="0" w:color="auto"/>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Number of survey participants</w:t>
            </w:r>
          </w:p>
        </w:tc>
        <w:tc>
          <w:tcPr>
            <w:tcW w:w="516" w:type="pct"/>
            <w:tcBorders>
              <w:top w:val="single" w:sz="4" w:space="0" w:color="auto"/>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244</w:t>
            </w:r>
          </w:p>
        </w:tc>
        <w:tc>
          <w:tcPr>
            <w:tcW w:w="432" w:type="pct"/>
            <w:tcBorders>
              <w:top w:val="single" w:sz="4" w:space="0" w:color="auto"/>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168</w:t>
            </w:r>
          </w:p>
        </w:tc>
        <w:tc>
          <w:tcPr>
            <w:tcW w:w="144" w:type="pct"/>
            <w:tcBorders>
              <w:top w:val="single" w:sz="4" w:space="0" w:color="auto"/>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p>
        </w:tc>
        <w:tc>
          <w:tcPr>
            <w:tcW w:w="532" w:type="pct"/>
            <w:tcBorders>
              <w:top w:val="single" w:sz="4" w:space="0" w:color="auto"/>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128</w:t>
            </w:r>
          </w:p>
        </w:tc>
        <w:tc>
          <w:tcPr>
            <w:tcW w:w="549" w:type="pct"/>
            <w:tcBorders>
              <w:top w:val="single" w:sz="4" w:space="0" w:color="auto"/>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33</w:t>
            </w:r>
          </w:p>
        </w:tc>
        <w:tc>
          <w:tcPr>
            <w:tcW w:w="173" w:type="pct"/>
            <w:tcBorders>
              <w:top w:val="single" w:sz="4" w:space="0" w:color="auto"/>
              <w:left w:val="nil"/>
              <w:bottom w:val="single" w:sz="4" w:space="0" w:color="auto"/>
              <w:right w:val="nil"/>
            </w:tcBorders>
          </w:tcPr>
          <w:p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20" w:type="pct"/>
            <w:tcBorders>
              <w:top w:val="single" w:sz="4" w:space="0" w:color="auto"/>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184</w:t>
            </w:r>
          </w:p>
        </w:tc>
        <w:tc>
          <w:tcPr>
            <w:tcW w:w="144" w:type="pct"/>
            <w:tcBorders>
              <w:top w:val="single" w:sz="4" w:space="0" w:color="auto"/>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xml:space="preserve"> </w:t>
            </w:r>
          </w:p>
        </w:tc>
        <w:tc>
          <w:tcPr>
            <w:tcW w:w="461" w:type="pct"/>
            <w:tcBorders>
              <w:top w:val="single" w:sz="4" w:space="0" w:color="auto"/>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199</w:t>
            </w:r>
          </w:p>
        </w:tc>
        <w:tc>
          <w:tcPr>
            <w:tcW w:w="515" w:type="pct"/>
            <w:tcBorders>
              <w:top w:val="single" w:sz="4" w:space="0" w:color="auto"/>
              <w:left w:val="nil"/>
              <w:bottom w:val="single" w:sz="4" w:space="0" w:color="auto"/>
              <w:right w:val="nil"/>
            </w:tcBorders>
            <w:shd w:val="clear" w:color="auto" w:fill="auto"/>
            <w:noWrap/>
            <w:vAlign w:val="bottom"/>
            <w:hideMark/>
          </w:tcPr>
          <w:p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106</w:t>
            </w:r>
          </w:p>
        </w:tc>
      </w:tr>
    </w:tbl>
    <w:p w:rsidR="00897C1E" w:rsidRPr="005911E2" w:rsidRDefault="00897C1E" w:rsidP="00CB5D8B">
      <w:pPr>
        <w:pStyle w:val="tablefootnoteslastline"/>
      </w:pPr>
      <w:r w:rsidRPr="005911E2">
        <w:t xml:space="preserve">Source: </w:t>
      </w:r>
      <w:r w:rsidR="00FF16A3">
        <w:tab/>
      </w:r>
      <w:r w:rsidRPr="005911E2">
        <w:t>LSNIM, Wave 1.</w:t>
      </w:r>
    </w:p>
    <w:p w:rsidR="00897C1E" w:rsidRPr="005911E2" w:rsidRDefault="00897C1E" w:rsidP="00CB5D8B">
      <w:pPr>
        <w:pStyle w:val="tablefootnoteslastline"/>
      </w:pPr>
    </w:p>
    <w:p w:rsidR="00897C1E" w:rsidRPr="005911E2" w:rsidRDefault="00897C1E" w:rsidP="00897C1E">
      <w:pPr>
        <w:pStyle w:val="BodyText"/>
      </w:pPr>
      <w:r w:rsidRPr="005911E2">
        <w:t xml:space="preserve">For Indigenous people on </w:t>
      </w:r>
      <w:r w:rsidR="00F878E4">
        <w:t>income management</w:t>
      </w:r>
      <w:r w:rsidRPr="005911E2">
        <w:t xml:space="preserve"> </w:t>
      </w:r>
      <w:r w:rsidR="00F6093D">
        <w:t>t</w:t>
      </w:r>
      <w:r w:rsidRPr="005911E2">
        <w:t>here is a clear tendency for the perceived change to be substantially larger than their reported actual change in the outcome. For example, while as shown in</w:t>
      </w:r>
      <w:r w:rsidR="00EB0967" w:rsidRPr="005911E2">
        <w:t xml:space="preserve"> </w:t>
      </w:r>
      <w:r w:rsidR="006F14AA" w:rsidRPr="005911E2">
        <w:t xml:space="preserve">Table </w:t>
      </w:r>
      <w:r w:rsidR="006F14AA" w:rsidRPr="005911E2">
        <w:rPr>
          <w:noProof/>
        </w:rPr>
        <w:t>10</w:t>
      </w:r>
      <w:r w:rsidR="006F14AA" w:rsidRPr="005911E2">
        <w:noBreakHyphen/>
      </w:r>
      <w:r w:rsidR="006F14AA" w:rsidRPr="005911E2">
        <w:rPr>
          <w:noProof/>
        </w:rPr>
        <w:t>7</w:t>
      </w:r>
      <w:r w:rsidRPr="005911E2">
        <w:t xml:space="preserve">, for Indigenous </w:t>
      </w:r>
      <w:r w:rsidR="00F6093D">
        <w:t xml:space="preserve">people </w:t>
      </w:r>
      <w:r w:rsidRPr="005911E2">
        <w:t xml:space="preserve">on </w:t>
      </w:r>
      <w:r w:rsidR="00F6093D">
        <w:t>c</w:t>
      </w:r>
      <w:r w:rsidR="004808B3">
        <w:t xml:space="preserve">ompulsory </w:t>
      </w:r>
      <w:r w:rsidR="00F6093D">
        <w:t xml:space="preserve">measures </w:t>
      </w:r>
      <w:r w:rsidRPr="005911E2">
        <w:t>in NTER areas</w:t>
      </w:r>
      <w:r w:rsidR="00F6093D">
        <w:t>,</w:t>
      </w:r>
      <w:r w:rsidRPr="005911E2">
        <w:t xml:space="preserve"> there w</w:t>
      </w:r>
      <w:r w:rsidR="00751204">
        <w:t>as a net improvement of some 44 </w:t>
      </w:r>
      <w:r w:rsidRPr="005911E2">
        <w:t>percentage points (52 per cent fi</w:t>
      </w:r>
      <w:r w:rsidR="00751204">
        <w:t>nding it easier compared with 8 </w:t>
      </w:r>
      <w:r w:rsidRPr="005911E2">
        <w:t>per cent finding it harder)</w:t>
      </w:r>
      <w:r w:rsidR="00F6093D">
        <w:t>;</w:t>
      </w:r>
      <w:r w:rsidRPr="005911E2">
        <w:t xml:space="preserve"> in </w:t>
      </w:r>
      <w:r w:rsidR="006F14AA" w:rsidRPr="005911E2">
        <w:t xml:space="preserve">Table </w:t>
      </w:r>
      <w:r w:rsidR="006F14AA" w:rsidRPr="005911E2">
        <w:rPr>
          <w:noProof/>
        </w:rPr>
        <w:t>10</w:t>
      </w:r>
      <w:r w:rsidR="006F14AA" w:rsidRPr="005911E2">
        <w:noBreakHyphen/>
      </w:r>
      <w:r w:rsidR="006F14AA" w:rsidRPr="005911E2">
        <w:rPr>
          <w:noProof/>
        </w:rPr>
        <w:t>5</w:t>
      </w:r>
      <w:r w:rsidR="00EB0967" w:rsidRPr="005911E2">
        <w:t xml:space="preserve"> </w:t>
      </w:r>
      <w:r w:rsidR="00751204">
        <w:t>this group only reports an 8 </w:t>
      </w:r>
      <w:r w:rsidRPr="005911E2">
        <w:t>percentage point gain in the number of survey participants indicating that they did not run out of money for food. This is plotted in the chart as a ring for the perceived change at 44 percentage point gain and the solid circle at 8 reflecting the actual change.</w:t>
      </w:r>
    </w:p>
    <w:p w:rsidR="00897C1E" w:rsidRPr="005911E2" w:rsidRDefault="00897C1E" w:rsidP="00897C1E">
      <w:pPr>
        <w:pStyle w:val="tabfighead"/>
      </w:pPr>
      <w:bookmarkStart w:id="1023" w:name="_Ref323941372"/>
      <w:bookmarkStart w:id="1024" w:name="_Toc322470951"/>
      <w:bookmarkStart w:id="1025" w:name="_Toc328601667"/>
      <w:bookmarkStart w:id="1026" w:name="_Toc335915933"/>
      <w:r w:rsidRPr="005911E2">
        <w:t xml:space="preserve">Figure </w:t>
      </w:r>
      <w:r w:rsidR="00C7347D">
        <w:fldChar w:fldCharType="begin"/>
      </w:r>
      <w:r w:rsidR="00E74851">
        <w:instrText xml:space="preserve"> STYLEREF 1 \s </w:instrText>
      </w:r>
      <w:r w:rsidR="00C7347D">
        <w:fldChar w:fldCharType="separate"/>
      </w:r>
      <w:r w:rsidR="007D7E45">
        <w:rPr>
          <w:noProof/>
        </w:rPr>
        <w:t>10</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1</w:t>
      </w:r>
      <w:r w:rsidR="00C7347D">
        <w:fldChar w:fldCharType="end"/>
      </w:r>
      <w:bookmarkEnd w:id="1023"/>
      <w:r w:rsidRPr="005911E2">
        <w:tab/>
      </w:r>
      <w:r w:rsidR="00423C90" w:rsidRPr="00423C90">
        <w:t>LSNIM Northern Territory and contrast sites</w:t>
      </w:r>
      <w:r w:rsidR="00423C90">
        <w:t>, p</w:t>
      </w:r>
      <w:r w:rsidRPr="005911E2">
        <w:t>erceived and reported changes in ability to have enough money for food</w:t>
      </w:r>
      <w:bookmarkEnd w:id="1024"/>
      <w:bookmarkEnd w:id="1025"/>
      <w:bookmarkEnd w:id="1026"/>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10-1 LSNIM Northern Territory and contrast sites, perceived and reported changes in ability to have enough money for food"/>
        <w:tblDescription w:val="Figure 10-1 LSNIM Northern Territory and contrast sites, perceived and reported changes in ability to have enough money for food"/>
      </w:tblPr>
      <w:tblGrid>
        <w:gridCol w:w="8703"/>
      </w:tblGrid>
      <w:tr w:rsidR="00897C1E" w:rsidRPr="005911E2" w:rsidTr="009D15E2">
        <w:trPr>
          <w:tblHeader/>
        </w:trPr>
        <w:tc>
          <w:tcPr>
            <w:tcW w:w="8703" w:type="dxa"/>
          </w:tcPr>
          <w:p w:rsidR="00897C1E" w:rsidRPr="005911E2" w:rsidRDefault="00BF0F6E" w:rsidP="00AA664C">
            <w:pPr>
              <w:pStyle w:val="BodyText"/>
              <w:ind w:left="-250" w:firstLine="250"/>
            </w:pPr>
            <w:r>
              <w:rPr>
                <w:noProof/>
                <w:lang w:bidi="ar-SA"/>
              </w:rPr>
              <w:drawing>
                <wp:inline distT="0" distB="0" distL="0" distR="0" wp14:anchorId="55953EC2" wp14:editId="59957D67">
                  <wp:extent cx="5574457" cy="3744592"/>
                  <wp:effectExtent l="0" t="0" r="0" b="8890"/>
                  <wp:docPr id="37" name="Picture 36" descr="Figure 10-1 LSNIM Northern Territory and contrast sites, perceived and reported changes in ability to have enough money for food" title="Figure 10-1 LSNIM Northern Territory and contrast sites, perceived and reported changes in ability to have enough money for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perceived and actual change.emf"/>
                          <pic:cNvPicPr/>
                        </pic:nvPicPr>
                        <pic:blipFill>
                          <a:blip r:embed="rId49"/>
                          <a:stretch>
                            <a:fillRect/>
                          </a:stretch>
                        </pic:blipFill>
                        <pic:spPr>
                          <a:xfrm>
                            <a:off x="0" y="0"/>
                            <a:ext cx="5574457" cy="3744592"/>
                          </a:xfrm>
                          <a:prstGeom prst="rect">
                            <a:avLst/>
                          </a:prstGeom>
                        </pic:spPr>
                      </pic:pic>
                    </a:graphicData>
                  </a:graphic>
                </wp:inline>
              </w:drawing>
            </w:r>
          </w:p>
        </w:tc>
      </w:tr>
    </w:tbl>
    <w:p w:rsidR="00384A7D" w:rsidRDefault="00200EFE" w:rsidP="00CF78DB">
      <w:pPr>
        <w:pStyle w:val="tablefootnotes"/>
      </w:pPr>
      <w:r>
        <w:t>Notes:</w:t>
      </w:r>
      <w:r>
        <w:tab/>
        <w:t>CIM in this chart inc</w:t>
      </w:r>
      <w:r w:rsidR="00E15AAB">
        <w:t>l</w:t>
      </w:r>
      <w:r>
        <w:t>udes all compulsory streams</w:t>
      </w:r>
      <w:r w:rsidR="00423C90">
        <w:t>.</w:t>
      </w:r>
    </w:p>
    <w:p w:rsidR="00C3520C" w:rsidRDefault="00C3520C" w:rsidP="00CF78DB">
      <w:pPr>
        <w:pStyle w:val="tablefootnotes"/>
      </w:pPr>
      <w:r>
        <w:t xml:space="preserve">(a) </w:t>
      </w:r>
      <w:r>
        <w:tab/>
      </w:r>
      <w:r w:rsidR="00E15AAB">
        <w:t>‘</w:t>
      </w:r>
      <w:r>
        <w:t>Other</w:t>
      </w:r>
      <w:r w:rsidR="00E15AAB">
        <w:t>’</w:t>
      </w:r>
      <w:r>
        <w:t xml:space="preserve"> </w:t>
      </w:r>
      <w:r w:rsidR="008F66F4">
        <w:t xml:space="preserve">as per note to </w:t>
      </w:r>
      <w:r w:rsidR="00C7347D">
        <w:fldChar w:fldCharType="begin"/>
      </w:r>
      <w:r w:rsidR="008F66F4">
        <w:instrText xml:space="preserve"> REF _Ref323940632 \h </w:instrText>
      </w:r>
      <w:r w:rsidR="00C7347D">
        <w:fldChar w:fldCharType="separate"/>
      </w:r>
      <w:r w:rsidR="007D7E45" w:rsidRPr="005911E2">
        <w:t xml:space="preserve">Table </w:t>
      </w:r>
      <w:r w:rsidR="007D7E45">
        <w:rPr>
          <w:noProof/>
        </w:rPr>
        <w:t>10</w:t>
      </w:r>
      <w:r w:rsidR="007D7E45" w:rsidRPr="005911E2">
        <w:noBreakHyphen/>
      </w:r>
      <w:r w:rsidR="007D7E45">
        <w:rPr>
          <w:noProof/>
        </w:rPr>
        <w:t>2</w:t>
      </w:r>
      <w:r w:rsidR="00C7347D">
        <w:fldChar w:fldCharType="end"/>
      </w:r>
      <w:r w:rsidR="00423C90">
        <w:t>.</w:t>
      </w:r>
    </w:p>
    <w:p w:rsidR="00897C1E" w:rsidRPr="005911E2" w:rsidRDefault="00897C1E" w:rsidP="00CF78DB">
      <w:pPr>
        <w:pStyle w:val="tablefootnotes"/>
      </w:pPr>
      <w:r w:rsidRPr="005911E2">
        <w:t>Source:</w:t>
      </w:r>
      <w:r w:rsidR="00200EFE">
        <w:tab/>
      </w:r>
      <w:r w:rsidRPr="005911E2">
        <w:t xml:space="preserve"> LSNIM, Wave 1.</w:t>
      </w:r>
    </w:p>
    <w:p w:rsidR="00897C1E" w:rsidRPr="005911E2" w:rsidRDefault="00897C1E" w:rsidP="00CF78DB">
      <w:pPr>
        <w:pStyle w:val="tablefootnotes"/>
      </w:pPr>
    </w:p>
    <w:p w:rsidR="00EB0967" w:rsidRPr="005911E2" w:rsidRDefault="00EB0967" w:rsidP="00EB0967">
      <w:pPr>
        <w:pStyle w:val="BodyText"/>
      </w:pPr>
      <w:r w:rsidRPr="005911E2">
        <w:t xml:space="preserve">In contrast to the marked differences for these Indigenous </w:t>
      </w:r>
      <w:r w:rsidR="00F878E4">
        <w:t>income manage</w:t>
      </w:r>
      <w:r w:rsidR="00286147">
        <w:t>d</w:t>
      </w:r>
      <w:r w:rsidRPr="005911E2">
        <w:t xml:space="preserve"> groups, and for the ‘other</w:t>
      </w:r>
      <w:r w:rsidR="00E15AAB">
        <w:t>’</w:t>
      </w:r>
      <w:r w:rsidRPr="005911E2">
        <w:t xml:space="preserve"> category which includes those who were not </w:t>
      </w:r>
      <w:r w:rsidR="00F878E4">
        <w:t>income manage</w:t>
      </w:r>
      <w:r w:rsidR="00286147">
        <w:t>d</w:t>
      </w:r>
      <w:r w:rsidRPr="005911E2">
        <w:t xml:space="preserve"> at the time of the study, and non-Indigenous people on </w:t>
      </w:r>
      <w:r w:rsidR="00200EFE">
        <w:t>Voluntary Income Management</w:t>
      </w:r>
      <w:r w:rsidRPr="005911E2">
        <w:t>, the results of the actual change and perceived change i</w:t>
      </w:r>
      <w:r w:rsidR="00286147">
        <w:t>s</w:t>
      </w:r>
      <w:r w:rsidRPr="005911E2">
        <w:t xml:space="preserve"> much more closely aligned for the Indigenous contrast group and non-Indigenous people subject to </w:t>
      </w:r>
      <w:r w:rsidR="00286147">
        <w:t>c</w:t>
      </w:r>
      <w:r w:rsidR="004808B3">
        <w:t xml:space="preserve">ompulsory </w:t>
      </w:r>
      <w:r w:rsidR="00286147">
        <w:t>measures</w:t>
      </w:r>
      <w:r w:rsidRPr="005911E2">
        <w:t>. In the case of the non-Indigenous contrast group</w:t>
      </w:r>
      <w:r w:rsidR="00286147">
        <w:t>,</w:t>
      </w:r>
      <w:r w:rsidRPr="005911E2">
        <w:t xml:space="preserve"> their perceptions of change were much more negative than that identified in terms of reported outcomes</w:t>
      </w:r>
      <w:r w:rsidR="00286147">
        <w:t>.</w:t>
      </w:r>
      <w:r w:rsidRPr="005911E2">
        <w:rPr>
          <w:rStyle w:val="FootnoteReference"/>
        </w:rPr>
        <w:footnoteReference w:id="117"/>
      </w:r>
      <w:r w:rsidRPr="005911E2">
        <w:t xml:space="preserve"> </w:t>
      </w:r>
    </w:p>
    <w:p w:rsidR="00897C1E" w:rsidRPr="005911E2" w:rsidRDefault="00897C1E" w:rsidP="00897C1E">
      <w:pPr>
        <w:pStyle w:val="BodyText"/>
      </w:pPr>
      <w:r w:rsidRPr="005911E2">
        <w:t xml:space="preserve">This difference between actual and perceived change has occurred in other research on the impact of policies in the </w:t>
      </w:r>
      <w:r w:rsidR="006435C8">
        <w:t>Northern Territory.</w:t>
      </w:r>
      <w:r w:rsidRPr="005911E2">
        <w:t xml:space="preserve"> For example</w:t>
      </w:r>
      <w:r w:rsidR="007D051A">
        <w:t>,</w:t>
      </w:r>
      <w:r w:rsidRPr="005911E2">
        <w:t xml:space="preserve"> the NTER evaluation found that participants in NTER communities had much more positive views about the effects of the NTER in relation to factors such as school attendance than were actually reflected in the rates of school attendance (FaHCSIA, 2011</w:t>
      </w:r>
      <w:r w:rsidR="007D051A">
        <w:t>b</w:t>
      </w:r>
      <w:r w:rsidR="00F8413B">
        <w:t>,</w:t>
      </w:r>
      <w:r w:rsidRPr="005911E2">
        <w:t xml:space="preserve"> see p</w:t>
      </w:r>
      <w:r w:rsidR="007D051A">
        <w:t>.</w:t>
      </w:r>
      <w:r w:rsidR="00F8413B">
        <w:t> </w:t>
      </w:r>
      <w:r w:rsidRPr="005911E2">
        <w:t>103 and pp</w:t>
      </w:r>
      <w:r w:rsidR="007D051A">
        <w:t>.</w:t>
      </w:r>
      <w:r w:rsidR="00F8413B">
        <w:t> </w:t>
      </w:r>
      <w:r w:rsidRPr="005911E2">
        <w:t xml:space="preserve">324-325). </w:t>
      </w:r>
    </w:p>
    <w:p w:rsidR="00897C1E" w:rsidRPr="005911E2" w:rsidRDefault="00897C1E" w:rsidP="00BD6DFD">
      <w:pPr>
        <w:pStyle w:val="Heading3"/>
      </w:pPr>
      <w:r w:rsidRPr="005911E2">
        <w:t>Control over money</w:t>
      </w:r>
    </w:p>
    <w:p w:rsidR="00897C1E" w:rsidRPr="005911E2" w:rsidRDefault="00897C1E" w:rsidP="00897C1E">
      <w:pPr>
        <w:pStyle w:val="BodyText"/>
      </w:pPr>
      <w:r w:rsidRPr="005911E2">
        <w:t xml:space="preserve">One of the key objectives of </w:t>
      </w:r>
      <w:r w:rsidR="00F878E4">
        <w:t>income management</w:t>
      </w:r>
      <w:r w:rsidRPr="005911E2">
        <w:t xml:space="preserve"> is to increase the control that people have over their money (Chapter 2). </w:t>
      </w:r>
    </w:p>
    <w:p w:rsidR="00897C1E" w:rsidRPr="005911E2" w:rsidRDefault="00897C1E" w:rsidP="00897C1E">
      <w:pPr>
        <w:pStyle w:val="BodyText"/>
      </w:pPr>
      <w:r w:rsidRPr="005911E2">
        <w:t>The LSNIM contains three questions that are directly relevant to this issue:</w:t>
      </w:r>
    </w:p>
    <w:p w:rsidR="00897C1E" w:rsidRPr="005911E2" w:rsidRDefault="007D051A" w:rsidP="00051CDC">
      <w:pPr>
        <w:pStyle w:val="ListBullet"/>
      </w:pPr>
      <w:r>
        <w:t>w</w:t>
      </w:r>
      <w:r w:rsidR="00897C1E" w:rsidRPr="005911E2">
        <w:t xml:space="preserve">hether they felt they had more or less control over money in their family relative to before </w:t>
      </w:r>
      <w:r w:rsidR="00F878E4">
        <w:t>income management</w:t>
      </w:r>
      <w:r w:rsidR="00897C1E" w:rsidRPr="005911E2">
        <w:t xml:space="preserve"> (or 12 months previously for the contrast group)</w:t>
      </w:r>
    </w:p>
    <w:p w:rsidR="00897C1E" w:rsidRPr="005911E2" w:rsidRDefault="00897C1E" w:rsidP="00051CDC">
      <w:pPr>
        <w:pStyle w:val="ListBullet"/>
      </w:pPr>
      <w:r w:rsidRPr="005911E2">
        <w:t xml:space="preserve">whether the participants were finding it easier or harder to </w:t>
      </w:r>
      <w:r w:rsidR="007D051A">
        <w:t>‘</w:t>
      </w:r>
      <w:r w:rsidRPr="005911E2">
        <w:t>manage their money</w:t>
      </w:r>
      <w:r w:rsidR="007D051A">
        <w:t>’</w:t>
      </w:r>
      <w:r w:rsidRPr="005911E2">
        <w:t xml:space="preserve"> since being on </w:t>
      </w:r>
      <w:r w:rsidR="00F878E4">
        <w:t>income management</w:t>
      </w:r>
      <w:r w:rsidRPr="005911E2">
        <w:t>, for the IM sample, or over the last year for the contrast group</w:t>
      </w:r>
    </w:p>
    <w:p w:rsidR="00897C1E" w:rsidRPr="005911E2" w:rsidRDefault="00897C1E" w:rsidP="00051CDC">
      <w:pPr>
        <w:pStyle w:val="ListBullet"/>
      </w:pPr>
      <w:r w:rsidRPr="005911E2">
        <w:t xml:space="preserve">the frequency with which they feel they have control over their </w:t>
      </w:r>
      <w:r w:rsidR="00F878E4">
        <w:t>income manage</w:t>
      </w:r>
      <w:r w:rsidR="007D051A">
        <w:t>d</w:t>
      </w:r>
      <w:r w:rsidRPr="005911E2">
        <w:t xml:space="preserve"> money (the contrast </w:t>
      </w:r>
      <w:r w:rsidR="00772EDE" w:rsidRPr="005911E2">
        <w:t>sample was</w:t>
      </w:r>
      <w:r w:rsidRPr="005911E2">
        <w:t xml:space="preserve"> asked about control over their Centrelink money). </w:t>
      </w:r>
    </w:p>
    <w:p w:rsidR="00897C1E" w:rsidRPr="005911E2" w:rsidRDefault="006F14AA" w:rsidP="00897C1E">
      <w:pPr>
        <w:pStyle w:val="BodyText1"/>
      </w:pPr>
      <w:r w:rsidRPr="005911E2">
        <w:t xml:space="preserve">Figure </w:t>
      </w:r>
      <w:r w:rsidRPr="005911E2">
        <w:rPr>
          <w:noProof/>
        </w:rPr>
        <w:t>10</w:t>
      </w:r>
      <w:r w:rsidRPr="005911E2">
        <w:noBreakHyphen/>
      </w:r>
      <w:r w:rsidRPr="005911E2">
        <w:rPr>
          <w:noProof/>
        </w:rPr>
        <w:t>2</w:t>
      </w:r>
      <w:r w:rsidR="003335EC" w:rsidRPr="005911E2">
        <w:t xml:space="preserve"> </w:t>
      </w:r>
      <w:r w:rsidR="00897C1E" w:rsidRPr="005911E2">
        <w:t xml:space="preserve">illustrates the distribution of responses to the question of whether people felt they had more or less control over money for Indigenous people on </w:t>
      </w:r>
      <w:r w:rsidR="007D051A">
        <w:t>c</w:t>
      </w:r>
      <w:r w:rsidR="004808B3">
        <w:t xml:space="preserve">ompulsory </w:t>
      </w:r>
      <w:r w:rsidR="007D051A">
        <w:t>and voluntary measures,</w:t>
      </w:r>
      <w:r w:rsidR="00897C1E" w:rsidRPr="005911E2">
        <w:t xml:space="preserve"> and for non-Indigenous on </w:t>
      </w:r>
      <w:r w:rsidR="007D051A">
        <w:t>compulsory measures</w:t>
      </w:r>
      <w:r w:rsidR="00897C1E" w:rsidRPr="005911E2">
        <w:t>. The data is presented separately for males and females.</w:t>
      </w:r>
    </w:p>
    <w:p w:rsidR="00897C1E" w:rsidRDefault="00897C1E" w:rsidP="00897C1E">
      <w:pPr>
        <w:pStyle w:val="BodyText1"/>
      </w:pPr>
      <w:r w:rsidRPr="005911E2">
        <w:t xml:space="preserve">Similar proportions of Indigenous survey participants who were subject to </w:t>
      </w:r>
      <w:r w:rsidR="00931906">
        <w:t>c</w:t>
      </w:r>
      <w:r w:rsidR="004808B3">
        <w:t xml:space="preserve">ompulsory </w:t>
      </w:r>
      <w:r w:rsidR="00931906">
        <w:t xml:space="preserve">measures </w:t>
      </w:r>
      <w:r w:rsidRPr="005911E2">
        <w:t xml:space="preserve">said that they now had more, the same, or less control over their money relative to before </w:t>
      </w:r>
      <w:r w:rsidR="00F878E4">
        <w:t>income management</w:t>
      </w:r>
      <w:r w:rsidRPr="005911E2">
        <w:t xml:space="preserve">. </w:t>
      </w:r>
    </w:p>
    <w:p w:rsidR="00E15AAB" w:rsidRPr="005911E2" w:rsidRDefault="00E15AAB" w:rsidP="00E15AAB">
      <w:pPr>
        <w:rPr>
          <w:lang w:eastAsia="en-AU"/>
        </w:rPr>
      </w:pPr>
      <w:r w:rsidRPr="005911E2">
        <w:rPr>
          <w:lang w:eastAsia="en-AU"/>
        </w:rPr>
        <w:t xml:space="preserve">While Indigenous people on </w:t>
      </w:r>
      <w:r>
        <w:rPr>
          <w:lang w:eastAsia="en-AU"/>
        </w:rPr>
        <w:t xml:space="preserve">Voluntary Income Management </w:t>
      </w:r>
      <w:r w:rsidRPr="005911E2">
        <w:rPr>
          <w:lang w:eastAsia="en-AU"/>
        </w:rPr>
        <w:t>were also split in their views about the extent to which their control over money had changed, for this group the highest proportion said that they had about the same control as before, followed by having more control</w:t>
      </w:r>
      <w:r>
        <w:rPr>
          <w:lang w:eastAsia="en-AU"/>
        </w:rPr>
        <w:t>,</w:t>
      </w:r>
      <w:r w:rsidRPr="005911E2">
        <w:rPr>
          <w:lang w:eastAsia="en-AU"/>
        </w:rPr>
        <w:t xml:space="preserve"> and then by those who said they had less control. Amongst the men in this group who were asked this question there was also a considerable number (13 per cent) who reported that they were not sure. </w:t>
      </w:r>
    </w:p>
    <w:p w:rsidR="00E15AAB" w:rsidRPr="005911E2" w:rsidRDefault="00E15AAB" w:rsidP="00E15AAB">
      <w:pPr>
        <w:rPr>
          <w:lang w:eastAsia="en-AU"/>
        </w:rPr>
      </w:pPr>
      <w:r w:rsidRPr="005911E2">
        <w:rPr>
          <w:lang w:eastAsia="en-AU"/>
        </w:rPr>
        <w:t xml:space="preserve">Non-Indigenous people on </w:t>
      </w:r>
      <w:r>
        <w:rPr>
          <w:lang w:eastAsia="en-AU"/>
        </w:rPr>
        <w:t>compulsory measures</w:t>
      </w:r>
      <w:r w:rsidRPr="005911E2">
        <w:rPr>
          <w:lang w:eastAsia="en-AU"/>
        </w:rPr>
        <w:t xml:space="preserve"> were much more likely to say they had less control now (over 50 per cent) with around one</w:t>
      </w:r>
      <w:r>
        <w:rPr>
          <w:lang w:eastAsia="en-AU"/>
        </w:rPr>
        <w:t xml:space="preserve"> </w:t>
      </w:r>
      <w:r w:rsidRPr="005911E2">
        <w:rPr>
          <w:lang w:eastAsia="en-AU"/>
        </w:rPr>
        <w:t>in</w:t>
      </w:r>
      <w:r>
        <w:rPr>
          <w:lang w:eastAsia="en-AU"/>
        </w:rPr>
        <w:t xml:space="preserve"> </w:t>
      </w:r>
      <w:r w:rsidRPr="005911E2">
        <w:rPr>
          <w:lang w:eastAsia="en-AU"/>
        </w:rPr>
        <w:t xml:space="preserve">five saying they had more control since going on </w:t>
      </w:r>
      <w:r>
        <w:rPr>
          <w:lang w:eastAsia="en-AU"/>
        </w:rPr>
        <w:t>income management</w:t>
      </w:r>
      <w:r w:rsidRPr="005911E2">
        <w:rPr>
          <w:lang w:eastAsia="en-AU"/>
        </w:rPr>
        <w:t>.</w:t>
      </w:r>
    </w:p>
    <w:p w:rsidR="00CB5D8B" w:rsidRPr="005911E2" w:rsidRDefault="00CB5D8B" w:rsidP="00CB5D8B">
      <w:pPr>
        <w:rPr>
          <w:lang w:eastAsia="en-AU"/>
        </w:rPr>
      </w:pPr>
      <w:r w:rsidRPr="005911E2">
        <w:rPr>
          <w:lang w:eastAsia="en-AU"/>
        </w:rPr>
        <w:t>In each of the groups</w:t>
      </w:r>
      <w:r>
        <w:rPr>
          <w:lang w:eastAsia="en-AU"/>
        </w:rPr>
        <w:t xml:space="preserve"> of survey participants</w:t>
      </w:r>
      <w:r w:rsidRPr="005911E2">
        <w:rPr>
          <w:lang w:eastAsia="en-AU"/>
        </w:rPr>
        <w:t xml:space="preserve"> there were only small gender differences in the perceptions of changes in control over their money. This differs from the findings of </w:t>
      </w:r>
      <w:r>
        <w:rPr>
          <w:lang w:eastAsia="en-AU"/>
        </w:rPr>
        <w:t>some</w:t>
      </w:r>
      <w:r w:rsidRPr="005911E2">
        <w:rPr>
          <w:lang w:eastAsia="en-AU"/>
        </w:rPr>
        <w:t xml:space="preserve"> studies which have found women are more likely than men to say that </w:t>
      </w:r>
      <w:r>
        <w:rPr>
          <w:lang w:eastAsia="en-AU"/>
        </w:rPr>
        <w:t>income management</w:t>
      </w:r>
      <w:r w:rsidRPr="005911E2">
        <w:rPr>
          <w:lang w:eastAsia="en-AU"/>
        </w:rPr>
        <w:t xml:space="preserve"> has increased their control over money (AIHW</w:t>
      </w:r>
      <w:r>
        <w:rPr>
          <w:lang w:eastAsia="en-AU"/>
        </w:rPr>
        <w:t>,</w:t>
      </w:r>
      <w:r w:rsidRPr="005911E2">
        <w:rPr>
          <w:lang w:eastAsia="en-AU"/>
        </w:rPr>
        <w:t xml:space="preserve"> 2010</w:t>
      </w:r>
      <w:r>
        <w:rPr>
          <w:lang w:eastAsia="en-AU"/>
        </w:rPr>
        <w:t>;</w:t>
      </w:r>
      <w:r w:rsidRPr="005911E2">
        <w:rPr>
          <w:lang w:eastAsia="en-AU"/>
        </w:rPr>
        <w:t xml:space="preserve"> CIRCA</w:t>
      </w:r>
      <w:r>
        <w:rPr>
          <w:lang w:eastAsia="en-AU"/>
        </w:rPr>
        <w:t>,</w:t>
      </w:r>
      <w:r w:rsidRPr="005911E2">
        <w:rPr>
          <w:lang w:eastAsia="en-AU"/>
        </w:rPr>
        <w:t xml:space="preserve"> 2008)</w:t>
      </w:r>
      <w:r>
        <w:rPr>
          <w:lang w:eastAsia="en-AU"/>
        </w:rPr>
        <w:t>, although others (CLC, 2008) as with the LSNIM, found little difference</w:t>
      </w:r>
      <w:r w:rsidRPr="005911E2">
        <w:rPr>
          <w:lang w:eastAsia="en-AU"/>
        </w:rPr>
        <w:t>.</w:t>
      </w:r>
    </w:p>
    <w:p w:rsidR="00E15AAB" w:rsidRPr="005911E2" w:rsidRDefault="00E15AAB" w:rsidP="00897C1E">
      <w:pPr>
        <w:pStyle w:val="BodyText1"/>
      </w:pPr>
    </w:p>
    <w:p w:rsidR="00897C1E" w:rsidRPr="005911E2" w:rsidRDefault="00897C1E" w:rsidP="00897C1E">
      <w:pPr>
        <w:pStyle w:val="tabfighead"/>
      </w:pPr>
      <w:bookmarkStart w:id="1027" w:name="_Ref324196463"/>
      <w:bookmarkStart w:id="1028" w:name="_Toc322470952"/>
      <w:bookmarkStart w:id="1029" w:name="_Toc328601668"/>
      <w:bookmarkStart w:id="1030" w:name="_Toc335915934"/>
      <w:r w:rsidRPr="005911E2">
        <w:t xml:space="preserve">Figure </w:t>
      </w:r>
      <w:r w:rsidR="00C7347D">
        <w:fldChar w:fldCharType="begin"/>
      </w:r>
      <w:r w:rsidR="00E74851">
        <w:instrText xml:space="preserve"> STYLEREF 1 \s </w:instrText>
      </w:r>
      <w:r w:rsidR="00C7347D">
        <w:fldChar w:fldCharType="separate"/>
      </w:r>
      <w:r w:rsidR="007D7E45">
        <w:rPr>
          <w:noProof/>
        </w:rPr>
        <w:t>10</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2</w:t>
      </w:r>
      <w:r w:rsidR="00C7347D">
        <w:fldChar w:fldCharType="end"/>
      </w:r>
      <w:bookmarkEnd w:id="1027"/>
      <w:r w:rsidRPr="005911E2">
        <w:tab/>
      </w:r>
      <w:r w:rsidR="00423C90">
        <w:t xml:space="preserve">LSNIM </w:t>
      </w:r>
      <w:r w:rsidR="006435C8">
        <w:t xml:space="preserve">Northern Territory </w:t>
      </w:r>
      <w:r w:rsidRPr="005911E2">
        <w:t xml:space="preserve">participants, sense of control over money in family relative to before </w:t>
      </w:r>
      <w:bookmarkEnd w:id="1028"/>
      <w:r w:rsidR="00F878E4">
        <w:t>income management</w:t>
      </w:r>
      <w:bookmarkEnd w:id="1029"/>
      <w:bookmarkEnd w:id="1030"/>
    </w:p>
    <w:tbl>
      <w:tblPr>
        <w:tblStyle w:val="TableGrid"/>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10-2 LSNIM Northern Territory participants, sense of control over money in family relative to before income management"/>
        <w:tblDescription w:val="Figure 10-2 LSNIM Northern Territory participants, sense of control over money in family relative to before income management"/>
      </w:tblPr>
      <w:tblGrid>
        <w:gridCol w:w="7569"/>
      </w:tblGrid>
      <w:tr w:rsidR="00897C1E" w:rsidRPr="005911E2" w:rsidTr="009D15E2">
        <w:trPr>
          <w:tblHeader/>
        </w:trPr>
        <w:tc>
          <w:tcPr>
            <w:tcW w:w="7569" w:type="dxa"/>
          </w:tcPr>
          <w:p w:rsidR="00897C1E" w:rsidRPr="005911E2" w:rsidRDefault="00897C1E" w:rsidP="00B460A2">
            <w:pPr>
              <w:pStyle w:val="BodyText"/>
              <w:keepNext/>
              <w:ind w:left="0"/>
              <w:jc w:val="right"/>
              <w:rPr>
                <w:lang w:eastAsia="en-US"/>
              </w:rPr>
            </w:pPr>
            <w:r w:rsidRPr="005911E2">
              <w:rPr>
                <w:noProof/>
                <w:lang w:bidi="ar-SA"/>
              </w:rPr>
              <w:drawing>
                <wp:inline distT="0" distB="0" distL="0" distR="0" wp14:anchorId="44491D31" wp14:editId="43F1BC70">
                  <wp:extent cx="4579620" cy="2750820"/>
                  <wp:effectExtent l="0" t="0" r="0" b="0"/>
                  <wp:docPr id="56" name="Picture 6" descr="Figure 10-2 LSNIM Northern Territory participants, sense of control over money in family relative to before income management" title="Figure 10-2 LSNIM Northern Territory participants, sense of control over money in family relative to before incom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4579620" cy="2750820"/>
                          </a:xfrm>
                          <a:prstGeom prst="rect">
                            <a:avLst/>
                          </a:prstGeom>
                          <a:noFill/>
                          <a:ln w="9525">
                            <a:noFill/>
                            <a:miter lim="800000"/>
                            <a:headEnd/>
                            <a:tailEnd/>
                          </a:ln>
                        </pic:spPr>
                      </pic:pic>
                    </a:graphicData>
                  </a:graphic>
                </wp:inline>
              </w:drawing>
            </w:r>
          </w:p>
        </w:tc>
      </w:tr>
    </w:tbl>
    <w:p w:rsidR="00200EFE" w:rsidRDefault="00200EFE" w:rsidP="00200EFE">
      <w:pPr>
        <w:pStyle w:val="tablefootnotes"/>
      </w:pPr>
      <w:r>
        <w:t>Notes:</w:t>
      </w:r>
      <w:r>
        <w:tab/>
        <w:t>CIM in this chart inc</w:t>
      </w:r>
      <w:r w:rsidR="00E15AAB">
        <w:t>l</w:t>
      </w:r>
      <w:r>
        <w:t>udes all compulsory streams</w:t>
      </w:r>
      <w:r w:rsidR="00423C90">
        <w:t>.</w:t>
      </w:r>
    </w:p>
    <w:p w:rsidR="00897C1E" w:rsidRPr="005911E2" w:rsidRDefault="00897C1E" w:rsidP="00CF78DB">
      <w:pPr>
        <w:pStyle w:val="tablefootnotes"/>
      </w:pPr>
      <w:r w:rsidRPr="005911E2">
        <w:t xml:space="preserve">Source: </w:t>
      </w:r>
      <w:r w:rsidR="00200EFE">
        <w:tab/>
      </w:r>
      <w:r w:rsidRPr="005911E2">
        <w:t>LSNIM, Wave 1.</w:t>
      </w:r>
    </w:p>
    <w:p w:rsidR="00897C1E" w:rsidRPr="005911E2" w:rsidRDefault="00897C1E" w:rsidP="00CF78DB">
      <w:pPr>
        <w:pStyle w:val="tablefootnotes"/>
      </w:pPr>
    </w:p>
    <w:p w:rsidR="00897C1E" w:rsidRPr="005911E2" w:rsidRDefault="00897C1E" w:rsidP="00897C1E">
      <w:r w:rsidRPr="005911E2">
        <w:t xml:space="preserve">The participants </w:t>
      </w:r>
      <w:r w:rsidR="00931906">
        <w:t>in</w:t>
      </w:r>
      <w:r w:rsidR="00931906" w:rsidRPr="005911E2">
        <w:t xml:space="preserve"> </w:t>
      </w:r>
      <w:r w:rsidRPr="005911E2">
        <w:t xml:space="preserve">the survey were more positive as to whether </w:t>
      </w:r>
      <w:r w:rsidR="00F878E4">
        <w:t>income management</w:t>
      </w:r>
      <w:r w:rsidRPr="005911E2">
        <w:t xml:space="preserve"> had made it harder or easier to manage money (</w:t>
      </w:r>
      <w:r w:rsidR="006F14AA" w:rsidRPr="005911E2">
        <w:t xml:space="preserve">Table </w:t>
      </w:r>
      <w:r w:rsidR="006F14AA" w:rsidRPr="005911E2">
        <w:rPr>
          <w:noProof/>
        </w:rPr>
        <w:t>10</w:t>
      </w:r>
      <w:r w:rsidR="006F14AA" w:rsidRPr="005911E2">
        <w:noBreakHyphen/>
      </w:r>
      <w:r w:rsidR="006F14AA" w:rsidRPr="005911E2">
        <w:rPr>
          <w:noProof/>
        </w:rPr>
        <w:t>7</w:t>
      </w:r>
      <w:r w:rsidR="006A02CC" w:rsidRPr="005911E2">
        <w:t xml:space="preserve">) </w:t>
      </w:r>
      <w:r w:rsidRPr="005911E2">
        <w:t xml:space="preserve">than they were in their responses to the questions about whether the control they have over their money has changed. The proportion saying that </w:t>
      </w:r>
      <w:r w:rsidR="00F878E4">
        <w:t>income management</w:t>
      </w:r>
      <w:r w:rsidRPr="005911E2">
        <w:t xml:space="preserve"> made it easier to manage their money ranged from 24 per cent (Indigenous people on </w:t>
      </w:r>
      <w:r w:rsidR="00931906">
        <w:t>c</w:t>
      </w:r>
      <w:r w:rsidR="004808B3">
        <w:t xml:space="preserve">ompulsory </w:t>
      </w:r>
      <w:r w:rsidR="00931906">
        <w:t>measures</w:t>
      </w:r>
      <w:r w:rsidRPr="005911E2">
        <w:t xml:space="preserve"> in non-NTER areas and non-Indigenous people on </w:t>
      </w:r>
      <w:r w:rsidR="00931906">
        <w:t>c</w:t>
      </w:r>
      <w:r w:rsidR="004808B3">
        <w:t xml:space="preserve">ompulsory </w:t>
      </w:r>
      <w:r w:rsidR="00931906">
        <w:t>measures</w:t>
      </w:r>
      <w:r w:rsidRPr="005911E2">
        <w:t xml:space="preserve">) to 51 per cent (for Indigenous people on </w:t>
      </w:r>
      <w:r w:rsidR="00A21C6E">
        <w:t>Voluntary Income Management</w:t>
      </w:r>
      <w:r w:rsidRPr="005911E2">
        <w:t xml:space="preserve"> in NTER areas), and just a little below this for Indigenous people on </w:t>
      </w:r>
      <w:r w:rsidR="00931906">
        <w:t>c</w:t>
      </w:r>
      <w:r w:rsidR="004808B3">
        <w:t xml:space="preserve">ompulsory </w:t>
      </w:r>
      <w:r w:rsidR="00931906">
        <w:t xml:space="preserve">measures </w:t>
      </w:r>
      <w:r w:rsidRPr="005911E2">
        <w:t xml:space="preserve">in NTER areas. Around half of Indigenous people in NTER areas reported that </w:t>
      </w:r>
      <w:r w:rsidR="00F878E4">
        <w:t>income management</w:t>
      </w:r>
      <w:r w:rsidRPr="005911E2">
        <w:t xml:space="preserve"> made it easier to manage their money. However, many also reported that managing money had become harder. Although this was only a small segment for most of the subgroups, for some groups it was much larger. </w:t>
      </w:r>
      <w:r w:rsidR="00931906">
        <w:t>O</w:t>
      </w:r>
      <w:r w:rsidRPr="005911E2">
        <w:t xml:space="preserve">f Indigenous survey participants in non-NTER locations on </w:t>
      </w:r>
      <w:r w:rsidR="00931906">
        <w:t>c</w:t>
      </w:r>
      <w:r w:rsidR="004808B3">
        <w:t>ompulsory</w:t>
      </w:r>
      <w:r w:rsidR="00931906">
        <w:t xml:space="preserve"> measures, 36 per cent</w:t>
      </w:r>
      <w:r w:rsidRPr="005911E2">
        <w:t xml:space="preserve"> felt </w:t>
      </w:r>
      <w:r w:rsidR="00931906">
        <w:t xml:space="preserve">that </w:t>
      </w:r>
      <w:r w:rsidRPr="005911E2">
        <w:t>managing their money was harder</w:t>
      </w:r>
      <w:r w:rsidR="00931906">
        <w:t>,</w:t>
      </w:r>
      <w:r w:rsidR="00751204">
        <w:t xml:space="preserve"> as did 55 </w:t>
      </w:r>
      <w:r w:rsidRPr="005911E2">
        <w:t xml:space="preserve">per cent of non-Indigenous people on </w:t>
      </w:r>
      <w:r w:rsidR="00931906">
        <w:t>c</w:t>
      </w:r>
      <w:r w:rsidR="004808B3">
        <w:t>ompulsory</w:t>
      </w:r>
      <w:r w:rsidR="00931906">
        <w:t xml:space="preserve"> measures</w:t>
      </w:r>
      <w:r w:rsidRPr="005911E2">
        <w:t xml:space="preserve">. </w:t>
      </w:r>
    </w:p>
    <w:p w:rsidR="00897C1E" w:rsidRPr="005911E2" w:rsidRDefault="00897C1E" w:rsidP="00897C1E">
      <w:r w:rsidRPr="005911E2">
        <w:t xml:space="preserve">The third question – the frequency with which people feel in control of their money - shows some strong differences between subgroups on </w:t>
      </w:r>
      <w:r w:rsidR="009A3FF1">
        <w:t>income management</w:t>
      </w:r>
      <w:r w:rsidRPr="005911E2">
        <w:t>. Especially notable (</w:t>
      </w:r>
      <w:r w:rsidR="006F14AA" w:rsidRPr="005911E2">
        <w:t xml:space="preserve">Table </w:t>
      </w:r>
      <w:r w:rsidR="006F14AA" w:rsidRPr="005911E2">
        <w:rPr>
          <w:noProof/>
        </w:rPr>
        <w:t>10</w:t>
      </w:r>
      <w:r w:rsidR="006F14AA" w:rsidRPr="005911E2">
        <w:noBreakHyphen/>
      </w:r>
      <w:r w:rsidR="006F14AA" w:rsidRPr="005911E2">
        <w:rPr>
          <w:noProof/>
        </w:rPr>
        <w:t>9</w:t>
      </w:r>
      <w:r w:rsidR="006A02CC" w:rsidRPr="005911E2">
        <w:t xml:space="preserve">) </w:t>
      </w:r>
      <w:r w:rsidRPr="005911E2">
        <w:t xml:space="preserve">are the high proportions of Indigenous people on </w:t>
      </w:r>
      <w:r w:rsidR="009A3FF1">
        <w:t>c</w:t>
      </w:r>
      <w:r w:rsidR="004808B3">
        <w:t xml:space="preserve">ompulsory </w:t>
      </w:r>
      <w:r w:rsidR="009A3FF1">
        <w:t xml:space="preserve">measures </w:t>
      </w:r>
      <w:r w:rsidRPr="005911E2">
        <w:t xml:space="preserve">in areas other than the NTER locations, and non-Indigenous people on </w:t>
      </w:r>
      <w:r w:rsidR="009A3FF1">
        <w:t>c</w:t>
      </w:r>
      <w:r w:rsidR="004808B3">
        <w:t xml:space="preserve">ompulsory </w:t>
      </w:r>
      <w:r w:rsidR="009A3FF1">
        <w:t>measures</w:t>
      </w:r>
      <w:r w:rsidRPr="005911E2">
        <w:t>, who report that they never feel more in control of their money – 31 per cent and 51 per cent respectively.</w:t>
      </w:r>
    </w:p>
    <w:p w:rsidR="00897C1E" w:rsidRPr="005911E2" w:rsidRDefault="00897C1E" w:rsidP="00FF161B">
      <w:r w:rsidRPr="005911E2">
        <w:t xml:space="preserve">Less apparent from the data presented in </w:t>
      </w:r>
      <w:r w:rsidR="006F14AA" w:rsidRPr="005911E2">
        <w:t xml:space="preserve">Table </w:t>
      </w:r>
      <w:r w:rsidR="006F14AA" w:rsidRPr="005911E2">
        <w:rPr>
          <w:noProof/>
        </w:rPr>
        <w:t>10</w:t>
      </w:r>
      <w:r w:rsidR="006F14AA" w:rsidRPr="005911E2">
        <w:noBreakHyphen/>
      </w:r>
      <w:r w:rsidR="006F14AA" w:rsidRPr="005911E2">
        <w:rPr>
          <w:noProof/>
        </w:rPr>
        <w:t>9</w:t>
      </w:r>
      <w:r w:rsidR="006A02CC" w:rsidRPr="005911E2">
        <w:t xml:space="preserve"> </w:t>
      </w:r>
      <w:r w:rsidRPr="005911E2">
        <w:t xml:space="preserve">is the way in which the participants in the survey in contrast sites also consistently report a higher level of control when they are asked just about their receipt of income support. This is shown in </w:t>
      </w:r>
      <w:r w:rsidR="00C7347D">
        <w:rPr>
          <w:noProof/>
        </w:rPr>
        <w:fldChar w:fldCharType="begin"/>
      </w:r>
      <w:r w:rsidR="00A21C6E">
        <w:instrText xml:space="preserve"> REF _Ref328263316 \h </w:instrText>
      </w:r>
      <w:r w:rsidR="00C7347D">
        <w:rPr>
          <w:noProof/>
        </w:rPr>
      </w:r>
      <w:r w:rsidR="00C7347D">
        <w:rPr>
          <w:noProof/>
        </w:rPr>
        <w:fldChar w:fldCharType="separate"/>
      </w:r>
      <w:r w:rsidR="007D7E45" w:rsidRPr="005911E2">
        <w:t xml:space="preserve">Figure </w:t>
      </w:r>
      <w:r w:rsidR="007D7E45">
        <w:rPr>
          <w:noProof/>
        </w:rPr>
        <w:t>10</w:t>
      </w:r>
      <w:r w:rsidR="007D7E45">
        <w:noBreakHyphen/>
      </w:r>
      <w:r w:rsidR="007D7E45">
        <w:rPr>
          <w:noProof/>
        </w:rPr>
        <w:t>3</w:t>
      </w:r>
      <w:r w:rsidR="00C7347D">
        <w:rPr>
          <w:noProof/>
        </w:rPr>
        <w:fldChar w:fldCharType="end"/>
      </w:r>
      <w:r w:rsidRPr="005911E2">
        <w:t>. The lines plot the cumulative frequency with which people feel in control of their money.</w:t>
      </w:r>
    </w:p>
    <w:p w:rsidR="00897C1E" w:rsidRPr="005911E2" w:rsidRDefault="00897C1E" w:rsidP="00897C1E">
      <w:r w:rsidRPr="005911E2">
        <w:t xml:space="preserve">All of the groups, with the exception of Indigenous people on </w:t>
      </w:r>
      <w:r w:rsidR="00DC334F">
        <w:t>c</w:t>
      </w:r>
      <w:r w:rsidR="004808B3">
        <w:t xml:space="preserve">ompulsory </w:t>
      </w:r>
      <w:r w:rsidR="00DC334F">
        <w:t xml:space="preserve">measures </w:t>
      </w:r>
      <w:r w:rsidRPr="005911E2">
        <w:t>in non-NTER areas, have a relatively similar pattern of responses to this question.</w:t>
      </w:r>
    </w:p>
    <w:p w:rsidR="00897C1E" w:rsidRPr="005911E2" w:rsidRDefault="00E75F1A" w:rsidP="00897C1E">
      <w:pPr>
        <w:pStyle w:val="tabfighead"/>
      </w:pPr>
      <w:bookmarkStart w:id="1031" w:name="_Ref328263316"/>
      <w:bookmarkStart w:id="1032" w:name="_Ref323941645"/>
      <w:bookmarkStart w:id="1033" w:name="_Toc322470953"/>
      <w:bookmarkStart w:id="1034" w:name="_Toc328601669"/>
      <w:r>
        <w:rPr>
          <w:noProof/>
          <w:lang w:eastAsia="en-AU" w:bidi="ar-SA"/>
        </w:rPr>
        <w:drawing>
          <wp:anchor distT="0" distB="0" distL="114300" distR="114300" simplePos="0" relativeHeight="251763712" behindDoc="0" locked="0" layoutInCell="1" allowOverlap="1">
            <wp:simplePos x="0" y="0"/>
            <wp:positionH relativeFrom="column">
              <wp:posOffset>941070</wp:posOffset>
            </wp:positionH>
            <wp:positionV relativeFrom="paragraph">
              <wp:posOffset>709930</wp:posOffset>
            </wp:positionV>
            <wp:extent cx="4570730" cy="2743200"/>
            <wp:effectExtent l="0" t="0" r="1270" b="0"/>
            <wp:wrapTopAndBottom/>
            <wp:docPr id="68" name="Picture 57" descr="Figure 10-3 LSNIM Indigenous survey participants on income management and Indigenous contrast group, cumulative sense of control over money" title="Figure 10-3 LSNIM Indigenous survey participants on income management and Indigenous contrast group, cumulative sense of control over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0730" cy="2743200"/>
                    </a:xfrm>
                    <a:prstGeom prst="rect">
                      <a:avLst/>
                    </a:prstGeom>
                    <a:noFill/>
                    <a:ln>
                      <a:noFill/>
                    </a:ln>
                  </pic:spPr>
                </pic:pic>
              </a:graphicData>
            </a:graphic>
          </wp:anchor>
        </w:drawing>
      </w:r>
      <w:bookmarkStart w:id="1035" w:name="_Toc335915935"/>
      <w:r w:rsidR="00897C1E" w:rsidRPr="005911E2">
        <w:t xml:space="preserve">Figure </w:t>
      </w:r>
      <w:r w:rsidR="00C7347D">
        <w:fldChar w:fldCharType="begin"/>
      </w:r>
      <w:r w:rsidR="00E74851">
        <w:instrText xml:space="preserve"> STYLEREF 1 \s </w:instrText>
      </w:r>
      <w:r w:rsidR="00C7347D">
        <w:fldChar w:fldCharType="separate"/>
      </w:r>
      <w:r w:rsidR="007D7E45">
        <w:rPr>
          <w:noProof/>
        </w:rPr>
        <w:t>10</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3</w:t>
      </w:r>
      <w:r w:rsidR="00C7347D">
        <w:fldChar w:fldCharType="end"/>
      </w:r>
      <w:bookmarkEnd w:id="1031"/>
      <w:bookmarkEnd w:id="1032"/>
      <w:r w:rsidR="00897C1E" w:rsidRPr="005911E2">
        <w:t xml:space="preserve"> </w:t>
      </w:r>
      <w:r w:rsidR="00897C1E" w:rsidRPr="005911E2">
        <w:tab/>
      </w:r>
      <w:r w:rsidR="00423C90">
        <w:t xml:space="preserve">LSNIM </w:t>
      </w:r>
      <w:r w:rsidR="00897C1E" w:rsidRPr="005911E2">
        <w:t xml:space="preserve">Indigenous survey participants on </w:t>
      </w:r>
      <w:r w:rsidR="00F878E4">
        <w:t>income management</w:t>
      </w:r>
      <w:r w:rsidR="00897C1E" w:rsidRPr="005911E2">
        <w:t xml:space="preserve"> and Indigenous contrast group, cumulative sense of control over money</w:t>
      </w:r>
      <w:bookmarkEnd w:id="1033"/>
      <w:bookmarkEnd w:id="1034"/>
      <w:bookmarkEnd w:id="1035"/>
    </w:p>
    <w:p w:rsidR="00DC334F" w:rsidRDefault="00A21C6E" w:rsidP="00CF78DB">
      <w:pPr>
        <w:pStyle w:val="tablefootnotes"/>
      </w:pPr>
      <w:r w:rsidRPr="00A21C6E">
        <w:t>Notes:</w:t>
      </w:r>
      <w:r w:rsidRPr="00A21C6E">
        <w:tab/>
        <w:t>CIM in this chart inc</w:t>
      </w:r>
      <w:r w:rsidR="00E15AAB">
        <w:t>l</w:t>
      </w:r>
      <w:r w:rsidRPr="00A21C6E">
        <w:t>udes all compulsory streams</w:t>
      </w:r>
      <w:r w:rsidR="00423C90">
        <w:t>.</w:t>
      </w:r>
      <w:r w:rsidRPr="00A21C6E" w:rsidDel="00A21C6E">
        <w:t xml:space="preserve"> </w:t>
      </w:r>
    </w:p>
    <w:p w:rsidR="00897C1E" w:rsidRPr="005911E2" w:rsidRDefault="00897C1E" w:rsidP="00CF78DB">
      <w:pPr>
        <w:pStyle w:val="tablefootnotes"/>
      </w:pPr>
      <w:r w:rsidRPr="005911E2">
        <w:t xml:space="preserve">Source: </w:t>
      </w:r>
      <w:r w:rsidRPr="005911E2">
        <w:tab/>
        <w:t>Derived from LSNIM, Wave 1.</w:t>
      </w:r>
    </w:p>
    <w:p w:rsidR="00897C1E" w:rsidRPr="005911E2" w:rsidRDefault="00897C1E" w:rsidP="00CF78DB">
      <w:pPr>
        <w:pStyle w:val="tablefootnotes"/>
      </w:pPr>
    </w:p>
    <w:p w:rsidR="00E15AAB" w:rsidRPr="005911E2" w:rsidRDefault="00E15AAB" w:rsidP="00E15AAB">
      <w:r>
        <w:t xml:space="preserve">In </w:t>
      </w:r>
      <w:r w:rsidR="00C7347D">
        <w:fldChar w:fldCharType="begin"/>
      </w:r>
      <w:r>
        <w:instrText xml:space="preserve"> REF _Ref328263316 \h </w:instrText>
      </w:r>
      <w:r w:rsidR="00C7347D">
        <w:fldChar w:fldCharType="separate"/>
      </w:r>
      <w:r w:rsidR="007D7E45" w:rsidRPr="005911E2">
        <w:t xml:space="preserve">Figure </w:t>
      </w:r>
      <w:r w:rsidR="007D7E45">
        <w:rPr>
          <w:noProof/>
        </w:rPr>
        <w:t>10</w:t>
      </w:r>
      <w:r w:rsidR="007D7E45">
        <w:noBreakHyphen/>
      </w:r>
      <w:r w:rsidR="007D7E45">
        <w:rPr>
          <w:noProof/>
        </w:rPr>
        <w:t>3</w:t>
      </w:r>
      <w:r w:rsidR="00C7347D">
        <w:fldChar w:fldCharType="end"/>
      </w:r>
      <w:r>
        <w:t xml:space="preserve">, </w:t>
      </w:r>
      <w:r w:rsidRPr="005911E2">
        <w:t xml:space="preserve">the line for the contrast sites sits, at all points, below each of the other groups. This indicates that the survey participants in the contrast sites who are not on </w:t>
      </w:r>
      <w:r>
        <w:t>income management</w:t>
      </w:r>
      <w:r w:rsidRPr="005911E2">
        <w:t xml:space="preserve"> report having higher levels of control over their money than those on </w:t>
      </w:r>
      <w:r>
        <w:t>income management,</w:t>
      </w:r>
      <w:r w:rsidRPr="005911E2">
        <w:t xml:space="preserve"> and that they are less likely to report all of the response categories associated with having a low level of control. </w:t>
      </w:r>
    </w:p>
    <w:p w:rsidR="00E15AAB" w:rsidRPr="005911E2" w:rsidRDefault="00E15AAB" w:rsidP="00E15AAB">
      <w:r w:rsidRPr="005911E2">
        <w:t>As indicated above</w:t>
      </w:r>
      <w:r>
        <w:t>,</w:t>
      </w:r>
      <w:r w:rsidRPr="005911E2">
        <w:t xml:space="preserve"> Indigenous people on </w:t>
      </w:r>
      <w:r>
        <w:t>compulsory measures</w:t>
      </w:r>
      <w:r w:rsidRPr="005911E2">
        <w:t xml:space="preserve"> in the non-NTER areas show a different pattern to the other subgroups presented in the chart. The line for this population sits above that of all the other groups indicating that they consistently have a lower sense of control over their money.</w:t>
      </w:r>
      <w:r w:rsidRPr="005911E2">
        <w:rPr>
          <w:rStyle w:val="FootnoteReference"/>
        </w:rPr>
        <w:footnoteReference w:id="118"/>
      </w:r>
    </w:p>
    <w:p w:rsidR="00897C1E" w:rsidRDefault="00897C1E" w:rsidP="00897C1E">
      <w:pPr>
        <w:pStyle w:val="BodyText1"/>
      </w:pPr>
      <w:r w:rsidRPr="005911E2">
        <w:t xml:space="preserve">Although these three questions are broadly about financial management, it may be that they are measuring somewhat different concepts. </w:t>
      </w:r>
      <w:r w:rsidR="006F14AA" w:rsidRPr="005911E2">
        <w:t xml:space="preserve">Table </w:t>
      </w:r>
      <w:r w:rsidR="006F14AA" w:rsidRPr="005911E2">
        <w:rPr>
          <w:noProof/>
        </w:rPr>
        <w:t>10</w:t>
      </w:r>
      <w:r w:rsidR="006F14AA" w:rsidRPr="005911E2">
        <w:noBreakHyphen/>
      </w:r>
      <w:r w:rsidR="006F14AA" w:rsidRPr="005911E2">
        <w:rPr>
          <w:noProof/>
        </w:rPr>
        <w:t>8</w:t>
      </w:r>
      <w:r w:rsidR="00FF161B" w:rsidRPr="005911E2">
        <w:t xml:space="preserve"> </w:t>
      </w:r>
      <w:r w:rsidRPr="005911E2">
        <w:t xml:space="preserve">shows a cross tabulation of the answers to the questions on </w:t>
      </w:r>
      <w:r w:rsidR="00DC334F">
        <w:t xml:space="preserve">the </w:t>
      </w:r>
      <w:r w:rsidRPr="005911E2">
        <w:t>ease of managing money relative to a sense of control over money.</w:t>
      </w:r>
    </w:p>
    <w:p w:rsidR="00423C90" w:rsidRDefault="00423C90" w:rsidP="00897C1E">
      <w:pPr>
        <w:pStyle w:val="BodyText1"/>
      </w:pPr>
    </w:p>
    <w:p w:rsidR="00E15AAB" w:rsidRDefault="00E15AAB" w:rsidP="00E15AAB">
      <w:pPr>
        <w:pStyle w:val="BodyText"/>
      </w:pPr>
      <w:r w:rsidRPr="005911E2">
        <w:t>While clearly the responses to these two questions are not independent, equally they do not move lock-step with each other. In particular</w:t>
      </w:r>
      <w:r>
        <w:t>,</w:t>
      </w:r>
      <w:r w:rsidRPr="005911E2">
        <w:t xml:space="preserve"> the higher level of ease in managing money seen for those on VIM is not wholly reflected in the feeling of control over money. </w:t>
      </w:r>
    </w:p>
    <w:p w:rsidR="00897C1E" w:rsidRPr="005911E2" w:rsidRDefault="00897C1E" w:rsidP="00897C1E">
      <w:pPr>
        <w:pStyle w:val="tabfighead"/>
      </w:pPr>
      <w:bookmarkStart w:id="1036" w:name="_Ref323941680"/>
      <w:bookmarkStart w:id="1037" w:name="_Toc322470924"/>
      <w:bookmarkStart w:id="1038" w:name="_Toc328601636"/>
      <w:bookmarkStart w:id="1039" w:name="_Toc329051414"/>
      <w:bookmarkStart w:id="1040" w:name="_Toc335915902"/>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10</w:t>
      </w:r>
      <w:r w:rsidR="00C7347D" w:rsidRPr="005911E2">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8</w:t>
      </w:r>
      <w:r w:rsidR="00C7347D" w:rsidRPr="005911E2">
        <w:fldChar w:fldCharType="end"/>
      </w:r>
      <w:bookmarkEnd w:id="1036"/>
      <w:r w:rsidRPr="005911E2">
        <w:tab/>
      </w:r>
      <w:r w:rsidR="00423C90">
        <w:t xml:space="preserve">LSNIM </w:t>
      </w:r>
      <w:r w:rsidRPr="005911E2">
        <w:t xml:space="preserve">Indigenous persons </w:t>
      </w:r>
      <w:r w:rsidR="00A21C6E">
        <w:t>by type of income management,</w:t>
      </w:r>
      <w:r w:rsidRPr="005911E2">
        <w:t xml:space="preserve"> association between control over money and ease of managing money</w:t>
      </w:r>
      <w:bookmarkEnd w:id="1037"/>
      <w:bookmarkEnd w:id="1038"/>
      <w:bookmarkEnd w:id="1039"/>
      <w:bookmarkEnd w:id="1040"/>
    </w:p>
    <w:tbl>
      <w:tblPr>
        <w:tblW w:w="8252" w:type="dxa"/>
        <w:jc w:val="right"/>
        <w:tblLayout w:type="fixed"/>
        <w:tblLook w:val="0000" w:firstRow="0" w:lastRow="0" w:firstColumn="0" w:lastColumn="0" w:noHBand="0" w:noVBand="0"/>
      </w:tblPr>
      <w:tblGrid>
        <w:gridCol w:w="1306"/>
        <w:gridCol w:w="700"/>
        <w:gridCol w:w="859"/>
        <w:gridCol w:w="851"/>
        <w:gridCol w:w="839"/>
        <w:gridCol w:w="283"/>
        <w:gridCol w:w="853"/>
        <w:gridCol w:w="850"/>
        <w:gridCol w:w="860"/>
        <w:gridCol w:w="851"/>
      </w:tblGrid>
      <w:tr w:rsidR="00897C1E" w:rsidRPr="005911E2" w:rsidTr="00ED761D">
        <w:trPr>
          <w:trHeight w:val="290"/>
          <w:jc w:val="right"/>
        </w:trPr>
        <w:tc>
          <w:tcPr>
            <w:tcW w:w="1306" w:type="dxa"/>
            <w:vMerge w:val="restart"/>
            <w:tcBorders>
              <w:top w:val="single" w:sz="4" w:space="0" w:color="auto"/>
              <w:left w:val="nil"/>
              <w:right w:val="nil"/>
            </w:tcBorders>
          </w:tcPr>
          <w:p w:rsidR="00897C1E" w:rsidRPr="005911E2" w:rsidRDefault="00897C1E" w:rsidP="00F104E9">
            <w:pPr>
              <w:pStyle w:val="braytabletext"/>
            </w:pPr>
            <w:r w:rsidRPr="005911E2">
              <w:t>Managing Money</w:t>
            </w:r>
          </w:p>
        </w:tc>
        <w:tc>
          <w:tcPr>
            <w:tcW w:w="3249" w:type="dxa"/>
            <w:gridSpan w:val="4"/>
            <w:tcBorders>
              <w:top w:val="single" w:sz="4" w:space="0" w:color="auto"/>
              <w:left w:val="nil"/>
              <w:bottom w:val="single" w:sz="4" w:space="0" w:color="auto"/>
              <w:right w:val="nil"/>
            </w:tcBorders>
          </w:tcPr>
          <w:p w:rsidR="00897C1E" w:rsidRPr="005911E2" w:rsidRDefault="00DC334F" w:rsidP="00A21C6E">
            <w:pPr>
              <w:pStyle w:val="braytabletext"/>
            </w:pPr>
            <w:r>
              <w:t xml:space="preserve">Compulsory </w:t>
            </w:r>
          </w:p>
        </w:tc>
        <w:tc>
          <w:tcPr>
            <w:tcW w:w="283" w:type="dxa"/>
            <w:tcBorders>
              <w:top w:val="single" w:sz="4" w:space="0" w:color="auto"/>
              <w:left w:val="nil"/>
              <w:bottom w:val="nil"/>
              <w:right w:val="nil"/>
            </w:tcBorders>
          </w:tcPr>
          <w:p w:rsidR="00897C1E" w:rsidRPr="005911E2" w:rsidRDefault="00897C1E" w:rsidP="00F104E9">
            <w:pPr>
              <w:pStyle w:val="braytabletext"/>
            </w:pPr>
          </w:p>
        </w:tc>
        <w:tc>
          <w:tcPr>
            <w:tcW w:w="3414" w:type="dxa"/>
            <w:gridSpan w:val="4"/>
            <w:tcBorders>
              <w:top w:val="single" w:sz="4" w:space="0" w:color="auto"/>
              <w:left w:val="nil"/>
              <w:bottom w:val="single" w:sz="4" w:space="0" w:color="auto"/>
              <w:right w:val="nil"/>
            </w:tcBorders>
          </w:tcPr>
          <w:p w:rsidR="00897C1E" w:rsidRPr="005911E2" w:rsidRDefault="00DC334F" w:rsidP="00A21C6E">
            <w:pPr>
              <w:pStyle w:val="braytabletext"/>
            </w:pPr>
            <w:r>
              <w:t xml:space="preserve">Voluntary </w:t>
            </w:r>
          </w:p>
        </w:tc>
      </w:tr>
      <w:tr w:rsidR="00897C1E" w:rsidRPr="005911E2" w:rsidTr="00ED761D">
        <w:trPr>
          <w:trHeight w:val="290"/>
          <w:jc w:val="right"/>
        </w:trPr>
        <w:tc>
          <w:tcPr>
            <w:tcW w:w="1306" w:type="dxa"/>
            <w:vMerge/>
            <w:tcBorders>
              <w:left w:val="nil"/>
              <w:right w:val="nil"/>
            </w:tcBorders>
          </w:tcPr>
          <w:p w:rsidR="00897C1E" w:rsidRPr="005911E2" w:rsidRDefault="00897C1E" w:rsidP="00F104E9">
            <w:pPr>
              <w:pStyle w:val="braytabletext"/>
            </w:pPr>
          </w:p>
        </w:tc>
        <w:tc>
          <w:tcPr>
            <w:tcW w:w="3249" w:type="dxa"/>
            <w:gridSpan w:val="4"/>
            <w:tcBorders>
              <w:top w:val="single" w:sz="4" w:space="0" w:color="auto"/>
              <w:left w:val="nil"/>
              <w:bottom w:val="single" w:sz="4" w:space="0" w:color="auto"/>
              <w:right w:val="nil"/>
            </w:tcBorders>
          </w:tcPr>
          <w:p w:rsidR="00897C1E" w:rsidRPr="005911E2" w:rsidRDefault="00897C1E" w:rsidP="00F104E9">
            <w:pPr>
              <w:pStyle w:val="braytabletext"/>
            </w:pPr>
            <w:r w:rsidRPr="005911E2">
              <w:t>Control over money</w:t>
            </w:r>
          </w:p>
        </w:tc>
        <w:tc>
          <w:tcPr>
            <w:tcW w:w="283" w:type="dxa"/>
            <w:tcBorders>
              <w:top w:val="nil"/>
              <w:left w:val="nil"/>
              <w:bottom w:val="nil"/>
              <w:right w:val="nil"/>
            </w:tcBorders>
          </w:tcPr>
          <w:p w:rsidR="00897C1E" w:rsidRPr="005911E2" w:rsidRDefault="00897C1E" w:rsidP="00F104E9">
            <w:pPr>
              <w:pStyle w:val="braytabletext"/>
            </w:pPr>
          </w:p>
        </w:tc>
        <w:tc>
          <w:tcPr>
            <w:tcW w:w="3414" w:type="dxa"/>
            <w:gridSpan w:val="4"/>
            <w:tcBorders>
              <w:top w:val="single" w:sz="4" w:space="0" w:color="auto"/>
              <w:left w:val="nil"/>
              <w:bottom w:val="single" w:sz="4" w:space="0" w:color="auto"/>
              <w:right w:val="nil"/>
            </w:tcBorders>
          </w:tcPr>
          <w:p w:rsidR="00897C1E" w:rsidRPr="005911E2" w:rsidRDefault="00897C1E" w:rsidP="00F104E9">
            <w:pPr>
              <w:pStyle w:val="braytabletext"/>
            </w:pPr>
            <w:r w:rsidRPr="005911E2">
              <w:t>Control over money</w:t>
            </w:r>
          </w:p>
        </w:tc>
      </w:tr>
      <w:tr w:rsidR="00897C1E" w:rsidRPr="005911E2" w:rsidTr="00ED761D">
        <w:trPr>
          <w:trHeight w:val="290"/>
          <w:jc w:val="right"/>
        </w:trPr>
        <w:tc>
          <w:tcPr>
            <w:tcW w:w="1306" w:type="dxa"/>
            <w:vMerge/>
            <w:tcBorders>
              <w:left w:val="nil"/>
              <w:bottom w:val="single" w:sz="4" w:space="0" w:color="auto"/>
              <w:right w:val="nil"/>
            </w:tcBorders>
          </w:tcPr>
          <w:p w:rsidR="00897C1E" w:rsidRPr="005911E2" w:rsidRDefault="00897C1E" w:rsidP="00F104E9">
            <w:pPr>
              <w:pStyle w:val="braytabletext"/>
            </w:pPr>
          </w:p>
        </w:tc>
        <w:tc>
          <w:tcPr>
            <w:tcW w:w="700" w:type="dxa"/>
            <w:tcBorders>
              <w:top w:val="single" w:sz="4" w:space="0" w:color="auto"/>
              <w:left w:val="nil"/>
              <w:bottom w:val="single" w:sz="4" w:space="0" w:color="auto"/>
              <w:right w:val="nil"/>
            </w:tcBorders>
          </w:tcPr>
          <w:p w:rsidR="00897C1E" w:rsidRPr="005911E2" w:rsidRDefault="00897C1E" w:rsidP="00F104E9">
            <w:pPr>
              <w:pStyle w:val="braytabletext"/>
              <w:jc w:val="right"/>
            </w:pPr>
            <w:r w:rsidRPr="005911E2">
              <w:t>Less</w:t>
            </w:r>
          </w:p>
        </w:tc>
        <w:tc>
          <w:tcPr>
            <w:tcW w:w="859" w:type="dxa"/>
            <w:tcBorders>
              <w:top w:val="single" w:sz="4" w:space="0" w:color="auto"/>
              <w:left w:val="nil"/>
              <w:bottom w:val="single" w:sz="4" w:space="0" w:color="auto"/>
              <w:right w:val="nil"/>
            </w:tcBorders>
          </w:tcPr>
          <w:p w:rsidR="00897C1E" w:rsidRPr="005911E2" w:rsidRDefault="00897C1E" w:rsidP="00F104E9">
            <w:pPr>
              <w:pStyle w:val="braytabletext"/>
              <w:jc w:val="right"/>
            </w:pPr>
            <w:r w:rsidRPr="005911E2">
              <w:t>The same</w:t>
            </w:r>
          </w:p>
        </w:tc>
        <w:tc>
          <w:tcPr>
            <w:tcW w:w="851" w:type="dxa"/>
            <w:tcBorders>
              <w:top w:val="single" w:sz="4" w:space="0" w:color="auto"/>
              <w:left w:val="nil"/>
              <w:bottom w:val="single" w:sz="4" w:space="0" w:color="auto"/>
              <w:right w:val="nil"/>
            </w:tcBorders>
          </w:tcPr>
          <w:p w:rsidR="00897C1E" w:rsidRPr="005911E2" w:rsidRDefault="00897C1E" w:rsidP="00F104E9">
            <w:pPr>
              <w:pStyle w:val="braytabletext"/>
              <w:jc w:val="right"/>
            </w:pPr>
            <w:r w:rsidRPr="005911E2">
              <w:t xml:space="preserve">More </w:t>
            </w:r>
          </w:p>
        </w:tc>
        <w:tc>
          <w:tcPr>
            <w:tcW w:w="839" w:type="dxa"/>
            <w:tcBorders>
              <w:top w:val="single" w:sz="4" w:space="0" w:color="auto"/>
              <w:left w:val="nil"/>
              <w:bottom w:val="single" w:sz="4" w:space="0" w:color="auto"/>
              <w:right w:val="nil"/>
            </w:tcBorders>
          </w:tcPr>
          <w:p w:rsidR="00897C1E" w:rsidRPr="005911E2" w:rsidRDefault="00897C1E" w:rsidP="00F104E9">
            <w:pPr>
              <w:pStyle w:val="braytabletext"/>
              <w:jc w:val="right"/>
            </w:pPr>
            <w:r w:rsidRPr="005911E2">
              <w:t>Total</w:t>
            </w:r>
          </w:p>
        </w:tc>
        <w:tc>
          <w:tcPr>
            <w:tcW w:w="283" w:type="dxa"/>
            <w:tcBorders>
              <w:top w:val="nil"/>
              <w:left w:val="nil"/>
              <w:bottom w:val="single" w:sz="4" w:space="0" w:color="auto"/>
              <w:right w:val="nil"/>
            </w:tcBorders>
          </w:tcPr>
          <w:p w:rsidR="00897C1E" w:rsidRPr="005911E2" w:rsidRDefault="00897C1E" w:rsidP="00F104E9">
            <w:pPr>
              <w:pStyle w:val="braytabletext"/>
              <w:jc w:val="right"/>
            </w:pPr>
          </w:p>
        </w:tc>
        <w:tc>
          <w:tcPr>
            <w:tcW w:w="853" w:type="dxa"/>
            <w:tcBorders>
              <w:top w:val="single" w:sz="4" w:space="0" w:color="auto"/>
              <w:left w:val="nil"/>
              <w:bottom w:val="single" w:sz="4" w:space="0" w:color="auto"/>
              <w:right w:val="nil"/>
            </w:tcBorders>
          </w:tcPr>
          <w:p w:rsidR="00897C1E" w:rsidRPr="005911E2" w:rsidRDefault="00897C1E" w:rsidP="00F104E9">
            <w:pPr>
              <w:pStyle w:val="braytabletext"/>
              <w:jc w:val="right"/>
            </w:pPr>
            <w:r w:rsidRPr="005911E2">
              <w:t>Less</w:t>
            </w:r>
          </w:p>
        </w:tc>
        <w:tc>
          <w:tcPr>
            <w:tcW w:w="850" w:type="dxa"/>
            <w:tcBorders>
              <w:top w:val="single" w:sz="4" w:space="0" w:color="auto"/>
              <w:left w:val="nil"/>
              <w:bottom w:val="single" w:sz="4" w:space="0" w:color="auto"/>
              <w:right w:val="nil"/>
            </w:tcBorders>
          </w:tcPr>
          <w:p w:rsidR="00897C1E" w:rsidRPr="005911E2" w:rsidRDefault="00897C1E" w:rsidP="00F104E9">
            <w:pPr>
              <w:pStyle w:val="braytabletext"/>
              <w:jc w:val="right"/>
            </w:pPr>
            <w:r w:rsidRPr="005911E2">
              <w:t>The same</w:t>
            </w:r>
          </w:p>
        </w:tc>
        <w:tc>
          <w:tcPr>
            <w:tcW w:w="860" w:type="dxa"/>
            <w:tcBorders>
              <w:top w:val="single" w:sz="4" w:space="0" w:color="auto"/>
              <w:left w:val="nil"/>
              <w:bottom w:val="single" w:sz="4" w:space="0" w:color="auto"/>
              <w:right w:val="nil"/>
            </w:tcBorders>
          </w:tcPr>
          <w:p w:rsidR="00897C1E" w:rsidRPr="005911E2" w:rsidRDefault="00897C1E" w:rsidP="00F104E9">
            <w:pPr>
              <w:pStyle w:val="braytabletext"/>
              <w:jc w:val="right"/>
            </w:pPr>
            <w:r w:rsidRPr="005911E2">
              <w:t xml:space="preserve">More </w:t>
            </w:r>
          </w:p>
        </w:tc>
        <w:tc>
          <w:tcPr>
            <w:tcW w:w="851" w:type="dxa"/>
            <w:tcBorders>
              <w:top w:val="single" w:sz="4" w:space="0" w:color="auto"/>
              <w:left w:val="nil"/>
              <w:bottom w:val="single" w:sz="4" w:space="0" w:color="auto"/>
              <w:right w:val="nil"/>
            </w:tcBorders>
          </w:tcPr>
          <w:p w:rsidR="00897C1E" w:rsidRPr="005911E2" w:rsidRDefault="00897C1E" w:rsidP="00F104E9">
            <w:pPr>
              <w:pStyle w:val="braytabletext"/>
              <w:jc w:val="right"/>
            </w:pPr>
            <w:r w:rsidRPr="005911E2">
              <w:t>Total</w:t>
            </w:r>
          </w:p>
        </w:tc>
      </w:tr>
      <w:tr w:rsidR="00897C1E" w:rsidRPr="005911E2" w:rsidTr="00ED761D">
        <w:trPr>
          <w:trHeight w:val="290"/>
          <w:jc w:val="right"/>
        </w:trPr>
        <w:tc>
          <w:tcPr>
            <w:tcW w:w="1306" w:type="dxa"/>
            <w:tcBorders>
              <w:top w:val="single" w:sz="4" w:space="0" w:color="auto"/>
              <w:left w:val="nil"/>
              <w:bottom w:val="nil"/>
              <w:right w:val="nil"/>
            </w:tcBorders>
          </w:tcPr>
          <w:p w:rsidR="00897C1E" w:rsidRPr="005911E2" w:rsidRDefault="00897C1E" w:rsidP="00F104E9">
            <w:pPr>
              <w:pStyle w:val="braytabletext"/>
            </w:pPr>
          </w:p>
        </w:tc>
        <w:tc>
          <w:tcPr>
            <w:tcW w:w="6946" w:type="dxa"/>
            <w:gridSpan w:val="9"/>
            <w:tcBorders>
              <w:top w:val="single" w:sz="4" w:space="0" w:color="auto"/>
              <w:left w:val="nil"/>
              <w:bottom w:val="nil"/>
              <w:right w:val="nil"/>
            </w:tcBorders>
          </w:tcPr>
          <w:p w:rsidR="00897C1E" w:rsidRPr="005911E2" w:rsidRDefault="00897C1E" w:rsidP="00F104E9">
            <w:pPr>
              <w:pStyle w:val="braytabletext"/>
              <w:jc w:val="center"/>
            </w:pPr>
            <w:r w:rsidRPr="005911E2">
              <w:t>- % -</w:t>
            </w:r>
          </w:p>
        </w:tc>
      </w:tr>
      <w:tr w:rsidR="00897C1E" w:rsidRPr="005911E2" w:rsidTr="00ED761D">
        <w:trPr>
          <w:trHeight w:val="290"/>
          <w:jc w:val="right"/>
        </w:trPr>
        <w:tc>
          <w:tcPr>
            <w:tcW w:w="1306" w:type="dxa"/>
            <w:tcBorders>
              <w:top w:val="nil"/>
              <w:left w:val="nil"/>
              <w:bottom w:val="nil"/>
              <w:right w:val="nil"/>
            </w:tcBorders>
          </w:tcPr>
          <w:p w:rsidR="00897C1E" w:rsidRPr="005911E2" w:rsidRDefault="00897C1E" w:rsidP="00F104E9">
            <w:pPr>
              <w:pStyle w:val="braytabletext"/>
            </w:pPr>
            <w:r w:rsidRPr="005911E2">
              <w:t>Harder</w:t>
            </w:r>
          </w:p>
        </w:tc>
        <w:tc>
          <w:tcPr>
            <w:tcW w:w="700" w:type="dxa"/>
            <w:tcBorders>
              <w:top w:val="nil"/>
              <w:left w:val="nil"/>
              <w:bottom w:val="nil"/>
              <w:right w:val="nil"/>
            </w:tcBorders>
          </w:tcPr>
          <w:p w:rsidR="00897C1E" w:rsidRPr="005911E2" w:rsidRDefault="00897C1E" w:rsidP="00F104E9">
            <w:pPr>
              <w:pStyle w:val="braytabletext"/>
              <w:jc w:val="right"/>
            </w:pPr>
            <w:r w:rsidRPr="005911E2">
              <w:t>12.1</w:t>
            </w:r>
          </w:p>
        </w:tc>
        <w:tc>
          <w:tcPr>
            <w:tcW w:w="859" w:type="dxa"/>
            <w:tcBorders>
              <w:top w:val="nil"/>
              <w:left w:val="nil"/>
              <w:bottom w:val="nil"/>
              <w:right w:val="nil"/>
            </w:tcBorders>
          </w:tcPr>
          <w:p w:rsidR="00897C1E" w:rsidRPr="005911E2" w:rsidRDefault="00897C1E" w:rsidP="00F104E9">
            <w:pPr>
              <w:pStyle w:val="braytabletext"/>
              <w:jc w:val="right"/>
            </w:pPr>
            <w:r w:rsidRPr="005911E2">
              <w:t>4.2</w:t>
            </w:r>
          </w:p>
        </w:tc>
        <w:tc>
          <w:tcPr>
            <w:tcW w:w="851" w:type="dxa"/>
            <w:tcBorders>
              <w:top w:val="nil"/>
              <w:left w:val="nil"/>
              <w:bottom w:val="nil"/>
              <w:right w:val="nil"/>
            </w:tcBorders>
          </w:tcPr>
          <w:p w:rsidR="00897C1E" w:rsidRPr="005911E2" w:rsidRDefault="00897C1E" w:rsidP="00F104E9">
            <w:pPr>
              <w:pStyle w:val="braytabletext"/>
              <w:jc w:val="right"/>
            </w:pPr>
            <w:r w:rsidRPr="005911E2">
              <w:t>2.9</w:t>
            </w:r>
          </w:p>
        </w:tc>
        <w:tc>
          <w:tcPr>
            <w:tcW w:w="839" w:type="dxa"/>
            <w:tcBorders>
              <w:top w:val="nil"/>
              <w:left w:val="nil"/>
              <w:bottom w:val="nil"/>
              <w:right w:val="nil"/>
            </w:tcBorders>
          </w:tcPr>
          <w:p w:rsidR="00897C1E" w:rsidRPr="005911E2" w:rsidRDefault="00897C1E" w:rsidP="00F104E9">
            <w:pPr>
              <w:pStyle w:val="braytabletext"/>
              <w:jc w:val="right"/>
            </w:pPr>
            <w:r w:rsidRPr="005911E2">
              <w:t>19.2</w:t>
            </w:r>
          </w:p>
        </w:tc>
        <w:tc>
          <w:tcPr>
            <w:tcW w:w="283" w:type="dxa"/>
            <w:tcBorders>
              <w:top w:val="nil"/>
              <w:left w:val="nil"/>
              <w:bottom w:val="nil"/>
              <w:right w:val="nil"/>
            </w:tcBorders>
          </w:tcPr>
          <w:p w:rsidR="00897C1E" w:rsidRPr="005911E2" w:rsidRDefault="00897C1E" w:rsidP="00F104E9">
            <w:pPr>
              <w:pStyle w:val="braytabletext"/>
              <w:jc w:val="right"/>
            </w:pPr>
          </w:p>
        </w:tc>
        <w:tc>
          <w:tcPr>
            <w:tcW w:w="853" w:type="dxa"/>
            <w:tcBorders>
              <w:top w:val="nil"/>
              <w:left w:val="nil"/>
              <w:bottom w:val="nil"/>
              <w:right w:val="nil"/>
            </w:tcBorders>
          </w:tcPr>
          <w:p w:rsidR="00897C1E" w:rsidRPr="005911E2" w:rsidRDefault="00897C1E" w:rsidP="00F104E9">
            <w:pPr>
              <w:pStyle w:val="braytabletext"/>
              <w:jc w:val="right"/>
            </w:pPr>
            <w:r w:rsidRPr="005911E2">
              <w:t>5.2</w:t>
            </w:r>
          </w:p>
        </w:tc>
        <w:tc>
          <w:tcPr>
            <w:tcW w:w="850" w:type="dxa"/>
            <w:tcBorders>
              <w:top w:val="nil"/>
              <w:left w:val="nil"/>
              <w:bottom w:val="nil"/>
              <w:right w:val="nil"/>
            </w:tcBorders>
          </w:tcPr>
          <w:p w:rsidR="00897C1E" w:rsidRPr="005911E2" w:rsidRDefault="00897C1E" w:rsidP="00F104E9">
            <w:pPr>
              <w:pStyle w:val="braytabletext"/>
              <w:jc w:val="right"/>
            </w:pPr>
            <w:r w:rsidRPr="005911E2">
              <w:t>1.5</w:t>
            </w:r>
          </w:p>
        </w:tc>
        <w:tc>
          <w:tcPr>
            <w:tcW w:w="860" w:type="dxa"/>
            <w:tcBorders>
              <w:top w:val="nil"/>
              <w:left w:val="nil"/>
              <w:bottom w:val="nil"/>
              <w:right w:val="nil"/>
            </w:tcBorders>
          </w:tcPr>
          <w:p w:rsidR="00897C1E" w:rsidRPr="005911E2" w:rsidRDefault="00897C1E" w:rsidP="00F104E9">
            <w:pPr>
              <w:pStyle w:val="braytabletext"/>
              <w:jc w:val="right"/>
            </w:pPr>
            <w:r w:rsidRPr="005911E2">
              <w:t>1.5</w:t>
            </w:r>
          </w:p>
        </w:tc>
        <w:tc>
          <w:tcPr>
            <w:tcW w:w="851" w:type="dxa"/>
            <w:tcBorders>
              <w:top w:val="nil"/>
              <w:left w:val="nil"/>
              <w:bottom w:val="nil"/>
              <w:right w:val="nil"/>
            </w:tcBorders>
          </w:tcPr>
          <w:p w:rsidR="00897C1E" w:rsidRPr="005911E2" w:rsidRDefault="00897C1E" w:rsidP="00F104E9">
            <w:pPr>
              <w:pStyle w:val="braytabletext"/>
              <w:jc w:val="right"/>
            </w:pPr>
            <w:r w:rsidRPr="005911E2">
              <w:t>8.2</w:t>
            </w:r>
          </w:p>
        </w:tc>
      </w:tr>
      <w:tr w:rsidR="00897C1E" w:rsidRPr="005911E2" w:rsidTr="00ED761D">
        <w:trPr>
          <w:trHeight w:val="290"/>
          <w:jc w:val="right"/>
        </w:trPr>
        <w:tc>
          <w:tcPr>
            <w:tcW w:w="1306" w:type="dxa"/>
            <w:tcBorders>
              <w:top w:val="nil"/>
              <w:left w:val="nil"/>
              <w:bottom w:val="nil"/>
              <w:right w:val="nil"/>
            </w:tcBorders>
          </w:tcPr>
          <w:p w:rsidR="00897C1E" w:rsidRPr="005911E2" w:rsidRDefault="00897C1E" w:rsidP="00F104E9">
            <w:pPr>
              <w:pStyle w:val="braytabletext"/>
            </w:pPr>
            <w:r w:rsidRPr="005911E2">
              <w:t>The same</w:t>
            </w:r>
          </w:p>
        </w:tc>
        <w:tc>
          <w:tcPr>
            <w:tcW w:w="700" w:type="dxa"/>
            <w:tcBorders>
              <w:top w:val="nil"/>
              <w:left w:val="nil"/>
              <w:bottom w:val="nil"/>
              <w:right w:val="nil"/>
            </w:tcBorders>
          </w:tcPr>
          <w:p w:rsidR="00897C1E" w:rsidRPr="005911E2" w:rsidRDefault="00897C1E" w:rsidP="00F104E9">
            <w:pPr>
              <w:pStyle w:val="braytabletext"/>
              <w:jc w:val="right"/>
            </w:pPr>
            <w:r w:rsidRPr="005911E2">
              <w:t>10.4</w:t>
            </w:r>
          </w:p>
        </w:tc>
        <w:tc>
          <w:tcPr>
            <w:tcW w:w="859" w:type="dxa"/>
            <w:tcBorders>
              <w:top w:val="nil"/>
              <w:left w:val="nil"/>
              <w:bottom w:val="nil"/>
              <w:right w:val="nil"/>
            </w:tcBorders>
          </w:tcPr>
          <w:p w:rsidR="00897C1E" w:rsidRPr="005911E2" w:rsidRDefault="00897C1E" w:rsidP="00F104E9">
            <w:pPr>
              <w:pStyle w:val="braytabletext"/>
              <w:jc w:val="right"/>
            </w:pPr>
            <w:r w:rsidRPr="005911E2">
              <w:t>28.3</w:t>
            </w:r>
          </w:p>
        </w:tc>
        <w:tc>
          <w:tcPr>
            <w:tcW w:w="851" w:type="dxa"/>
            <w:tcBorders>
              <w:top w:val="nil"/>
              <w:left w:val="nil"/>
              <w:bottom w:val="nil"/>
              <w:right w:val="nil"/>
            </w:tcBorders>
          </w:tcPr>
          <w:p w:rsidR="00897C1E" w:rsidRPr="005911E2" w:rsidRDefault="00897C1E" w:rsidP="00F104E9">
            <w:pPr>
              <w:pStyle w:val="braytabletext"/>
              <w:jc w:val="right"/>
            </w:pPr>
            <w:r w:rsidRPr="005911E2">
              <w:t>8.7</w:t>
            </w:r>
          </w:p>
        </w:tc>
        <w:tc>
          <w:tcPr>
            <w:tcW w:w="839" w:type="dxa"/>
            <w:tcBorders>
              <w:top w:val="nil"/>
              <w:left w:val="nil"/>
              <w:bottom w:val="nil"/>
              <w:right w:val="nil"/>
            </w:tcBorders>
          </w:tcPr>
          <w:p w:rsidR="00897C1E" w:rsidRPr="005911E2" w:rsidRDefault="00897C1E" w:rsidP="00F104E9">
            <w:pPr>
              <w:pStyle w:val="braytabletext"/>
              <w:jc w:val="right"/>
            </w:pPr>
            <w:r w:rsidRPr="005911E2">
              <w:t>47.3</w:t>
            </w:r>
          </w:p>
        </w:tc>
        <w:tc>
          <w:tcPr>
            <w:tcW w:w="283" w:type="dxa"/>
            <w:tcBorders>
              <w:top w:val="nil"/>
              <w:left w:val="nil"/>
              <w:bottom w:val="nil"/>
              <w:right w:val="nil"/>
            </w:tcBorders>
          </w:tcPr>
          <w:p w:rsidR="00897C1E" w:rsidRPr="005911E2" w:rsidRDefault="00897C1E" w:rsidP="00F104E9">
            <w:pPr>
              <w:pStyle w:val="braytabletext"/>
              <w:jc w:val="right"/>
            </w:pPr>
          </w:p>
        </w:tc>
        <w:tc>
          <w:tcPr>
            <w:tcW w:w="853" w:type="dxa"/>
            <w:tcBorders>
              <w:top w:val="nil"/>
              <w:left w:val="nil"/>
              <w:bottom w:val="nil"/>
              <w:right w:val="nil"/>
            </w:tcBorders>
          </w:tcPr>
          <w:p w:rsidR="00897C1E" w:rsidRPr="005911E2" w:rsidRDefault="00897C1E" w:rsidP="00F104E9">
            <w:pPr>
              <w:pStyle w:val="braytabletext"/>
              <w:jc w:val="right"/>
            </w:pPr>
            <w:r w:rsidRPr="005911E2">
              <w:t>4.5</w:t>
            </w:r>
          </w:p>
        </w:tc>
        <w:tc>
          <w:tcPr>
            <w:tcW w:w="850" w:type="dxa"/>
            <w:tcBorders>
              <w:top w:val="nil"/>
              <w:left w:val="nil"/>
              <w:bottom w:val="nil"/>
              <w:right w:val="nil"/>
            </w:tcBorders>
          </w:tcPr>
          <w:p w:rsidR="00897C1E" w:rsidRPr="005911E2" w:rsidRDefault="00897C1E" w:rsidP="00F104E9">
            <w:pPr>
              <w:pStyle w:val="braytabletext"/>
              <w:jc w:val="right"/>
            </w:pPr>
            <w:r w:rsidRPr="005911E2">
              <w:t>28.4</w:t>
            </w:r>
          </w:p>
        </w:tc>
        <w:tc>
          <w:tcPr>
            <w:tcW w:w="860" w:type="dxa"/>
            <w:tcBorders>
              <w:top w:val="nil"/>
              <w:left w:val="nil"/>
              <w:bottom w:val="nil"/>
              <w:right w:val="nil"/>
            </w:tcBorders>
          </w:tcPr>
          <w:p w:rsidR="00897C1E" w:rsidRPr="005911E2" w:rsidRDefault="00897C1E" w:rsidP="00F104E9">
            <w:pPr>
              <w:pStyle w:val="braytabletext"/>
              <w:jc w:val="right"/>
            </w:pPr>
            <w:r w:rsidRPr="005911E2">
              <w:t>9.7</w:t>
            </w:r>
          </w:p>
        </w:tc>
        <w:tc>
          <w:tcPr>
            <w:tcW w:w="851" w:type="dxa"/>
            <w:tcBorders>
              <w:top w:val="nil"/>
              <w:left w:val="nil"/>
              <w:bottom w:val="nil"/>
              <w:right w:val="nil"/>
            </w:tcBorders>
          </w:tcPr>
          <w:p w:rsidR="00897C1E" w:rsidRPr="005911E2" w:rsidRDefault="00897C1E" w:rsidP="00F104E9">
            <w:pPr>
              <w:pStyle w:val="braytabletext"/>
              <w:jc w:val="right"/>
            </w:pPr>
            <w:r w:rsidRPr="005911E2">
              <w:t>42.5</w:t>
            </w:r>
          </w:p>
        </w:tc>
      </w:tr>
      <w:tr w:rsidR="00897C1E" w:rsidRPr="005911E2" w:rsidTr="00ED761D">
        <w:trPr>
          <w:trHeight w:val="290"/>
          <w:jc w:val="right"/>
        </w:trPr>
        <w:tc>
          <w:tcPr>
            <w:tcW w:w="1306" w:type="dxa"/>
            <w:tcBorders>
              <w:top w:val="nil"/>
              <w:left w:val="nil"/>
              <w:right w:val="nil"/>
            </w:tcBorders>
          </w:tcPr>
          <w:p w:rsidR="00897C1E" w:rsidRPr="005911E2" w:rsidRDefault="00897C1E" w:rsidP="00F104E9">
            <w:pPr>
              <w:pStyle w:val="braytabletext"/>
            </w:pPr>
            <w:r w:rsidRPr="005911E2">
              <w:t>Easier</w:t>
            </w:r>
          </w:p>
        </w:tc>
        <w:tc>
          <w:tcPr>
            <w:tcW w:w="700" w:type="dxa"/>
            <w:tcBorders>
              <w:top w:val="nil"/>
              <w:left w:val="nil"/>
              <w:right w:val="nil"/>
            </w:tcBorders>
          </w:tcPr>
          <w:p w:rsidR="00897C1E" w:rsidRPr="005911E2" w:rsidRDefault="00897C1E" w:rsidP="00F104E9">
            <w:pPr>
              <w:pStyle w:val="braytabletext"/>
              <w:jc w:val="right"/>
            </w:pPr>
            <w:r w:rsidRPr="005911E2">
              <w:t>3.3</w:t>
            </w:r>
          </w:p>
        </w:tc>
        <w:tc>
          <w:tcPr>
            <w:tcW w:w="859" w:type="dxa"/>
            <w:tcBorders>
              <w:top w:val="nil"/>
              <w:left w:val="nil"/>
              <w:right w:val="nil"/>
            </w:tcBorders>
          </w:tcPr>
          <w:p w:rsidR="00897C1E" w:rsidRPr="005911E2" w:rsidRDefault="00897C1E" w:rsidP="00F104E9">
            <w:pPr>
              <w:pStyle w:val="braytabletext"/>
              <w:jc w:val="right"/>
            </w:pPr>
            <w:r w:rsidRPr="005911E2">
              <w:t>10.4</w:t>
            </w:r>
          </w:p>
        </w:tc>
        <w:tc>
          <w:tcPr>
            <w:tcW w:w="851" w:type="dxa"/>
            <w:tcBorders>
              <w:top w:val="nil"/>
              <w:left w:val="nil"/>
              <w:right w:val="nil"/>
            </w:tcBorders>
          </w:tcPr>
          <w:p w:rsidR="00897C1E" w:rsidRPr="005911E2" w:rsidRDefault="00897C1E" w:rsidP="00F104E9">
            <w:pPr>
              <w:pStyle w:val="braytabletext"/>
              <w:jc w:val="right"/>
            </w:pPr>
            <w:r w:rsidRPr="005911E2">
              <w:t>19.8</w:t>
            </w:r>
          </w:p>
        </w:tc>
        <w:tc>
          <w:tcPr>
            <w:tcW w:w="839" w:type="dxa"/>
            <w:tcBorders>
              <w:top w:val="nil"/>
              <w:left w:val="nil"/>
              <w:right w:val="nil"/>
            </w:tcBorders>
          </w:tcPr>
          <w:p w:rsidR="00897C1E" w:rsidRPr="005911E2" w:rsidRDefault="00897C1E" w:rsidP="00F104E9">
            <w:pPr>
              <w:pStyle w:val="braytabletext"/>
              <w:jc w:val="right"/>
            </w:pPr>
            <w:r w:rsidRPr="005911E2">
              <w:t>33.5</w:t>
            </w:r>
          </w:p>
        </w:tc>
        <w:tc>
          <w:tcPr>
            <w:tcW w:w="283" w:type="dxa"/>
            <w:tcBorders>
              <w:top w:val="nil"/>
              <w:left w:val="nil"/>
              <w:right w:val="nil"/>
            </w:tcBorders>
          </w:tcPr>
          <w:p w:rsidR="00897C1E" w:rsidRPr="005911E2" w:rsidRDefault="00897C1E" w:rsidP="00F104E9">
            <w:pPr>
              <w:pStyle w:val="braytabletext"/>
              <w:jc w:val="right"/>
            </w:pPr>
          </w:p>
        </w:tc>
        <w:tc>
          <w:tcPr>
            <w:tcW w:w="853" w:type="dxa"/>
            <w:tcBorders>
              <w:top w:val="nil"/>
              <w:left w:val="nil"/>
              <w:right w:val="nil"/>
            </w:tcBorders>
          </w:tcPr>
          <w:p w:rsidR="00897C1E" w:rsidRPr="005911E2" w:rsidRDefault="00897C1E" w:rsidP="00F104E9">
            <w:pPr>
              <w:pStyle w:val="braytabletext"/>
              <w:jc w:val="right"/>
            </w:pPr>
            <w:r w:rsidRPr="005911E2">
              <w:t>8.2</w:t>
            </w:r>
          </w:p>
        </w:tc>
        <w:tc>
          <w:tcPr>
            <w:tcW w:w="850" w:type="dxa"/>
            <w:tcBorders>
              <w:top w:val="nil"/>
              <w:left w:val="nil"/>
              <w:right w:val="nil"/>
            </w:tcBorders>
          </w:tcPr>
          <w:p w:rsidR="00897C1E" w:rsidRPr="005911E2" w:rsidRDefault="00897C1E" w:rsidP="00F104E9">
            <w:pPr>
              <w:pStyle w:val="braytabletext"/>
              <w:jc w:val="right"/>
            </w:pPr>
            <w:r w:rsidRPr="005911E2">
              <w:t>16.4</w:t>
            </w:r>
          </w:p>
        </w:tc>
        <w:tc>
          <w:tcPr>
            <w:tcW w:w="860" w:type="dxa"/>
            <w:tcBorders>
              <w:top w:val="nil"/>
              <w:left w:val="nil"/>
              <w:right w:val="nil"/>
            </w:tcBorders>
          </w:tcPr>
          <w:p w:rsidR="00897C1E" w:rsidRPr="005911E2" w:rsidRDefault="00897C1E" w:rsidP="00F104E9">
            <w:pPr>
              <w:pStyle w:val="braytabletext"/>
              <w:jc w:val="right"/>
            </w:pPr>
            <w:r w:rsidRPr="005911E2">
              <w:t>24.6</w:t>
            </w:r>
          </w:p>
        </w:tc>
        <w:tc>
          <w:tcPr>
            <w:tcW w:w="851" w:type="dxa"/>
            <w:tcBorders>
              <w:top w:val="nil"/>
              <w:left w:val="nil"/>
              <w:right w:val="nil"/>
            </w:tcBorders>
          </w:tcPr>
          <w:p w:rsidR="00897C1E" w:rsidRPr="005911E2" w:rsidRDefault="00897C1E" w:rsidP="00F104E9">
            <w:pPr>
              <w:pStyle w:val="braytabletext"/>
              <w:jc w:val="right"/>
            </w:pPr>
            <w:r w:rsidRPr="005911E2">
              <w:t>49.3</w:t>
            </w:r>
          </w:p>
        </w:tc>
      </w:tr>
      <w:tr w:rsidR="00897C1E" w:rsidRPr="005911E2" w:rsidTr="00ED761D">
        <w:trPr>
          <w:trHeight w:val="290"/>
          <w:jc w:val="right"/>
        </w:trPr>
        <w:tc>
          <w:tcPr>
            <w:tcW w:w="1306" w:type="dxa"/>
            <w:tcBorders>
              <w:top w:val="nil"/>
              <w:left w:val="nil"/>
              <w:bottom w:val="single" w:sz="4" w:space="0" w:color="auto"/>
              <w:right w:val="nil"/>
            </w:tcBorders>
          </w:tcPr>
          <w:p w:rsidR="00897C1E" w:rsidRPr="005911E2" w:rsidRDefault="00897C1E" w:rsidP="00F104E9">
            <w:pPr>
              <w:pStyle w:val="braytabletext"/>
            </w:pPr>
            <w:r w:rsidRPr="005911E2">
              <w:t>Total</w:t>
            </w:r>
          </w:p>
        </w:tc>
        <w:tc>
          <w:tcPr>
            <w:tcW w:w="700" w:type="dxa"/>
            <w:tcBorders>
              <w:top w:val="nil"/>
              <w:left w:val="nil"/>
              <w:bottom w:val="single" w:sz="4" w:space="0" w:color="auto"/>
              <w:right w:val="nil"/>
            </w:tcBorders>
          </w:tcPr>
          <w:p w:rsidR="00897C1E" w:rsidRPr="005911E2" w:rsidRDefault="00897C1E" w:rsidP="00F104E9">
            <w:pPr>
              <w:pStyle w:val="braytabletext"/>
              <w:jc w:val="right"/>
            </w:pPr>
            <w:r w:rsidRPr="005911E2">
              <w:t>25.8</w:t>
            </w:r>
          </w:p>
        </w:tc>
        <w:tc>
          <w:tcPr>
            <w:tcW w:w="859" w:type="dxa"/>
            <w:tcBorders>
              <w:top w:val="nil"/>
              <w:left w:val="nil"/>
              <w:bottom w:val="single" w:sz="4" w:space="0" w:color="auto"/>
              <w:right w:val="nil"/>
            </w:tcBorders>
          </w:tcPr>
          <w:p w:rsidR="00897C1E" w:rsidRPr="005911E2" w:rsidRDefault="00897C1E" w:rsidP="00F104E9">
            <w:pPr>
              <w:pStyle w:val="braytabletext"/>
              <w:jc w:val="right"/>
            </w:pPr>
            <w:r w:rsidRPr="005911E2">
              <w:t>42.9</w:t>
            </w:r>
          </w:p>
        </w:tc>
        <w:tc>
          <w:tcPr>
            <w:tcW w:w="851" w:type="dxa"/>
            <w:tcBorders>
              <w:top w:val="nil"/>
              <w:left w:val="nil"/>
              <w:bottom w:val="single" w:sz="4" w:space="0" w:color="auto"/>
              <w:right w:val="nil"/>
            </w:tcBorders>
          </w:tcPr>
          <w:p w:rsidR="00897C1E" w:rsidRPr="005911E2" w:rsidRDefault="00897C1E" w:rsidP="00F104E9">
            <w:pPr>
              <w:pStyle w:val="braytabletext"/>
              <w:jc w:val="right"/>
            </w:pPr>
            <w:r w:rsidRPr="005911E2">
              <w:t>31.3</w:t>
            </w:r>
          </w:p>
        </w:tc>
        <w:tc>
          <w:tcPr>
            <w:tcW w:w="839" w:type="dxa"/>
            <w:tcBorders>
              <w:top w:val="nil"/>
              <w:left w:val="nil"/>
              <w:bottom w:val="single" w:sz="4" w:space="0" w:color="auto"/>
              <w:right w:val="nil"/>
            </w:tcBorders>
          </w:tcPr>
          <w:p w:rsidR="00897C1E" w:rsidRPr="005911E2" w:rsidRDefault="00897C1E" w:rsidP="00F104E9">
            <w:pPr>
              <w:pStyle w:val="braytabletext"/>
              <w:jc w:val="right"/>
            </w:pPr>
            <w:r w:rsidRPr="005911E2">
              <w:t>100.0</w:t>
            </w:r>
          </w:p>
        </w:tc>
        <w:tc>
          <w:tcPr>
            <w:tcW w:w="283" w:type="dxa"/>
            <w:tcBorders>
              <w:top w:val="nil"/>
              <w:left w:val="nil"/>
              <w:bottom w:val="single" w:sz="4" w:space="0" w:color="auto"/>
              <w:right w:val="nil"/>
            </w:tcBorders>
          </w:tcPr>
          <w:p w:rsidR="00897C1E" w:rsidRPr="005911E2" w:rsidRDefault="00897C1E" w:rsidP="00F104E9">
            <w:pPr>
              <w:pStyle w:val="braytabletext"/>
              <w:jc w:val="right"/>
            </w:pPr>
          </w:p>
        </w:tc>
        <w:tc>
          <w:tcPr>
            <w:tcW w:w="853" w:type="dxa"/>
            <w:tcBorders>
              <w:top w:val="nil"/>
              <w:left w:val="nil"/>
              <w:bottom w:val="single" w:sz="4" w:space="0" w:color="auto"/>
              <w:right w:val="nil"/>
            </w:tcBorders>
          </w:tcPr>
          <w:p w:rsidR="00897C1E" w:rsidRPr="005911E2" w:rsidRDefault="00897C1E" w:rsidP="00F104E9">
            <w:pPr>
              <w:pStyle w:val="braytabletext"/>
              <w:jc w:val="right"/>
            </w:pPr>
            <w:r w:rsidRPr="005911E2">
              <w:t>17.9</w:t>
            </w:r>
          </w:p>
        </w:tc>
        <w:tc>
          <w:tcPr>
            <w:tcW w:w="850" w:type="dxa"/>
            <w:tcBorders>
              <w:top w:val="nil"/>
              <w:left w:val="nil"/>
              <w:bottom w:val="single" w:sz="4" w:space="0" w:color="auto"/>
              <w:right w:val="nil"/>
            </w:tcBorders>
          </w:tcPr>
          <w:p w:rsidR="00897C1E" w:rsidRPr="005911E2" w:rsidRDefault="00897C1E" w:rsidP="00F104E9">
            <w:pPr>
              <w:pStyle w:val="braytabletext"/>
              <w:jc w:val="right"/>
            </w:pPr>
            <w:r w:rsidRPr="005911E2">
              <w:t>46.3</w:t>
            </w:r>
          </w:p>
        </w:tc>
        <w:tc>
          <w:tcPr>
            <w:tcW w:w="860" w:type="dxa"/>
            <w:tcBorders>
              <w:top w:val="nil"/>
              <w:left w:val="nil"/>
              <w:bottom w:val="single" w:sz="4" w:space="0" w:color="auto"/>
              <w:right w:val="nil"/>
            </w:tcBorders>
          </w:tcPr>
          <w:p w:rsidR="00897C1E" w:rsidRPr="005911E2" w:rsidRDefault="00897C1E" w:rsidP="00F104E9">
            <w:pPr>
              <w:pStyle w:val="braytabletext"/>
              <w:jc w:val="right"/>
            </w:pPr>
            <w:r w:rsidRPr="005911E2">
              <w:t>35.8</w:t>
            </w:r>
          </w:p>
        </w:tc>
        <w:tc>
          <w:tcPr>
            <w:tcW w:w="851" w:type="dxa"/>
            <w:tcBorders>
              <w:top w:val="nil"/>
              <w:left w:val="nil"/>
              <w:bottom w:val="single" w:sz="4" w:space="0" w:color="auto"/>
              <w:right w:val="nil"/>
            </w:tcBorders>
          </w:tcPr>
          <w:p w:rsidR="00897C1E" w:rsidRPr="005911E2" w:rsidRDefault="00897C1E" w:rsidP="00F104E9">
            <w:pPr>
              <w:pStyle w:val="braytabletext"/>
              <w:jc w:val="right"/>
            </w:pPr>
            <w:r w:rsidRPr="005911E2">
              <w:t>100.0</w:t>
            </w:r>
          </w:p>
        </w:tc>
      </w:tr>
    </w:tbl>
    <w:p w:rsidR="00897C1E" w:rsidRPr="005911E2" w:rsidRDefault="00897C1E" w:rsidP="00CF78DB">
      <w:pPr>
        <w:pStyle w:val="tablefootnotes"/>
      </w:pPr>
      <w:r w:rsidRPr="005911E2">
        <w:t xml:space="preserve">Source: </w:t>
      </w:r>
      <w:r w:rsidRPr="005911E2">
        <w:tab/>
        <w:t>Derived from LSNIM, Wave 1.</w:t>
      </w:r>
    </w:p>
    <w:p w:rsidR="00897C1E" w:rsidRPr="005911E2" w:rsidRDefault="00897C1E" w:rsidP="004E3A29">
      <w:pPr>
        <w:pStyle w:val="tablefootnotes"/>
      </w:pPr>
    </w:p>
    <w:p w:rsidR="00897C1E" w:rsidRDefault="00897C1E" w:rsidP="00897C1E">
      <w:pPr>
        <w:pStyle w:val="BodyText"/>
      </w:pPr>
      <w:r w:rsidRPr="005911E2">
        <w:t xml:space="preserve">One possible reason for this is the extent to which </w:t>
      </w:r>
      <w:r w:rsidR="00F878E4">
        <w:t>income management</w:t>
      </w:r>
      <w:r w:rsidRPr="005911E2">
        <w:t xml:space="preserve"> tends to relieve people of their responsibility for </w:t>
      </w:r>
      <w:r w:rsidR="00DC334F">
        <w:t>m</w:t>
      </w:r>
      <w:r w:rsidRPr="005911E2">
        <w:t xml:space="preserve">aking financial decisions, thus making it easier to manage money while at the same time giving the individual less control. This is important in the context of the goals of </w:t>
      </w:r>
      <w:r w:rsidR="00F878E4">
        <w:t>income management</w:t>
      </w:r>
      <w:r w:rsidRPr="005911E2">
        <w:t xml:space="preserve"> with regard to </w:t>
      </w:r>
      <w:r w:rsidR="0031584C" w:rsidRPr="005911E2">
        <w:t>self-reliance</w:t>
      </w:r>
      <w:r w:rsidRPr="005911E2">
        <w:t xml:space="preserve">. In looking at this question it is clear that </w:t>
      </w:r>
      <w:r w:rsidR="00E15AAB">
        <w:t xml:space="preserve">the </w:t>
      </w:r>
      <w:r w:rsidRPr="005911E2">
        <w:t xml:space="preserve">ability to achieve some outcomes is not necessarily the same as having control. A further insight into the responses to these questions is given in </w:t>
      </w:r>
      <w:r w:rsidR="006F14AA" w:rsidRPr="005911E2">
        <w:t xml:space="preserve">Figure </w:t>
      </w:r>
      <w:r w:rsidR="006F14AA" w:rsidRPr="005911E2">
        <w:rPr>
          <w:noProof/>
        </w:rPr>
        <w:t>10</w:t>
      </w:r>
      <w:r w:rsidR="006F14AA" w:rsidRPr="005911E2">
        <w:noBreakHyphen/>
      </w:r>
      <w:r w:rsidR="006F14AA" w:rsidRPr="005911E2">
        <w:rPr>
          <w:noProof/>
        </w:rPr>
        <w:t>4</w:t>
      </w:r>
      <w:r w:rsidR="006A02CC" w:rsidRPr="005911E2">
        <w:t xml:space="preserve"> </w:t>
      </w:r>
      <w:r w:rsidRPr="005911E2">
        <w:t xml:space="preserve">which presents some results of multivariate analysis to identify the contribution of the type of </w:t>
      </w:r>
      <w:r w:rsidR="00F878E4">
        <w:t>income management</w:t>
      </w:r>
      <w:r w:rsidRPr="005911E2">
        <w:t xml:space="preserve"> the person is on</w:t>
      </w:r>
      <w:r w:rsidR="00DC334F">
        <w:t>;</w:t>
      </w:r>
      <w:r w:rsidRPr="005911E2">
        <w:t xml:space="preserve"> whether they had been on NTER IM and if they live in an NTER area</w:t>
      </w:r>
      <w:r w:rsidR="00DC334F">
        <w:t>;</w:t>
      </w:r>
      <w:r w:rsidRPr="005911E2">
        <w:t xml:space="preserve"> on their sense of control of money</w:t>
      </w:r>
      <w:r w:rsidR="00DC334F">
        <w:t>; and</w:t>
      </w:r>
      <w:r w:rsidRPr="005911E2">
        <w:t xml:space="preserve"> taking into account personal characteristics such as age and education</w:t>
      </w:r>
      <w:r w:rsidR="00E15AAB">
        <w:t>.</w:t>
      </w:r>
    </w:p>
    <w:p w:rsidR="00E15AAB" w:rsidRPr="005911E2" w:rsidRDefault="00E15AAB" w:rsidP="00E15AAB">
      <w:pPr>
        <w:pStyle w:val="BodyText1"/>
      </w:pPr>
      <w:r>
        <w:t>Effectively Figure 10-4 illustrates</w:t>
      </w:r>
      <w:r w:rsidRPr="005911E2">
        <w:t xml:space="preserve"> </w:t>
      </w:r>
      <w:r>
        <w:t xml:space="preserve">the </w:t>
      </w:r>
      <w:r w:rsidRPr="005911E2">
        <w:t xml:space="preserve">extent to which </w:t>
      </w:r>
      <w:r>
        <w:t xml:space="preserve">responses to </w:t>
      </w:r>
      <w:r w:rsidRPr="005911E2">
        <w:t>each question about financial control varies for these groups, relative to the contrast population</w:t>
      </w:r>
      <w:r>
        <w:t>,</w:t>
      </w:r>
      <w:r w:rsidRPr="005911E2">
        <w:t xml:space="preserve"> after controlling for a range of individual characteristics.</w:t>
      </w:r>
      <w:r>
        <w:rPr>
          <w:rStyle w:val="FootnoteReference"/>
        </w:rPr>
        <w:footnoteReference w:id="119"/>
      </w:r>
      <w:r w:rsidRPr="00CF518E">
        <w:rPr>
          <w:rStyle w:val="FootnoteReference"/>
        </w:rPr>
        <w:t xml:space="preserve"> </w:t>
      </w:r>
      <w:r w:rsidRPr="005911E2">
        <w:rPr>
          <w:rStyle w:val="FootnoteReference"/>
        </w:rPr>
        <w:footnoteReference w:id="120"/>
      </w:r>
      <w:r w:rsidRPr="005911E2">
        <w:t>.</w:t>
      </w:r>
    </w:p>
    <w:p w:rsidR="00897C1E" w:rsidRPr="005911E2" w:rsidRDefault="00897C1E" w:rsidP="00897C1E">
      <w:pPr>
        <w:pStyle w:val="tabfighead"/>
      </w:pPr>
      <w:bookmarkStart w:id="1041" w:name="_Ref323941708"/>
      <w:bookmarkStart w:id="1042" w:name="_Toc322470954"/>
      <w:bookmarkStart w:id="1043" w:name="_Toc328601670"/>
      <w:bookmarkStart w:id="1044" w:name="_Toc335915936"/>
      <w:r w:rsidRPr="005911E2">
        <w:t xml:space="preserve">Figure </w:t>
      </w:r>
      <w:r w:rsidR="00C7347D">
        <w:fldChar w:fldCharType="begin"/>
      </w:r>
      <w:r w:rsidR="00E74851">
        <w:instrText xml:space="preserve"> STYLEREF 1 \s </w:instrText>
      </w:r>
      <w:r w:rsidR="00C7347D">
        <w:fldChar w:fldCharType="separate"/>
      </w:r>
      <w:r w:rsidR="007D7E45">
        <w:rPr>
          <w:noProof/>
        </w:rPr>
        <w:t>10</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4</w:t>
      </w:r>
      <w:r w:rsidR="00C7347D">
        <w:fldChar w:fldCharType="end"/>
      </w:r>
      <w:bookmarkEnd w:id="1041"/>
      <w:r w:rsidRPr="005911E2">
        <w:t xml:space="preserve"> </w:t>
      </w:r>
      <w:r w:rsidR="00691035">
        <w:tab/>
      </w:r>
      <w:r w:rsidR="00423C90">
        <w:t>LSNIM m</w:t>
      </w:r>
      <w:r w:rsidRPr="005911E2">
        <w:t xml:space="preserve">ajor Indigenous sub-populations by type of </w:t>
      </w:r>
      <w:r w:rsidR="00F878E4">
        <w:t>income management</w:t>
      </w:r>
      <w:r w:rsidRPr="005911E2">
        <w:t xml:space="preserve">, past </w:t>
      </w:r>
      <w:r w:rsidR="00F878E4">
        <w:t>income management</w:t>
      </w:r>
      <w:r w:rsidRPr="005911E2">
        <w:t xml:space="preserve"> experience and location, multivariate analysis of control over money</w:t>
      </w:r>
      <w:bookmarkEnd w:id="1042"/>
      <w:bookmarkEnd w:id="1043"/>
      <w:bookmarkEnd w:id="1044"/>
    </w:p>
    <w:tbl>
      <w:tblPr>
        <w:tblStyle w:val="TableGrid"/>
        <w:tblW w:w="9356"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10-4 LSNIM major Indigenous sub-populations by type of income management, past income management experience and location, multivariate analysis of control over money"/>
        <w:tblDescription w:val="Figure 10-4 LSNIM major Indigenous sub-populations by type of income management, past income management experience and location, multivariate analysis of control over money"/>
      </w:tblPr>
      <w:tblGrid>
        <w:gridCol w:w="9356"/>
      </w:tblGrid>
      <w:tr w:rsidR="00897C1E" w:rsidRPr="005911E2" w:rsidTr="009D15E2">
        <w:trPr>
          <w:tblHeader/>
        </w:trPr>
        <w:tc>
          <w:tcPr>
            <w:tcW w:w="9356" w:type="dxa"/>
            <w:tcFitText/>
          </w:tcPr>
          <w:p w:rsidR="00897C1E" w:rsidRPr="005911E2" w:rsidRDefault="000975E8" w:rsidP="00ED761D">
            <w:pPr>
              <w:pStyle w:val="tabfighead"/>
              <w:ind w:left="0" w:firstLine="0"/>
              <w:jc w:val="right"/>
            </w:pPr>
            <w:r w:rsidRPr="009D15E2">
              <w:rPr>
                <w:noProof/>
                <w:lang w:eastAsia="en-AU" w:bidi="ar-SA"/>
              </w:rPr>
              <w:drawing>
                <wp:inline distT="0" distB="0" distL="0" distR="0" wp14:anchorId="580985AB" wp14:editId="0059DB73">
                  <wp:extent cx="5669280" cy="2857500"/>
                  <wp:effectExtent l="0" t="0" r="7620" b="0"/>
                  <wp:docPr id="8" name="Picture 5" descr="Figure 10-4 LSNIM major Indigenous sub-populations by type of income management, past income management experience and location, multivariate analysis of control over money" title="Figure 10-4 LSNIM major Indigenous sub-populations by type of income management, past income management experience and location, multivariate analysis of control over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srcRect/>
                          <a:stretch>
                            <a:fillRect/>
                          </a:stretch>
                        </pic:blipFill>
                        <pic:spPr bwMode="auto">
                          <a:xfrm>
                            <a:off x="0" y="0"/>
                            <a:ext cx="5669280" cy="2857500"/>
                          </a:xfrm>
                          <a:prstGeom prst="rect">
                            <a:avLst/>
                          </a:prstGeom>
                          <a:noFill/>
                          <a:ln w="9525">
                            <a:noFill/>
                            <a:miter lim="800000"/>
                            <a:headEnd/>
                            <a:tailEnd/>
                          </a:ln>
                        </pic:spPr>
                      </pic:pic>
                    </a:graphicData>
                  </a:graphic>
                </wp:inline>
              </w:drawing>
            </w:r>
          </w:p>
        </w:tc>
      </w:tr>
    </w:tbl>
    <w:p w:rsidR="00A21C6E" w:rsidRDefault="00A21C6E" w:rsidP="00A21C6E">
      <w:pPr>
        <w:pStyle w:val="tablefootnotes"/>
      </w:pPr>
      <w:r w:rsidRPr="00A21C6E">
        <w:t>Notes:</w:t>
      </w:r>
      <w:r w:rsidRPr="00A21C6E">
        <w:tab/>
        <w:t>CIM in this chart inc</w:t>
      </w:r>
      <w:r w:rsidR="00E15AAB">
        <w:t>l</w:t>
      </w:r>
      <w:r w:rsidRPr="00A21C6E">
        <w:t>udes all compulsory streams</w:t>
      </w:r>
      <w:r w:rsidR="00423C90">
        <w:t>.</w:t>
      </w:r>
    </w:p>
    <w:p w:rsidR="00897C1E" w:rsidRPr="005911E2" w:rsidRDefault="00897C1E" w:rsidP="00CF78DB">
      <w:pPr>
        <w:pStyle w:val="tablefootnotes"/>
      </w:pPr>
      <w:r w:rsidRPr="005911E2">
        <w:t xml:space="preserve">Source: </w:t>
      </w:r>
      <w:r w:rsidRPr="005911E2">
        <w:tab/>
        <w:t>Derived from LSNIM, Wave 1.</w:t>
      </w:r>
    </w:p>
    <w:p w:rsidR="00897C1E" w:rsidRPr="005911E2" w:rsidRDefault="00897C1E" w:rsidP="004E3A29">
      <w:pPr>
        <w:pStyle w:val="tablefootnotes"/>
      </w:pPr>
    </w:p>
    <w:p w:rsidR="00897C1E" w:rsidRPr="005911E2" w:rsidRDefault="00897C1E" w:rsidP="00897C1E">
      <w:pPr>
        <w:pStyle w:val="BodyText"/>
      </w:pPr>
      <w:r w:rsidRPr="005911E2">
        <w:t>Taking the three questions in turn:</w:t>
      </w:r>
    </w:p>
    <w:p w:rsidR="00897C1E" w:rsidRPr="005911E2" w:rsidRDefault="00897C1E" w:rsidP="00051CDC">
      <w:pPr>
        <w:pStyle w:val="ListBullet"/>
      </w:pPr>
      <w:r w:rsidRPr="005911E2">
        <w:t xml:space="preserve">Being in any of the four groups was associated with a less frequent feeling of being in control of one’s money compared to Indigenous respondents not on </w:t>
      </w:r>
      <w:r w:rsidR="00F878E4">
        <w:t>income management</w:t>
      </w:r>
      <w:r w:rsidRPr="005911E2">
        <w:t xml:space="preserve"> living in the contrast sites. This effect was only statistically significant at a 95 per cent level for those on </w:t>
      </w:r>
      <w:r w:rsidR="006A4E12">
        <w:t>c</w:t>
      </w:r>
      <w:r w:rsidR="004808B3">
        <w:t xml:space="preserve">ompulsory </w:t>
      </w:r>
      <w:r w:rsidR="006A4E12">
        <w:t xml:space="preserve">measures </w:t>
      </w:r>
      <w:r w:rsidRPr="005911E2">
        <w:t>who were not in an NTER area, with the effect being larger for those who had been subject to the NTER IM arrangements.</w:t>
      </w:r>
    </w:p>
    <w:p w:rsidR="00897C1E" w:rsidRPr="005911E2" w:rsidRDefault="00897C1E" w:rsidP="00051CDC">
      <w:pPr>
        <w:pStyle w:val="ListBullet"/>
      </w:pPr>
      <w:r w:rsidRPr="005911E2">
        <w:t xml:space="preserve">Ease of money management shows an inconsistent pattern across groups. Those on either </w:t>
      </w:r>
      <w:r w:rsidR="006A4E12">
        <w:t>c</w:t>
      </w:r>
      <w:r w:rsidR="004808B3">
        <w:t xml:space="preserve">ompulsory </w:t>
      </w:r>
      <w:r w:rsidRPr="005911E2">
        <w:t xml:space="preserve">or </w:t>
      </w:r>
      <w:r w:rsidR="006A4E12">
        <w:t>v</w:t>
      </w:r>
      <w:r w:rsidR="002B5A5C">
        <w:t xml:space="preserve">oluntary </w:t>
      </w:r>
      <w:r w:rsidR="006A4E12">
        <w:t xml:space="preserve">measures </w:t>
      </w:r>
      <w:r w:rsidRPr="005911E2">
        <w:t>who live in an NTER area, and who had previously been on NTER IM</w:t>
      </w:r>
      <w:r w:rsidR="006A4E12">
        <w:t>,</w:t>
      </w:r>
      <w:r w:rsidRPr="005911E2">
        <w:t xml:space="preserve"> report a statistically higher degree of ease of money management, relative to those not on </w:t>
      </w:r>
      <w:r w:rsidR="00F878E4">
        <w:t>income management</w:t>
      </w:r>
      <w:r w:rsidRPr="005911E2">
        <w:t xml:space="preserve"> in the contrast site who were asked about ease of management of income support payments. While those on </w:t>
      </w:r>
      <w:r w:rsidR="006A4E12">
        <w:t>c</w:t>
      </w:r>
      <w:r w:rsidR="004808B3">
        <w:t xml:space="preserve">ompulsory </w:t>
      </w:r>
      <w:r w:rsidR="006A4E12">
        <w:t xml:space="preserve">measures </w:t>
      </w:r>
      <w:r w:rsidRPr="005911E2">
        <w:t xml:space="preserve">in non-NTER areas who had been on NTER </w:t>
      </w:r>
      <w:r w:rsidR="00F878E4">
        <w:t>income management</w:t>
      </w:r>
      <w:r w:rsidRPr="005911E2">
        <w:t xml:space="preserve"> also have a positive result</w:t>
      </w:r>
      <w:r w:rsidR="006A4E12">
        <w:t>,</w:t>
      </w:r>
      <w:r w:rsidRPr="005911E2">
        <w:t xml:space="preserve"> the estimated effect is small and statistically insignificant.</w:t>
      </w:r>
      <w:r w:rsidR="00B62B2D">
        <w:t xml:space="preserve"> </w:t>
      </w:r>
      <w:r w:rsidRPr="005911E2">
        <w:t>In contrast</w:t>
      </w:r>
      <w:r w:rsidR="006A4E12">
        <w:t>,</w:t>
      </w:r>
      <w:r w:rsidRPr="005911E2">
        <w:t xml:space="preserve"> being on </w:t>
      </w:r>
      <w:r w:rsidR="006A4E12">
        <w:t>a c</w:t>
      </w:r>
      <w:r w:rsidR="004808B3">
        <w:t>ompulsory</w:t>
      </w:r>
      <w:r w:rsidR="006A4E12">
        <w:t xml:space="preserve"> measure</w:t>
      </w:r>
      <w:r w:rsidRPr="005911E2">
        <w:t>, not in an NTER area and not having been on NTER IM</w:t>
      </w:r>
      <w:r w:rsidR="006A4E12">
        <w:t>,</w:t>
      </w:r>
      <w:r w:rsidRPr="005911E2">
        <w:t xml:space="preserve"> is associated with a negative sense of ease of managing money compared to the respondents in the contrast sites.</w:t>
      </w:r>
    </w:p>
    <w:p w:rsidR="00897C1E" w:rsidRPr="005911E2" w:rsidRDefault="00897C1E" w:rsidP="00897C1E">
      <w:r w:rsidRPr="005911E2">
        <w:t>The fact that outcomes for those who had previously been on NTER IM tended to show improvements in their ease of managing money but no improvement in the other money measures</w:t>
      </w:r>
      <w:r w:rsidR="0060208C">
        <w:t>,</w:t>
      </w:r>
      <w:r w:rsidRPr="005911E2">
        <w:t xml:space="preserve"> raises the possibility that the longer term impact of </w:t>
      </w:r>
      <w:r w:rsidR="00F878E4">
        <w:t>income management</w:t>
      </w:r>
      <w:r w:rsidRPr="005911E2">
        <w:t xml:space="preserve"> may tend towards passivity and a sense of ease, rather than building a sense of control. This is a question which subsequent evaluation reports will provide further evidence </w:t>
      </w:r>
      <w:r w:rsidR="0060208C">
        <w:t>on</w:t>
      </w:r>
      <w:r w:rsidR="00E15AAB">
        <w:t>,</w:t>
      </w:r>
      <w:r w:rsidR="0060208C">
        <w:t xml:space="preserve"> </w:t>
      </w:r>
      <w:r w:rsidRPr="005911E2">
        <w:t xml:space="preserve">as the length of time people have been on </w:t>
      </w:r>
      <w:r w:rsidR="00F878E4">
        <w:t>income management</w:t>
      </w:r>
      <w:r w:rsidRPr="005911E2">
        <w:t xml:space="preserve"> increases.</w:t>
      </w:r>
    </w:p>
    <w:p w:rsidR="00897C1E" w:rsidRPr="005911E2" w:rsidRDefault="00897C1E" w:rsidP="00616B0F">
      <w:pPr>
        <w:pStyle w:val="Heading2"/>
      </w:pPr>
      <w:bookmarkStart w:id="1045" w:name="_Toc322470833"/>
      <w:bookmarkStart w:id="1046" w:name="_Toc328601531"/>
      <w:bookmarkStart w:id="1047" w:name="_Toc329870412"/>
      <w:bookmarkStart w:id="1048" w:name="_Toc335915798"/>
      <w:r w:rsidRPr="005911E2">
        <w:t xml:space="preserve">Attitudes to </w:t>
      </w:r>
      <w:bookmarkEnd w:id="1045"/>
      <w:r w:rsidR="00F878E4">
        <w:t>income management</w:t>
      </w:r>
      <w:bookmarkEnd w:id="1046"/>
      <w:bookmarkEnd w:id="1047"/>
      <w:bookmarkEnd w:id="1048"/>
    </w:p>
    <w:p w:rsidR="00897C1E" w:rsidRPr="005911E2" w:rsidRDefault="00897C1E" w:rsidP="00897C1E">
      <w:pPr>
        <w:pStyle w:val="BodyText"/>
        <w:rPr>
          <w:lang w:eastAsia="en-US"/>
        </w:rPr>
      </w:pPr>
      <w:r w:rsidRPr="005911E2">
        <w:rPr>
          <w:lang w:eastAsia="en-US"/>
        </w:rPr>
        <w:t>Survey participants in the</w:t>
      </w:r>
      <w:r w:rsidR="006435C8">
        <w:rPr>
          <w:lang w:eastAsia="en-US"/>
        </w:rPr>
        <w:t xml:space="preserve"> Northern Territory </w:t>
      </w:r>
      <w:r w:rsidRPr="005911E2">
        <w:rPr>
          <w:lang w:eastAsia="en-US"/>
        </w:rPr>
        <w:t xml:space="preserve">were asked a series of questions relating to their feelings about </w:t>
      </w:r>
      <w:r w:rsidR="00F878E4">
        <w:rPr>
          <w:lang w:eastAsia="en-US"/>
        </w:rPr>
        <w:t>income management</w:t>
      </w:r>
      <w:r w:rsidRPr="005911E2">
        <w:rPr>
          <w:lang w:eastAsia="en-US"/>
        </w:rPr>
        <w:t xml:space="preserve"> and being income managed. As a reference point</w:t>
      </w:r>
      <w:r w:rsidR="0060208C">
        <w:rPr>
          <w:lang w:eastAsia="en-US"/>
        </w:rPr>
        <w:t>,</w:t>
      </w:r>
      <w:r w:rsidRPr="005911E2">
        <w:rPr>
          <w:lang w:eastAsia="en-US"/>
        </w:rPr>
        <w:t xml:space="preserve"> the same questions were asked of the contrast population in terms of their feelings about Centrelink payments. This approach allows for some separation between the actual dimension of </w:t>
      </w:r>
      <w:r w:rsidR="00F878E4">
        <w:rPr>
          <w:lang w:eastAsia="en-US"/>
        </w:rPr>
        <w:t>income management</w:t>
      </w:r>
      <w:r w:rsidRPr="005911E2">
        <w:rPr>
          <w:lang w:eastAsia="en-US"/>
        </w:rPr>
        <w:t xml:space="preserve"> and the underlying payment which is being income managed.</w:t>
      </w:r>
    </w:p>
    <w:p w:rsidR="00897C1E" w:rsidRPr="005911E2" w:rsidRDefault="00897C1E" w:rsidP="00897C1E">
      <w:pPr>
        <w:pStyle w:val="BodyText"/>
        <w:rPr>
          <w:lang w:eastAsia="en-US"/>
        </w:rPr>
      </w:pPr>
      <w:r w:rsidRPr="005911E2">
        <w:rPr>
          <w:lang w:eastAsia="en-US"/>
        </w:rPr>
        <w:t xml:space="preserve">While these questions produce valuable data, it is also important to recognise that individual responses to questions about </w:t>
      </w:r>
      <w:r w:rsidR="00F878E4">
        <w:rPr>
          <w:lang w:eastAsia="en-US"/>
        </w:rPr>
        <w:t>income management</w:t>
      </w:r>
      <w:r w:rsidRPr="005911E2">
        <w:rPr>
          <w:lang w:eastAsia="en-US"/>
        </w:rPr>
        <w:t xml:space="preserve"> may reflect their views on particular aspects of </w:t>
      </w:r>
      <w:r w:rsidR="00F878E4">
        <w:rPr>
          <w:lang w:eastAsia="en-US"/>
        </w:rPr>
        <w:t>income management</w:t>
      </w:r>
      <w:r w:rsidRPr="005911E2">
        <w:rPr>
          <w:lang w:eastAsia="en-US"/>
        </w:rPr>
        <w:t xml:space="preserve"> rather than </w:t>
      </w:r>
      <w:r w:rsidR="00F878E4">
        <w:rPr>
          <w:lang w:eastAsia="en-US"/>
        </w:rPr>
        <w:t>income management</w:t>
      </w:r>
      <w:r w:rsidRPr="005911E2">
        <w:rPr>
          <w:lang w:eastAsia="en-US"/>
        </w:rPr>
        <w:t xml:space="preserve"> as a whole. Of particular note here is the role of the BasicsCard. While this forms one part of </w:t>
      </w:r>
      <w:r w:rsidR="00F878E4">
        <w:rPr>
          <w:lang w:eastAsia="en-US"/>
        </w:rPr>
        <w:t>income management</w:t>
      </w:r>
      <w:r w:rsidRPr="005911E2">
        <w:rPr>
          <w:lang w:eastAsia="en-US"/>
        </w:rPr>
        <w:t>, some of its characteristics, such as providing fee free banking, go beyond its role in limiting the activities on which income managed funds can be spent. Furthermore</w:t>
      </w:r>
      <w:r w:rsidR="0060208C">
        <w:rPr>
          <w:lang w:eastAsia="en-US"/>
        </w:rPr>
        <w:t>,</w:t>
      </w:r>
      <w:r w:rsidRPr="005911E2">
        <w:rPr>
          <w:lang w:eastAsia="en-US"/>
        </w:rPr>
        <w:t xml:space="preserve"> survey participants in the</w:t>
      </w:r>
      <w:r w:rsidR="006435C8">
        <w:rPr>
          <w:lang w:eastAsia="en-US"/>
        </w:rPr>
        <w:t xml:space="preserve"> Northern Territory </w:t>
      </w:r>
      <w:r w:rsidRPr="005911E2">
        <w:rPr>
          <w:lang w:eastAsia="en-US"/>
        </w:rPr>
        <w:t xml:space="preserve">may also be reflecting the wide range of other activities that have been undertaken as part of the NTER and </w:t>
      </w:r>
      <w:r w:rsidR="0060208C">
        <w:rPr>
          <w:lang w:eastAsia="en-US"/>
        </w:rPr>
        <w:t>‘</w:t>
      </w:r>
      <w:r w:rsidRPr="005911E2">
        <w:rPr>
          <w:lang w:eastAsia="en-US"/>
        </w:rPr>
        <w:t>Closing the Gap</w:t>
      </w:r>
      <w:r w:rsidR="0060208C">
        <w:rPr>
          <w:lang w:eastAsia="en-US"/>
        </w:rPr>
        <w:t>’</w:t>
      </w:r>
      <w:r w:rsidRPr="005911E2">
        <w:rPr>
          <w:lang w:eastAsia="en-US"/>
        </w:rPr>
        <w:t>. It is not possible at this stage to disentangle these effects.</w:t>
      </w:r>
    </w:p>
    <w:p w:rsidR="00897C1E" w:rsidRPr="005911E2" w:rsidRDefault="00897C1E" w:rsidP="00897C1E">
      <w:pPr>
        <w:pStyle w:val="BodyText"/>
        <w:rPr>
          <w:lang w:eastAsia="en-US"/>
        </w:rPr>
      </w:pPr>
      <w:r w:rsidRPr="005911E2">
        <w:rPr>
          <w:lang w:eastAsia="en-US"/>
        </w:rPr>
        <w:t xml:space="preserve">Survey participants who were </w:t>
      </w:r>
      <w:r w:rsidR="00CF518E">
        <w:rPr>
          <w:lang w:eastAsia="en-US"/>
        </w:rPr>
        <w:t xml:space="preserve">subject </w:t>
      </w:r>
      <w:r w:rsidR="00614538">
        <w:rPr>
          <w:lang w:eastAsia="en-US"/>
        </w:rPr>
        <w:t xml:space="preserve">to </w:t>
      </w:r>
      <w:r w:rsidR="00F878E4">
        <w:rPr>
          <w:lang w:eastAsia="en-US"/>
        </w:rPr>
        <w:t>income manage</w:t>
      </w:r>
      <w:r w:rsidR="00CF518E">
        <w:rPr>
          <w:lang w:eastAsia="en-US"/>
        </w:rPr>
        <w:t>ment</w:t>
      </w:r>
      <w:r w:rsidRPr="005911E2">
        <w:rPr>
          <w:lang w:eastAsia="en-US"/>
        </w:rPr>
        <w:t xml:space="preserve"> were asked how often in relation to </w:t>
      </w:r>
      <w:r w:rsidR="00F878E4">
        <w:rPr>
          <w:lang w:eastAsia="en-US"/>
        </w:rPr>
        <w:t>income management</w:t>
      </w:r>
      <w:r w:rsidRPr="005911E2">
        <w:rPr>
          <w:lang w:eastAsia="en-US"/>
        </w:rPr>
        <w:t xml:space="preserve"> that they felt: discriminated against; embarrassed; a sense of unfairness; more in control of life; that things were better for their family; more in control of their money; not worried about money</w:t>
      </w:r>
      <w:r w:rsidRPr="005911E2">
        <w:t>;</w:t>
      </w:r>
      <w:r w:rsidRPr="005911E2">
        <w:rPr>
          <w:lang w:eastAsia="en-US"/>
        </w:rPr>
        <w:t xml:space="preserve"> and safer. Survey participants in the contrast sites were asked </w:t>
      </w:r>
      <w:r w:rsidR="0060208C">
        <w:rPr>
          <w:lang w:eastAsia="en-US"/>
        </w:rPr>
        <w:t>‘</w:t>
      </w:r>
      <w:r w:rsidRPr="005911E2">
        <w:rPr>
          <w:lang w:eastAsia="en-US"/>
        </w:rPr>
        <w:t>How often do you feel this way about being on Centrelink payments</w:t>
      </w:r>
      <w:r w:rsidR="0060208C">
        <w:rPr>
          <w:lang w:eastAsia="en-US"/>
        </w:rPr>
        <w:t>’</w:t>
      </w:r>
      <w:r w:rsidRPr="005911E2">
        <w:rPr>
          <w:lang w:eastAsia="en-US"/>
        </w:rPr>
        <w:t xml:space="preserve">. In each case people were asked if they felt this way in five categories which range from </w:t>
      </w:r>
      <w:r w:rsidR="00E15AAB">
        <w:rPr>
          <w:lang w:eastAsia="en-US"/>
        </w:rPr>
        <w:t>‘</w:t>
      </w:r>
      <w:r w:rsidRPr="005911E2">
        <w:rPr>
          <w:lang w:eastAsia="en-US"/>
        </w:rPr>
        <w:t>All of the time</w:t>
      </w:r>
      <w:r w:rsidR="0060208C">
        <w:rPr>
          <w:lang w:eastAsia="en-US"/>
        </w:rPr>
        <w:t>’</w:t>
      </w:r>
      <w:r w:rsidRPr="005911E2">
        <w:rPr>
          <w:lang w:eastAsia="en-US"/>
        </w:rPr>
        <w:t xml:space="preserve"> to </w:t>
      </w:r>
      <w:r w:rsidR="0060208C">
        <w:rPr>
          <w:lang w:eastAsia="en-US"/>
        </w:rPr>
        <w:t>’</w:t>
      </w:r>
      <w:r w:rsidRPr="005911E2">
        <w:rPr>
          <w:lang w:eastAsia="en-US"/>
        </w:rPr>
        <w:t>Never</w:t>
      </w:r>
      <w:r w:rsidR="0060208C">
        <w:rPr>
          <w:lang w:eastAsia="en-US"/>
        </w:rPr>
        <w:t>’</w:t>
      </w:r>
      <w:r w:rsidRPr="005911E2">
        <w:rPr>
          <w:lang w:eastAsia="en-US"/>
        </w:rPr>
        <w:t>.</w:t>
      </w:r>
      <w:r w:rsidRPr="005911E2">
        <w:rPr>
          <w:rStyle w:val="FootnoteReference"/>
        </w:rPr>
        <w:footnoteReference w:id="121"/>
      </w:r>
      <w:r w:rsidRPr="005911E2">
        <w:rPr>
          <w:lang w:eastAsia="en-US"/>
        </w:rPr>
        <w:t xml:space="preserve"> </w:t>
      </w:r>
    </w:p>
    <w:p w:rsidR="00897C1E" w:rsidRDefault="00897C1E" w:rsidP="00897C1E">
      <w:pPr>
        <w:pStyle w:val="BodyText"/>
        <w:rPr>
          <w:lang w:eastAsia="en-US"/>
        </w:rPr>
      </w:pPr>
      <w:r w:rsidRPr="005911E2">
        <w:rPr>
          <w:lang w:eastAsia="en-US"/>
        </w:rPr>
        <w:t xml:space="preserve">As with other aspects of </w:t>
      </w:r>
      <w:r w:rsidR="00F878E4">
        <w:rPr>
          <w:lang w:eastAsia="en-US"/>
        </w:rPr>
        <w:t>income management</w:t>
      </w:r>
      <w:r w:rsidRPr="005911E2">
        <w:rPr>
          <w:lang w:eastAsia="en-US"/>
        </w:rPr>
        <w:t xml:space="preserve"> asked about, there is a substantial diversity of responses.</w:t>
      </w:r>
      <w:r w:rsidR="00B62B2D">
        <w:rPr>
          <w:lang w:eastAsia="en-US"/>
        </w:rPr>
        <w:t xml:space="preserve"> </w:t>
      </w:r>
      <w:r w:rsidRPr="005911E2">
        <w:rPr>
          <w:lang w:eastAsia="en-US"/>
        </w:rPr>
        <w:t xml:space="preserve">These are detailed in </w:t>
      </w:r>
      <w:r w:rsidR="006F14AA" w:rsidRPr="005911E2">
        <w:t xml:space="preserve">Table </w:t>
      </w:r>
      <w:r w:rsidR="006F14AA" w:rsidRPr="005911E2">
        <w:rPr>
          <w:noProof/>
        </w:rPr>
        <w:t>10</w:t>
      </w:r>
      <w:r w:rsidR="006F14AA" w:rsidRPr="005911E2">
        <w:noBreakHyphen/>
      </w:r>
      <w:r w:rsidR="006F14AA" w:rsidRPr="005911E2">
        <w:rPr>
          <w:noProof/>
        </w:rPr>
        <w:t>9</w:t>
      </w:r>
      <w:r w:rsidRPr="005911E2">
        <w:rPr>
          <w:lang w:eastAsia="en-US"/>
        </w:rPr>
        <w:t xml:space="preserve">, while </w:t>
      </w:r>
      <w:r w:rsidR="006F14AA" w:rsidRPr="005911E2">
        <w:t xml:space="preserve">Table </w:t>
      </w:r>
      <w:r w:rsidR="006F14AA" w:rsidRPr="005911E2">
        <w:rPr>
          <w:noProof/>
        </w:rPr>
        <w:t>10</w:t>
      </w:r>
      <w:r w:rsidR="006F14AA" w:rsidRPr="005911E2">
        <w:noBreakHyphen/>
      </w:r>
      <w:r w:rsidR="006F14AA" w:rsidRPr="005911E2">
        <w:rPr>
          <w:noProof/>
        </w:rPr>
        <w:t>10</w:t>
      </w:r>
      <w:r w:rsidR="006A02CC" w:rsidRPr="005911E2">
        <w:rPr>
          <w:lang w:eastAsia="en-US"/>
        </w:rPr>
        <w:t xml:space="preserve"> </w:t>
      </w:r>
      <w:r w:rsidRPr="005911E2">
        <w:rPr>
          <w:lang w:eastAsia="en-US"/>
        </w:rPr>
        <w:t xml:space="preserve">provides some results of multivariate analysis designed to identify the independent contribution of </w:t>
      </w:r>
      <w:r w:rsidR="00F878E4">
        <w:rPr>
          <w:lang w:eastAsia="en-US"/>
        </w:rPr>
        <w:t>income management</w:t>
      </w:r>
      <w:r w:rsidRPr="005911E2">
        <w:rPr>
          <w:lang w:eastAsia="en-US"/>
        </w:rPr>
        <w:t xml:space="preserve"> and other interventions to these outcomes</w:t>
      </w:r>
      <w:r w:rsidR="00FA5A6B">
        <w:rPr>
          <w:lang w:eastAsia="en-US"/>
        </w:rPr>
        <w:t>.</w:t>
      </w:r>
      <w:r w:rsidRPr="005911E2">
        <w:rPr>
          <w:rStyle w:val="FootnoteReference"/>
          <w:lang w:eastAsia="en-US"/>
        </w:rPr>
        <w:footnoteReference w:id="122"/>
      </w:r>
      <w:r w:rsidR="00B62B2D">
        <w:rPr>
          <w:lang w:eastAsia="en-US"/>
        </w:rPr>
        <w:t xml:space="preserve"> </w:t>
      </w:r>
      <w:r w:rsidRPr="005911E2">
        <w:rPr>
          <w:lang w:eastAsia="en-US"/>
        </w:rPr>
        <w:t xml:space="preserve">This analysis has again been limited to the Indigenous population as these are the majority of the people on </w:t>
      </w:r>
      <w:r w:rsidR="00F878E4">
        <w:rPr>
          <w:lang w:eastAsia="en-US"/>
        </w:rPr>
        <w:t>income management</w:t>
      </w:r>
      <w:r w:rsidRPr="005911E2">
        <w:rPr>
          <w:lang w:eastAsia="en-US"/>
        </w:rPr>
        <w:t xml:space="preserve"> and because of the marked difference in the non-Indigenous contrast site population.</w:t>
      </w:r>
    </w:p>
    <w:p w:rsidR="00E15AAB" w:rsidRPr="005911E2" w:rsidRDefault="00E15AAB" w:rsidP="00897C1E">
      <w:pPr>
        <w:pStyle w:val="BodyText"/>
        <w:rPr>
          <w:lang w:eastAsia="en-US"/>
        </w:rPr>
      </w:pPr>
    </w:p>
    <w:p w:rsidR="00897C1E" w:rsidRPr="005911E2" w:rsidRDefault="00897C1E" w:rsidP="00897C1E">
      <w:pPr>
        <w:pStyle w:val="tabfighead"/>
      </w:pPr>
      <w:bookmarkStart w:id="1049" w:name="_Ref323941590"/>
      <w:bookmarkStart w:id="1050" w:name="_Toc322470925"/>
      <w:bookmarkStart w:id="1051" w:name="_Toc328601637"/>
      <w:bookmarkStart w:id="1052" w:name="_Toc329051415"/>
      <w:bookmarkStart w:id="1053" w:name="_Toc335915903"/>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10</w:t>
      </w:r>
      <w:r w:rsidR="00C7347D" w:rsidRPr="005911E2">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9</w:t>
      </w:r>
      <w:r w:rsidR="00C7347D" w:rsidRPr="005911E2">
        <w:fldChar w:fldCharType="end"/>
      </w:r>
      <w:bookmarkEnd w:id="1049"/>
      <w:r w:rsidRPr="005911E2">
        <w:tab/>
        <w:t xml:space="preserve">Attitudes to </w:t>
      </w:r>
      <w:r w:rsidR="00F878E4">
        <w:t>income management</w:t>
      </w:r>
      <w:r w:rsidRPr="005911E2">
        <w:t>/ Centrelink Payments,</w:t>
      </w:r>
      <w:r w:rsidR="006435C8">
        <w:t xml:space="preserve"> Northern Territory </w:t>
      </w:r>
      <w:r w:rsidRPr="005911E2">
        <w:t>and contrast site survey participants</w:t>
      </w:r>
      <w:bookmarkEnd w:id="1050"/>
      <w:bookmarkEnd w:id="1051"/>
      <w:bookmarkEnd w:id="1052"/>
      <w:bookmarkEnd w:id="1053"/>
      <w:r w:rsidRPr="005911E2">
        <w:t xml:space="preserve"> </w:t>
      </w:r>
    </w:p>
    <w:tbl>
      <w:tblPr>
        <w:tblW w:w="4540" w:type="pct"/>
        <w:jc w:val="right"/>
        <w:tblLayout w:type="fixed"/>
        <w:tblLook w:val="0000" w:firstRow="0" w:lastRow="0" w:firstColumn="0" w:lastColumn="0" w:noHBand="0" w:noVBand="0"/>
      </w:tblPr>
      <w:tblGrid>
        <w:gridCol w:w="1490"/>
        <w:gridCol w:w="679"/>
        <w:gridCol w:w="261"/>
        <w:gridCol w:w="806"/>
        <w:gridCol w:w="10"/>
        <w:gridCol w:w="236"/>
        <w:gridCol w:w="735"/>
        <w:gridCol w:w="808"/>
        <w:gridCol w:w="236"/>
        <w:gridCol w:w="1017"/>
        <w:gridCol w:w="330"/>
        <w:gridCol w:w="852"/>
        <w:gridCol w:w="798"/>
      </w:tblGrid>
      <w:tr w:rsidR="00897C1E" w:rsidRPr="005911E2" w:rsidTr="00B460A2">
        <w:trPr>
          <w:trHeight w:val="290"/>
          <w:jc w:val="right"/>
        </w:trPr>
        <w:tc>
          <w:tcPr>
            <w:tcW w:w="902" w:type="pct"/>
            <w:vMerge w:val="restart"/>
            <w:tcBorders>
              <w:top w:val="single" w:sz="4" w:space="0" w:color="auto"/>
              <w:left w:val="nil"/>
              <w:right w:val="nil"/>
            </w:tcBorders>
          </w:tcPr>
          <w:p w:rsidR="00897C1E" w:rsidRPr="005911E2" w:rsidRDefault="00897C1E" w:rsidP="00F104E9">
            <w:pPr>
              <w:pStyle w:val="braytabletext"/>
            </w:pPr>
            <w:r w:rsidRPr="005911E2">
              <w:t>How often do you feel this way:</w:t>
            </w:r>
          </w:p>
        </w:tc>
        <w:tc>
          <w:tcPr>
            <w:tcW w:w="2140" w:type="pct"/>
            <w:gridSpan w:val="7"/>
            <w:tcBorders>
              <w:top w:val="single" w:sz="4" w:space="0" w:color="auto"/>
              <w:left w:val="nil"/>
              <w:bottom w:val="nil"/>
              <w:right w:val="nil"/>
            </w:tcBorders>
          </w:tcPr>
          <w:p w:rsidR="00897C1E" w:rsidRPr="005911E2" w:rsidRDefault="00897C1E" w:rsidP="00CF518E">
            <w:pPr>
              <w:pStyle w:val="braytabletext"/>
            </w:pPr>
            <w:r w:rsidRPr="005911E2">
              <w:t xml:space="preserve">Northern Territory </w:t>
            </w:r>
            <w:r w:rsidR="00CF518E">
              <w:t>Income Management</w:t>
            </w:r>
          </w:p>
        </w:tc>
        <w:tc>
          <w:tcPr>
            <w:tcW w:w="143" w:type="pct"/>
            <w:tcBorders>
              <w:top w:val="single" w:sz="4" w:space="0" w:color="auto"/>
              <w:left w:val="nil"/>
              <w:right w:val="nil"/>
            </w:tcBorders>
          </w:tcPr>
          <w:p w:rsidR="00897C1E" w:rsidRPr="005911E2" w:rsidRDefault="00897C1E" w:rsidP="00F104E9">
            <w:pPr>
              <w:pStyle w:val="braytabletext"/>
            </w:pPr>
          </w:p>
        </w:tc>
        <w:tc>
          <w:tcPr>
            <w:tcW w:w="616" w:type="pct"/>
            <w:tcBorders>
              <w:top w:val="single" w:sz="4" w:space="0" w:color="auto"/>
              <w:left w:val="nil"/>
              <w:bottom w:val="single" w:sz="4" w:space="0" w:color="auto"/>
              <w:right w:val="nil"/>
            </w:tcBorders>
          </w:tcPr>
          <w:p w:rsidR="00897C1E" w:rsidRPr="005911E2" w:rsidRDefault="00897C1E" w:rsidP="00F104E9">
            <w:pPr>
              <w:pStyle w:val="braytabletext"/>
            </w:pPr>
          </w:p>
        </w:tc>
        <w:tc>
          <w:tcPr>
            <w:tcW w:w="200" w:type="pct"/>
            <w:tcBorders>
              <w:top w:val="single" w:sz="4" w:space="0" w:color="auto"/>
              <w:left w:val="nil"/>
              <w:right w:val="nil"/>
            </w:tcBorders>
          </w:tcPr>
          <w:p w:rsidR="00897C1E" w:rsidRPr="005911E2" w:rsidRDefault="00897C1E" w:rsidP="00F104E9">
            <w:pPr>
              <w:pStyle w:val="braytabletext"/>
            </w:pPr>
          </w:p>
        </w:tc>
        <w:tc>
          <w:tcPr>
            <w:tcW w:w="999" w:type="pct"/>
            <w:gridSpan w:val="2"/>
            <w:tcBorders>
              <w:top w:val="single" w:sz="4" w:space="0" w:color="auto"/>
              <w:left w:val="nil"/>
              <w:bottom w:val="single" w:sz="4" w:space="0" w:color="auto"/>
              <w:right w:val="nil"/>
            </w:tcBorders>
          </w:tcPr>
          <w:p w:rsidR="00897C1E" w:rsidRPr="005911E2" w:rsidRDefault="00897C1E" w:rsidP="00F104E9">
            <w:pPr>
              <w:pStyle w:val="braytabletext"/>
            </w:pPr>
            <w:r w:rsidRPr="005911E2">
              <w:t>Contrast sites</w:t>
            </w:r>
          </w:p>
        </w:tc>
      </w:tr>
      <w:tr w:rsidR="00897C1E" w:rsidRPr="005911E2" w:rsidTr="00B460A2">
        <w:trPr>
          <w:trHeight w:val="290"/>
          <w:jc w:val="right"/>
        </w:trPr>
        <w:tc>
          <w:tcPr>
            <w:tcW w:w="902" w:type="pct"/>
            <w:vMerge/>
            <w:tcBorders>
              <w:left w:val="nil"/>
              <w:right w:val="nil"/>
            </w:tcBorders>
          </w:tcPr>
          <w:p w:rsidR="00897C1E" w:rsidRPr="005911E2" w:rsidRDefault="00897C1E" w:rsidP="00F104E9">
            <w:pPr>
              <w:pStyle w:val="braytabletext"/>
            </w:pPr>
          </w:p>
        </w:tc>
        <w:tc>
          <w:tcPr>
            <w:tcW w:w="2140" w:type="pct"/>
            <w:gridSpan w:val="7"/>
            <w:tcBorders>
              <w:top w:val="single" w:sz="4" w:space="0" w:color="auto"/>
              <w:left w:val="nil"/>
              <w:bottom w:val="nil"/>
              <w:right w:val="nil"/>
            </w:tcBorders>
          </w:tcPr>
          <w:p w:rsidR="00897C1E" w:rsidRPr="005911E2" w:rsidRDefault="00897C1E" w:rsidP="00F104E9">
            <w:pPr>
              <w:pStyle w:val="braytabletext"/>
            </w:pPr>
            <w:r w:rsidRPr="005911E2">
              <w:t>Indigenous</w:t>
            </w:r>
          </w:p>
        </w:tc>
        <w:tc>
          <w:tcPr>
            <w:tcW w:w="143" w:type="pct"/>
            <w:tcBorders>
              <w:top w:val="single" w:sz="4" w:space="0" w:color="auto"/>
              <w:left w:val="nil"/>
              <w:right w:val="nil"/>
            </w:tcBorders>
          </w:tcPr>
          <w:p w:rsidR="00897C1E" w:rsidRPr="005911E2" w:rsidRDefault="00897C1E" w:rsidP="00F104E9">
            <w:pPr>
              <w:pStyle w:val="braytabletext"/>
            </w:pPr>
          </w:p>
        </w:tc>
        <w:tc>
          <w:tcPr>
            <w:tcW w:w="616" w:type="pct"/>
            <w:tcBorders>
              <w:top w:val="single" w:sz="4" w:space="0" w:color="auto"/>
              <w:left w:val="nil"/>
              <w:bottom w:val="single" w:sz="4" w:space="0" w:color="auto"/>
              <w:right w:val="nil"/>
            </w:tcBorders>
          </w:tcPr>
          <w:p w:rsidR="00897C1E" w:rsidRPr="005911E2" w:rsidRDefault="006435C8" w:rsidP="006435C8">
            <w:pPr>
              <w:pStyle w:val="braytabletext"/>
            </w:pPr>
            <w:r>
              <w:t>Non-</w:t>
            </w:r>
            <w:r w:rsidR="00897C1E" w:rsidRPr="005911E2">
              <w:t>Indig</w:t>
            </w:r>
            <w:r w:rsidR="00614538" w:rsidRPr="005911E2">
              <w:t>enous</w:t>
            </w:r>
            <w:r w:rsidR="00614538">
              <w:t xml:space="preserve"> </w:t>
            </w:r>
          </w:p>
        </w:tc>
        <w:tc>
          <w:tcPr>
            <w:tcW w:w="200" w:type="pct"/>
            <w:tcBorders>
              <w:left w:val="nil"/>
              <w:bottom w:val="nil"/>
              <w:right w:val="nil"/>
            </w:tcBorders>
          </w:tcPr>
          <w:p w:rsidR="00897C1E" w:rsidRPr="005911E2" w:rsidRDefault="00897C1E" w:rsidP="00F104E9">
            <w:pPr>
              <w:pStyle w:val="braytabletext"/>
            </w:pPr>
          </w:p>
        </w:tc>
        <w:tc>
          <w:tcPr>
            <w:tcW w:w="516" w:type="pct"/>
            <w:vMerge w:val="restart"/>
            <w:tcBorders>
              <w:top w:val="single" w:sz="4" w:space="0" w:color="auto"/>
              <w:left w:val="nil"/>
              <w:right w:val="nil"/>
            </w:tcBorders>
          </w:tcPr>
          <w:p w:rsidR="00897C1E" w:rsidRPr="005911E2" w:rsidRDefault="00897C1E" w:rsidP="00F104E9">
            <w:pPr>
              <w:pStyle w:val="braytabletext"/>
              <w:jc w:val="right"/>
            </w:pPr>
            <w:r w:rsidRPr="005911E2">
              <w:t>Indig-enous</w:t>
            </w:r>
          </w:p>
        </w:tc>
        <w:tc>
          <w:tcPr>
            <w:tcW w:w="483" w:type="pct"/>
            <w:vMerge w:val="restart"/>
            <w:tcBorders>
              <w:top w:val="single" w:sz="4" w:space="0" w:color="auto"/>
              <w:left w:val="nil"/>
              <w:right w:val="nil"/>
            </w:tcBorders>
          </w:tcPr>
          <w:p w:rsidR="00897C1E" w:rsidRPr="005911E2" w:rsidRDefault="00897C1E" w:rsidP="00F104E9">
            <w:pPr>
              <w:pStyle w:val="braytabletext"/>
              <w:jc w:val="right"/>
            </w:pPr>
            <w:r w:rsidRPr="005911E2">
              <w:t>Non-Indig-enous</w:t>
            </w:r>
          </w:p>
        </w:tc>
      </w:tr>
      <w:tr w:rsidR="00CF518E" w:rsidRPr="005911E2" w:rsidTr="00B460A2">
        <w:trPr>
          <w:trHeight w:val="290"/>
          <w:jc w:val="right"/>
        </w:trPr>
        <w:tc>
          <w:tcPr>
            <w:tcW w:w="902" w:type="pct"/>
            <w:vMerge/>
            <w:tcBorders>
              <w:left w:val="nil"/>
              <w:right w:val="nil"/>
            </w:tcBorders>
          </w:tcPr>
          <w:p w:rsidR="00CF518E" w:rsidRPr="005911E2" w:rsidRDefault="00CF518E" w:rsidP="00F104E9">
            <w:pPr>
              <w:pStyle w:val="braytabletext"/>
            </w:pPr>
          </w:p>
        </w:tc>
        <w:tc>
          <w:tcPr>
            <w:tcW w:w="1057" w:type="pct"/>
            <w:gridSpan w:val="3"/>
            <w:tcBorders>
              <w:top w:val="single" w:sz="4" w:space="0" w:color="auto"/>
              <w:left w:val="nil"/>
              <w:bottom w:val="nil"/>
              <w:right w:val="nil"/>
            </w:tcBorders>
          </w:tcPr>
          <w:p w:rsidR="00CF518E" w:rsidRPr="005911E2" w:rsidRDefault="00CF518E" w:rsidP="00CF518E">
            <w:pPr>
              <w:pStyle w:val="braytabletext"/>
            </w:pPr>
            <w:r>
              <w:t xml:space="preserve">Compulsory </w:t>
            </w:r>
          </w:p>
        </w:tc>
        <w:tc>
          <w:tcPr>
            <w:tcW w:w="149" w:type="pct"/>
            <w:gridSpan w:val="2"/>
            <w:tcBorders>
              <w:top w:val="nil"/>
              <w:left w:val="nil"/>
              <w:bottom w:val="nil"/>
              <w:right w:val="nil"/>
            </w:tcBorders>
          </w:tcPr>
          <w:p w:rsidR="00CF518E" w:rsidRPr="005911E2" w:rsidRDefault="00CF518E" w:rsidP="00F104E9">
            <w:pPr>
              <w:pStyle w:val="braytabletext"/>
            </w:pPr>
          </w:p>
        </w:tc>
        <w:tc>
          <w:tcPr>
            <w:tcW w:w="934" w:type="pct"/>
            <w:gridSpan w:val="2"/>
            <w:tcBorders>
              <w:top w:val="single" w:sz="4" w:space="0" w:color="auto"/>
              <w:left w:val="nil"/>
              <w:bottom w:val="single" w:sz="4" w:space="0" w:color="auto"/>
              <w:right w:val="nil"/>
            </w:tcBorders>
          </w:tcPr>
          <w:p w:rsidR="00CF518E" w:rsidRPr="005911E2" w:rsidRDefault="00CF518E" w:rsidP="00CF518E">
            <w:pPr>
              <w:pStyle w:val="braytabletext"/>
            </w:pPr>
            <w:r>
              <w:t xml:space="preserve">Voluntary </w:t>
            </w:r>
          </w:p>
        </w:tc>
        <w:tc>
          <w:tcPr>
            <w:tcW w:w="143" w:type="pct"/>
            <w:tcBorders>
              <w:left w:val="nil"/>
              <w:right w:val="nil"/>
            </w:tcBorders>
          </w:tcPr>
          <w:p w:rsidR="00CF518E" w:rsidRPr="005911E2" w:rsidRDefault="00CF518E" w:rsidP="00F104E9">
            <w:pPr>
              <w:pStyle w:val="braytabletext"/>
            </w:pPr>
          </w:p>
        </w:tc>
        <w:tc>
          <w:tcPr>
            <w:tcW w:w="616" w:type="pct"/>
            <w:vMerge w:val="restart"/>
            <w:tcBorders>
              <w:top w:val="single" w:sz="4" w:space="0" w:color="auto"/>
              <w:left w:val="nil"/>
              <w:right w:val="nil"/>
            </w:tcBorders>
          </w:tcPr>
          <w:p w:rsidR="00CF518E" w:rsidRPr="005911E2" w:rsidRDefault="00CF518E" w:rsidP="00CF518E">
            <w:pPr>
              <w:pStyle w:val="braytabletext"/>
              <w:jc w:val="right"/>
            </w:pPr>
            <w:r>
              <w:t xml:space="preserve">Comp-ulsory </w:t>
            </w:r>
          </w:p>
        </w:tc>
        <w:tc>
          <w:tcPr>
            <w:tcW w:w="200" w:type="pct"/>
            <w:tcBorders>
              <w:top w:val="nil"/>
              <w:left w:val="nil"/>
              <w:bottom w:val="nil"/>
              <w:right w:val="nil"/>
            </w:tcBorders>
          </w:tcPr>
          <w:p w:rsidR="00CF518E" w:rsidRPr="005911E2" w:rsidRDefault="00CF518E" w:rsidP="00F104E9">
            <w:pPr>
              <w:pStyle w:val="braytabletext"/>
            </w:pPr>
          </w:p>
        </w:tc>
        <w:tc>
          <w:tcPr>
            <w:tcW w:w="516" w:type="pct"/>
            <w:vMerge/>
            <w:tcBorders>
              <w:left w:val="nil"/>
              <w:right w:val="nil"/>
            </w:tcBorders>
          </w:tcPr>
          <w:p w:rsidR="00CF518E" w:rsidRPr="005911E2" w:rsidRDefault="00CF518E" w:rsidP="00F104E9">
            <w:pPr>
              <w:pStyle w:val="braytabletext"/>
            </w:pPr>
          </w:p>
        </w:tc>
        <w:tc>
          <w:tcPr>
            <w:tcW w:w="483" w:type="pct"/>
            <w:vMerge/>
            <w:tcBorders>
              <w:left w:val="nil"/>
              <w:right w:val="nil"/>
            </w:tcBorders>
          </w:tcPr>
          <w:p w:rsidR="00CF518E" w:rsidRPr="005911E2" w:rsidRDefault="00CF518E" w:rsidP="00F104E9">
            <w:pPr>
              <w:pStyle w:val="braytabletext"/>
            </w:pPr>
          </w:p>
        </w:tc>
      </w:tr>
      <w:tr w:rsidR="00CF518E" w:rsidRPr="005911E2" w:rsidTr="00B460A2">
        <w:trPr>
          <w:trHeight w:val="290"/>
          <w:jc w:val="right"/>
        </w:trPr>
        <w:tc>
          <w:tcPr>
            <w:tcW w:w="902" w:type="pct"/>
            <w:vMerge/>
            <w:tcBorders>
              <w:left w:val="nil"/>
              <w:bottom w:val="single" w:sz="4" w:space="0" w:color="auto"/>
              <w:right w:val="nil"/>
            </w:tcBorders>
          </w:tcPr>
          <w:p w:rsidR="00CF518E" w:rsidRPr="005911E2" w:rsidRDefault="00CF518E" w:rsidP="00F104E9">
            <w:pPr>
              <w:pStyle w:val="braytabletext"/>
            </w:pPr>
          </w:p>
        </w:tc>
        <w:tc>
          <w:tcPr>
            <w:tcW w:w="569" w:type="pct"/>
            <w:gridSpan w:val="2"/>
            <w:tcBorders>
              <w:top w:val="single" w:sz="4" w:space="0" w:color="auto"/>
              <w:left w:val="nil"/>
              <w:bottom w:val="single" w:sz="4" w:space="0" w:color="auto"/>
              <w:right w:val="nil"/>
            </w:tcBorders>
          </w:tcPr>
          <w:p w:rsidR="00CF518E" w:rsidRPr="005911E2" w:rsidRDefault="00CF518E" w:rsidP="00F104E9">
            <w:pPr>
              <w:pStyle w:val="braytabletext"/>
            </w:pPr>
            <w:r w:rsidRPr="005911E2">
              <w:t>NTER area</w:t>
            </w:r>
          </w:p>
        </w:tc>
        <w:tc>
          <w:tcPr>
            <w:tcW w:w="494" w:type="pct"/>
            <w:gridSpan w:val="2"/>
            <w:tcBorders>
              <w:top w:val="single" w:sz="4" w:space="0" w:color="auto"/>
              <w:left w:val="nil"/>
              <w:bottom w:val="single" w:sz="4" w:space="0" w:color="auto"/>
              <w:right w:val="nil"/>
            </w:tcBorders>
          </w:tcPr>
          <w:p w:rsidR="00CF518E" w:rsidRPr="005911E2" w:rsidRDefault="00CF518E" w:rsidP="00F104E9">
            <w:pPr>
              <w:pStyle w:val="braytabletext"/>
            </w:pPr>
            <w:r w:rsidRPr="005911E2">
              <w:t>Non-NTER area</w:t>
            </w:r>
          </w:p>
        </w:tc>
        <w:tc>
          <w:tcPr>
            <w:tcW w:w="143" w:type="pct"/>
            <w:tcBorders>
              <w:top w:val="nil"/>
              <w:left w:val="nil"/>
              <w:bottom w:val="single" w:sz="4" w:space="0" w:color="auto"/>
              <w:right w:val="nil"/>
            </w:tcBorders>
          </w:tcPr>
          <w:p w:rsidR="00CF518E" w:rsidRPr="005911E2" w:rsidRDefault="00CF518E" w:rsidP="00F104E9">
            <w:pPr>
              <w:pStyle w:val="braytabletext"/>
            </w:pPr>
          </w:p>
        </w:tc>
        <w:tc>
          <w:tcPr>
            <w:tcW w:w="445" w:type="pct"/>
            <w:tcBorders>
              <w:top w:val="single" w:sz="4" w:space="0" w:color="auto"/>
              <w:left w:val="nil"/>
              <w:bottom w:val="single" w:sz="4" w:space="0" w:color="auto"/>
              <w:right w:val="nil"/>
            </w:tcBorders>
          </w:tcPr>
          <w:p w:rsidR="00CF518E" w:rsidRPr="005911E2" w:rsidRDefault="00CF518E" w:rsidP="00F104E9">
            <w:pPr>
              <w:pStyle w:val="braytabletext"/>
            </w:pPr>
            <w:r w:rsidRPr="005911E2">
              <w:t>NTER area</w:t>
            </w:r>
          </w:p>
        </w:tc>
        <w:tc>
          <w:tcPr>
            <w:tcW w:w="489" w:type="pct"/>
            <w:tcBorders>
              <w:top w:val="single" w:sz="4" w:space="0" w:color="auto"/>
              <w:left w:val="nil"/>
              <w:bottom w:val="single" w:sz="4" w:space="0" w:color="auto"/>
              <w:right w:val="nil"/>
            </w:tcBorders>
          </w:tcPr>
          <w:p w:rsidR="00CF518E" w:rsidRPr="005911E2" w:rsidRDefault="00CF518E" w:rsidP="00F104E9">
            <w:pPr>
              <w:pStyle w:val="braytabletext"/>
            </w:pPr>
            <w:r w:rsidRPr="005911E2">
              <w:t>Non-NTER area</w:t>
            </w:r>
          </w:p>
        </w:tc>
        <w:tc>
          <w:tcPr>
            <w:tcW w:w="143" w:type="pct"/>
            <w:tcBorders>
              <w:left w:val="nil"/>
              <w:bottom w:val="single" w:sz="4" w:space="0" w:color="auto"/>
              <w:right w:val="nil"/>
            </w:tcBorders>
          </w:tcPr>
          <w:p w:rsidR="00CF518E" w:rsidRPr="005911E2" w:rsidRDefault="00CF518E" w:rsidP="00F104E9">
            <w:pPr>
              <w:pStyle w:val="braytabletext"/>
            </w:pPr>
          </w:p>
        </w:tc>
        <w:tc>
          <w:tcPr>
            <w:tcW w:w="616" w:type="pct"/>
            <w:vMerge/>
            <w:tcBorders>
              <w:left w:val="nil"/>
              <w:bottom w:val="single" w:sz="4" w:space="0" w:color="auto"/>
              <w:right w:val="nil"/>
            </w:tcBorders>
          </w:tcPr>
          <w:p w:rsidR="00CF518E" w:rsidRPr="005911E2" w:rsidRDefault="00CF518E" w:rsidP="00F104E9">
            <w:pPr>
              <w:pStyle w:val="braytabletext"/>
            </w:pPr>
          </w:p>
        </w:tc>
        <w:tc>
          <w:tcPr>
            <w:tcW w:w="200" w:type="pct"/>
            <w:tcBorders>
              <w:top w:val="nil"/>
              <w:left w:val="nil"/>
              <w:bottom w:val="single" w:sz="4" w:space="0" w:color="auto"/>
              <w:right w:val="nil"/>
            </w:tcBorders>
          </w:tcPr>
          <w:p w:rsidR="00CF518E" w:rsidRPr="005911E2" w:rsidRDefault="00CF518E" w:rsidP="00F104E9">
            <w:pPr>
              <w:pStyle w:val="braytabletext"/>
            </w:pPr>
          </w:p>
        </w:tc>
        <w:tc>
          <w:tcPr>
            <w:tcW w:w="516" w:type="pct"/>
            <w:vMerge/>
            <w:tcBorders>
              <w:left w:val="nil"/>
              <w:bottom w:val="single" w:sz="4" w:space="0" w:color="auto"/>
              <w:right w:val="nil"/>
            </w:tcBorders>
          </w:tcPr>
          <w:p w:rsidR="00CF518E" w:rsidRPr="005911E2" w:rsidRDefault="00CF518E" w:rsidP="00F104E9">
            <w:pPr>
              <w:pStyle w:val="braytabletext"/>
            </w:pPr>
          </w:p>
        </w:tc>
        <w:tc>
          <w:tcPr>
            <w:tcW w:w="483" w:type="pct"/>
            <w:vMerge/>
            <w:tcBorders>
              <w:left w:val="nil"/>
              <w:bottom w:val="single" w:sz="4" w:space="0" w:color="auto"/>
              <w:right w:val="nil"/>
            </w:tcBorders>
          </w:tcPr>
          <w:p w:rsidR="00CF518E" w:rsidRPr="005911E2" w:rsidRDefault="00CF518E" w:rsidP="00F104E9">
            <w:pPr>
              <w:pStyle w:val="braytabletext"/>
            </w:pPr>
          </w:p>
        </w:tc>
      </w:tr>
      <w:tr w:rsidR="00CF518E" w:rsidRPr="005911E2" w:rsidTr="00B460A2">
        <w:trPr>
          <w:trHeight w:val="290"/>
          <w:jc w:val="right"/>
        </w:trPr>
        <w:tc>
          <w:tcPr>
            <w:tcW w:w="1313" w:type="pct"/>
            <w:gridSpan w:val="2"/>
            <w:tcBorders>
              <w:top w:val="single" w:sz="4" w:space="0" w:color="auto"/>
              <w:left w:val="nil"/>
              <w:bottom w:val="nil"/>
              <w:right w:val="nil"/>
            </w:tcBorders>
          </w:tcPr>
          <w:p w:rsidR="00CF518E" w:rsidRPr="005911E2" w:rsidRDefault="00CF518E" w:rsidP="00CF518E">
            <w:pPr>
              <w:pStyle w:val="braytabletext"/>
            </w:pPr>
            <w:r w:rsidRPr="005911E2">
              <w:rPr>
                <w:i/>
              </w:rPr>
              <w:t>Discriminated against</w:t>
            </w:r>
          </w:p>
        </w:tc>
        <w:tc>
          <w:tcPr>
            <w:tcW w:w="3687" w:type="pct"/>
            <w:gridSpan w:val="11"/>
            <w:tcBorders>
              <w:top w:val="single" w:sz="4" w:space="0" w:color="auto"/>
              <w:left w:val="nil"/>
              <w:bottom w:val="nil"/>
              <w:right w:val="nil"/>
            </w:tcBorders>
          </w:tcPr>
          <w:p w:rsidR="00CF518E" w:rsidRPr="005911E2" w:rsidRDefault="00CF518E" w:rsidP="00F104E9">
            <w:pPr>
              <w:pStyle w:val="braytabletext"/>
              <w:jc w:val="center"/>
            </w:pPr>
            <w:r w:rsidRPr="005911E2">
              <w:t>- % -</w:t>
            </w:r>
          </w:p>
        </w:tc>
      </w:tr>
      <w:tr w:rsidR="00897C1E" w:rsidRPr="005911E2" w:rsidTr="00B460A2">
        <w:trPr>
          <w:trHeight w:val="290"/>
          <w:jc w:val="right"/>
        </w:trPr>
        <w:tc>
          <w:tcPr>
            <w:tcW w:w="902" w:type="pct"/>
            <w:tcBorders>
              <w:top w:val="nil"/>
              <w:left w:val="nil"/>
              <w:bottom w:val="nil"/>
              <w:right w:val="nil"/>
            </w:tcBorders>
          </w:tcPr>
          <w:p w:rsidR="00897C1E" w:rsidRPr="005911E2" w:rsidRDefault="00897C1E" w:rsidP="00F104E9">
            <w:pPr>
              <w:pStyle w:val="braytabletext"/>
            </w:pPr>
            <w:r w:rsidRPr="005911E2">
              <w:t>Never</w:t>
            </w:r>
          </w:p>
        </w:tc>
        <w:tc>
          <w:tcPr>
            <w:tcW w:w="569" w:type="pct"/>
            <w:gridSpan w:val="2"/>
            <w:tcBorders>
              <w:top w:val="nil"/>
              <w:left w:val="nil"/>
              <w:bottom w:val="nil"/>
              <w:right w:val="nil"/>
            </w:tcBorders>
          </w:tcPr>
          <w:p w:rsidR="00897C1E" w:rsidRPr="005911E2" w:rsidRDefault="00897C1E" w:rsidP="00F104E9">
            <w:pPr>
              <w:pStyle w:val="braytabletext"/>
              <w:jc w:val="right"/>
            </w:pPr>
            <w:r w:rsidRPr="005911E2">
              <w:t>21.9</w:t>
            </w:r>
          </w:p>
        </w:tc>
        <w:tc>
          <w:tcPr>
            <w:tcW w:w="488" w:type="pct"/>
            <w:tcBorders>
              <w:top w:val="nil"/>
              <w:left w:val="nil"/>
              <w:bottom w:val="nil"/>
              <w:right w:val="nil"/>
            </w:tcBorders>
          </w:tcPr>
          <w:p w:rsidR="00897C1E" w:rsidRPr="005911E2" w:rsidRDefault="00897C1E" w:rsidP="00F104E9">
            <w:pPr>
              <w:pStyle w:val="braytabletext"/>
              <w:jc w:val="right"/>
            </w:pPr>
            <w:r w:rsidRPr="005911E2">
              <w:t>30.2</w:t>
            </w:r>
          </w:p>
        </w:tc>
        <w:tc>
          <w:tcPr>
            <w:tcW w:w="149" w:type="pct"/>
            <w:gridSpan w:val="2"/>
            <w:tcBorders>
              <w:top w:val="nil"/>
              <w:left w:val="nil"/>
              <w:bottom w:val="nil"/>
              <w:right w:val="nil"/>
            </w:tcBorders>
          </w:tcPr>
          <w:p w:rsidR="00897C1E" w:rsidRPr="005911E2" w:rsidRDefault="00897C1E" w:rsidP="00F104E9">
            <w:pPr>
              <w:pStyle w:val="braytabletext"/>
              <w:jc w:val="right"/>
            </w:pPr>
          </w:p>
        </w:tc>
        <w:tc>
          <w:tcPr>
            <w:tcW w:w="445" w:type="pct"/>
            <w:tcBorders>
              <w:top w:val="nil"/>
              <w:left w:val="nil"/>
              <w:bottom w:val="nil"/>
              <w:right w:val="nil"/>
            </w:tcBorders>
          </w:tcPr>
          <w:p w:rsidR="00897C1E" w:rsidRPr="005911E2" w:rsidRDefault="00897C1E" w:rsidP="00F104E9">
            <w:pPr>
              <w:pStyle w:val="braytabletext"/>
              <w:jc w:val="right"/>
            </w:pPr>
            <w:r w:rsidRPr="005911E2">
              <w:t>25.2</w:t>
            </w:r>
          </w:p>
        </w:tc>
        <w:tc>
          <w:tcPr>
            <w:tcW w:w="489" w:type="pct"/>
            <w:tcBorders>
              <w:top w:val="nil"/>
              <w:left w:val="nil"/>
              <w:bottom w:val="nil"/>
              <w:right w:val="nil"/>
            </w:tcBorders>
          </w:tcPr>
          <w:p w:rsidR="00897C1E" w:rsidRPr="005911E2" w:rsidRDefault="00897C1E" w:rsidP="00F104E9">
            <w:pPr>
              <w:pStyle w:val="braytabletext"/>
              <w:jc w:val="right"/>
            </w:pPr>
            <w:r w:rsidRPr="005911E2">
              <w:t>34.4</w:t>
            </w:r>
          </w:p>
        </w:tc>
        <w:tc>
          <w:tcPr>
            <w:tcW w:w="143" w:type="pct"/>
            <w:tcBorders>
              <w:top w:val="nil"/>
              <w:left w:val="nil"/>
              <w:bottom w:val="nil"/>
              <w:right w:val="nil"/>
            </w:tcBorders>
          </w:tcPr>
          <w:p w:rsidR="00897C1E" w:rsidRPr="005911E2" w:rsidRDefault="00897C1E" w:rsidP="00F104E9">
            <w:pPr>
              <w:pStyle w:val="braytabletext"/>
              <w:jc w:val="right"/>
            </w:pPr>
          </w:p>
        </w:tc>
        <w:tc>
          <w:tcPr>
            <w:tcW w:w="616" w:type="pct"/>
            <w:tcBorders>
              <w:top w:val="nil"/>
              <w:left w:val="nil"/>
              <w:bottom w:val="nil"/>
              <w:right w:val="nil"/>
            </w:tcBorders>
          </w:tcPr>
          <w:p w:rsidR="00897C1E" w:rsidRPr="005911E2" w:rsidRDefault="00897C1E" w:rsidP="00F104E9">
            <w:pPr>
              <w:pStyle w:val="braytabletext"/>
              <w:jc w:val="right"/>
            </w:pPr>
            <w:r w:rsidRPr="005911E2">
              <w:t>32.1</w:t>
            </w:r>
          </w:p>
        </w:tc>
        <w:tc>
          <w:tcPr>
            <w:tcW w:w="200" w:type="pct"/>
            <w:tcBorders>
              <w:top w:val="nil"/>
              <w:left w:val="nil"/>
              <w:bottom w:val="nil"/>
              <w:right w:val="nil"/>
            </w:tcBorders>
          </w:tcPr>
          <w:p w:rsidR="00897C1E" w:rsidRPr="005911E2" w:rsidRDefault="00897C1E" w:rsidP="00F104E9">
            <w:pPr>
              <w:pStyle w:val="braytabletext"/>
              <w:jc w:val="right"/>
            </w:pPr>
          </w:p>
        </w:tc>
        <w:tc>
          <w:tcPr>
            <w:tcW w:w="516" w:type="pct"/>
            <w:tcBorders>
              <w:top w:val="nil"/>
              <w:left w:val="nil"/>
              <w:bottom w:val="nil"/>
              <w:right w:val="nil"/>
            </w:tcBorders>
          </w:tcPr>
          <w:p w:rsidR="00897C1E" w:rsidRPr="005911E2" w:rsidRDefault="00897C1E" w:rsidP="00F104E9">
            <w:pPr>
              <w:pStyle w:val="braytabletext"/>
              <w:jc w:val="right"/>
            </w:pPr>
            <w:r w:rsidRPr="005911E2">
              <w:t>42.9</w:t>
            </w:r>
          </w:p>
        </w:tc>
        <w:tc>
          <w:tcPr>
            <w:tcW w:w="483" w:type="pct"/>
            <w:tcBorders>
              <w:top w:val="nil"/>
              <w:left w:val="nil"/>
              <w:bottom w:val="nil"/>
              <w:right w:val="nil"/>
            </w:tcBorders>
          </w:tcPr>
          <w:p w:rsidR="00897C1E" w:rsidRPr="005911E2" w:rsidRDefault="00897C1E" w:rsidP="00F104E9">
            <w:pPr>
              <w:pStyle w:val="braytabletext"/>
              <w:jc w:val="right"/>
            </w:pPr>
            <w:r w:rsidRPr="005911E2">
              <w:t>39.0</w:t>
            </w:r>
          </w:p>
        </w:tc>
      </w:tr>
      <w:tr w:rsidR="00897C1E" w:rsidRPr="005911E2" w:rsidTr="00B460A2">
        <w:trPr>
          <w:trHeight w:val="290"/>
          <w:jc w:val="right"/>
        </w:trPr>
        <w:tc>
          <w:tcPr>
            <w:tcW w:w="902" w:type="pct"/>
            <w:tcBorders>
              <w:top w:val="nil"/>
              <w:left w:val="nil"/>
              <w:bottom w:val="nil"/>
              <w:right w:val="nil"/>
            </w:tcBorders>
          </w:tcPr>
          <w:p w:rsidR="00897C1E" w:rsidRPr="005911E2" w:rsidRDefault="00897C1E" w:rsidP="00F104E9">
            <w:pPr>
              <w:pStyle w:val="braytabletext"/>
            </w:pPr>
            <w:r w:rsidRPr="005911E2">
              <w:t>Hardly ever</w:t>
            </w:r>
          </w:p>
        </w:tc>
        <w:tc>
          <w:tcPr>
            <w:tcW w:w="569" w:type="pct"/>
            <w:gridSpan w:val="2"/>
            <w:tcBorders>
              <w:top w:val="nil"/>
              <w:left w:val="nil"/>
              <w:bottom w:val="nil"/>
              <w:right w:val="nil"/>
            </w:tcBorders>
          </w:tcPr>
          <w:p w:rsidR="00897C1E" w:rsidRPr="005911E2" w:rsidRDefault="00897C1E" w:rsidP="00F104E9">
            <w:pPr>
              <w:pStyle w:val="braytabletext"/>
              <w:jc w:val="right"/>
            </w:pPr>
            <w:r w:rsidRPr="005911E2">
              <w:t>11.2</w:t>
            </w:r>
          </w:p>
        </w:tc>
        <w:tc>
          <w:tcPr>
            <w:tcW w:w="488" w:type="pct"/>
            <w:tcBorders>
              <w:top w:val="nil"/>
              <w:left w:val="nil"/>
              <w:bottom w:val="nil"/>
              <w:right w:val="nil"/>
            </w:tcBorders>
          </w:tcPr>
          <w:p w:rsidR="00897C1E" w:rsidRPr="005911E2" w:rsidRDefault="00897C1E" w:rsidP="00F104E9">
            <w:pPr>
              <w:pStyle w:val="braytabletext"/>
              <w:jc w:val="right"/>
            </w:pPr>
            <w:r w:rsidRPr="005911E2">
              <w:t>11.9</w:t>
            </w:r>
          </w:p>
        </w:tc>
        <w:tc>
          <w:tcPr>
            <w:tcW w:w="149" w:type="pct"/>
            <w:gridSpan w:val="2"/>
            <w:tcBorders>
              <w:top w:val="nil"/>
              <w:left w:val="nil"/>
              <w:bottom w:val="nil"/>
              <w:right w:val="nil"/>
            </w:tcBorders>
          </w:tcPr>
          <w:p w:rsidR="00897C1E" w:rsidRPr="005911E2" w:rsidRDefault="00897C1E" w:rsidP="00F104E9">
            <w:pPr>
              <w:pStyle w:val="braytabletext"/>
              <w:jc w:val="right"/>
            </w:pPr>
          </w:p>
        </w:tc>
        <w:tc>
          <w:tcPr>
            <w:tcW w:w="445" w:type="pct"/>
            <w:tcBorders>
              <w:top w:val="nil"/>
              <w:left w:val="nil"/>
              <w:bottom w:val="nil"/>
              <w:right w:val="nil"/>
            </w:tcBorders>
          </w:tcPr>
          <w:p w:rsidR="00897C1E" w:rsidRPr="005911E2" w:rsidRDefault="00897C1E" w:rsidP="00F104E9">
            <w:pPr>
              <w:pStyle w:val="braytabletext"/>
              <w:jc w:val="right"/>
            </w:pPr>
            <w:r w:rsidRPr="005911E2">
              <w:t>8.7</w:t>
            </w:r>
          </w:p>
        </w:tc>
        <w:tc>
          <w:tcPr>
            <w:tcW w:w="489" w:type="pct"/>
            <w:tcBorders>
              <w:top w:val="nil"/>
              <w:left w:val="nil"/>
              <w:bottom w:val="nil"/>
              <w:right w:val="nil"/>
            </w:tcBorders>
          </w:tcPr>
          <w:p w:rsidR="00897C1E" w:rsidRPr="005911E2" w:rsidRDefault="00897C1E" w:rsidP="00F104E9">
            <w:pPr>
              <w:pStyle w:val="braytabletext"/>
              <w:jc w:val="right"/>
            </w:pPr>
            <w:r w:rsidRPr="005911E2">
              <w:t>9.4</w:t>
            </w:r>
          </w:p>
        </w:tc>
        <w:tc>
          <w:tcPr>
            <w:tcW w:w="143" w:type="pct"/>
            <w:tcBorders>
              <w:top w:val="nil"/>
              <w:left w:val="nil"/>
              <w:bottom w:val="nil"/>
              <w:right w:val="nil"/>
            </w:tcBorders>
          </w:tcPr>
          <w:p w:rsidR="00897C1E" w:rsidRPr="005911E2" w:rsidRDefault="00897C1E" w:rsidP="00F104E9">
            <w:pPr>
              <w:pStyle w:val="braytabletext"/>
              <w:jc w:val="right"/>
            </w:pPr>
          </w:p>
        </w:tc>
        <w:tc>
          <w:tcPr>
            <w:tcW w:w="616" w:type="pct"/>
            <w:tcBorders>
              <w:top w:val="nil"/>
              <w:left w:val="nil"/>
              <w:bottom w:val="nil"/>
              <w:right w:val="nil"/>
            </w:tcBorders>
          </w:tcPr>
          <w:p w:rsidR="00897C1E" w:rsidRPr="005911E2" w:rsidRDefault="00897C1E" w:rsidP="00F104E9">
            <w:pPr>
              <w:pStyle w:val="braytabletext"/>
              <w:jc w:val="right"/>
            </w:pPr>
            <w:r w:rsidRPr="005911E2">
              <w:t>3.6</w:t>
            </w:r>
          </w:p>
        </w:tc>
        <w:tc>
          <w:tcPr>
            <w:tcW w:w="200" w:type="pct"/>
            <w:tcBorders>
              <w:top w:val="nil"/>
              <w:left w:val="nil"/>
              <w:bottom w:val="nil"/>
              <w:right w:val="nil"/>
            </w:tcBorders>
          </w:tcPr>
          <w:p w:rsidR="00897C1E" w:rsidRPr="005911E2" w:rsidRDefault="00897C1E" w:rsidP="00F104E9">
            <w:pPr>
              <w:pStyle w:val="braytabletext"/>
              <w:jc w:val="right"/>
            </w:pPr>
          </w:p>
        </w:tc>
        <w:tc>
          <w:tcPr>
            <w:tcW w:w="516" w:type="pct"/>
            <w:tcBorders>
              <w:top w:val="nil"/>
              <w:left w:val="nil"/>
              <w:bottom w:val="nil"/>
              <w:right w:val="nil"/>
            </w:tcBorders>
          </w:tcPr>
          <w:p w:rsidR="00897C1E" w:rsidRPr="005911E2" w:rsidRDefault="00897C1E" w:rsidP="00F104E9">
            <w:pPr>
              <w:pStyle w:val="braytabletext"/>
              <w:jc w:val="right"/>
            </w:pPr>
            <w:r w:rsidRPr="005911E2">
              <w:t>7.1</w:t>
            </w:r>
          </w:p>
        </w:tc>
        <w:tc>
          <w:tcPr>
            <w:tcW w:w="483" w:type="pct"/>
            <w:tcBorders>
              <w:top w:val="nil"/>
              <w:left w:val="nil"/>
              <w:bottom w:val="nil"/>
              <w:right w:val="nil"/>
            </w:tcBorders>
          </w:tcPr>
          <w:p w:rsidR="00897C1E" w:rsidRPr="005911E2" w:rsidRDefault="00897C1E" w:rsidP="00F104E9">
            <w:pPr>
              <w:pStyle w:val="braytabletext"/>
              <w:jc w:val="right"/>
            </w:pPr>
            <w:r w:rsidRPr="005911E2">
              <w:t>7.6</w:t>
            </w:r>
          </w:p>
        </w:tc>
      </w:tr>
      <w:tr w:rsidR="00897C1E" w:rsidRPr="005911E2" w:rsidTr="00B460A2">
        <w:trPr>
          <w:trHeight w:val="290"/>
          <w:jc w:val="right"/>
        </w:trPr>
        <w:tc>
          <w:tcPr>
            <w:tcW w:w="902" w:type="pct"/>
            <w:tcBorders>
              <w:top w:val="nil"/>
              <w:left w:val="nil"/>
              <w:bottom w:val="nil"/>
              <w:right w:val="nil"/>
            </w:tcBorders>
          </w:tcPr>
          <w:p w:rsidR="00897C1E" w:rsidRPr="005911E2" w:rsidRDefault="00897C1E" w:rsidP="00F104E9">
            <w:pPr>
              <w:pStyle w:val="braytabletext"/>
            </w:pPr>
            <w:r w:rsidRPr="005911E2">
              <w:t>Sometimes</w:t>
            </w:r>
          </w:p>
        </w:tc>
        <w:tc>
          <w:tcPr>
            <w:tcW w:w="569" w:type="pct"/>
            <w:gridSpan w:val="2"/>
            <w:tcBorders>
              <w:top w:val="nil"/>
              <w:left w:val="nil"/>
              <w:bottom w:val="nil"/>
              <w:right w:val="nil"/>
            </w:tcBorders>
          </w:tcPr>
          <w:p w:rsidR="00897C1E" w:rsidRPr="005911E2" w:rsidRDefault="00897C1E" w:rsidP="00F104E9">
            <w:pPr>
              <w:pStyle w:val="braytabletext"/>
              <w:jc w:val="right"/>
            </w:pPr>
            <w:r w:rsidRPr="005911E2">
              <w:t>29.8</w:t>
            </w:r>
          </w:p>
        </w:tc>
        <w:tc>
          <w:tcPr>
            <w:tcW w:w="488" w:type="pct"/>
            <w:tcBorders>
              <w:top w:val="nil"/>
              <w:left w:val="nil"/>
              <w:bottom w:val="nil"/>
              <w:right w:val="nil"/>
            </w:tcBorders>
          </w:tcPr>
          <w:p w:rsidR="00897C1E" w:rsidRPr="005911E2" w:rsidRDefault="00897C1E" w:rsidP="00F104E9">
            <w:pPr>
              <w:pStyle w:val="braytabletext"/>
              <w:jc w:val="right"/>
            </w:pPr>
            <w:r w:rsidRPr="005911E2">
              <w:t>16.4</w:t>
            </w:r>
          </w:p>
        </w:tc>
        <w:tc>
          <w:tcPr>
            <w:tcW w:w="149" w:type="pct"/>
            <w:gridSpan w:val="2"/>
            <w:tcBorders>
              <w:top w:val="nil"/>
              <w:left w:val="nil"/>
              <w:bottom w:val="nil"/>
              <w:right w:val="nil"/>
            </w:tcBorders>
          </w:tcPr>
          <w:p w:rsidR="00897C1E" w:rsidRPr="005911E2" w:rsidRDefault="00897C1E" w:rsidP="00F104E9">
            <w:pPr>
              <w:pStyle w:val="braytabletext"/>
              <w:jc w:val="right"/>
            </w:pPr>
          </w:p>
        </w:tc>
        <w:tc>
          <w:tcPr>
            <w:tcW w:w="445" w:type="pct"/>
            <w:tcBorders>
              <w:top w:val="nil"/>
              <w:left w:val="nil"/>
              <w:bottom w:val="nil"/>
              <w:right w:val="nil"/>
            </w:tcBorders>
          </w:tcPr>
          <w:p w:rsidR="00897C1E" w:rsidRPr="005911E2" w:rsidRDefault="00897C1E" w:rsidP="00F104E9">
            <w:pPr>
              <w:pStyle w:val="braytabletext"/>
              <w:jc w:val="right"/>
            </w:pPr>
            <w:r w:rsidRPr="005911E2">
              <w:t>24.3</w:t>
            </w:r>
          </w:p>
        </w:tc>
        <w:tc>
          <w:tcPr>
            <w:tcW w:w="489" w:type="pct"/>
            <w:tcBorders>
              <w:top w:val="nil"/>
              <w:left w:val="nil"/>
              <w:bottom w:val="nil"/>
              <w:right w:val="nil"/>
            </w:tcBorders>
          </w:tcPr>
          <w:p w:rsidR="00897C1E" w:rsidRPr="005911E2" w:rsidRDefault="00897C1E" w:rsidP="00F104E9">
            <w:pPr>
              <w:pStyle w:val="braytabletext"/>
              <w:jc w:val="right"/>
            </w:pPr>
            <w:r w:rsidRPr="005911E2">
              <w:t>6.3</w:t>
            </w:r>
          </w:p>
        </w:tc>
        <w:tc>
          <w:tcPr>
            <w:tcW w:w="143" w:type="pct"/>
            <w:tcBorders>
              <w:top w:val="nil"/>
              <w:left w:val="nil"/>
              <w:bottom w:val="nil"/>
              <w:right w:val="nil"/>
            </w:tcBorders>
          </w:tcPr>
          <w:p w:rsidR="00897C1E" w:rsidRPr="005911E2" w:rsidRDefault="00897C1E" w:rsidP="00F104E9">
            <w:pPr>
              <w:pStyle w:val="braytabletext"/>
              <w:jc w:val="right"/>
            </w:pPr>
          </w:p>
        </w:tc>
        <w:tc>
          <w:tcPr>
            <w:tcW w:w="616" w:type="pct"/>
            <w:tcBorders>
              <w:top w:val="nil"/>
              <w:left w:val="nil"/>
              <w:bottom w:val="nil"/>
              <w:right w:val="nil"/>
            </w:tcBorders>
          </w:tcPr>
          <w:p w:rsidR="00897C1E" w:rsidRPr="005911E2" w:rsidRDefault="00897C1E" w:rsidP="00F104E9">
            <w:pPr>
              <w:pStyle w:val="braytabletext"/>
              <w:jc w:val="right"/>
            </w:pPr>
            <w:r w:rsidRPr="005911E2">
              <w:t>10.3</w:t>
            </w:r>
          </w:p>
        </w:tc>
        <w:tc>
          <w:tcPr>
            <w:tcW w:w="200" w:type="pct"/>
            <w:tcBorders>
              <w:top w:val="nil"/>
              <w:left w:val="nil"/>
              <w:bottom w:val="nil"/>
              <w:right w:val="nil"/>
            </w:tcBorders>
          </w:tcPr>
          <w:p w:rsidR="00897C1E" w:rsidRPr="005911E2" w:rsidRDefault="00897C1E" w:rsidP="00F104E9">
            <w:pPr>
              <w:pStyle w:val="braytabletext"/>
              <w:jc w:val="right"/>
            </w:pPr>
          </w:p>
        </w:tc>
        <w:tc>
          <w:tcPr>
            <w:tcW w:w="516" w:type="pct"/>
            <w:tcBorders>
              <w:top w:val="nil"/>
              <w:left w:val="nil"/>
              <w:bottom w:val="nil"/>
              <w:right w:val="nil"/>
            </w:tcBorders>
          </w:tcPr>
          <w:p w:rsidR="00897C1E" w:rsidRPr="005911E2" w:rsidRDefault="00897C1E" w:rsidP="00F104E9">
            <w:pPr>
              <w:pStyle w:val="braytabletext"/>
              <w:jc w:val="right"/>
            </w:pPr>
            <w:r w:rsidRPr="005911E2">
              <w:t>24.7</w:t>
            </w:r>
          </w:p>
        </w:tc>
        <w:tc>
          <w:tcPr>
            <w:tcW w:w="483" w:type="pct"/>
            <w:tcBorders>
              <w:top w:val="nil"/>
              <w:left w:val="nil"/>
              <w:bottom w:val="nil"/>
              <w:right w:val="nil"/>
            </w:tcBorders>
          </w:tcPr>
          <w:p w:rsidR="00897C1E" w:rsidRPr="005911E2" w:rsidRDefault="00897C1E" w:rsidP="00F104E9">
            <w:pPr>
              <w:pStyle w:val="braytabletext"/>
              <w:jc w:val="right"/>
            </w:pPr>
            <w:r w:rsidRPr="005911E2">
              <w:t>23.8</w:t>
            </w:r>
          </w:p>
        </w:tc>
      </w:tr>
      <w:tr w:rsidR="00897C1E" w:rsidRPr="005911E2" w:rsidTr="00B460A2">
        <w:trPr>
          <w:trHeight w:val="290"/>
          <w:jc w:val="right"/>
        </w:trPr>
        <w:tc>
          <w:tcPr>
            <w:tcW w:w="902" w:type="pct"/>
            <w:tcBorders>
              <w:top w:val="nil"/>
              <w:left w:val="nil"/>
              <w:bottom w:val="nil"/>
              <w:right w:val="nil"/>
            </w:tcBorders>
          </w:tcPr>
          <w:p w:rsidR="00897C1E" w:rsidRPr="005911E2" w:rsidRDefault="00897C1E" w:rsidP="00F104E9">
            <w:pPr>
              <w:pStyle w:val="braytabletext"/>
            </w:pPr>
            <w:r w:rsidRPr="005911E2">
              <w:t>Most of the time</w:t>
            </w:r>
          </w:p>
        </w:tc>
        <w:tc>
          <w:tcPr>
            <w:tcW w:w="569" w:type="pct"/>
            <w:gridSpan w:val="2"/>
            <w:tcBorders>
              <w:top w:val="nil"/>
              <w:left w:val="nil"/>
              <w:bottom w:val="nil"/>
              <w:right w:val="nil"/>
            </w:tcBorders>
          </w:tcPr>
          <w:p w:rsidR="00897C1E" w:rsidRPr="005911E2" w:rsidRDefault="00897C1E" w:rsidP="00F104E9">
            <w:pPr>
              <w:pStyle w:val="braytabletext"/>
              <w:jc w:val="right"/>
            </w:pPr>
            <w:r w:rsidRPr="005911E2">
              <w:t>12.6</w:t>
            </w:r>
          </w:p>
        </w:tc>
        <w:tc>
          <w:tcPr>
            <w:tcW w:w="488" w:type="pct"/>
            <w:tcBorders>
              <w:top w:val="nil"/>
              <w:left w:val="nil"/>
              <w:bottom w:val="nil"/>
              <w:right w:val="nil"/>
            </w:tcBorders>
          </w:tcPr>
          <w:p w:rsidR="00897C1E" w:rsidRPr="005911E2" w:rsidRDefault="00897C1E" w:rsidP="00F104E9">
            <w:pPr>
              <w:pStyle w:val="braytabletext"/>
              <w:jc w:val="right"/>
            </w:pPr>
            <w:r w:rsidRPr="005911E2">
              <w:t>8.8</w:t>
            </w:r>
          </w:p>
        </w:tc>
        <w:tc>
          <w:tcPr>
            <w:tcW w:w="149" w:type="pct"/>
            <w:gridSpan w:val="2"/>
            <w:tcBorders>
              <w:top w:val="nil"/>
              <w:left w:val="nil"/>
              <w:bottom w:val="nil"/>
              <w:right w:val="nil"/>
            </w:tcBorders>
          </w:tcPr>
          <w:p w:rsidR="00897C1E" w:rsidRPr="005911E2" w:rsidRDefault="00897C1E" w:rsidP="00F104E9">
            <w:pPr>
              <w:pStyle w:val="braytabletext"/>
              <w:jc w:val="right"/>
            </w:pPr>
          </w:p>
        </w:tc>
        <w:tc>
          <w:tcPr>
            <w:tcW w:w="445" w:type="pct"/>
            <w:tcBorders>
              <w:top w:val="nil"/>
              <w:left w:val="nil"/>
              <w:bottom w:val="nil"/>
              <w:right w:val="nil"/>
            </w:tcBorders>
          </w:tcPr>
          <w:p w:rsidR="00897C1E" w:rsidRPr="005911E2" w:rsidRDefault="00897C1E" w:rsidP="00F104E9">
            <w:pPr>
              <w:pStyle w:val="braytabletext"/>
              <w:jc w:val="right"/>
            </w:pPr>
            <w:r w:rsidRPr="005911E2">
              <w:t>16.5</w:t>
            </w:r>
          </w:p>
        </w:tc>
        <w:tc>
          <w:tcPr>
            <w:tcW w:w="489" w:type="pct"/>
            <w:tcBorders>
              <w:top w:val="nil"/>
              <w:left w:val="nil"/>
              <w:bottom w:val="nil"/>
              <w:right w:val="nil"/>
            </w:tcBorders>
          </w:tcPr>
          <w:p w:rsidR="00897C1E" w:rsidRPr="005911E2" w:rsidRDefault="00897C1E" w:rsidP="00F104E9">
            <w:pPr>
              <w:pStyle w:val="braytabletext"/>
              <w:jc w:val="right"/>
            </w:pPr>
            <w:r w:rsidRPr="005911E2">
              <w:t>31.3</w:t>
            </w:r>
          </w:p>
        </w:tc>
        <w:tc>
          <w:tcPr>
            <w:tcW w:w="143" w:type="pct"/>
            <w:tcBorders>
              <w:top w:val="nil"/>
              <w:left w:val="nil"/>
              <w:bottom w:val="nil"/>
              <w:right w:val="nil"/>
            </w:tcBorders>
          </w:tcPr>
          <w:p w:rsidR="00897C1E" w:rsidRPr="005911E2" w:rsidRDefault="00897C1E" w:rsidP="00F104E9">
            <w:pPr>
              <w:pStyle w:val="braytabletext"/>
              <w:jc w:val="right"/>
            </w:pPr>
          </w:p>
        </w:tc>
        <w:tc>
          <w:tcPr>
            <w:tcW w:w="616" w:type="pct"/>
            <w:tcBorders>
              <w:top w:val="nil"/>
              <w:left w:val="nil"/>
              <w:bottom w:val="nil"/>
              <w:right w:val="nil"/>
            </w:tcBorders>
          </w:tcPr>
          <w:p w:rsidR="00897C1E" w:rsidRPr="005911E2" w:rsidRDefault="00897C1E" w:rsidP="00F104E9">
            <w:pPr>
              <w:pStyle w:val="braytabletext"/>
              <w:jc w:val="right"/>
            </w:pPr>
            <w:r w:rsidRPr="005911E2">
              <w:t>10.3</w:t>
            </w:r>
          </w:p>
        </w:tc>
        <w:tc>
          <w:tcPr>
            <w:tcW w:w="200" w:type="pct"/>
            <w:tcBorders>
              <w:top w:val="nil"/>
              <w:left w:val="nil"/>
              <w:bottom w:val="nil"/>
              <w:right w:val="nil"/>
            </w:tcBorders>
          </w:tcPr>
          <w:p w:rsidR="00897C1E" w:rsidRPr="005911E2" w:rsidRDefault="00897C1E" w:rsidP="00F104E9">
            <w:pPr>
              <w:pStyle w:val="braytabletext"/>
              <w:jc w:val="right"/>
            </w:pPr>
          </w:p>
        </w:tc>
        <w:tc>
          <w:tcPr>
            <w:tcW w:w="516" w:type="pct"/>
            <w:tcBorders>
              <w:top w:val="nil"/>
              <w:left w:val="nil"/>
              <w:bottom w:val="nil"/>
              <w:right w:val="nil"/>
            </w:tcBorders>
          </w:tcPr>
          <w:p w:rsidR="00897C1E" w:rsidRPr="005911E2" w:rsidRDefault="00897C1E" w:rsidP="00F104E9">
            <w:pPr>
              <w:pStyle w:val="braytabletext"/>
              <w:jc w:val="right"/>
            </w:pPr>
            <w:r w:rsidRPr="005911E2">
              <w:t>13.7</w:t>
            </w:r>
          </w:p>
        </w:tc>
        <w:tc>
          <w:tcPr>
            <w:tcW w:w="483" w:type="pct"/>
            <w:tcBorders>
              <w:top w:val="nil"/>
              <w:left w:val="nil"/>
              <w:bottom w:val="nil"/>
              <w:right w:val="nil"/>
            </w:tcBorders>
          </w:tcPr>
          <w:p w:rsidR="00897C1E" w:rsidRPr="005911E2" w:rsidRDefault="00897C1E" w:rsidP="00F104E9">
            <w:pPr>
              <w:pStyle w:val="braytabletext"/>
              <w:jc w:val="right"/>
            </w:pPr>
            <w:r w:rsidRPr="005911E2">
              <w:t>21.0</w:t>
            </w:r>
          </w:p>
        </w:tc>
      </w:tr>
      <w:tr w:rsidR="00897C1E" w:rsidRPr="005911E2" w:rsidTr="00B460A2">
        <w:trPr>
          <w:trHeight w:val="290"/>
          <w:jc w:val="right"/>
        </w:trPr>
        <w:tc>
          <w:tcPr>
            <w:tcW w:w="902" w:type="pct"/>
            <w:tcBorders>
              <w:top w:val="nil"/>
              <w:left w:val="nil"/>
              <w:bottom w:val="single" w:sz="4" w:space="0" w:color="auto"/>
              <w:right w:val="nil"/>
            </w:tcBorders>
          </w:tcPr>
          <w:p w:rsidR="00897C1E" w:rsidRPr="005911E2" w:rsidRDefault="00897C1E" w:rsidP="00F104E9">
            <w:pPr>
              <w:pStyle w:val="braytabletext"/>
            </w:pPr>
            <w:r w:rsidRPr="005911E2">
              <w:t>All the time</w:t>
            </w:r>
          </w:p>
        </w:tc>
        <w:tc>
          <w:tcPr>
            <w:tcW w:w="569" w:type="pct"/>
            <w:gridSpan w:val="2"/>
            <w:tcBorders>
              <w:top w:val="nil"/>
              <w:left w:val="nil"/>
              <w:bottom w:val="single" w:sz="4" w:space="0" w:color="auto"/>
              <w:right w:val="nil"/>
            </w:tcBorders>
          </w:tcPr>
          <w:p w:rsidR="00897C1E" w:rsidRPr="005911E2" w:rsidRDefault="00897C1E" w:rsidP="00F104E9">
            <w:pPr>
              <w:pStyle w:val="braytabletext"/>
              <w:jc w:val="right"/>
            </w:pPr>
            <w:r w:rsidRPr="005911E2">
              <w:t>24.7</w:t>
            </w:r>
          </w:p>
        </w:tc>
        <w:tc>
          <w:tcPr>
            <w:tcW w:w="488" w:type="pct"/>
            <w:tcBorders>
              <w:top w:val="nil"/>
              <w:left w:val="nil"/>
              <w:bottom w:val="single" w:sz="4" w:space="0" w:color="auto"/>
              <w:right w:val="nil"/>
            </w:tcBorders>
          </w:tcPr>
          <w:p w:rsidR="00897C1E" w:rsidRPr="005911E2" w:rsidRDefault="00897C1E" w:rsidP="00F104E9">
            <w:pPr>
              <w:pStyle w:val="braytabletext"/>
              <w:jc w:val="right"/>
            </w:pPr>
            <w:r w:rsidRPr="005911E2">
              <w:t>32.7</w:t>
            </w:r>
          </w:p>
        </w:tc>
        <w:tc>
          <w:tcPr>
            <w:tcW w:w="149" w:type="pct"/>
            <w:gridSpan w:val="2"/>
            <w:tcBorders>
              <w:top w:val="nil"/>
              <w:left w:val="nil"/>
              <w:bottom w:val="single" w:sz="4" w:space="0" w:color="auto"/>
              <w:right w:val="nil"/>
            </w:tcBorders>
          </w:tcPr>
          <w:p w:rsidR="00897C1E" w:rsidRPr="005911E2" w:rsidRDefault="00897C1E" w:rsidP="00F104E9">
            <w:pPr>
              <w:pStyle w:val="braytabletext"/>
              <w:jc w:val="right"/>
            </w:pPr>
          </w:p>
        </w:tc>
        <w:tc>
          <w:tcPr>
            <w:tcW w:w="445" w:type="pct"/>
            <w:tcBorders>
              <w:top w:val="nil"/>
              <w:left w:val="nil"/>
              <w:bottom w:val="single" w:sz="4" w:space="0" w:color="auto"/>
              <w:right w:val="nil"/>
            </w:tcBorders>
          </w:tcPr>
          <w:p w:rsidR="00897C1E" w:rsidRPr="005911E2" w:rsidRDefault="00897C1E" w:rsidP="00F104E9">
            <w:pPr>
              <w:pStyle w:val="braytabletext"/>
              <w:jc w:val="right"/>
            </w:pPr>
            <w:r w:rsidRPr="005911E2">
              <w:t>25.2</w:t>
            </w:r>
          </w:p>
        </w:tc>
        <w:tc>
          <w:tcPr>
            <w:tcW w:w="489" w:type="pct"/>
            <w:tcBorders>
              <w:top w:val="nil"/>
              <w:left w:val="nil"/>
              <w:bottom w:val="single" w:sz="4" w:space="0" w:color="auto"/>
              <w:right w:val="nil"/>
            </w:tcBorders>
          </w:tcPr>
          <w:p w:rsidR="00897C1E" w:rsidRPr="005911E2" w:rsidRDefault="00897C1E" w:rsidP="00F104E9">
            <w:pPr>
              <w:pStyle w:val="braytabletext"/>
              <w:jc w:val="right"/>
            </w:pPr>
            <w:r w:rsidRPr="005911E2">
              <w:t>18.8</w:t>
            </w:r>
          </w:p>
        </w:tc>
        <w:tc>
          <w:tcPr>
            <w:tcW w:w="143" w:type="pct"/>
            <w:tcBorders>
              <w:top w:val="nil"/>
              <w:left w:val="nil"/>
              <w:bottom w:val="single" w:sz="4" w:space="0" w:color="auto"/>
              <w:right w:val="nil"/>
            </w:tcBorders>
          </w:tcPr>
          <w:p w:rsidR="00897C1E" w:rsidRPr="005911E2" w:rsidRDefault="00897C1E" w:rsidP="00F104E9">
            <w:pPr>
              <w:pStyle w:val="braytabletext"/>
              <w:jc w:val="right"/>
            </w:pPr>
          </w:p>
        </w:tc>
        <w:tc>
          <w:tcPr>
            <w:tcW w:w="616" w:type="pct"/>
            <w:tcBorders>
              <w:top w:val="nil"/>
              <w:left w:val="nil"/>
              <w:bottom w:val="single" w:sz="4" w:space="0" w:color="auto"/>
              <w:right w:val="nil"/>
            </w:tcBorders>
          </w:tcPr>
          <w:p w:rsidR="00897C1E" w:rsidRPr="005911E2" w:rsidRDefault="00897C1E" w:rsidP="00F104E9">
            <w:pPr>
              <w:pStyle w:val="braytabletext"/>
              <w:jc w:val="right"/>
            </w:pPr>
            <w:r w:rsidRPr="005911E2">
              <w:t>43.6</w:t>
            </w:r>
          </w:p>
        </w:tc>
        <w:tc>
          <w:tcPr>
            <w:tcW w:w="200" w:type="pct"/>
            <w:tcBorders>
              <w:top w:val="nil"/>
              <w:left w:val="nil"/>
              <w:bottom w:val="single" w:sz="4" w:space="0" w:color="auto"/>
              <w:right w:val="nil"/>
            </w:tcBorders>
          </w:tcPr>
          <w:p w:rsidR="00897C1E" w:rsidRPr="005911E2" w:rsidRDefault="00897C1E" w:rsidP="00F104E9">
            <w:pPr>
              <w:pStyle w:val="braytabletext"/>
              <w:jc w:val="right"/>
            </w:pPr>
          </w:p>
        </w:tc>
        <w:tc>
          <w:tcPr>
            <w:tcW w:w="516" w:type="pct"/>
            <w:tcBorders>
              <w:top w:val="nil"/>
              <w:left w:val="nil"/>
              <w:bottom w:val="single" w:sz="4" w:space="0" w:color="auto"/>
              <w:right w:val="nil"/>
            </w:tcBorders>
          </w:tcPr>
          <w:p w:rsidR="00897C1E" w:rsidRPr="005911E2" w:rsidRDefault="00897C1E" w:rsidP="00F104E9">
            <w:pPr>
              <w:pStyle w:val="braytabletext"/>
              <w:jc w:val="right"/>
            </w:pPr>
            <w:r w:rsidRPr="005911E2">
              <w:t>11.5</w:t>
            </w:r>
          </w:p>
        </w:tc>
        <w:tc>
          <w:tcPr>
            <w:tcW w:w="483" w:type="pct"/>
            <w:tcBorders>
              <w:top w:val="nil"/>
              <w:left w:val="nil"/>
              <w:bottom w:val="single" w:sz="4" w:space="0" w:color="auto"/>
              <w:right w:val="nil"/>
            </w:tcBorders>
          </w:tcPr>
          <w:p w:rsidR="00897C1E" w:rsidRPr="005911E2" w:rsidRDefault="00897C1E" w:rsidP="00F104E9">
            <w:pPr>
              <w:pStyle w:val="braytabletext"/>
              <w:jc w:val="right"/>
            </w:pPr>
            <w:r w:rsidRPr="005911E2">
              <w:t>8.6</w:t>
            </w:r>
          </w:p>
        </w:tc>
      </w:tr>
      <w:tr w:rsidR="00897C1E" w:rsidRPr="005911E2" w:rsidTr="00B460A2">
        <w:trPr>
          <w:trHeight w:val="290"/>
          <w:jc w:val="right"/>
        </w:trPr>
        <w:tc>
          <w:tcPr>
            <w:tcW w:w="902" w:type="pct"/>
            <w:tcBorders>
              <w:top w:val="single" w:sz="4" w:space="0" w:color="auto"/>
              <w:left w:val="nil"/>
              <w:bottom w:val="nil"/>
              <w:right w:val="nil"/>
            </w:tcBorders>
          </w:tcPr>
          <w:p w:rsidR="00897C1E" w:rsidRPr="005911E2" w:rsidRDefault="00897C1E" w:rsidP="00F104E9">
            <w:pPr>
              <w:pStyle w:val="braytabletext"/>
              <w:rPr>
                <w:i/>
              </w:rPr>
            </w:pPr>
            <w:r w:rsidRPr="005911E2">
              <w:rPr>
                <w:i/>
              </w:rPr>
              <w:t>Embarrassed</w:t>
            </w:r>
          </w:p>
        </w:tc>
        <w:tc>
          <w:tcPr>
            <w:tcW w:w="569" w:type="pct"/>
            <w:gridSpan w:val="2"/>
            <w:tcBorders>
              <w:top w:val="single" w:sz="4" w:space="0" w:color="auto"/>
              <w:left w:val="nil"/>
              <w:bottom w:val="nil"/>
              <w:right w:val="nil"/>
            </w:tcBorders>
          </w:tcPr>
          <w:p w:rsidR="00897C1E" w:rsidRPr="005911E2" w:rsidRDefault="00897C1E" w:rsidP="00F104E9">
            <w:pPr>
              <w:pStyle w:val="braytabletext"/>
              <w:jc w:val="right"/>
              <w:rPr>
                <w:i/>
              </w:rPr>
            </w:pPr>
          </w:p>
        </w:tc>
        <w:tc>
          <w:tcPr>
            <w:tcW w:w="488" w:type="pct"/>
            <w:tcBorders>
              <w:top w:val="single" w:sz="4" w:space="0" w:color="auto"/>
              <w:left w:val="nil"/>
              <w:bottom w:val="nil"/>
              <w:right w:val="nil"/>
            </w:tcBorders>
          </w:tcPr>
          <w:p w:rsidR="00897C1E" w:rsidRPr="005911E2" w:rsidRDefault="00897C1E" w:rsidP="00F104E9">
            <w:pPr>
              <w:pStyle w:val="braytabletext"/>
              <w:jc w:val="right"/>
              <w:rPr>
                <w:i/>
              </w:rPr>
            </w:pPr>
          </w:p>
        </w:tc>
        <w:tc>
          <w:tcPr>
            <w:tcW w:w="149" w:type="pct"/>
            <w:gridSpan w:val="2"/>
            <w:tcBorders>
              <w:top w:val="single" w:sz="4" w:space="0" w:color="auto"/>
              <w:left w:val="nil"/>
              <w:bottom w:val="nil"/>
              <w:right w:val="nil"/>
            </w:tcBorders>
          </w:tcPr>
          <w:p w:rsidR="00897C1E" w:rsidRPr="005911E2" w:rsidRDefault="00897C1E" w:rsidP="00F104E9">
            <w:pPr>
              <w:pStyle w:val="braytabletext"/>
              <w:jc w:val="right"/>
              <w:rPr>
                <w:i/>
              </w:rPr>
            </w:pPr>
          </w:p>
        </w:tc>
        <w:tc>
          <w:tcPr>
            <w:tcW w:w="445" w:type="pct"/>
            <w:tcBorders>
              <w:top w:val="single" w:sz="4" w:space="0" w:color="auto"/>
              <w:left w:val="nil"/>
              <w:bottom w:val="nil"/>
              <w:right w:val="nil"/>
            </w:tcBorders>
          </w:tcPr>
          <w:p w:rsidR="00897C1E" w:rsidRPr="005911E2" w:rsidRDefault="00897C1E" w:rsidP="00F104E9">
            <w:pPr>
              <w:pStyle w:val="braytabletext"/>
              <w:jc w:val="right"/>
              <w:rPr>
                <w:i/>
              </w:rPr>
            </w:pPr>
          </w:p>
        </w:tc>
        <w:tc>
          <w:tcPr>
            <w:tcW w:w="489" w:type="pct"/>
            <w:tcBorders>
              <w:top w:val="single" w:sz="4" w:space="0" w:color="auto"/>
              <w:left w:val="nil"/>
              <w:bottom w:val="nil"/>
              <w:right w:val="nil"/>
            </w:tcBorders>
          </w:tcPr>
          <w:p w:rsidR="00897C1E" w:rsidRPr="005911E2" w:rsidRDefault="00897C1E" w:rsidP="00F104E9">
            <w:pPr>
              <w:pStyle w:val="braytabletext"/>
              <w:jc w:val="right"/>
              <w:rPr>
                <w:i/>
              </w:rPr>
            </w:pPr>
          </w:p>
        </w:tc>
        <w:tc>
          <w:tcPr>
            <w:tcW w:w="143" w:type="pct"/>
            <w:tcBorders>
              <w:top w:val="single" w:sz="4" w:space="0" w:color="auto"/>
              <w:left w:val="nil"/>
              <w:bottom w:val="nil"/>
              <w:right w:val="nil"/>
            </w:tcBorders>
          </w:tcPr>
          <w:p w:rsidR="00897C1E" w:rsidRPr="005911E2" w:rsidRDefault="00897C1E" w:rsidP="00F104E9">
            <w:pPr>
              <w:pStyle w:val="braytabletext"/>
              <w:jc w:val="right"/>
              <w:rPr>
                <w:i/>
              </w:rPr>
            </w:pPr>
          </w:p>
        </w:tc>
        <w:tc>
          <w:tcPr>
            <w:tcW w:w="616" w:type="pct"/>
            <w:tcBorders>
              <w:top w:val="single" w:sz="4" w:space="0" w:color="auto"/>
              <w:left w:val="nil"/>
              <w:bottom w:val="nil"/>
              <w:right w:val="nil"/>
            </w:tcBorders>
          </w:tcPr>
          <w:p w:rsidR="00897C1E" w:rsidRPr="005911E2" w:rsidRDefault="00897C1E" w:rsidP="00F104E9">
            <w:pPr>
              <w:pStyle w:val="braytabletext"/>
              <w:jc w:val="right"/>
              <w:rPr>
                <w:i/>
              </w:rPr>
            </w:pPr>
          </w:p>
        </w:tc>
        <w:tc>
          <w:tcPr>
            <w:tcW w:w="200" w:type="pct"/>
            <w:tcBorders>
              <w:top w:val="single" w:sz="4" w:space="0" w:color="auto"/>
              <w:left w:val="nil"/>
              <w:bottom w:val="nil"/>
              <w:right w:val="nil"/>
            </w:tcBorders>
          </w:tcPr>
          <w:p w:rsidR="00897C1E" w:rsidRPr="005911E2" w:rsidRDefault="00897C1E" w:rsidP="00F104E9">
            <w:pPr>
              <w:pStyle w:val="braytabletext"/>
              <w:jc w:val="right"/>
              <w:rPr>
                <w:i/>
              </w:rPr>
            </w:pPr>
          </w:p>
        </w:tc>
        <w:tc>
          <w:tcPr>
            <w:tcW w:w="516" w:type="pct"/>
            <w:tcBorders>
              <w:top w:val="single" w:sz="4" w:space="0" w:color="auto"/>
              <w:left w:val="nil"/>
              <w:bottom w:val="nil"/>
              <w:right w:val="nil"/>
            </w:tcBorders>
          </w:tcPr>
          <w:p w:rsidR="00897C1E" w:rsidRPr="005911E2" w:rsidRDefault="00897C1E" w:rsidP="00F104E9">
            <w:pPr>
              <w:pStyle w:val="braytabletext"/>
              <w:jc w:val="right"/>
              <w:rPr>
                <w:i/>
              </w:rPr>
            </w:pPr>
          </w:p>
        </w:tc>
        <w:tc>
          <w:tcPr>
            <w:tcW w:w="483" w:type="pct"/>
            <w:tcBorders>
              <w:top w:val="single" w:sz="4" w:space="0" w:color="auto"/>
              <w:left w:val="nil"/>
              <w:bottom w:val="nil"/>
              <w:right w:val="nil"/>
            </w:tcBorders>
          </w:tcPr>
          <w:p w:rsidR="00897C1E" w:rsidRPr="005911E2" w:rsidRDefault="00897C1E" w:rsidP="00F104E9">
            <w:pPr>
              <w:pStyle w:val="braytabletext"/>
              <w:jc w:val="right"/>
              <w:rPr>
                <w:i/>
              </w:rPr>
            </w:pPr>
          </w:p>
        </w:tc>
      </w:tr>
      <w:tr w:rsidR="00897C1E" w:rsidRPr="005911E2" w:rsidTr="00B460A2">
        <w:trPr>
          <w:trHeight w:val="290"/>
          <w:jc w:val="right"/>
        </w:trPr>
        <w:tc>
          <w:tcPr>
            <w:tcW w:w="902" w:type="pct"/>
            <w:tcBorders>
              <w:top w:val="nil"/>
              <w:left w:val="nil"/>
              <w:bottom w:val="nil"/>
              <w:right w:val="nil"/>
            </w:tcBorders>
          </w:tcPr>
          <w:p w:rsidR="00897C1E" w:rsidRPr="005911E2" w:rsidRDefault="00897C1E" w:rsidP="00F104E9">
            <w:pPr>
              <w:pStyle w:val="braytabletext"/>
            </w:pPr>
            <w:r w:rsidRPr="005911E2">
              <w:t>Never</w:t>
            </w:r>
          </w:p>
        </w:tc>
        <w:tc>
          <w:tcPr>
            <w:tcW w:w="569" w:type="pct"/>
            <w:gridSpan w:val="2"/>
            <w:tcBorders>
              <w:top w:val="nil"/>
              <w:left w:val="nil"/>
              <w:bottom w:val="nil"/>
              <w:right w:val="nil"/>
            </w:tcBorders>
          </w:tcPr>
          <w:p w:rsidR="00897C1E" w:rsidRPr="005911E2" w:rsidRDefault="00897C1E" w:rsidP="00F104E9">
            <w:pPr>
              <w:pStyle w:val="braytabletext"/>
              <w:jc w:val="right"/>
            </w:pPr>
            <w:r w:rsidRPr="005911E2">
              <w:t>24.6</w:t>
            </w:r>
          </w:p>
        </w:tc>
        <w:tc>
          <w:tcPr>
            <w:tcW w:w="488" w:type="pct"/>
            <w:tcBorders>
              <w:top w:val="nil"/>
              <w:left w:val="nil"/>
              <w:bottom w:val="nil"/>
              <w:right w:val="nil"/>
            </w:tcBorders>
          </w:tcPr>
          <w:p w:rsidR="00897C1E" w:rsidRPr="005911E2" w:rsidRDefault="00897C1E" w:rsidP="00F104E9">
            <w:pPr>
              <w:pStyle w:val="braytabletext"/>
              <w:jc w:val="right"/>
            </w:pPr>
            <w:r w:rsidRPr="005911E2">
              <w:t>28.5</w:t>
            </w:r>
          </w:p>
        </w:tc>
        <w:tc>
          <w:tcPr>
            <w:tcW w:w="149" w:type="pct"/>
            <w:gridSpan w:val="2"/>
            <w:tcBorders>
              <w:top w:val="nil"/>
              <w:left w:val="nil"/>
              <w:bottom w:val="nil"/>
              <w:right w:val="nil"/>
            </w:tcBorders>
          </w:tcPr>
          <w:p w:rsidR="00897C1E" w:rsidRPr="005911E2" w:rsidRDefault="00897C1E" w:rsidP="00F104E9">
            <w:pPr>
              <w:pStyle w:val="braytabletext"/>
              <w:jc w:val="right"/>
            </w:pPr>
          </w:p>
        </w:tc>
        <w:tc>
          <w:tcPr>
            <w:tcW w:w="445" w:type="pct"/>
            <w:tcBorders>
              <w:top w:val="nil"/>
              <w:left w:val="nil"/>
              <w:bottom w:val="nil"/>
              <w:right w:val="nil"/>
            </w:tcBorders>
          </w:tcPr>
          <w:p w:rsidR="00897C1E" w:rsidRPr="005911E2" w:rsidRDefault="00897C1E" w:rsidP="00F104E9">
            <w:pPr>
              <w:pStyle w:val="braytabletext"/>
              <w:jc w:val="right"/>
            </w:pPr>
            <w:r w:rsidRPr="005911E2">
              <w:t>26.5</w:t>
            </w:r>
          </w:p>
        </w:tc>
        <w:tc>
          <w:tcPr>
            <w:tcW w:w="489" w:type="pct"/>
            <w:tcBorders>
              <w:top w:val="nil"/>
              <w:left w:val="nil"/>
              <w:bottom w:val="nil"/>
              <w:right w:val="nil"/>
            </w:tcBorders>
          </w:tcPr>
          <w:p w:rsidR="00897C1E" w:rsidRPr="005911E2" w:rsidRDefault="00897C1E" w:rsidP="00F104E9">
            <w:pPr>
              <w:pStyle w:val="braytabletext"/>
              <w:jc w:val="right"/>
            </w:pPr>
            <w:r w:rsidRPr="005911E2">
              <w:t>28.1</w:t>
            </w:r>
          </w:p>
        </w:tc>
        <w:tc>
          <w:tcPr>
            <w:tcW w:w="143" w:type="pct"/>
            <w:tcBorders>
              <w:top w:val="nil"/>
              <w:left w:val="nil"/>
              <w:bottom w:val="nil"/>
              <w:right w:val="nil"/>
            </w:tcBorders>
          </w:tcPr>
          <w:p w:rsidR="00897C1E" w:rsidRPr="005911E2" w:rsidRDefault="00897C1E" w:rsidP="00F104E9">
            <w:pPr>
              <w:pStyle w:val="braytabletext"/>
              <w:jc w:val="right"/>
            </w:pPr>
          </w:p>
        </w:tc>
        <w:tc>
          <w:tcPr>
            <w:tcW w:w="616" w:type="pct"/>
            <w:tcBorders>
              <w:top w:val="nil"/>
              <w:left w:val="nil"/>
              <w:bottom w:val="nil"/>
              <w:right w:val="nil"/>
            </w:tcBorders>
          </w:tcPr>
          <w:p w:rsidR="00897C1E" w:rsidRPr="005911E2" w:rsidRDefault="00897C1E" w:rsidP="00F104E9">
            <w:pPr>
              <w:pStyle w:val="braytabletext"/>
              <w:jc w:val="right"/>
            </w:pPr>
            <w:r w:rsidRPr="005911E2">
              <w:t>28.2</w:t>
            </w:r>
          </w:p>
        </w:tc>
        <w:tc>
          <w:tcPr>
            <w:tcW w:w="200" w:type="pct"/>
            <w:tcBorders>
              <w:top w:val="nil"/>
              <w:left w:val="nil"/>
              <w:bottom w:val="nil"/>
              <w:right w:val="nil"/>
            </w:tcBorders>
          </w:tcPr>
          <w:p w:rsidR="00897C1E" w:rsidRPr="005911E2" w:rsidRDefault="00897C1E" w:rsidP="00F104E9">
            <w:pPr>
              <w:pStyle w:val="braytabletext"/>
              <w:jc w:val="right"/>
            </w:pPr>
          </w:p>
        </w:tc>
        <w:tc>
          <w:tcPr>
            <w:tcW w:w="516" w:type="pct"/>
            <w:tcBorders>
              <w:top w:val="nil"/>
              <w:left w:val="nil"/>
              <w:bottom w:val="nil"/>
              <w:right w:val="nil"/>
            </w:tcBorders>
          </w:tcPr>
          <w:p w:rsidR="00897C1E" w:rsidRPr="005911E2" w:rsidRDefault="00897C1E" w:rsidP="00F104E9">
            <w:pPr>
              <w:pStyle w:val="braytabletext"/>
              <w:jc w:val="right"/>
            </w:pPr>
            <w:r w:rsidRPr="005911E2">
              <w:t>42.1</w:t>
            </w:r>
          </w:p>
        </w:tc>
        <w:tc>
          <w:tcPr>
            <w:tcW w:w="483" w:type="pct"/>
            <w:tcBorders>
              <w:top w:val="nil"/>
              <w:left w:val="nil"/>
              <w:bottom w:val="nil"/>
              <w:right w:val="nil"/>
            </w:tcBorders>
          </w:tcPr>
          <w:p w:rsidR="00897C1E" w:rsidRPr="005911E2" w:rsidRDefault="00897C1E" w:rsidP="00F104E9">
            <w:pPr>
              <w:pStyle w:val="braytabletext"/>
              <w:jc w:val="right"/>
            </w:pPr>
            <w:r w:rsidRPr="005911E2">
              <w:t>34.3</w:t>
            </w:r>
          </w:p>
        </w:tc>
      </w:tr>
      <w:tr w:rsidR="00897C1E" w:rsidRPr="005911E2" w:rsidTr="00B460A2">
        <w:trPr>
          <w:trHeight w:val="290"/>
          <w:jc w:val="right"/>
        </w:trPr>
        <w:tc>
          <w:tcPr>
            <w:tcW w:w="902" w:type="pct"/>
            <w:tcBorders>
              <w:top w:val="nil"/>
              <w:left w:val="nil"/>
              <w:bottom w:val="nil"/>
              <w:right w:val="nil"/>
            </w:tcBorders>
          </w:tcPr>
          <w:p w:rsidR="00897C1E" w:rsidRPr="005911E2" w:rsidRDefault="00897C1E" w:rsidP="00F104E9">
            <w:pPr>
              <w:pStyle w:val="braytabletext"/>
            </w:pPr>
            <w:r w:rsidRPr="005911E2">
              <w:t>Hardly ever</w:t>
            </w:r>
          </w:p>
        </w:tc>
        <w:tc>
          <w:tcPr>
            <w:tcW w:w="569" w:type="pct"/>
            <w:gridSpan w:val="2"/>
            <w:tcBorders>
              <w:top w:val="nil"/>
              <w:left w:val="nil"/>
              <w:bottom w:val="nil"/>
              <w:right w:val="nil"/>
            </w:tcBorders>
          </w:tcPr>
          <w:p w:rsidR="00897C1E" w:rsidRPr="005911E2" w:rsidRDefault="00897C1E" w:rsidP="00F104E9">
            <w:pPr>
              <w:pStyle w:val="braytabletext"/>
              <w:jc w:val="right"/>
            </w:pPr>
            <w:r w:rsidRPr="005911E2">
              <w:t>6.7</w:t>
            </w:r>
          </w:p>
        </w:tc>
        <w:tc>
          <w:tcPr>
            <w:tcW w:w="488" w:type="pct"/>
            <w:tcBorders>
              <w:top w:val="nil"/>
              <w:left w:val="nil"/>
              <w:bottom w:val="nil"/>
              <w:right w:val="nil"/>
            </w:tcBorders>
          </w:tcPr>
          <w:p w:rsidR="00897C1E" w:rsidRPr="005911E2" w:rsidRDefault="00897C1E" w:rsidP="00F104E9">
            <w:pPr>
              <w:pStyle w:val="braytabletext"/>
              <w:jc w:val="right"/>
            </w:pPr>
            <w:r w:rsidRPr="005911E2">
              <w:t>10.1</w:t>
            </w:r>
          </w:p>
        </w:tc>
        <w:tc>
          <w:tcPr>
            <w:tcW w:w="149" w:type="pct"/>
            <w:gridSpan w:val="2"/>
            <w:tcBorders>
              <w:top w:val="nil"/>
              <w:left w:val="nil"/>
              <w:bottom w:val="nil"/>
              <w:right w:val="nil"/>
            </w:tcBorders>
          </w:tcPr>
          <w:p w:rsidR="00897C1E" w:rsidRPr="005911E2" w:rsidRDefault="00897C1E" w:rsidP="00F104E9">
            <w:pPr>
              <w:pStyle w:val="braytabletext"/>
              <w:jc w:val="right"/>
            </w:pPr>
          </w:p>
        </w:tc>
        <w:tc>
          <w:tcPr>
            <w:tcW w:w="445" w:type="pct"/>
            <w:tcBorders>
              <w:top w:val="nil"/>
              <w:left w:val="nil"/>
              <w:bottom w:val="nil"/>
              <w:right w:val="nil"/>
            </w:tcBorders>
          </w:tcPr>
          <w:p w:rsidR="00897C1E" w:rsidRPr="005911E2" w:rsidRDefault="00897C1E" w:rsidP="00F104E9">
            <w:pPr>
              <w:pStyle w:val="braytabletext"/>
              <w:jc w:val="right"/>
            </w:pPr>
            <w:r w:rsidRPr="005911E2">
              <w:t>16.2</w:t>
            </w:r>
          </w:p>
        </w:tc>
        <w:tc>
          <w:tcPr>
            <w:tcW w:w="489" w:type="pct"/>
            <w:tcBorders>
              <w:top w:val="nil"/>
              <w:left w:val="nil"/>
              <w:bottom w:val="nil"/>
              <w:right w:val="nil"/>
            </w:tcBorders>
          </w:tcPr>
          <w:p w:rsidR="00897C1E" w:rsidRPr="005911E2" w:rsidRDefault="00897C1E" w:rsidP="00F104E9">
            <w:pPr>
              <w:pStyle w:val="braytabletext"/>
              <w:jc w:val="right"/>
            </w:pPr>
            <w:r w:rsidRPr="005911E2">
              <w:t>6.3</w:t>
            </w:r>
          </w:p>
        </w:tc>
        <w:tc>
          <w:tcPr>
            <w:tcW w:w="143" w:type="pct"/>
            <w:tcBorders>
              <w:top w:val="nil"/>
              <w:left w:val="nil"/>
              <w:bottom w:val="nil"/>
              <w:right w:val="nil"/>
            </w:tcBorders>
          </w:tcPr>
          <w:p w:rsidR="00897C1E" w:rsidRPr="005911E2" w:rsidRDefault="00897C1E" w:rsidP="00F104E9">
            <w:pPr>
              <w:pStyle w:val="braytabletext"/>
              <w:jc w:val="right"/>
            </w:pPr>
          </w:p>
        </w:tc>
        <w:tc>
          <w:tcPr>
            <w:tcW w:w="616" w:type="pct"/>
            <w:tcBorders>
              <w:top w:val="nil"/>
              <w:left w:val="nil"/>
              <w:bottom w:val="nil"/>
              <w:right w:val="nil"/>
            </w:tcBorders>
          </w:tcPr>
          <w:p w:rsidR="00897C1E" w:rsidRPr="005911E2" w:rsidRDefault="00897C1E" w:rsidP="00F104E9">
            <w:pPr>
              <w:pStyle w:val="braytabletext"/>
              <w:jc w:val="right"/>
            </w:pPr>
            <w:r w:rsidRPr="005911E2">
              <w:t>3.5</w:t>
            </w:r>
          </w:p>
        </w:tc>
        <w:tc>
          <w:tcPr>
            <w:tcW w:w="200" w:type="pct"/>
            <w:tcBorders>
              <w:top w:val="nil"/>
              <w:left w:val="nil"/>
              <w:bottom w:val="nil"/>
              <w:right w:val="nil"/>
            </w:tcBorders>
          </w:tcPr>
          <w:p w:rsidR="00897C1E" w:rsidRPr="005911E2" w:rsidRDefault="00897C1E" w:rsidP="00F104E9">
            <w:pPr>
              <w:pStyle w:val="braytabletext"/>
              <w:jc w:val="right"/>
            </w:pPr>
          </w:p>
        </w:tc>
        <w:tc>
          <w:tcPr>
            <w:tcW w:w="516" w:type="pct"/>
            <w:tcBorders>
              <w:top w:val="nil"/>
              <w:left w:val="nil"/>
              <w:bottom w:val="nil"/>
              <w:right w:val="nil"/>
            </w:tcBorders>
          </w:tcPr>
          <w:p w:rsidR="00897C1E" w:rsidRPr="005911E2" w:rsidRDefault="00897C1E" w:rsidP="00F104E9">
            <w:pPr>
              <w:pStyle w:val="braytabletext"/>
              <w:jc w:val="right"/>
            </w:pPr>
            <w:r w:rsidRPr="005911E2">
              <w:t>8.7</w:t>
            </w:r>
          </w:p>
        </w:tc>
        <w:tc>
          <w:tcPr>
            <w:tcW w:w="483" w:type="pct"/>
            <w:tcBorders>
              <w:top w:val="nil"/>
              <w:left w:val="nil"/>
              <w:bottom w:val="nil"/>
              <w:right w:val="nil"/>
            </w:tcBorders>
          </w:tcPr>
          <w:p w:rsidR="00897C1E" w:rsidRPr="005911E2" w:rsidRDefault="00897C1E" w:rsidP="00F104E9">
            <w:pPr>
              <w:pStyle w:val="braytabletext"/>
              <w:jc w:val="right"/>
            </w:pPr>
            <w:r w:rsidRPr="005911E2">
              <w:t>4.8</w:t>
            </w:r>
          </w:p>
        </w:tc>
      </w:tr>
      <w:tr w:rsidR="00897C1E" w:rsidRPr="005911E2" w:rsidTr="00B460A2">
        <w:trPr>
          <w:trHeight w:val="290"/>
          <w:jc w:val="right"/>
        </w:trPr>
        <w:tc>
          <w:tcPr>
            <w:tcW w:w="902" w:type="pct"/>
            <w:tcBorders>
              <w:top w:val="nil"/>
              <w:left w:val="nil"/>
              <w:bottom w:val="nil"/>
              <w:right w:val="nil"/>
            </w:tcBorders>
          </w:tcPr>
          <w:p w:rsidR="00897C1E" w:rsidRPr="005911E2" w:rsidRDefault="00897C1E" w:rsidP="00F104E9">
            <w:pPr>
              <w:pStyle w:val="braytabletext"/>
            </w:pPr>
            <w:r w:rsidRPr="005911E2">
              <w:t>Sometimes</w:t>
            </w:r>
          </w:p>
        </w:tc>
        <w:tc>
          <w:tcPr>
            <w:tcW w:w="569" w:type="pct"/>
            <w:gridSpan w:val="2"/>
            <w:tcBorders>
              <w:top w:val="nil"/>
              <w:left w:val="nil"/>
              <w:bottom w:val="nil"/>
              <w:right w:val="nil"/>
            </w:tcBorders>
          </w:tcPr>
          <w:p w:rsidR="00897C1E" w:rsidRPr="005911E2" w:rsidRDefault="00897C1E" w:rsidP="00F104E9">
            <w:pPr>
              <w:pStyle w:val="braytabletext"/>
              <w:jc w:val="right"/>
            </w:pPr>
            <w:r w:rsidRPr="005911E2">
              <w:t>29.5</w:t>
            </w:r>
          </w:p>
        </w:tc>
        <w:tc>
          <w:tcPr>
            <w:tcW w:w="488" w:type="pct"/>
            <w:tcBorders>
              <w:top w:val="nil"/>
              <w:left w:val="nil"/>
              <w:bottom w:val="nil"/>
              <w:right w:val="nil"/>
            </w:tcBorders>
          </w:tcPr>
          <w:p w:rsidR="00897C1E" w:rsidRPr="005911E2" w:rsidRDefault="00897C1E" w:rsidP="00F104E9">
            <w:pPr>
              <w:pStyle w:val="braytabletext"/>
              <w:jc w:val="right"/>
            </w:pPr>
            <w:r w:rsidRPr="005911E2">
              <w:t>18.4</w:t>
            </w:r>
          </w:p>
        </w:tc>
        <w:tc>
          <w:tcPr>
            <w:tcW w:w="149" w:type="pct"/>
            <w:gridSpan w:val="2"/>
            <w:tcBorders>
              <w:top w:val="nil"/>
              <w:left w:val="nil"/>
              <w:bottom w:val="nil"/>
              <w:right w:val="nil"/>
            </w:tcBorders>
          </w:tcPr>
          <w:p w:rsidR="00897C1E" w:rsidRPr="005911E2" w:rsidRDefault="00897C1E" w:rsidP="00F104E9">
            <w:pPr>
              <w:pStyle w:val="braytabletext"/>
              <w:jc w:val="right"/>
            </w:pPr>
          </w:p>
        </w:tc>
        <w:tc>
          <w:tcPr>
            <w:tcW w:w="445" w:type="pct"/>
            <w:tcBorders>
              <w:top w:val="nil"/>
              <w:left w:val="nil"/>
              <w:bottom w:val="nil"/>
              <w:right w:val="nil"/>
            </w:tcBorders>
          </w:tcPr>
          <w:p w:rsidR="00897C1E" w:rsidRPr="005911E2" w:rsidRDefault="00897C1E" w:rsidP="00F104E9">
            <w:pPr>
              <w:pStyle w:val="braytabletext"/>
              <w:jc w:val="right"/>
            </w:pPr>
            <w:r w:rsidRPr="005911E2">
              <w:t>27.4</w:t>
            </w:r>
          </w:p>
        </w:tc>
        <w:tc>
          <w:tcPr>
            <w:tcW w:w="489" w:type="pct"/>
            <w:tcBorders>
              <w:top w:val="nil"/>
              <w:left w:val="nil"/>
              <w:bottom w:val="nil"/>
              <w:right w:val="nil"/>
            </w:tcBorders>
          </w:tcPr>
          <w:p w:rsidR="00897C1E" w:rsidRPr="005911E2" w:rsidRDefault="00897C1E" w:rsidP="00F104E9">
            <w:pPr>
              <w:pStyle w:val="braytabletext"/>
              <w:jc w:val="right"/>
            </w:pPr>
            <w:r w:rsidRPr="005911E2">
              <w:t>9.4</w:t>
            </w:r>
          </w:p>
        </w:tc>
        <w:tc>
          <w:tcPr>
            <w:tcW w:w="143" w:type="pct"/>
            <w:tcBorders>
              <w:top w:val="nil"/>
              <w:left w:val="nil"/>
              <w:bottom w:val="nil"/>
              <w:right w:val="nil"/>
            </w:tcBorders>
          </w:tcPr>
          <w:p w:rsidR="00897C1E" w:rsidRPr="005911E2" w:rsidRDefault="00897C1E" w:rsidP="00F104E9">
            <w:pPr>
              <w:pStyle w:val="braytabletext"/>
              <w:jc w:val="right"/>
            </w:pPr>
          </w:p>
        </w:tc>
        <w:tc>
          <w:tcPr>
            <w:tcW w:w="616" w:type="pct"/>
            <w:tcBorders>
              <w:top w:val="nil"/>
              <w:left w:val="nil"/>
              <w:bottom w:val="nil"/>
              <w:right w:val="nil"/>
            </w:tcBorders>
          </w:tcPr>
          <w:p w:rsidR="00897C1E" w:rsidRPr="005911E2" w:rsidRDefault="00897C1E" w:rsidP="00F104E9">
            <w:pPr>
              <w:pStyle w:val="braytabletext"/>
              <w:jc w:val="right"/>
            </w:pPr>
            <w:r w:rsidRPr="005911E2">
              <w:t>12.4</w:t>
            </w:r>
          </w:p>
        </w:tc>
        <w:tc>
          <w:tcPr>
            <w:tcW w:w="200" w:type="pct"/>
            <w:tcBorders>
              <w:top w:val="nil"/>
              <w:left w:val="nil"/>
              <w:bottom w:val="nil"/>
              <w:right w:val="nil"/>
            </w:tcBorders>
          </w:tcPr>
          <w:p w:rsidR="00897C1E" w:rsidRPr="005911E2" w:rsidRDefault="00897C1E" w:rsidP="00F104E9">
            <w:pPr>
              <w:pStyle w:val="braytabletext"/>
              <w:jc w:val="right"/>
            </w:pPr>
          </w:p>
        </w:tc>
        <w:tc>
          <w:tcPr>
            <w:tcW w:w="516" w:type="pct"/>
            <w:tcBorders>
              <w:top w:val="nil"/>
              <w:left w:val="nil"/>
              <w:bottom w:val="nil"/>
              <w:right w:val="nil"/>
            </w:tcBorders>
          </w:tcPr>
          <w:p w:rsidR="00897C1E" w:rsidRPr="005911E2" w:rsidRDefault="00897C1E" w:rsidP="00F104E9">
            <w:pPr>
              <w:pStyle w:val="braytabletext"/>
              <w:jc w:val="right"/>
            </w:pPr>
            <w:r w:rsidRPr="005911E2">
              <w:t>25.7</w:t>
            </w:r>
          </w:p>
        </w:tc>
        <w:tc>
          <w:tcPr>
            <w:tcW w:w="483" w:type="pct"/>
            <w:tcBorders>
              <w:top w:val="nil"/>
              <w:left w:val="nil"/>
              <w:bottom w:val="nil"/>
              <w:right w:val="nil"/>
            </w:tcBorders>
          </w:tcPr>
          <w:p w:rsidR="00897C1E" w:rsidRPr="005911E2" w:rsidRDefault="00897C1E" w:rsidP="00F104E9">
            <w:pPr>
              <w:pStyle w:val="braytabletext"/>
              <w:jc w:val="right"/>
            </w:pPr>
            <w:r w:rsidRPr="005911E2">
              <w:t>24.8</w:t>
            </w:r>
          </w:p>
        </w:tc>
      </w:tr>
      <w:tr w:rsidR="00897C1E" w:rsidRPr="005911E2" w:rsidTr="00B460A2">
        <w:trPr>
          <w:trHeight w:val="290"/>
          <w:jc w:val="right"/>
        </w:trPr>
        <w:tc>
          <w:tcPr>
            <w:tcW w:w="902" w:type="pct"/>
            <w:tcBorders>
              <w:top w:val="nil"/>
              <w:left w:val="nil"/>
              <w:bottom w:val="nil"/>
              <w:right w:val="nil"/>
            </w:tcBorders>
          </w:tcPr>
          <w:p w:rsidR="00897C1E" w:rsidRPr="005911E2" w:rsidRDefault="00897C1E" w:rsidP="00F104E9">
            <w:pPr>
              <w:pStyle w:val="braytabletext"/>
            </w:pPr>
            <w:r w:rsidRPr="005911E2">
              <w:t>Most of the time</w:t>
            </w:r>
          </w:p>
        </w:tc>
        <w:tc>
          <w:tcPr>
            <w:tcW w:w="569" w:type="pct"/>
            <w:gridSpan w:val="2"/>
            <w:tcBorders>
              <w:top w:val="nil"/>
              <w:left w:val="nil"/>
              <w:bottom w:val="nil"/>
              <w:right w:val="nil"/>
            </w:tcBorders>
          </w:tcPr>
          <w:p w:rsidR="00897C1E" w:rsidRPr="005911E2" w:rsidRDefault="00897C1E" w:rsidP="00F104E9">
            <w:pPr>
              <w:pStyle w:val="braytabletext"/>
              <w:jc w:val="right"/>
            </w:pPr>
            <w:r w:rsidRPr="005911E2">
              <w:t>12.5</w:t>
            </w:r>
          </w:p>
        </w:tc>
        <w:tc>
          <w:tcPr>
            <w:tcW w:w="488" w:type="pct"/>
            <w:tcBorders>
              <w:top w:val="nil"/>
              <w:left w:val="nil"/>
              <w:bottom w:val="nil"/>
              <w:right w:val="nil"/>
            </w:tcBorders>
          </w:tcPr>
          <w:p w:rsidR="00897C1E" w:rsidRPr="005911E2" w:rsidRDefault="00897C1E" w:rsidP="00F104E9">
            <w:pPr>
              <w:pStyle w:val="braytabletext"/>
              <w:jc w:val="right"/>
            </w:pPr>
            <w:r w:rsidRPr="005911E2">
              <w:t>10.8</w:t>
            </w:r>
          </w:p>
        </w:tc>
        <w:tc>
          <w:tcPr>
            <w:tcW w:w="149" w:type="pct"/>
            <w:gridSpan w:val="2"/>
            <w:tcBorders>
              <w:top w:val="nil"/>
              <w:left w:val="nil"/>
              <w:bottom w:val="nil"/>
              <w:right w:val="nil"/>
            </w:tcBorders>
          </w:tcPr>
          <w:p w:rsidR="00897C1E" w:rsidRPr="005911E2" w:rsidRDefault="00897C1E" w:rsidP="00F104E9">
            <w:pPr>
              <w:pStyle w:val="braytabletext"/>
              <w:jc w:val="right"/>
            </w:pPr>
          </w:p>
        </w:tc>
        <w:tc>
          <w:tcPr>
            <w:tcW w:w="445" w:type="pct"/>
            <w:tcBorders>
              <w:top w:val="nil"/>
              <w:left w:val="nil"/>
              <w:bottom w:val="nil"/>
              <w:right w:val="nil"/>
            </w:tcBorders>
          </w:tcPr>
          <w:p w:rsidR="00897C1E" w:rsidRPr="005911E2" w:rsidRDefault="00897C1E" w:rsidP="00F104E9">
            <w:pPr>
              <w:pStyle w:val="braytabletext"/>
              <w:jc w:val="right"/>
            </w:pPr>
            <w:r w:rsidRPr="005911E2">
              <w:t>12.8</w:t>
            </w:r>
          </w:p>
        </w:tc>
        <w:tc>
          <w:tcPr>
            <w:tcW w:w="489" w:type="pct"/>
            <w:tcBorders>
              <w:top w:val="nil"/>
              <w:left w:val="nil"/>
              <w:bottom w:val="nil"/>
              <w:right w:val="nil"/>
            </w:tcBorders>
          </w:tcPr>
          <w:p w:rsidR="00897C1E" w:rsidRPr="005911E2" w:rsidRDefault="00897C1E" w:rsidP="00F104E9">
            <w:pPr>
              <w:pStyle w:val="braytabletext"/>
              <w:jc w:val="right"/>
            </w:pPr>
            <w:r w:rsidRPr="005911E2">
              <w:t>12.5</w:t>
            </w:r>
          </w:p>
        </w:tc>
        <w:tc>
          <w:tcPr>
            <w:tcW w:w="143" w:type="pct"/>
            <w:tcBorders>
              <w:top w:val="nil"/>
              <w:left w:val="nil"/>
              <w:bottom w:val="nil"/>
              <w:right w:val="nil"/>
            </w:tcBorders>
          </w:tcPr>
          <w:p w:rsidR="00897C1E" w:rsidRPr="005911E2" w:rsidRDefault="00897C1E" w:rsidP="00F104E9">
            <w:pPr>
              <w:pStyle w:val="braytabletext"/>
              <w:jc w:val="right"/>
            </w:pPr>
          </w:p>
        </w:tc>
        <w:tc>
          <w:tcPr>
            <w:tcW w:w="616" w:type="pct"/>
            <w:tcBorders>
              <w:top w:val="nil"/>
              <w:left w:val="nil"/>
              <w:bottom w:val="nil"/>
              <w:right w:val="nil"/>
            </w:tcBorders>
          </w:tcPr>
          <w:p w:rsidR="00897C1E" w:rsidRPr="005911E2" w:rsidRDefault="00897C1E" w:rsidP="00F104E9">
            <w:pPr>
              <w:pStyle w:val="braytabletext"/>
              <w:jc w:val="right"/>
            </w:pPr>
            <w:r w:rsidRPr="005911E2">
              <w:t>7.6</w:t>
            </w:r>
          </w:p>
        </w:tc>
        <w:tc>
          <w:tcPr>
            <w:tcW w:w="200" w:type="pct"/>
            <w:tcBorders>
              <w:top w:val="nil"/>
              <w:left w:val="nil"/>
              <w:bottom w:val="nil"/>
              <w:right w:val="nil"/>
            </w:tcBorders>
          </w:tcPr>
          <w:p w:rsidR="00897C1E" w:rsidRPr="005911E2" w:rsidRDefault="00897C1E" w:rsidP="00F104E9">
            <w:pPr>
              <w:pStyle w:val="braytabletext"/>
              <w:jc w:val="right"/>
            </w:pPr>
          </w:p>
        </w:tc>
        <w:tc>
          <w:tcPr>
            <w:tcW w:w="516" w:type="pct"/>
            <w:tcBorders>
              <w:top w:val="nil"/>
              <w:left w:val="nil"/>
              <w:bottom w:val="nil"/>
              <w:right w:val="nil"/>
            </w:tcBorders>
          </w:tcPr>
          <w:p w:rsidR="00897C1E" w:rsidRPr="005911E2" w:rsidRDefault="00897C1E" w:rsidP="00F104E9">
            <w:pPr>
              <w:pStyle w:val="braytabletext"/>
              <w:jc w:val="right"/>
            </w:pPr>
            <w:r w:rsidRPr="005911E2">
              <w:t>14.2</w:t>
            </w:r>
          </w:p>
        </w:tc>
        <w:tc>
          <w:tcPr>
            <w:tcW w:w="483" w:type="pct"/>
            <w:tcBorders>
              <w:top w:val="nil"/>
              <w:left w:val="nil"/>
              <w:bottom w:val="nil"/>
              <w:right w:val="nil"/>
            </w:tcBorders>
          </w:tcPr>
          <w:p w:rsidR="00897C1E" w:rsidRPr="005911E2" w:rsidRDefault="00897C1E" w:rsidP="00F104E9">
            <w:pPr>
              <w:pStyle w:val="braytabletext"/>
              <w:jc w:val="right"/>
            </w:pPr>
            <w:r w:rsidRPr="005911E2">
              <w:t>23.8</w:t>
            </w:r>
          </w:p>
        </w:tc>
      </w:tr>
      <w:tr w:rsidR="00897C1E" w:rsidRPr="005911E2" w:rsidTr="00B460A2">
        <w:trPr>
          <w:trHeight w:val="290"/>
          <w:jc w:val="right"/>
        </w:trPr>
        <w:tc>
          <w:tcPr>
            <w:tcW w:w="902" w:type="pct"/>
            <w:tcBorders>
              <w:top w:val="nil"/>
              <w:left w:val="nil"/>
              <w:bottom w:val="single" w:sz="4" w:space="0" w:color="auto"/>
              <w:right w:val="nil"/>
            </w:tcBorders>
          </w:tcPr>
          <w:p w:rsidR="00897C1E" w:rsidRPr="005911E2" w:rsidRDefault="00897C1E" w:rsidP="00F104E9">
            <w:pPr>
              <w:pStyle w:val="braytabletext"/>
            </w:pPr>
            <w:r w:rsidRPr="005911E2">
              <w:t>All the time</w:t>
            </w:r>
          </w:p>
        </w:tc>
        <w:tc>
          <w:tcPr>
            <w:tcW w:w="569" w:type="pct"/>
            <w:gridSpan w:val="2"/>
            <w:tcBorders>
              <w:top w:val="nil"/>
              <w:left w:val="nil"/>
              <w:bottom w:val="single" w:sz="4" w:space="0" w:color="auto"/>
              <w:right w:val="nil"/>
            </w:tcBorders>
          </w:tcPr>
          <w:p w:rsidR="00897C1E" w:rsidRPr="005911E2" w:rsidRDefault="00897C1E" w:rsidP="00F104E9">
            <w:pPr>
              <w:pStyle w:val="braytabletext"/>
              <w:jc w:val="right"/>
            </w:pPr>
            <w:r w:rsidRPr="005911E2">
              <w:t>26.8</w:t>
            </w:r>
          </w:p>
        </w:tc>
        <w:tc>
          <w:tcPr>
            <w:tcW w:w="488" w:type="pct"/>
            <w:tcBorders>
              <w:top w:val="nil"/>
              <w:left w:val="nil"/>
              <w:bottom w:val="single" w:sz="4" w:space="0" w:color="auto"/>
              <w:right w:val="nil"/>
            </w:tcBorders>
          </w:tcPr>
          <w:p w:rsidR="00897C1E" w:rsidRPr="005911E2" w:rsidRDefault="00897C1E" w:rsidP="00F104E9">
            <w:pPr>
              <w:pStyle w:val="braytabletext"/>
              <w:jc w:val="right"/>
            </w:pPr>
            <w:r w:rsidRPr="005911E2">
              <w:t>32.3</w:t>
            </w:r>
          </w:p>
        </w:tc>
        <w:tc>
          <w:tcPr>
            <w:tcW w:w="149" w:type="pct"/>
            <w:gridSpan w:val="2"/>
            <w:tcBorders>
              <w:top w:val="nil"/>
              <w:left w:val="nil"/>
              <w:bottom w:val="single" w:sz="4" w:space="0" w:color="auto"/>
              <w:right w:val="nil"/>
            </w:tcBorders>
          </w:tcPr>
          <w:p w:rsidR="00897C1E" w:rsidRPr="005911E2" w:rsidRDefault="00897C1E" w:rsidP="00F104E9">
            <w:pPr>
              <w:pStyle w:val="braytabletext"/>
              <w:jc w:val="right"/>
            </w:pPr>
          </w:p>
        </w:tc>
        <w:tc>
          <w:tcPr>
            <w:tcW w:w="445" w:type="pct"/>
            <w:tcBorders>
              <w:top w:val="nil"/>
              <w:left w:val="nil"/>
              <w:bottom w:val="single" w:sz="4" w:space="0" w:color="auto"/>
              <w:right w:val="nil"/>
            </w:tcBorders>
          </w:tcPr>
          <w:p w:rsidR="00897C1E" w:rsidRPr="005911E2" w:rsidRDefault="00897C1E" w:rsidP="00F104E9">
            <w:pPr>
              <w:pStyle w:val="braytabletext"/>
              <w:jc w:val="right"/>
            </w:pPr>
            <w:r w:rsidRPr="005911E2">
              <w:t>17.1</w:t>
            </w:r>
          </w:p>
        </w:tc>
        <w:tc>
          <w:tcPr>
            <w:tcW w:w="489" w:type="pct"/>
            <w:tcBorders>
              <w:top w:val="nil"/>
              <w:left w:val="nil"/>
              <w:bottom w:val="single" w:sz="4" w:space="0" w:color="auto"/>
              <w:right w:val="nil"/>
            </w:tcBorders>
          </w:tcPr>
          <w:p w:rsidR="00897C1E" w:rsidRPr="005911E2" w:rsidRDefault="00897C1E" w:rsidP="00F104E9">
            <w:pPr>
              <w:pStyle w:val="braytabletext"/>
              <w:jc w:val="right"/>
            </w:pPr>
            <w:r w:rsidRPr="005911E2">
              <w:t>43.8</w:t>
            </w:r>
          </w:p>
        </w:tc>
        <w:tc>
          <w:tcPr>
            <w:tcW w:w="143" w:type="pct"/>
            <w:tcBorders>
              <w:top w:val="nil"/>
              <w:left w:val="nil"/>
              <w:bottom w:val="single" w:sz="4" w:space="0" w:color="auto"/>
              <w:right w:val="nil"/>
            </w:tcBorders>
          </w:tcPr>
          <w:p w:rsidR="00897C1E" w:rsidRPr="005911E2" w:rsidRDefault="00897C1E" w:rsidP="00F104E9">
            <w:pPr>
              <w:pStyle w:val="braytabletext"/>
              <w:jc w:val="right"/>
            </w:pPr>
          </w:p>
        </w:tc>
        <w:tc>
          <w:tcPr>
            <w:tcW w:w="616" w:type="pct"/>
            <w:tcBorders>
              <w:top w:val="nil"/>
              <w:left w:val="nil"/>
              <w:bottom w:val="single" w:sz="4" w:space="0" w:color="auto"/>
              <w:right w:val="nil"/>
            </w:tcBorders>
          </w:tcPr>
          <w:p w:rsidR="00897C1E" w:rsidRPr="005911E2" w:rsidRDefault="00897C1E" w:rsidP="00F104E9">
            <w:pPr>
              <w:pStyle w:val="braytabletext"/>
              <w:jc w:val="right"/>
            </w:pPr>
            <w:r w:rsidRPr="005911E2">
              <w:t>48.2</w:t>
            </w:r>
          </w:p>
        </w:tc>
        <w:tc>
          <w:tcPr>
            <w:tcW w:w="200" w:type="pct"/>
            <w:tcBorders>
              <w:top w:val="nil"/>
              <w:left w:val="nil"/>
              <w:bottom w:val="single" w:sz="4" w:space="0" w:color="auto"/>
              <w:right w:val="nil"/>
            </w:tcBorders>
          </w:tcPr>
          <w:p w:rsidR="00897C1E" w:rsidRPr="005911E2" w:rsidRDefault="00897C1E" w:rsidP="00F104E9">
            <w:pPr>
              <w:pStyle w:val="braytabletext"/>
              <w:jc w:val="right"/>
            </w:pPr>
          </w:p>
        </w:tc>
        <w:tc>
          <w:tcPr>
            <w:tcW w:w="516" w:type="pct"/>
            <w:tcBorders>
              <w:top w:val="nil"/>
              <w:left w:val="nil"/>
              <w:bottom w:val="single" w:sz="4" w:space="0" w:color="auto"/>
              <w:right w:val="nil"/>
            </w:tcBorders>
          </w:tcPr>
          <w:p w:rsidR="00897C1E" w:rsidRPr="005911E2" w:rsidRDefault="00897C1E" w:rsidP="00F104E9">
            <w:pPr>
              <w:pStyle w:val="braytabletext"/>
              <w:jc w:val="right"/>
            </w:pPr>
            <w:r w:rsidRPr="005911E2">
              <w:t>9.3</w:t>
            </w:r>
          </w:p>
        </w:tc>
        <w:tc>
          <w:tcPr>
            <w:tcW w:w="483" w:type="pct"/>
            <w:tcBorders>
              <w:top w:val="nil"/>
              <w:left w:val="nil"/>
              <w:bottom w:val="single" w:sz="4" w:space="0" w:color="auto"/>
              <w:right w:val="nil"/>
            </w:tcBorders>
          </w:tcPr>
          <w:p w:rsidR="00897C1E" w:rsidRPr="005911E2" w:rsidRDefault="00897C1E" w:rsidP="00F104E9">
            <w:pPr>
              <w:pStyle w:val="braytabletext"/>
              <w:jc w:val="right"/>
            </w:pPr>
            <w:r w:rsidRPr="005911E2">
              <w:t>12.4</w:t>
            </w:r>
          </w:p>
        </w:tc>
      </w:tr>
      <w:tr w:rsidR="00897C1E" w:rsidRPr="005911E2" w:rsidTr="00B460A2">
        <w:trPr>
          <w:trHeight w:val="290"/>
          <w:jc w:val="right"/>
        </w:trPr>
        <w:tc>
          <w:tcPr>
            <w:tcW w:w="902" w:type="pct"/>
            <w:tcBorders>
              <w:top w:val="single" w:sz="4" w:space="0" w:color="auto"/>
              <w:left w:val="nil"/>
              <w:bottom w:val="nil"/>
              <w:right w:val="nil"/>
            </w:tcBorders>
          </w:tcPr>
          <w:p w:rsidR="00897C1E" w:rsidRPr="005911E2" w:rsidRDefault="00897C1E" w:rsidP="00F104E9">
            <w:pPr>
              <w:pStyle w:val="braytabletext"/>
              <w:rPr>
                <w:i/>
              </w:rPr>
            </w:pPr>
            <w:r w:rsidRPr="005911E2">
              <w:rPr>
                <w:i/>
              </w:rPr>
              <w:t>Not fair</w:t>
            </w:r>
          </w:p>
        </w:tc>
        <w:tc>
          <w:tcPr>
            <w:tcW w:w="569" w:type="pct"/>
            <w:gridSpan w:val="2"/>
            <w:tcBorders>
              <w:top w:val="single" w:sz="4" w:space="0" w:color="auto"/>
              <w:left w:val="nil"/>
              <w:bottom w:val="nil"/>
              <w:right w:val="nil"/>
            </w:tcBorders>
          </w:tcPr>
          <w:p w:rsidR="00897C1E" w:rsidRPr="005911E2" w:rsidRDefault="00897C1E" w:rsidP="00F104E9">
            <w:pPr>
              <w:pStyle w:val="braytabletext"/>
              <w:jc w:val="right"/>
              <w:rPr>
                <w:i/>
              </w:rPr>
            </w:pPr>
          </w:p>
        </w:tc>
        <w:tc>
          <w:tcPr>
            <w:tcW w:w="488" w:type="pct"/>
            <w:tcBorders>
              <w:top w:val="single" w:sz="4" w:space="0" w:color="auto"/>
              <w:left w:val="nil"/>
              <w:bottom w:val="nil"/>
              <w:right w:val="nil"/>
            </w:tcBorders>
          </w:tcPr>
          <w:p w:rsidR="00897C1E" w:rsidRPr="005911E2" w:rsidRDefault="00897C1E" w:rsidP="00F104E9">
            <w:pPr>
              <w:pStyle w:val="braytabletext"/>
              <w:jc w:val="right"/>
              <w:rPr>
                <w:i/>
              </w:rPr>
            </w:pPr>
          </w:p>
        </w:tc>
        <w:tc>
          <w:tcPr>
            <w:tcW w:w="149" w:type="pct"/>
            <w:gridSpan w:val="2"/>
            <w:tcBorders>
              <w:top w:val="single" w:sz="4" w:space="0" w:color="auto"/>
              <w:left w:val="nil"/>
              <w:bottom w:val="nil"/>
              <w:right w:val="nil"/>
            </w:tcBorders>
          </w:tcPr>
          <w:p w:rsidR="00897C1E" w:rsidRPr="005911E2" w:rsidRDefault="00897C1E" w:rsidP="00F104E9">
            <w:pPr>
              <w:pStyle w:val="braytabletext"/>
              <w:jc w:val="right"/>
              <w:rPr>
                <w:i/>
              </w:rPr>
            </w:pPr>
          </w:p>
        </w:tc>
        <w:tc>
          <w:tcPr>
            <w:tcW w:w="445" w:type="pct"/>
            <w:tcBorders>
              <w:top w:val="single" w:sz="4" w:space="0" w:color="auto"/>
              <w:left w:val="nil"/>
              <w:bottom w:val="nil"/>
              <w:right w:val="nil"/>
            </w:tcBorders>
          </w:tcPr>
          <w:p w:rsidR="00897C1E" w:rsidRPr="005911E2" w:rsidRDefault="00897C1E" w:rsidP="00F104E9">
            <w:pPr>
              <w:pStyle w:val="braytabletext"/>
              <w:jc w:val="right"/>
              <w:rPr>
                <w:i/>
              </w:rPr>
            </w:pPr>
          </w:p>
        </w:tc>
        <w:tc>
          <w:tcPr>
            <w:tcW w:w="489" w:type="pct"/>
            <w:tcBorders>
              <w:top w:val="single" w:sz="4" w:space="0" w:color="auto"/>
              <w:left w:val="nil"/>
              <w:bottom w:val="nil"/>
              <w:right w:val="nil"/>
            </w:tcBorders>
          </w:tcPr>
          <w:p w:rsidR="00897C1E" w:rsidRPr="005911E2" w:rsidRDefault="00897C1E" w:rsidP="00F104E9">
            <w:pPr>
              <w:pStyle w:val="braytabletext"/>
              <w:jc w:val="right"/>
              <w:rPr>
                <w:i/>
              </w:rPr>
            </w:pPr>
          </w:p>
        </w:tc>
        <w:tc>
          <w:tcPr>
            <w:tcW w:w="143" w:type="pct"/>
            <w:tcBorders>
              <w:top w:val="single" w:sz="4" w:space="0" w:color="auto"/>
              <w:left w:val="nil"/>
              <w:bottom w:val="nil"/>
              <w:right w:val="nil"/>
            </w:tcBorders>
          </w:tcPr>
          <w:p w:rsidR="00897C1E" w:rsidRPr="005911E2" w:rsidRDefault="00897C1E" w:rsidP="00F104E9">
            <w:pPr>
              <w:pStyle w:val="braytabletext"/>
              <w:jc w:val="right"/>
              <w:rPr>
                <w:i/>
              </w:rPr>
            </w:pPr>
          </w:p>
        </w:tc>
        <w:tc>
          <w:tcPr>
            <w:tcW w:w="616" w:type="pct"/>
            <w:tcBorders>
              <w:top w:val="single" w:sz="4" w:space="0" w:color="auto"/>
              <w:left w:val="nil"/>
              <w:bottom w:val="nil"/>
              <w:right w:val="nil"/>
            </w:tcBorders>
          </w:tcPr>
          <w:p w:rsidR="00897C1E" w:rsidRPr="005911E2" w:rsidRDefault="00897C1E" w:rsidP="00F104E9">
            <w:pPr>
              <w:pStyle w:val="braytabletext"/>
              <w:jc w:val="right"/>
              <w:rPr>
                <w:i/>
              </w:rPr>
            </w:pPr>
          </w:p>
        </w:tc>
        <w:tc>
          <w:tcPr>
            <w:tcW w:w="200" w:type="pct"/>
            <w:tcBorders>
              <w:top w:val="single" w:sz="4" w:space="0" w:color="auto"/>
              <w:left w:val="nil"/>
              <w:bottom w:val="nil"/>
              <w:right w:val="nil"/>
            </w:tcBorders>
          </w:tcPr>
          <w:p w:rsidR="00897C1E" w:rsidRPr="005911E2" w:rsidRDefault="00897C1E" w:rsidP="00F104E9">
            <w:pPr>
              <w:pStyle w:val="braytabletext"/>
              <w:jc w:val="right"/>
              <w:rPr>
                <w:i/>
              </w:rPr>
            </w:pPr>
          </w:p>
        </w:tc>
        <w:tc>
          <w:tcPr>
            <w:tcW w:w="516" w:type="pct"/>
            <w:tcBorders>
              <w:top w:val="single" w:sz="4" w:space="0" w:color="auto"/>
              <w:left w:val="nil"/>
              <w:bottom w:val="nil"/>
              <w:right w:val="nil"/>
            </w:tcBorders>
          </w:tcPr>
          <w:p w:rsidR="00897C1E" w:rsidRPr="005911E2" w:rsidRDefault="00897C1E" w:rsidP="00F104E9">
            <w:pPr>
              <w:pStyle w:val="braytabletext"/>
              <w:jc w:val="right"/>
              <w:rPr>
                <w:i/>
              </w:rPr>
            </w:pPr>
          </w:p>
        </w:tc>
        <w:tc>
          <w:tcPr>
            <w:tcW w:w="483" w:type="pct"/>
            <w:tcBorders>
              <w:top w:val="single" w:sz="4" w:space="0" w:color="auto"/>
              <w:left w:val="nil"/>
              <w:bottom w:val="nil"/>
              <w:right w:val="nil"/>
            </w:tcBorders>
          </w:tcPr>
          <w:p w:rsidR="00897C1E" w:rsidRPr="005911E2" w:rsidRDefault="00897C1E" w:rsidP="00F104E9">
            <w:pPr>
              <w:pStyle w:val="braytabletext"/>
              <w:jc w:val="right"/>
              <w:rPr>
                <w:i/>
              </w:rPr>
            </w:pPr>
          </w:p>
        </w:tc>
      </w:tr>
      <w:tr w:rsidR="00897C1E" w:rsidRPr="005911E2" w:rsidTr="00B460A2">
        <w:trPr>
          <w:trHeight w:val="290"/>
          <w:jc w:val="right"/>
        </w:trPr>
        <w:tc>
          <w:tcPr>
            <w:tcW w:w="902" w:type="pct"/>
            <w:tcBorders>
              <w:top w:val="nil"/>
              <w:left w:val="nil"/>
              <w:bottom w:val="nil"/>
              <w:right w:val="nil"/>
            </w:tcBorders>
          </w:tcPr>
          <w:p w:rsidR="00897C1E" w:rsidRPr="005911E2" w:rsidRDefault="00897C1E" w:rsidP="00F104E9">
            <w:pPr>
              <w:pStyle w:val="braytabletext"/>
            </w:pPr>
            <w:r w:rsidRPr="005911E2">
              <w:t>Never</w:t>
            </w:r>
          </w:p>
        </w:tc>
        <w:tc>
          <w:tcPr>
            <w:tcW w:w="569" w:type="pct"/>
            <w:gridSpan w:val="2"/>
            <w:tcBorders>
              <w:top w:val="nil"/>
              <w:left w:val="nil"/>
              <w:bottom w:val="nil"/>
              <w:right w:val="nil"/>
            </w:tcBorders>
          </w:tcPr>
          <w:p w:rsidR="00897C1E" w:rsidRPr="005911E2" w:rsidRDefault="00897C1E" w:rsidP="00F104E9">
            <w:pPr>
              <w:pStyle w:val="braytabletext"/>
              <w:jc w:val="right"/>
            </w:pPr>
            <w:r w:rsidRPr="005911E2">
              <w:t>17.7</w:t>
            </w:r>
          </w:p>
        </w:tc>
        <w:tc>
          <w:tcPr>
            <w:tcW w:w="488" w:type="pct"/>
            <w:tcBorders>
              <w:top w:val="nil"/>
              <w:left w:val="nil"/>
              <w:bottom w:val="nil"/>
              <w:right w:val="nil"/>
            </w:tcBorders>
          </w:tcPr>
          <w:p w:rsidR="00897C1E" w:rsidRPr="005911E2" w:rsidRDefault="00897C1E" w:rsidP="00F104E9">
            <w:pPr>
              <w:pStyle w:val="braytabletext"/>
              <w:jc w:val="right"/>
            </w:pPr>
            <w:r w:rsidRPr="005911E2">
              <w:t>23.9</w:t>
            </w:r>
          </w:p>
        </w:tc>
        <w:tc>
          <w:tcPr>
            <w:tcW w:w="149" w:type="pct"/>
            <w:gridSpan w:val="2"/>
            <w:tcBorders>
              <w:top w:val="nil"/>
              <w:left w:val="nil"/>
              <w:bottom w:val="nil"/>
              <w:right w:val="nil"/>
            </w:tcBorders>
          </w:tcPr>
          <w:p w:rsidR="00897C1E" w:rsidRPr="005911E2" w:rsidRDefault="00897C1E" w:rsidP="00F104E9">
            <w:pPr>
              <w:pStyle w:val="braytabletext"/>
              <w:jc w:val="right"/>
            </w:pPr>
          </w:p>
        </w:tc>
        <w:tc>
          <w:tcPr>
            <w:tcW w:w="445" w:type="pct"/>
            <w:tcBorders>
              <w:top w:val="nil"/>
              <w:left w:val="nil"/>
              <w:bottom w:val="nil"/>
              <w:right w:val="nil"/>
            </w:tcBorders>
          </w:tcPr>
          <w:p w:rsidR="00897C1E" w:rsidRPr="005911E2" w:rsidRDefault="00897C1E" w:rsidP="00F104E9">
            <w:pPr>
              <w:pStyle w:val="braytabletext"/>
              <w:jc w:val="right"/>
            </w:pPr>
            <w:r w:rsidRPr="005911E2">
              <w:t>20.9</w:t>
            </w:r>
          </w:p>
        </w:tc>
        <w:tc>
          <w:tcPr>
            <w:tcW w:w="489" w:type="pct"/>
            <w:tcBorders>
              <w:top w:val="nil"/>
              <w:left w:val="nil"/>
              <w:bottom w:val="nil"/>
              <w:right w:val="nil"/>
            </w:tcBorders>
          </w:tcPr>
          <w:p w:rsidR="00897C1E" w:rsidRPr="005911E2" w:rsidRDefault="00897C1E" w:rsidP="00F104E9">
            <w:pPr>
              <w:pStyle w:val="braytabletext"/>
              <w:jc w:val="right"/>
            </w:pPr>
            <w:r w:rsidRPr="005911E2">
              <w:t>31.3</w:t>
            </w:r>
          </w:p>
        </w:tc>
        <w:tc>
          <w:tcPr>
            <w:tcW w:w="143" w:type="pct"/>
            <w:tcBorders>
              <w:top w:val="nil"/>
              <w:left w:val="nil"/>
              <w:bottom w:val="nil"/>
              <w:right w:val="nil"/>
            </w:tcBorders>
          </w:tcPr>
          <w:p w:rsidR="00897C1E" w:rsidRPr="005911E2" w:rsidRDefault="00897C1E" w:rsidP="00F104E9">
            <w:pPr>
              <w:pStyle w:val="braytabletext"/>
              <w:jc w:val="right"/>
            </w:pPr>
          </w:p>
        </w:tc>
        <w:tc>
          <w:tcPr>
            <w:tcW w:w="616" w:type="pct"/>
            <w:tcBorders>
              <w:top w:val="nil"/>
              <w:left w:val="nil"/>
              <w:bottom w:val="nil"/>
              <w:right w:val="nil"/>
            </w:tcBorders>
          </w:tcPr>
          <w:p w:rsidR="00897C1E" w:rsidRPr="005911E2" w:rsidRDefault="00897C1E" w:rsidP="00F104E9">
            <w:pPr>
              <w:pStyle w:val="braytabletext"/>
              <w:jc w:val="right"/>
            </w:pPr>
            <w:r w:rsidRPr="005911E2">
              <w:t>27.9</w:t>
            </w:r>
          </w:p>
        </w:tc>
        <w:tc>
          <w:tcPr>
            <w:tcW w:w="200" w:type="pct"/>
            <w:tcBorders>
              <w:top w:val="nil"/>
              <w:left w:val="nil"/>
              <w:bottom w:val="nil"/>
              <w:right w:val="nil"/>
            </w:tcBorders>
          </w:tcPr>
          <w:p w:rsidR="00897C1E" w:rsidRPr="005911E2" w:rsidRDefault="00897C1E" w:rsidP="00F104E9">
            <w:pPr>
              <w:pStyle w:val="braytabletext"/>
              <w:jc w:val="right"/>
            </w:pPr>
          </w:p>
        </w:tc>
        <w:tc>
          <w:tcPr>
            <w:tcW w:w="516" w:type="pct"/>
            <w:tcBorders>
              <w:top w:val="nil"/>
              <w:left w:val="nil"/>
              <w:bottom w:val="nil"/>
              <w:right w:val="nil"/>
            </w:tcBorders>
          </w:tcPr>
          <w:p w:rsidR="00897C1E" w:rsidRPr="005911E2" w:rsidRDefault="00897C1E" w:rsidP="00F104E9">
            <w:pPr>
              <w:pStyle w:val="braytabletext"/>
              <w:jc w:val="right"/>
            </w:pPr>
            <w:r w:rsidRPr="005911E2">
              <w:t>34.1</w:t>
            </w:r>
          </w:p>
        </w:tc>
        <w:tc>
          <w:tcPr>
            <w:tcW w:w="483" w:type="pct"/>
            <w:tcBorders>
              <w:top w:val="nil"/>
              <w:left w:val="nil"/>
              <w:bottom w:val="nil"/>
              <w:right w:val="nil"/>
            </w:tcBorders>
          </w:tcPr>
          <w:p w:rsidR="00897C1E" w:rsidRPr="005911E2" w:rsidRDefault="00897C1E" w:rsidP="00F104E9">
            <w:pPr>
              <w:pStyle w:val="braytabletext"/>
              <w:jc w:val="right"/>
            </w:pPr>
            <w:r w:rsidRPr="005911E2">
              <w:t>33.7</w:t>
            </w:r>
          </w:p>
        </w:tc>
      </w:tr>
      <w:tr w:rsidR="00897C1E" w:rsidRPr="005911E2" w:rsidTr="00B460A2">
        <w:trPr>
          <w:trHeight w:val="290"/>
          <w:jc w:val="right"/>
        </w:trPr>
        <w:tc>
          <w:tcPr>
            <w:tcW w:w="902" w:type="pct"/>
            <w:tcBorders>
              <w:top w:val="nil"/>
              <w:left w:val="nil"/>
              <w:bottom w:val="nil"/>
              <w:right w:val="nil"/>
            </w:tcBorders>
          </w:tcPr>
          <w:p w:rsidR="00897C1E" w:rsidRPr="005911E2" w:rsidRDefault="00897C1E" w:rsidP="00F104E9">
            <w:pPr>
              <w:pStyle w:val="braytabletext"/>
            </w:pPr>
            <w:r w:rsidRPr="005911E2">
              <w:t>Hardly ever</w:t>
            </w:r>
          </w:p>
        </w:tc>
        <w:tc>
          <w:tcPr>
            <w:tcW w:w="569" w:type="pct"/>
            <w:gridSpan w:val="2"/>
            <w:tcBorders>
              <w:top w:val="nil"/>
              <w:left w:val="nil"/>
              <w:bottom w:val="nil"/>
              <w:right w:val="nil"/>
            </w:tcBorders>
          </w:tcPr>
          <w:p w:rsidR="00897C1E" w:rsidRPr="005911E2" w:rsidRDefault="00897C1E" w:rsidP="00F104E9">
            <w:pPr>
              <w:pStyle w:val="braytabletext"/>
              <w:jc w:val="right"/>
            </w:pPr>
            <w:r w:rsidRPr="005911E2">
              <w:t>6.8</w:t>
            </w:r>
          </w:p>
        </w:tc>
        <w:tc>
          <w:tcPr>
            <w:tcW w:w="488" w:type="pct"/>
            <w:tcBorders>
              <w:top w:val="nil"/>
              <w:left w:val="nil"/>
              <w:bottom w:val="nil"/>
              <w:right w:val="nil"/>
            </w:tcBorders>
          </w:tcPr>
          <w:p w:rsidR="00897C1E" w:rsidRPr="005911E2" w:rsidRDefault="00897C1E" w:rsidP="00F104E9">
            <w:pPr>
              <w:pStyle w:val="braytabletext"/>
              <w:jc w:val="right"/>
            </w:pPr>
            <w:r w:rsidRPr="005911E2">
              <w:t>7.5</w:t>
            </w:r>
          </w:p>
        </w:tc>
        <w:tc>
          <w:tcPr>
            <w:tcW w:w="149" w:type="pct"/>
            <w:gridSpan w:val="2"/>
            <w:tcBorders>
              <w:top w:val="nil"/>
              <w:left w:val="nil"/>
              <w:bottom w:val="nil"/>
              <w:right w:val="nil"/>
            </w:tcBorders>
          </w:tcPr>
          <w:p w:rsidR="00897C1E" w:rsidRPr="005911E2" w:rsidRDefault="00897C1E" w:rsidP="00F104E9">
            <w:pPr>
              <w:pStyle w:val="braytabletext"/>
              <w:jc w:val="right"/>
            </w:pPr>
          </w:p>
        </w:tc>
        <w:tc>
          <w:tcPr>
            <w:tcW w:w="445" w:type="pct"/>
            <w:tcBorders>
              <w:top w:val="nil"/>
              <w:left w:val="nil"/>
              <w:bottom w:val="nil"/>
              <w:right w:val="nil"/>
            </w:tcBorders>
          </w:tcPr>
          <w:p w:rsidR="00897C1E" w:rsidRPr="005911E2" w:rsidRDefault="00897C1E" w:rsidP="00F104E9">
            <w:pPr>
              <w:pStyle w:val="braytabletext"/>
              <w:jc w:val="right"/>
            </w:pPr>
            <w:r w:rsidRPr="005911E2">
              <w:t>12.2</w:t>
            </w:r>
          </w:p>
        </w:tc>
        <w:tc>
          <w:tcPr>
            <w:tcW w:w="489" w:type="pct"/>
            <w:tcBorders>
              <w:top w:val="nil"/>
              <w:left w:val="nil"/>
              <w:bottom w:val="nil"/>
              <w:right w:val="nil"/>
            </w:tcBorders>
          </w:tcPr>
          <w:p w:rsidR="00897C1E" w:rsidRPr="005911E2" w:rsidRDefault="00897C1E" w:rsidP="00F104E9">
            <w:pPr>
              <w:pStyle w:val="braytabletext"/>
              <w:jc w:val="right"/>
            </w:pPr>
            <w:r w:rsidRPr="005911E2">
              <w:t>6.3</w:t>
            </w:r>
          </w:p>
        </w:tc>
        <w:tc>
          <w:tcPr>
            <w:tcW w:w="143" w:type="pct"/>
            <w:tcBorders>
              <w:top w:val="nil"/>
              <w:left w:val="nil"/>
              <w:bottom w:val="nil"/>
              <w:right w:val="nil"/>
            </w:tcBorders>
          </w:tcPr>
          <w:p w:rsidR="00897C1E" w:rsidRPr="005911E2" w:rsidRDefault="00897C1E" w:rsidP="00F104E9">
            <w:pPr>
              <w:pStyle w:val="braytabletext"/>
              <w:jc w:val="right"/>
            </w:pPr>
          </w:p>
        </w:tc>
        <w:tc>
          <w:tcPr>
            <w:tcW w:w="616" w:type="pct"/>
            <w:tcBorders>
              <w:top w:val="nil"/>
              <w:left w:val="nil"/>
              <w:bottom w:val="nil"/>
              <w:right w:val="nil"/>
            </w:tcBorders>
          </w:tcPr>
          <w:p w:rsidR="00897C1E" w:rsidRPr="005911E2" w:rsidRDefault="00897C1E" w:rsidP="00F104E9">
            <w:pPr>
              <w:pStyle w:val="braytabletext"/>
              <w:jc w:val="right"/>
            </w:pPr>
            <w:r w:rsidRPr="005911E2">
              <w:t>6.7</w:t>
            </w:r>
          </w:p>
        </w:tc>
        <w:tc>
          <w:tcPr>
            <w:tcW w:w="200" w:type="pct"/>
            <w:tcBorders>
              <w:top w:val="nil"/>
              <w:left w:val="nil"/>
              <w:bottom w:val="nil"/>
              <w:right w:val="nil"/>
            </w:tcBorders>
          </w:tcPr>
          <w:p w:rsidR="00897C1E" w:rsidRPr="005911E2" w:rsidRDefault="00897C1E" w:rsidP="00F104E9">
            <w:pPr>
              <w:pStyle w:val="braytabletext"/>
              <w:jc w:val="right"/>
            </w:pPr>
          </w:p>
        </w:tc>
        <w:tc>
          <w:tcPr>
            <w:tcW w:w="516" w:type="pct"/>
            <w:tcBorders>
              <w:top w:val="nil"/>
              <w:left w:val="nil"/>
              <w:bottom w:val="nil"/>
              <w:right w:val="nil"/>
            </w:tcBorders>
          </w:tcPr>
          <w:p w:rsidR="00897C1E" w:rsidRPr="005911E2" w:rsidRDefault="00897C1E" w:rsidP="00F104E9">
            <w:pPr>
              <w:pStyle w:val="braytabletext"/>
              <w:jc w:val="right"/>
            </w:pPr>
            <w:r w:rsidRPr="005911E2">
              <w:t>8.1</w:t>
            </w:r>
          </w:p>
        </w:tc>
        <w:tc>
          <w:tcPr>
            <w:tcW w:w="483" w:type="pct"/>
            <w:tcBorders>
              <w:top w:val="nil"/>
              <w:left w:val="nil"/>
              <w:bottom w:val="nil"/>
              <w:right w:val="nil"/>
            </w:tcBorders>
          </w:tcPr>
          <w:p w:rsidR="00897C1E" w:rsidRPr="005911E2" w:rsidRDefault="00897C1E" w:rsidP="00F104E9">
            <w:pPr>
              <w:pStyle w:val="braytabletext"/>
              <w:jc w:val="right"/>
            </w:pPr>
            <w:r w:rsidRPr="005911E2">
              <w:t>5.8</w:t>
            </w:r>
          </w:p>
        </w:tc>
      </w:tr>
      <w:tr w:rsidR="00897C1E" w:rsidRPr="005911E2" w:rsidTr="00B460A2">
        <w:trPr>
          <w:trHeight w:val="290"/>
          <w:jc w:val="right"/>
        </w:trPr>
        <w:tc>
          <w:tcPr>
            <w:tcW w:w="902" w:type="pct"/>
            <w:tcBorders>
              <w:top w:val="nil"/>
              <w:left w:val="nil"/>
              <w:bottom w:val="nil"/>
              <w:right w:val="nil"/>
            </w:tcBorders>
          </w:tcPr>
          <w:p w:rsidR="00897C1E" w:rsidRPr="005911E2" w:rsidRDefault="00897C1E" w:rsidP="00F104E9">
            <w:pPr>
              <w:pStyle w:val="braytabletext"/>
            </w:pPr>
            <w:r w:rsidRPr="005911E2">
              <w:t>Sometimes</w:t>
            </w:r>
          </w:p>
        </w:tc>
        <w:tc>
          <w:tcPr>
            <w:tcW w:w="569" w:type="pct"/>
            <w:gridSpan w:val="2"/>
            <w:tcBorders>
              <w:top w:val="nil"/>
              <w:left w:val="nil"/>
              <w:bottom w:val="nil"/>
              <w:right w:val="nil"/>
            </w:tcBorders>
          </w:tcPr>
          <w:p w:rsidR="00897C1E" w:rsidRPr="005911E2" w:rsidRDefault="00897C1E" w:rsidP="00F104E9">
            <w:pPr>
              <w:pStyle w:val="braytabletext"/>
              <w:jc w:val="right"/>
            </w:pPr>
            <w:r w:rsidRPr="005911E2">
              <w:t>27.7</w:t>
            </w:r>
          </w:p>
        </w:tc>
        <w:tc>
          <w:tcPr>
            <w:tcW w:w="488" w:type="pct"/>
            <w:tcBorders>
              <w:top w:val="nil"/>
              <w:left w:val="nil"/>
              <w:bottom w:val="nil"/>
              <w:right w:val="nil"/>
            </w:tcBorders>
          </w:tcPr>
          <w:p w:rsidR="00897C1E" w:rsidRPr="005911E2" w:rsidRDefault="00897C1E" w:rsidP="00F104E9">
            <w:pPr>
              <w:pStyle w:val="braytabletext"/>
              <w:jc w:val="right"/>
            </w:pPr>
            <w:r w:rsidRPr="005911E2">
              <w:t>18.9</w:t>
            </w:r>
          </w:p>
        </w:tc>
        <w:tc>
          <w:tcPr>
            <w:tcW w:w="149" w:type="pct"/>
            <w:gridSpan w:val="2"/>
            <w:tcBorders>
              <w:top w:val="nil"/>
              <w:left w:val="nil"/>
              <w:bottom w:val="nil"/>
              <w:right w:val="nil"/>
            </w:tcBorders>
          </w:tcPr>
          <w:p w:rsidR="00897C1E" w:rsidRPr="005911E2" w:rsidRDefault="00897C1E" w:rsidP="00F104E9">
            <w:pPr>
              <w:pStyle w:val="braytabletext"/>
              <w:jc w:val="right"/>
            </w:pPr>
          </w:p>
        </w:tc>
        <w:tc>
          <w:tcPr>
            <w:tcW w:w="445" w:type="pct"/>
            <w:tcBorders>
              <w:top w:val="nil"/>
              <w:left w:val="nil"/>
              <w:bottom w:val="nil"/>
              <w:right w:val="nil"/>
            </w:tcBorders>
          </w:tcPr>
          <w:p w:rsidR="00897C1E" w:rsidRPr="005911E2" w:rsidRDefault="00897C1E" w:rsidP="00F104E9">
            <w:pPr>
              <w:pStyle w:val="braytabletext"/>
              <w:jc w:val="right"/>
            </w:pPr>
            <w:r w:rsidRPr="005911E2">
              <w:t>24.3</w:t>
            </w:r>
          </w:p>
        </w:tc>
        <w:tc>
          <w:tcPr>
            <w:tcW w:w="489" w:type="pct"/>
            <w:tcBorders>
              <w:top w:val="nil"/>
              <w:left w:val="nil"/>
              <w:bottom w:val="nil"/>
              <w:right w:val="nil"/>
            </w:tcBorders>
          </w:tcPr>
          <w:p w:rsidR="00897C1E" w:rsidRPr="005911E2" w:rsidRDefault="00897C1E" w:rsidP="00F104E9">
            <w:pPr>
              <w:pStyle w:val="braytabletext"/>
              <w:jc w:val="right"/>
            </w:pPr>
            <w:r w:rsidRPr="005911E2">
              <w:t>3.1</w:t>
            </w:r>
          </w:p>
        </w:tc>
        <w:tc>
          <w:tcPr>
            <w:tcW w:w="143" w:type="pct"/>
            <w:tcBorders>
              <w:top w:val="nil"/>
              <w:left w:val="nil"/>
              <w:bottom w:val="nil"/>
              <w:right w:val="nil"/>
            </w:tcBorders>
          </w:tcPr>
          <w:p w:rsidR="00897C1E" w:rsidRPr="005911E2" w:rsidRDefault="00897C1E" w:rsidP="00F104E9">
            <w:pPr>
              <w:pStyle w:val="braytabletext"/>
              <w:jc w:val="right"/>
            </w:pPr>
          </w:p>
        </w:tc>
        <w:tc>
          <w:tcPr>
            <w:tcW w:w="616" w:type="pct"/>
            <w:tcBorders>
              <w:top w:val="nil"/>
              <w:left w:val="nil"/>
              <w:bottom w:val="nil"/>
              <w:right w:val="nil"/>
            </w:tcBorders>
          </w:tcPr>
          <w:p w:rsidR="00897C1E" w:rsidRPr="005911E2" w:rsidRDefault="00897C1E" w:rsidP="00F104E9">
            <w:pPr>
              <w:pStyle w:val="braytabletext"/>
              <w:jc w:val="right"/>
            </w:pPr>
            <w:r w:rsidRPr="005911E2">
              <w:t>9.7</w:t>
            </w:r>
          </w:p>
        </w:tc>
        <w:tc>
          <w:tcPr>
            <w:tcW w:w="200" w:type="pct"/>
            <w:tcBorders>
              <w:top w:val="nil"/>
              <w:left w:val="nil"/>
              <w:bottom w:val="nil"/>
              <w:right w:val="nil"/>
            </w:tcBorders>
          </w:tcPr>
          <w:p w:rsidR="00897C1E" w:rsidRPr="005911E2" w:rsidRDefault="00897C1E" w:rsidP="00F104E9">
            <w:pPr>
              <w:pStyle w:val="braytabletext"/>
              <w:jc w:val="right"/>
            </w:pPr>
          </w:p>
        </w:tc>
        <w:tc>
          <w:tcPr>
            <w:tcW w:w="516" w:type="pct"/>
            <w:tcBorders>
              <w:top w:val="nil"/>
              <w:left w:val="nil"/>
              <w:bottom w:val="nil"/>
              <w:right w:val="nil"/>
            </w:tcBorders>
          </w:tcPr>
          <w:p w:rsidR="00897C1E" w:rsidRPr="005911E2" w:rsidRDefault="00897C1E" w:rsidP="00F104E9">
            <w:pPr>
              <w:pStyle w:val="braytabletext"/>
              <w:jc w:val="right"/>
            </w:pPr>
            <w:r w:rsidRPr="005911E2">
              <w:t>27.7</w:t>
            </w:r>
          </w:p>
        </w:tc>
        <w:tc>
          <w:tcPr>
            <w:tcW w:w="483" w:type="pct"/>
            <w:tcBorders>
              <w:top w:val="nil"/>
              <w:left w:val="nil"/>
              <w:bottom w:val="nil"/>
              <w:right w:val="nil"/>
            </w:tcBorders>
          </w:tcPr>
          <w:p w:rsidR="00897C1E" w:rsidRPr="005911E2" w:rsidRDefault="00897C1E" w:rsidP="00F104E9">
            <w:pPr>
              <w:pStyle w:val="braytabletext"/>
              <w:jc w:val="right"/>
            </w:pPr>
            <w:r w:rsidRPr="005911E2">
              <w:t>28.8</w:t>
            </w:r>
          </w:p>
        </w:tc>
      </w:tr>
      <w:tr w:rsidR="00897C1E" w:rsidRPr="005911E2" w:rsidTr="00B460A2">
        <w:trPr>
          <w:trHeight w:val="290"/>
          <w:jc w:val="right"/>
        </w:trPr>
        <w:tc>
          <w:tcPr>
            <w:tcW w:w="902" w:type="pct"/>
            <w:tcBorders>
              <w:top w:val="nil"/>
              <w:left w:val="nil"/>
              <w:bottom w:val="nil"/>
              <w:right w:val="nil"/>
            </w:tcBorders>
          </w:tcPr>
          <w:p w:rsidR="00897C1E" w:rsidRPr="005911E2" w:rsidRDefault="00897C1E" w:rsidP="00F104E9">
            <w:pPr>
              <w:pStyle w:val="braytabletext"/>
            </w:pPr>
            <w:r w:rsidRPr="005911E2">
              <w:t>Most of the time</w:t>
            </w:r>
          </w:p>
        </w:tc>
        <w:tc>
          <w:tcPr>
            <w:tcW w:w="569" w:type="pct"/>
            <w:gridSpan w:val="2"/>
            <w:tcBorders>
              <w:top w:val="nil"/>
              <w:left w:val="nil"/>
              <w:bottom w:val="nil"/>
              <w:right w:val="nil"/>
            </w:tcBorders>
          </w:tcPr>
          <w:p w:rsidR="00897C1E" w:rsidRPr="005911E2" w:rsidRDefault="00897C1E" w:rsidP="00F104E9">
            <w:pPr>
              <w:pStyle w:val="braytabletext"/>
              <w:jc w:val="right"/>
            </w:pPr>
            <w:r w:rsidRPr="005911E2">
              <w:t>12.7</w:t>
            </w:r>
          </w:p>
        </w:tc>
        <w:tc>
          <w:tcPr>
            <w:tcW w:w="488" w:type="pct"/>
            <w:tcBorders>
              <w:top w:val="nil"/>
              <w:left w:val="nil"/>
              <w:bottom w:val="nil"/>
              <w:right w:val="nil"/>
            </w:tcBorders>
          </w:tcPr>
          <w:p w:rsidR="00897C1E" w:rsidRPr="005911E2" w:rsidRDefault="00897C1E" w:rsidP="00F104E9">
            <w:pPr>
              <w:pStyle w:val="braytabletext"/>
              <w:jc w:val="right"/>
            </w:pPr>
            <w:r w:rsidRPr="005911E2">
              <w:t>10.7</w:t>
            </w:r>
          </w:p>
        </w:tc>
        <w:tc>
          <w:tcPr>
            <w:tcW w:w="149" w:type="pct"/>
            <w:gridSpan w:val="2"/>
            <w:tcBorders>
              <w:top w:val="nil"/>
              <w:left w:val="nil"/>
              <w:bottom w:val="nil"/>
              <w:right w:val="nil"/>
            </w:tcBorders>
          </w:tcPr>
          <w:p w:rsidR="00897C1E" w:rsidRPr="005911E2" w:rsidRDefault="00897C1E" w:rsidP="00F104E9">
            <w:pPr>
              <w:pStyle w:val="braytabletext"/>
              <w:jc w:val="right"/>
            </w:pPr>
          </w:p>
        </w:tc>
        <w:tc>
          <w:tcPr>
            <w:tcW w:w="445" w:type="pct"/>
            <w:tcBorders>
              <w:top w:val="nil"/>
              <w:left w:val="nil"/>
              <w:bottom w:val="nil"/>
              <w:right w:val="nil"/>
            </w:tcBorders>
          </w:tcPr>
          <w:p w:rsidR="00897C1E" w:rsidRPr="005911E2" w:rsidRDefault="00897C1E" w:rsidP="00F104E9">
            <w:pPr>
              <w:pStyle w:val="braytabletext"/>
              <w:jc w:val="right"/>
            </w:pPr>
            <w:r w:rsidRPr="005911E2">
              <w:t>16.5</w:t>
            </w:r>
          </w:p>
        </w:tc>
        <w:tc>
          <w:tcPr>
            <w:tcW w:w="489" w:type="pct"/>
            <w:tcBorders>
              <w:top w:val="nil"/>
              <w:left w:val="nil"/>
              <w:bottom w:val="nil"/>
              <w:right w:val="nil"/>
            </w:tcBorders>
          </w:tcPr>
          <w:p w:rsidR="00897C1E" w:rsidRPr="005911E2" w:rsidRDefault="00897C1E" w:rsidP="00F104E9">
            <w:pPr>
              <w:pStyle w:val="braytabletext"/>
              <w:jc w:val="right"/>
            </w:pPr>
            <w:r w:rsidRPr="005911E2">
              <w:t>28.1</w:t>
            </w:r>
          </w:p>
        </w:tc>
        <w:tc>
          <w:tcPr>
            <w:tcW w:w="143" w:type="pct"/>
            <w:tcBorders>
              <w:top w:val="nil"/>
              <w:left w:val="nil"/>
              <w:bottom w:val="nil"/>
              <w:right w:val="nil"/>
            </w:tcBorders>
          </w:tcPr>
          <w:p w:rsidR="00897C1E" w:rsidRPr="005911E2" w:rsidRDefault="00897C1E" w:rsidP="00F104E9">
            <w:pPr>
              <w:pStyle w:val="braytabletext"/>
              <w:jc w:val="right"/>
            </w:pPr>
          </w:p>
        </w:tc>
        <w:tc>
          <w:tcPr>
            <w:tcW w:w="616" w:type="pct"/>
            <w:tcBorders>
              <w:top w:val="nil"/>
              <w:left w:val="nil"/>
              <w:bottom w:val="nil"/>
              <w:right w:val="nil"/>
            </w:tcBorders>
          </w:tcPr>
          <w:p w:rsidR="00897C1E" w:rsidRPr="005911E2" w:rsidRDefault="00897C1E" w:rsidP="00F104E9">
            <w:pPr>
              <w:pStyle w:val="braytabletext"/>
              <w:jc w:val="right"/>
            </w:pPr>
            <w:r w:rsidRPr="005911E2">
              <w:t>7.9</w:t>
            </w:r>
          </w:p>
        </w:tc>
        <w:tc>
          <w:tcPr>
            <w:tcW w:w="200" w:type="pct"/>
            <w:tcBorders>
              <w:top w:val="nil"/>
              <w:left w:val="nil"/>
              <w:bottom w:val="nil"/>
              <w:right w:val="nil"/>
            </w:tcBorders>
          </w:tcPr>
          <w:p w:rsidR="00897C1E" w:rsidRPr="005911E2" w:rsidRDefault="00897C1E" w:rsidP="00F104E9">
            <w:pPr>
              <w:pStyle w:val="braytabletext"/>
              <w:jc w:val="right"/>
            </w:pPr>
          </w:p>
        </w:tc>
        <w:tc>
          <w:tcPr>
            <w:tcW w:w="516" w:type="pct"/>
            <w:tcBorders>
              <w:top w:val="nil"/>
              <w:left w:val="nil"/>
              <w:bottom w:val="nil"/>
              <w:right w:val="nil"/>
            </w:tcBorders>
          </w:tcPr>
          <w:p w:rsidR="00897C1E" w:rsidRPr="005911E2" w:rsidRDefault="00897C1E" w:rsidP="00F104E9">
            <w:pPr>
              <w:pStyle w:val="braytabletext"/>
              <w:jc w:val="right"/>
            </w:pPr>
            <w:r w:rsidRPr="005911E2">
              <w:t>19.1</w:t>
            </w:r>
          </w:p>
        </w:tc>
        <w:tc>
          <w:tcPr>
            <w:tcW w:w="483" w:type="pct"/>
            <w:tcBorders>
              <w:top w:val="nil"/>
              <w:left w:val="nil"/>
              <w:bottom w:val="nil"/>
              <w:right w:val="nil"/>
            </w:tcBorders>
          </w:tcPr>
          <w:p w:rsidR="00897C1E" w:rsidRPr="005911E2" w:rsidRDefault="00897C1E" w:rsidP="00F104E9">
            <w:pPr>
              <w:pStyle w:val="braytabletext"/>
              <w:jc w:val="right"/>
            </w:pPr>
            <w:r w:rsidRPr="005911E2">
              <w:t>23.1</w:t>
            </w:r>
          </w:p>
        </w:tc>
      </w:tr>
      <w:tr w:rsidR="00897C1E" w:rsidRPr="005911E2" w:rsidTr="00B460A2">
        <w:trPr>
          <w:trHeight w:val="290"/>
          <w:jc w:val="right"/>
        </w:trPr>
        <w:tc>
          <w:tcPr>
            <w:tcW w:w="902" w:type="pct"/>
            <w:tcBorders>
              <w:top w:val="nil"/>
              <w:left w:val="nil"/>
              <w:bottom w:val="single" w:sz="4" w:space="0" w:color="auto"/>
              <w:right w:val="nil"/>
            </w:tcBorders>
          </w:tcPr>
          <w:p w:rsidR="00897C1E" w:rsidRPr="005911E2" w:rsidRDefault="00897C1E" w:rsidP="00F104E9">
            <w:pPr>
              <w:pStyle w:val="braytabletext"/>
            </w:pPr>
            <w:r w:rsidRPr="005911E2">
              <w:t>All the time</w:t>
            </w:r>
          </w:p>
        </w:tc>
        <w:tc>
          <w:tcPr>
            <w:tcW w:w="569" w:type="pct"/>
            <w:gridSpan w:val="2"/>
            <w:tcBorders>
              <w:top w:val="nil"/>
              <w:left w:val="nil"/>
              <w:bottom w:val="single" w:sz="4" w:space="0" w:color="auto"/>
              <w:right w:val="nil"/>
            </w:tcBorders>
          </w:tcPr>
          <w:p w:rsidR="00897C1E" w:rsidRPr="005911E2" w:rsidRDefault="00897C1E" w:rsidP="00F104E9">
            <w:pPr>
              <w:pStyle w:val="braytabletext"/>
              <w:jc w:val="right"/>
            </w:pPr>
            <w:r w:rsidRPr="005911E2">
              <w:t>35.0</w:t>
            </w:r>
          </w:p>
        </w:tc>
        <w:tc>
          <w:tcPr>
            <w:tcW w:w="488" w:type="pct"/>
            <w:tcBorders>
              <w:top w:val="nil"/>
              <w:left w:val="nil"/>
              <w:bottom w:val="single" w:sz="4" w:space="0" w:color="auto"/>
              <w:right w:val="nil"/>
            </w:tcBorders>
          </w:tcPr>
          <w:p w:rsidR="00897C1E" w:rsidRPr="005911E2" w:rsidRDefault="00897C1E" w:rsidP="00F104E9">
            <w:pPr>
              <w:pStyle w:val="braytabletext"/>
              <w:jc w:val="right"/>
            </w:pPr>
            <w:r w:rsidRPr="005911E2">
              <w:t>39.0</w:t>
            </w:r>
          </w:p>
        </w:tc>
        <w:tc>
          <w:tcPr>
            <w:tcW w:w="149" w:type="pct"/>
            <w:gridSpan w:val="2"/>
            <w:tcBorders>
              <w:top w:val="nil"/>
              <w:left w:val="nil"/>
              <w:bottom w:val="single" w:sz="4" w:space="0" w:color="auto"/>
              <w:right w:val="nil"/>
            </w:tcBorders>
          </w:tcPr>
          <w:p w:rsidR="00897C1E" w:rsidRPr="005911E2" w:rsidRDefault="00897C1E" w:rsidP="00F104E9">
            <w:pPr>
              <w:pStyle w:val="braytabletext"/>
              <w:jc w:val="right"/>
            </w:pPr>
          </w:p>
        </w:tc>
        <w:tc>
          <w:tcPr>
            <w:tcW w:w="445" w:type="pct"/>
            <w:tcBorders>
              <w:top w:val="nil"/>
              <w:left w:val="nil"/>
              <w:bottom w:val="single" w:sz="4" w:space="0" w:color="auto"/>
              <w:right w:val="nil"/>
            </w:tcBorders>
          </w:tcPr>
          <w:p w:rsidR="00897C1E" w:rsidRPr="005911E2" w:rsidRDefault="00897C1E" w:rsidP="00F104E9">
            <w:pPr>
              <w:pStyle w:val="braytabletext"/>
              <w:jc w:val="right"/>
            </w:pPr>
            <w:r w:rsidRPr="005911E2">
              <w:t>26.1</w:t>
            </w:r>
          </w:p>
        </w:tc>
        <w:tc>
          <w:tcPr>
            <w:tcW w:w="489" w:type="pct"/>
            <w:tcBorders>
              <w:top w:val="nil"/>
              <w:left w:val="nil"/>
              <w:bottom w:val="single" w:sz="4" w:space="0" w:color="auto"/>
              <w:right w:val="nil"/>
            </w:tcBorders>
          </w:tcPr>
          <w:p w:rsidR="00897C1E" w:rsidRPr="005911E2" w:rsidRDefault="00897C1E" w:rsidP="00F104E9">
            <w:pPr>
              <w:pStyle w:val="braytabletext"/>
              <w:jc w:val="right"/>
            </w:pPr>
            <w:r w:rsidRPr="005911E2">
              <w:t>31.3</w:t>
            </w:r>
          </w:p>
        </w:tc>
        <w:tc>
          <w:tcPr>
            <w:tcW w:w="143" w:type="pct"/>
            <w:tcBorders>
              <w:top w:val="nil"/>
              <w:left w:val="nil"/>
              <w:bottom w:val="single" w:sz="4" w:space="0" w:color="auto"/>
              <w:right w:val="nil"/>
            </w:tcBorders>
          </w:tcPr>
          <w:p w:rsidR="00897C1E" w:rsidRPr="005911E2" w:rsidRDefault="00897C1E" w:rsidP="00F104E9">
            <w:pPr>
              <w:pStyle w:val="braytabletext"/>
              <w:jc w:val="right"/>
            </w:pPr>
          </w:p>
        </w:tc>
        <w:tc>
          <w:tcPr>
            <w:tcW w:w="616" w:type="pct"/>
            <w:tcBorders>
              <w:top w:val="nil"/>
              <w:left w:val="nil"/>
              <w:bottom w:val="single" w:sz="4" w:space="0" w:color="auto"/>
              <w:right w:val="nil"/>
            </w:tcBorders>
          </w:tcPr>
          <w:p w:rsidR="00897C1E" w:rsidRPr="005911E2" w:rsidRDefault="00897C1E" w:rsidP="00F104E9">
            <w:pPr>
              <w:pStyle w:val="braytabletext"/>
              <w:jc w:val="right"/>
            </w:pPr>
            <w:r w:rsidRPr="005911E2">
              <w:t>47.9</w:t>
            </w:r>
          </w:p>
        </w:tc>
        <w:tc>
          <w:tcPr>
            <w:tcW w:w="200" w:type="pct"/>
            <w:tcBorders>
              <w:top w:val="nil"/>
              <w:left w:val="nil"/>
              <w:bottom w:val="single" w:sz="4" w:space="0" w:color="auto"/>
              <w:right w:val="nil"/>
            </w:tcBorders>
          </w:tcPr>
          <w:p w:rsidR="00897C1E" w:rsidRPr="005911E2" w:rsidRDefault="00897C1E" w:rsidP="00F104E9">
            <w:pPr>
              <w:pStyle w:val="braytabletext"/>
              <w:jc w:val="right"/>
            </w:pPr>
          </w:p>
        </w:tc>
        <w:tc>
          <w:tcPr>
            <w:tcW w:w="516" w:type="pct"/>
            <w:tcBorders>
              <w:top w:val="nil"/>
              <w:left w:val="nil"/>
              <w:bottom w:val="single" w:sz="4" w:space="0" w:color="auto"/>
              <w:right w:val="nil"/>
            </w:tcBorders>
          </w:tcPr>
          <w:p w:rsidR="00897C1E" w:rsidRPr="005911E2" w:rsidRDefault="00897C1E" w:rsidP="00F104E9">
            <w:pPr>
              <w:pStyle w:val="braytabletext"/>
              <w:jc w:val="right"/>
            </w:pPr>
            <w:r w:rsidRPr="005911E2">
              <w:t>11.0</w:t>
            </w:r>
          </w:p>
        </w:tc>
        <w:tc>
          <w:tcPr>
            <w:tcW w:w="483" w:type="pct"/>
            <w:tcBorders>
              <w:top w:val="nil"/>
              <w:left w:val="nil"/>
              <w:bottom w:val="single" w:sz="4" w:space="0" w:color="auto"/>
              <w:right w:val="nil"/>
            </w:tcBorders>
          </w:tcPr>
          <w:p w:rsidR="00897C1E" w:rsidRPr="005911E2" w:rsidRDefault="00897C1E" w:rsidP="00F104E9">
            <w:pPr>
              <w:pStyle w:val="braytabletext"/>
              <w:jc w:val="right"/>
            </w:pPr>
            <w:r w:rsidRPr="005911E2">
              <w:t>8.7</w:t>
            </w:r>
          </w:p>
        </w:tc>
      </w:tr>
      <w:tr w:rsidR="00897C1E" w:rsidRPr="005911E2" w:rsidTr="00B460A2">
        <w:trPr>
          <w:trHeight w:val="290"/>
          <w:jc w:val="right"/>
        </w:trPr>
        <w:tc>
          <w:tcPr>
            <w:tcW w:w="1471" w:type="pct"/>
            <w:gridSpan w:val="3"/>
            <w:tcBorders>
              <w:top w:val="single" w:sz="4" w:space="0" w:color="auto"/>
              <w:left w:val="nil"/>
              <w:bottom w:val="nil"/>
              <w:right w:val="nil"/>
            </w:tcBorders>
          </w:tcPr>
          <w:p w:rsidR="00897C1E" w:rsidRPr="005911E2" w:rsidRDefault="00897C1E" w:rsidP="00F104E9">
            <w:pPr>
              <w:pStyle w:val="braytabletext"/>
              <w:rPr>
                <w:i/>
              </w:rPr>
            </w:pPr>
            <w:r w:rsidRPr="005911E2">
              <w:rPr>
                <w:i/>
              </w:rPr>
              <w:t>More in control of life</w:t>
            </w:r>
          </w:p>
        </w:tc>
        <w:tc>
          <w:tcPr>
            <w:tcW w:w="488" w:type="pct"/>
            <w:tcBorders>
              <w:top w:val="single" w:sz="4" w:space="0" w:color="auto"/>
              <w:left w:val="nil"/>
              <w:bottom w:val="nil"/>
              <w:right w:val="nil"/>
            </w:tcBorders>
          </w:tcPr>
          <w:p w:rsidR="00897C1E" w:rsidRPr="005911E2" w:rsidRDefault="00897C1E" w:rsidP="00F104E9">
            <w:pPr>
              <w:pStyle w:val="braytabletext"/>
              <w:jc w:val="right"/>
              <w:rPr>
                <w:i/>
              </w:rPr>
            </w:pPr>
          </w:p>
        </w:tc>
        <w:tc>
          <w:tcPr>
            <w:tcW w:w="149" w:type="pct"/>
            <w:gridSpan w:val="2"/>
            <w:tcBorders>
              <w:top w:val="single" w:sz="4" w:space="0" w:color="auto"/>
              <w:left w:val="nil"/>
              <w:bottom w:val="nil"/>
              <w:right w:val="nil"/>
            </w:tcBorders>
          </w:tcPr>
          <w:p w:rsidR="00897C1E" w:rsidRPr="005911E2" w:rsidRDefault="00897C1E" w:rsidP="00F104E9">
            <w:pPr>
              <w:pStyle w:val="braytabletext"/>
              <w:jc w:val="right"/>
              <w:rPr>
                <w:i/>
              </w:rPr>
            </w:pPr>
          </w:p>
        </w:tc>
        <w:tc>
          <w:tcPr>
            <w:tcW w:w="445" w:type="pct"/>
            <w:tcBorders>
              <w:top w:val="single" w:sz="4" w:space="0" w:color="auto"/>
              <w:left w:val="nil"/>
              <w:bottom w:val="nil"/>
              <w:right w:val="nil"/>
            </w:tcBorders>
          </w:tcPr>
          <w:p w:rsidR="00897C1E" w:rsidRPr="005911E2" w:rsidRDefault="00897C1E" w:rsidP="00F104E9">
            <w:pPr>
              <w:pStyle w:val="braytabletext"/>
              <w:jc w:val="right"/>
              <w:rPr>
                <w:i/>
              </w:rPr>
            </w:pPr>
          </w:p>
        </w:tc>
        <w:tc>
          <w:tcPr>
            <w:tcW w:w="489" w:type="pct"/>
            <w:tcBorders>
              <w:top w:val="single" w:sz="4" w:space="0" w:color="auto"/>
              <w:left w:val="nil"/>
              <w:bottom w:val="nil"/>
              <w:right w:val="nil"/>
            </w:tcBorders>
          </w:tcPr>
          <w:p w:rsidR="00897C1E" w:rsidRPr="005911E2" w:rsidRDefault="00897C1E" w:rsidP="00F104E9">
            <w:pPr>
              <w:pStyle w:val="braytabletext"/>
              <w:jc w:val="right"/>
              <w:rPr>
                <w:i/>
              </w:rPr>
            </w:pPr>
          </w:p>
        </w:tc>
        <w:tc>
          <w:tcPr>
            <w:tcW w:w="143" w:type="pct"/>
            <w:tcBorders>
              <w:top w:val="single" w:sz="4" w:space="0" w:color="auto"/>
              <w:left w:val="nil"/>
              <w:bottom w:val="nil"/>
              <w:right w:val="nil"/>
            </w:tcBorders>
          </w:tcPr>
          <w:p w:rsidR="00897C1E" w:rsidRPr="005911E2" w:rsidRDefault="00897C1E" w:rsidP="00F104E9">
            <w:pPr>
              <w:pStyle w:val="braytabletext"/>
              <w:jc w:val="right"/>
              <w:rPr>
                <w:i/>
              </w:rPr>
            </w:pPr>
          </w:p>
        </w:tc>
        <w:tc>
          <w:tcPr>
            <w:tcW w:w="616" w:type="pct"/>
            <w:tcBorders>
              <w:top w:val="single" w:sz="4" w:space="0" w:color="auto"/>
              <w:left w:val="nil"/>
              <w:bottom w:val="nil"/>
              <w:right w:val="nil"/>
            </w:tcBorders>
          </w:tcPr>
          <w:p w:rsidR="00897C1E" w:rsidRPr="005911E2" w:rsidRDefault="00897C1E" w:rsidP="00F104E9">
            <w:pPr>
              <w:pStyle w:val="braytabletext"/>
              <w:jc w:val="right"/>
              <w:rPr>
                <w:i/>
              </w:rPr>
            </w:pPr>
          </w:p>
        </w:tc>
        <w:tc>
          <w:tcPr>
            <w:tcW w:w="200" w:type="pct"/>
            <w:tcBorders>
              <w:top w:val="single" w:sz="4" w:space="0" w:color="auto"/>
              <w:left w:val="nil"/>
              <w:bottom w:val="nil"/>
              <w:right w:val="nil"/>
            </w:tcBorders>
          </w:tcPr>
          <w:p w:rsidR="00897C1E" w:rsidRPr="005911E2" w:rsidRDefault="00897C1E" w:rsidP="00F104E9">
            <w:pPr>
              <w:pStyle w:val="braytabletext"/>
              <w:jc w:val="right"/>
              <w:rPr>
                <w:i/>
              </w:rPr>
            </w:pPr>
          </w:p>
        </w:tc>
        <w:tc>
          <w:tcPr>
            <w:tcW w:w="516" w:type="pct"/>
            <w:tcBorders>
              <w:top w:val="single" w:sz="4" w:space="0" w:color="auto"/>
              <w:left w:val="nil"/>
              <w:bottom w:val="nil"/>
              <w:right w:val="nil"/>
            </w:tcBorders>
          </w:tcPr>
          <w:p w:rsidR="00897C1E" w:rsidRPr="005911E2" w:rsidRDefault="00897C1E" w:rsidP="00F104E9">
            <w:pPr>
              <w:pStyle w:val="braytabletext"/>
              <w:jc w:val="right"/>
              <w:rPr>
                <w:i/>
              </w:rPr>
            </w:pPr>
          </w:p>
        </w:tc>
        <w:tc>
          <w:tcPr>
            <w:tcW w:w="483" w:type="pct"/>
            <w:tcBorders>
              <w:top w:val="single" w:sz="4" w:space="0" w:color="auto"/>
              <w:left w:val="nil"/>
              <w:bottom w:val="nil"/>
              <w:right w:val="nil"/>
            </w:tcBorders>
          </w:tcPr>
          <w:p w:rsidR="00897C1E" w:rsidRPr="005911E2" w:rsidRDefault="00897C1E" w:rsidP="00F104E9">
            <w:pPr>
              <w:pStyle w:val="braytabletext"/>
              <w:jc w:val="right"/>
              <w:rPr>
                <w:i/>
              </w:rPr>
            </w:pPr>
          </w:p>
        </w:tc>
      </w:tr>
      <w:tr w:rsidR="00897C1E" w:rsidRPr="005911E2" w:rsidTr="00B460A2">
        <w:trPr>
          <w:trHeight w:val="290"/>
          <w:jc w:val="right"/>
        </w:trPr>
        <w:tc>
          <w:tcPr>
            <w:tcW w:w="902" w:type="pct"/>
            <w:tcBorders>
              <w:top w:val="nil"/>
              <w:left w:val="nil"/>
              <w:bottom w:val="nil"/>
              <w:right w:val="nil"/>
            </w:tcBorders>
          </w:tcPr>
          <w:p w:rsidR="00897C1E" w:rsidRPr="005911E2" w:rsidRDefault="00897C1E" w:rsidP="00F104E9">
            <w:pPr>
              <w:pStyle w:val="braytabletext"/>
            </w:pPr>
            <w:r w:rsidRPr="005911E2">
              <w:t>Never</w:t>
            </w:r>
          </w:p>
        </w:tc>
        <w:tc>
          <w:tcPr>
            <w:tcW w:w="569" w:type="pct"/>
            <w:gridSpan w:val="2"/>
            <w:tcBorders>
              <w:top w:val="nil"/>
              <w:left w:val="nil"/>
              <w:bottom w:val="nil"/>
              <w:right w:val="nil"/>
            </w:tcBorders>
          </w:tcPr>
          <w:p w:rsidR="00897C1E" w:rsidRPr="005911E2" w:rsidRDefault="00897C1E" w:rsidP="00F104E9">
            <w:pPr>
              <w:pStyle w:val="braytabletext"/>
              <w:jc w:val="right"/>
            </w:pPr>
            <w:r w:rsidRPr="005911E2">
              <w:t>8.6</w:t>
            </w:r>
          </w:p>
        </w:tc>
        <w:tc>
          <w:tcPr>
            <w:tcW w:w="488" w:type="pct"/>
            <w:tcBorders>
              <w:top w:val="nil"/>
              <w:left w:val="nil"/>
              <w:bottom w:val="nil"/>
              <w:right w:val="nil"/>
            </w:tcBorders>
          </w:tcPr>
          <w:p w:rsidR="00897C1E" w:rsidRPr="005911E2" w:rsidRDefault="00897C1E" w:rsidP="00F104E9">
            <w:pPr>
              <w:pStyle w:val="braytabletext"/>
              <w:jc w:val="right"/>
            </w:pPr>
            <w:r w:rsidRPr="005911E2">
              <w:t>32.9</w:t>
            </w:r>
          </w:p>
        </w:tc>
        <w:tc>
          <w:tcPr>
            <w:tcW w:w="149" w:type="pct"/>
            <w:gridSpan w:val="2"/>
            <w:tcBorders>
              <w:top w:val="nil"/>
              <w:left w:val="nil"/>
              <w:bottom w:val="nil"/>
              <w:right w:val="nil"/>
            </w:tcBorders>
          </w:tcPr>
          <w:p w:rsidR="00897C1E" w:rsidRPr="005911E2" w:rsidRDefault="00897C1E" w:rsidP="00F104E9">
            <w:pPr>
              <w:pStyle w:val="braytabletext"/>
              <w:jc w:val="right"/>
            </w:pPr>
          </w:p>
        </w:tc>
        <w:tc>
          <w:tcPr>
            <w:tcW w:w="445" w:type="pct"/>
            <w:tcBorders>
              <w:top w:val="nil"/>
              <w:left w:val="nil"/>
              <w:bottom w:val="nil"/>
              <w:right w:val="nil"/>
            </w:tcBorders>
          </w:tcPr>
          <w:p w:rsidR="00897C1E" w:rsidRPr="005911E2" w:rsidRDefault="00897C1E" w:rsidP="00F104E9">
            <w:pPr>
              <w:pStyle w:val="braytabletext"/>
              <w:jc w:val="right"/>
            </w:pPr>
            <w:r w:rsidRPr="005911E2">
              <w:t>5.9</w:t>
            </w:r>
          </w:p>
        </w:tc>
        <w:tc>
          <w:tcPr>
            <w:tcW w:w="489" w:type="pct"/>
            <w:tcBorders>
              <w:top w:val="nil"/>
              <w:left w:val="nil"/>
              <w:bottom w:val="nil"/>
              <w:right w:val="nil"/>
            </w:tcBorders>
          </w:tcPr>
          <w:p w:rsidR="00897C1E" w:rsidRPr="005911E2" w:rsidRDefault="00897C1E" w:rsidP="00F104E9">
            <w:pPr>
              <w:pStyle w:val="braytabletext"/>
              <w:jc w:val="right"/>
            </w:pPr>
            <w:r w:rsidRPr="005911E2">
              <w:t>12.5</w:t>
            </w:r>
          </w:p>
        </w:tc>
        <w:tc>
          <w:tcPr>
            <w:tcW w:w="143" w:type="pct"/>
            <w:tcBorders>
              <w:top w:val="nil"/>
              <w:left w:val="nil"/>
              <w:bottom w:val="nil"/>
              <w:right w:val="nil"/>
            </w:tcBorders>
          </w:tcPr>
          <w:p w:rsidR="00897C1E" w:rsidRPr="005911E2" w:rsidRDefault="00897C1E" w:rsidP="00F104E9">
            <w:pPr>
              <w:pStyle w:val="braytabletext"/>
              <w:jc w:val="right"/>
            </w:pPr>
          </w:p>
        </w:tc>
        <w:tc>
          <w:tcPr>
            <w:tcW w:w="616" w:type="pct"/>
            <w:tcBorders>
              <w:top w:val="nil"/>
              <w:left w:val="nil"/>
              <w:bottom w:val="nil"/>
              <w:right w:val="nil"/>
            </w:tcBorders>
          </w:tcPr>
          <w:p w:rsidR="00897C1E" w:rsidRPr="005911E2" w:rsidRDefault="00897C1E" w:rsidP="00F104E9">
            <w:pPr>
              <w:pStyle w:val="braytabletext"/>
              <w:jc w:val="right"/>
            </w:pPr>
            <w:r w:rsidRPr="005911E2">
              <w:t>49.7</w:t>
            </w:r>
          </w:p>
        </w:tc>
        <w:tc>
          <w:tcPr>
            <w:tcW w:w="200" w:type="pct"/>
            <w:tcBorders>
              <w:top w:val="nil"/>
              <w:left w:val="nil"/>
              <w:bottom w:val="nil"/>
              <w:right w:val="nil"/>
            </w:tcBorders>
          </w:tcPr>
          <w:p w:rsidR="00897C1E" w:rsidRPr="005911E2" w:rsidRDefault="00897C1E" w:rsidP="00F104E9">
            <w:pPr>
              <w:pStyle w:val="braytabletext"/>
              <w:jc w:val="right"/>
            </w:pPr>
          </w:p>
        </w:tc>
        <w:tc>
          <w:tcPr>
            <w:tcW w:w="516" w:type="pct"/>
            <w:tcBorders>
              <w:top w:val="nil"/>
              <w:left w:val="nil"/>
              <w:bottom w:val="nil"/>
              <w:right w:val="nil"/>
            </w:tcBorders>
          </w:tcPr>
          <w:p w:rsidR="00897C1E" w:rsidRPr="005911E2" w:rsidRDefault="00897C1E" w:rsidP="00F104E9">
            <w:pPr>
              <w:pStyle w:val="braytabletext"/>
              <w:jc w:val="right"/>
            </w:pPr>
            <w:r w:rsidRPr="005911E2">
              <w:t>6.1</w:t>
            </w:r>
          </w:p>
        </w:tc>
        <w:tc>
          <w:tcPr>
            <w:tcW w:w="483" w:type="pct"/>
            <w:tcBorders>
              <w:top w:val="nil"/>
              <w:left w:val="nil"/>
              <w:bottom w:val="nil"/>
              <w:right w:val="nil"/>
            </w:tcBorders>
          </w:tcPr>
          <w:p w:rsidR="00897C1E" w:rsidRPr="005911E2" w:rsidRDefault="00897C1E" w:rsidP="00F104E9">
            <w:pPr>
              <w:pStyle w:val="braytabletext"/>
              <w:jc w:val="right"/>
            </w:pPr>
            <w:r w:rsidRPr="005911E2">
              <w:t>21.4</w:t>
            </w:r>
          </w:p>
        </w:tc>
      </w:tr>
      <w:tr w:rsidR="00897C1E" w:rsidRPr="005911E2" w:rsidTr="00B460A2">
        <w:trPr>
          <w:trHeight w:val="290"/>
          <w:jc w:val="right"/>
        </w:trPr>
        <w:tc>
          <w:tcPr>
            <w:tcW w:w="902" w:type="pct"/>
            <w:tcBorders>
              <w:top w:val="nil"/>
              <w:left w:val="nil"/>
              <w:bottom w:val="nil"/>
              <w:right w:val="nil"/>
            </w:tcBorders>
          </w:tcPr>
          <w:p w:rsidR="00897C1E" w:rsidRPr="005911E2" w:rsidRDefault="00897C1E" w:rsidP="00F104E9">
            <w:pPr>
              <w:pStyle w:val="braytabletext"/>
            </w:pPr>
            <w:r w:rsidRPr="005911E2">
              <w:t>Hardly ever</w:t>
            </w:r>
          </w:p>
        </w:tc>
        <w:tc>
          <w:tcPr>
            <w:tcW w:w="569" w:type="pct"/>
            <w:gridSpan w:val="2"/>
            <w:tcBorders>
              <w:top w:val="nil"/>
              <w:left w:val="nil"/>
              <w:bottom w:val="nil"/>
              <w:right w:val="nil"/>
            </w:tcBorders>
          </w:tcPr>
          <w:p w:rsidR="00897C1E" w:rsidRPr="005911E2" w:rsidRDefault="00897C1E" w:rsidP="00F104E9">
            <w:pPr>
              <w:pStyle w:val="braytabletext"/>
              <w:jc w:val="right"/>
            </w:pPr>
            <w:r w:rsidRPr="005911E2">
              <w:t>6.3</w:t>
            </w:r>
          </w:p>
        </w:tc>
        <w:tc>
          <w:tcPr>
            <w:tcW w:w="488" w:type="pct"/>
            <w:tcBorders>
              <w:top w:val="nil"/>
              <w:left w:val="nil"/>
              <w:bottom w:val="nil"/>
              <w:right w:val="nil"/>
            </w:tcBorders>
          </w:tcPr>
          <w:p w:rsidR="00897C1E" w:rsidRPr="005911E2" w:rsidRDefault="00897C1E" w:rsidP="00F104E9">
            <w:pPr>
              <w:pStyle w:val="braytabletext"/>
              <w:jc w:val="right"/>
            </w:pPr>
            <w:r w:rsidRPr="005911E2">
              <w:t>10.1</w:t>
            </w:r>
          </w:p>
        </w:tc>
        <w:tc>
          <w:tcPr>
            <w:tcW w:w="149" w:type="pct"/>
            <w:gridSpan w:val="2"/>
            <w:tcBorders>
              <w:top w:val="nil"/>
              <w:left w:val="nil"/>
              <w:bottom w:val="nil"/>
              <w:right w:val="nil"/>
            </w:tcBorders>
          </w:tcPr>
          <w:p w:rsidR="00897C1E" w:rsidRPr="005911E2" w:rsidRDefault="00897C1E" w:rsidP="00F104E9">
            <w:pPr>
              <w:pStyle w:val="braytabletext"/>
              <w:jc w:val="right"/>
            </w:pPr>
          </w:p>
        </w:tc>
        <w:tc>
          <w:tcPr>
            <w:tcW w:w="445" w:type="pct"/>
            <w:tcBorders>
              <w:top w:val="nil"/>
              <w:left w:val="nil"/>
              <w:bottom w:val="nil"/>
              <w:right w:val="nil"/>
            </w:tcBorders>
          </w:tcPr>
          <w:p w:rsidR="00897C1E" w:rsidRPr="005911E2" w:rsidRDefault="00897C1E" w:rsidP="00F104E9">
            <w:pPr>
              <w:pStyle w:val="braytabletext"/>
              <w:jc w:val="right"/>
            </w:pPr>
            <w:r w:rsidRPr="005911E2">
              <w:t>5.0</w:t>
            </w:r>
          </w:p>
        </w:tc>
        <w:tc>
          <w:tcPr>
            <w:tcW w:w="489" w:type="pct"/>
            <w:tcBorders>
              <w:top w:val="nil"/>
              <w:left w:val="nil"/>
              <w:bottom w:val="nil"/>
              <w:right w:val="nil"/>
            </w:tcBorders>
          </w:tcPr>
          <w:p w:rsidR="00897C1E" w:rsidRPr="005911E2" w:rsidRDefault="00897C1E" w:rsidP="00F104E9">
            <w:pPr>
              <w:pStyle w:val="braytabletext"/>
              <w:jc w:val="right"/>
            </w:pPr>
            <w:r w:rsidRPr="005911E2">
              <w:t>3.1</w:t>
            </w:r>
          </w:p>
        </w:tc>
        <w:tc>
          <w:tcPr>
            <w:tcW w:w="143" w:type="pct"/>
            <w:tcBorders>
              <w:top w:val="nil"/>
              <w:left w:val="nil"/>
              <w:bottom w:val="nil"/>
              <w:right w:val="nil"/>
            </w:tcBorders>
          </w:tcPr>
          <w:p w:rsidR="00897C1E" w:rsidRPr="005911E2" w:rsidRDefault="00897C1E" w:rsidP="00F104E9">
            <w:pPr>
              <w:pStyle w:val="braytabletext"/>
              <w:jc w:val="right"/>
            </w:pPr>
          </w:p>
        </w:tc>
        <w:tc>
          <w:tcPr>
            <w:tcW w:w="616" w:type="pct"/>
            <w:tcBorders>
              <w:top w:val="nil"/>
              <w:left w:val="nil"/>
              <w:bottom w:val="nil"/>
              <w:right w:val="nil"/>
            </w:tcBorders>
          </w:tcPr>
          <w:p w:rsidR="00897C1E" w:rsidRPr="005911E2" w:rsidRDefault="00897C1E" w:rsidP="00F104E9">
            <w:pPr>
              <w:pStyle w:val="braytabletext"/>
              <w:jc w:val="right"/>
            </w:pPr>
            <w:r w:rsidRPr="005911E2">
              <w:t>11.0</w:t>
            </w:r>
          </w:p>
        </w:tc>
        <w:tc>
          <w:tcPr>
            <w:tcW w:w="200" w:type="pct"/>
            <w:tcBorders>
              <w:top w:val="nil"/>
              <w:left w:val="nil"/>
              <w:bottom w:val="nil"/>
              <w:right w:val="nil"/>
            </w:tcBorders>
          </w:tcPr>
          <w:p w:rsidR="00897C1E" w:rsidRPr="005911E2" w:rsidRDefault="00897C1E" w:rsidP="00F104E9">
            <w:pPr>
              <w:pStyle w:val="braytabletext"/>
              <w:jc w:val="right"/>
            </w:pPr>
          </w:p>
        </w:tc>
        <w:tc>
          <w:tcPr>
            <w:tcW w:w="516" w:type="pct"/>
            <w:tcBorders>
              <w:top w:val="nil"/>
              <w:left w:val="nil"/>
              <w:bottom w:val="nil"/>
              <w:right w:val="nil"/>
            </w:tcBorders>
          </w:tcPr>
          <w:p w:rsidR="00897C1E" w:rsidRPr="005911E2" w:rsidRDefault="00897C1E" w:rsidP="00F104E9">
            <w:pPr>
              <w:pStyle w:val="braytabletext"/>
              <w:jc w:val="right"/>
            </w:pPr>
            <w:r w:rsidRPr="005911E2">
              <w:t>6.7</w:t>
            </w:r>
          </w:p>
        </w:tc>
        <w:tc>
          <w:tcPr>
            <w:tcW w:w="483" w:type="pct"/>
            <w:tcBorders>
              <w:top w:val="nil"/>
              <w:left w:val="nil"/>
              <w:bottom w:val="nil"/>
              <w:right w:val="nil"/>
            </w:tcBorders>
          </w:tcPr>
          <w:p w:rsidR="00897C1E" w:rsidRPr="005911E2" w:rsidRDefault="00897C1E" w:rsidP="00F104E9">
            <w:pPr>
              <w:pStyle w:val="braytabletext"/>
              <w:jc w:val="right"/>
            </w:pPr>
            <w:r w:rsidRPr="005911E2">
              <w:t>6.8</w:t>
            </w:r>
          </w:p>
        </w:tc>
      </w:tr>
      <w:tr w:rsidR="00897C1E" w:rsidRPr="005911E2" w:rsidTr="00B460A2">
        <w:trPr>
          <w:trHeight w:val="290"/>
          <w:jc w:val="right"/>
        </w:trPr>
        <w:tc>
          <w:tcPr>
            <w:tcW w:w="902" w:type="pct"/>
            <w:tcBorders>
              <w:top w:val="nil"/>
              <w:left w:val="nil"/>
              <w:bottom w:val="nil"/>
              <w:right w:val="nil"/>
            </w:tcBorders>
          </w:tcPr>
          <w:p w:rsidR="00897C1E" w:rsidRPr="005911E2" w:rsidRDefault="00897C1E" w:rsidP="00F104E9">
            <w:pPr>
              <w:pStyle w:val="braytabletext"/>
            </w:pPr>
            <w:r w:rsidRPr="005911E2">
              <w:t>Sometimes</w:t>
            </w:r>
          </w:p>
        </w:tc>
        <w:tc>
          <w:tcPr>
            <w:tcW w:w="569" w:type="pct"/>
            <w:gridSpan w:val="2"/>
            <w:tcBorders>
              <w:top w:val="nil"/>
              <w:left w:val="nil"/>
              <w:bottom w:val="nil"/>
              <w:right w:val="nil"/>
            </w:tcBorders>
          </w:tcPr>
          <w:p w:rsidR="00897C1E" w:rsidRPr="005911E2" w:rsidRDefault="00897C1E" w:rsidP="00F104E9">
            <w:pPr>
              <w:pStyle w:val="braytabletext"/>
              <w:jc w:val="right"/>
            </w:pPr>
            <w:r w:rsidRPr="005911E2">
              <w:t>30.2</w:t>
            </w:r>
          </w:p>
        </w:tc>
        <w:tc>
          <w:tcPr>
            <w:tcW w:w="488" w:type="pct"/>
            <w:tcBorders>
              <w:top w:val="nil"/>
              <w:left w:val="nil"/>
              <w:bottom w:val="nil"/>
              <w:right w:val="nil"/>
            </w:tcBorders>
          </w:tcPr>
          <w:p w:rsidR="00897C1E" w:rsidRPr="005911E2" w:rsidRDefault="00897C1E" w:rsidP="00F104E9">
            <w:pPr>
              <w:pStyle w:val="braytabletext"/>
              <w:jc w:val="right"/>
            </w:pPr>
            <w:r w:rsidRPr="005911E2">
              <w:t>18.4</w:t>
            </w:r>
          </w:p>
        </w:tc>
        <w:tc>
          <w:tcPr>
            <w:tcW w:w="149" w:type="pct"/>
            <w:gridSpan w:val="2"/>
            <w:tcBorders>
              <w:top w:val="nil"/>
              <w:left w:val="nil"/>
              <w:bottom w:val="nil"/>
              <w:right w:val="nil"/>
            </w:tcBorders>
          </w:tcPr>
          <w:p w:rsidR="00897C1E" w:rsidRPr="005911E2" w:rsidRDefault="00897C1E" w:rsidP="00F104E9">
            <w:pPr>
              <w:pStyle w:val="braytabletext"/>
              <w:jc w:val="right"/>
            </w:pPr>
          </w:p>
        </w:tc>
        <w:tc>
          <w:tcPr>
            <w:tcW w:w="445" w:type="pct"/>
            <w:tcBorders>
              <w:top w:val="nil"/>
              <w:left w:val="nil"/>
              <w:bottom w:val="nil"/>
              <w:right w:val="nil"/>
            </w:tcBorders>
          </w:tcPr>
          <w:p w:rsidR="00897C1E" w:rsidRPr="005911E2" w:rsidRDefault="00897C1E" w:rsidP="00F104E9">
            <w:pPr>
              <w:pStyle w:val="braytabletext"/>
              <w:jc w:val="right"/>
            </w:pPr>
            <w:r w:rsidRPr="005911E2">
              <w:t>24.4</w:t>
            </w:r>
          </w:p>
        </w:tc>
        <w:tc>
          <w:tcPr>
            <w:tcW w:w="489" w:type="pct"/>
            <w:tcBorders>
              <w:top w:val="nil"/>
              <w:left w:val="nil"/>
              <w:bottom w:val="nil"/>
              <w:right w:val="nil"/>
            </w:tcBorders>
          </w:tcPr>
          <w:p w:rsidR="00897C1E" w:rsidRPr="005911E2" w:rsidRDefault="00897C1E" w:rsidP="00F104E9">
            <w:pPr>
              <w:pStyle w:val="braytabletext"/>
              <w:jc w:val="right"/>
            </w:pPr>
            <w:r w:rsidRPr="005911E2">
              <w:t>25.0</w:t>
            </w:r>
          </w:p>
        </w:tc>
        <w:tc>
          <w:tcPr>
            <w:tcW w:w="143" w:type="pct"/>
            <w:tcBorders>
              <w:top w:val="nil"/>
              <w:left w:val="nil"/>
              <w:bottom w:val="nil"/>
              <w:right w:val="nil"/>
            </w:tcBorders>
          </w:tcPr>
          <w:p w:rsidR="00897C1E" w:rsidRPr="005911E2" w:rsidRDefault="00897C1E" w:rsidP="00F104E9">
            <w:pPr>
              <w:pStyle w:val="braytabletext"/>
              <w:jc w:val="right"/>
            </w:pPr>
          </w:p>
        </w:tc>
        <w:tc>
          <w:tcPr>
            <w:tcW w:w="616" w:type="pct"/>
            <w:tcBorders>
              <w:top w:val="nil"/>
              <w:left w:val="nil"/>
              <w:bottom w:val="nil"/>
              <w:right w:val="nil"/>
            </w:tcBorders>
          </w:tcPr>
          <w:p w:rsidR="00897C1E" w:rsidRPr="005911E2" w:rsidRDefault="00897C1E" w:rsidP="00F104E9">
            <w:pPr>
              <w:pStyle w:val="braytabletext"/>
              <w:jc w:val="right"/>
            </w:pPr>
            <w:r w:rsidRPr="005911E2">
              <w:t>9.8</w:t>
            </w:r>
          </w:p>
        </w:tc>
        <w:tc>
          <w:tcPr>
            <w:tcW w:w="200" w:type="pct"/>
            <w:tcBorders>
              <w:top w:val="nil"/>
              <w:left w:val="nil"/>
              <w:bottom w:val="nil"/>
              <w:right w:val="nil"/>
            </w:tcBorders>
          </w:tcPr>
          <w:p w:rsidR="00897C1E" w:rsidRPr="005911E2" w:rsidRDefault="00897C1E" w:rsidP="00F104E9">
            <w:pPr>
              <w:pStyle w:val="braytabletext"/>
              <w:jc w:val="right"/>
            </w:pPr>
          </w:p>
        </w:tc>
        <w:tc>
          <w:tcPr>
            <w:tcW w:w="516" w:type="pct"/>
            <w:tcBorders>
              <w:top w:val="nil"/>
              <w:left w:val="nil"/>
              <w:bottom w:val="nil"/>
              <w:right w:val="nil"/>
            </w:tcBorders>
          </w:tcPr>
          <w:p w:rsidR="00897C1E" w:rsidRPr="005911E2" w:rsidRDefault="00897C1E" w:rsidP="00F104E9">
            <w:pPr>
              <w:pStyle w:val="braytabletext"/>
              <w:jc w:val="right"/>
            </w:pPr>
            <w:r w:rsidRPr="005911E2">
              <w:t>25.1</w:t>
            </w:r>
          </w:p>
        </w:tc>
        <w:tc>
          <w:tcPr>
            <w:tcW w:w="483" w:type="pct"/>
            <w:tcBorders>
              <w:top w:val="nil"/>
              <w:left w:val="nil"/>
              <w:bottom w:val="nil"/>
              <w:right w:val="nil"/>
            </w:tcBorders>
          </w:tcPr>
          <w:p w:rsidR="00897C1E" w:rsidRPr="005911E2" w:rsidRDefault="00897C1E" w:rsidP="00F104E9">
            <w:pPr>
              <w:pStyle w:val="braytabletext"/>
              <w:jc w:val="right"/>
            </w:pPr>
            <w:r w:rsidRPr="005911E2">
              <w:t>28.2</w:t>
            </w:r>
          </w:p>
        </w:tc>
      </w:tr>
      <w:tr w:rsidR="00897C1E" w:rsidRPr="005911E2" w:rsidTr="00B460A2">
        <w:trPr>
          <w:trHeight w:val="290"/>
          <w:jc w:val="right"/>
        </w:trPr>
        <w:tc>
          <w:tcPr>
            <w:tcW w:w="902" w:type="pct"/>
            <w:tcBorders>
              <w:top w:val="nil"/>
              <w:left w:val="nil"/>
              <w:bottom w:val="nil"/>
              <w:right w:val="nil"/>
            </w:tcBorders>
          </w:tcPr>
          <w:p w:rsidR="00897C1E" w:rsidRPr="005911E2" w:rsidRDefault="00897C1E" w:rsidP="00F104E9">
            <w:pPr>
              <w:pStyle w:val="braytabletext"/>
            </w:pPr>
            <w:r w:rsidRPr="005911E2">
              <w:t>Most of the time</w:t>
            </w:r>
          </w:p>
        </w:tc>
        <w:tc>
          <w:tcPr>
            <w:tcW w:w="569" w:type="pct"/>
            <w:gridSpan w:val="2"/>
            <w:tcBorders>
              <w:top w:val="nil"/>
              <w:left w:val="nil"/>
              <w:bottom w:val="nil"/>
              <w:right w:val="nil"/>
            </w:tcBorders>
          </w:tcPr>
          <w:p w:rsidR="00897C1E" w:rsidRPr="005911E2" w:rsidRDefault="00897C1E" w:rsidP="00F104E9">
            <w:pPr>
              <w:pStyle w:val="braytabletext"/>
              <w:jc w:val="right"/>
            </w:pPr>
            <w:r w:rsidRPr="005911E2">
              <w:t>20.3</w:t>
            </w:r>
          </w:p>
        </w:tc>
        <w:tc>
          <w:tcPr>
            <w:tcW w:w="488" w:type="pct"/>
            <w:tcBorders>
              <w:top w:val="nil"/>
              <w:left w:val="nil"/>
              <w:bottom w:val="nil"/>
              <w:right w:val="nil"/>
            </w:tcBorders>
          </w:tcPr>
          <w:p w:rsidR="00897C1E" w:rsidRPr="005911E2" w:rsidRDefault="00897C1E" w:rsidP="00F104E9">
            <w:pPr>
              <w:pStyle w:val="braytabletext"/>
              <w:jc w:val="right"/>
            </w:pPr>
            <w:r w:rsidRPr="005911E2">
              <w:t>15.8</w:t>
            </w:r>
          </w:p>
        </w:tc>
        <w:tc>
          <w:tcPr>
            <w:tcW w:w="149" w:type="pct"/>
            <w:gridSpan w:val="2"/>
            <w:tcBorders>
              <w:top w:val="nil"/>
              <w:left w:val="nil"/>
              <w:bottom w:val="nil"/>
              <w:right w:val="nil"/>
            </w:tcBorders>
          </w:tcPr>
          <w:p w:rsidR="00897C1E" w:rsidRPr="005911E2" w:rsidRDefault="00897C1E" w:rsidP="00F104E9">
            <w:pPr>
              <w:pStyle w:val="braytabletext"/>
              <w:jc w:val="right"/>
            </w:pPr>
          </w:p>
        </w:tc>
        <w:tc>
          <w:tcPr>
            <w:tcW w:w="445" w:type="pct"/>
            <w:tcBorders>
              <w:top w:val="nil"/>
              <w:left w:val="nil"/>
              <w:bottom w:val="nil"/>
              <w:right w:val="nil"/>
            </w:tcBorders>
          </w:tcPr>
          <w:p w:rsidR="00897C1E" w:rsidRPr="005911E2" w:rsidRDefault="00897C1E" w:rsidP="00F104E9">
            <w:pPr>
              <w:pStyle w:val="braytabletext"/>
              <w:jc w:val="right"/>
            </w:pPr>
            <w:r w:rsidRPr="005911E2">
              <w:t>24.4</w:t>
            </w:r>
          </w:p>
        </w:tc>
        <w:tc>
          <w:tcPr>
            <w:tcW w:w="489" w:type="pct"/>
            <w:tcBorders>
              <w:top w:val="nil"/>
              <w:left w:val="nil"/>
              <w:bottom w:val="nil"/>
              <w:right w:val="nil"/>
            </w:tcBorders>
          </w:tcPr>
          <w:p w:rsidR="00897C1E" w:rsidRPr="005911E2" w:rsidRDefault="00897C1E" w:rsidP="00F104E9">
            <w:pPr>
              <w:pStyle w:val="braytabletext"/>
              <w:jc w:val="right"/>
            </w:pPr>
            <w:r w:rsidRPr="005911E2">
              <w:t>34.4</w:t>
            </w:r>
          </w:p>
        </w:tc>
        <w:tc>
          <w:tcPr>
            <w:tcW w:w="143" w:type="pct"/>
            <w:tcBorders>
              <w:top w:val="nil"/>
              <w:left w:val="nil"/>
              <w:bottom w:val="nil"/>
              <w:right w:val="nil"/>
            </w:tcBorders>
          </w:tcPr>
          <w:p w:rsidR="00897C1E" w:rsidRPr="005911E2" w:rsidRDefault="00897C1E" w:rsidP="00F104E9">
            <w:pPr>
              <w:pStyle w:val="braytabletext"/>
              <w:jc w:val="right"/>
            </w:pPr>
          </w:p>
        </w:tc>
        <w:tc>
          <w:tcPr>
            <w:tcW w:w="616" w:type="pct"/>
            <w:tcBorders>
              <w:top w:val="nil"/>
              <w:left w:val="nil"/>
              <w:bottom w:val="nil"/>
              <w:right w:val="nil"/>
            </w:tcBorders>
          </w:tcPr>
          <w:p w:rsidR="00897C1E" w:rsidRPr="005911E2" w:rsidRDefault="00897C1E" w:rsidP="00F104E9">
            <w:pPr>
              <w:pStyle w:val="braytabletext"/>
              <w:jc w:val="right"/>
            </w:pPr>
            <w:r w:rsidRPr="005911E2">
              <w:t>12.1</w:t>
            </w:r>
          </w:p>
        </w:tc>
        <w:tc>
          <w:tcPr>
            <w:tcW w:w="200" w:type="pct"/>
            <w:tcBorders>
              <w:top w:val="nil"/>
              <w:left w:val="nil"/>
              <w:bottom w:val="nil"/>
              <w:right w:val="nil"/>
            </w:tcBorders>
          </w:tcPr>
          <w:p w:rsidR="00897C1E" w:rsidRPr="005911E2" w:rsidRDefault="00897C1E" w:rsidP="00F104E9">
            <w:pPr>
              <w:pStyle w:val="braytabletext"/>
              <w:jc w:val="right"/>
            </w:pPr>
          </w:p>
        </w:tc>
        <w:tc>
          <w:tcPr>
            <w:tcW w:w="516" w:type="pct"/>
            <w:tcBorders>
              <w:top w:val="nil"/>
              <w:left w:val="nil"/>
              <w:bottom w:val="nil"/>
              <w:right w:val="nil"/>
            </w:tcBorders>
          </w:tcPr>
          <w:p w:rsidR="00897C1E" w:rsidRPr="005911E2" w:rsidRDefault="00897C1E" w:rsidP="00F104E9">
            <w:pPr>
              <w:pStyle w:val="braytabletext"/>
              <w:jc w:val="right"/>
            </w:pPr>
            <w:r w:rsidRPr="005911E2">
              <w:t>29.6</w:t>
            </w:r>
          </w:p>
        </w:tc>
        <w:tc>
          <w:tcPr>
            <w:tcW w:w="483" w:type="pct"/>
            <w:tcBorders>
              <w:top w:val="nil"/>
              <w:left w:val="nil"/>
              <w:bottom w:val="nil"/>
              <w:right w:val="nil"/>
            </w:tcBorders>
          </w:tcPr>
          <w:p w:rsidR="00897C1E" w:rsidRPr="005911E2" w:rsidRDefault="00897C1E" w:rsidP="00F104E9">
            <w:pPr>
              <w:pStyle w:val="braytabletext"/>
              <w:jc w:val="right"/>
            </w:pPr>
            <w:r w:rsidRPr="005911E2">
              <w:t>31.1</w:t>
            </w:r>
          </w:p>
        </w:tc>
      </w:tr>
      <w:tr w:rsidR="00897C1E" w:rsidRPr="005911E2" w:rsidTr="00B460A2">
        <w:trPr>
          <w:trHeight w:val="290"/>
          <w:jc w:val="right"/>
        </w:trPr>
        <w:tc>
          <w:tcPr>
            <w:tcW w:w="902" w:type="pct"/>
            <w:tcBorders>
              <w:top w:val="nil"/>
              <w:left w:val="nil"/>
              <w:bottom w:val="single" w:sz="4" w:space="0" w:color="auto"/>
              <w:right w:val="nil"/>
            </w:tcBorders>
          </w:tcPr>
          <w:p w:rsidR="00897C1E" w:rsidRPr="005911E2" w:rsidRDefault="00897C1E" w:rsidP="00F104E9">
            <w:pPr>
              <w:pStyle w:val="braytabletext"/>
            </w:pPr>
            <w:r w:rsidRPr="005911E2">
              <w:t>All the time</w:t>
            </w:r>
          </w:p>
        </w:tc>
        <w:tc>
          <w:tcPr>
            <w:tcW w:w="569" w:type="pct"/>
            <w:gridSpan w:val="2"/>
            <w:tcBorders>
              <w:top w:val="nil"/>
              <w:left w:val="nil"/>
              <w:bottom w:val="single" w:sz="4" w:space="0" w:color="auto"/>
              <w:right w:val="nil"/>
            </w:tcBorders>
          </w:tcPr>
          <w:p w:rsidR="00897C1E" w:rsidRPr="005911E2" w:rsidRDefault="00897C1E" w:rsidP="00F104E9">
            <w:pPr>
              <w:pStyle w:val="braytabletext"/>
              <w:jc w:val="right"/>
            </w:pPr>
            <w:r w:rsidRPr="005911E2">
              <w:t>34.7</w:t>
            </w:r>
          </w:p>
        </w:tc>
        <w:tc>
          <w:tcPr>
            <w:tcW w:w="488" w:type="pct"/>
            <w:tcBorders>
              <w:top w:val="nil"/>
              <w:left w:val="nil"/>
              <w:bottom w:val="single" w:sz="4" w:space="0" w:color="auto"/>
              <w:right w:val="nil"/>
            </w:tcBorders>
          </w:tcPr>
          <w:p w:rsidR="00897C1E" w:rsidRPr="005911E2" w:rsidRDefault="00897C1E" w:rsidP="00F104E9">
            <w:pPr>
              <w:pStyle w:val="braytabletext"/>
              <w:jc w:val="right"/>
            </w:pPr>
            <w:r w:rsidRPr="005911E2">
              <w:t>22.8</w:t>
            </w:r>
          </w:p>
        </w:tc>
        <w:tc>
          <w:tcPr>
            <w:tcW w:w="149" w:type="pct"/>
            <w:gridSpan w:val="2"/>
            <w:tcBorders>
              <w:top w:val="nil"/>
              <w:left w:val="nil"/>
              <w:bottom w:val="single" w:sz="4" w:space="0" w:color="auto"/>
              <w:right w:val="nil"/>
            </w:tcBorders>
          </w:tcPr>
          <w:p w:rsidR="00897C1E" w:rsidRPr="005911E2" w:rsidRDefault="00897C1E" w:rsidP="00F104E9">
            <w:pPr>
              <w:pStyle w:val="braytabletext"/>
              <w:jc w:val="right"/>
            </w:pPr>
          </w:p>
        </w:tc>
        <w:tc>
          <w:tcPr>
            <w:tcW w:w="445" w:type="pct"/>
            <w:tcBorders>
              <w:top w:val="nil"/>
              <w:left w:val="nil"/>
              <w:bottom w:val="single" w:sz="4" w:space="0" w:color="auto"/>
              <w:right w:val="nil"/>
            </w:tcBorders>
          </w:tcPr>
          <w:p w:rsidR="00897C1E" w:rsidRPr="005911E2" w:rsidRDefault="00897C1E" w:rsidP="00F104E9">
            <w:pPr>
              <w:pStyle w:val="braytabletext"/>
              <w:jc w:val="right"/>
            </w:pPr>
            <w:r w:rsidRPr="005911E2">
              <w:t>40.3</w:t>
            </w:r>
          </w:p>
        </w:tc>
        <w:tc>
          <w:tcPr>
            <w:tcW w:w="489" w:type="pct"/>
            <w:tcBorders>
              <w:top w:val="nil"/>
              <w:left w:val="nil"/>
              <w:bottom w:val="single" w:sz="4" w:space="0" w:color="auto"/>
              <w:right w:val="nil"/>
            </w:tcBorders>
          </w:tcPr>
          <w:p w:rsidR="00897C1E" w:rsidRPr="005911E2" w:rsidRDefault="00897C1E" w:rsidP="00F104E9">
            <w:pPr>
              <w:pStyle w:val="braytabletext"/>
              <w:jc w:val="right"/>
            </w:pPr>
            <w:r w:rsidRPr="005911E2">
              <w:t>25.0</w:t>
            </w:r>
          </w:p>
        </w:tc>
        <w:tc>
          <w:tcPr>
            <w:tcW w:w="143" w:type="pct"/>
            <w:tcBorders>
              <w:top w:val="nil"/>
              <w:left w:val="nil"/>
              <w:bottom w:val="single" w:sz="4" w:space="0" w:color="auto"/>
              <w:right w:val="nil"/>
            </w:tcBorders>
          </w:tcPr>
          <w:p w:rsidR="00897C1E" w:rsidRPr="005911E2" w:rsidRDefault="00897C1E" w:rsidP="00F104E9">
            <w:pPr>
              <w:pStyle w:val="braytabletext"/>
              <w:jc w:val="right"/>
            </w:pPr>
          </w:p>
        </w:tc>
        <w:tc>
          <w:tcPr>
            <w:tcW w:w="616" w:type="pct"/>
            <w:tcBorders>
              <w:top w:val="nil"/>
              <w:left w:val="nil"/>
              <w:bottom w:val="single" w:sz="4" w:space="0" w:color="auto"/>
              <w:right w:val="nil"/>
            </w:tcBorders>
          </w:tcPr>
          <w:p w:rsidR="00897C1E" w:rsidRPr="005911E2" w:rsidRDefault="00897C1E" w:rsidP="00F104E9">
            <w:pPr>
              <w:pStyle w:val="braytabletext"/>
              <w:jc w:val="right"/>
            </w:pPr>
            <w:r w:rsidRPr="005911E2">
              <w:t>17.3</w:t>
            </w:r>
          </w:p>
        </w:tc>
        <w:tc>
          <w:tcPr>
            <w:tcW w:w="200" w:type="pct"/>
            <w:tcBorders>
              <w:top w:val="nil"/>
              <w:left w:val="nil"/>
              <w:bottom w:val="single" w:sz="4" w:space="0" w:color="auto"/>
              <w:right w:val="nil"/>
            </w:tcBorders>
          </w:tcPr>
          <w:p w:rsidR="00897C1E" w:rsidRPr="005911E2" w:rsidRDefault="00897C1E" w:rsidP="00F104E9">
            <w:pPr>
              <w:pStyle w:val="braytabletext"/>
              <w:jc w:val="right"/>
            </w:pPr>
          </w:p>
        </w:tc>
        <w:tc>
          <w:tcPr>
            <w:tcW w:w="516" w:type="pct"/>
            <w:tcBorders>
              <w:top w:val="nil"/>
              <w:left w:val="nil"/>
              <w:bottom w:val="single" w:sz="4" w:space="0" w:color="auto"/>
              <w:right w:val="nil"/>
            </w:tcBorders>
          </w:tcPr>
          <w:p w:rsidR="00897C1E" w:rsidRPr="005911E2" w:rsidRDefault="00897C1E" w:rsidP="00F104E9">
            <w:pPr>
              <w:pStyle w:val="braytabletext"/>
              <w:jc w:val="right"/>
            </w:pPr>
            <w:r w:rsidRPr="005911E2">
              <w:t>32.4</w:t>
            </w:r>
          </w:p>
        </w:tc>
        <w:tc>
          <w:tcPr>
            <w:tcW w:w="483" w:type="pct"/>
            <w:tcBorders>
              <w:top w:val="nil"/>
              <w:left w:val="nil"/>
              <w:bottom w:val="single" w:sz="4" w:space="0" w:color="auto"/>
              <w:right w:val="nil"/>
            </w:tcBorders>
          </w:tcPr>
          <w:p w:rsidR="00897C1E" w:rsidRPr="005911E2" w:rsidRDefault="00897C1E" w:rsidP="00F104E9">
            <w:pPr>
              <w:pStyle w:val="braytabletext"/>
              <w:jc w:val="right"/>
            </w:pPr>
            <w:r w:rsidRPr="005911E2">
              <w:t>12.6</w:t>
            </w:r>
          </w:p>
        </w:tc>
      </w:tr>
      <w:tr w:rsidR="00897C1E" w:rsidRPr="005911E2" w:rsidTr="00B460A2">
        <w:trPr>
          <w:trHeight w:val="290"/>
          <w:jc w:val="right"/>
        </w:trPr>
        <w:tc>
          <w:tcPr>
            <w:tcW w:w="902" w:type="pct"/>
            <w:tcBorders>
              <w:top w:val="single" w:sz="4" w:space="0" w:color="auto"/>
              <w:left w:val="nil"/>
              <w:bottom w:val="nil"/>
              <w:right w:val="nil"/>
            </w:tcBorders>
          </w:tcPr>
          <w:p w:rsidR="00897C1E" w:rsidRPr="005911E2" w:rsidRDefault="00897C1E" w:rsidP="00F104E9">
            <w:pPr>
              <w:pStyle w:val="braytabletext"/>
              <w:rPr>
                <w:i/>
              </w:rPr>
            </w:pPr>
            <w:r w:rsidRPr="005911E2">
              <w:rPr>
                <w:i/>
              </w:rPr>
              <w:t>Better for family</w:t>
            </w:r>
          </w:p>
        </w:tc>
        <w:tc>
          <w:tcPr>
            <w:tcW w:w="569" w:type="pct"/>
            <w:gridSpan w:val="2"/>
            <w:tcBorders>
              <w:top w:val="single" w:sz="4" w:space="0" w:color="auto"/>
              <w:left w:val="nil"/>
              <w:bottom w:val="nil"/>
              <w:right w:val="nil"/>
            </w:tcBorders>
          </w:tcPr>
          <w:p w:rsidR="00897C1E" w:rsidRPr="005911E2" w:rsidRDefault="00897C1E" w:rsidP="00F104E9">
            <w:pPr>
              <w:pStyle w:val="braytabletext"/>
              <w:jc w:val="right"/>
              <w:rPr>
                <w:i/>
              </w:rPr>
            </w:pPr>
          </w:p>
        </w:tc>
        <w:tc>
          <w:tcPr>
            <w:tcW w:w="488" w:type="pct"/>
            <w:tcBorders>
              <w:top w:val="single" w:sz="4" w:space="0" w:color="auto"/>
              <w:left w:val="nil"/>
              <w:bottom w:val="nil"/>
              <w:right w:val="nil"/>
            </w:tcBorders>
          </w:tcPr>
          <w:p w:rsidR="00897C1E" w:rsidRPr="005911E2" w:rsidRDefault="00897C1E" w:rsidP="00F104E9">
            <w:pPr>
              <w:pStyle w:val="braytabletext"/>
              <w:jc w:val="right"/>
              <w:rPr>
                <w:i/>
              </w:rPr>
            </w:pPr>
          </w:p>
        </w:tc>
        <w:tc>
          <w:tcPr>
            <w:tcW w:w="149" w:type="pct"/>
            <w:gridSpan w:val="2"/>
            <w:tcBorders>
              <w:top w:val="single" w:sz="4" w:space="0" w:color="auto"/>
              <w:left w:val="nil"/>
              <w:bottom w:val="nil"/>
              <w:right w:val="nil"/>
            </w:tcBorders>
          </w:tcPr>
          <w:p w:rsidR="00897C1E" w:rsidRPr="005911E2" w:rsidRDefault="00897C1E" w:rsidP="00F104E9">
            <w:pPr>
              <w:pStyle w:val="braytabletext"/>
              <w:jc w:val="right"/>
              <w:rPr>
                <w:i/>
              </w:rPr>
            </w:pPr>
          </w:p>
        </w:tc>
        <w:tc>
          <w:tcPr>
            <w:tcW w:w="445" w:type="pct"/>
            <w:tcBorders>
              <w:top w:val="single" w:sz="4" w:space="0" w:color="auto"/>
              <w:left w:val="nil"/>
              <w:bottom w:val="nil"/>
              <w:right w:val="nil"/>
            </w:tcBorders>
          </w:tcPr>
          <w:p w:rsidR="00897C1E" w:rsidRPr="005911E2" w:rsidRDefault="00897C1E" w:rsidP="00F104E9">
            <w:pPr>
              <w:pStyle w:val="braytabletext"/>
              <w:jc w:val="right"/>
              <w:rPr>
                <w:i/>
              </w:rPr>
            </w:pPr>
          </w:p>
        </w:tc>
        <w:tc>
          <w:tcPr>
            <w:tcW w:w="489" w:type="pct"/>
            <w:tcBorders>
              <w:top w:val="single" w:sz="4" w:space="0" w:color="auto"/>
              <w:left w:val="nil"/>
              <w:bottom w:val="nil"/>
              <w:right w:val="nil"/>
            </w:tcBorders>
          </w:tcPr>
          <w:p w:rsidR="00897C1E" w:rsidRPr="005911E2" w:rsidRDefault="00897C1E" w:rsidP="00F104E9">
            <w:pPr>
              <w:pStyle w:val="braytabletext"/>
              <w:jc w:val="right"/>
              <w:rPr>
                <w:i/>
              </w:rPr>
            </w:pPr>
          </w:p>
        </w:tc>
        <w:tc>
          <w:tcPr>
            <w:tcW w:w="143" w:type="pct"/>
            <w:tcBorders>
              <w:top w:val="single" w:sz="4" w:space="0" w:color="auto"/>
              <w:left w:val="nil"/>
              <w:bottom w:val="nil"/>
              <w:right w:val="nil"/>
            </w:tcBorders>
          </w:tcPr>
          <w:p w:rsidR="00897C1E" w:rsidRPr="005911E2" w:rsidRDefault="00897C1E" w:rsidP="00F104E9">
            <w:pPr>
              <w:pStyle w:val="braytabletext"/>
              <w:jc w:val="right"/>
              <w:rPr>
                <w:i/>
              </w:rPr>
            </w:pPr>
          </w:p>
        </w:tc>
        <w:tc>
          <w:tcPr>
            <w:tcW w:w="616" w:type="pct"/>
            <w:tcBorders>
              <w:top w:val="single" w:sz="4" w:space="0" w:color="auto"/>
              <w:left w:val="nil"/>
              <w:bottom w:val="nil"/>
              <w:right w:val="nil"/>
            </w:tcBorders>
          </w:tcPr>
          <w:p w:rsidR="00897C1E" w:rsidRPr="005911E2" w:rsidRDefault="00897C1E" w:rsidP="00F104E9">
            <w:pPr>
              <w:pStyle w:val="braytabletext"/>
              <w:jc w:val="right"/>
              <w:rPr>
                <w:i/>
              </w:rPr>
            </w:pPr>
          </w:p>
        </w:tc>
        <w:tc>
          <w:tcPr>
            <w:tcW w:w="200" w:type="pct"/>
            <w:tcBorders>
              <w:top w:val="single" w:sz="4" w:space="0" w:color="auto"/>
              <w:left w:val="nil"/>
              <w:bottom w:val="nil"/>
              <w:right w:val="nil"/>
            </w:tcBorders>
          </w:tcPr>
          <w:p w:rsidR="00897C1E" w:rsidRPr="005911E2" w:rsidRDefault="00897C1E" w:rsidP="00F104E9">
            <w:pPr>
              <w:pStyle w:val="braytabletext"/>
              <w:jc w:val="right"/>
              <w:rPr>
                <w:i/>
              </w:rPr>
            </w:pPr>
          </w:p>
        </w:tc>
        <w:tc>
          <w:tcPr>
            <w:tcW w:w="516" w:type="pct"/>
            <w:tcBorders>
              <w:top w:val="single" w:sz="4" w:space="0" w:color="auto"/>
              <w:left w:val="nil"/>
              <w:bottom w:val="nil"/>
              <w:right w:val="nil"/>
            </w:tcBorders>
          </w:tcPr>
          <w:p w:rsidR="00897C1E" w:rsidRPr="005911E2" w:rsidRDefault="00897C1E" w:rsidP="00F104E9">
            <w:pPr>
              <w:pStyle w:val="braytabletext"/>
              <w:jc w:val="right"/>
              <w:rPr>
                <w:i/>
              </w:rPr>
            </w:pPr>
          </w:p>
        </w:tc>
        <w:tc>
          <w:tcPr>
            <w:tcW w:w="483" w:type="pct"/>
            <w:tcBorders>
              <w:top w:val="single" w:sz="4" w:space="0" w:color="auto"/>
              <w:left w:val="nil"/>
              <w:bottom w:val="nil"/>
              <w:right w:val="nil"/>
            </w:tcBorders>
          </w:tcPr>
          <w:p w:rsidR="00897C1E" w:rsidRPr="005911E2" w:rsidRDefault="00897C1E" w:rsidP="00F104E9">
            <w:pPr>
              <w:pStyle w:val="braytabletext"/>
              <w:jc w:val="right"/>
              <w:rPr>
                <w:i/>
              </w:rPr>
            </w:pPr>
          </w:p>
        </w:tc>
      </w:tr>
      <w:tr w:rsidR="00897C1E" w:rsidRPr="005911E2" w:rsidTr="00B460A2">
        <w:trPr>
          <w:trHeight w:val="290"/>
          <w:jc w:val="right"/>
        </w:trPr>
        <w:tc>
          <w:tcPr>
            <w:tcW w:w="902" w:type="pct"/>
            <w:tcBorders>
              <w:top w:val="nil"/>
              <w:left w:val="nil"/>
              <w:bottom w:val="nil"/>
              <w:right w:val="nil"/>
            </w:tcBorders>
          </w:tcPr>
          <w:p w:rsidR="00897C1E" w:rsidRPr="005911E2" w:rsidRDefault="00897C1E" w:rsidP="00F104E9">
            <w:pPr>
              <w:pStyle w:val="braytabletext"/>
            </w:pPr>
            <w:r w:rsidRPr="005911E2">
              <w:t>Never</w:t>
            </w:r>
          </w:p>
        </w:tc>
        <w:tc>
          <w:tcPr>
            <w:tcW w:w="569" w:type="pct"/>
            <w:gridSpan w:val="2"/>
            <w:tcBorders>
              <w:top w:val="nil"/>
              <w:left w:val="nil"/>
              <w:bottom w:val="nil"/>
              <w:right w:val="nil"/>
            </w:tcBorders>
          </w:tcPr>
          <w:p w:rsidR="00897C1E" w:rsidRPr="005911E2" w:rsidRDefault="00897C1E" w:rsidP="00F104E9">
            <w:pPr>
              <w:pStyle w:val="braytabletext"/>
              <w:jc w:val="right"/>
            </w:pPr>
            <w:r w:rsidRPr="005911E2">
              <w:t>6.8</w:t>
            </w:r>
          </w:p>
        </w:tc>
        <w:tc>
          <w:tcPr>
            <w:tcW w:w="488" w:type="pct"/>
            <w:tcBorders>
              <w:top w:val="nil"/>
              <w:left w:val="nil"/>
              <w:bottom w:val="nil"/>
              <w:right w:val="nil"/>
            </w:tcBorders>
          </w:tcPr>
          <w:p w:rsidR="00897C1E" w:rsidRPr="005911E2" w:rsidRDefault="00897C1E" w:rsidP="00F104E9">
            <w:pPr>
              <w:pStyle w:val="braytabletext"/>
              <w:jc w:val="right"/>
            </w:pPr>
            <w:r w:rsidRPr="005911E2">
              <w:t>31.0</w:t>
            </w:r>
          </w:p>
        </w:tc>
        <w:tc>
          <w:tcPr>
            <w:tcW w:w="149" w:type="pct"/>
            <w:gridSpan w:val="2"/>
            <w:tcBorders>
              <w:top w:val="nil"/>
              <w:left w:val="nil"/>
              <w:bottom w:val="nil"/>
              <w:right w:val="nil"/>
            </w:tcBorders>
          </w:tcPr>
          <w:p w:rsidR="00897C1E" w:rsidRPr="005911E2" w:rsidRDefault="00897C1E" w:rsidP="00F104E9">
            <w:pPr>
              <w:pStyle w:val="braytabletext"/>
              <w:jc w:val="right"/>
            </w:pPr>
          </w:p>
        </w:tc>
        <w:tc>
          <w:tcPr>
            <w:tcW w:w="445" w:type="pct"/>
            <w:tcBorders>
              <w:top w:val="nil"/>
              <w:left w:val="nil"/>
              <w:bottom w:val="nil"/>
              <w:right w:val="nil"/>
            </w:tcBorders>
          </w:tcPr>
          <w:p w:rsidR="00897C1E" w:rsidRPr="005911E2" w:rsidRDefault="00897C1E" w:rsidP="00F104E9">
            <w:pPr>
              <w:pStyle w:val="braytabletext"/>
              <w:jc w:val="right"/>
            </w:pPr>
            <w:r w:rsidRPr="005911E2">
              <w:t>5.3</w:t>
            </w:r>
          </w:p>
        </w:tc>
        <w:tc>
          <w:tcPr>
            <w:tcW w:w="489" w:type="pct"/>
            <w:tcBorders>
              <w:top w:val="nil"/>
              <w:left w:val="nil"/>
              <w:bottom w:val="nil"/>
              <w:right w:val="nil"/>
            </w:tcBorders>
          </w:tcPr>
          <w:p w:rsidR="00897C1E" w:rsidRPr="005911E2" w:rsidRDefault="00897C1E" w:rsidP="00F104E9">
            <w:pPr>
              <w:pStyle w:val="braytabletext"/>
              <w:jc w:val="right"/>
            </w:pPr>
            <w:r w:rsidRPr="005911E2">
              <w:t>16.1</w:t>
            </w:r>
          </w:p>
        </w:tc>
        <w:tc>
          <w:tcPr>
            <w:tcW w:w="143" w:type="pct"/>
            <w:tcBorders>
              <w:top w:val="nil"/>
              <w:left w:val="nil"/>
              <w:bottom w:val="nil"/>
              <w:right w:val="nil"/>
            </w:tcBorders>
          </w:tcPr>
          <w:p w:rsidR="00897C1E" w:rsidRPr="005911E2" w:rsidRDefault="00897C1E" w:rsidP="00F104E9">
            <w:pPr>
              <w:pStyle w:val="braytabletext"/>
              <w:jc w:val="right"/>
            </w:pPr>
          </w:p>
        </w:tc>
        <w:tc>
          <w:tcPr>
            <w:tcW w:w="616" w:type="pct"/>
            <w:tcBorders>
              <w:top w:val="nil"/>
              <w:left w:val="nil"/>
              <w:bottom w:val="nil"/>
              <w:right w:val="nil"/>
            </w:tcBorders>
          </w:tcPr>
          <w:p w:rsidR="00897C1E" w:rsidRPr="005911E2" w:rsidRDefault="00897C1E" w:rsidP="00F104E9">
            <w:pPr>
              <w:pStyle w:val="braytabletext"/>
              <w:jc w:val="right"/>
            </w:pPr>
            <w:r w:rsidRPr="005911E2">
              <w:t>50.6</w:t>
            </w:r>
          </w:p>
        </w:tc>
        <w:tc>
          <w:tcPr>
            <w:tcW w:w="200" w:type="pct"/>
            <w:tcBorders>
              <w:top w:val="nil"/>
              <w:left w:val="nil"/>
              <w:bottom w:val="nil"/>
              <w:right w:val="nil"/>
            </w:tcBorders>
          </w:tcPr>
          <w:p w:rsidR="00897C1E" w:rsidRPr="005911E2" w:rsidRDefault="00897C1E" w:rsidP="00F104E9">
            <w:pPr>
              <w:pStyle w:val="braytabletext"/>
              <w:jc w:val="right"/>
            </w:pPr>
          </w:p>
        </w:tc>
        <w:tc>
          <w:tcPr>
            <w:tcW w:w="516" w:type="pct"/>
            <w:tcBorders>
              <w:top w:val="nil"/>
              <w:left w:val="nil"/>
              <w:bottom w:val="nil"/>
              <w:right w:val="nil"/>
            </w:tcBorders>
          </w:tcPr>
          <w:p w:rsidR="00897C1E" w:rsidRPr="005911E2" w:rsidRDefault="00897C1E" w:rsidP="00F104E9">
            <w:pPr>
              <w:pStyle w:val="braytabletext"/>
              <w:jc w:val="right"/>
            </w:pPr>
            <w:r w:rsidRPr="005911E2">
              <w:t>10.5</w:t>
            </w:r>
          </w:p>
        </w:tc>
        <w:tc>
          <w:tcPr>
            <w:tcW w:w="483" w:type="pct"/>
            <w:tcBorders>
              <w:top w:val="nil"/>
              <w:left w:val="nil"/>
              <w:bottom w:val="nil"/>
              <w:right w:val="nil"/>
            </w:tcBorders>
          </w:tcPr>
          <w:p w:rsidR="00897C1E" w:rsidRPr="005911E2" w:rsidRDefault="00897C1E" w:rsidP="00F104E9">
            <w:pPr>
              <w:pStyle w:val="braytabletext"/>
              <w:jc w:val="right"/>
            </w:pPr>
            <w:r w:rsidRPr="005911E2">
              <w:t>11.8</w:t>
            </w:r>
          </w:p>
        </w:tc>
      </w:tr>
      <w:tr w:rsidR="00897C1E" w:rsidRPr="005911E2" w:rsidTr="00B460A2">
        <w:trPr>
          <w:trHeight w:val="290"/>
          <w:jc w:val="right"/>
        </w:trPr>
        <w:tc>
          <w:tcPr>
            <w:tcW w:w="902" w:type="pct"/>
            <w:tcBorders>
              <w:top w:val="nil"/>
              <w:left w:val="nil"/>
              <w:bottom w:val="nil"/>
              <w:right w:val="nil"/>
            </w:tcBorders>
          </w:tcPr>
          <w:p w:rsidR="00897C1E" w:rsidRPr="005911E2" w:rsidRDefault="00897C1E" w:rsidP="00F104E9">
            <w:pPr>
              <w:pStyle w:val="braytabletext"/>
            </w:pPr>
            <w:r w:rsidRPr="005911E2">
              <w:t>Hardly ever</w:t>
            </w:r>
          </w:p>
        </w:tc>
        <w:tc>
          <w:tcPr>
            <w:tcW w:w="569" w:type="pct"/>
            <w:gridSpan w:val="2"/>
            <w:tcBorders>
              <w:top w:val="nil"/>
              <w:left w:val="nil"/>
              <w:bottom w:val="nil"/>
              <w:right w:val="nil"/>
            </w:tcBorders>
          </w:tcPr>
          <w:p w:rsidR="00897C1E" w:rsidRPr="005911E2" w:rsidRDefault="00897C1E" w:rsidP="00F104E9">
            <w:pPr>
              <w:pStyle w:val="braytabletext"/>
              <w:jc w:val="right"/>
            </w:pPr>
            <w:r w:rsidRPr="005911E2">
              <w:t>5.9</w:t>
            </w:r>
          </w:p>
        </w:tc>
        <w:tc>
          <w:tcPr>
            <w:tcW w:w="488" w:type="pct"/>
            <w:tcBorders>
              <w:top w:val="nil"/>
              <w:left w:val="nil"/>
              <w:bottom w:val="nil"/>
              <w:right w:val="nil"/>
            </w:tcBorders>
          </w:tcPr>
          <w:p w:rsidR="00897C1E" w:rsidRPr="005911E2" w:rsidRDefault="00897C1E" w:rsidP="00F104E9">
            <w:pPr>
              <w:pStyle w:val="braytabletext"/>
              <w:jc w:val="right"/>
            </w:pPr>
            <w:r w:rsidRPr="005911E2">
              <w:t>6.3</w:t>
            </w:r>
          </w:p>
        </w:tc>
        <w:tc>
          <w:tcPr>
            <w:tcW w:w="149" w:type="pct"/>
            <w:gridSpan w:val="2"/>
            <w:tcBorders>
              <w:top w:val="nil"/>
              <w:left w:val="nil"/>
              <w:bottom w:val="nil"/>
              <w:right w:val="nil"/>
            </w:tcBorders>
          </w:tcPr>
          <w:p w:rsidR="00897C1E" w:rsidRPr="005911E2" w:rsidRDefault="00897C1E" w:rsidP="00F104E9">
            <w:pPr>
              <w:pStyle w:val="braytabletext"/>
              <w:jc w:val="right"/>
            </w:pPr>
          </w:p>
        </w:tc>
        <w:tc>
          <w:tcPr>
            <w:tcW w:w="445" w:type="pct"/>
            <w:tcBorders>
              <w:top w:val="nil"/>
              <w:left w:val="nil"/>
              <w:bottom w:val="nil"/>
              <w:right w:val="nil"/>
            </w:tcBorders>
          </w:tcPr>
          <w:p w:rsidR="00897C1E" w:rsidRPr="005911E2" w:rsidRDefault="00897C1E" w:rsidP="00F104E9">
            <w:pPr>
              <w:pStyle w:val="braytabletext"/>
              <w:jc w:val="right"/>
            </w:pPr>
            <w:r w:rsidRPr="005911E2">
              <w:t>5.3</w:t>
            </w:r>
          </w:p>
        </w:tc>
        <w:tc>
          <w:tcPr>
            <w:tcW w:w="489" w:type="pct"/>
            <w:tcBorders>
              <w:top w:val="nil"/>
              <w:left w:val="nil"/>
              <w:bottom w:val="nil"/>
              <w:right w:val="nil"/>
            </w:tcBorders>
          </w:tcPr>
          <w:p w:rsidR="00897C1E" w:rsidRPr="005911E2" w:rsidRDefault="00897C1E" w:rsidP="00F104E9">
            <w:pPr>
              <w:pStyle w:val="braytabletext"/>
              <w:jc w:val="right"/>
            </w:pPr>
            <w:r w:rsidRPr="005911E2">
              <w:t>6.5</w:t>
            </w:r>
          </w:p>
        </w:tc>
        <w:tc>
          <w:tcPr>
            <w:tcW w:w="143" w:type="pct"/>
            <w:tcBorders>
              <w:top w:val="nil"/>
              <w:left w:val="nil"/>
              <w:bottom w:val="nil"/>
              <w:right w:val="nil"/>
            </w:tcBorders>
          </w:tcPr>
          <w:p w:rsidR="00897C1E" w:rsidRPr="005911E2" w:rsidRDefault="00897C1E" w:rsidP="00F104E9">
            <w:pPr>
              <w:pStyle w:val="braytabletext"/>
              <w:jc w:val="right"/>
            </w:pPr>
          </w:p>
        </w:tc>
        <w:tc>
          <w:tcPr>
            <w:tcW w:w="616" w:type="pct"/>
            <w:tcBorders>
              <w:top w:val="nil"/>
              <w:left w:val="nil"/>
              <w:bottom w:val="nil"/>
              <w:right w:val="nil"/>
            </w:tcBorders>
          </w:tcPr>
          <w:p w:rsidR="00897C1E" w:rsidRPr="005911E2" w:rsidRDefault="00897C1E" w:rsidP="00F104E9">
            <w:pPr>
              <w:pStyle w:val="braytabletext"/>
              <w:jc w:val="right"/>
            </w:pPr>
            <w:r w:rsidRPr="005911E2">
              <w:t>9.9</w:t>
            </w:r>
          </w:p>
        </w:tc>
        <w:tc>
          <w:tcPr>
            <w:tcW w:w="200" w:type="pct"/>
            <w:tcBorders>
              <w:top w:val="nil"/>
              <w:left w:val="nil"/>
              <w:bottom w:val="nil"/>
              <w:right w:val="nil"/>
            </w:tcBorders>
          </w:tcPr>
          <w:p w:rsidR="00897C1E" w:rsidRPr="005911E2" w:rsidRDefault="00897C1E" w:rsidP="00F104E9">
            <w:pPr>
              <w:pStyle w:val="braytabletext"/>
              <w:jc w:val="right"/>
            </w:pPr>
          </w:p>
        </w:tc>
        <w:tc>
          <w:tcPr>
            <w:tcW w:w="516" w:type="pct"/>
            <w:tcBorders>
              <w:top w:val="nil"/>
              <w:left w:val="nil"/>
              <w:bottom w:val="nil"/>
              <w:right w:val="nil"/>
            </w:tcBorders>
          </w:tcPr>
          <w:p w:rsidR="00897C1E" w:rsidRPr="005911E2" w:rsidRDefault="00897C1E" w:rsidP="00F104E9">
            <w:pPr>
              <w:pStyle w:val="braytabletext"/>
              <w:jc w:val="right"/>
            </w:pPr>
            <w:r w:rsidRPr="005911E2">
              <w:t>5.8</w:t>
            </w:r>
          </w:p>
        </w:tc>
        <w:tc>
          <w:tcPr>
            <w:tcW w:w="483" w:type="pct"/>
            <w:tcBorders>
              <w:top w:val="nil"/>
              <w:left w:val="nil"/>
              <w:bottom w:val="nil"/>
              <w:right w:val="nil"/>
            </w:tcBorders>
          </w:tcPr>
          <w:p w:rsidR="00897C1E" w:rsidRPr="005911E2" w:rsidRDefault="00897C1E" w:rsidP="00F104E9">
            <w:pPr>
              <w:pStyle w:val="braytabletext"/>
              <w:jc w:val="right"/>
            </w:pPr>
            <w:r w:rsidRPr="005911E2">
              <w:t>6.9</w:t>
            </w:r>
          </w:p>
        </w:tc>
      </w:tr>
      <w:tr w:rsidR="00897C1E" w:rsidRPr="005911E2" w:rsidTr="00B460A2">
        <w:trPr>
          <w:trHeight w:val="290"/>
          <w:jc w:val="right"/>
        </w:trPr>
        <w:tc>
          <w:tcPr>
            <w:tcW w:w="902" w:type="pct"/>
            <w:tcBorders>
              <w:top w:val="nil"/>
              <w:left w:val="nil"/>
              <w:bottom w:val="nil"/>
              <w:right w:val="nil"/>
            </w:tcBorders>
          </w:tcPr>
          <w:p w:rsidR="00897C1E" w:rsidRPr="005911E2" w:rsidRDefault="00897C1E" w:rsidP="00F104E9">
            <w:pPr>
              <w:pStyle w:val="braytabletext"/>
            </w:pPr>
            <w:r w:rsidRPr="005911E2">
              <w:t>Sometimes</w:t>
            </w:r>
          </w:p>
        </w:tc>
        <w:tc>
          <w:tcPr>
            <w:tcW w:w="569" w:type="pct"/>
            <w:gridSpan w:val="2"/>
            <w:tcBorders>
              <w:top w:val="nil"/>
              <w:left w:val="nil"/>
              <w:bottom w:val="nil"/>
              <w:right w:val="nil"/>
            </w:tcBorders>
          </w:tcPr>
          <w:p w:rsidR="00897C1E" w:rsidRPr="005911E2" w:rsidRDefault="00897C1E" w:rsidP="00F104E9">
            <w:pPr>
              <w:pStyle w:val="braytabletext"/>
              <w:jc w:val="right"/>
            </w:pPr>
            <w:r w:rsidRPr="005911E2">
              <w:t>29.5</w:t>
            </w:r>
          </w:p>
        </w:tc>
        <w:tc>
          <w:tcPr>
            <w:tcW w:w="488" w:type="pct"/>
            <w:tcBorders>
              <w:top w:val="nil"/>
              <w:left w:val="nil"/>
              <w:bottom w:val="nil"/>
              <w:right w:val="nil"/>
            </w:tcBorders>
          </w:tcPr>
          <w:p w:rsidR="00897C1E" w:rsidRPr="005911E2" w:rsidRDefault="00897C1E" w:rsidP="00F104E9">
            <w:pPr>
              <w:pStyle w:val="braytabletext"/>
              <w:jc w:val="right"/>
            </w:pPr>
            <w:r w:rsidRPr="005911E2">
              <w:t>22.8</w:t>
            </w:r>
          </w:p>
        </w:tc>
        <w:tc>
          <w:tcPr>
            <w:tcW w:w="149" w:type="pct"/>
            <w:gridSpan w:val="2"/>
            <w:tcBorders>
              <w:top w:val="nil"/>
              <w:left w:val="nil"/>
              <w:bottom w:val="nil"/>
              <w:right w:val="nil"/>
            </w:tcBorders>
          </w:tcPr>
          <w:p w:rsidR="00897C1E" w:rsidRPr="005911E2" w:rsidRDefault="00897C1E" w:rsidP="00F104E9">
            <w:pPr>
              <w:pStyle w:val="braytabletext"/>
              <w:jc w:val="right"/>
            </w:pPr>
          </w:p>
        </w:tc>
        <w:tc>
          <w:tcPr>
            <w:tcW w:w="445" w:type="pct"/>
            <w:tcBorders>
              <w:top w:val="nil"/>
              <w:left w:val="nil"/>
              <w:bottom w:val="nil"/>
              <w:right w:val="nil"/>
            </w:tcBorders>
          </w:tcPr>
          <w:p w:rsidR="00897C1E" w:rsidRPr="005911E2" w:rsidRDefault="00897C1E" w:rsidP="00F104E9">
            <w:pPr>
              <w:pStyle w:val="braytabletext"/>
              <w:jc w:val="right"/>
            </w:pPr>
            <w:r w:rsidRPr="005911E2">
              <w:t>17.5</w:t>
            </w:r>
          </w:p>
        </w:tc>
        <w:tc>
          <w:tcPr>
            <w:tcW w:w="489" w:type="pct"/>
            <w:tcBorders>
              <w:top w:val="nil"/>
              <w:left w:val="nil"/>
              <w:bottom w:val="nil"/>
              <w:right w:val="nil"/>
            </w:tcBorders>
          </w:tcPr>
          <w:p w:rsidR="00897C1E" w:rsidRPr="005911E2" w:rsidRDefault="00897C1E" w:rsidP="00F104E9">
            <w:pPr>
              <w:pStyle w:val="braytabletext"/>
              <w:jc w:val="right"/>
            </w:pPr>
            <w:r w:rsidRPr="005911E2">
              <w:t>16.1</w:t>
            </w:r>
          </w:p>
        </w:tc>
        <w:tc>
          <w:tcPr>
            <w:tcW w:w="143" w:type="pct"/>
            <w:tcBorders>
              <w:top w:val="nil"/>
              <w:left w:val="nil"/>
              <w:bottom w:val="nil"/>
              <w:right w:val="nil"/>
            </w:tcBorders>
          </w:tcPr>
          <w:p w:rsidR="00897C1E" w:rsidRPr="005911E2" w:rsidRDefault="00897C1E" w:rsidP="00F104E9">
            <w:pPr>
              <w:pStyle w:val="braytabletext"/>
              <w:jc w:val="right"/>
            </w:pPr>
          </w:p>
        </w:tc>
        <w:tc>
          <w:tcPr>
            <w:tcW w:w="616" w:type="pct"/>
            <w:tcBorders>
              <w:top w:val="nil"/>
              <w:left w:val="nil"/>
              <w:bottom w:val="nil"/>
              <w:right w:val="nil"/>
            </w:tcBorders>
          </w:tcPr>
          <w:p w:rsidR="00897C1E" w:rsidRPr="005911E2" w:rsidRDefault="00897C1E" w:rsidP="00F104E9">
            <w:pPr>
              <w:pStyle w:val="braytabletext"/>
              <w:jc w:val="right"/>
            </w:pPr>
            <w:r w:rsidRPr="005911E2">
              <w:t>15.1</w:t>
            </w:r>
          </w:p>
        </w:tc>
        <w:tc>
          <w:tcPr>
            <w:tcW w:w="200" w:type="pct"/>
            <w:tcBorders>
              <w:top w:val="nil"/>
              <w:left w:val="nil"/>
              <w:bottom w:val="nil"/>
              <w:right w:val="nil"/>
            </w:tcBorders>
          </w:tcPr>
          <w:p w:rsidR="00897C1E" w:rsidRPr="005911E2" w:rsidRDefault="00897C1E" w:rsidP="00F104E9">
            <w:pPr>
              <w:pStyle w:val="braytabletext"/>
              <w:jc w:val="right"/>
            </w:pPr>
          </w:p>
        </w:tc>
        <w:tc>
          <w:tcPr>
            <w:tcW w:w="516" w:type="pct"/>
            <w:tcBorders>
              <w:top w:val="nil"/>
              <w:left w:val="nil"/>
              <w:bottom w:val="nil"/>
              <w:right w:val="nil"/>
            </w:tcBorders>
          </w:tcPr>
          <w:p w:rsidR="00897C1E" w:rsidRPr="005911E2" w:rsidRDefault="00897C1E" w:rsidP="00F104E9">
            <w:pPr>
              <w:pStyle w:val="braytabletext"/>
              <w:jc w:val="right"/>
            </w:pPr>
            <w:r w:rsidRPr="005911E2">
              <w:t>26.2</w:t>
            </w:r>
          </w:p>
        </w:tc>
        <w:tc>
          <w:tcPr>
            <w:tcW w:w="483" w:type="pct"/>
            <w:tcBorders>
              <w:top w:val="nil"/>
              <w:left w:val="nil"/>
              <w:bottom w:val="nil"/>
              <w:right w:val="nil"/>
            </w:tcBorders>
          </w:tcPr>
          <w:p w:rsidR="00897C1E" w:rsidRPr="005911E2" w:rsidRDefault="00897C1E" w:rsidP="00F104E9">
            <w:pPr>
              <w:pStyle w:val="braytabletext"/>
              <w:jc w:val="right"/>
            </w:pPr>
            <w:r w:rsidRPr="005911E2">
              <w:t>32.4</w:t>
            </w:r>
          </w:p>
        </w:tc>
      </w:tr>
      <w:tr w:rsidR="00897C1E" w:rsidRPr="005911E2" w:rsidTr="00B460A2">
        <w:trPr>
          <w:trHeight w:val="290"/>
          <w:jc w:val="right"/>
        </w:trPr>
        <w:tc>
          <w:tcPr>
            <w:tcW w:w="902" w:type="pct"/>
            <w:tcBorders>
              <w:top w:val="nil"/>
              <w:left w:val="nil"/>
              <w:bottom w:val="nil"/>
              <w:right w:val="nil"/>
            </w:tcBorders>
          </w:tcPr>
          <w:p w:rsidR="00897C1E" w:rsidRPr="005911E2" w:rsidRDefault="00897C1E" w:rsidP="00F104E9">
            <w:pPr>
              <w:pStyle w:val="braytabletext"/>
            </w:pPr>
            <w:r w:rsidRPr="005911E2">
              <w:t>Most of the time</w:t>
            </w:r>
          </w:p>
        </w:tc>
        <w:tc>
          <w:tcPr>
            <w:tcW w:w="569" w:type="pct"/>
            <w:gridSpan w:val="2"/>
            <w:tcBorders>
              <w:top w:val="nil"/>
              <w:left w:val="nil"/>
              <w:bottom w:val="nil"/>
              <w:right w:val="nil"/>
            </w:tcBorders>
          </w:tcPr>
          <w:p w:rsidR="00897C1E" w:rsidRPr="005911E2" w:rsidRDefault="00897C1E" w:rsidP="00F104E9">
            <w:pPr>
              <w:pStyle w:val="braytabletext"/>
              <w:jc w:val="right"/>
            </w:pPr>
            <w:r w:rsidRPr="005911E2">
              <w:t>20.9</w:t>
            </w:r>
          </w:p>
        </w:tc>
        <w:tc>
          <w:tcPr>
            <w:tcW w:w="488" w:type="pct"/>
            <w:tcBorders>
              <w:top w:val="nil"/>
              <w:left w:val="nil"/>
              <w:bottom w:val="nil"/>
              <w:right w:val="nil"/>
            </w:tcBorders>
          </w:tcPr>
          <w:p w:rsidR="00897C1E" w:rsidRPr="005911E2" w:rsidRDefault="00897C1E" w:rsidP="00F104E9">
            <w:pPr>
              <w:pStyle w:val="braytabletext"/>
              <w:jc w:val="right"/>
            </w:pPr>
            <w:r w:rsidRPr="005911E2">
              <w:t>15.8</w:t>
            </w:r>
          </w:p>
        </w:tc>
        <w:tc>
          <w:tcPr>
            <w:tcW w:w="149" w:type="pct"/>
            <w:gridSpan w:val="2"/>
            <w:tcBorders>
              <w:top w:val="nil"/>
              <w:left w:val="nil"/>
              <w:bottom w:val="nil"/>
              <w:right w:val="nil"/>
            </w:tcBorders>
          </w:tcPr>
          <w:p w:rsidR="00897C1E" w:rsidRPr="005911E2" w:rsidRDefault="00897C1E" w:rsidP="00F104E9">
            <w:pPr>
              <w:pStyle w:val="braytabletext"/>
              <w:jc w:val="right"/>
            </w:pPr>
          </w:p>
        </w:tc>
        <w:tc>
          <w:tcPr>
            <w:tcW w:w="445" w:type="pct"/>
            <w:tcBorders>
              <w:top w:val="nil"/>
              <w:left w:val="nil"/>
              <w:bottom w:val="nil"/>
              <w:right w:val="nil"/>
            </w:tcBorders>
          </w:tcPr>
          <w:p w:rsidR="00897C1E" w:rsidRPr="005911E2" w:rsidRDefault="00897C1E" w:rsidP="00F104E9">
            <w:pPr>
              <w:pStyle w:val="braytabletext"/>
              <w:jc w:val="right"/>
            </w:pPr>
            <w:r w:rsidRPr="005911E2">
              <w:t>29.8</w:t>
            </w:r>
          </w:p>
        </w:tc>
        <w:tc>
          <w:tcPr>
            <w:tcW w:w="489" w:type="pct"/>
            <w:tcBorders>
              <w:top w:val="nil"/>
              <w:left w:val="nil"/>
              <w:bottom w:val="nil"/>
              <w:right w:val="nil"/>
            </w:tcBorders>
          </w:tcPr>
          <w:p w:rsidR="00897C1E" w:rsidRPr="005911E2" w:rsidRDefault="00897C1E" w:rsidP="00F104E9">
            <w:pPr>
              <w:pStyle w:val="braytabletext"/>
              <w:jc w:val="right"/>
            </w:pPr>
            <w:r w:rsidRPr="005911E2">
              <w:t>32.3</w:t>
            </w:r>
          </w:p>
        </w:tc>
        <w:tc>
          <w:tcPr>
            <w:tcW w:w="143" w:type="pct"/>
            <w:tcBorders>
              <w:top w:val="nil"/>
              <w:left w:val="nil"/>
              <w:bottom w:val="nil"/>
              <w:right w:val="nil"/>
            </w:tcBorders>
          </w:tcPr>
          <w:p w:rsidR="00897C1E" w:rsidRPr="005911E2" w:rsidRDefault="00897C1E" w:rsidP="00F104E9">
            <w:pPr>
              <w:pStyle w:val="braytabletext"/>
              <w:jc w:val="right"/>
            </w:pPr>
          </w:p>
        </w:tc>
        <w:tc>
          <w:tcPr>
            <w:tcW w:w="616" w:type="pct"/>
            <w:tcBorders>
              <w:top w:val="nil"/>
              <w:left w:val="nil"/>
              <w:bottom w:val="nil"/>
              <w:right w:val="nil"/>
            </w:tcBorders>
          </w:tcPr>
          <w:p w:rsidR="00897C1E" w:rsidRPr="005911E2" w:rsidRDefault="00897C1E" w:rsidP="00F104E9">
            <w:pPr>
              <w:pStyle w:val="braytabletext"/>
              <w:jc w:val="right"/>
            </w:pPr>
            <w:r w:rsidRPr="005911E2">
              <w:t>8.7</w:t>
            </w:r>
          </w:p>
        </w:tc>
        <w:tc>
          <w:tcPr>
            <w:tcW w:w="200" w:type="pct"/>
            <w:tcBorders>
              <w:top w:val="nil"/>
              <w:left w:val="nil"/>
              <w:bottom w:val="nil"/>
              <w:right w:val="nil"/>
            </w:tcBorders>
          </w:tcPr>
          <w:p w:rsidR="00897C1E" w:rsidRPr="005911E2" w:rsidRDefault="00897C1E" w:rsidP="00F104E9">
            <w:pPr>
              <w:pStyle w:val="braytabletext"/>
              <w:jc w:val="right"/>
            </w:pPr>
          </w:p>
        </w:tc>
        <w:tc>
          <w:tcPr>
            <w:tcW w:w="516" w:type="pct"/>
            <w:tcBorders>
              <w:top w:val="nil"/>
              <w:left w:val="nil"/>
              <w:bottom w:val="nil"/>
              <w:right w:val="nil"/>
            </w:tcBorders>
          </w:tcPr>
          <w:p w:rsidR="00897C1E" w:rsidRPr="005911E2" w:rsidRDefault="00897C1E" w:rsidP="00F104E9">
            <w:pPr>
              <w:pStyle w:val="braytabletext"/>
              <w:jc w:val="right"/>
            </w:pPr>
            <w:r w:rsidRPr="005911E2">
              <w:t>29.7</w:t>
            </w:r>
          </w:p>
        </w:tc>
        <w:tc>
          <w:tcPr>
            <w:tcW w:w="483" w:type="pct"/>
            <w:tcBorders>
              <w:top w:val="nil"/>
              <w:left w:val="nil"/>
              <w:bottom w:val="nil"/>
              <w:right w:val="nil"/>
            </w:tcBorders>
          </w:tcPr>
          <w:p w:rsidR="00897C1E" w:rsidRPr="005911E2" w:rsidRDefault="00897C1E" w:rsidP="00F104E9">
            <w:pPr>
              <w:pStyle w:val="braytabletext"/>
              <w:jc w:val="right"/>
            </w:pPr>
            <w:r w:rsidRPr="005911E2">
              <w:t>29.4</w:t>
            </w:r>
          </w:p>
        </w:tc>
      </w:tr>
      <w:tr w:rsidR="00897C1E" w:rsidRPr="005911E2" w:rsidTr="00B460A2">
        <w:trPr>
          <w:trHeight w:val="290"/>
          <w:jc w:val="right"/>
        </w:trPr>
        <w:tc>
          <w:tcPr>
            <w:tcW w:w="902" w:type="pct"/>
            <w:tcBorders>
              <w:top w:val="nil"/>
              <w:left w:val="nil"/>
              <w:bottom w:val="single" w:sz="4" w:space="0" w:color="auto"/>
              <w:right w:val="nil"/>
            </w:tcBorders>
          </w:tcPr>
          <w:p w:rsidR="00897C1E" w:rsidRPr="005911E2" w:rsidRDefault="00897C1E" w:rsidP="00F104E9">
            <w:pPr>
              <w:pStyle w:val="braytabletext"/>
            </w:pPr>
            <w:r w:rsidRPr="005911E2">
              <w:t>All the time</w:t>
            </w:r>
          </w:p>
        </w:tc>
        <w:tc>
          <w:tcPr>
            <w:tcW w:w="569" w:type="pct"/>
            <w:gridSpan w:val="2"/>
            <w:tcBorders>
              <w:top w:val="nil"/>
              <w:left w:val="nil"/>
              <w:bottom w:val="single" w:sz="4" w:space="0" w:color="auto"/>
              <w:right w:val="nil"/>
            </w:tcBorders>
          </w:tcPr>
          <w:p w:rsidR="00897C1E" w:rsidRPr="005911E2" w:rsidRDefault="00897C1E" w:rsidP="00F104E9">
            <w:pPr>
              <w:pStyle w:val="braytabletext"/>
              <w:jc w:val="right"/>
            </w:pPr>
            <w:r w:rsidRPr="005911E2">
              <w:t>36.8</w:t>
            </w:r>
          </w:p>
        </w:tc>
        <w:tc>
          <w:tcPr>
            <w:tcW w:w="488" w:type="pct"/>
            <w:tcBorders>
              <w:top w:val="nil"/>
              <w:left w:val="nil"/>
              <w:bottom w:val="single" w:sz="4" w:space="0" w:color="auto"/>
              <w:right w:val="nil"/>
            </w:tcBorders>
          </w:tcPr>
          <w:p w:rsidR="00897C1E" w:rsidRPr="005911E2" w:rsidRDefault="00897C1E" w:rsidP="00F104E9">
            <w:pPr>
              <w:pStyle w:val="braytabletext"/>
              <w:jc w:val="right"/>
            </w:pPr>
            <w:r w:rsidRPr="005911E2">
              <w:t>24.1</w:t>
            </w:r>
          </w:p>
        </w:tc>
        <w:tc>
          <w:tcPr>
            <w:tcW w:w="149" w:type="pct"/>
            <w:gridSpan w:val="2"/>
            <w:tcBorders>
              <w:top w:val="nil"/>
              <w:left w:val="nil"/>
              <w:bottom w:val="single" w:sz="4" w:space="0" w:color="auto"/>
              <w:right w:val="nil"/>
            </w:tcBorders>
          </w:tcPr>
          <w:p w:rsidR="00897C1E" w:rsidRPr="005911E2" w:rsidRDefault="00897C1E" w:rsidP="00F104E9">
            <w:pPr>
              <w:pStyle w:val="braytabletext"/>
              <w:jc w:val="right"/>
            </w:pPr>
          </w:p>
        </w:tc>
        <w:tc>
          <w:tcPr>
            <w:tcW w:w="445" w:type="pct"/>
            <w:tcBorders>
              <w:top w:val="nil"/>
              <w:left w:val="nil"/>
              <w:bottom w:val="single" w:sz="4" w:space="0" w:color="auto"/>
              <w:right w:val="nil"/>
            </w:tcBorders>
          </w:tcPr>
          <w:p w:rsidR="00897C1E" w:rsidRPr="005911E2" w:rsidRDefault="00897C1E" w:rsidP="00F104E9">
            <w:pPr>
              <w:pStyle w:val="braytabletext"/>
              <w:jc w:val="right"/>
            </w:pPr>
            <w:r w:rsidRPr="005911E2">
              <w:t>42.1</w:t>
            </w:r>
          </w:p>
        </w:tc>
        <w:tc>
          <w:tcPr>
            <w:tcW w:w="489" w:type="pct"/>
            <w:tcBorders>
              <w:top w:val="nil"/>
              <w:left w:val="nil"/>
              <w:bottom w:val="single" w:sz="4" w:space="0" w:color="auto"/>
              <w:right w:val="nil"/>
            </w:tcBorders>
          </w:tcPr>
          <w:p w:rsidR="00897C1E" w:rsidRPr="005911E2" w:rsidRDefault="00897C1E" w:rsidP="00F104E9">
            <w:pPr>
              <w:pStyle w:val="braytabletext"/>
              <w:jc w:val="right"/>
            </w:pPr>
            <w:r w:rsidRPr="005911E2">
              <w:t>29.0</w:t>
            </w:r>
          </w:p>
        </w:tc>
        <w:tc>
          <w:tcPr>
            <w:tcW w:w="143" w:type="pct"/>
            <w:tcBorders>
              <w:top w:val="nil"/>
              <w:left w:val="nil"/>
              <w:bottom w:val="single" w:sz="4" w:space="0" w:color="auto"/>
              <w:right w:val="nil"/>
            </w:tcBorders>
          </w:tcPr>
          <w:p w:rsidR="00897C1E" w:rsidRPr="005911E2" w:rsidRDefault="00897C1E" w:rsidP="00F104E9">
            <w:pPr>
              <w:pStyle w:val="braytabletext"/>
              <w:jc w:val="right"/>
            </w:pPr>
          </w:p>
        </w:tc>
        <w:tc>
          <w:tcPr>
            <w:tcW w:w="616" w:type="pct"/>
            <w:tcBorders>
              <w:top w:val="nil"/>
              <w:left w:val="nil"/>
              <w:bottom w:val="single" w:sz="4" w:space="0" w:color="auto"/>
              <w:right w:val="nil"/>
            </w:tcBorders>
          </w:tcPr>
          <w:p w:rsidR="00897C1E" w:rsidRPr="005911E2" w:rsidRDefault="00897C1E" w:rsidP="00F104E9">
            <w:pPr>
              <w:pStyle w:val="braytabletext"/>
              <w:jc w:val="right"/>
            </w:pPr>
            <w:r w:rsidRPr="005911E2">
              <w:t>15.7</w:t>
            </w:r>
          </w:p>
        </w:tc>
        <w:tc>
          <w:tcPr>
            <w:tcW w:w="200" w:type="pct"/>
            <w:tcBorders>
              <w:top w:val="nil"/>
              <w:left w:val="nil"/>
              <w:bottom w:val="single" w:sz="4" w:space="0" w:color="auto"/>
              <w:right w:val="nil"/>
            </w:tcBorders>
          </w:tcPr>
          <w:p w:rsidR="00897C1E" w:rsidRPr="005911E2" w:rsidRDefault="00897C1E" w:rsidP="00F104E9">
            <w:pPr>
              <w:pStyle w:val="braytabletext"/>
              <w:jc w:val="right"/>
            </w:pPr>
          </w:p>
        </w:tc>
        <w:tc>
          <w:tcPr>
            <w:tcW w:w="516" w:type="pct"/>
            <w:tcBorders>
              <w:top w:val="nil"/>
              <w:left w:val="nil"/>
              <w:bottom w:val="single" w:sz="4" w:space="0" w:color="auto"/>
              <w:right w:val="nil"/>
            </w:tcBorders>
          </w:tcPr>
          <w:p w:rsidR="00897C1E" w:rsidRPr="005911E2" w:rsidRDefault="00897C1E" w:rsidP="00F104E9">
            <w:pPr>
              <w:pStyle w:val="braytabletext"/>
              <w:jc w:val="right"/>
            </w:pPr>
            <w:r w:rsidRPr="005911E2">
              <w:t>27.9</w:t>
            </w:r>
          </w:p>
        </w:tc>
        <w:tc>
          <w:tcPr>
            <w:tcW w:w="483" w:type="pct"/>
            <w:tcBorders>
              <w:top w:val="nil"/>
              <w:left w:val="nil"/>
              <w:bottom w:val="single" w:sz="4" w:space="0" w:color="auto"/>
              <w:right w:val="nil"/>
            </w:tcBorders>
          </w:tcPr>
          <w:p w:rsidR="00897C1E" w:rsidRPr="005911E2" w:rsidRDefault="00897C1E" w:rsidP="00F104E9">
            <w:pPr>
              <w:pStyle w:val="braytabletext"/>
              <w:jc w:val="right"/>
            </w:pPr>
            <w:r w:rsidRPr="005911E2">
              <w:t>19.6</w:t>
            </w:r>
          </w:p>
        </w:tc>
      </w:tr>
    </w:tbl>
    <w:p w:rsidR="00897C1E" w:rsidRPr="005911E2" w:rsidRDefault="00ED761D" w:rsidP="00ED761D">
      <w:pPr>
        <w:ind w:left="720"/>
      </w:pPr>
      <w:r>
        <w:t>Cont.</w:t>
      </w:r>
    </w:p>
    <w:p w:rsidR="00897C1E" w:rsidRPr="005911E2" w:rsidRDefault="00897C1E" w:rsidP="00897C1E">
      <w:pPr>
        <w:keepNext/>
      </w:pPr>
      <w:r w:rsidRPr="005911E2">
        <w:t>Table 10-9 continued</w:t>
      </w:r>
    </w:p>
    <w:tbl>
      <w:tblPr>
        <w:tblW w:w="4670" w:type="pct"/>
        <w:jc w:val="right"/>
        <w:tblLayout w:type="fixed"/>
        <w:tblLook w:val="0000" w:firstRow="0" w:lastRow="0" w:firstColumn="0" w:lastColumn="0" w:noHBand="0" w:noVBand="0"/>
      </w:tblPr>
      <w:tblGrid>
        <w:gridCol w:w="1727"/>
        <w:gridCol w:w="59"/>
        <w:gridCol w:w="887"/>
        <w:gridCol w:w="805"/>
        <w:gridCol w:w="10"/>
        <w:gridCol w:w="236"/>
        <w:gridCol w:w="736"/>
        <w:gridCol w:w="805"/>
        <w:gridCol w:w="236"/>
        <w:gridCol w:w="1113"/>
        <w:gridCol w:w="236"/>
        <w:gridCol w:w="894"/>
        <w:gridCol w:w="751"/>
      </w:tblGrid>
      <w:tr w:rsidR="00897C1E" w:rsidRPr="005911E2" w:rsidTr="00B460A2">
        <w:trPr>
          <w:trHeight w:val="290"/>
          <w:jc w:val="right"/>
        </w:trPr>
        <w:tc>
          <w:tcPr>
            <w:tcW w:w="1016" w:type="pct"/>
            <w:tcBorders>
              <w:top w:val="single" w:sz="4" w:space="0" w:color="auto"/>
              <w:left w:val="nil"/>
              <w:bottom w:val="nil"/>
              <w:right w:val="nil"/>
            </w:tcBorders>
          </w:tcPr>
          <w:p w:rsidR="00897C1E" w:rsidRPr="005911E2" w:rsidRDefault="00897C1E" w:rsidP="00F104E9">
            <w:pPr>
              <w:pStyle w:val="braytabletext"/>
            </w:pPr>
          </w:p>
        </w:tc>
        <w:tc>
          <w:tcPr>
            <w:tcW w:w="2082" w:type="pct"/>
            <w:gridSpan w:val="7"/>
            <w:tcBorders>
              <w:top w:val="single" w:sz="4" w:space="0" w:color="auto"/>
              <w:left w:val="nil"/>
              <w:bottom w:val="single" w:sz="4" w:space="0" w:color="auto"/>
              <w:right w:val="nil"/>
            </w:tcBorders>
          </w:tcPr>
          <w:p w:rsidR="00897C1E" w:rsidRPr="005911E2" w:rsidRDefault="00897C1E" w:rsidP="00F104E9">
            <w:pPr>
              <w:pStyle w:val="braytabletext"/>
            </w:pPr>
            <w:r w:rsidRPr="005911E2">
              <w:t xml:space="preserve">Northern Territory </w:t>
            </w:r>
            <w:r w:rsidR="00F878E4">
              <w:t>income management</w:t>
            </w:r>
          </w:p>
        </w:tc>
        <w:tc>
          <w:tcPr>
            <w:tcW w:w="139" w:type="pct"/>
            <w:tcBorders>
              <w:top w:val="single" w:sz="4" w:space="0" w:color="auto"/>
              <w:left w:val="nil"/>
              <w:bottom w:val="single" w:sz="4" w:space="0" w:color="auto"/>
              <w:right w:val="nil"/>
            </w:tcBorders>
          </w:tcPr>
          <w:p w:rsidR="00897C1E" w:rsidRPr="005911E2" w:rsidRDefault="00897C1E" w:rsidP="00F104E9">
            <w:pPr>
              <w:pStyle w:val="braytabletext"/>
            </w:pPr>
          </w:p>
        </w:tc>
        <w:tc>
          <w:tcPr>
            <w:tcW w:w="655" w:type="pct"/>
            <w:tcBorders>
              <w:top w:val="single" w:sz="4" w:space="0" w:color="auto"/>
              <w:left w:val="nil"/>
              <w:bottom w:val="single" w:sz="4" w:space="0" w:color="auto"/>
              <w:right w:val="nil"/>
            </w:tcBorders>
          </w:tcPr>
          <w:p w:rsidR="00897C1E" w:rsidRPr="005911E2" w:rsidRDefault="00897C1E" w:rsidP="00F104E9">
            <w:pPr>
              <w:pStyle w:val="braytabletext"/>
            </w:pPr>
          </w:p>
        </w:tc>
        <w:tc>
          <w:tcPr>
            <w:tcW w:w="139" w:type="pct"/>
            <w:tcBorders>
              <w:top w:val="single" w:sz="4" w:space="0" w:color="auto"/>
              <w:left w:val="nil"/>
              <w:right w:val="nil"/>
            </w:tcBorders>
          </w:tcPr>
          <w:p w:rsidR="00897C1E" w:rsidRPr="005911E2" w:rsidRDefault="00897C1E" w:rsidP="00F104E9">
            <w:pPr>
              <w:pStyle w:val="braytabletext"/>
            </w:pPr>
          </w:p>
        </w:tc>
        <w:tc>
          <w:tcPr>
            <w:tcW w:w="968" w:type="pct"/>
            <w:gridSpan w:val="2"/>
            <w:tcBorders>
              <w:top w:val="single" w:sz="4" w:space="0" w:color="auto"/>
              <w:left w:val="nil"/>
              <w:bottom w:val="single" w:sz="4" w:space="0" w:color="auto"/>
              <w:right w:val="nil"/>
            </w:tcBorders>
          </w:tcPr>
          <w:p w:rsidR="00897C1E" w:rsidRPr="005911E2" w:rsidRDefault="00897C1E" w:rsidP="00F104E9">
            <w:pPr>
              <w:pStyle w:val="braytabletext"/>
            </w:pPr>
            <w:r w:rsidRPr="005911E2">
              <w:t>Contrast sites</w:t>
            </w:r>
          </w:p>
        </w:tc>
      </w:tr>
      <w:tr w:rsidR="00CF518E" w:rsidRPr="005911E2" w:rsidTr="00B460A2">
        <w:trPr>
          <w:trHeight w:val="290"/>
          <w:jc w:val="right"/>
        </w:trPr>
        <w:tc>
          <w:tcPr>
            <w:tcW w:w="1016" w:type="pct"/>
            <w:tcBorders>
              <w:top w:val="single" w:sz="4" w:space="0" w:color="auto"/>
              <w:left w:val="nil"/>
              <w:bottom w:val="nil"/>
              <w:right w:val="nil"/>
            </w:tcBorders>
          </w:tcPr>
          <w:p w:rsidR="00CF518E" w:rsidRPr="005911E2" w:rsidRDefault="00CF518E" w:rsidP="00F104E9">
            <w:pPr>
              <w:pStyle w:val="braytabletext"/>
            </w:pPr>
          </w:p>
        </w:tc>
        <w:tc>
          <w:tcPr>
            <w:tcW w:w="2082" w:type="pct"/>
            <w:gridSpan w:val="7"/>
            <w:tcBorders>
              <w:top w:val="single" w:sz="4" w:space="0" w:color="auto"/>
              <w:left w:val="nil"/>
              <w:bottom w:val="nil"/>
              <w:right w:val="nil"/>
            </w:tcBorders>
          </w:tcPr>
          <w:p w:rsidR="00CF518E" w:rsidRPr="005911E2" w:rsidRDefault="00CF518E" w:rsidP="00F104E9">
            <w:pPr>
              <w:pStyle w:val="braytabletext"/>
            </w:pPr>
            <w:r w:rsidRPr="005911E2">
              <w:t>Indigenous</w:t>
            </w:r>
          </w:p>
        </w:tc>
        <w:tc>
          <w:tcPr>
            <w:tcW w:w="139" w:type="pct"/>
            <w:tcBorders>
              <w:top w:val="single" w:sz="4" w:space="0" w:color="auto"/>
              <w:left w:val="nil"/>
              <w:right w:val="nil"/>
            </w:tcBorders>
          </w:tcPr>
          <w:p w:rsidR="00CF518E" w:rsidRPr="005911E2" w:rsidRDefault="00CF518E" w:rsidP="00F104E9">
            <w:pPr>
              <w:pStyle w:val="braytabletext"/>
            </w:pPr>
          </w:p>
        </w:tc>
        <w:tc>
          <w:tcPr>
            <w:tcW w:w="655" w:type="pct"/>
            <w:tcBorders>
              <w:top w:val="single" w:sz="4" w:space="0" w:color="auto"/>
              <w:left w:val="nil"/>
              <w:bottom w:val="single" w:sz="4" w:space="0" w:color="auto"/>
              <w:right w:val="nil"/>
            </w:tcBorders>
          </w:tcPr>
          <w:p w:rsidR="00CF518E" w:rsidRPr="005911E2" w:rsidRDefault="00CF518E" w:rsidP="006435C8">
            <w:pPr>
              <w:pStyle w:val="braytabletext"/>
            </w:pPr>
            <w:r w:rsidRPr="005911E2">
              <w:t>Non</w:t>
            </w:r>
            <w:r w:rsidR="006435C8">
              <w:t>-</w:t>
            </w:r>
            <w:r w:rsidRPr="005911E2">
              <w:t xml:space="preserve"> Indig</w:t>
            </w:r>
            <w:r w:rsidR="00614538" w:rsidRPr="005911E2">
              <w:t>enous</w:t>
            </w:r>
            <w:r w:rsidR="00614538">
              <w:t xml:space="preserve"> </w:t>
            </w:r>
          </w:p>
        </w:tc>
        <w:tc>
          <w:tcPr>
            <w:tcW w:w="139" w:type="pct"/>
            <w:tcBorders>
              <w:left w:val="nil"/>
              <w:bottom w:val="nil"/>
              <w:right w:val="nil"/>
            </w:tcBorders>
          </w:tcPr>
          <w:p w:rsidR="00CF518E" w:rsidRPr="005911E2" w:rsidRDefault="00CF518E" w:rsidP="00F104E9">
            <w:pPr>
              <w:pStyle w:val="braytabletext"/>
            </w:pPr>
          </w:p>
        </w:tc>
        <w:tc>
          <w:tcPr>
            <w:tcW w:w="526" w:type="pct"/>
            <w:vMerge w:val="restart"/>
            <w:tcBorders>
              <w:top w:val="single" w:sz="4" w:space="0" w:color="auto"/>
              <w:left w:val="nil"/>
              <w:right w:val="nil"/>
            </w:tcBorders>
          </w:tcPr>
          <w:p w:rsidR="00CF518E" w:rsidRPr="005911E2" w:rsidRDefault="00CF518E" w:rsidP="00CF518E">
            <w:pPr>
              <w:pStyle w:val="braytabletext"/>
            </w:pPr>
            <w:r w:rsidRPr="005911E2">
              <w:t>Indig-enous</w:t>
            </w:r>
          </w:p>
        </w:tc>
        <w:tc>
          <w:tcPr>
            <w:tcW w:w="442" w:type="pct"/>
            <w:vMerge w:val="restart"/>
            <w:tcBorders>
              <w:top w:val="single" w:sz="4" w:space="0" w:color="auto"/>
              <w:left w:val="nil"/>
              <w:right w:val="nil"/>
            </w:tcBorders>
          </w:tcPr>
          <w:p w:rsidR="00CF518E" w:rsidRPr="005911E2" w:rsidRDefault="00CF518E" w:rsidP="00F104E9">
            <w:pPr>
              <w:pStyle w:val="braytabletext"/>
            </w:pPr>
            <w:r w:rsidRPr="005911E2">
              <w:t>Non-Indig-enous</w:t>
            </w:r>
          </w:p>
        </w:tc>
      </w:tr>
      <w:tr w:rsidR="00CF518E" w:rsidRPr="005911E2" w:rsidTr="00B460A2">
        <w:trPr>
          <w:trHeight w:val="290"/>
          <w:jc w:val="right"/>
        </w:trPr>
        <w:tc>
          <w:tcPr>
            <w:tcW w:w="1016" w:type="pct"/>
            <w:tcBorders>
              <w:top w:val="nil"/>
              <w:left w:val="nil"/>
              <w:bottom w:val="nil"/>
              <w:right w:val="nil"/>
            </w:tcBorders>
          </w:tcPr>
          <w:p w:rsidR="00CF518E" w:rsidRPr="005911E2" w:rsidRDefault="00CF518E" w:rsidP="00F104E9">
            <w:pPr>
              <w:pStyle w:val="braytabletext"/>
            </w:pPr>
          </w:p>
        </w:tc>
        <w:tc>
          <w:tcPr>
            <w:tcW w:w="1031" w:type="pct"/>
            <w:gridSpan w:val="3"/>
            <w:tcBorders>
              <w:top w:val="single" w:sz="4" w:space="0" w:color="auto"/>
              <w:left w:val="nil"/>
              <w:bottom w:val="nil"/>
              <w:right w:val="nil"/>
            </w:tcBorders>
          </w:tcPr>
          <w:p w:rsidR="00CF518E" w:rsidRPr="005911E2" w:rsidRDefault="00CF518E" w:rsidP="00CF518E">
            <w:pPr>
              <w:pStyle w:val="braytabletext"/>
            </w:pPr>
            <w:r>
              <w:t xml:space="preserve">Compulsory </w:t>
            </w:r>
          </w:p>
        </w:tc>
        <w:tc>
          <w:tcPr>
            <w:tcW w:w="145" w:type="pct"/>
            <w:gridSpan w:val="2"/>
            <w:tcBorders>
              <w:top w:val="nil"/>
              <w:left w:val="nil"/>
              <w:bottom w:val="nil"/>
              <w:right w:val="nil"/>
            </w:tcBorders>
          </w:tcPr>
          <w:p w:rsidR="00CF518E" w:rsidRPr="005911E2" w:rsidRDefault="00CF518E" w:rsidP="00F104E9">
            <w:pPr>
              <w:pStyle w:val="braytabletext"/>
            </w:pPr>
          </w:p>
        </w:tc>
        <w:tc>
          <w:tcPr>
            <w:tcW w:w="907" w:type="pct"/>
            <w:gridSpan w:val="2"/>
            <w:tcBorders>
              <w:top w:val="single" w:sz="4" w:space="0" w:color="auto"/>
              <w:left w:val="nil"/>
              <w:bottom w:val="single" w:sz="4" w:space="0" w:color="auto"/>
              <w:right w:val="nil"/>
            </w:tcBorders>
          </w:tcPr>
          <w:p w:rsidR="00CF518E" w:rsidRPr="005911E2" w:rsidRDefault="00CF518E" w:rsidP="00CF518E">
            <w:pPr>
              <w:pStyle w:val="braytabletext"/>
            </w:pPr>
            <w:r>
              <w:t xml:space="preserve">Voluntary </w:t>
            </w:r>
          </w:p>
        </w:tc>
        <w:tc>
          <w:tcPr>
            <w:tcW w:w="139" w:type="pct"/>
            <w:tcBorders>
              <w:left w:val="nil"/>
              <w:right w:val="nil"/>
            </w:tcBorders>
          </w:tcPr>
          <w:p w:rsidR="00CF518E" w:rsidRPr="005911E2" w:rsidRDefault="00CF518E" w:rsidP="00F104E9">
            <w:pPr>
              <w:pStyle w:val="braytabletext"/>
            </w:pPr>
          </w:p>
        </w:tc>
        <w:tc>
          <w:tcPr>
            <w:tcW w:w="655" w:type="pct"/>
            <w:vMerge w:val="restart"/>
            <w:tcBorders>
              <w:top w:val="single" w:sz="4" w:space="0" w:color="auto"/>
              <w:left w:val="nil"/>
              <w:right w:val="nil"/>
            </w:tcBorders>
          </w:tcPr>
          <w:p w:rsidR="00CF518E" w:rsidRPr="005911E2" w:rsidRDefault="00CF518E" w:rsidP="00E15AAB">
            <w:pPr>
              <w:pStyle w:val="braytabletext"/>
            </w:pPr>
            <w:r>
              <w:t>Comp</w:t>
            </w:r>
            <w:r w:rsidR="00E15AAB">
              <w:t>u</w:t>
            </w:r>
            <w:r>
              <w:t>lsory</w:t>
            </w:r>
          </w:p>
        </w:tc>
        <w:tc>
          <w:tcPr>
            <w:tcW w:w="139" w:type="pct"/>
            <w:tcBorders>
              <w:top w:val="nil"/>
              <w:left w:val="nil"/>
              <w:bottom w:val="nil"/>
              <w:right w:val="nil"/>
            </w:tcBorders>
          </w:tcPr>
          <w:p w:rsidR="00CF518E" w:rsidRPr="005911E2" w:rsidRDefault="00CF518E" w:rsidP="00F104E9">
            <w:pPr>
              <w:pStyle w:val="braytabletext"/>
            </w:pPr>
          </w:p>
        </w:tc>
        <w:tc>
          <w:tcPr>
            <w:tcW w:w="526" w:type="pct"/>
            <w:vMerge/>
            <w:tcBorders>
              <w:left w:val="nil"/>
              <w:right w:val="nil"/>
            </w:tcBorders>
          </w:tcPr>
          <w:p w:rsidR="00CF518E" w:rsidRPr="005911E2" w:rsidRDefault="00CF518E" w:rsidP="00F104E9">
            <w:pPr>
              <w:pStyle w:val="braytabletext"/>
            </w:pPr>
          </w:p>
        </w:tc>
        <w:tc>
          <w:tcPr>
            <w:tcW w:w="442" w:type="pct"/>
            <w:vMerge/>
            <w:tcBorders>
              <w:left w:val="nil"/>
              <w:right w:val="nil"/>
            </w:tcBorders>
          </w:tcPr>
          <w:p w:rsidR="00CF518E" w:rsidRPr="005911E2" w:rsidRDefault="00CF518E" w:rsidP="00F104E9">
            <w:pPr>
              <w:pStyle w:val="braytabletext"/>
            </w:pPr>
          </w:p>
        </w:tc>
      </w:tr>
      <w:tr w:rsidR="00CF518E" w:rsidRPr="005911E2" w:rsidTr="00B460A2">
        <w:trPr>
          <w:trHeight w:val="290"/>
          <w:jc w:val="right"/>
        </w:trPr>
        <w:tc>
          <w:tcPr>
            <w:tcW w:w="1016" w:type="pct"/>
            <w:tcBorders>
              <w:top w:val="nil"/>
              <w:left w:val="nil"/>
              <w:bottom w:val="single" w:sz="4" w:space="0" w:color="auto"/>
              <w:right w:val="nil"/>
            </w:tcBorders>
          </w:tcPr>
          <w:p w:rsidR="00CF518E" w:rsidRPr="005911E2" w:rsidRDefault="00CF518E" w:rsidP="00F104E9">
            <w:pPr>
              <w:pStyle w:val="braytabletext"/>
            </w:pPr>
          </w:p>
        </w:tc>
        <w:tc>
          <w:tcPr>
            <w:tcW w:w="557" w:type="pct"/>
            <w:gridSpan w:val="2"/>
            <w:tcBorders>
              <w:top w:val="single" w:sz="4" w:space="0" w:color="auto"/>
              <w:left w:val="nil"/>
              <w:bottom w:val="single" w:sz="4" w:space="0" w:color="auto"/>
              <w:right w:val="nil"/>
            </w:tcBorders>
          </w:tcPr>
          <w:p w:rsidR="00CF518E" w:rsidRPr="005911E2" w:rsidRDefault="00CF518E" w:rsidP="00F104E9">
            <w:pPr>
              <w:pStyle w:val="braytabletext"/>
            </w:pPr>
            <w:r w:rsidRPr="005911E2">
              <w:t>NTER area</w:t>
            </w:r>
          </w:p>
        </w:tc>
        <w:tc>
          <w:tcPr>
            <w:tcW w:w="480" w:type="pct"/>
            <w:gridSpan w:val="2"/>
            <w:tcBorders>
              <w:top w:val="single" w:sz="4" w:space="0" w:color="auto"/>
              <w:left w:val="nil"/>
              <w:bottom w:val="single" w:sz="4" w:space="0" w:color="auto"/>
              <w:right w:val="nil"/>
            </w:tcBorders>
          </w:tcPr>
          <w:p w:rsidR="00CF518E" w:rsidRPr="005911E2" w:rsidRDefault="00CF518E" w:rsidP="00F104E9">
            <w:pPr>
              <w:pStyle w:val="braytabletext"/>
            </w:pPr>
            <w:r w:rsidRPr="005911E2">
              <w:t>Non-NTER area</w:t>
            </w:r>
          </w:p>
        </w:tc>
        <w:tc>
          <w:tcPr>
            <w:tcW w:w="139" w:type="pct"/>
            <w:tcBorders>
              <w:top w:val="nil"/>
              <w:left w:val="nil"/>
              <w:bottom w:val="single" w:sz="4" w:space="0" w:color="auto"/>
              <w:right w:val="nil"/>
            </w:tcBorders>
          </w:tcPr>
          <w:p w:rsidR="00CF518E" w:rsidRPr="005911E2" w:rsidRDefault="00CF518E" w:rsidP="00F104E9">
            <w:pPr>
              <w:pStyle w:val="braytabletext"/>
            </w:pPr>
          </w:p>
        </w:tc>
        <w:tc>
          <w:tcPr>
            <w:tcW w:w="433" w:type="pct"/>
            <w:tcBorders>
              <w:top w:val="single" w:sz="4" w:space="0" w:color="auto"/>
              <w:left w:val="nil"/>
              <w:bottom w:val="single" w:sz="4" w:space="0" w:color="auto"/>
              <w:right w:val="nil"/>
            </w:tcBorders>
          </w:tcPr>
          <w:p w:rsidR="00CF518E" w:rsidRPr="005911E2" w:rsidRDefault="00CF518E" w:rsidP="00F104E9">
            <w:pPr>
              <w:pStyle w:val="braytabletext"/>
            </w:pPr>
            <w:r w:rsidRPr="005911E2">
              <w:t>NTER area</w:t>
            </w:r>
          </w:p>
        </w:tc>
        <w:tc>
          <w:tcPr>
            <w:tcW w:w="474" w:type="pct"/>
            <w:tcBorders>
              <w:top w:val="single" w:sz="4" w:space="0" w:color="auto"/>
              <w:left w:val="nil"/>
              <w:bottom w:val="single" w:sz="4" w:space="0" w:color="auto"/>
              <w:right w:val="nil"/>
            </w:tcBorders>
          </w:tcPr>
          <w:p w:rsidR="00CF518E" w:rsidRPr="005911E2" w:rsidRDefault="00CF518E" w:rsidP="00F104E9">
            <w:pPr>
              <w:pStyle w:val="braytabletext"/>
            </w:pPr>
            <w:r w:rsidRPr="005911E2">
              <w:t>Non-NTER area</w:t>
            </w:r>
          </w:p>
        </w:tc>
        <w:tc>
          <w:tcPr>
            <w:tcW w:w="139" w:type="pct"/>
            <w:tcBorders>
              <w:left w:val="nil"/>
              <w:bottom w:val="single" w:sz="4" w:space="0" w:color="auto"/>
              <w:right w:val="nil"/>
            </w:tcBorders>
          </w:tcPr>
          <w:p w:rsidR="00CF518E" w:rsidRPr="005911E2" w:rsidRDefault="00CF518E" w:rsidP="00F104E9">
            <w:pPr>
              <w:pStyle w:val="braytabletext"/>
            </w:pPr>
          </w:p>
        </w:tc>
        <w:tc>
          <w:tcPr>
            <w:tcW w:w="655" w:type="pct"/>
            <w:vMerge/>
            <w:tcBorders>
              <w:left w:val="nil"/>
              <w:bottom w:val="single" w:sz="4" w:space="0" w:color="auto"/>
              <w:right w:val="nil"/>
            </w:tcBorders>
          </w:tcPr>
          <w:p w:rsidR="00CF518E" w:rsidRPr="005911E2" w:rsidRDefault="00CF518E" w:rsidP="00F104E9">
            <w:pPr>
              <w:pStyle w:val="braytabletext"/>
            </w:pPr>
          </w:p>
        </w:tc>
        <w:tc>
          <w:tcPr>
            <w:tcW w:w="139" w:type="pct"/>
            <w:tcBorders>
              <w:top w:val="nil"/>
              <w:left w:val="nil"/>
              <w:bottom w:val="single" w:sz="4" w:space="0" w:color="auto"/>
              <w:right w:val="nil"/>
            </w:tcBorders>
          </w:tcPr>
          <w:p w:rsidR="00CF518E" w:rsidRPr="005911E2" w:rsidRDefault="00CF518E" w:rsidP="00F104E9">
            <w:pPr>
              <w:pStyle w:val="braytabletext"/>
            </w:pPr>
          </w:p>
        </w:tc>
        <w:tc>
          <w:tcPr>
            <w:tcW w:w="526" w:type="pct"/>
            <w:vMerge/>
            <w:tcBorders>
              <w:left w:val="nil"/>
              <w:bottom w:val="single" w:sz="4" w:space="0" w:color="auto"/>
              <w:right w:val="nil"/>
            </w:tcBorders>
          </w:tcPr>
          <w:p w:rsidR="00CF518E" w:rsidRPr="005911E2" w:rsidRDefault="00CF518E" w:rsidP="00F104E9">
            <w:pPr>
              <w:pStyle w:val="braytabletext"/>
            </w:pPr>
          </w:p>
        </w:tc>
        <w:tc>
          <w:tcPr>
            <w:tcW w:w="442" w:type="pct"/>
            <w:vMerge/>
            <w:tcBorders>
              <w:left w:val="nil"/>
              <w:bottom w:val="single" w:sz="4" w:space="0" w:color="auto"/>
              <w:right w:val="nil"/>
            </w:tcBorders>
          </w:tcPr>
          <w:p w:rsidR="00CF518E" w:rsidRPr="005911E2" w:rsidRDefault="00CF518E" w:rsidP="00F104E9">
            <w:pPr>
              <w:pStyle w:val="braytabletext"/>
            </w:pPr>
          </w:p>
        </w:tc>
      </w:tr>
      <w:tr w:rsidR="00CF518E" w:rsidRPr="005911E2" w:rsidTr="00B460A2">
        <w:trPr>
          <w:trHeight w:val="290"/>
          <w:jc w:val="right"/>
        </w:trPr>
        <w:tc>
          <w:tcPr>
            <w:tcW w:w="1573" w:type="pct"/>
            <w:gridSpan w:val="3"/>
            <w:tcBorders>
              <w:top w:val="single" w:sz="4" w:space="0" w:color="auto"/>
              <w:left w:val="nil"/>
              <w:right w:val="nil"/>
            </w:tcBorders>
          </w:tcPr>
          <w:p w:rsidR="00CF518E" w:rsidRPr="005911E2" w:rsidRDefault="00CF518E" w:rsidP="00F104E9">
            <w:pPr>
              <w:pStyle w:val="braytabletext"/>
              <w:rPr>
                <w:i/>
              </w:rPr>
            </w:pPr>
            <w:r w:rsidRPr="005911E2">
              <w:rPr>
                <w:i/>
              </w:rPr>
              <w:t>More control over money</w:t>
            </w:r>
          </w:p>
        </w:tc>
        <w:tc>
          <w:tcPr>
            <w:tcW w:w="474" w:type="pct"/>
            <w:tcBorders>
              <w:top w:val="single" w:sz="4" w:space="0" w:color="auto"/>
              <w:left w:val="nil"/>
              <w:right w:val="nil"/>
            </w:tcBorders>
          </w:tcPr>
          <w:p w:rsidR="00CF518E" w:rsidRPr="005911E2" w:rsidRDefault="00CF518E" w:rsidP="00F104E9">
            <w:pPr>
              <w:pStyle w:val="braytabletext"/>
              <w:rPr>
                <w:i/>
              </w:rPr>
            </w:pPr>
          </w:p>
        </w:tc>
        <w:tc>
          <w:tcPr>
            <w:tcW w:w="578" w:type="pct"/>
            <w:gridSpan w:val="3"/>
            <w:tcBorders>
              <w:top w:val="single" w:sz="4" w:space="0" w:color="auto"/>
              <w:left w:val="nil"/>
              <w:right w:val="nil"/>
            </w:tcBorders>
          </w:tcPr>
          <w:p w:rsidR="00CF518E" w:rsidRPr="005911E2" w:rsidRDefault="00CF518E" w:rsidP="00F104E9">
            <w:pPr>
              <w:pStyle w:val="braytabletext"/>
              <w:jc w:val="center"/>
            </w:pPr>
          </w:p>
        </w:tc>
        <w:tc>
          <w:tcPr>
            <w:tcW w:w="474" w:type="pct"/>
            <w:tcBorders>
              <w:top w:val="single" w:sz="4" w:space="0" w:color="auto"/>
              <w:left w:val="nil"/>
              <w:right w:val="nil"/>
            </w:tcBorders>
          </w:tcPr>
          <w:p w:rsidR="00CF518E" w:rsidRPr="005911E2" w:rsidRDefault="00CF518E" w:rsidP="00F104E9">
            <w:pPr>
              <w:pStyle w:val="braytabletext"/>
              <w:rPr>
                <w:i/>
              </w:rPr>
            </w:pPr>
            <w:r>
              <w:rPr>
                <w:i/>
              </w:rPr>
              <w:t xml:space="preserve">- %- </w:t>
            </w:r>
          </w:p>
        </w:tc>
        <w:tc>
          <w:tcPr>
            <w:tcW w:w="139" w:type="pct"/>
            <w:tcBorders>
              <w:top w:val="single" w:sz="4" w:space="0" w:color="auto"/>
              <w:left w:val="nil"/>
              <w:right w:val="nil"/>
            </w:tcBorders>
          </w:tcPr>
          <w:p w:rsidR="00CF518E" w:rsidRPr="005911E2" w:rsidRDefault="00CF518E" w:rsidP="00F104E9">
            <w:pPr>
              <w:pStyle w:val="braytabletext"/>
              <w:rPr>
                <w:i/>
              </w:rPr>
            </w:pPr>
          </w:p>
        </w:tc>
        <w:tc>
          <w:tcPr>
            <w:tcW w:w="655" w:type="pct"/>
            <w:tcBorders>
              <w:top w:val="single" w:sz="4" w:space="0" w:color="auto"/>
              <w:left w:val="nil"/>
              <w:right w:val="nil"/>
            </w:tcBorders>
          </w:tcPr>
          <w:p w:rsidR="00CF518E" w:rsidRPr="005911E2" w:rsidRDefault="00CF518E" w:rsidP="00F104E9">
            <w:pPr>
              <w:pStyle w:val="braytabletext"/>
              <w:rPr>
                <w:i/>
              </w:rPr>
            </w:pPr>
          </w:p>
        </w:tc>
        <w:tc>
          <w:tcPr>
            <w:tcW w:w="139" w:type="pct"/>
            <w:tcBorders>
              <w:top w:val="single" w:sz="4" w:space="0" w:color="auto"/>
              <w:left w:val="nil"/>
              <w:right w:val="nil"/>
            </w:tcBorders>
          </w:tcPr>
          <w:p w:rsidR="00CF518E" w:rsidRPr="005911E2" w:rsidRDefault="00CF518E" w:rsidP="00F104E9">
            <w:pPr>
              <w:pStyle w:val="braytabletext"/>
              <w:rPr>
                <w:i/>
              </w:rPr>
            </w:pPr>
          </w:p>
        </w:tc>
        <w:tc>
          <w:tcPr>
            <w:tcW w:w="526" w:type="pct"/>
            <w:tcBorders>
              <w:top w:val="single" w:sz="4" w:space="0" w:color="auto"/>
              <w:left w:val="nil"/>
              <w:right w:val="nil"/>
            </w:tcBorders>
          </w:tcPr>
          <w:p w:rsidR="00CF518E" w:rsidRPr="005911E2" w:rsidRDefault="00CF518E" w:rsidP="00F104E9">
            <w:pPr>
              <w:pStyle w:val="braytabletext"/>
              <w:rPr>
                <w:i/>
              </w:rPr>
            </w:pPr>
          </w:p>
        </w:tc>
        <w:tc>
          <w:tcPr>
            <w:tcW w:w="442" w:type="pct"/>
            <w:tcBorders>
              <w:top w:val="single" w:sz="4" w:space="0" w:color="auto"/>
              <w:left w:val="nil"/>
              <w:right w:val="nil"/>
            </w:tcBorders>
          </w:tcPr>
          <w:p w:rsidR="00CF518E" w:rsidRPr="005911E2" w:rsidRDefault="00CF518E" w:rsidP="00F104E9">
            <w:pPr>
              <w:pStyle w:val="braytabletext"/>
              <w:rPr>
                <w:i/>
              </w:rPr>
            </w:pPr>
          </w:p>
        </w:tc>
      </w:tr>
      <w:tr w:rsidR="00CF518E" w:rsidRPr="005911E2" w:rsidTr="00B460A2">
        <w:trPr>
          <w:trHeight w:val="290"/>
          <w:jc w:val="right"/>
        </w:trPr>
        <w:tc>
          <w:tcPr>
            <w:tcW w:w="1051" w:type="pct"/>
            <w:gridSpan w:val="2"/>
            <w:tcBorders>
              <w:left w:val="nil"/>
              <w:right w:val="nil"/>
            </w:tcBorders>
          </w:tcPr>
          <w:p w:rsidR="00CF518E" w:rsidRPr="005911E2" w:rsidRDefault="00CF518E" w:rsidP="00F104E9">
            <w:pPr>
              <w:pStyle w:val="braytabletext"/>
              <w:rPr>
                <w:i/>
              </w:rPr>
            </w:pPr>
            <w:r w:rsidRPr="005911E2">
              <w:t>Never</w:t>
            </w:r>
          </w:p>
        </w:tc>
        <w:tc>
          <w:tcPr>
            <w:tcW w:w="522" w:type="pct"/>
            <w:tcBorders>
              <w:left w:val="nil"/>
              <w:right w:val="nil"/>
            </w:tcBorders>
          </w:tcPr>
          <w:p w:rsidR="00CF518E" w:rsidRPr="005911E2" w:rsidRDefault="00CF518E" w:rsidP="00CF518E">
            <w:pPr>
              <w:pStyle w:val="braytabletext"/>
              <w:jc w:val="right"/>
              <w:rPr>
                <w:i/>
              </w:rPr>
            </w:pPr>
            <w:r w:rsidRPr="005911E2">
              <w:t>6.3</w:t>
            </w:r>
          </w:p>
        </w:tc>
        <w:tc>
          <w:tcPr>
            <w:tcW w:w="474" w:type="pct"/>
            <w:tcBorders>
              <w:left w:val="nil"/>
              <w:bottom w:val="nil"/>
              <w:right w:val="nil"/>
            </w:tcBorders>
          </w:tcPr>
          <w:p w:rsidR="00CF518E" w:rsidRPr="005911E2" w:rsidRDefault="00CF518E" w:rsidP="00CF518E">
            <w:pPr>
              <w:pStyle w:val="braytabletext"/>
              <w:jc w:val="right"/>
              <w:rPr>
                <w:i/>
              </w:rPr>
            </w:pPr>
            <w:r w:rsidRPr="005911E2">
              <w:t>30.6</w:t>
            </w:r>
          </w:p>
        </w:tc>
        <w:tc>
          <w:tcPr>
            <w:tcW w:w="145" w:type="pct"/>
            <w:gridSpan w:val="2"/>
            <w:tcBorders>
              <w:left w:val="nil"/>
              <w:right w:val="nil"/>
            </w:tcBorders>
          </w:tcPr>
          <w:p w:rsidR="00CF518E" w:rsidRPr="005911E2" w:rsidRDefault="00CF518E" w:rsidP="00CF518E">
            <w:pPr>
              <w:pStyle w:val="braytabletext"/>
              <w:jc w:val="right"/>
            </w:pPr>
          </w:p>
        </w:tc>
        <w:tc>
          <w:tcPr>
            <w:tcW w:w="433" w:type="pct"/>
            <w:tcBorders>
              <w:left w:val="nil"/>
              <w:right w:val="nil"/>
            </w:tcBorders>
          </w:tcPr>
          <w:p w:rsidR="00CF518E" w:rsidRPr="005911E2" w:rsidRDefault="00CF518E" w:rsidP="00CF518E">
            <w:pPr>
              <w:pStyle w:val="braytabletext"/>
              <w:jc w:val="right"/>
            </w:pPr>
            <w:r w:rsidRPr="005911E2">
              <w:t>5.9</w:t>
            </w:r>
          </w:p>
        </w:tc>
        <w:tc>
          <w:tcPr>
            <w:tcW w:w="474" w:type="pct"/>
            <w:tcBorders>
              <w:left w:val="nil"/>
              <w:bottom w:val="nil"/>
              <w:right w:val="nil"/>
            </w:tcBorders>
          </w:tcPr>
          <w:p w:rsidR="00CF518E" w:rsidRPr="005911E2" w:rsidRDefault="00CF518E" w:rsidP="00CF518E">
            <w:pPr>
              <w:pStyle w:val="braytabletext"/>
              <w:jc w:val="right"/>
              <w:rPr>
                <w:i/>
              </w:rPr>
            </w:pPr>
            <w:r w:rsidRPr="005911E2">
              <w:t>6.3</w:t>
            </w:r>
          </w:p>
        </w:tc>
        <w:tc>
          <w:tcPr>
            <w:tcW w:w="139" w:type="pct"/>
            <w:tcBorders>
              <w:left w:val="nil"/>
              <w:bottom w:val="nil"/>
              <w:right w:val="nil"/>
            </w:tcBorders>
          </w:tcPr>
          <w:p w:rsidR="00CF518E" w:rsidRPr="005911E2" w:rsidRDefault="00CF518E" w:rsidP="00CF518E">
            <w:pPr>
              <w:pStyle w:val="braytabletext"/>
              <w:jc w:val="right"/>
              <w:rPr>
                <w:i/>
              </w:rPr>
            </w:pPr>
          </w:p>
        </w:tc>
        <w:tc>
          <w:tcPr>
            <w:tcW w:w="655" w:type="pct"/>
            <w:tcBorders>
              <w:left w:val="nil"/>
              <w:bottom w:val="nil"/>
              <w:right w:val="nil"/>
            </w:tcBorders>
          </w:tcPr>
          <w:p w:rsidR="00CF518E" w:rsidRPr="005911E2" w:rsidRDefault="00CF518E" w:rsidP="00CF518E">
            <w:pPr>
              <w:pStyle w:val="braytabletext"/>
              <w:jc w:val="right"/>
              <w:rPr>
                <w:i/>
              </w:rPr>
            </w:pPr>
            <w:r w:rsidRPr="005911E2">
              <w:t>50.9</w:t>
            </w:r>
          </w:p>
        </w:tc>
        <w:tc>
          <w:tcPr>
            <w:tcW w:w="139" w:type="pct"/>
            <w:tcBorders>
              <w:left w:val="nil"/>
              <w:bottom w:val="nil"/>
              <w:right w:val="nil"/>
            </w:tcBorders>
          </w:tcPr>
          <w:p w:rsidR="00CF518E" w:rsidRPr="005911E2" w:rsidRDefault="00CF518E" w:rsidP="00CF518E">
            <w:pPr>
              <w:pStyle w:val="braytabletext"/>
              <w:jc w:val="right"/>
              <w:rPr>
                <w:i/>
              </w:rPr>
            </w:pPr>
          </w:p>
        </w:tc>
        <w:tc>
          <w:tcPr>
            <w:tcW w:w="526" w:type="pct"/>
            <w:tcBorders>
              <w:left w:val="nil"/>
              <w:bottom w:val="nil"/>
              <w:right w:val="nil"/>
            </w:tcBorders>
          </w:tcPr>
          <w:p w:rsidR="00CF518E" w:rsidRPr="005911E2" w:rsidRDefault="00CF518E" w:rsidP="00CF518E">
            <w:pPr>
              <w:pStyle w:val="braytabletext"/>
              <w:jc w:val="right"/>
              <w:rPr>
                <w:i/>
              </w:rPr>
            </w:pPr>
            <w:r w:rsidRPr="005911E2">
              <w:t>3.8</w:t>
            </w:r>
          </w:p>
        </w:tc>
        <w:tc>
          <w:tcPr>
            <w:tcW w:w="442" w:type="pct"/>
            <w:tcBorders>
              <w:left w:val="nil"/>
              <w:bottom w:val="nil"/>
              <w:right w:val="nil"/>
            </w:tcBorders>
          </w:tcPr>
          <w:p w:rsidR="00CF518E" w:rsidRPr="005911E2" w:rsidRDefault="00CF518E" w:rsidP="00CF518E">
            <w:pPr>
              <w:pStyle w:val="braytabletext"/>
              <w:jc w:val="right"/>
              <w:rPr>
                <w:i/>
              </w:rPr>
            </w:pPr>
            <w:r w:rsidRPr="005911E2">
              <w:t>18.4</w:t>
            </w:r>
          </w:p>
        </w:tc>
      </w:tr>
      <w:tr w:rsidR="00CF518E" w:rsidRPr="005911E2" w:rsidTr="00B460A2">
        <w:trPr>
          <w:trHeight w:val="290"/>
          <w:jc w:val="right"/>
        </w:trPr>
        <w:tc>
          <w:tcPr>
            <w:tcW w:w="1051" w:type="pct"/>
            <w:gridSpan w:val="2"/>
            <w:tcBorders>
              <w:left w:val="nil"/>
              <w:right w:val="nil"/>
            </w:tcBorders>
          </w:tcPr>
          <w:p w:rsidR="00CF518E" w:rsidRPr="005911E2" w:rsidRDefault="00CF518E" w:rsidP="00F104E9">
            <w:pPr>
              <w:pStyle w:val="braytabletext"/>
              <w:rPr>
                <w:i/>
              </w:rPr>
            </w:pPr>
            <w:r w:rsidRPr="005911E2">
              <w:t>Hardly ever</w:t>
            </w:r>
          </w:p>
        </w:tc>
        <w:tc>
          <w:tcPr>
            <w:tcW w:w="522" w:type="pct"/>
            <w:tcBorders>
              <w:left w:val="nil"/>
              <w:right w:val="nil"/>
            </w:tcBorders>
          </w:tcPr>
          <w:p w:rsidR="00CF518E" w:rsidRPr="005911E2" w:rsidRDefault="00CF518E" w:rsidP="00CF518E">
            <w:pPr>
              <w:pStyle w:val="braytabletext"/>
              <w:jc w:val="right"/>
              <w:rPr>
                <w:i/>
              </w:rPr>
            </w:pPr>
            <w:r w:rsidRPr="005911E2">
              <w:t>5.8</w:t>
            </w:r>
          </w:p>
        </w:tc>
        <w:tc>
          <w:tcPr>
            <w:tcW w:w="474" w:type="pct"/>
            <w:tcBorders>
              <w:left w:val="nil"/>
              <w:bottom w:val="nil"/>
              <w:right w:val="nil"/>
            </w:tcBorders>
          </w:tcPr>
          <w:p w:rsidR="00CF518E" w:rsidRPr="005911E2" w:rsidRDefault="00CF518E" w:rsidP="00CF518E">
            <w:pPr>
              <w:pStyle w:val="braytabletext"/>
              <w:jc w:val="right"/>
              <w:rPr>
                <w:i/>
              </w:rPr>
            </w:pPr>
            <w:r w:rsidRPr="005911E2">
              <w:t>10.8</w:t>
            </w:r>
          </w:p>
        </w:tc>
        <w:tc>
          <w:tcPr>
            <w:tcW w:w="145" w:type="pct"/>
            <w:gridSpan w:val="2"/>
            <w:tcBorders>
              <w:left w:val="nil"/>
              <w:right w:val="nil"/>
            </w:tcBorders>
          </w:tcPr>
          <w:p w:rsidR="00CF518E" w:rsidRPr="005911E2" w:rsidRDefault="00CF518E" w:rsidP="00CF518E">
            <w:pPr>
              <w:pStyle w:val="braytabletext"/>
              <w:jc w:val="right"/>
            </w:pPr>
          </w:p>
        </w:tc>
        <w:tc>
          <w:tcPr>
            <w:tcW w:w="433" w:type="pct"/>
            <w:tcBorders>
              <w:left w:val="nil"/>
              <w:right w:val="nil"/>
            </w:tcBorders>
          </w:tcPr>
          <w:p w:rsidR="00CF518E" w:rsidRPr="005911E2" w:rsidRDefault="00CF518E" w:rsidP="00CF518E">
            <w:pPr>
              <w:pStyle w:val="braytabletext"/>
              <w:jc w:val="right"/>
            </w:pPr>
            <w:r w:rsidRPr="005911E2">
              <w:t>9.2</w:t>
            </w:r>
          </w:p>
        </w:tc>
        <w:tc>
          <w:tcPr>
            <w:tcW w:w="474" w:type="pct"/>
            <w:tcBorders>
              <w:left w:val="nil"/>
              <w:bottom w:val="nil"/>
              <w:right w:val="nil"/>
            </w:tcBorders>
          </w:tcPr>
          <w:p w:rsidR="00CF518E" w:rsidRPr="005911E2" w:rsidRDefault="00CF518E" w:rsidP="00CF518E">
            <w:pPr>
              <w:pStyle w:val="braytabletext"/>
              <w:jc w:val="right"/>
              <w:rPr>
                <w:i/>
              </w:rPr>
            </w:pPr>
            <w:r w:rsidRPr="005911E2">
              <w:t>9.4</w:t>
            </w:r>
          </w:p>
        </w:tc>
        <w:tc>
          <w:tcPr>
            <w:tcW w:w="139" w:type="pct"/>
            <w:tcBorders>
              <w:left w:val="nil"/>
              <w:bottom w:val="nil"/>
              <w:right w:val="nil"/>
            </w:tcBorders>
          </w:tcPr>
          <w:p w:rsidR="00CF518E" w:rsidRPr="005911E2" w:rsidRDefault="00CF518E" w:rsidP="00CF518E">
            <w:pPr>
              <w:pStyle w:val="braytabletext"/>
              <w:jc w:val="right"/>
              <w:rPr>
                <w:i/>
              </w:rPr>
            </w:pPr>
          </w:p>
        </w:tc>
        <w:tc>
          <w:tcPr>
            <w:tcW w:w="655" w:type="pct"/>
            <w:tcBorders>
              <w:left w:val="nil"/>
              <w:bottom w:val="nil"/>
              <w:right w:val="nil"/>
            </w:tcBorders>
          </w:tcPr>
          <w:p w:rsidR="00CF518E" w:rsidRPr="005911E2" w:rsidRDefault="00CF518E" w:rsidP="00CF518E">
            <w:pPr>
              <w:pStyle w:val="braytabletext"/>
              <w:jc w:val="right"/>
              <w:rPr>
                <w:i/>
              </w:rPr>
            </w:pPr>
            <w:r w:rsidRPr="005911E2">
              <w:t>9.2</w:t>
            </w:r>
          </w:p>
        </w:tc>
        <w:tc>
          <w:tcPr>
            <w:tcW w:w="139" w:type="pct"/>
            <w:tcBorders>
              <w:left w:val="nil"/>
              <w:bottom w:val="nil"/>
              <w:right w:val="nil"/>
            </w:tcBorders>
          </w:tcPr>
          <w:p w:rsidR="00CF518E" w:rsidRPr="005911E2" w:rsidRDefault="00CF518E" w:rsidP="00CF518E">
            <w:pPr>
              <w:pStyle w:val="braytabletext"/>
              <w:jc w:val="right"/>
              <w:rPr>
                <w:i/>
              </w:rPr>
            </w:pPr>
          </w:p>
        </w:tc>
        <w:tc>
          <w:tcPr>
            <w:tcW w:w="526" w:type="pct"/>
            <w:tcBorders>
              <w:left w:val="nil"/>
              <w:bottom w:val="nil"/>
              <w:right w:val="nil"/>
            </w:tcBorders>
          </w:tcPr>
          <w:p w:rsidR="00CF518E" w:rsidRPr="005911E2" w:rsidRDefault="00CF518E" w:rsidP="00CF518E">
            <w:pPr>
              <w:pStyle w:val="braytabletext"/>
              <w:jc w:val="right"/>
              <w:rPr>
                <w:i/>
              </w:rPr>
            </w:pPr>
            <w:r w:rsidRPr="005911E2">
              <w:t>6.0</w:t>
            </w:r>
          </w:p>
        </w:tc>
        <w:tc>
          <w:tcPr>
            <w:tcW w:w="442" w:type="pct"/>
            <w:tcBorders>
              <w:left w:val="nil"/>
              <w:bottom w:val="nil"/>
              <w:right w:val="nil"/>
            </w:tcBorders>
          </w:tcPr>
          <w:p w:rsidR="00CF518E" w:rsidRPr="005911E2" w:rsidRDefault="00CF518E" w:rsidP="00CF518E">
            <w:pPr>
              <w:pStyle w:val="braytabletext"/>
              <w:jc w:val="right"/>
              <w:rPr>
                <w:i/>
              </w:rPr>
            </w:pPr>
            <w:r w:rsidRPr="005911E2">
              <w:t>7.8</w:t>
            </w:r>
          </w:p>
        </w:tc>
      </w:tr>
      <w:tr w:rsidR="00CF518E" w:rsidRPr="005911E2" w:rsidTr="00B460A2">
        <w:trPr>
          <w:trHeight w:val="290"/>
          <w:jc w:val="right"/>
        </w:trPr>
        <w:tc>
          <w:tcPr>
            <w:tcW w:w="1051" w:type="pct"/>
            <w:gridSpan w:val="2"/>
            <w:tcBorders>
              <w:left w:val="nil"/>
              <w:right w:val="nil"/>
            </w:tcBorders>
          </w:tcPr>
          <w:p w:rsidR="00CF518E" w:rsidRPr="005911E2" w:rsidRDefault="00CF518E" w:rsidP="00F104E9">
            <w:pPr>
              <w:pStyle w:val="braytabletext"/>
              <w:rPr>
                <w:i/>
              </w:rPr>
            </w:pPr>
            <w:r w:rsidRPr="005911E2">
              <w:t>Sometimes</w:t>
            </w:r>
          </w:p>
        </w:tc>
        <w:tc>
          <w:tcPr>
            <w:tcW w:w="522" w:type="pct"/>
            <w:tcBorders>
              <w:left w:val="nil"/>
              <w:right w:val="nil"/>
            </w:tcBorders>
          </w:tcPr>
          <w:p w:rsidR="00CF518E" w:rsidRPr="005911E2" w:rsidRDefault="00CF518E" w:rsidP="00CF518E">
            <w:pPr>
              <w:pStyle w:val="braytabletext"/>
              <w:jc w:val="right"/>
              <w:rPr>
                <w:i/>
              </w:rPr>
            </w:pPr>
            <w:r w:rsidRPr="005911E2">
              <w:t>32.7</w:t>
            </w:r>
          </w:p>
        </w:tc>
        <w:tc>
          <w:tcPr>
            <w:tcW w:w="474" w:type="pct"/>
            <w:tcBorders>
              <w:left w:val="nil"/>
              <w:bottom w:val="nil"/>
              <w:right w:val="nil"/>
            </w:tcBorders>
          </w:tcPr>
          <w:p w:rsidR="00CF518E" w:rsidRPr="005911E2" w:rsidRDefault="00CF518E" w:rsidP="00CF518E">
            <w:pPr>
              <w:pStyle w:val="braytabletext"/>
              <w:jc w:val="right"/>
              <w:rPr>
                <w:i/>
              </w:rPr>
            </w:pPr>
            <w:r w:rsidRPr="005911E2">
              <w:t>17.8</w:t>
            </w:r>
          </w:p>
        </w:tc>
        <w:tc>
          <w:tcPr>
            <w:tcW w:w="145" w:type="pct"/>
            <w:gridSpan w:val="2"/>
            <w:tcBorders>
              <w:left w:val="nil"/>
              <w:right w:val="nil"/>
            </w:tcBorders>
          </w:tcPr>
          <w:p w:rsidR="00CF518E" w:rsidRPr="005911E2" w:rsidRDefault="00CF518E" w:rsidP="00CF518E">
            <w:pPr>
              <w:pStyle w:val="braytabletext"/>
              <w:jc w:val="right"/>
            </w:pPr>
          </w:p>
        </w:tc>
        <w:tc>
          <w:tcPr>
            <w:tcW w:w="433" w:type="pct"/>
            <w:tcBorders>
              <w:left w:val="nil"/>
              <w:right w:val="nil"/>
            </w:tcBorders>
          </w:tcPr>
          <w:p w:rsidR="00CF518E" w:rsidRPr="005911E2" w:rsidRDefault="00CF518E" w:rsidP="00CF518E">
            <w:pPr>
              <w:pStyle w:val="braytabletext"/>
              <w:jc w:val="right"/>
            </w:pPr>
            <w:r w:rsidRPr="005911E2">
              <w:t>26.1</w:t>
            </w:r>
          </w:p>
        </w:tc>
        <w:tc>
          <w:tcPr>
            <w:tcW w:w="474" w:type="pct"/>
            <w:tcBorders>
              <w:left w:val="nil"/>
              <w:bottom w:val="nil"/>
              <w:right w:val="nil"/>
            </w:tcBorders>
          </w:tcPr>
          <w:p w:rsidR="00CF518E" w:rsidRPr="005911E2" w:rsidRDefault="00CF518E" w:rsidP="00CF518E">
            <w:pPr>
              <w:pStyle w:val="braytabletext"/>
              <w:jc w:val="right"/>
              <w:rPr>
                <w:i/>
              </w:rPr>
            </w:pPr>
            <w:r w:rsidRPr="005911E2">
              <w:t>21.9</w:t>
            </w:r>
          </w:p>
        </w:tc>
        <w:tc>
          <w:tcPr>
            <w:tcW w:w="139" w:type="pct"/>
            <w:tcBorders>
              <w:left w:val="nil"/>
              <w:bottom w:val="nil"/>
              <w:right w:val="nil"/>
            </w:tcBorders>
          </w:tcPr>
          <w:p w:rsidR="00CF518E" w:rsidRPr="005911E2" w:rsidRDefault="00CF518E" w:rsidP="00CF518E">
            <w:pPr>
              <w:pStyle w:val="braytabletext"/>
              <w:jc w:val="right"/>
              <w:rPr>
                <w:i/>
              </w:rPr>
            </w:pPr>
          </w:p>
        </w:tc>
        <w:tc>
          <w:tcPr>
            <w:tcW w:w="655" w:type="pct"/>
            <w:tcBorders>
              <w:left w:val="nil"/>
              <w:bottom w:val="nil"/>
              <w:right w:val="nil"/>
            </w:tcBorders>
          </w:tcPr>
          <w:p w:rsidR="00CF518E" w:rsidRPr="005911E2" w:rsidRDefault="00CF518E" w:rsidP="00CF518E">
            <w:pPr>
              <w:pStyle w:val="braytabletext"/>
              <w:jc w:val="right"/>
              <w:rPr>
                <w:i/>
              </w:rPr>
            </w:pPr>
            <w:r w:rsidRPr="005911E2">
              <w:t>12.1</w:t>
            </w:r>
          </w:p>
        </w:tc>
        <w:tc>
          <w:tcPr>
            <w:tcW w:w="139" w:type="pct"/>
            <w:tcBorders>
              <w:left w:val="nil"/>
              <w:bottom w:val="nil"/>
              <w:right w:val="nil"/>
            </w:tcBorders>
          </w:tcPr>
          <w:p w:rsidR="00CF518E" w:rsidRPr="005911E2" w:rsidRDefault="00CF518E" w:rsidP="00CF518E">
            <w:pPr>
              <w:pStyle w:val="braytabletext"/>
              <w:jc w:val="right"/>
              <w:rPr>
                <w:i/>
              </w:rPr>
            </w:pPr>
          </w:p>
        </w:tc>
        <w:tc>
          <w:tcPr>
            <w:tcW w:w="526" w:type="pct"/>
            <w:tcBorders>
              <w:left w:val="nil"/>
              <w:bottom w:val="nil"/>
              <w:right w:val="nil"/>
            </w:tcBorders>
          </w:tcPr>
          <w:p w:rsidR="00CF518E" w:rsidRPr="005911E2" w:rsidRDefault="00CF518E" w:rsidP="00CF518E">
            <w:pPr>
              <w:pStyle w:val="braytabletext"/>
              <w:jc w:val="right"/>
              <w:rPr>
                <w:i/>
              </w:rPr>
            </w:pPr>
            <w:r w:rsidRPr="005911E2">
              <w:t>24.7</w:t>
            </w:r>
          </w:p>
        </w:tc>
        <w:tc>
          <w:tcPr>
            <w:tcW w:w="442" w:type="pct"/>
            <w:tcBorders>
              <w:left w:val="nil"/>
              <w:bottom w:val="nil"/>
              <w:right w:val="nil"/>
            </w:tcBorders>
          </w:tcPr>
          <w:p w:rsidR="00CF518E" w:rsidRPr="005911E2" w:rsidRDefault="00CF518E" w:rsidP="00CF518E">
            <w:pPr>
              <w:pStyle w:val="braytabletext"/>
              <w:jc w:val="right"/>
              <w:rPr>
                <w:i/>
              </w:rPr>
            </w:pPr>
            <w:r w:rsidRPr="005911E2">
              <w:t>29.1</w:t>
            </w:r>
          </w:p>
        </w:tc>
      </w:tr>
      <w:tr w:rsidR="00CF518E" w:rsidRPr="005911E2" w:rsidTr="00B460A2">
        <w:trPr>
          <w:trHeight w:val="290"/>
          <w:jc w:val="right"/>
        </w:trPr>
        <w:tc>
          <w:tcPr>
            <w:tcW w:w="1051" w:type="pct"/>
            <w:gridSpan w:val="2"/>
            <w:tcBorders>
              <w:left w:val="nil"/>
              <w:right w:val="nil"/>
            </w:tcBorders>
          </w:tcPr>
          <w:p w:rsidR="00CF518E" w:rsidRPr="005911E2" w:rsidRDefault="00CF518E" w:rsidP="00F104E9">
            <w:pPr>
              <w:pStyle w:val="braytabletext"/>
              <w:rPr>
                <w:i/>
              </w:rPr>
            </w:pPr>
            <w:r w:rsidRPr="005911E2">
              <w:t>Most of the time</w:t>
            </w:r>
          </w:p>
        </w:tc>
        <w:tc>
          <w:tcPr>
            <w:tcW w:w="522" w:type="pct"/>
            <w:tcBorders>
              <w:left w:val="nil"/>
              <w:right w:val="nil"/>
            </w:tcBorders>
          </w:tcPr>
          <w:p w:rsidR="00CF518E" w:rsidRPr="005911E2" w:rsidRDefault="00CF518E" w:rsidP="00CF518E">
            <w:pPr>
              <w:pStyle w:val="braytabletext"/>
              <w:jc w:val="right"/>
              <w:rPr>
                <w:i/>
              </w:rPr>
            </w:pPr>
            <w:r w:rsidRPr="005911E2">
              <w:t>19.7</w:t>
            </w:r>
          </w:p>
        </w:tc>
        <w:tc>
          <w:tcPr>
            <w:tcW w:w="474" w:type="pct"/>
            <w:tcBorders>
              <w:left w:val="nil"/>
              <w:right w:val="nil"/>
            </w:tcBorders>
          </w:tcPr>
          <w:p w:rsidR="00CF518E" w:rsidRPr="005911E2" w:rsidRDefault="00CF518E" w:rsidP="00CF518E">
            <w:pPr>
              <w:pStyle w:val="braytabletext"/>
              <w:jc w:val="right"/>
              <w:rPr>
                <w:i/>
              </w:rPr>
            </w:pPr>
            <w:r w:rsidRPr="005911E2">
              <w:t>14.6</w:t>
            </w:r>
          </w:p>
        </w:tc>
        <w:tc>
          <w:tcPr>
            <w:tcW w:w="145" w:type="pct"/>
            <w:gridSpan w:val="2"/>
            <w:tcBorders>
              <w:left w:val="nil"/>
              <w:right w:val="nil"/>
            </w:tcBorders>
          </w:tcPr>
          <w:p w:rsidR="00CF518E" w:rsidRPr="005911E2" w:rsidRDefault="00CF518E" w:rsidP="00CF518E">
            <w:pPr>
              <w:pStyle w:val="braytabletext"/>
              <w:jc w:val="right"/>
            </w:pPr>
          </w:p>
        </w:tc>
        <w:tc>
          <w:tcPr>
            <w:tcW w:w="433" w:type="pct"/>
            <w:tcBorders>
              <w:left w:val="nil"/>
              <w:right w:val="nil"/>
            </w:tcBorders>
          </w:tcPr>
          <w:p w:rsidR="00CF518E" w:rsidRPr="005911E2" w:rsidRDefault="00CF518E" w:rsidP="00CF518E">
            <w:pPr>
              <w:pStyle w:val="braytabletext"/>
              <w:jc w:val="right"/>
            </w:pPr>
            <w:r w:rsidRPr="005911E2">
              <w:t>21.0</w:t>
            </w:r>
          </w:p>
        </w:tc>
        <w:tc>
          <w:tcPr>
            <w:tcW w:w="474" w:type="pct"/>
            <w:tcBorders>
              <w:left w:val="nil"/>
              <w:right w:val="nil"/>
            </w:tcBorders>
          </w:tcPr>
          <w:p w:rsidR="00CF518E" w:rsidRPr="005911E2" w:rsidRDefault="00CF518E" w:rsidP="00CF518E">
            <w:pPr>
              <w:pStyle w:val="braytabletext"/>
              <w:jc w:val="right"/>
              <w:rPr>
                <w:i/>
              </w:rPr>
            </w:pPr>
            <w:r w:rsidRPr="005911E2">
              <w:t>34.4</w:t>
            </w:r>
          </w:p>
        </w:tc>
        <w:tc>
          <w:tcPr>
            <w:tcW w:w="139" w:type="pct"/>
            <w:tcBorders>
              <w:left w:val="nil"/>
              <w:right w:val="nil"/>
            </w:tcBorders>
          </w:tcPr>
          <w:p w:rsidR="00CF518E" w:rsidRPr="005911E2" w:rsidRDefault="00CF518E" w:rsidP="00CF518E">
            <w:pPr>
              <w:pStyle w:val="braytabletext"/>
              <w:jc w:val="right"/>
              <w:rPr>
                <w:i/>
              </w:rPr>
            </w:pPr>
          </w:p>
        </w:tc>
        <w:tc>
          <w:tcPr>
            <w:tcW w:w="655" w:type="pct"/>
            <w:tcBorders>
              <w:left w:val="nil"/>
              <w:right w:val="nil"/>
            </w:tcBorders>
          </w:tcPr>
          <w:p w:rsidR="00CF518E" w:rsidRPr="005911E2" w:rsidRDefault="00CF518E" w:rsidP="00CF518E">
            <w:pPr>
              <w:pStyle w:val="braytabletext"/>
              <w:jc w:val="right"/>
              <w:rPr>
                <w:i/>
              </w:rPr>
            </w:pPr>
            <w:r w:rsidRPr="005911E2">
              <w:t>9.8</w:t>
            </w:r>
          </w:p>
        </w:tc>
        <w:tc>
          <w:tcPr>
            <w:tcW w:w="139" w:type="pct"/>
            <w:tcBorders>
              <w:left w:val="nil"/>
              <w:right w:val="nil"/>
            </w:tcBorders>
          </w:tcPr>
          <w:p w:rsidR="00CF518E" w:rsidRPr="005911E2" w:rsidRDefault="00CF518E" w:rsidP="00CF518E">
            <w:pPr>
              <w:pStyle w:val="braytabletext"/>
              <w:jc w:val="right"/>
              <w:rPr>
                <w:i/>
              </w:rPr>
            </w:pPr>
          </w:p>
        </w:tc>
        <w:tc>
          <w:tcPr>
            <w:tcW w:w="526" w:type="pct"/>
            <w:tcBorders>
              <w:left w:val="nil"/>
              <w:right w:val="nil"/>
            </w:tcBorders>
          </w:tcPr>
          <w:p w:rsidR="00CF518E" w:rsidRPr="005911E2" w:rsidRDefault="00CF518E" w:rsidP="00CF518E">
            <w:pPr>
              <w:pStyle w:val="braytabletext"/>
              <w:jc w:val="right"/>
              <w:rPr>
                <w:i/>
              </w:rPr>
            </w:pPr>
            <w:r w:rsidRPr="005911E2">
              <w:t>26.9</w:t>
            </w:r>
          </w:p>
        </w:tc>
        <w:tc>
          <w:tcPr>
            <w:tcW w:w="442" w:type="pct"/>
            <w:tcBorders>
              <w:left w:val="nil"/>
              <w:right w:val="nil"/>
            </w:tcBorders>
          </w:tcPr>
          <w:p w:rsidR="00CF518E" w:rsidRPr="005911E2" w:rsidRDefault="00CF518E" w:rsidP="00CF518E">
            <w:pPr>
              <w:pStyle w:val="braytabletext"/>
              <w:jc w:val="right"/>
              <w:rPr>
                <w:i/>
              </w:rPr>
            </w:pPr>
            <w:r w:rsidRPr="005911E2">
              <w:t>30.1</w:t>
            </w:r>
          </w:p>
        </w:tc>
      </w:tr>
      <w:tr w:rsidR="00CF518E" w:rsidRPr="005911E2" w:rsidTr="00B460A2">
        <w:trPr>
          <w:trHeight w:val="290"/>
          <w:jc w:val="right"/>
        </w:trPr>
        <w:tc>
          <w:tcPr>
            <w:tcW w:w="1051" w:type="pct"/>
            <w:gridSpan w:val="2"/>
            <w:tcBorders>
              <w:left w:val="nil"/>
              <w:bottom w:val="single" w:sz="4" w:space="0" w:color="auto"/>
              <w:right w:val="nil"/>
            </w:tcBorders>
          </w:tcPr>
          <w:p w:rsidR="00CF518E" w:rsidRPr="005911E2" w:rsidRDefault="00CF518E" w:rsidP="00F104E9">
            <w:pPr>
              <w:pStyle w:val="braytabletext"/>
              <w:rPr>
                <w:i/>
              </w:rPr>
            </w:pPr>
            <w:r w:rsidRPr="005911E2">
              <w:t>All the time</w:t>
            </w:r>
          </w:p>
        </w:tc>
        <w:tc>
          <w:tcPr>
            <w:tcW w:w="522" w:type="pct"/>
            <w:tcBorders>
              <w:left w:val="nil"/>
              <w:bottom w:val="single" w:sz="4" w:space="0" w:color="auto"/>
              <w:right w:val="nil"/>
            </w:tcBorders>
          </w:tcPr>
          <w:p w:rsidR="00CF518E" w:rsidRPr="005911E2" w:rsidRDefault="00CF518E" w:rsidP="00CF518E">
            <w:pPr>
              <w:pStyle w:val="braytabletext"/>
              <w:jc w:val="right"/>
              <w:rPr>
                <w:i/>
              </w:rPr>
            </w:pPr>
            <w:r w:rsidRPr="005911E2">
              <w:t>35.4</w:t>
            </w:r>
          </w:p>
        </w:tc>
        <w:tc>
          <w:tcPr>
            <w:tcW w:w="474" w:type="pct"/>
            <w:tcBorders>
              <w:left w:val="nil"/>
              <w:bottom w:val="single" w:sz="4" w:space="0" w:color="auto"/>
              <w:right w:val="nil"/>
            </w:tcBorders>
          </w:tcPr>
          <w:p w:rsidR="00CF518E" w:rsidRPr="005911E2" w:rsidRDefault="00CF518E" w:rsidP="00CF518E">
            <w:pPr>
              <w:pStyle w:val="braytabletext"/>
              <w:jc w:val="right"/>
              <w:rPr>
                <w:i/>
              </w:rPr>
            </w:pPr>
            <w:r w:rsidRPr="005911E2">
              <w:t>26.1</w:t>
            </w:r>
          </w:p>
        </w:tc>
        <w:tc>
          <w:tcPr>
            <w:tcW w:w="145" w:type="pct"/>
            <w:gridSpan w:val="2"/>
            <w:tcBorders>
              <w:left w:val="nil"/>
              <w:bottom w:val="single" w:sz="4" w:space="0" w:color="auto"/>
              <w:right w:val="nil"/>
            </w:tcBorders>
          </w:tcPr>
          <w:p w:rsidR="00CF518E" w:rsidRPr="005911E2" w:rsidRDefault="00CF518E" w:rsidP="00CF518E">
            <w:pPr>
              <w:pStyle w:val="braytabletext"/>
              <w:jc w:val="right"/>
            </w:pPr>
          </w:p>
        </w:tc>
        <w:tc>
          <w:tcPr>
            <w:tcW w:w="433" w:type="pct"/>
            <w:tcBorders>
              <w:left w:val="nil"/>
              <w:bottom w:val="single" w:sz="4" w:space="0" w:color="auto"/>
              <w:right w:val="nil"/>
            </w:tcBorders>
          </w:tcPr>
          <w:p w:rsidR="00CF518E" w:rsidRPr="005911E2" w:rsidRDefault="00CF518E" w:rsidP="00CF518E">
            <w:pPr>
              <w:pStyle w:val="braytabletext"/>
              <w:jc w:val="right"/>
            </w:pPr>
            <w:r w:rsidRPr="005911E2">
              <w:t>37.8</w:t>
            </w:r>
          </w:p>
        </w:tc>
        <w:tc>
          <w:tcPr>
            <w:tcW w:w="474" w:type="pct"/>
            <w:tcBorders>
              <w:left w:val="nil"/>
              <w:bottom w:val="single" w:sz="4" w:space="0" w:color="auto"/>
              <w:right w:val="nil"/>
            </w:tcBorders>
          </w:tcPr>
          <w:p w:rsidR="00CF518E" w:rsidRPr="005911E2" w:rsidRDefault="00CF518E" w:rsidP="00CF518E">
            <w:pPr>
              <w:pStyle w:val="braytabletext"/>
              <w:jc w:val="right"/>
              <w:rPr>
                <w:i/>
              </w:rPr>
            </w:pPr>
            <w:r w:rsidRPr="005911E2">
              <w:t>28.1</w:t>
            </w:r>
          </w:p>
        </w:tc>
        <w:tc>
          <w:tcPr>
            <w:tcW w:w="139" w:type="pct"/>
            <w:tcBorders>
              <w:left w:val="nil"/>
              <w:bottom w:val="single" w:sz="4" w:space="0" w:color="auto"/>
              <w:right w:val="nil"/>
            </w:tcBorders>
          </w:tcPr>
          <w:p w:rsidR="00CF518E" w:rsidRPr="005911E2" w:rsidRDefault="00CF518E" w:rsidP="00CF518E">
            <w:pPr>
              <w:pStyle w:val="braytabletext"/>
              <w:jc w:val="right"/>
              <w:rPr>
                <w:i/>
              </w:rPr>
            </w:pPr>
          </w:p>
        </w:tc>
        <w:tc>
          <w:tcPr>
            <w:tcW w:w="655" w:type="pct"/>
            <w:tcBorders>
              <w:left w:val="nil"/>
              <w:bottom w:val="single" w:sz="4" w:space="0" w:color="auto"/>
              <w:right w:val="nil"/>
            </w:tcBorders>
          </w:tcPr>
          <w:p w:rsidR="00CF518E" w:rsidRPr="005911E2" w:rsidRDefault="00CF518E" w:rsidP="00CF518E">
            <w:pPr>
              <w:pStyle w:val="braytabletext"/>
              <w:jc w:val="right"/>
              <w:rPr>
                <w:i/>
              </w:rPr>
            </w:pPr>
            <w:r w:rsidRPr="005911E2">
              <w:t>17.9</w:t>
            </w:r>
          </w:p>
        </w:tc>
        <w:tc>
          <w:tcPr>
            <w:tcW w:w="139" w:type="pct"/>
            <w:tcBorders>
              <w:left w:val="nil"/>
              <w:bottom w:val="single" w:sz="4" w:space="0" w:color="auto"/>
              <w:right w:val="nil"/>
            </w:tcBorders>
          </w:tcPr>
          <w:p w:rsidR="00CF518E" w:rsidRPr="005911E2" w:rsidRDefault="00CF518E" w:rsidP="00CF518E">
            <w:pPr>
              <w:pStyle w:val="braytabletext"/>
              <w:jc w:val="right"/>
              <w:rPr>
                <w:i/>
              </w:rPr>
            </w:pPr>
          </w:p>
        </w:tc>
        <w:tc>
          <w:tcPr>
            <w:tcW w:w="526" w:type="pct"/>
            <w:tcBorders>
              <w:left w:val="nil"/>
              <w:bottom w:val="single" w:sz="4" w:space="0" w:color="auto"/>
              <w:right w:val="nil"/>
            </w:tcBorders>
          </w:tcPr>
          <w:p w:rsidR="00CF518E" w:rsidRPr="005911E2" w:rsidRDefault="00CF518E" w:rsidP="00CF518E">
            <w:pPr>
              <w:pStyle w:val="braytabletext"/>
              <w:jc w:val="right"/>
              <w:rPr>
                <w:i/>
              </w:rPr>
            </w:pPr>
            <w:r w:rsidRPr="005911E2">
              <w:t>38.5</w:t>
            </w:r>
          </w:p>
        </w:tc>
        <w:tc>
          <w:tcPr>
            <w:tcW w:w="442" w:type="pct"/>
            <w:tcBorders>
              <w:left w:val="nil"/>
              <w:bottom w:val="single" w:sz="4" w:space="0" w:color="auto"/>
              <w:right w:val="nil"/>
            </w:tcBorders>
          </w:tcPr>
          <w:p w:rsidR="00CF518E" w:rsidRPr="005911E2" w:rsidRDefault="00CF518E" w:rsidP="00CF518E">
            <w:pPr>
              <w:pStyle w:val="braytabletext"/>
              <w:jc w:val="right"/>
              <w:rPr>
                <w:i/>
              </w:rPr>
            </w:pPr>
            <w:r w:rsidRPr="005911E2">
              <w:t>14.6</w:t>
            </w:r>
          </w:p>
        </w:tc>
      </w:tr>
      <w:tr w:rsidR="00897C1E" w:rsidRPr="005911E2" w:rsidTr="00B460A2">
        <w:trPr>
          <w:trHeight w:val="290"/>
          <w:jc w:val="right"/>
        </w:trPr>
        <w:tc>
          <w:tcPr>
            <w:tcW w:w="1573" w:type="pct"/>
            <w:gridSpan w:val="3"/>
            <w:tcBorders>
              <w:top w:val="single" w:sz="4" w:space="0" w:color="auto"/>
              <w:left w:val="nil"/>
              <w:bottom w:val="nil"/>
              <w:right w:val="nil"/>
            </w:tcBorders>
          </w:tcPr>
          <w:p w:rsidR="00897C1E" w:rsidRPr="005911E2" w:rsidRDefault="00897C1E" w:rsidP="00593501">
            <w:pPr>
              <w:pStyle w:val="braytabletext"/>
              <w:rPr>
                <w:i/>
              </w:rPr>
            </w:pPr>
            <w:r w:rsidRPr="005911E2">
              <w:rPr>
                <w:i/>
              </w:rPr>
              <w:t>Not worried about money</w:t>
            </w:r>
          </w:p>
        </w:tc>
        <w:tc>
          <w:tcPr>
            <w:tcW w:w="474" w:type="pct"/>
            <w:tcBorders>
              <w:top w:val="single" w:sz="4" w:space="0" w:color="auto"/>
              <w:left w:val="nil"/>
              <w:bottom w:val="nil"/>
              <w:right w:val="nil"/>
            </w:tcBorders>
          </w:tcPr>
          <w:p w:rsidR="00897C1E" w:rsidRPr="005911E2" w:rsidRDefault="00897C1E" w:rsidP="00CF518E">
            <w:pPr>
              <w:pStyle w:val="braytabletext"/>
              <w:jc w:val="right"/>
              <w:rPr>
                <w:i/>
              </w:rPr>
            </w:pPr>
          </w:p>
        </w:tc>
        <w:tc>
          <w:tcPr>
            <w:tcW w:w="578" w:type="pct"/>
            <w:gridSpan w:val="3"/>
            <w:tcBorders>
              <w:top w:val="single" w:sz="4" w:space="0" w:color="auto"/>
              <w:left w:val="nil"/>
              <w:bottom w:val="nil"/>
              <w:right w:val="nil"/>
            </w:tcBorders>
          </w:tcPr>
          <w:p w:rsidR="00897C1E" w:rsidRPr="005911E2" w:rsidRDefault="00897C1E" w:rsidP="00CF518E">
            <w:pPr>
              <w:pStyle w:val="braytabletext"/>
              <w:jc w:val="right"/>
            </w:pPr>
            <w:r w:rsidRPr="005911E2">
              <w:t>- % -</w:t>
            </w:r>
          </w:p>
        </w:tc>
        <w:tc>
          <w:tcPr>
            <w:tcW w:w="474" w:type="pct"/>
            <w:tcBorders>
              <w:top w:val="single" w:sz="4" w:space="0" w:color="auto"/>
              <w:left w:val="nil"/>
              <w:bottom w:val="nil"/>
              <w:right w:val="nil"/>
            </w:tcBorders>
          </w:tcPr>
          <w:p w:rsidR="00897C1E" w:rsidRPr="005911E2" w:rsidRDefault="00897C1E" w:rsidP="00CF518E">
            <w:pPr>
              <w:pStyle w:val="braytabletext"/>
              <w:jc w:val="right"/>
              <w:rPr>
                <w:i/>
              </w:rPr>
            </w:pPr>
          </w:p>
        </w:tc>
        <w:tc>
          <w:tcPr>
            <w:tcW w:w="139" w:type="pct"/>
            <w:tcBorders>
              <w:top w:val="single" w:sz="4" w:space="0" w:color="auto"/>
              <w:left w:val="nil"/>
              <w:bottom w:val="nil"/>
              <w:right w:val="nil"/>
            </w:tcBorders>
          </w:tcPr>
          <w:p w:rsidR="00897C1E" w:rsidRPr="005911E2" w:rsidRDefault="00897C1E" w:rsidP="00CF518E">
            <w:pPr>
              <w:pStyle w:val="braytabletext"/>
              <w:jc w:val="right"/>
              <w:rPr>
                <w:i/>
              </w:rPr>
            </w:pPr>
          </w:p>
        </w:tc>
        <w:tc>
          <w:tcPr>
            <w:tcW w:w="655" w:type="pct"/>
            <w:tcBorders>
              <w:top w:val="single" w:sz="4" w:space="0" w:color="auto"/>
              <w:left w:val="nil"/>
              <w:bottom w:val="nil"/>
              <w:right w:val="nil"/>
            </w:tcBorders>
          </w:tcPr>
          <w:p w:rsidR="00897C1E" w:rsidRPr="005911E2" w:rsidRDefault="00897C1E" w:rsidP="00CF518E">
            <w:pPr>
              <w:pStyle w:val="braytabletext"/>
              <w:jc w:val="right"/>
              <w:rPr>
                <w:i/>
              </w:rPr>
            </w:pPr>
          </w:p>
        </w:tc>
        <w:tc>
          <w:tcPr>
            <w:tcW w:w="139" w:type="pct"/>
            <w:tcBorders>
              <w:top w:val="single" w:sz="4" w:space="0" w:color="auto"/>
              <w:left w:val="nil"/>
              <w:bottom w:val="nil"/>
              <w:right w:val="nil"/>
            </w:tcBorders>
          </w:tcPr>
          <w:p w:rsidR="00897C1E" w:rsidRPr="005911E2" w:rsidRDefault="00897C1E" w:rsidP="00CF518E">
            <w:pPr>
              <w:pStyle w:val="braytabletext"/>
              <w:jc w:val="right"/>
              <w:rPr>
                <w:i/>
              </w:rPr>
            </w:pPr>
          </w:p>
        </w:tc>
        <w:tc>
          <w:tcPr>
            <w:tcW w:w="526" w:type="pct"/>
            <w:tcBorders>
              <w:top w:val="single" w:sz="4" w:space="0" w:color="auto"/>
              <w:left w:val="nil"/>
              <w:bottom w:val="nil"/>
              <w:right w:val="nil"/>
            </w:tcBorders>
          </w:tcPr>
          <w:p w:rsidR="00897C1E" w:rsidRPr="005911E2" w:rsidRDefault="00897C1E" w:rsidP="00CF518E">
            <w:pPr>
              <w:pStyle w:val="braytabletext"/>
              <w:jc w:val="right"/>
              <w:rPr>
                <w:i/>
              </w:rPr>
            </w:pPr>
          </w:p>
        </w:tc>
        <w:tc>
          <w:tcPr>
            <w:tcW w:w="442" w:type="pct"/>
            <w:tcBorders>
              <w:top w:val="single" w:sz="4" w:space="0" w:color="auto"/>
              <w:left w:val="nil"/>
              <w:bottom w:val="nil"/>
              <w:right w:val="nil"/>
            </w:tcBorders>
          </w:tcPr>
          <w:p w:rsidR="00897C1E" w:rsidRPr="005911E2" w:rsidRDefault="00897C1E" w:rsidP="00CF518E">
            <w:pPr>
              <w:pStyle w:val="braytabletext"/>
              <w:jc w:val="right"/>
              <w:rPr>
                <w:i/>
              </w:rPr>
            </w:pPr>
          </w:p>
        </w:tc>
      </w:tr>
      <w:tr w:rsidR="00897C1E" w:rsidRPr="005911E2" w:rsidTr="00B460A2">
        <w:trPr>
          <w:trHeight w:val="290"/>
          <w:jc w:val="right"/>
        </w:trPr>
        <w:tc>
          <w:tcPr>
            <w:tcW w:w="1016" w:type="pct"/>
            <w:tcBorders>
              <w:top w:val="nil"/>
              <w:left w:val="nil"/>
              <w:bottom w:val="nil"/>
              <w:right w:val="nil"/>
            </w:tcBorders>
          </w:tcPr>
          <w:p w:rsidR="00897C1E" w:rsidRPr="005911E2" w:rsidRDefault="00897C1E" w:rsidP="00F104E9">
            <w:pPr>
              <w:pStyle w:val="braytabletext"/>
            </w:pPr>
            <w:r w:rsidRPr="005911E2">
              <w:t>Never</w:t>
            </w:r>
          </w:p>
        </w:tc>
        <w:tc>
          <w:tcPr>
            <w:tcW w:w="557" w:type="pct"/>
            <w:gridSpan w:val="2"/>
            <w:tcBorders>
              <w:top w:val="nil"/>
              <w:left w:val="nil"/>
              <w:bottom w:val="nil"/>
              <w:right w:val="nil"/>
            </w:tcBorders>
          </w:tcPr>
          <w:p w:rsidR="00897C1E" w:rsidRPr="005911E2" w:rsidRDefault="00897C1E" w:rsidP="00CF518E">
            <w:pPr>
              <w:pStyle w:val="braytabletext"/>
              <w:jc w:val="right"/>
            </w:pPr>
            <w:r w:rsidRPr="005911E2">
              <w:t>16.7</w:t>
            </w:r>
          </w:p>
        </w:tc>
        <w:tc>
          <w:tcPr>
            <w:tcW w:w="474" w:type="pct"/>
            <w:tcBorders>
              <w:top w:val="nil"/>
              <w:left w:val="nil"/>
              <w:bottom w:val="nil"/>
              <w:right w:val="nil"/>
            </w:tcBorders>
          </w:tcPr>
          <w:p w:rsidR="00897C1E" w:rsidRPr="005911E2" w:rsidRDefault="00897C1E" w:rsidP="00CF518E">
            <w:pPr>
              <w:pStyle w:val="braytabletext"/>
              <w:jc w:val="right"/>
            </w:pPr>
            <w:r w:rsidRPr="005911E2">
              <w:t>28.7</w:t>
            </w:r>
          </w:p>
        </w:tc>
        <w:tc>
          <w:tcPr>
            <w:tcW w:w="145" w:type="pct"/>
            <w:gridSpan w:val="2"/>
            <w:tcBorders>
              <w:top w:val="nil"/>
              <w:left w:val="nil"/>
              <w:bottom w:val="nil"/>
              <w:right w:val="nil"/>
            </w:tcBorders>
          </w:tcPr>
          <w:p w:rsidR="00897C1E" w:rsidRPr="005911E2" w:rsidRDefault="00897C1E" w:rsidP="00CF518E">
            <w:pPr>
              <w:pStyle w:val="braytabletext"/>
              <w:jc w:val="right"/>
            </w:pPr>
          </w:p>
        </w:tc>
        <w:tc>
          <w:tcPr>
            <w:tcW w:w="433" w:type="pct"/>
            <w:tcBorders>
              <w:top w:val="nil"/>
              <w:left w:val="nil"/>
              <w:bottom w:val="nil"/>
              <w:right w:val="nil"/>
            </w:tcBorders>
          </w:tcPr>
          <w:p w:rsidR="00897C1E" w:rsidRPr="005911E2" w:rsidRDefault="00897C1E" w:rsidP="00CF518E">
            <w:pPr>
              <w:pStyle w:val="braytabletext"/>
              <w:jc w:val="right"/>
            </w:pPr>
            <w:r w:rsidRPr="005911E2">
              <w:t>15.4</w:t>
            </w:r>
          </w:p>
        </w:tc>
        <w:tc>
          <w:tcPr>
            <w:tcW w:w="474" w:type="pct"/>
            <w:tcBorders>
              <w:top w:val="nil"/>
              <w:left w:val="nil"/>
              <w:bottom w:val="nil"/>
              <w:right w:val="nil"/>
            </w:tcBorders>
          </w:tcPr>
          <w:p w:rsidR="00897C1E" w:rsidRPr="005911E2" w:rsidRDefault="00897C1E" w:rsidP="00CF518E">
            <w:pPr>
              <w:pStyle w:val="braytabletext"/>
              <w:jc w:val="right"/>
            </w:pPr>
            <w:r w:rsidRPr="005911E2">
              <w:t>12.5</w:t>
            </w:r>
          </w:p>
        </w:tc>
        <w:tc>
          <w:tcPr>
            <w:tcW w:w="139" w:type="pct"/>
            <w:tcBorders>
              <w:top w:val="nil"/>
              <w:left w:val="nil"/>
              <w:bottom w:val="nil"/>
              <w:right w:val="nil"/>
            </w:tcBorders>
          </w:tcPr>
          <w:p w:rsidR="00897C1E" w:rsidRPr="005911E2" w:rsidRDefault="00897C1E" w:rsidP="00CF518E">
            <w:pPr>
              <w:pStyle w:val="braytabletext"/>
              <w:jc w:val="right"/>
            </w:pPr>
          </w:p>
        </w:tc>
        <w:tc>
          <w:tcPr>
            <w:tcW w:w="655" w:type="pct"/>
            <w:tcBorders>
              <w:top w:val="nil"/>
              <w:left w:val="nil"/>
              <w:bottom w:val="nil"/>
              <w:right w:val="nil"/>
            </w:tcBorders>
          </w:tcPr>
          <w:p w:rsidR="00897C1E" w:rsidRPr="005911E2" w:rsidRDefault="00897C1E" w:rsidP="00CF518E">
            <w:pPr>
              <w:pStyle w:val="braytabletext"/>
              <w:jc w:val="right"/>
            </w:pPr>
            <w:r w:rsidRPr="005911E2">
              <w:t>32.7</w:t>
            </w:r>
          </w:p>
        </w:tc>
        <w:tc>
          <w:tcPr>
            <w:tcW w:w="139" w:type="pct"/>
            <w:tcBorders>
              <w:top w:val="nil"/>
              <w:left w:val="nil"/>
              <w:bottom w:val="nil"/>
              <w:right w:val="nil"/>
            </w:tcBorders>
          </w:tcPr>
          <w:p w:rsidR="00897C1E" w:rsidRPr="005911E2" w:rsidRDefault="00897C1E" w:rsidP="00CF518E">
            <w:pPr>
              <w:pStyle w:val="braytabletext"/>
              <w:jc w:val="right"/>
            </w:pPr>
          </w:p>
        </w:tc>
        <w:tc>
          <w:tcPr>
            <w:tcW w:w="526" w:type="pct"/>
            <w:tcBorders>
              <w:top w:val="nil"/>
              <w:left w:val="nil"/>
              <w:bottom w:val="nil"/>
              <w:right w:val="nil"/>
            </w:tcBorders>
          </w:tcPr>
          <w:p w:rsidR="00897C1E" w:rsidRPr="005911E2" w:rsidRDefault="00897C1E" w:rsidP="00CF518E">
            <w:pPr>
              <w:pStyle w:val="braytabletext"/>
              <w:jc w:val="right"/>
            </w:pPr>
            <w:r w:rsidRPr="005911E2">
              <w:t>20.5</w:t>
            </w:r>
          </w:p>
        </w:tc>
        <w:tc>
          <w:tcPr>
            <w:tcW w:w="442" w:type="pct"/>
            <w:tcBorders>
              <w:top w:val="nil"/>
              <w:left w:val="nil"/>
              <w:bottom w:val="nil"/>
              <w:right w:val="nil"/>
            </w:tcBorders>
          </w:tcPr>
          <w:p w:rsidR="00897C1E" w:rsidRPr="005911E2" w:rsidRDefault="00897C1E" w:rsidP="00CF518E">
            <w:pPr>
              <w:pStyle w:val="braytabletext"/>
              <w:jc w:val="right"/>
            </w:pPr>
            <w:r w:rsidRPr="005911E2">
              <w:t>25.0</w:t>
            </w:r>
          </w:p>
        </w:tc>
      </w:tr>
      <w:tr w:rsidR="00897C1E" w:rsidRPr="005911E2" w:rsidTr="00B460A2">
        <w:trPr>
          <w:trHeight w:val="290"/>
          <w:jc w:val="right"/>
        </w:trPr>
        <w:tc>
          <w:tcPr>
            <w:tcW w:w="1016" w:type="pct"/>
            <w:tcBorders>
              <w:top w:val="nil"/>
              <w:left w:val="nil"/>
              <w:bottom w:val="nil"/>
              <w:right w:val="nil"/>
            </w:tcBorders>
          </w:tcPr>
          <w:p w:rsidR="00897C1E" w:rsidRPr="005911E2" w:rsidRDefault="00897C1E" w:rsidP="00F104E9">
            <w:pPr>
              <w:pStyle w:val="braytabletext"/>
            </w:pPr>
            <w:r w:rsidRPr="005911E2">
              <w:t>Hardly ever</w:t>
            </w:r>
          </w:p>
        </w:tc>
        <w:tc>
          <w:tcPr>
            <w:tcW w:w="557" w:type="pct"/>
            <w:gridSpan w:val="2"/>
            <w:tcBorders>
              <w:top w:val="nil"/>
              <w:left w:val="nil"/>
              <w:bottom w:val="nil"/>
              <w:right w:val="nil"/>
            </w:tcBorders>
          </w:tcPr>
          <w:p w:rsidR="00897C1E" w:rsidRPr="005911E2" w:rsidRDefault="00897C1E" w:rsidP="00CF518E">
            <w:pPr>
              <w:pStyle w:val="braytabletext"/>
              <w:jc w:val="right"/>
            </w:pPr>
            <w:r w:rsidRPr="005911E2">
              <w:t>6.8</w:t>
            </w:r>
          </w:p>
        </w:tc>
        <w:tc>
          <w:tcPr>
            <w:tcW w:w="474" w:type="pct"/>
            <w:tcBorders>
              <w:top w:val="nil"/>
              <w:left w:val="nil"/>
              <w:bottom w:val="nil"/>
              <w:right w:val="nil"/>
            </w:tcBorders>
          </w:tcPr>
          <w:p w:rsidR="00897C1E" w:rsidRPr="005911E2" w:rsidRDefault="00897C1E" w:rsidP="00CF518E">
            <w:pPr>
              <w:pStyle w:val="braytabletext"/>
              <w:jc w:val="right"/>
            </w:pPr>
            <w:r w:rsidRPr="005911E2">
              <w:t>7.6</w:t>
            </w:r>
          </w:p>
        </w:tc>
        <w:tc>
          <w:tcPr>
            <w:tcW w:w="145" w:type="pct"/>
            <w:gridSpan w:val="2"/>
            <w:tcBorders>
              <w:top w:val="nil"/>
              <w:left w:val="nil"/>
              <w:bottom w:val="nil"/>
              <w:right w:val="nil"/>
            </w:tcBorders>
          </w:tcPr>
          <w:p w:rsidR="00897C1E" w:rsidRPr="005911E2" w:rsidRDefault="00897C1E" w:rsidP="00CF518E">
            <w:pPr>
              <w:pStyle w:val="braytabletext"/>
              <w:jc w:val="right"/>
            </w:pPr>
          </w:p>
        </w:tc>
        <w:tc>
          <w:tcPr>
            <w:tcW w:w="433" w:type="pct"/>
            <w:tcBorders>
              <w:top w:val="nil"/>
              <w:left w:val="nil"/>
              <w:bottom w:val="nil"/>
              <w:right w:val="nil"/>
            </w:tcBorders>
          </w:tcPr>
          <w:p w:rsidR="00897C1E" w:rsidRPr="005911E2" w:rsidRDefault="00897C1E" w:rsidP="00CF518E">
            <w:pPr>
              <w:pStyle w:val="braytabletext"/>
              <w:jc w:val="right"/>
            </w:pPr>
            <w:r w:rsidRPr="005911E2">
              <w:t>8.5</w:t>
            </w:r>
          </w:p>
        </w:tc>
        <w:tc>
          <w:tcPr>
            <w:tcW w:w="474" w:type="pct"/>
            <w:tcBorders>
              <w:top w:val="nil"/>
              <w:left w:val="nil"/>
              <w:bottom w:val="nil"/>
              <w:right w:val="nil"/>
            </w:tcBorders>
          </w:tcPr>
          <w:p w:rsidR="00897C1E" w:rsidRPr="005911E2" w:rsidRDefault="00897C1E" w:rsidP="00CF518E">
            <w:pPr>
              <w:pStyle w:val="braytabletext"/>
              <w:jc w:val="right"/>
            </w:pPr>
            <w:r w:rsidRPr="005911E2">
              <w:t>9.4</w:t>
            </w:r>
          </w:p>
        </w:tc>
        <w:tc>
          <w:tcPr>
            <w:tcW w:w="139" w:type="pct"/>
            <w:tcBorders>
              <w:top w:val="nil"/>
              <w:left w:val="nil"/>
              <w:bottom w:val="nil"/>
              <w:right w:val="nil"/>
            </w:tcBorders>
          </w:tcPr>
          <w:p w:rsidR="00897C1E" w:rsidRPr="005911E2" w:rsidRDefault="00897C1E" w:rsidP="00CF518E">
            <w:pPr>
              <w:pStyle w:val="braytabletext"/>
              <w:jc w:val="right"/>
            </w:pPr>
          </w:p>
        </w:tc>
        <w:tc>
          <w:tcPr>
            <w:tcW w:w="655" w:type="pct"/>
            <w:tcBorders>
              <w:top w:val="nil"/>
              <w:left w:val="nil"/>
              <w:bottom w:val="nil"/>
              <w:right w:val="nil"/>
            </w:tcBorders>
          </w:tcPr>
          <w:p w:rsidR="00897C1E" w:rsidRPr="005911E2" w:rsidRDefault="00897C1E" w:rsidP="00CF518E">
            <w:pPr>
              <w:pStyle w:val="braytabletext"/>
              <w:jc w:val="right"/>
            </w:pPr>
            <w:r w:rsidRPr="005911E2">
              <w:t>11.7</w:t>
            </w:r>
          </w:p>
        </w:tc>
        <w:tc>
          <w:tcPr>
            <w:tcW w:w="139" w:type="pct"/>
            <w:tcBorders>
              <w:top w:val="nil"/>
              <w:left w:val="nil"/>
              <w:bottom w:val="nil"/>
              <w:right w:val="nil"/>
            </w:tcBorders>
          </w:tcPr>
          <w:p w:rsidR="00897C1E" w:rsidRPr="005911E2" w:rsidRDefault="00897C1E" w:rsidP="00CF518E">
            <w:pPr>
              <w:pStyle w:val="braytabletext"/>
              <w:jc w:val="right"/>
            </w:pPr>
          </w:p>
        </w:tc>
        <w:tc>
          <w:tcPr>
            <w:tcW w:w="526" w:type="pct"/>
            <w:tcBorders>
              <w:top w:val="nil"/>
              <w:left w:val="nil"/>
              <w:bottom w:val="nil"/>
              <w:right w:val="nil"/>
            </w:tcBorders>
          </w:tcPr>
          <w:p w:rsidR="00897C1E" w:rsidRPr="005911E2" w:rsidRDefault="00897C1E" w:rsidP="00CF518E">
            <w:pPr>
              <w:pStyle w:val="braytabletext"/>
              <w:jc w:val="right"/>
            </w:pPr>
            <w:r w:rsidRPr="005911E2">
              <w:t>8.0</w:t>
            </w:r>
          </w:p>
        </w:tc>
        <w:tc>
          <w:tcPr>
            <w:tcW w:w="442" w:type="pct"/>
            <w:tcBorders>
              <w:top w:val="nil"/>
              <w:left w:val="nil"/>
              <w:bottom w:val="nil"/>
              <w:right w:val="nil"/>
            </w:tcBorders>
          </w:tcPr>
          <w:p w:rsidR="00897C1E" w:rsidRPr="005911E2" w:rsidRDefault="00897C1E" w:rsidP="00CF518E">
            <w:pPr>
              <w:pStyle w:val="braytabletext"/>
              <w:jc w:val="right"/>
            </w:pPr>
            <w:r w:rsidRPr="005911E2">
              <w:t>4.8</w:t>
            </w:r>
          </w:p>
        </w:tc>
      </w:tr>
      <w:tr w:rsidR="00897C1E" w:rsidRPr="005911E2" w:rsidTr="00B460A2">
        <w:trPr>
          <w:trHeight w:val="290"/>
          <w:jc w:val="right"/>
        </w:trPr>
        <w:tc>
          <w:tcPr>
            <w:tcW w:w="1016" w:type="pct"/>
            <w:tcBorders>
              <w:top w:val="nil"/>
              <w:left w:val="nil"/>
              <w:bottom w:val="nil"/>
              <w:right w:val="nil"/>
            </w:tcBorders>
          </w:tcPr>
          <w:p w:rsidR="00897C1E" w:rsidRPr="005911E2" w:rsidRDefault="00897C1E" w:rsidP="00F104E9">
            <w:pPr>
              <w:pStyle w:val="braytabletext"/>
            </w:pPr>
            <w:r w:rsidRPr="005911E2">
              <w:t>Sometimes</w:t>
            </w:r>
          </w:p>
        </w:tc>
        <w:tc>
          <w:tcPr>
            <w:tcW w:w="557" w:type="pct"/>
            <w:gridSpan w:val="2"/>
            <w:tcBorders>
              <w:top w:val="nil"/>
              <w:left w:val="nil"/>
              <w:bottom w:val="nil"/>
              <w:right w:val="nil"/>
            </w:tcBorders>
          </w:tcPr>
          <w:p w:rsidR="00897C1E" w:rsidRPr="005911E2" w:rsidRDefault="00897C1E" w:rsidP="00CF518E">
            <w:pPr>
              <w:pStyle w:val="braytabletext"/>
              <w:jc w:val="right"/>
            </w:pPr>
            <w:r w:rsidRPr="005911E2">
              <w:t>29.9</w:t>
            </w:r>
          </w:p>
        </w:tc>
        <w:tc>
          <w:tcPr>
            <w:tcW w:w="474" w:type="pct"/>
            <w:tcBorders>
              <w:top w:val="nil"/>
              <w:left w:val="nil"/>
              <w:bottom w:val="nil"/>
              <w:right w:val="nil"/>
            </w:tcBorders>
          </w:tcPr>
          <w:p w:rsidR="00897C1E" w:rsidRPr="005911E2" w:rsidRDefault="00897C1E" w:rsidP="00CF518E">
            <w:pPr>
              <w:pStyle w:val="braytabletext"/>
              <w:jc w:val="right"/>
            </w:pPr>
            <w:r w:rsidRPr="005911E2">
              <w:t>28.7</w:t>
            </w:r>
          </w:p>
        </w:tc>
        <w:tc>
          <w:tcPr>
            <w:tcW w:w="145" w:type="pct"/>
            <w:gridSpan w:val="2"/>
            <w:tcBorders>
              <w:top w:val="nil"/>
              <w:left w:val="nil"/>
              <w:bottom w:val="nil"/>
              <w:right w:val="nil"/>
            </w:tcBorders>
          </w:tcPr>
          <w:p w:rsidR="00897C1E" w:rsidRPr="005911E2" w:rsidRDefault="00897C1E" w:rsidP="00CF518E">
            <w:pPr>
              <w:pStyle w:val="braytabletext"/>
              <w:jc w:val="right"/>
            </w:pPr>
          </w:p>
        </w:tc>
        <w:tc>
          <w:tcPr>
            <w:tcW w:w="433" w:type="pct"/>
            <w:tcBorders>
              <w:top w:val="nil"/>
              <w:left w:val="nil"/>
              <w:bottom w:val="nil"/>
              <w:right w:val="nil"/>
            </w:tcBorders>
          </w:tcPr>
          <w:p w:rsidR="00897C1E" w:rsidRPr="005911E2" w:rsidRDefault="00897C1E" w:rsidP="00CF518E">
            <w:pPr>
              <w:pStyle w:val="braytabletext"/>
              <w:jc w:val="right"/>
            </w:pPr>
            <w:r w:rsidRPr="005911E2">
              <w:t>24.8</w:t>
            </w:r>
          </w:p>
        </w:tc>
        <w:tc>
          <w:tcPr>
            <w:tcW w:w="474" w:type="pct"/>
            <w:tcBorders>
              <w:top w:val="nil"/>
              <w:left w:val="nil"/>
              <w:bottom w:val="nil"/>
              <w:right w:val="nil"/>
            </w:tcBorders>
          </w:tcPr>
          <w:p w:rsidR="00897C1E" w:rsidRPr="005911E2" w:rsidRDefault="00897C1E" w:rsidP="00CF518E">
            <w:pPr>
              <w:pStyle w:val="braytabletext"/>
              <w:jc w:val="right"/>
            </w:pPr>
            <w:r w:rsidRPr="005911E2">
              <w:t>28.1</w:t>
            </w:r>
          </w:p>
        </w:tc>
        <w:tc>
          <w:tcPr>
            <w:tcW w:w="139" w:type="pct"/>
            <w:tcBorders>
              <w:top w:val="nil"/>
              <w:left w:val="nil"/>
              <w:bottom w:val="nil"/>
              <w:right w:val="nil"/>
            </w:tcBorders>
          </w:tcPr>
          <w:p w:rsidR="00897C1E" w:rsidRPr="005911E2" w:rsidRDefault="00897C1E" w:rsidP="00CF518E">
            <w:pPr>
              <w:pStyle w:val="braytabletext"/>
              <w:jc w:val="right"/>
            </w:pPr>
          </w:p>
        </w:tc>
        <w:tc>
          <w:tcPr>
            <w:tcW w:w="655" w:type="pct"/>
            <w:tcBorders>
              <w:top w:val="nil"/>
              <w:left w:val="nil"/>
              <w:bottom w:val="nil"/>
              <w:right w:val="nil"/>
            </w:tcBorders>
          </w:tcPr>
          <w:p w:rsidR="00897C1E" w:rsidRPr="005911E2" w:rsidRDefault="00897C1E" w:rsidP="00CF518E">
            <w:pPr>
              <w:pStyle w:val="braytabletext"/>
              <w:jc w:val="right"/>
            </w:pPr>
            <w:r w:rsidRPr="005911E2">
              <w:t>15.2</w:t>
            </w:r>
          </w:p>
        </w:tc>
        <w:tc>
          <w:tcPr>
            <w:tcW w:w="139" w:type="pct"/>
            <w:tcBorders>
              <w:top w:val="nil"/>
              <w:left w:val="nil"/>
              <w:bottom w:val="nil"/>
              <w:right w:val="nil"/>
            </w:tcBorders>
          </w:tcPr>
          <w:p w:rsidR="00897C1E" w:rsidRPr="005911E2" w:rsidRDefault="00897C1E" w:rsidP="00CF518E">
            <w:pPr>
              <w:pStyle w:val="braytabletext"/>
              <w:jc w:val="right"/>
            </w:pPr>
          </w:p>
        </w:tc>
        <w:tc>
          <w:tcPr>
            <w:tcW w:w="526" w:type="pct"/>
            <w:tcBorders>
              <w:top w:val="nil"/>
              <w:left w:val="nil"/>
              <w:bottom w:val="nil"/>
              <w:right w:val="nil"/>
            </w:tcBorders>
          </w:tcPr>
          <w:p w:rsidR="00897C1E" w:rsidRPr="005911E2" w:rsidRDefault="00897C1E" w:rsidP="00CF518E">
            <w:pPr>
              <w:pStyle w:val="braytabletext"/>
              <w:jc w:val="right"/>
            </w:pPr>
            <w:r w:rsidRPr="005911E2">
              <w:t>30.1</w:t>
            </w:r>
          </w:p>
        </w:tc>
        <w:tc>
          <w:tcPr>
            <w:tcW w:w="442" w:type="pct"/>
            <w:tcBorders>
              <w:top w:val="nil"/>
              <w:left w:val="nil"/>
              <w:bottom w:val="nil"/>
              <w:right w:val="nil"/>
            </w:tcBorders>
          </w:tcPr>
          <w:p w:rsidR="00897C1E" w:rsidRPr="005911E2" w:rsidRDefault="00897C1E" w:rsidP="00CF518E">
            <w:pPr>
              <w:pStyle w:val="braytabletext"/>
              <w:jc w:val="right"/>
            </w:pPr>
            <w:r w:rsidRPr="005911E2">
              <w:t>27.9</w:t>
            </w:r>
          </w:p>
        </w:tc>
      </w:tr>
      <w:tr w:rsidR="00897C1E" w:rsidRPr="005911E2" w:rsidTr="00B460A2">
        <w:trPr>
          <w:trHeight w:val="290"/>
          <w:jc w:val="right"/>
        </w:trPr>
        <w:tc>
          <w:tcPr>
            <w:tcW w:w="1016" w:type="pct"/>
            <w:tcBorders>
              <w:top w:val="nil"/>
              <w:left w:val="nil"/>
              <w:bottom w:val="nil"/>
              <w:right w:val="nil"/>
            </w:tcBorders>
          </w:tcPr>
          <w:p w:rsidR="00897C1E" w:rsidRPr="005911E2" w:rsidRDefault="00897C1E" w:rsidP="00F104E9">
            <w:pPr>
              <w:pStyle w:val="braytabletext"/>
            </w:pPr>
            <w:r w:rsidRPr="005911E2">
              <w:t>Most of the time</w:t>
            </w:r>
          </w:p>
        </w:tc>
        <w:tc>
          <w:tcPr>
            <w:tcW w:w="557" w:type="pct"/>
            <w:gridSpan w:val="2"/>
            <w:tcBorders>
              <w:top w:val="nil"/>
              <w:left w:val="nil"/>
              <w:bottom w:val="nil"/>
              <w:right w:val="nil"/>
            </w:tcBorders>
          </w:tcPr>
          <w:p w:rsidR="00897C1E" w:rsidRPr="005911E2" w:rsidRDefault="00897C1E" w:rsidP="00CF518E">
            <w:pPr>
              <w:pStyle w:val="braytabletext"/>
              <w:jc w:val="right"/>
            </w:pPr>
            <w:r w:rsidRPr="005911E2">
              <w:t>18.6</w:t>
            </w:r>
          </w:p>
        </w:tc>
        <w:tc>
          <w:tcPr>
            <w:tcW w:w="474" w:type="pct"/>
            <w:tcBorders>
              <w:top w:val="nil"/>
              <w:left w:val="nil"/>
              <w:bottom w:val="nil"/>
              <w:right w:val="nil"/>
            </w:tcBorders>
          </w:tcPr>
          <w:p w:rsidR="00897C1E" w:rsidRPr="005911E2" w:rsidRDefault="00897C1E" w:rsidP="00CF518E">
            <w:pPr>
              <w:pStyle w:val="braytabletext"/>
              <w:jc w:val="right"/>
            </w:pPr>
            <w:r w:rsidRPr="005911E2">
              <w:t>12.7</w:t>
            </w:r>
          </w:p>
        </w:tc>
        <w:tc>
          <w:tcPr>
            <w:tcW w:w="145" w:type="pct"/>
            <w:gridSpan w:val="2"/>
            <w:tcBorders>
              <w:top w:val="nil"/>
              <w:left w:val="nil"/>
              <w:bottom w:val="nil"/>
              <w:right w:val="nil"/>
            </w:tcBorders>
          </w:tcPr>
          <w:p w:rsidR="00897C1E" w:rsidRPr="005911E2" w:rsidRDefault="00897C1E" w:rsidP="00CF518E">
            <w:pPr>
              <w:pStyle w:val="braytabletext"/>
              <w:jc w:val="right"/>
            </w:pPr>
          </w:p>
        </w:tc>
        <w:tc>
          <w:tcPr>
            <w:tcW w:w="433" w:type="pct"/>
            <w:tcBorders>
              <w:top w:val="nil"/>
              <w:left w:val="nil"/>
              <w:bottom w:val="nil"/>
              <w:right w:val="nil"/>
            </w:tcBorders>
          </w:tcPr>
          <w:p w:rsidR="00897C1E" w:rsidRPr="005911E2" w:rsidRDefault="00897C1E" w:rsidP="00CF518E">
            <w:pPr>
              <w:pStyle w:val="braytabletext"/>
              <w:jc w:val="right"/>
            </w:pPr>
            <w:r w:rsidRPr="005911E2">
              <w:t>24.8</w:t>
            </w:r>
          </w:p>
        </w:tc>
        <w:tc>
          <w:tcPr>
            <w:tcW w:w="474" w:type="pct"/>
            <w:tcBorders>
              <w:top w:val="nil"/>
              <w:left w:val="nil"/>
              <w:bottom w:val="nil"/>
              <w:right w:val="nil"/>
            </w:tcBorders>
          </w:tcPr>
          <w:p w:rsidR="00897C1E" w:rsidRPr="005911E2" w:rsidRDefault="00897C1E" w:rsidP="00CF518E">
            <w:pPr>
              <w:pStyle w:val="braytabletext"/>
              <w:jc w:val="right"/>
            </w:pPr>
            <w:r w:rsidRPr="005911E2">
              <w:t>40.6</w:t>
            </w:r>
          </w:p>
        </w:tc>
        <w:tc>
          <w:tcPr>
            <w:tcW w:w="139" w:type="pct"/>
            <w:tcBorders>
              <w:top w:val="nil"/>
              <w:left w:val="nil"/>
              <w:bottom w:val="nil"/>
              <w:right w:val="nil"/>
            </w:tcBorders>
          </w:tcPr>
          <w:p w:rsidR="00897C1E" w:rsidRPr="005911E2" w:rsidRDefault="00897C1E" w:rsidP="00CF518E">
            <w:pPr>
              <w:pStyle w:val="braytabletext"/>
              <w:jc w:val="right"/>
            </w:pPr>
          </w:p>
        </w:tc>
        <w:tc>
          <w:tcPr>
            <w:tcW w:w="655" w:type="pct"/>
            <w:tcBorders>
              <w:top w:val="nil"/>
              <w:left w:val="nil"/>
              <w:bottom w:val="nil"/>
              <w:right w:val="nil"/>
            </w:tcBorders>
          </w:tcPr>
          <w:p w:rsidR="00897C1E" w:rsidRPr="005911E2" w:rsidRDefault="00897C1E" w:rsidP="00CF518E">
            <w:pPr>
              <w:pStyle w:val="braytabletext"/>
              <w:jc w:val="right"/>
            </w:pPr>
            <w:r w:rsidRPr="005911E2">
              <w:t>10.5</w:t>
            </w:r>
          </w:p>
        </w:tc>
        <w:tc>
          <w:tcPr>
            <w:tcW w:w="139" w:type="pct"/>
            <w:tcBorders>
              <w:top w:val="nil"/>
              <w:left w:val="nil"/>
              <w:bottom w:val="nil"/>
              <w:right w:val="nil"/>
            </w:tcBorders>
          </w:tcPr>
          <w:p w:rsidR="00897C1E" w:rsidRPr="005911E2" w:rsidRDefault="00897C1E" w:rsidP="00CF518E">
            <w:pPr>
              <w:pStyle w:val="braytabletext"/>
              <w:jc w:val="right"/>
            </w:pPr>
          </w:p>
        </w:tc>
        <w:tc>
          <w:tcPr>
            <w:tcW w:w="526" w:type="pct"/>
            <w:tcBorders>
              <w:top w:val="nil"/>
              <w:left w:val="nil"/>
              <w:bottom w:val="nil"/>
              <w:right w:val="nil"/>
            </w:tcBorders>
          </w:tcPr>
          <w:p w:rsidR="00897C1E" w:rsidRPr="005911E2" w:rsidRDefault="00897C1E" w:rsidP="00CF518E">
            <w:pPr>
              <w:pStyle w:val="braytabletext"/>
              <w:jc w:val="right"/>
            </w:pPr>
            <w:r w:rsidRPr="005911E2">
              <w:t>21.0</w:t>
            </w:r>
          </w:p>
        </w:tc>
        <w:tc>
          <w:tcPr>
            <w:tcW w:w="442" w:type="pct"/>
            <w:tcBorders>
              <w:top w:val="nil"/>
              <w:left w:val="nil"/>
              <w:bottom w:val="nil"/>
              <w:right w:val="nil"/>
            </w:tcBorders>
          </w:tcPr>
          <w:p w:rsidR="00897C1E" w:rsidRPr="005911E2" w:rsidRDefault="00897C1E" w:rsidP="00CF518E">
            <w:pPr>
              <w:pStyle w:val="braytabletext"/>
              <w:jc w:val="right"/>
            </w:pPr>
            <w:r w:rsidRPr="005911E2">
              <w:t>29.8</w:t>
            </w:r>
          </w:p>
        </w:tc>
      </w:tr>
      <w:tr w:rsidR="00897C1E" w:rsidRPr="005911E2" w:rsidTr="00B460A2">
        <w:trPr>
          <w:trHeight w:val="290"/>
          <w:jc w:val="right"/>
        </w:trPr>
        <w:tc>
          <w:tcPr>
            <w:tcW w:w="1016" w:type="pct"/>
            <w:tcBorders>
              <w:top w:val="nil"/>
              <w:left w:val="nil"/>
              <w:bottom w:val="single" w:sz="4" w:space="0" w:color="auto"/>
              <w:right w:val="nil"/>
            </w:tcBorders>
          </w:tcPr>
          <w:p w:rsidR="00897C1E" w:rsidRPr="005911E2" w:rsidRDefault="00897C1E" w:rsidP="00F104E9">
            <w:pPr>
              <w:pStyle w:val="braytabletext"/>
            </w:pPr>
            <w:r w:rsidRPr="005911E2">
              <w:t>All the time</w:t>
            </w:r>
          </w:p>
        </w:tc>
        <w:tc>
          <w:tcPr>
            <w:tcW w:w="557" w:type="pct"/>
            <w:gridSpan w:val="2"/>
            <w:tcBorders>
              <w:top w:val="nil"/>
              <w:left w:val="nil"/>
              <w:bottom w:val="single" w:sz="4" w:space="0" w:color="auto"/>
              <w:right w:val="nil"/>
            </w:tcBorders>
          </w:tcPr>
          <w:p w:rsidR="00897C1E" w:rsidRPr="005911E2" w:rsidRDefault="00897C1E" w:rsidP="00CF518E">
            <w:pPr>
              <w:pStyle w:val="braytabletext"/>
              <w:jc w:val="right"/>
            </w:pPr>
            <w:r w:rsidRPr="005911E2">
              <w:t>28.1</w:t>
            </w:r>
          </w:p>
        </w:tc>
        <w:tc>
          <w:tcPr>
            <w:tcW w:w="474" w:type="pct"/>
            <w:tcBorders>
              <w:top w:val="nil"/>
              <w:left w:val="nil"/>
              <w:bottom w:val="single" w:sz="4" w:space="0" w:color="auto"/>
              <w:right w:val="nil"/>
            </w:tcBorders>
          </w:tcPr>
          <w:p w:rsidR="00897C1E" w:rsidRPr="005911E2" w:rsidRDefault="00897C1E" w:rsidP="00CF518E">
            <w:pPr>
              <w:pStyle w:val="braytabletext"/>
              <w:jc w:val="right"/>
            </w:pPr>
            <w:r w:rsidRPr="005911E2">
              <w:t>22.3</w:t>
            </w:r>
          </w:p>
        </w:tc>
        <w:tc>
          <w:tcPr>
            <w:tcW w:w="145" w:type="pct"/>
            <w:gridSpan w:val="2"/>
            <w:tcBorders>
              <w:top w:val="nil"/>
              <w:left w:val="nil"/>
              <w:bottom w:val="single" w:sz="4" w:space="0" w:color="auto"/>
              <w:right w:val="nil"/>
            </w:tcBorders>
          </w:tcPr>
          <w:p w:rsidR="00897C1E" w:rsidRPr="005911E2" w:rsidRDefault="00897C1E" w:rsidP="00CF518E">
            <w:pPr>
              <w:pStyle w:val="braytabletext"/>
              <w:jc w:val="right"/>
            </w:pPr>
          </w:p>
        </w:tc>
        <w:tc>
          <w:tcPr>
            <w:tcW w:w="433" w:type="pct"/>
            <w:tcBorders>
              <w:top w:val="nil"/>
              <w:left w:val="nil"/>
              <w:bottom w:val="single" w:sz="4" w:space="0" w:color="auto"/>
              <w:right w:val="nil"/>
            </w:tcBorders>
          </w:tcPr>
          <w:p w:rsidR="00897C1E" w:rsidRPr="005911E2" w:rsidRDefault="00897C1E" w:rsidP="00CF518E">
            <w:pPr>
              <w:pStyle w:val="braytabletext"/>
              <w:jc w:val="right"/>
            </w:pPr>
            <w:r w:rsidRPr="005911E2">
              <w:t>26.5</w:t>
            </w:r>
          </w:p>
        </w:tc>
        <w:tc>
          <w:tcPr>
            <w:tcW w:w="474" w:type="pct"/>
            <w:tcBorders>
              <w:top w:val="nil"/>
              <w:left w:val="nil"/>
              <w:bottom w:val="single" w:sz="4" w:space="0" w:color="auto"/>
              <w:right w:val="nil"/>
            </w:tcBorders>
          </w:tcPr>
          <w:p w:rsidR="00897C1E" w:rsidRPr="005911E2" w:rsidRDefault="00897C1E" w:rsidP="00CF518E">
            <w:pPr>
              <w:pStyle w:val="braytabletext"/>
              <w:jc w:val="right"/>
            </w:pPr>
            <w:r w:rsidRPr="005911E2">
              <w:t>9.4</w:t>
            </w:r>
          </w:p>
        </w:tc>
        <w:tc>
          <w:tcPr>
            <w:tcW w:w="139" w:type="pct"/>
            <w:tcBorders>
              <w:top w:val="nil"/>
              <w:left w:val="nil"/>
              <w:bottom w:val="single" w:sz="4" w:space="0" w:color="auto"/>
              <w:right w:val="nil"/>
            </w:tcBorders>
          </w:tcPr>
          <w:p w:rsidR="00897C1E" w:rsidRPr="005911E2" w:rsidRDefault="00897C1E" w:rsidP="00CF518E">
            <w:pPr>
              <w:pStyle w:val="braytabletext"/>
              <w:jc w:val="right"/>
            </w:pPr>
          </w:p>
        </w:tc>
        <w:tc>
          <w:tcPr>
            <w:tcW w:w="655" w:type="pct"/>
            <w:tcBorders>
              <w:top w:val="nil"/>
              <w:left w:val="nil"/>
              <w:bottom w:val="single" w:sz="4" w:space="0" w:color="auto"/>
              <w:right w:val="nil"/>
            </w:tcBorders>
          </w:tcPr>
          <w:p w:rsidR="00897C1E" w:rsidRPr="005911E2" w:rsidRDefault="00897C1E" w:rsidP="00CF518E">
            <w:pPr>
              <w:pStyle w:val="braytabletext"/>
              <w:jc w:val="right"/>
            </w:pPr>
            <w:r w:rsidRPr="005911E2">
              <w:t>29.8</w:t>
            </w:r>
          </w:p>
        </w:tc>
        <w:tc>
          <w:tcPr>
            <w:tcW w:w="139" w:type="pct"/>
            <w:tcBorders>
              <w:top w:val="nil"/>
              <w:left w:val="nil"/>
              <w:bottom w:val="single" w:sz="4" w:space="0" w:color="auto"/>
              <w:right w:val="nil"/>
            </w:tcBorders>
          </w:tcPr>
          <w:p w:rsidR="00897C1E" w:rsidRPr="005911E2" w:rsidRDefault="00897C1E" w:rsidP="00CF518E">
            <w:pPr>
              <w:pStyle w:val="braytabletext"/>
              <w:jc w:val="right"/>
            </w:pPr>
          </w:p>
        </w:tc>
        <w:tc>
          <w:tcPr>
            <w:tcW w:w="526" w:type="pct"/>
            <w:tcBorders>
              <w:top w:val="nil"/>
              <w:left w:val="nil"/>
              <w:bottom w:val="single" w:sz="4" w:space="0" w:color="auto"/>
              <w:right w:val="nil"/>
            </w:tcBorders>
          </w:tcPr>
          <w:p w:rsidR="00897C1E" w:rsidRPr="005911E2" w:rsidRDefault="00897C1E" w:rsidP="00CF518E">
            <w:pPr>
              <w:pStyle w:val="braytabletext"/>
              <w:jc w:val="right"/>
            </w:pPr>
            <w:r w:rsidRPr="005911E2">
              <w:t>20.5</w:t>
            </w:r>
          </w:p>
        </w:tc>
        <w:tc>
          <w:tcPr>
            <w:tcW w:w="442" w:type="pct"/>
            <w:tcBorders>
              <w:top w:val="nil"/>
              <w:left w:val="nil"/>
              <w:bottom w:val="single" w:sz="4" w:space="0" w:color="auto"/>
              <w:right w:val="nil"/>
            </w:tcBorders>
          </w:tcPr>
          <w:p w:rsidR="00897C1E" w:rsidRPr="005911E2" w:rsidRDefault="00897C1E" w:rsidP="00CF518E">
            <w:pPr>
              <w:pStyle w:val="braytabletext"/>
              <w:jc w:val="right"/>
            </w:pPr>
            <w:r w:rsidRPr="005911E2">
              <w:t>12.5</w:t>
            </w:r>
          </w:p>
        </w:tc>
      </w:tr>
      <w:tr w:rsidR="00897C1E" w:rsidRPr="005911E2" w:rsidTr="00B460A2">
        <w:trPr>
          <w:trHeight w:val="290"/>
          <w:jc w:val="right"/>
        </w:trPr>
        <w:tc>
          <w:tcPr>
            <w:tcW w:w="1016" w:type="pct"/>
            <w:tcBorders>
              <w:top w:val="single" w:sz="4" w:space="0" w:color="auto"/>
              <w:left w:val="nil"/>
              <w:bottom w:val="nil"/>
              <w:right w:val="nil"/>
            </w:tcBorders>
          </w:tcPr>
          <w:p w:rsidR="00897C1E" w:rsidRPr="005911E2" w:rsidRDefault="00897C1E" w:rsidP="00F104E9">
            <w:pPr>
              <w:pStyle w:val="braytabletext"/>
              <w:rPr>
                <w:i/>
              </w:rPr>
            </w:pPr>
            <w:r w:rsidRPr="005911E2">
              <w:rPr>
                <w:i/>
              </w:rPr>
              <w:t>Safer</w:t>
            </w:r>
          </w:p>
        </w:tc>
        <w:tc>
          <w:tcPr>
            <w:tcW w:w="557" w:type="pct"/>
            <w:gridSpan w:val="2"/>
            <w:tcBorders>
              <w:top w:val="single" w:sz="4" w:space="0" w:color="auto"/>
              <w:left w:val="nil"/>
              <w:bottom w:val="nil"/>
              <w:right w:val="nil"/>
            </w:tcBorders>
          </w:tcPr>
          <w:p w:rsidR="00897C1E" w:rsidRPr="005911E2" w:rsidRDefault="00897C1E" w:rsidP="00CF518E">
            <w:pPr>
              <w:pStyle w:val="braytabletext"/>
              <w:jc w:val="right"/>
              <w:rPr>
                <w:i/>
              </w:rPr>
            </w:pPr>
          </w:p>
        </w:tc>
        <w:tc>
          <w:tcPr>
            <w:tcW w:w="474" w:type="pct"/>
            <w:tcBorders>
              <w:top w:val="single" w:sz="4" w:space="0" w:color="auto"/>
              <w:left w:val="nil"/>
              <w:bottom w:val="nil"/>
              <w:right w:val="nil"/>
            </w:tcBorders>
          </w:tcPr>
          <w:p w:rsidR="00897C1E" w:rsidRPr="005911E2" w:rsidRDefault="00897C1E" w:rsidP="00CF518E">
            <w:pPr>
              <w:pStyle w:val="braytabletext"/>
              <w:jc w:val="right"/>
              <w:rPr>
                <w:i/>
              </w:rPr>
            </w:pPr>
          </w:p>
        </w:tc>
        <w:tc>
          <w:tcPr>
            <w:tcW w:w="145" w:type="pct"/>
            <w:gridSpan w:val="2"/>
            <w:tcBorders>
              <w:top w:val="single" w:sz="4" w:space="0" w:color="auto"/>
              <w:left w:val="nil"/>
              <w:bottom w:val="nil"/>
              <w:right w:val="nil"/>
            </w:tcBorders>
          </w:tcPr>
          <w:p w:rsidR="00897C1E" w:rsidRPr="005911E2" w:rsidRDefault="00897C1E" w:rsidP="00CF518E">
            <w:pPr>
              <w:pStyle w:val="braytabletext"/>
              <w:jc w:val="right"/>
              <w:rPr>
                <w:i/>
              </w:rPr>
            </w:pPr>
          </w:p>
        </w:tc>
        <w:tc>
          <w:tcPr>
            <w:tcW w:w="433" w:type="pct"/>
            <w:tcBorders>
              <w:top w:val="single" w:sz="4" w:space="0" w:color="auto"/>
              <w:left w:val="nil"/>
              <w:bottom w:val="nil"/>
              <w:right w:val="nil"/>
            </w:tcBorders>
          </w:tcPr>
          <w:p w:rsidR="00897C1E" w:rsidRPr="005911E2" w:rsidRDefault="00897C1E" w:rsidP="00CF518E">
            <w:pPr>
              <w:pStyle w:val="braytabletext"/>
              <w:jc w:val="right"/>
              <w:rPr>
                <w:i/>
              </w:rPr>
            </w:pPr>
          </w:p>
        </w:tc>
        <w:tc>
          <w:tcPr>
            <w:tcW w:w="474" w:type="pct"/>
            <w:tcBorders>
              <w:top w:val="single" w:sz="4" w:space="0" w:color="auto"/>
              <w:left w:val="nil"/>
              <w:bottom w:val="nil"/>
              <w:right w:val="nil"/>
            </w:tcBorders>
          </w:tcPr>
          <w:p w:rsidR="00897C1E" w:rsidRPr="005911E2" w:rsidRDefault="00897C1E" w:rsidP="00CF518E">
            <w:pPr>
              <w:pStyle w:val="braytabletext"/>
              <w:jc w:val="right"/>
              <w:rPr>
                <w:i/>
              </w:rPr>
            </w:pPr>
          </w:p>
        </w:tc>
        <w:tc>
          <w:tcPr>
            <w:tcW w:w="139" w:type="pct"/>
            <w:tcBorders>
              <w:top w:val="single" w:sz="4" w:space="0" w:color="auto"/>
              <w:left w:val="nil"/>
              <w:bottom w:val="nil"/>
              <w:right w:val="nil"/>
            </w:tcBorders>
          </w:tcPr>
          <w:p w:rsidR="00897C1E" w:rsidRPr="005911E2" w:rsidRDefault="00897C1E" w:rsidP="00CF518E">
            <w:pPr>
              <w:pStyle w:val="braytabletext"/>
              <w:jc w:val="right"/>
              <w:rPr>
                <w:i/>
              </w:rPr>
            </w:pPr>
          </w:p>
        </w:tc>
        <w:tc>
          <w:tcPr>
            <w:tcW w:w="655" w:type="pct"/>
            <w:tcBorders>
              <w:top w:val="single" w:sz="4" w:space="0" w:color="auto"/>
              <w:left w:val="nil"/>
              <w:bottom w:val="nil"/>
              <w:right w:val="nil"/>
            </w:tcBorders>
          </w:tcPr>
          <w:p w:rsidR="00897C1E" w:rsidRPr="005911E2" w:rsidRDefault="00897C1E" w:rsidP="00CF518E">
            <w:pPr>
              <w:pStyle w:val="braytabletext"/>
              <w:jc w:val="right"/>
              <w:rPr>
                <w:i/>
              </w:rPr>
            </w:pPr>
          </w:p>
        </w:tc>
        <w:tc>
          <w:tcPr>
            <w:tcW w:w="139" w:type="pct"/>
            <w:tcBorders>
              <w:top w:val="single" w:sz="4" w:space="0" w:color="auto"/>
              <w:left w:val="nil"/>
              <w:bottom w:val="nil"/>
              <w:right w:val="nil"/>
            </w:tcBorders>
          </w:tcPr>
          <w:p w:rsidR="00897C1E" w:rsidRPr="005911E2" w:rsidRDefault="00897C1E" w:rsidP="00CF518E">
            <w:pPr>
              <w:pStyle w:val="braytabletext"/>
              <w:jc w:val="right"/>
              <w:rPr>
                <w:i/>
              </w:rPr>
            </w:pPr>
          </w:p>
        </w:tc>
        <w:tc>
          <w:tcPr>
            <w:tcW w:w="526" w:type="pct"/>
            <w:tcBorders>
              <w:top w:val="single" w:sz="4" w:space="0" w:color="auto"/>
              <w:left w:val="nil"/>
              <w:bottom w:val="nil"/>
              <w:right w:val="nil"/>
            </w:tcBorders>
          </w:tcPr>
          <w:p w:rsidR="00897C1E" w:rsidRPr="005911E2" w:rsidRDefault="00897C1E" w:rsidP="00CF518E">
            <w:pPr>
              <w:pStyle w:val="braytabletext"/>
              <w:jc w:val="right"/>
              <w:rPr>
                <w:i/>
              </w:rPr>
            </w:pPr>
          </w:p>
        </w:tc>
        <w:tc>
          <w:tcPr>
            <w:tcW w:w="442" w:type="pct"/>
            <w:tcBorders>
              <w:top w:val="single" w:sz="4" w:space="0" w:color="auto"/>
              <w:left w:val="nil"/>
              <w:bottom w:val="nil"/>
              <w:right w:val="nil"/>
            </w:tcBorders>
          </w:tcPr>
          <w:p w:rsidR="00897C1E" w:rsidRPr="005911E2" w:rsidRDefault="00897C1E" w:rsidP="00CF518E">
            <w:pPr>
              <w:pStyle w:val="braytabletext"/>
              <w:jc w:val="right"/>
              <w:rPr>
                <w:i/>
              </w:rPr>
            </w:pPr>
          </w:p>
        </w:tc>
      </w:tr>
      <w:tr w:rsidR="00897C1E" w:rsidRPr="005911E2" w:rsidTr="00B460A2">
        <w:trPr>
          <w:trHeight w:val="290"/>
          <w:jc w:val="right"/>
        </w:trPr>
        <w:tc>
          <w:tcPr>
            <w:tcW w:w="1016" w:type="pct"/>
            <w:tcBorders>
              <w:top w:val="nil"/>
              <w:left w:val="nil"/>
              <w:bottom w:val="nil"/>
              <w:right w:val="nil"/>
            </w:tcBorders>
          </w:tcPr>
          <w:p w:rsidR="00897C1E" w:rsidRPr="005911E2" w:rsidRDefault="00897C1E" w:rsidP="00F104E9">
            <w:pPr>
              <w:pStyle w:val="braytabletext"/>
            </w:pPr>
            <w:r w:rsidRPr="005911E2">
              <w:t>Never</w:t>
            </w:r>
          </w:p>
        </w:tc>
        <w:tc>
          <w:tcPr>
            <w:tcW w:w="557" w:type="pct"/>
            <w:gridSpan w:val="2"/>
            <w:tcBorders>
              <w:top w:val="nil"/>
              <w:left w:val="nil"/>
              <w:bottom w:val="nil"/>
              <w:right w:val="nil"/>
            </w:tcBorders>
          </w:tcPr>
          <w:p w:rsidR="00897C1E" w:rsidRPr="005911E2" w:rsidRDefault="00897C1E" w:rsidP="00CF518E">
            <w:pPr>
              <w:pStyle w:val="braytabletext"/>
              <w:jc w:val="right"/>
            </w:pPr>
            <w:r w:rsidRPr="005911E2">
              <w:t>8.2</w:t>
            </w:r>
          </w:p>
        </w:tc>
        <w:tc>
          <w:tcPr>
            <w:tcW w:w="474" w:type="pct"/>
            <w:tcBorders>
              <w:top w:val="nil"/>
              <w:left w:val="nil"/>
              <w:bottom w:val="nil"/>
              <w:right w:val="nil"/>
            </w:tcBorders>
          </w:tcPr>
          <w:p w:rsidR="00897C1E" w:rsidRPr="005911E2" w:rsidRDefault="00897C1E" w:rsidP="00CF518E">
            <w:pPr>
              <w:pStyle w:val="braytabletext"/>
              <w:jc w:val="right"/>
            </w:pPr>
            <w:r w:rsidRPr="005911E2">
              <w:t>28.5</w:t>
            </w:r>
          </w:p>
        </w:tc>
        <w:tc>
          <w:tcPr>
            <w:tcW w:w="145" w:type="pct"/>
            <w:gridSpan w:val="2"/>
            <w:tcBorders>
              <w:top w:val="nil"/>
              <w:left w:val="nil"/>
              <w:bottom w:val="nil"/>
              <w:right w:val="nil"/>
            </w:tcBorders>
          </w:tcPr>
          <w:p w:rsidR="00897C1E" w:rsidRPr="005911E2" w:rsidRDefault="00897C1E" w:rsidP="00CF518E">
            <w:pPr>
              <w:pStyle w:val="braytabletext"/>
              <w:jc w:val="right"/>
            </w:pPr>
          </w:p>
        </w:tc>
        <w:tc>
          <w:tcPr>
            <w:tcW w:w="433" w:type="pct"/>
            <w:tcBorders>
              <w:top w:val="nil"/>
              <w:left w:val="nil"/>
              <w:bottom w:val="nil"/>
              <w:right w:val="nil"/>
            </w:tcBorders>
          </w:tcPr>
          <w:p w:rsidR="00897C1E" w:rsidRPr="005911E2" w:rsidRDefault="00897C1E" w:rsidP="00CF518E">
            <w:pPr>
              <w:pStyle w:val="braytabletext"/>
              <w:jc w:val="right"/>
            </w:pPr>
            <w:r w:rsidRPr="005911E2">
              <w:t>5.6</w:t>
            </w:r>
          </w:p>
        </w:tc>
        <w:tc>
          <w:tcPr>
            <w:tcW w:w="474" w:type="pct"/>
            <w:tcBorders>
              <w:top w:val="nil"/>
              <w:left w:val="nil"/>
              <w:bottom w:val="nil"/>
              <w:right w:val="nil"/>
            </w:tcBorders>
          </w:tcPr>
          <w:p w:rsidR="00897C1E" w:rsidRPr="005911E2" w:rsidRDefault="00897C1E" w:rsidP="00CF518E">
            <w:pPr>
              <w:pStyle w:val="braytabletext"/>
              <w:jc w:val="right"/>
            </w:pPr>
            <w:r w:rsidRPr="005911E2">
              <w:t>9.4</w:t>
            </w:r>
          </w:p>
        </w:tc>
        <w:tc>
          <w:tcPr>
            <w:tcW w:w="139" w:type="pct"/>
            <w:tcBorders>
              <w:top w:val="nil"/>
              <w:left w:val="nil"/>
              <w:bottom w:val="nil"/>
              <w:right w:val="nil"/>
            </w:tcBorders>
          </w:tcPr>
          <w:p w:rsidR="00897C1E" w:rsidRPr="005911E2" w:rsidRDefault="00897C1E" w:rsidP="00CF518E">
            <w:pPr>
              <w:pStyle w:val="braytabletext"/>
              <w:jc w:val="right"/>
            </w:pPr>
          </w:p>
        </w:tc>
        <w:tc>
          <w:tcPr>
            <w:tcW w:w="655" w:type="pct"/>
            <w:tcBorders>
              <w:top w:val="nil"/>
              <w:left w:val="nil"/>
              <w:bottom w:val="nil"/>
              <w:right w:val="nil"/>
            </w:tcBorders>
          </w:tcPr>
          <w:p w:rsidR="00897C1E" w:rsidRPr="005911E2" w:rsidRDefault="00897C1E" w:rsidP="00CF518E">
            <w:pPr>
              <w:pStyle w:val="braytabletext"/>
              <w:jc w:val="right"/>
            </w:pPr>
            <w:r w:rsidRPr="005911E2">
              <w:t>49.4</w:t>
            </w:r>
          </w:p>
        </w:tc>
        <w:tc>
          <w:tcPr>
            <w:tcW w:w="139" w:type="pct"/>
            <w:tcBorders>
              <w:top w:val="nil"/>
              <w:left w:val="nil"/>
              <w:bottom w:val="nil"/>
              <w:right w:val="nil"/>
            </w:tcBorders>
          </w:tcPr>
          <w:p w:rsidR="00897C1E" w:rsidRPr="005911E2" w:rsidRDefault="00897C1E" w:rsidP="00CF518E">
            <w:pPr>
              <w:pStyle w:val="braytabletext"/>
              <w:jc w:val="right"/>
            </w:pPr>
          </w:p>
        </w:tc>
        <w:tc>
          <w:tcPr>
            <w:tcW w:w="526" w:type="pct"/>
            <w:tcBorders>
              <w:top w:val="nil"/>
              <w:left w:val="nil"/>
              <w:bottom w:val="nil"/>
              <w:right w:val="nil"/>
            </w:tcBorders>
          </w:tcPr>
          <w:p w:rsidR="00897C1E" w:rsidRPr="005911E2" w:rsidRDefault="00897C1E" w:rsidP="00CF518E">
            <w:pPr>
              <w:pStyle w:val="braytabletext"/>
              <w:jc w:val="right"/>
            </w:pPr>
            <w:r w:rsidRPr="005911E2">
              <w:t>4.0</w:t>
            </w:r>
          </w:p>
        </w:tc>
        <w:tc>
          <w:tcPr>
            <w:tcW w:w="442" w:type="pct"/>
            <w:tcBorders>
              <w:top w:val="nil"/>
              <w:left w:val="nil"/>
              <w:bottom w:val="nil"/>
              <w:right w:val="nil"/>
            </w:tcBorders>
          </w:tcPr>
          <w:p w:rsidR="00897C1E" w:rsidRPr="005911E2" w:rsidRDefault="00897C1E" w:rsidP="00CF518E">
            <w:pPr>
              <w:pStyle w:val="braytabletext"/>
              <w:jc w:val="right"/>
            </w:pPr>
            <w:r w:rsidRPr="005911E2">
              <w:t>9.6</w:t>
            </w:r>
          </w:p>
        </w:tc>
      </w:tr>
      <w:tr w:rsidR="00897C1E" w:rsidRPr="005911E2" w:rsidTr="00B460A2">
        <w:trPr>
          <w:trHeight w:val="290"/>
          <w:jc w:val="right"/>
        </w:trPr>
        <w:tc>
          <w:tcPr>
            <w:tcW w:w="1016" w:type="pct"/>
            <w:tcBorders>
              <w:top w:val="nil"/>
              <w:left w:val="nil"/>
              <w:bottom w:val="nil"/>
              <w:right w:val="nil"/>
            </w:tcBorders>
          </w:tcPr>
          <w:p w:rsidR="00897C1E" w:rsidRPr="005911E2" w:rsidRDefault="00897C1E" w:rsidP="00F104E9">
            <w:pPr>
              <w:pStyle w:val="braytabletext"/>
            </w:pPr>
            <w:r w:rsidRPr="005911E2">
              <w:t>Hardly ever</w:t>
            </w:r>
          </w:p>
        </w:tc>
        <w:tc>
          <w:tcPr>
            <w:tcW w:w="557" w:type="pct"/>
            <w:gridSpan w:val="2"/>
            <w:tcBorders>
              <w:top w:val="nil"/>
              <w:left w:val="nil"/>
              <w:bottom w:val="nil"/>
              <w:right w:val="nil"/>
            </w:tcBorders>
          </w:tcPr>
          <w:p w:rsidR="00897C1E" w:rsidRPr="005911E2" w:rsidRDefault="00897C1E" w:rsidP="00CF518E">
            <w:pPr>
              <w:pStyle w:val="braytabletext"/>
              <w:jc w:val="right"/>
            </w:pPr>
            <w:r w:rsidRPr="005911E2">
              <w:t>4.5</w:t>
            </w:r>
          </w:p>
        </w:tc>
        <w:tc>
          <w:tcPr>
            <w:tcW w:w="474" w:type="pct"/>
            <w:tcBorders>
              <w:top w:val="nil"/>
              <w:left w:val="nil"/>
              <w:bottom w:val="nil"/>
              <w:right w:val="nil"/>
            </w:tcBorders>
          </w:tcPr>
          <w:p w:rsidR="00897C1E" w:rsidRPr="005911E2" w:rsidRDefault="00897C1E" w:rsidP="00CF518E">
            <w:pPr>
              <w:pStyle w:val="braytabletext"/>
              <w:jc w:val="right"/>
            </w:pPr>
            <w:r w:rsidRPr="005911E2">
              <w:t>10.6</w:t>
            </w:r>
          </w:p>
        </w:tc>
        <w:tc>
          <w:tcPr>
            <w:tcW w:w="145" w:type="pct"/>
            <w:gridSpan w:val="2"/>
            <w:tcBorders>
              <w:top w:val="nil"/>
              <w:left w:val="nil"/>
              <w:bottom w:val="nil"/>
              <w:right w:val="nil"/>
            </w:tcBorders>
          </w:tcPr>
          <w:p w:rsidR="00897C1E" w:rsidRPr="005911E2" w:rsidRDefault="00897C1E" w:rsidP="00CF518E">
            <w:pPr>
              <w:pStyle w:val="braytabletext"/>
              <w:jc w:val="right"/>
            </w:pPr>
          </w:p>
        </w:tc>
        <w:tc>
          <w:tcPr>
            <w:tcW w:w="433" w:type="pct"/>
            <w:tcBorders>
              <w:top w:val="nil"/>
              <w:left w:val="nil"/>
              <w:bottom w:val="nil"/>
              <w:right w:val="nil"/>
            </w:tcBorders>
          </w:tcPr>
          <w:p w:rsidR="00897C1E" w:rsidRPr="005911E2" w:rsidRDefault="00897C1E" w:rsidP="00CF518E">
            <w:pPr>
              <w:pStyle w:val="braytabletext"/>
              <w:jc w:val="right"/>
            </w:pPr>
            <w:r w:rsidRPr="005911E2">
              <w:t>3.7</w:t>
            </w:r>
          </w:p>
        </w:tc>
        <w:tc>
          <w:tcPr>
            <w:tcW w:w="474" w:type="pct"/>
            <w:tcBorders>
              <w:top w:val="nil"/>
              <w:left w:val="nil"/>
              <w:bottom w:val="nil"/>
              <w:right w:val="nil"/>
            </w:tcBorders>
          </w:tcPr>
          <w:p w:rsidR="00897C1E" w:rsidRPr="005911E2" w:rsidRDefault="00897C1E" w:rsidP="00CF518E">
            <w:pPr>
              <w:pStyle w:val="braytabletext"/>
              <w:jc w:val="right"/>
            </w:pPr>
            <w:r w:rsidRPr="005911E2">
              <w:t>12.5</w:t>
            </w:r>
          </w:p>
        </w:tc>
        <w:tc>
          <w:tcPr>
            <w:tcW w:w="139" w:type="pct"/>
            <w:tcBorders>
              <w:top w:val="nil"/>
              <w:left w:val="nil"/>
              <w:bottom w:val="nil"/>
              <w:right w:val="nil"/>
            </w:tcBorders>
          </w:tcPr>
          <w:p w:rsidR="00897C1E" w:rsidRPr="005911E2" w:rsidRDefault="00897C1E" w:rsidP="00CF518E">
            <w:pPr>
              <w:pStyle w:val="braytabletext"/>
              <w:jc w:val="right"/>
            </w:pPr>
          </w:p>
        </w:tc>
        <w:tc>
          <w:tcPr>
            <w:tcW w:w="655" w:type="pct"/>
            <w:tcBorders>
              <w:top w:val="nil"/>
              <w:left w:val="nil"/>
              <w:bottom w:val="nil"/>
              <w:right w:val="nil"/>
            </w:tcBorders>
          </w:tcPr>
          <w:p w:rsidR="00897C1E" w:rsidRPr="005911E2" w:rsidRDefault="00897C1E" w:rsidP="00CF518E">
            <w:pPr>
              <w:pStyle w:val="braytabletext"/>
              <w:jc w:val="right"/>
            </w:pPr>
            <w:r w:rsidRPr="005911E2">
              <w:t>11.3</w:t>
            </w:r>
          </w:p>
        </w:tc>
        <w:tc>
          <w:tcPr>
            <w:tcW w:w="139" w:type="pct"/>
            <w:tcBorders>
              <w:top w:val="nil"/>
              <w:left w:val="nil"/>
              <w:bottom w:val="nil"/>
              <w:right w:val="nil"/>
            </w:tcBorders>
          </w:tcPr>
          <w:p w:rsidR="00897C1E" w:rsidRPr="005911E2" w:rsidRDefault="00897C1E" w:rsidP="00CF518E">
            <w:pPr>
              <w:pStyle w:val="braytabletext"/>
              <w:jc w:val="right"/>
            </w:pPr>
          </w:p>
        </w:tc>
        <w:tc>
          <w:tcPr>
            <w:tcW w:w="526" w:type="pct"/>
            <w:tcBorders>
              <w:top w:val="nil"/>
              <w:left w:val="nil"/>
              <w:bottom w:val="nil"/>
              <w:right w:val="nil"/>
            </w:tcBorders>
          </w:tcPr>
          <w:p w:rsidR="00897C1E" w:rsidRPr="005911E2" w:rsidRDefault="00897C1E" w:rsidP="00CF518E">
            <w:pPr>
              <w:pStyle w:val="braytabletext"/>
              <w:jc w:val="right"/>
            </w:pPr>
            <w:r w:rsidRPr="005911E2">
              <w:t>4.0</w:t>
            </w:r>
          </w:p>
        </w:tc>
        <w:tc>
          <w:tcPr>
            <w:tcW w:w="442" w:type="pct"/>
            <w:tcBorders>
              <w:top w:val="nil"/>
              <w:left w:val="nil"/>
              <w:bottom w:val="nil"/>
              <w:right w:val="nil"/>
            </w:tcBorders>
          </w:tcPr>
          <w:p w:rsidR="00897C1E" w:rsidRPr="005911E2" w:rsidRDefault="00897C1E" w:rsidP="00CF518E">
            <w:pPr>
              <w:pStyle w:val="braytabletext"/>
              <w:jc w:val="right"/>
            </w:pPr>
            <w:r w:rsidRPr="005911E2">
              <w:t>7.7</w:t>
            </w:r>
          </w:p>
        </w:tc>
      </w:tr>
      <w:tr w:rsidR="00897C1E" w:rsidRPr="005911E2" w:rsidTr="00B460A2">
        <w:trPr>
          <w:trHeight w:val="290"/>
          <w:jc w:val="right"/>
        </w:trPr>
        <w:tc>
          <w:tcPr>
            <w:tcW w:w="1016" w:type="pct"/>
            <w:tcBorders>
              <w:top w:val="nil"/>
              <w:left w:val="nil"/>
              <w:bottom w:val="nil"/>
              <w:right w:val="nil"/>
            </w:tcBorders>
          </w:tcPr>
          <w:p w:rsidR="00897C1E" w:rsidRPr="005911E2" w:rsidRDefault="00897C1E" w:rsidP="00F104E9">
            <w:pPr>
              <w:pStyle w:val="braytabletext"/>
            </w:pPr>
            <w:r w:rsidRPr="005911E2">
              <w:t>Sometimes</w:t>
            </w:r>
          </w:p>
        </w:tc>
        <w:tc>
          <w:tcPr>
            <w:tcW w:w="557" w:type="pct"/>
            <w:gridSpan w:val="2"/>
            <w:tcBorders>
              <w:top w:val="nil"/>
              <w:left w:val="nil"/>
              <w:bottom w:val="nil"/>
              <w:right w:val="nil"/>
            </w:tcBorders>
          </w:tcPr>
          <w:p w:rsidR="00897C1E" w:rsidRPr="005911E2" w:rsidRDefault="00897C1E" w:rsidP="00CF518E">
            <w:pPr>
              <w:pStyle w:val="braytabletext"/>
              <w:jc w:val="right"/>
            </w:pPr>
            <w:r w:rsidRPr="005911E2">
              <w:t>23.2</w:t>
            </w:r>
          </w:p>
        </w:tc>
        <w:tc>
          <w:tcPr>
            <w:tcW w:w="474" w:type="pct"/>
            <w:tcBorders>
              <w:top w:val="nil"/>
              <w:left w:val="nil"/>
              <w:bottom w:val="nil"/>
              <w:right w:val="nil"/>
            </w:tcBorders>
          </w:tcPr>
          <w:p w:rsidR="00897C1E" w:rsidRPr="005911E2" w:rsidRDefault="00897C1E" w:rsidP="00CF518E">
            <w:pPr>
              <w:pStyle w:val="braytabletext"/>
              <w:jc w:val="right"/>
            </w:pPr>
            <w:r w:rsidRPr="005911E2">
              <w:t>23.8</w:t>
            </w:r>
          </w:p>
        </w:tc>
        <w:tc>
          <w:tcPr>
            <w:tcW w:w="145" w:type="pct"/>
            <w:gridSpan w:val="2"/>
            <w:tcBorders>
              <w:top w:val="nil"/>
              <w:left w:val="nil"/>
              <w:bottom w:val="nil"/>
              <w:right w:val="nil"/>
            </w:tcBorders>
          </w:tcPr>
          <w:p w:rsidR="00897C1E" w:rsidRPr="005911E2" w:rsidRDefault="00897C1E" w:rsidP="00CF518E">
            <w:pPr>
              <w:pStyle w:val="braytabletext"/>
              <w:jc w:val="right"/>
            </w:pPr>
          </w:p>
        </w:tc>
        <w:tc>
          <w:tcPr>
            <w:tcW w:w="433" w:type="pct"/>
            <w:tcBorders>
              <w:top w:val="nil"/>
              <w:left w:val="nil"/>
              <w:bottom w:val="nil"/>
              <w:right w:val="nil"/>
            </w:tcBorders>
          </w:tcPr>
          <w:p w:rsidR="00897C1E" w:rsidRPr="005911E2" w:rsidRDefault="00897C1E" w:rsidP="00CF518E">
            <w:pPr>
              <w:pStyle w:val="braytabletext"/>
              <w:jc w:val="right"/>
            </w:pPr>
            <w:r w:rsidRPr="005911E2">
              <w:t>24.1</w:t>
            </w:r>
          </w:p>
        </w:tc>
        <w:tc>
          <w:tcPr>
            <w:tcW w:w="474" w:type="pct"/>
            <w:tcBorders>
              <w:top w:val="nil"/>
              <w:left w:val="nil"/>
              <w:bottom w:val="nil"/>
              <w:right w:val="nil"/>
            </w:tcBorders>
          </w:tcPr>
          <w:p w:rsidR="00897C1E" w:rsidRPr="005911E2" w:rsidRDefault="00897C1E" w:rsidP="00CF518E">
            <w:pPr>
              <w:pStyle w:val="braytabletext"/>
              <w:jc w:val="right"/>
            </w:pPr>
            <w:r w:rsidRPr="005911E2">
              <w:t>15.6</w:t>
            </w:r>
          </w:p>
        </w:tc>
        <w:tc>
          <w:tcPr>
            <w:tcW w:w="139" w:type="pct"/>
            <w:tcBorders>
              <w:top w:val="nil"/>
              <w:left w:val="nil"/>
              <w:bottom w:val="nil"/>
              <w:right w:val="nil"/>
            </w:tcBorders>
          </w:tcPr>
          <w:p w:rsidR="00897C1E" w:rsidRPr="005911E2" w:rsidRDefault="00897C1E" w:rsidP="00CF518E">
            <w:pPr>
              <w:pStyle w:val="braytabletext"/>
              <w:jc w:val="right"/>
            </w:pPr>
          </w:p>
        </w:tc>
        <w:tc>
          <w:tcPr>
            <w:tcW w:w="655" w:type="pct"/>
            <w:tcBorders>
              <w:top w:val="nil"/>
              <w:left w:val="nil"/>
              <w:bottom w:val="nil"/>
              <w:right w:val="nil"/>
            </w:tcBorders>
          </w:tcPr>
          <w:p w:rsidR="00897C1E" w:rsidRPr="005911E2" w:rsidRDefault="00897C1E" w:rsidP="00CF518E">
            <w:pPr>
              <w:pStyle w:val="braytabletext"/>
              <w:jc w:val="right"/>
            </w:pPr>
            <w:r w:rsidRPr="005911E2">
              <w:t>9.5</w:t>
            </w:r>
          </w:p>
        </w:tc>
        <w:tc>
          <w:tcPr>
            <w:tcW w:w="139" w:type="pct"/>
            <w:tcBorders>
              <w:top w:val="nil"/>
              <w:left w:val="nil"/>
              <w:bottom w:val="nil"/>
              <w:right w:val="nil"/>
            </w:tcBorders>
          </w:tcPr>
          <w:p w:rsidR="00897C1E" w:rsidRPr="005911E2" w:rsidRDefault="00897C1E" w:rsidP="00CF518E">
            <w:pPr>
              <w:pStyle w:val="braytabletext"/>
              <w:jc w:val="right"/>
            </w:pPr>
          </w:p>
        </w:tc>
        <w:tc>
          <w:tcPr>
            <w:tcW w:w="526" w:type="pct"/>
            <w:tcBorders>
              <w:top w:val="nil"/>
              <w:left w:val="nil"/>
              <w:bottom w:val="nil"/>
              <w:right w:val="nil"/>
            </w:tcBorders>
          </w:tcPr>
          <w:p w:rsidR="00897C1E" w:rsidRPr="005911E2" w:rsidRDefault="00897C1E" w:rsidP="00CF518E">
            <w:pPr>
              <w:pStyle w:val="braytabletext"/>
              <w:jc w:val="right"/>
            </w:pPr>
            <w:r w:rsidRPr="005911E2">
              <w:t>30.9</w:t>
            </w:r>
          </w:p>
        </w:tc>
        <w:tc>
          <w:tcPr>
            <w:tcW w:w="442" w:type="pct"/>
            <w:tcBorders>
              <w:top w:val="nil"/>
              <w:left w:val="nil"/>
              <w:bottom w:val="nil"/>
              <w:right w:val="nil"/>
            </w:tcBorders>
          </w:tcPr>
          <w:p w:rsidR="00897C1E" w:rsidRPr="005911E2" w:rsidRDefault="00897C1E" w:rsidP="00CF518E">
            <w:pPr>
              <w:pStyle w:val="braytabletext"/>
              <w:jc w:val="right"/>
            </w:pPr>
            <w:r w:rsidRPr="005911E2">
              <w:t>29.8</w:t>
            </w:r>
          </w:p>
        </w:tc>
      </w:tr>
      <w:tr w:rsidR="00897C1E" w:rsidRPr="005911E2" w:rsidTr="00B460A2">
        <w:trPr>
          <w:trHeight w:val="290"/>
          <w:jc w:val="right"/>
        </w:trPr>
        <w:tc>
          <w:tcPr>
            <w:tcW w:w="1016" w:type="pct"/>
            <w:tcBorders>
              <w:top w:val="nil"/>
              <w:left w:val="nil"/>
              <w:bottom w:val="nil"/>
              <w:right w:val="nil"/>
            </w:tcBorders>
          </w:tcPr>
          <w:p w:rsidR="00897C1E" w:rsidRPr="005911E2" w:rsidRDefault="00897C1E" w:rsidP="00F104E9">
            <w:pPr>
              <w:pStyle w:val="braytabletext"/>
            </w:pPr>
            <w:r w:rsidRPr="005911E2">
              <w:t>Most of the time</w:t>
            </w:r>
          </w:p>
        </w:tc>
        <w:tc>
          <w:tcPr>
            <w:tcW w:w="557" w:type="pct"/>
            <w:gridSpan w:val="2"/>
            <w:tcBorders>
              <w:top w:val="nil"/>
              <w:left w:val="nil"/>
              <w:bottom w:val="nil"/>
              <w:right w:val="nil"/>
            </w:tcBorders>
          </w:tcPr>
          <w:p w:rsidR="00897C1E" w:rsidRPr="005911E2" w:rsidRDefault="00897C1E" w:rsidP="00CF518E">
            <w:pPr>
              <w:pStyle w:val="braytabletext"/>
              <w:jc w:val="right"/>
            </w:pPr>
            <w:r w:rsidRPr="005911E2">
              <w:t>20.5</w:t>
            </w:r>
          </w:p>
        </w:tc>
        <w:tc>
          <w:tcPr>
            <w:tcW w:w="474" w:type="pct"/>
            <w:tcBorders>
              <w:top w:val="nil"/>
              <w:left w:val="nil"/>
              <w:bottom w:val="nil"/>
              <w:right w:val="nil"/>
            </w:tcBorders>
          </w:tcPr>
          <w:p w:rsidR="00897C1E" w:rsidRPr="005911E2" w:rsidRDefault="00897C1E" w:rsidP="00CF518E">
            <w:pPr>
              <w:pStyle w:val="braytabletext"/>
              <w:jc w:val="right"/>
            </w:pPr>
            <w:r w:rsidRPr="005911E2">
              <w:t>9.9</w:t>
            </w:r>
          </w:p>
        </w:tc>
        <w:tc>
          <w:tcPr>
            <w:tcW w:w="145" w:type="pct"/>
            <w:gridSpan w:val="2"/>
            <w:tcBorders>
              <w:top w:val="nil"/>
              <w:left w:val="nil"/>
              <w:bottom w:val="nil"/>
              <w:right w:val="nil"/>
            </w:tcBorders>
          </w:tcPr>
          <w:p w:rsidR="00897C1E" w:rsidRPr="005911E2" w:rsidRDefault="00897C1E" w:rsidP="00CF518E">
            <w:pPr>
              <w:pStyle w:val="braytabletext"/>
              <w:jc w:val="right"/>
            </w:pPr>
          </w:p>
        </w:tc>
        <w:tc>
          <w:tcPr>
            <w:tcW w:w="433" w:type="pct"/>
            <w:tcBorders>
              <w:top w:val="nil"/>
              <w:left w:val="nil"/>
              <w:bottom w:val="nil"/>
              <w:right w:val="nil"/>
            </w:tcBorders>
          </w:tcPr>
          <w:p w:rsidR="00897C1E" w:rsidRPr="005911E2" w:rsidRDefault="00897C1E" w:rsidP="00CF518E">
            <w:pPr>
              <w:pStyle w:val="braytabletext"/>
              <w:jc w:val="right"/>
            </w:pPr>
            <w:r w:rsidRPr="005911E2">
              <w:t>23.1</w:t>
            </w:r>
          </w:p>
        </w:tc>
        <w:tc>
          <w:tcPr>
            <w:tcW w:w="474" w:type="pct"/>
            <w:tcBorders>
              <w:top w:val="nil"/>
              <w:left w:val="nil"/>
              <w:bottom w:val="nil"/>
              <w:right w:val="nil"/>
            </w:tcBorders>
          </w:tcPr>
          <w:p w:rsidR="00897C1E" w:rsidRPr="005911E2" w:rsidRDefault="00897C1E" w:rsidP="00CF518E">
            <w:pPr>
              <w:pStyle w:val="braytabletext"/>
              <w:jc w:val="right"/>
            </w:pPr>
            <w:r w:rsidRPr="005911E2">
              <w:t>40.6</w:t>
            </w:r>
          </w:p>
        </w:tc>
        <w:tc>
          <w:tcPr>
            <w:tcW w:w="139" w:type="pct"/>
            <w:tcBorders>
              <w:top w:val="nil"/>
              <w:left w:val="nil"/>
              <w:bottom w:val="nil"/>
              <w:right w:val="nil"/>
            </w:tcBorders>
          </w:tcPr>
          <w:p w:rsidR="00897C1E" w:rsidRPr="005911E2" w:rsidRDefault="00897C1E" w:rsidP="00CF518E">
            <w:pPr>
              <w:pStyle w:val="braytabletext"/>
              <w:jc w:val="right"/>
            </w:pPr>
          </w:p>
        </w:tc>
        <w:tc>
          <w:tcPr>
            <w:tcW w:w="655" w:type="pct"/>
            <w:tcBorders>
              <w:top w:val="nil"/>
              <w:left w:val="nil"/>
              <w:bottom w:val="nil"/>
              <w:right w:val="nil"/>
            </w:tcBorders>
          </w:tcPr>
          <w:p w:rsidR="00897C1E" w:rsidRPr="005911E2" w:rsidRDefault="00897C1E" w:rsidP="00CF518E">
            <w:pPr>
              <w:pStyle w:val="braytabletext"/>
              <w:jc w:val="right"/>
            </w:pPr>
            <w:r w:rsidRPr="005911E2">
              <w:t>8.3</w:t>
            </w:r>
          </w:p>
        </w:tc>
        <w:tc>
          <w:tcPr>
            <w:tcW w:w="139" w:type="pct"/>
            <w:tcBorders>
              <w:top w:val="nil"/>
              <w:left w:val="nil"/>
              <w:bottom w:val="nil"/>
              <w:right w:val="nil"/>
            </w:tcBorders>
          </w:tcPr>
          <w:p w:rsidR="00897C1E" w:rsidRPr="005911E2" w:rsidRDefault="00897C1E" w:rsidP="00CF518E">
            <w:pPr>
              <w:pStyle w:val="braytabletext"/>
              <w:jc w:val="right"/>
            </w:pPr>
          </w:p>
        </w:tc>
        <w:tc>
          <w:tcPr>
            <w:tcW w:w="526" w:type="pct"/>
            <w:tcBorders>
              <w:top w:val="nil"/>
              <w:left w:val="nil"/>
              <w:bottom w:val="nil"/>
              <w:right w:val="nil"/>
            </w:tcBorders>
          </w:tcPr>
          <w:p w:rsidR="00897C1E" w:rsidRPr="005911E2" w:rsidRDefault="00897C1E" w:rsidP="00CF518E">
            <w:pPr>
              <w:pStyle w:val="braytabletext"/>
              <w:jc w:val="right"/>
            </w:pPr>
            <w:r w:rsidRPr="005911E2">
              <w:t>25.7</w:t>
            </w:r>
          </w:p>
        </w:tc>
        <w:tc>
          <w:tcPr>
            <w:tcW w:w="442" w:type="pct"/>
            <w:tcBorders>
              <w:top w:val="nil"/>
              <w:left w:val="nil"/>
              <w:bottom w:val="nil"/>
              <w:right w:val="nil"/>
            </w:tcBorders>
          </w:tcPr>
          <w:p w:rsidR="00897C1E" w:rsidRPr="005911E2" w:rsidRDefault="00897C1E" w:rsidP="00CF518E">
            <w:pPr>
              <w:pStyle w:val="braytabletext"/>
              <w:jc w:val="right"/>
            </w:pPr>
            <w:r w:rsidRPr="005911E2">
              <w:t>30.8</w:t>
            </w:r>
          </w:p>
        </w:tc>
      </w:tr>
      <w:tr w:rsidR="00897C1E" w:rsidRPr="005911E2" w:rsidTr="00B460A2">
        <w:trPr>
          <w:trHeight w:val="290"/>
          <w:jc w:val="right"/>
        </w:trPr>
        <w:tc>
          <w:tcPr>
            <w:tcW w:w="1016" w:type="pct"/>
            <w:tcBorders>
              <w:top w:val="nil"/>
              <w:left w:val="nil"/>
              <w:bottom w:val="single" w:sz="4" w:space="0" w:color="auto"/>
              <w:right w:val="nil"/>
            </w:tcBorders>
          </w:tcPr>
          <w:p w:rsidR="00897C1E" w:rsidRPr="005911E2" w:rsidRDefault="00897C1E" w:rsidP="00F104E9">
            <w:pPr>
              <w:pStyle w:val="braytabletext"/>
            </w:pPr>
            <w:r w:rsidRPr="005911E2">
              <w:t>All the time</w:t>
            </w:r>
          </w:p>
        </w:tc>
        <w:tc>
          <w:tcPr>
            <w:tcW w:w="557" w:type="pct"/>
            <w:gridSpan w:val="2"/>
            <w:tcBorders>
              <w:top w:val="nil"/>
              <w:left w:val="nil"/>
              <w:bottom w:val="single" w:sz="4" w:space="0" w:color="auto"/>
              <w:right w:val="nil"/>
            </w:tcBorders>
          </w:tcPr>
          <w:p w:rsidR="00897C1E" w:rsidRPr="005911E2" w:rsidRDefault="00897C1E" w:rsidP="00CF518E">
            <w:pPr>
              <w:pStyle w:val="braytabletext"/>
              <w:jc w:val="right"/>
            </w:pPr>
            <w:r w:rsidRPr="005911E2">
              <w:t>43.6</w:t>
            </w:r>
          </w:p>
        </w:tc>
        <w:tc>
          <w:tcPr>
            <w:tcW w:w="474" w:type="pct"/>
            <w:tcBorders>
              <w:top w:val="nil"/>
              <w:left w:val="nil"/>
              <w:bottom w:val="single" w:sz="4" w:space="0" w:color="auto"/>
              <w:right w:val="nil"/>
            </w:tcBorders>
          </w:tcPr>
          <w:p w:rsidR="00897C1E" w:rsidRPr="005911E2" w:rsidRDefault="00897C1E" w:rsidP="00CF518E">
            <w:pPr>
              <w:pStyle w:val="braytabletext"/>
              <w:jc w:val="right"/>
            </w:pPr>
            <w:r w:rsidRPr="005911E2">
              <w:t>27.2</w:t>
            </w:r>
          </w:p>
        </w:tc>
        <w:tc>
          <w:tcPr>
            <w:tcW w:w="145" w:type="pct"/>
            <w:gridSpan w:val="2"/>
            <w:tcBorders>
              <w:top w:val="nil"/>
              <w:left w:val="nil"/>
              <w:bottom w:val="single" w:sz="4" w:space="0" w:color="auto"/>
              <w:right w:val="nil"/>
            </w:tcBorders>
          </w:tcPr>
          <w:p w:rsidR="00897C1E" w:rsidRPr="005911E2" w:rsidRDefault="00897C1E" w:rsidP="00CF518E">
            <w:pPr>
              <w:pStyle w:val="braytabletext"/>
              <w:jc w:val="right"/>
            </w:pPr>
          </w:p>
        </w:tc>
        <w:tc>
          <w:tcPr>
            <w:tcW w:w="433" w:type="pct"/>
            <w:tcBorders>
              <w:top w:val="nil"/>
              <w:left w:val="nil"/>
              <w:bottom w:val="single" w:sz="4" w:space="0" w:color="auto"/>
              <w:right w:val="nil"/>
            </w:tcBorders>
          </w:tcPr>
          <w:p w:rsidR="00897C1E" w:rsidRPr="005911E2" w:rsidRDefault="00897C1E" w:rsidP="00CF518E">
            <w:pPr>
              <w:pStyle w:val="braytabletext"/>
              <w:jc w:val="right"/>
            </w:pPr>
            <w:r w:rsidRPr="005911E2">
              <w:t>43.5</w:t>
            </w:r>
          </w:p>
        </w:tc>
        <w:tc>
          <w:tcPr>
            <w:tcW w:w="474" w:type="pct"/>
            <w:tcBorders>
              <w:top w:val="nil"/>
              <w:left w:val="nil"/>
              <w:bottom w:val="single" w:sz="4" w:space="0" w:color="auto"/>
              <w:right w:val="nil"/>
            </w:tcBorders>
          </w:tcPr>
          <w:p w:rsidR="00897C1E" w:rsidRPr="005911E2" w:rsidRDefault="00897C1E" w:rsidP="00CF518E">
            <w:pPr>
              <w:pStyle w:val="braytabletext"/>
              <w:jc w:val="right"/>
            </w:pPr>
            <w:r w:rsidRPr="005911E2">
              <w:t>21.9</w:t>
            </w:r>
          </w:p>
        </w:tc>
        <w:tc>
          <w:tcPr>
            <w:tcW w:w="139" w:type="pct"/>
            <w:tcBorders>
              <w:top w:val="nil"/>
              <w:left w:val="nil"/>
              <w:bottom w:val="single" w:sz="4" w:space="0" w:color="auto"/>
              <w:right w:val="nil"/>
            </w:tcBorders>
          </w:tcPr>
          <w:p w:rsidR="00897C1E" w:rsidRPr="005911E2" w:rsidRDefault="00897C1E" w:rsidP="00CF518E">
            <w:pPr>
              <w:pStyle w:val="braytabletext"/>
              <w:jc w:val="right"/>
            </w:pPr>
          </w:p>
        </w:tc>
        <w:tc>
          <w:tcPr>
            <w:tcW w:w="655" w:type="pct"/>
            <w:tcBorders>
              <w:top w:val="nil"/>
              <w:left w:val="nil"/>
              <w:bottom w:val="single" w:sz="4" w:space="0" w:color="auto"/>
              <w:right w:val="nil"/>
            </w:tcBorders>
          </w:tcPr>
          <w:p w:rsidR="00897C1E" w:rsidRPr="005911E2" w:rsidRDefault="00897C1E" w:rsidP="00CF518E">
            <w:pPr>
              <w:pStyle w:val="braytabletext"/>
              <w:jc w:val="right"/>
            </w:pPr>
            <w:r w:rsidRPr="005911E2">
              <w:t>21.4</w:t>
            </w:r>
          </w:p>
        </w:tc>
        <w:tc>
          <w:tcPr>
            <w:tcW w:w="139" w:type="pct"/>
            <w:tcBorders>
              <w:top w:val="nil"/>
              <w:left w:val="nil"/>
              <w:bottom w:val="single" w:sz="4" w:space="0" w:color="auto"/>
              <w:right w:val="nil"/>
            </w:tcBorders>
          </w:tcPr>
          <w:p w:rsidR="00897C1E" w:rsidRPr="005911E2" w:rsidRDefault="00897C1E" w:rsidP="00CF518E">
            <w:pPr>
              <w:pStyle w:val="braytabletext"/>
              <w:jc w:val="right"/>
            </w:pPr>
          </w:p>
        </w:tc>
        <w:tc>
          <w:tcPr>
            <w:tcW w:w="526" w:type="pct"/>
            <w:tcBorders>
              <w:top w:val="nil"/>
              <w:left w:val="nil"/>
              <w:bottom w:val="single" w:sz="4" w:space="0" w:color="auto"/>
              <w:right w:val="nil"/>
            </w:tcBorders>
          </w:tcPr>
          <w:p w:rsidR="00897C1E" w:rsidRPr="005911E2" w:rsidRDefault="00897C1E" w:rsidP="00CF518E">
            <w:pPr>
              <w:pStyle w:val="braytabletext"/>
              <w:jc w:val="right"/>
            </w:pPr>
            <w:r w:rsidRPr="005911E2">
              <w:t>35.4</w:t>
            </w:r>
          </w:p>
        </w:tc>
        <w:tc>
          <w:tcPr>
            <w:tcW w:w="442" w:type="pct"/>
            <w:tcBorders>
              <w:top w:val="nil"/>
              <w:left w:val="nil"/>
              <w:bottom w:val="single" w:sz="4" w:space="0" w:color="auto"/>
              <w:right w:val="nil"/>
            </w:tcBorders>
          </w:tcPr>
          <w:p w:rsidR="00897C1E" w:rsidRPr="005911E2" w:rsidRDefault="00897C1E" w:rsidP="00CF518E">
            <w:pPr>
              <w:pStyle w:val="braytabletext"/>
              <w:jc w:val="right"/>
            </w:pPr>
            <w:r w:rsidRPr="005911E2">
              <w:t>22.1</w:t>
            </w:r>
          </w:p>
        </w:tc>
      </w:tr>
      <w:tr w:rsidR="00897C1E" w:rsidRPr="005911E2" w:rsidTr="00B460A2">
        <w:trPr>
          <w:trHeight w:val="290"/>
          <w:jc w:val="right"/>
        </w:trPr>
        <w:tc>
          <w:tcPr>
            <w:tcW w:w="1016" w:type="pct"/>
            <w:tcBorders>
              <w:top w:val="single" w:sz="4" w:space="0" w:color="auto"/>
              <w:left w:val="nil"/>
              <w:bottom w:val="single" w:sz="4" w:space="0" w:color="auto"/>
              <w:right w:val="nil"/>
            </w:tcBorders>
          </w:tcPr>
          <w:p w:rsidR="00897C1E" w:rsidRPr="005911E2" w:rsidRDefault="00E15AAB" w:rsidP="00F104E9">
            <w:pPr>
              <w:pStyle w:val="braytabletext"/>
            </w:pPr>
            <w:r>
              <w:t>Number</w:t>
            </w:r>
          </w:p>
        </w:tc>
        <w:tc>
          <w:tcPr>
            <w:tcW w:w="557" w:type="pct"/>
            <w:gridSpan w:val="2"/>
            <w:tcBorders>
              <w:top w:val="single" w:sz="4" w:space="0" w:color="auto"/>
              <w:left w:val="nil"/>
              <w:bottom w:val="single" w:sz="4" w:space="0" w:color="auto"/>
              <w:right w:val="nil"/>
            </w:tcBorders>
          </w:tcPr>
          <w:p w:rsidR="00897C1E" w:rsidRPr="005911E2" w:rsidRDefault="00897C1E" w:rsidP="00CF518E">
            <w:pPr>
              <w:pStyle w:val="braytabletext"/>
              <w:jc w:val="right"/>
            </w:pPr>
            <w:r w:rsidRPr="005911E2">
              <w:t>244</w:t>
            </w:r>
          </w:p>
        </w:tc>
        <w:tc>
          <w:tcPr>
            <w:tcW w:w="474" w:type="pct"/>
            <w:tcBorders>
              <w:top w:val="single" w:sz="4" w:space="0" w:color="auto"/>
              <w:left w:val="nil"/>
              <w:bottom w:val="single" w:sz="4" w:space="0" w:color="auto"/>
              <w:right w:val="nil"/>
            </w:tcBorders>
          </w:tcPr>
          <w:p w:rsidR="00897C1E" w:rsidRPr="005911E2" w:rsidRDefault="00897C1E" w:rsidP="00CF518E">
            <w:pPr>
              <w:pStyle w:val="braytabletext"/>
              <w:jc w:val="right"/>
            </w:pPr>
            <w:r w:rsidRPr="005911E2">
              <w:t>168</w:t>
            </w:r>
          </w:p>
        </w:tc>
        <w:tc>
          <w:tcPr>
            <w:tcW w:w="145" w:type="pct"/>
            <w:gridSpan w:val="2"/>
            <w:tcBorders>
              <w:top w:val="single" w:sz="4" w:space="0" w:color="auto"/>
              <w:left w:val="nil"/>
              <w:bottom w:val="single" w:sz="4" w:space="0" w:color="auto"/>
              <w:right w:val="nil"/>
            </w:tcBorders>
          </w:tcPr>
          <w:p w:rsidR="00897C1E" w:rsidRPr="005911E2" w:rsidRDefault="00897C1E" w:rsidP="00CF518E">
            <w:pPr>
              <w:pStyle w:val="braytabletext"/>
              <w:jc w:val="right"/>
              <w:rPr>
                <w:rFonts w:ascii="Verdana" w:hAnsi="Verdana" w:cs="Verdana"/>
              </w:rPr>
            </w:pPr>
          </w:p>
        </w:tc>
        <w:tc>
          <w:tcPr>
            <w:tcW w:w="433" w:type="pct"/>
            <w:tcBorders>
              <w:top w:val="single" w:sz="4" w:space="0" w:color="auto"/>
              <w:left w:val="nil"/>
              <w:bottom w:val="single" w:sz="4" w:space="0" w:color="auto"/>
              <w:right w:val="nil"/>
            </w:tcBorders>
          </w:tcPr>
          <w:p w:rsidR="00897C1E" w:rsidRPr="005911E2" w:rsidRDefault="00897C1E" w:rsidP="00CF518E">
            <w:pPr>
              <w:pStyle w:val="braytabletext"/>
              <w:jc w:val="right"/>
            </w:pPr>
            <w:r w:rsidRPr="005911E2">
              <w:t>128</w:t>
            </w:r>
          </w:p>
        </w:tc>
        <w:tc>
          <w:tcPr>
            <w:tcW w:w="474" w:type="pct"/>
            <w:tcBorders>
              <w:top w:val="single" w:sz="4" w:space="0" w:color="auto"/>
              <w:left w:val="nil"/>
              <w:bottom w:val="single" w:sz="4" w:space="0" w:color="auto"/>
              <w:right w:val="nil"/>
            </w:tcBorders>
          </w:tcPr>
          <w:p w:rsidR="00897C1E" w:rsidRPr="005911E2" w:rsidRDefault="00897C1E" w:rsidP="00CF518E">
            <w:pPr>
              <w:pStyle w:val="braytabletext"/>
              <w:jc w:val="right"/>
            </w:pPr>
            <w:r w:rsidRPr="005911E2">
              <w:t>33</w:t>
            </w:r>
          </w:p>
        </w:tc>
        <w:tc>
          <w:tcPr>
            <w:tcW w:w="139" w:type="pct"/>
            <w:tcBorders>
              <w:top w:val="single" w:sz="4" w:space="0" w:color="auto"/>
              <w:left w:val="nil"/>
              <w:bottom w:val="single" w:sz="4" w:space="0" w:color="auto"/>
              <w:right w:val="nil"/>
            </w:tcBorders>
          </w:tcPr>
          <w:p w:rsidR="00897C1E" w:rsidRPr="005911E2" w:rsidRDefault="00897C1E" w:rsidP="00CF518E">
            <w:pPr>
              <w:pStyle w:val="braytabletext"/>
              <w:jc w:val="right"/>
            </w:pPr>
          </w:p>
        </w:tc>
        <w:tc>
          <w:tcPr>
            <w:tcW w:w="655" w:type="pct"/>
            <w:tcBorders>
              <w:top w:val="single" w:sz="4" w:space="0" w:color="auto"/>
              <w:left w:val="nil"/>
              <w:bottom w:val="single" w:sz="4" w:space="0" w:color="auto"/>
              <w:right w:val="nil"/>
            </w:tcBorders>
          </w:tcPr>
          <w:p w:rsidR="00897C1E" w:rsidRPr="005911E2" w:rsidRDefault="00897C1E" w:rsidP="00CF518E">
            <w:pPr>
              <w:pStyle w:val="braytabletext"/>
              <w:jc w:val="right"/>
            </w:pPr>
            <w:r w:rsidRPr="005911E2">
              <w:t>184</w:t>
            </w:r>
          </w:p>
        </w:tc>
        <w:tc>
          <w:tcPr>
            <w:tcW w:w="139" w:type="pct"/>
            <w:tcBorders>
              <w:top w:val="single" w:sz="4" w:space="0" w:color="auto"/>
              <w:left w:val="nil"/>
              <w:bottom w:val="single" w:sz="4" w:space="0" w:color="auto"/>
              <w:right w:val="nil"/>
            </w:tcBorders>
          </w:tcPr>
          <w:p w:rsidR="00897C1E" w:rsidRPr="005911E2" w:rsidRDefault="00897C1E" w:rsidP="00CF518E">
            <w:pPr>
              <w:pStyle w:val="braytabletext"/>
              <w:jc w:val="right"/>
            </w:pPr>
            <w:r w:rsidRPr="005911E2">
              <w:t xml:space="preserve"> </w:t>
            </w:r>
          </w:p>
        </w:tc>
        <w:tc>
          <w:tcPr>
            <w:tcW w:w="526" w:type="pct"/>
            <w:tcBorders>
              <w:top w:val="single" w:sz="4" w:space="0" w:color="auto"/>
              <w:left w:val="nil"/>
              <w:bottom w:val="single" w:sz="4" w:space="0" w:color="auto"/>
              <w:right w:val="nil"/>
            </w:tcBorders>
          </w:tcPr>
          <w:p w:rsidR="00897C1E" w:rsidRPr="005911E2" w:rsidRDefault="00897C1E" w:rsidP="00CF518E">
            <w:pPr>
              <w:pStyle w:val="braytabletext"/>
              <w:jc w:val="right"/>
            </w:pPr>
            <w:r w:rsidRPr="005911E2">
              <w:t>199</w:t>
            </w:r>
          </w:p>
        </w:tc>
        <w:tc>
          <w:tcPr>
            <w:tcW w:w="442" w:type="pct"/>
            <w:tcBorders>
              <w:top w:val="single" w:sz="4" w:space="0" w:color="auto"/>
              <w:left w:val="nil"/>
              <w:bottom w:val="single" w:sz="4" w:space="0" w:color="auto"/>
              <w:right w:val="nil"/>
            </w:tcBorders>
          </w:tcPr>
          <w:p w:rsidR="00897C1E" w:rsidRPr="005911E2" w:rsidRDefault="00897C1E" w:rsidP="00CF518E">
            <w:pPr>
              <w:pStyle w:val="braytabletext"/>
              <w:jc w:val="right"/>
            </w:pPr>
            <w:r w:rsidRPr="005911E2">
              <w:t>106</w:t>
            </w:r>
          </w:p>
        </w:tc>
      </w:tr>
    </w:tbl>
    <w:p w:rsidR="00897C1E" w:rsidRPr="005911E2" w:rsidRDefault="00897C1E" w:rsidP="00CF78DB">
      <w:pPr>
        <w:pStyle w:val="tablefootnotes"/>
      </w:pPr>
      <w:r w:rsidRPr="005911E2">
        <w:t>Source:</w:t>
      </w:r>
      <w:r w:rsidR="00CF518E">
        <w:tab/>
      </w:r>
      <w:r w:rsidRPr="005911E2">
        <w:t xml:space="preserve"> LSNIM, Wave 1.</w:t>
      </w:r>
    </w:p>
    <w:p w:rsidR="00897C1E" w:rsidRPr="005911E2" w:rsidRDefault="00897C1E" w:rsidP="00CF78DB">
      <w:pPr>
        <w:pStyle w:val="tablefootnotes"/>
      </w:pPr>
    </w:p>
    <w:p w:rsidR="00897C1E" w:rsidRPr="005911E2" w:rsidRDefault="00897C1E" w:rsidP="007B4471">
      <w:pPr>
        <w:pStyle w:val="Heading4"/>
      </w:pPr>
      <w:r w:rsidRPr="005911E2">
        <w:t>Discrimination</w:t>
      </w:r>
    </w:p>
    <w:p w:rsidR="00897C1E" w:rsidRPr="005911E2" w:rsidRDefault="00897C1E" w:rsidP="00897C1E">
      <w:pPr>
        <w:pStyle w:val="BodyText"/>
      </w:pPr>
      <w:r w:rsidRPr="005911E2">
        <w:t xml:space="preserve">Most people on </w:t>
      </w:r>
      <w:r w:rsidR="00F878E4">
        <w:t>income management</w:t>
      </w:r>
      <w:r w:rsidRPr="005911E2">
        <w:t xml:space="preserve"> felt, at some time or another</w:t>
      </w:r>
      <w:r w:rsidR="0060208C">
        <w:t>,</w:t>
      </w:r>
      <w:r w:rsidRPr="005911E2">
        <w:t xml:space="preserve"> that they were being discriminated against </w:t>
      </w:r>
      <w:r w:rsidR="0060208C">
        <w:t>because they are</w:t>
      </w:r>
      <w:r w:rsidRPr="005911E2">
        <w:t xml:space="preserve"> </w:t>
      </w:r>
      <w:r w:rsidR="00F878E4">
        <w:t>income manage</w:t>
      </w:r>
      <w:r w:rsidR="0060208C">
        <w:t>d</w:t>
      </w:r>
      <w:r w:rsidRPr="005911E2">
        <w:t xml:space="preserve">. Depending upon the subgroup, between 22 per cent (those on </w:t>
      </w:r>
      <w:r w:rsidR="0060208C">
        <w:t>c</w:t>
      </w:r>
      <w:r w:rsidR="004808B3">
        <w:t xml:space="preserve">ompulsory </w:t>
      </w:r>
      <w:r w:rsidR="0060208C">
        <w:t xml:space="preserve">measures </w:t>
      </w:r>
      <w:r w:rsidRPr="005911E2">
        <w:t xml:space="preserve">in NTER areas) and 34 per cent (those on </w:t>
      </w:r>
      <w:r w:rsidR="001102A1">
        <w:t>Voluntary Income Management</w:t>
      </w:r>
      <w:r w:rsidR="0060208C">
        <w:t xml:space="preserve"> </w:t>
      </w:r>
      <w:r w:rsidRPr="005911E2">
        <w:t xml:space="preserve">in non-NTER areas) reported never feeling a sense of discrimination. At the other extreme, between 19 per cent (Indigenous people on </w:t>
      </w:r>
      <w:r w:rsidR="001102A1">
        <w:t>Voluntary Income Management</w:t>
      </w:r>
      <w:r w:rsidR="0060208C">
        <w:t xml:space="preserve"> </w:t>
      </w:r>
      <w:r w:rsidRPr="005911E2">
        <w:t xml:space="preserve">in non-NTER areas) and 44 per cent (non-Indigenous subject to </w:t>
      </w:r>
      <w:r w:rsidR="0060208C">
        <w:t>c</w:t>
      </w:r>
      <w:r w:rsidR="004808B3">
        <w:t>ompulsory</w:t>
      </w:r>
      <w:r w:rsidR="0060208C">
        <w:t xml:space="preserve"> measures</w:t>
      </w:r>
      <w:r w:rsidRPr="005911E2">
        <w:t>) felt discriminated against all the time.</w:t>
      </w:r>
    </w:p>
    <w:p w:rsidR="00897C1E" w:rsidRPr="005911E2" w:rsidRDefault="00897C1E" w:rsidP="00897C1E">
      <w:pPr>
        <w:pStyle w:val="BodyText"/>
      </w:pPr>
      <w:r w:rsidRPr="005911E2">
        <w:t>This latter result is part of quite polarized response</w:t>
      </w:r>
      <w:r w:rsidR="00E15AAB">
        <w:t>s</w:t>
      </w:r>
      <w:r w:rsidRPr="005911E2">
        <w:t xml:space="preserve"> by non-Indigenous people in the</w:t>
      </w:r>
      <w:r w:rsidR="006435C8">
        <w:t xml:space="preserve"> Northern Territory </w:t>
      </w:r>
      <w:r w:rsidRPr="005911E2">
        <w:t xml:space="preserve">who were subject to </w:t>
      </w:r>
      <w:r w:rsidR="0060208C">
        <w:t>c</w:t>
      </w:r>
      <w:r w:rsidR="004808B3">
        <w:t xml:space="preserve">ompulsory </w:t>
      </w:r>
      <w:r w:rsidR="0060208C">
        <w:t>measures</w:t>
      </w:r>
      <w:r w:rsidRPr="005911E2">
        <w:t>. This group reported both the highest level of feeling discriminated all the time</w:t>
      </w:r>
      <w:r w:rsidR="007A5786">
        <w:t>,</w:t>
      </w:r>
      <w:r w:rsidRPr="005911E2">
        <w:t xml:space="preserve"> but also the second highest level of never feeling discriminated against.</w:t>
      </w:r>
      <w:r w:rsidRPr="005911E2">
        <w:rPr>
          <w:rStyle w:val="FootnoteReference"/>
        </w:rPr>
        <w:footnoteReference w:id="123"/>
      </w:r>
      <w:r w:rsidRPr="005911E2">
        <w:t xml:space="preserve"> While the sense of discrimination was not as pervasive, a majority of those in the contrast </w:t>
      </w:r>
      <w:r w:rsidR="00E15AAB">
        <w:t>sites</w:t>
      </w:r>
      <w:r w:rsidR="00E15AAB" w:rsidRPr="005911E2">
        <w:t xml:space="preserve"> </w:t>
      </w:r>
      <w:r w:rsidRPr="005911E2">
        <w:t xml:space="preserve">also felt at times they were discriminated against, with around 40 per cent saying that they never felt this way. Indigenous people on </w:t>
      </w:r>
      <w:r w:rsidR="001102A1">
        <w:t>Voluntary Income Management</w:t>
      </w:r>
      <w:r w:rsidRPr="005911E2">
        <w:t xml:space="preserve"> reported lower levels of discrimination as a result of being income managed than those on compulsory measures. A quarter (in NTER areas) and a third (in other locations) of Indigenous people on </w:t>
      </w:r>
      <w:r w:rsidR="001102A1">
        <w:t>Voluntary Income Management</w:t>
      </w:r>
      <w:r w:rsidRPr="005911E2">
        <w:t xml:space="preserve"> reported no discrimination. In the multivariate analysis of Indigenous people, being on </w:t>
      </w:r>
      <w:r w:rsidR="001102A1">
        <w:t>compulsory income management,</w:t>
      </w:r>
      <w:r w:rsidRPr="005911E2">
        <w:t xml:space="preserve"> and being on </w:t>
      </w:r>
      <w:r w:rsidR="001102A1">
        <w:t>Voluntary Income Management</w:t>
      </w:r>
      <w:r w:rsidRPr="005911E2">
        <w:t xml:space="preserve"> in an area subject to the NTER is associated with a statistically significantly higher likelihood of feeling discriminated against.</w:t>
      </w:r>
    </w:p>
    <w:p w:rsidR="00897C1E" w:rsidRPr="005911E2" w:rsidRDefault="00897C1E" w:rsidP="00897C1E">
      <w:pPr>
        <w:pStyle w:val="BodyText"/>
      </w:pPr>
      <w:r w:rsidRPr="005911E2">
        <w:t>More people felt a sense of embarrassment or lack of fairness than a sense of discrimination.</w:t>
      </w:r>
    </w:p>
    <w:p w:rsidR="00897C1E" w:rsidRPr="005911E2" w:rsidRDefault="00897C1E" w:rsidP="007B4471">
      <w:pPr>
        <w:pStyle w:val="Heading4"/>
      </w:pPr>
      <w:r w:rsidRPr="005911E2">
        <w:t>Embarrassment</w:t>
      </w:r>
    </w:p>
    <w:p w:rsidR="00897C1E" w:rsidRPr="005911E2" w:rsidRDefault="00897C1E" w:rsidP="00897C1E">
      <w:pPr>
        <w:pStyle w:val="BodyText"/>
      </w:pPr>
      <w:r w:rsidRPr="005911E2">
        <w:t>Overall</w:t>
      </w:r>
      <w:r w:rsidR="007A5786">
        <w:t>,</w:t>
      </w:r>
      <w:r w:rsidRPr="005911E2">
        <w:t xml:space="preserve"> those subject to </w:t>
      </w:r>
      <w:r w:rsidR="00F878E4">
        <w:t>income management</w:t>
      </w:r>
      <w:r w:rsidRPr="005911E2">
        <w:t xml:space="preserve"> were much more likely to report embarrassment about being </w:t>
      </w:r>
      <w:r w:rsidR="00F878E4">
        <w:t>income manage</w:t>
      </w:r>
      <w:r w:rsidR="007A5786">
        <w:t>d</w:t>
      </w:r>
      <w:r w:rsidRPr="005911E2">
        <w:t xml:space="preserve"> than the survey participants in the contrast sites felt about Centrelink payments. This was statistically significant in the case of Indigenous people on </w:t>
      </w:r>
      <w:r w:rsidR="001102A1" w:rsidRPr="005911E2">
        <w:t>V</w:t>
      </w:r>
      <w:r w:rsidR="001102A1">
        <w:t xml:space="preserve">oluntary Income Management </w:t>
      </w:r>
      <w:r w:rsidRPr="005911E2">
        <w:t xml:space="preserve">and those subject to </w:t>
      </w:r>
      <w:r w:rsidR="001102A1">
        <w:t>compulsory streams of income management</w:t>
      </w:r>
      <w:r w:rsidR="001102A1" w:rsidRPr="005911E2">
        <w:t xml:space="preserve"> </w:t>
      </w:r>
      <w:r w:rsidRPr="005911E2">
        <w:t>in non-NTER areas.</w:t>
      </w:r>
    </w:p>
    <w:p w:rsidR="00897C1E" w:rsidRPr="005911E2" w:rsidRDefault="00897C1E" w:rsidP="00897C1E">
      <w:pPr>
        <w:pStyle w:val="BodyText"/>
        <w:rPr>
          <w:highlight w:val="yellow"/>
        </w:rPr>
      </w:pPr>
      <w:r w:rsidRPr="005911E2">
        <w:t xml:space="preserve">Non-Indigenous people on </w:t>
      </w:r>
      <w:r w:rsidR="007A5786">
        <w:t>c</w:t>
      </w:r>
      <w:r w:rsidR="004808B3">
        <w:t xml:space="preserve">ompulsory </w:t>
      </w:r>
      <w:r w:rsidR="007A5786">
        <w:t xml:space="preserve">measures </w:t>
      </w:r>
      <w:r w:rsidRPr="005911E2">
        <w:t xml:space="preserve">reported the highest incidence of </w:t>
      </w:r>
      <w:r w:rsidR="00DB18E8" w:rsidRPr="005911E2">
        <w:t>embarrassment</w:t>
      </w:r>
      <w:r w:rsidRPr="005911E2">
        <w:t xml:space="preserve"> with 56 per cent reporting feeling embarrassed all or most of the time. Around 25 to 28 per cent of survey participants in each category indicated that they never felt embarrassed because they were on </w:t>
      </w:r>
      <w:r w:rsidR="00F878E4">
        <w:t>income management</w:t>
      </w:r>
      <w:r w:rsidRPr="005911E2">
        <w:t>. In the contrast group</w:t>
      </w:r>
      <w:r w:rsidR="007A5786">
        <w:t>,</w:t>
      </w:r>
      <w:r w:rsidRPr="005911E2">
        <w:t xml:space="preserve"> some 34 per cent of non-Indigenous and 42 per cent of Indigenous income support recipients said they never felt embarrassed about their receipt of payments. </w:t>
      </w:r>
    </w:p>
    <w:p w:rsidR="00897C1E" w:rsidRPr="005911E2" w:rsidRDefault="00897C1E" w:rsidP="007B4471">
      <w:pPr>
        <w:pStyle w:val="Heading4"/>
      </w:pPr>
      <w:r w:rsidRPr="005911E2">
        <w:t>Fairness</w:t>
      </w:r>
    </w:p>
    <w:p w:rsidR="00897C1E" w:rsidRPr="005911E2" w:rsidRDefault="00897C1E" w:rsidP="00897C1E">
      <w:pPr>
        <w:pStyle w:val="BodyText"/>
      </w:pPr>
      <w:r w:rsidRPr="005911E2">
        <w:t xml:space="preserve">For all groups on </w:t>
      </w:r>
      <w:r w:rsidR="00F878E4">
        <w:t>income management</w:t>
      </w:r>
      <w:r w:rsidRPr="005911E2">
        <w:t xml:space="preserve"> the question of fairness generated the most adverse sentiment across the responses of ‘discrimination’, ‘embarrassment’ and ‘unfair’. Some 35 to 39 per cent of Indigenous people on </w:t>
      </w:r>
      <w:r w:rsidR="007A5786">
        <w:t>c</w:t>
      </w:r>
      <w:r w:rsidR="004808B3">
        <w:t xml:space="preserve">ompulsory </w:t>
      </w:r>
      <w:r w:rsidR="007A5786">
        <w:t xml:space="preserve">measures </w:t>
      </w:r>
      <w:r w:rsidRPr="005911E2">
        <w:t xml:space="preserve">felt this way all of the time, and fewer than a quarter said they never felt that it was unfair. Surprisingly, as they had chosen to go onto it, some 43 per cent of </w:t>
      </w:r>
      <w:r w:rsidR="001102A1" w:rsidRPr="005911E2">
        <w:t>Indigenous survey</w:t>
      </w:r>
      <w:r w:rsidRPr="005911E2">
        <w:t xml:space="preserve"> participants </w:t>
      </w:r>
      <w:r w:rsidR="001102A1">
        <w:t>Voluntary Income Management</w:t>
      </w:r>
      <w:r w:rsidR="007A5786">
        <w:t xml:space="preserve"> </w:t>
      </w:r>
      <w:r w:rsidRPr="005911E2">
        <w:t xml:space="preserve">in NTER areas and 59 per cent of those in non-NTER areas felt being on </w:t>
      </w:r>
      <w:r w:rsidR="00F878E4">
        <w:t>income management</w:t>
      </w:r>
      <w:r w:rsidRPr="005911E2">
        <w:t xml:space="preserve"> was unfair all or most of the time. Income support recipients in the contrast sites were much less likely to report that they felt that it was unfair being on these payments all the time</w:t>
      </w:r>
      <w:r w:rsidR="00E15AAB">
        <w:t xml:space="preserve"> and</w:t>
      </w:r>
      <w:r w:rsidRPr="005911E2">
        <w:t xml:space="preserve"> only a third never felt that it was unfair.</w:t>
      </w:r>
    </w:p>
    <w:p w:rsidR="00897C1E" w:rsidRPr="005911E2" w:rsidRDefault="00897C1E" w:rsidP="00897C1E">
      <w:pPr>
        <w:pStyle w:val="BodyText"/>
      </w:pPr>
      <w:r w:rsidRPr="005911E2">
        <w:t xml:space="preserve">Despite these high rates of reporting that people often felt being on </w:t>
      </w:r>
      <w:r w:rsidR="00F878E4">
        <w:t>income management</w:t>
      </w:r>
      <w:r w:rsidRPr="005911E2">
        <w:t xml:space="preserve"> was unfair</w:t>
      </w:r>
      <w:r w:rsidR="007A5786">
        <w:t>,</w:t>
      </w:r>
      <w:r w:rsidRPr="005911E2">
        <w:t xml:space="preserve"> the multivariate analysis only identified a statistically significant effect for those Indigenous people on </w:t>
      </w:r>
      <w:r w:rsidR="007A5786">
        <w:t>c</w:t>
      </w:r>
      <w:r w:rsidR="004808B3">
        <w:t xml:space="preserve">ompulsory </w:t>
      </w:r>
      <w:r w:rsidR="007A5786">
        <w:t>measures</w:t>
      </w:r>
      <w:r w:rsidRPr="005911E2">
        <w:t>.</w:t>
      </w:r>
    </w:p>
    <w:p w:rsidR="00897C1E" w:rsidRPr="005911E2" w:rsidRDefault="00897C1E" w:rsidP="007B4471">
      <w:pPr>
        <w:pStyle w:val="Heading4"/>
      </w:pPr>
      <w:r w:rsidRPr="005911E2">
        <w:t>Control over their lives</w:t>
      </w:r>
    </w:p>
    <w:p w:rsidR="00897C1E" w:rsidRPr="005911E2" w:rsidRDefault="00897C1E" w:rsidP="00897C1E">
      <w:pPr>
        <w:pStyle w:val="BodyText"/>
      </w:pPr>
      <w:r w:rsidRPr="005911E2">
        <w:t xml:space="preserve">A relatively high proportion of Indigenous survey participants reported that they felt more in control of their life being on </w:t>
      </w:r>
      <w:r w:rsidR="00F878E4">
        <w:t>income management</w:t>
      </w:r>
      <w:r w:rsidRPr="005911E2">
        <w:t xml:space="preserve">. This is broadly comparable with the responses of Indigenous people in the contrast sites in relation to income support. Statistical testing however suggests that for those on </w:t>
      </w:r>
      <w:r w:rsidR="001813C9">
        <w:t>a c</w:t>
      </w:r>
      <w:r w:rsidR="004808B3">
        <w:t xml:space="preserve">ompulsory </w:t>
      </w:r>
      <w:r w:rsidR="001813C9">
        <w:t>measure</w:t>
      </w:r>
      <w:r w:rsidRPr="005911E2">
        <w:t xml:space="preserve"> there was </w:t>
      </w:r>
      <w:r w:rsidR="001813C9">
        <w:t xml:space="preserve">a </w:t>
      </w:r>
      <w:r w:rsidRPr="005911E2">
        <w:t xml:space="preserve">significantly lower degree of control relative to the contrast population. There was </w:t>
      </w:r>
      <w:r w:rsidR="001813C9">
        <w:t xml:space="preserve">also </w:t>
      </w:r>
      <w:r w:rsidRPr="005911E2">
        <w:t>a positive and significant contribution made in the model by the measure of whether or not a person had been on NTER IM.</w:t>
      </w:r>
      <w:r w:rsidR="00B62B2D">
        <w:t xml:space="preserve"> </w:t>
      </w:r>
      <w:r w:rsidRPr="005911E2">
        <w:t xml:space="preserve">For some groups this may offset the negative association with current </w:t>
      </w:r>
      <w:r w:rsidR="00F878E4">
        <w:t>income management</w:t>
      </w:r>
      <w:r w:rsidRPr="005911E2">
        <w:t>.</w:t>
      </w:r>
    </w:p>
    <w:p w:rsidR="00897C1E" w:rsidRPr="005911E2" w:rsidRDefault="00897C1E" w:rsidP="00897C1E">
      <w:pPr>
        <w:pStyle w:val="BodyText"/>
      </w:pPr>
      <w:r w:rsidRPr="005911E2">
        <w:t xml:space="preserve">Non-Indigenous people on </w:t>
      </w:r>
      <w:r w:rsidR="00F878E4">
        <w:t>income management</w:t>
      </w:r>
      <w:r w:rsidRPr="005911E2">
        <w:t xml:space="preserve"> were much more likely to report never feeling in control over their lives than Indigenous people, or those in the contrast populations. </w:t>
      </w:r>
    </w:p>
    <w:p w:rsidR="00897C1E" w:rsidRPr="005911E2" w:rsidRDefault="00897C1E" w:rsidP="00897C1E">
      <w:pPr>
        <w:pStyle w:val="BodyText"/>
      </w:pPr>
      <w:r w:rsidRPr="005911E2">
        <w:t xml:space="preserve">There was considerable polarisation in the responses for different groups, and indeed within some populations. Half of non-Indigenous and a third of Indigenous people being compulsorily income managed in non NTER areas never felt being </w:t>
      </w:r>
      <w:r w:rsidR="00E15AAB">
        <w:t>‘</w:t>
      </w:r>
      <w:r w:rsidRPr="005911E2">
        <w:t>more in control</w:t>
      </w:r>
      <w:r w:rsidR="001813C9">
        <w:t>’</w:t>
      </w:r>
      <w:r w:rsidRPr="005911E2">
        <w:t>. However</w:t>
      </w:r>
      <w:r w:rsidR="001813C9">
        <w:t>,</w:t>
      </w:r>
      <w:r w:rsidRPr="005911E2">
        <w:t xml:space="preserve"> only 9 per cent of those on </w:t>
      </w:r>
      <w:r w:rsidR="001813C9">
        <w:t>c</w:t>
      </w:r>
      <w:r w:rsidR="004808B3">
        <w:t xml:space="preserve">ompulsory </w:t>
      </w:r>
      <w:r w:rsidR="001813C9">
        <w:t>measures</w:t>
      </w:r>
      <w:r w:rsidRPr="005911E2">
        <w:t xml:space="preserve"> in the NTER areas, and 6 per cent of those on </w:t>
      </w:r>
      <w:r w:rsidR="001813C9">
        <w:t>the v</w:t>
      </w:r>
      <w:r w:rsidR="002B5A5C">
        <w:t xml:space="preserve">oluntary </w:t>
      </w:r>
      <w:r w:rsidR="001813C9">
        <w:t xml:space="preserve">measure </w:t>
      </w:r>
      <w:r w:rsidRPr="005911E2">
        <w:t>in these locations, reported that they never felt ‘more in control’</w:t>
      </w:r>
      <w:r w:rsidR="001813C9">
        <w:t>,</w:t>
      </w:r>
      <w:r w:rsidRPr="005911E2">
        <w:t xml:space="preserve"> and 35</w:t>
      </w:r>
      <w:r w:rsidR="00E15AAB">
        <w:t> </w:t>
      </w:r>
      <w:r w:rsidRPr="005911E2">
        <w:t>and 40 per cent respectively felt as if they were always in control.</w:t>
      </w:r>
    </w:p>
    <w:p w:rsidR="00897C1E" w:rsidRPr="005911E2" w:rsidRDefault="00897C1E" w:rsidP="007B4471">
      <w:pPr>
        <w:pStyle w:val="Heading4"/>
      </w:pPr>
      <w:r w:rsidRPr="005911E2">
        <w:t>Effect on families</w:t>
      </w:r>
    </w:p>
    <w:p w:rsidR="00897C1E" w:rsidRPr="005911E2" w:rsidRDefault="00897C1E" w:rsidP="00897C1E">
      <w:pPr>
        <w:pStyle w:val="BodyText"/>
      </w:pPr>
      <w:r w:rsidRPr="005911E2">
        <w:t xml:space="preserve">The most negative feelings about the effect of </w:t>
      </w:r>
      <w:r w:rsidR="00F878E4">
        <w:t>income management</w:t>
      </w:r>
      <w:r w:rsidRPr="005911E2">
        <w:t xml:space="preserve"> on their families were expressed by non-Indigenous people subject to </w:t>
      </w:r>
      <w:r w:rsidR="00D543B0">
        <w:t>c</w:t>
      </w:r>
      <w:r w:rsidR="004808B3">
        <w:t>ompulsory</w:t>
      </w:r>
      <w:r w:rsidR="00D543B0">
        <w:t xml:space="preserve"> measures</w:t>
      </w:r>
      <w:r w:rsidRPr="005911E2">
        <w:t xml:space="preserve">, </w:t>
      </w:r>
      <w:r w:rsidR="00D543B0">
        <w:t xml:space="preserve">with </w:t>
      </w:r>
      <w:r w:rsidRPr="005911E2">
        <w:t xml:space="preserve">61 per cent reporting that they hardly ever or never felt </w:t>
      </w:r>
      <w:r w:rsidR="00F878E4">
        <w:t>income management</w:t>
      </w:r>
      <w:r w:rsidRPr="005911E2">
        <w:t xml:space="preserve"> had a positive effect on families. Another group with relatively strong negative feelings were Indigenous people </w:t>
      </w:r>
      <w:r w:rsidR="00D543B0">
        <w:t>o</w:t>
      </w:r>
      <w:r w:rsidRPr="005911E2">
        <w:t xml:space="preserve">n </w:t>
      </w:r>
      <w:r w:rsidR="00D543B0">
        <w:t>c</w:t>
      </w:r>
      <w:r w:rsidR="004808B3">
        <w:t xml:space="preserve">ompulsory </w:t>
      </w:r>
      <w:r w:rsidR="00D543B0">
        <w:t xml:space="preserve">measures </w:t>
      </w:r>
      <w:r w:rsidRPr="005911E2">
        <w:t>in non-NTER areas (37</w:t>
      </w:r>
      <w:r w:rsidR="00E15AAB">
        <w:t> </w:t>
      </w:r>
      <w:r w:rsidRPr="005911E2">
        <w:t xml:space="preserve">per cent). </w:t>
      </w:r>
    </w:p>
    <w:p w:rsidR="00897C1E" w:rsidRPr="005911E2" w:rsidRDefault="00897C1E" w:rsidP="00897C1E">
      <w:pPr>
        <w:pStyle w:val="BodyText"/>
      </w:pPr>
      <w:r w:rsidRPr="005911E2">
        <w:t>In the contrast population, receipt of income support was sufficient to elicit a feeling of always being ‘better</w:t>
      </w:r>
      <w:r w:rsidR="00D543B0">
        <w:t>’</w:t>
      </w:r>
      <w:r w:rsidRPr="005911E2">
        <w:t xml:space="preserve"> for a family</w:t>
      </w:r>
      <w:r w:rsidR="00D543B0">
        <w:t xml:space="preserve"> (</w:t>
      </w:r>
      <w:r w:rsidRPr="005911E2">
        <w:t>28 per cent of Indigenous survey participants and 20 per cent of non-Indigenous survey participants</w:t>
      </w:r>
      <w:r w:rsidR="00D543B0">
        <w:t>)</w:t>
      </w:r>
      <w:r w:rsidRPr="005911E2">
        <w:t xml:space="preserve">. In the multivariate analysis it was only Indigenous people on </w:t>
      </w:r>
      <w:r w:rsidR="00D543B0">
        <w:t>c</w:t>
      </w:r>
      <w:r w:rsidR="004808B3">
        <w:t xml:space="preserve">ompulsory </w:t>
      </w:r>
      <w:r w:rsidR="00D543B0">
        <w:t>measures</w:t>
      </w:r>
      <w:r w:rsidRPr="005911E2">
        <w:t xml:space="preserve"> in non-NTER areas who had a statistically significant difference with this group, of around half a standard deviation lower.</w:t>
      </w:r>
      <w:r w:rsidR="00B62B2D">
        <w:t xml:space="preserve"> </w:t>
      </w:r>
      <w:r w:rsidRPr="005911E2">
        <w:t xml:space="preserve">Again there was a positive outcome associated with having been on NTER IM, although at a lesser level of </w:t>
      </w:r>
      <w:r w:rsidR="006C33D2" w:rsidRPr="005911E2">
        <w:t>confidence;</w:t>
      </w:r>
      <w:r w:rsidR="0098759A" w:rsidRPr="005911E2">
        <w:t xml:space="preserve"> however</w:t>
      </w:r>
      <w:r w:rsidR="00D543B0">
        <w:t>,</w:t>
      </w:r>
      <w:r w:rsidR="0098759A" w:rsidRPr="005911E2">
        <w:t xml:space="preserve"> more detailed analysis suggests this is operating more as an offset to the experience of negative outcomes</w:t>
      </w:r>
      <w:r w:rsidR="00D543B0">
        <w:t>,</w:t>
      </w:r>
      <w:r w:rsidR="0098759A" w:rsidRPr="005911E2">
        <w:t xml:space="preserve"> rather than resulting in more positive outcomes relative to the co</w:t>
      </w:r>
      <w:r w:rsidR="009C4CD5" w:rsidRPr="005911E2">
        <w:t>ntrast sites</w:t>
      </w:r>
      <w:r w:rsidRPr="005911E2">
        <w:t>.</w:t>
      </w:r>
    </w:p>
    <w:p w:rsidR="00897C1E" w:rsidRPr="005911E2" w:rsidRDefault="00897C1E" w:rsidP="007B4471">
      <w:pPr>
        <w:pStyle w:val="Heading4"/>
      </w:pPr>
      <w:r w:rsidRPr="005911E2">
        <w:t>Control over money</w:t>
      </w:r>
    </w:p>
    <w:p w:rsidR="00897C1E" w:rsidRPr="005911E2" w:rsidRDefault="00897C1E" w:rsidP="00897C1E">
      <w:pPr>
        <w:pStyle w:val="BodyText"/>
      </w:pPr>
      <w:r w:rsidRPr="005911E2">
        <w:t xml:space="preserve">This question has been discussed in some detail above. Half of non-Indigenous and just under one-third of Indigenous </w:t>
      </w:r>
      <w:r w:rsidR="0049159A">
        <w:t>people on com</w:t>
      </w:r>
      <w:r w:rsidR="004808B3">
        <w:t xml:space="preserve">pulsory </w:t>
      </w:r>
      <w:r w:rsidR="0049159A">
        <w:t xml:space="preserve">measures </w:t>
      </w:r>
      <w:r w:rsidRPr="005911E2">
        <w:t>in non NTER areas reported never feeling that they had control over their money. In contrast, of those living in NTER areas</w:t>
      </w:r>
      <w:r w:rsidR="0049159A">
        <w:t>,</w:t>
      </w:r>
      <w:r w:rsidRPr="005911E2">
        <w:t xml:space="preserve"> 35 per cent of Indigenous people on </w:t>
      </w:r>
      <w:r w:rsidR="0049159A">
        <w:t>c</w:t>
      </w:r>
      <w:r w:rsidR="004808B3">
        <w:t xml:space="preserve">ompulsory </w:t>
      </w:r>
      <w:r w:rsidR="0049159A">
        <w:t xml:space="preserve">measures </w:t>
      </w:r>
      <w:r w:rsidRPr="005911E2">
        <w:t xml:space="preserve">and 38 per cent of those on </w:t>
      </w:r>
      <w:r w:rsidR="001102A1">
        <w:t>Voluntary Income Management</w:t>
      </w:r>
      <w:r w:rsidR="0049159A">
        <w:t xml:space="preserve"> </w:t>
      </w:r>
      <w:r w:rsidRPr="005911E2">
        <w:t>reported that they felt more in control all the time.</w:t>
      </w:r>
    </w:p>
    <w:p w:rsidR="00897C1E" w:rsidRPr="005911E2" w:rsidRDefault="00897C1E" w:rsidP="007B4471">
      <w:pPr>
        <w:pStyle w:val="Heading4"/>
      </w:pPr>
      <w:r w:rsidRPr="005911E2">
        <w:t>Worried about money</w:t>
      </w:r>
    </w:p>
    <w:p w:rsidR="00897C1E" w:rsidRPr="005911E2" w:rsidRDefault="00897C1E" w:rsidP="00897C1E">
      <w:pPr>
        <w:pStyle w:val="BodyText"/>
      </w:pPr>
      <w:r w:rsidRPr="005911E2">
        <w:t xml:space="preserve">In the table there are few consistent trends in the frequency with which people agree with the statement </w:t>
      </w:r>
      <w:r w:rsidR="0049159A">
        <w:t>‘</w:t>
      </w:r>
      <w:r w:rsidRPr="005911E2">
        <w:t>I am not worried about money when I have income management</w:t>
      </w:r>
      <w:r w:rsidR="0049159A">
        <w:t>’</w:t>
      </w:r>
      <w:r w:rsidRPr="005911E2">
        <w:t xml:space="preserve">. For some, such as non-Indigenous people on </w:t>
      </w:r>
      <w:r w:rsidR="0049159A">
        <w:t>c</w:t>
      </w:r>
      <w:r w:rsidR="004808B3">
        <w:t xml:space="preserve">ompulsory </w:t>
      </w:r>
      <w:r w:rsidR="0049159A">
        <w:t>measures</w:t>
      </w:r>
      <w:r w:rsidRPr="005911E2">
        <w:t>, responses are highly polarised. For this group</w:t>
      </w:r>
      <w:r w:rsidR="0049159A">
        <w:t>,</w:t>
      </w:r>
      <w:r w:rsidRPr="005911E2">
        <w:t xml:space="preserve"> some 33 per cent state they never feel like this while 30 per cent feel this way all of the time. In the multivariate analysis of the Indigenous population</w:t>
      </w:r>
      <w:r w:rsidR="0049159A">
        <w:t>,</w:t>
      </w:r>
      <w:r w:rsidRPr="005911E2">
        <w:t xml:space="preserve"> there was a strong negative value associated with being on </w:t>
      </w:r>
      <w:r w:rsidR="0049159A">
        <w:t>c</w:t>
      </w:r>
      <w:r w:rsidR="004808B3">
        <w:t xml:space="preserve">ompulsory </w:t>
      </w:r>
      <w:r w:rsidR="0049159A">
        <w:t xml:space="preserve">measures </w:t>
      </w:r>
      <w:r w:rsidRPr="005911E2">
        <w:t>in both the NTER and non-NTER areas</w:t>
      </w:r>
      <w:r w:rsidR="0049159A">
        <w:t>;</w:t>
      </w:r>
      <w:r w:rsidRPr="005911E2">
        <w:t xml:space="preserve"> this suggests, relative to the control, that these groups on </w:t>
      </w:r>
      <w:r w:rsidR="00F878E4">
        <w:t>income management</w:t>
      </w:r>
      <w:r w:rsidRPr="005911E2">
        <w:t xml:space="preserve"> were more frequently worried about money</w:t>
      </w:r>
      <w:r w:rsidR="0049159A">
        <w:t>.</w:t>
      </w:r>
      <w:r w:rsidRPr="005911E2">
        <w:t xml:space="preserve"> </w:t>
      </w:r>
    </w:p>
    <w:p w:rsidR="00897C1E" w:rsidRPr="005911E2" w:rsidRDefault="00897C1E" w:rsidP="007B4471">
      <w:pPr>
        <w:pStyle w:val="Heading4"/>
      </w:pPr>
      <w:r w:rsidRPr="005911E2">
        <w:t>Safety</w:t>
      </w:r>
    </w:p>
    <w:p w:rsidR="00897C1E" w:rsidRPr="005911E2" w:rsidRDefault="00897C1E" w:rsidP="00897C1E">
      <w:pPr>
        <w:pStyle w:val="BodyText"/>
      </w:pPr>
      <w:r w:rsidRPr="005911E2">
        <w:t>The most striking finding for the question about safety is that the Indigenous survey participants in the NTER areas are much more likely to feel safer than those not in NTER areas. For example, 44</w:t>
      </w:r>
      <w:r w:rsidR="00E15AAB">
        <w:t> </w:t>
      </w:r>
      <w:r w:rsidRPr="005911E2">
        <w:t xml:space="preserve">per cent of those on </w:t>
      </w:r>
      <w:r w:rsidR="0049159A">
        <w:t>c</w:t>
      </w:r>
      <w:r w:rsidR="004808B3">
        <w:t xml:space="preserve">ompulsory </w:t>
      </w:r>
      <w:r w:rsidR="0049159A">
        <w:t>measures</w:t>
      </w:r>
      <w:r w:rsidRPr="005911E2">
        <w:t xml:space="preserve"> in NTER areas felt safe ‘all the time’ and 8 per cent felt safe ‘hardly ever’ or ‘never’. For those on </w:t>
      </w:r>
      <w:r w:rsidR="001102A1">
        <w:t>Voluntary Income Management</w:t>
      </w:r>
      <w:r w:rsidR="0049159A">
        <w:t>,</w:t>
      </w:r>
      <w:r w:rsidRPr="005911E2">
        <w:t xml:space="preserve"> the figures are 44 per cent and 6 per cent</w:t>
      </w:r>
      <w:r w:rsidR="0049159A">
        <w:t>.</w:t>
      </w:r>
      <w:r w:rsidRPr="005911E2">
        <w:t xml:space="preserve"> </w:t>
      </w:r>
    </w:p>
    <w:p w:rsidR="00897C1E" w:rsidRPr="005911E2" w:rsidRDefault="00897C1E" w:rsidP="00897C1E">
      <w:pPr>
        <w:pStyle w:val="BodyText"/>
      </w:pPr>
      <w:r w:rsidRPr="005911E2">
        <w:t>While this in part is likely to reflect the range of other interventions and increases in services provided to NTER communities, it should also be noted that some 35 per cent of Indigenous income support recipients in the contrast sites also feel safer all the time</w:t>
      </w:r>
      <w:r w:rsidR="0049159A">
        <w:t>,</w:t>
      </w:r>
      <w:r w:rsidRPr="005911E2">
        <w:t xml:space="preserve"> and a further 26 per cent </w:t>
      </w:r>
      <w:r w:rsidR="0049159A">
        <w:t xml:space="preserve">feel safer </w:t>
      </w:r>
      <w:r w:rsidRPr="005911E2">
        <w:t>some of the time.</w:t>
      </w:r>
    </w:p>
    <w:p w:rsidR="00897C1E" w:rsidRDefault="00897C1E" w:rsidP="00897C1E">
      <w:pPr>
        <w:pStyle w:val="BodyText"/>
      </w:pPr>
      <w:r w:rsidRPr="005911E2">
        <w:t xml:space="preserve">In the multivariate analysis, while the four groups considered all had lower rates of feeling safe relative to the contrast </w:t>
      </w:r>
      <w:r w:rsidR="006C33D2" w:rsidRPr="005911E2">
        <w:t>group</w:t>
      </w:r>
      <w:r w:rsidR="0049159A">
        <w:t>,</w:t>
      </w:r>
      <w:r w:rsidR="006C33D2" w:rsidRPr="005911E2">
        <w:t xml:space="preserve"> only </w:t>
      </w:r>
      <w:r w:rsidR="0049159A">
        <w:t xml:space="preserve">the rates of </w:t>
      </w:r>
      <w:r w:rsidRPr="005911E2">
        <w:t xml:space="preserve">those on </w:t>
      </w:r>
      <w:r w:rsidR="0049159A">
        <w:t>c</w:t>
      </w:r>
      <w:r w:rsidR="004808B3">
        <w:t xml:space="preserve">ompulsory </w:t>
      </w:r>
      <w:r w:rsidR="0049159A">
        <w:t xml:space="preserve">measures </w:t>
      </w:r>
      <w:r w:rsidRPr="005911E2">
        <w:t>in non-NTER areas was significant.</w:t>
      </w:r>
    </w:p>
    <w:p w:rsidR="001102A1" w:rsidRPr="005911E2" w:rsidRDefault="001102A1" w:rsidP="001102A1">
      <w:pPr>
        <w:pStyle w:val="Heading3"/>
      </w:pPr>
      <w:bookmarkStart w:id="1054" w:name="_Ref328493177"/>
      <w:r w:rsidRPr="005911E2">
        <w:t xml:space="preserve">Non-Indigenous people subject to </w:t>
      </w:r>
      <w:r>
        <w:t>income management</w:t>
      </w:r>
      <w:bookmarkEnd w:id="1054"/>
    </w:p>
    <w:p w:rsidR="001102A1" w:rsidRPr="005911E2" w:rsidRDefault="001102A1" w:rsidP="001102A1">
      <w:pPr>
        <w:pStyle w:val="BodyText"/>
        <w:rPr>
          <w:lang w:bidi="ar-SA"/>
        </w:rPr>
      </w:pPr>
      <w:r w:rsidRPr="005911E2">
        <w:rPr>
          <w:lang w:bidi="ar-SA"/>
        </w:rPr>
        <w:t xml:space="preserve">The detailed analysis above has largely related to the experience of different subgroups of Indigenous people on </w:t>
      </w:r>
      <w:r>
        <w:rPr>
          <w:lang w:bidi="ar-SA"/>
        </w:rPr>
        <w:t>income management</w:t>
      </w:r>
      <w:r w:rsidRPr="005911E2">
        <w:rPr>
          <w:lang w:bidi="ar-SA"/>
        </w:rPr>
        <w:t xml:space="preserve"> relative to Indigenous people in the contrast sites.</w:t>
      </w:r>
      <w:r>
        <w:rPr>
          <w:lang w:bidi="ar-SA"/>
        </w:rPr>
        <w:t xml:space="preserve"> </w:t>
      </w:r>
      <w:r w:rsidRPr="005911E2">
        <w:rPr>
          <w:lang w:bidi="ar-SA"/>
        </w:rPr>
        <w:t xml:space="preserve">As shown in </w:t>
      </w:r>
      <w:r w:rsidRPr="005911E2">
        <w:t xml:space="preserve">Table </w:t>
      </w:r>
      <w:r w:rsidRPr="005911E2">
        <w:rPr>
          <w:noProof/>
        </w:rPr>
        <w:t>10</w:t>
      </w:r>
      <w:r w:rsidRPr="005911E2">
        <w:noBreakHyphen/>
      </w:r>
      <w:r w:rsidRPr="005911E2">
        <w:rPr>
          <w:noProof/>
        </w:rPr>
        <w:t>10</w:t>
      </w:r>
      <w:r>
        <w:rPr>
          <w:noProof/>
        </w:rPr>
        <w:t>,</w:t>
      </w:r>
      <w:r w:rsidRPr="005911E2">
        <w:rPr>
          <w:lang w:bidi="ar-SA"/>
        </w:rPr>
        <w:t xml:space="preserve"> there were also some significant findings for the multivariate analysis conducted on the non-Indigenous populations surveyed. As with the Indigenous analysis</w:t>
      </w:r>
      <w:r w:rsidR="00E15AAB">
        <w:rPr>
          <w:lang w:bidi="ar-SA"/>
        </w:rPr>
        <w:t>,</w:t>
      </w:r>
      <w:r w:rsidRPr="005911E2">
        <w:rPr>
          <w:lang w:bidi="ar-SA"/>
        </w:rPr>
        <w:t xml:space="preserve"> this is restricted to people with children only.</w:t>
      </w:r>
    </w:p>
    <w:p w:rsidR="001102A1" w:rsidRPr="005911E2" w:rsidRDefault="001102A1" w:rsidP="001102A1">
      <w:pPr>
        <w:pStyle w:val="BodyText"/>
        <w:rPr>
          <w:lang w:bidi="ar-SA"/>
        </w:rPr>
      </w:pPr>
      <w:r w:rsidRPr="005911E2">
        <w:rPr>
          <w:lang w:bidi="ar-SA"/>
        </w:rPr>
        <w:t>With respect to the questions of frequency of feeling</w:t>
      </w:r>
      <w:r>
        <w:rPr>
          <w:lang w:bidi="ar-SA"/>
        </w:rPr>
        <w:t>,</w:t>
      </w:r>
      <w:r w:rsidRPr="005911E2">
        <w:rPr>
          <w:lang w:bidi="ar-SA"/>
        </w:rPr>
        <w:t xml:space="preserve"> there were statistically significant results with regard to more frequently feeling discriminated against and a sense of it being not fair, as well as being more negative about being in control of </w:t>
      </w:r>
      <w:r w:rsidR="00E15AAB">
        <w:rPr>
          <w:lang w:bidi="ar-SA"/>
        </w:rPr>
        <w:t xml:space="preserve">their </w:t>
      </w:r>
      <w:r w:rsidRPr="005911E2">
        <w:rPr>
          <w:lang w:bidi="ar-SA"/>
        </w:rPr>
        <w:t xml:space="preserve">life, about </w:t>
      </w:r>
      <w:r>
        <w:rPr>
          <w:lang w:bidi="ar-SA"/>
        </w:rPr>
        <w:t>income management</w:t>
      </w:r>
      <w:r w:rsidRPr="005911E2">
        <w:rPr>
          <w:lang w:bidi="ar-SA"/>
        </w:rPr>
        <w:t xml:space="preserve"> being better for self and families, being in control of money</w:t>
      </w:r>
      <w:r>
        <w:rPr>
          <w:lang w:bidi="ar-SA"/>
        </w:rPr>
        <w:t>,</w:t>
      </w:r>
      <w:r w:rsidRPr="005911E2">
        <w:rPr>
          <w:lang w:bidi="ar-SA"/>
        </w:rPr>
        <w:t xml:space="preserve"> and being safer. In large part </w:t>
      </w:r>
      <w:r w:rsidR="00E15AAB">
        <w:rPr>
          <w:lang w:bidi="ar-SA"/>
        </w:rPr>
        <w:t xml:space="preserve">this is </w:t>
      </w:r>
      <w:r w:rsidRPr="005911E2">
        <w:rPr>
          <w:lang w:bidi="ar-SA"/>
        </w:rPr>
        <w:t xml:space="preserve">a similar pattern of responses as to those provided by Indigenous people on </w:t>
      </w:r>
      <w:r>
        <w:rPr>
          <w:lang w:bidi="ar-SA"/>
        </w:rPr>
        <w:t>compulsory measures</w:t>
      </w:r>
      <w:r w:rsidRPr="005911E2">
        <w:rPr>
          <w:lang w:bidi="ar-SA"/>
        </w:rPr>
        <w:t xml:space="preserve"> in non-NTER areas.</w:t>
      </w:r>
    </w:p>
    <w:p w:rsidR="001102A1" w:rsidRPr="005911E2" w:rsidRDefault="001102A1" w:rsidP="001102A1">
      <w:pPr>
        <w:pStyle w:val="BodyText"/>
        <w:rPr>
          <w:lang w:bidi="ar-SA"/>
        </w:rPr>
      </w:pPr>
      <w:r w:rsidRPr="005911E2">
        <w:rPr>
          <w:lang w:bidi="ar-SA"/>
        </w:rPr>
        <w:t>This analysis indicates, again after controlling for the range of demographic and other factors</w:t>
      </w:r>
      <w:r>
        <w:rPr>
          <w:lang w:bidi="ar-SA"/>
        </w:rPr>
        <w:t>,</w:t>
      </w:r>
      <w:r w:rsidRPr="005911E2">
        <w:rPr>
          <w:lang w:bidi="ar-SA"/>
        </w:rPr>
        <w:t xml:space="preserve"> that non-Indigenous people on </w:t>
      </w:r>
      <w:r>
        <w:rPr>
          <w:lang w:bidi="ar-SA"/>
        </w:rPr>
        <w:t xml:space="preserve">compulsory measures </w:t>
      </w:r>
      <w:r w:rsidRPr="005911E2">
        <w:rPr>
          <w:lang w:bidi="ar-SA"/>
        </w:rPr>
        <w:t>were more likely to feel less ease in managing their money, saving and knowing how much money they had</w:t>
      </w:r>
      <w:r>
        <w:rPr>
          <w:lang w:bidi="ar-SA"/>
        </w:rPr>
        <w:t>,</w:t>
      </w:r>
      <w:r w:rsidRPr="005911E2">
        <w:rPr>
          <w:lang w:bidi="ar-SA"/>
        </w:rPr>
        <w:t xml:space="preserve"> than those in the non-Indigenous contrast group.</w:t>
      </w:r>
    </w:p>
    <w:p w:rsidR="001102A1" w:rsidRPr="005911E2" w:rsidRDefault="001102A1" w:rsidP="001102A1">
      <w:pPr>
        <w:pStyle w:val="BodyText"/>
        <w:rPr>
          <w:lang w:bidi="ar-SA"/>
        </w:rPr>
      </w:pPr>
      <w:r w:rsidRPr="005911E2">
        <w:rPr>
          <w:lang w:bidi="ar-SA"/>
        </w:rPr>
        <w:t xml:space="preserve">The modelling suggests that there were no significant differences between non-Indigenous people on </w:t>
      </w:r>
      <w:r>
        <w:rPr>
          <w:lang w:bidi="ar-SA"/>
        </w:rPr>
        <w:t xml:space="preserve">compulsory measures </w:t>
      </w:r>
      <w:r w:rsidRPr="005911E2">
        <w:rPr>
          <w:lang w:bidi="ar-SA"/>
        </w:rPr>
        <w:t>and the contrast group with respect to the questions on the change of incidence of issues such as running out of money for food.</w:t>
      </w:r>
    </w:p>
    <w:p w:rsidR="001102A1" w:rsidRPr="005911E2" w:rsidRDefault="001102A1" w:rsidP="00897C1E">
      <w:pPr>
        <w:pStyle w:val="BodyText"/>
      </w:pPr>
      <w:r w:rsidRPr="005911E2">
        <w:rPr>
          <w:lang w:bidi="ar-SA"/>
        </w:rPr>
        <w:t xml:space="preserve">This analysis suggests that non-Indigenous people on </w:t>
      </w:r>
      <w:r>
        <w:rPr>
          <w:lang w:bidi="ar-SA"/>
        </w:rPr>
        <w:t xml:space="preserve">compulsory measures </w:t>
      </w:r>
      <w:r w:rsidRPr="005911E2">
        <w:rPr>
          <w:lang w:bidi="ar-SA"/>
        </w:rPr>
        <w:t>with children, when compared with a contrast group in receipt of income support</w:t>
      </w:r>
      <w:r>
        <w:rPr>
          <w:lang w:bidi="ar-SA"/>
        </w:rPr>
        <w:t>,</w:t>
      </w:r>
      <w:r w:rsidRPr="005911E2">
        <w:rPr>
          <w:lang w:bidi="ar-SA"/>
        </w:rPr>
        <w:t xml:space="preserve"> have a number of marked negative perceptions of the impact of NIM on them, with no evidence of change in any outcomes relating to incidence of adverse outcomes. In many ways they show strong similarities with non-Indigenous people on </w:t>
      </w:r>
      <w:r>
        <w:rPr>
          <w:lang w:bidi="ar-SA"/>
        </w:rPr>
        <w:t xml:space="preserve">compulsory measures </w:t>
      </w:r>
      <w:r w:rsidRPr="005911E2">
        <w:rPr>
          <w:lang w:bidi="ar-SA"/>
        </w:rPr>
        <w:t>in the non-NTER areas.</w:t>
      </w:r>
    </w:p>
    <w:p w:rsidR="00897C1E" w:rsidRPr="005911E2" w:rsidRDefault="00897C1E" w:rsidP="00897C1E">
      <w:pPr>
        <w:pStyle w:val="tabfighead"/>
      </w:pPr>
      <w:bookmarkStart w:id="1055" w:name="_Ref323939174"/>
      <w:bookmarkStart w:id="1056" w:name="_Toc322470926"/>
      <w:bookmarkStart w:id="1057" w:name="_Ref323939135"/>
      <w:bookmarkStart w:id="1058" w:name="_Toc328601638"/>
      <w:bookmarkStart w:id="1059" w:name="_Toc329051416"/>
      <w:bookmarkStart w:id="1060" w:name="_Toc335915904"/>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10</w:t>
      </w:r>
      <w:r w:rsidR="00C7347D" w:rsidRPr="005911E2">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10</w:t>
      </w:r>
      <w:r w:rsidR="00C7347D" w:rsidRPr="005911E2">
        <w:fldChar w:fldCharType="end"/>
      </w:r>
      <w:bookmarkEnd w:id="1055"/>
      <w:r w:rsidRPr="005911E2">
        <w:tab/>
        <w:t>LSNIM</w:t>
      </w:r>
      <w:r w:rsidR="001B5674" w:rsidRPr="005911E2">
        <w:t xml:space="preserve"> survey participants</w:t>
      </w:r>
      <w:r w:rsidRPr="005911E2">
        <w:t xml:space="preserve">, parameter estimates for </w:t>
      </w:r>
      <w:r w:rsidR="00F878E4">
        <w:t>income management</w:t>
      </w:r>
      <w:r w:rsidRPr="005911E2">
        <w:t xml:space="preserve"> status from multivariate analysis, various outcome measures</w:t>
      </w:r>
      <w:bookmarkEnd w:id="1056"/>
      <w:bookmarkEnd w:id="1057"/>
      <w:bookmarkEnd w:id="1058"/>
      <w:bookmarkEnd w:id="1059"/>
      <w:bookmarkEnd w:id="1060"/>
      <w:r w:rsidRPr="005911E2">
        <w:t xml:space="preserve"> </w:t>
      </w:r>
    </w:p>
    <w:tbl>
      <w:tblPr>
        <w:tblW w:w="9103" w:type="dxa"/>
        <w:tblInd w:w="78" w:type="dxa"/>
        <w:tblLayout w:type="fixed"/>
        <w:tblLook w:val="0000" w:firstRow="0" w:lastRow="0" w:firstColumn="0" w:lastColumn="0" w:noHBand="0" w:noVBand="0"/>
      </w:tblPr>
      <w:tblGrid>
        <w:gridCol w:w="2712"/>
        <w:gridCol w:w="710"/>
        <w:gridCol w:w="236"/>
        <w:gridCol w:w="48"/>
        <w:gridCol w:w="567"/>
        <w:gridCol w:w="285"/>
        <w:gridCol w:w="569"/>
        <w:gridCol w:w="288"/>
        <w:gridCol w:w="569"/>
        <w:gridCol w:w="283"/>
        <w:gridCol w:w="567"/>
        <w:gridCol w:w="284"/>
        <w:gridCol w:w="709"/>
        <w:gridCol w:w="850"/>
        <w:gridCol w:w="426"/>
      </w:tblGrid>
      <w:tr w:rsidR="00F104E9" w:rsidRPr="005911E2" w:rsidTr="00F104E9">
        <w:trPr>
          <w:trHeight w:val="290"/>
        </w:trPr>
        <w:tc>
          <w:tcPr>
            <w:tcW w:w="2712" w:type="dxa"/>
            <w:tcBorders>
              <w:top w:val="single" w:sz="4" w:space="0" w:color="auto"/>
              <w:left w:val="nil"/>
              <w:right w:val="nil"/>
            </w:tcBorders>
          </w:tcPr>
          <w:p w:rsidR="00F104E9" w:rsidRPr="005911E2" w:rsidRDefault="00F104E9" w:rsidP="00E24340">
            <w:pPr>
              <w:pStyle w:val="braytabletext"/>
              <w:spacing w:after="0"/>
            </w:pPr>
          </w:p>
        </w:tc>
        <w:tc>
          <w:tcPr>
            <w:tcW w:w="3555" w:type="dxa"/>
            <w:gridSpan w:val="9"/>
            <w:tcBorders>
              <w:top w:val="single" w:sz="4" w:space="0" w:color="auto"/>
              <w:left w:val="nil"/>
              <w:bottom w:val="single" w:sz="4" w:space="0" w:color="auto"/>
              <w:right w:val="nil"/>
            </w:tcBorders>
            <w:tcMar>
              <w:left w:w="28" w:type="dxa"/>
              <w:right w:w="28" w:type="dxa"/>
            </w:tcMar>
          </w:tcPr>
          <w:p w:rsidR="00F104E9" w:rsidRPr="005911E2" w:rsidRDefault="00F104E9" w:rsidP="00E24340">
            <w:pPr>
              <w:pStyle w:val="braytabletext"/>
              <w:spacing w:after="0"/>
            </w:pPr>
            <w:r w:rsidRPr="005911E2">
              <w:t>Indigenous Model</w:t>
            </w:r>
          </w:p>
        </w:tc>
        <w:tc>
          <w:tcPr>
            <w:tcW w:w="851" w:type="dxa"/>
            <w:gridSpan w:val="2"/>
            <w:tcBorders>
              <w:top w:val="single" w:sz="4" w:space="0" w:color="auto"/>
              <w:left w:val="nil"/>
              <w:bottom w:val="single" w:sz="4" w:space="0" w:color="auto"/>
              <w:right w:val="nil"/>
            </w:tcBorders>
            <w:tcMar>
              <w:left w:w="28" w:type="dxa"/>
              <w:right w:w="28" w:type="dxa"/>
            </w:tcMar>
          </w:tcPr>
          <w:p w:rsidR="00F104E9" w:rsidRPr="005911E2" w:rsidRDefault="00F104E9" w:rsidP="00E24340">
            <w:pPr>
              <w:pStyle w:val="braytabletext"/>
              <w:spacing w:after="0"/>
            </w:pPr>
          </w:p>
        </w:tc>
        <w:tc>
          <w:tcPr>
            <w:tcW w:w="709" w:type="dxa"/>
            <w:tcBorders>
              <w:top w:val="single" w:sz="4" w:space="0" w:color="auto"/>
              <w:left w:val="nil"/>
              <w:bottom w:val="single" w:sz="4" w:space="0" w:color="auto"/>
              <w:right w:val="nil"/>
            </w:tcBorders>
          </w:tcPr>
          <w:p w:rsidR="00F104E9" w:rsidRPr="005911E2" w:rsidRDefault="00F104E9" w:rsidP="00E24340">
            <w:pPr>
              <w:pStyle w:val="braytabletext"/>
              <w:spacing w:after="0"/>
            </w:pPr>
          </w:p>
        </w:tc>
        <w:tc>
          <w:tcPr>
            <w:tcW w:w="1276" w:type="dxa"/>
            <w:gridSpan w:val="2"/>
            <w:vMerge w:val="restart"/>
            <w:tcBorders>
              <w:top w:val="single" w:sz="4" w:space="0" w:color="auto"/>
              <w:left w:val="nil"/>
              <w:right w:val="nil"/>
            </w:tcBorders>
            <w:tcMar>
              <w:left w:w="28" w:type="dxa"/>
              <w:right w:w="28" w:type="dxa"/>
            </w:tcMar>
          </w:tcPr>
          <w:p w:rsidR="00F104E9" w:rsidRPr="005911E2" w:rsidRDefault="00F104E9" w:rsidP="00E24340">
            <w:pPr>
              <w:pStyle w:val="braytabletext"/>
              <w:spacing w:after="0"/>
            </w:pPr>
            <w:r w:rsidRPr="005911E2">
              <w:t>Non-Indigenous model (</w:t>
            </w:r>
            <w:r w:rsidR="00007FB2">
              <w:t>comp</w:t>
            </w:r>
            <w:r w:rsidR="00224BEA">
              <w:t>ulsory</w:t>
            </w:r>
            <w:r w:rsidRPr="005911E2">
              <w:t xml:space="preserve"> Coefficient values only)</w:t>
            </w:r>
          </w:p>
        </w:tc>
      </w:tr>
      <w:tr w:rsidR="00F104E9" w:rsidRPr="005911E2" w:rsidTr="008A1D49">
        <w:trPr>
          <w:trHeight w:val="290"/>
        </w:trPr>
        <w:tc>
          <w:tcPr>
            <w:tcW w:w="2712" w:type="dxa"/>
            <w:tcBorders>
              <w:left w:val="nil"/>
              <w:bottom w:val="nil"/>
              <w:right w:val="nil"/>
            </w:tcBorders>
          </w:tcPr>
          <w:p w:rsidR="00F104E9" w:rsidRPr="005911E2" w:rsidRDefault="00F104E9" w:rsidP="00E24340">
            <w:pPr>
              <w:pStyle w:val="braytabletext"/>
              <w:spacing w:after="0"/>
            </w:pPr>
          </w:p>
        </w:tc>
        <w:tc>
          <w:tcPr>
            <w:tcW w:w="3555" w:type="dxa"/>
            <w:gridSpan w:val="9"/>
            <w:tcBorders>
              <w:top w:val="single" w:sz="4" w:space="0" w:color="auto"/>
              <w:left w:val="nil"/>
              <w:bottom w:val="single" w:sz="4" w:space="0" w:color="auto"/>
              <w:right w:val="nil"/>
            </w:tcBorders>
            <w:tcMar>
              <w:left w:w="28" w:type="dxa"/>
              <w:right w:w="28" w:type="dxa"/>
            </w:tcMar>
          </w:tcPr>
          <w:p w:rsidR="00F104E9" w:rsidRPr="005911E2" w:rsidRDefault="00F104E9" w:rsidP="00E24340">
            <w:pPr>
              <w:pStyle w:val="braytabletext"/>
              <w:spacing w:after="0"/>
            </w:pPr>
            <w:r w:rsidRPr="005911E2">
              <w:t>NIM category</w:t>
            </w:r>
          </w:p>
        </w:tc>
        <w:tc>
          <w:tcPr>
            <w:tcW w:w="851" w:type="dxa"/>
            <w:gridSpan w:val="2"/>
            <w:vMerge w:val="restart"/>
            <w:tcBorders>
              <w:top w:val="single" w:sz="4" w:space="0" w:color="auto"/>
              <w:left w:val="nil"/>
              <w:right w:val="nil"/>
            </w:tcBorders>
            <w:tcMar>
              <w:left w:w="28" w:type="dxa"/>
              <w:right w:w="28" w:type="dxa"/>
            </w:tcMar>
          </w:tcPr>
          <w:p w:rsidR="00F104E9" w:rsidRPr="005911E2" w:rsidRDefault="00F104E9" w:rsidP="008A1D49">
            <w:pPr>
              <w:pStyle w:val="braytabletext"/>
              <w:spacing w:after="0"/>
              <w:jc w:val="right"/>
            </w:pPr>
            <w:r w:rsidRPr="005911E2">
              <w:t>If had been on NTER IM</w:t>
            </w:r>
          </w:p>
        </w:tc>
        <w:tc>
          <w:tcPr>
            <w:tcW w:w="709" w:type="dxa"/>
            <w:vMerge w:val="restart"/>
            <w:tcBorders>
              <w:top w:val="single" w:sz="4" w:space="0" w:color="auto"/>
              <w:left w:val="nil"/>
              <w:right w:val="nil"/>
            </w:tcBorders>
          </w:tcPr>
          <w:p w:rsidR="00F104E9" w:rsidRPr="005911E2" w:rsidRDefault="00F104E9" w:rsidP="008A1D49">
            <w:pPr>
              <w:pStyle w:val="braytabletext"/>
              <w:spacing w:after="0"/>
              <w:jc w:val="right"/>
            </w:pPr>
            <w:r w:rsidRPr="005911E2">
              <w:t>Model fit (r2)</w:t>
            </w:r>
          </w:p>
        </w:tc>
        <w:tc>
          <w:tcPr>
            <w:tcW w:w="1276" w:type="dxa"/>
            <w:gridSpan w:val="2"/>
            <w:vMerge/>
            <w:tcBorders>
              <w:left w:val="nil"/>
              <w:right w:val="nil"/>
            </w:tcBorders>
            <w:tcMar>
              <w:left w:w="28" w:type="dxa"/>
              <w:right w:w="28" w:type="dxa"/>
            </w:tcMar>
          </w:tcPr>
          <w:p w:rsidR="00F104E9" w:rsidRPr="005911E2" w:rsidRDefault="00F104E9" w:rsidP="00E24340">
            <w:pPr>
              <w:pStyle w:val="braytabletext"/>
              <w:spacing w:after="0"/>
            </w:pPr>
          </w:p>
        </w:tc>
      </w:tr>
      <w:tr w:rsidR="00F104E9" w:rsidRPr="005911E2" w:rsidTr="008A1D49">
        <w:trPr>
          <w:trHeight w:val="290"/>
        </w:trPr>
        <w:tc>
          <w:tcPr>
            <w:tcW w:w="2712" w:type="dxa"/>
            <w:tcBorders>
              <w:top w:val="nil"/>
              <w:left w:val="nil"/>
              <w:bottom w:val="nil"/>
              <w:right w:val="nil"/>
            </w:tcBorders>
          </w:tcPr>
          <w:p w:rsidR="00F104E9" w:rsidRPr="005911E2" w:rsidRDefault="00F104E9" w:rsidP="00E24340">
            <w:pPr>
              <w:pStyle w:val="braytabletext"/>
              <w:spacing w:after="0"/>
            </w:pPr>
          </w:p>
        </w:tc>
        <w:tc>
          <w:tcPr>
            <w:tcW w:w="994" w:type="dxa"/>
            <w:gridSpan w:val="3"/>
            <w:tcBorders>
              <w:top w:val="single" w:sz="4" w:space="0" w:color="auto"/>
              <w:left w:val="nil"/>
              <w:bottom w:val="single" w:sz="4" w:space="0" w:color="auto"/>
              <w:right w:val="nil"/>
            </w:tcBorders>
            <w:tcMar>
              <w:left w:w="28" w:type="dxa"/>
              <w:right w:w="28" w:type="dxa"/>
            </w:tcMar>
          </w:tcPr>
          <w:p w:rsidR="00F104E9" w:rsidRPr="005911E2" w:rsidRDefault="00224BEA" w:rsidP="008A1D49">
            <w:pPr>
              <w:pStyle w:val="braytabletext"/>
              <w:spacing w:after="0"/>
              <w:jc w:val="right"/>
            </w:pPr>
            <w:r>
              <w:t>Compul-sory</w:t>
            </w:r>
            <w:r w:rsidR="00F104E9" w:rsidRPr="005911E2">
              <w:t>, NTER area</w:t>
            </w:r>
          </w:p>
        </w:tc>
        <w:tc>
          <w:tcPr>
            <w:tcW w:w="852" w:type="dxa"/>
            <w:gridSpan w:val="2"/>
            <w:tcBorders>
              <w:top w:val="single" w:sz="4" w:space="0" w:color="auto"/>
              <w:left w:val="nil"/>
              <w:bottom w:val="single" w:sz="4" w:space="0" w:color="auto"/>
              <w:right w:val="nil"/>
            </w:tcBorders>
            <w:tcMar>
              <w:left w:w="28" w:type="dxa"/>
              <w:right w:w="28" w:type="dxa"/>
            </w:tcMar>
          </w:tcPr>
          <w:p w:rsidR="00F104E9" w:rsidRPr="005911E2" w:rsidRDefault="00224BEA" w:rsidP="008A1D49">
            <w:pPr>
              <w:pStyle w:val="braytabletext"/>
              <w:spacing w:after="0"/>
              <w:jc w:val="right"/>
            </w:pPr>
            <w:r>
              <w:t>Compul-sory</w:t>
            </w:r>
            <w:r w:rsidR="00F104E9" w:rsidRPr="005911E2">
              <w:t>, non-NTER</w:t>
            </w:r>
          </w:p>
        </w:tc>
        <w:tc>
          <w:tcPr>
            <w:tcW w:w="857" w:type="dxa"/>
            <w:gridSpan w:val="2"/>
            <w:tcBorders>
              <w:top w:val="single" w:sz="4" w:space="0" w:color="auto"/>
              <w:left w:val="nil"/>
              <w:bottom w:val="single" w:sz="4" w:space="0" w:color="auto"/>
              <w:right w:val="nil"/>
            </w:tcBorders>
            <w:tcMar>
              <w:left w:w="28" w:type="dxa"/>
              <w:right w:w="28" w:type="dxa"/>
            </w:tcMar>
          </w:tcPr>
          <w:p w:rsidR="00F104E9" w:rsidRPr="005911E2" w:rsidRDefault="00F104E9" w:rsidP="008A1D49">
            <w:pPr>
              <w:pStyle w:val="braytabletext"/>
              <w:spacing w:after="0"/>
              <w:jc w:val="right"/>
            </w:pPr>
            <w:r w:rsidRPr="005911E2">
              <w:t>VIM, NTER area</w:t>
            </w:r>
          </w:p>
        </w:tc>
        <w:tc>
          <w:tcPr>
            <w:tcW w:w="852" w:type="dxa"/>
            <w:gridSpan w:val="2"/>
            <w:tcBorders>
              <w:top w:val="single" w:sz="4" w:space="0" w:color="auto"/>
              <w:left w:val="nil"/>
              <w:bottom w:val="single" w:sz="4" w:space="0" w:color="auto"/>
              <w:right w:val="nil"/>
            </w:tcBorders>
            <w:tcMar>
              <w:left w:w="28" w:type="dxa"/>
              <w:right w:w="28" w:type="dxa"/>
            </w:tcMar>
          </w:tcPr>
          <w:p w:rsidR="00F104E9" w:rsidRPr="005911E2" w:rsidRDefault="00F104E9" w:rsidP="008A1D49">
            <w:pPr>
              <w:pStyle w:val="braytabletext"/>
              <w:spacing w:after="0"/>
              <w:jc w:val="right"/>
            </w:pPr>
            <w:r w:rsidRPr="005911E2">
              <w:t>VIM, non-NTER area</w:t>
            </w:r>
          </w:p>
        </w:tc>
        <w:tc>
          <w:tcPr>
            <w:tcW w:w="851" w:type="dxa"/>
            <w:gridSpan w:val="2"/>
            <w:vMerge/>
            <w:tcBorders>
              <w:left w:val="nil"/>
              <w:bottom w:val="single" w:sz="4" w:space="0" w:color="auto"/>
              <w:right w:val="nil"/>
            </w:tcBorders>
            <w:tcMar>
              <w:left w:w="28" w:type="dxa"/>
              <w:right w:w="28" w:type="dxa"/>
            </w:tcMar>
          </w:tcPr>
          <w:p w:rsidR="00F104E9" w:rsidRPr="005911E2" w:rsidRDefault="00F104E9" w:rsidP="00E24340">
            <w:pPr>
              <w:pStyle w:val="braytabletext"/>
              <w:spacing w:after="0"/>
            </w:pPr>
          </w:p>
        </w:tc>
        <w:tc>
          <w:tcPr>
            <w:tcW w:w="709" w:type="dxa"/>
            <w:vMerge/>
            <w:tcBorders>
              <w:left w:val="nil"/>
              <w:bottom w:val="single" w:sz="4" w:space="0" w:color="auto"/>
              <w:right w:val="nil"/>
            </w:tcBorders>
          </w:tcPr>
          <w:p w:rsidR="00F104E9" w:rsidRPr="005911E2" w:rsidRDefault="00F104E9" w:rsidP="00E24340">
            <w:pPr>
              <w:pStyle w:val="braytabletext"/>
              <w:spacing w:after="0"/>
            </w:pPr>
          </w:p>
        </w:tc>
        <w:tc>
          <w:tcPr>
            <w:tcW w:w="1276" w:type="dxa"/>
            <w:gridSpan w:val="2"/>
            <w:vMerge/>
            <w:tcBorders>
              <w:left w:val="nil"/>
              <w:bottom w:val="single" w:sz="4" w:space="0" w:color="auto"/>
              <w:right w:val="nil"/>
            </w:tcBorders>
            <w:tcMar>
              <w:left w:w="28" w:type="dxa"/>
              <w:right w:w="28" w:type="dxa"/>
            </w:tcMar>
          </w:tcPr>
          <w:p w:rsidR="00F104E9" w:rsidRPr="005911E2" w:rsidRDefault="00F104E9" w:rsidP="00E24340">
            <w:pPr>
              <w:pStyle w:val="braytabletext"/>
              <w:spacing w:after="0"/>
            </w:pPr>
          </w:p>
        </w:tc>
      </w:tr>
      <w:tr w:rsidR="00F104E9" w:rsidRPr="005911E2" w:rsidTr="00F104E9">
        <w:trPr>
          <w:trHeight w:val="290"/>
        </w:trPr>
        <w:tc>
          <w:tcPr>
            <w:tcW w:w="2712" w:type="dxa"/>
            <w:tcBorders>
              <w:top w:val="nil"/>
              <w:left w:val="nil"/>
              <w:bottom w:val="single" w:sz="4" w:space="0" w:color="auto"/>
              <w:right w:val="nil"/>
            </w:tcBorders>
          </w:tcPr>
          <w:p w:rsidR="00F104E9" w:rsidRPr="005911E2" w:rsidRDefault="00F104E9" w:rsidP="00E24340">
            <w:pPr>
              <w:pStyle w:val="braytabletext"/>
              <w:spacing w:after="0"/>
            </w:pPr>
          </w:p>
        </w:tc>
        <w:tc>
          <w:tcPr>
            <w:tcW w:w="4122" w:type="dxa"/>
            <w:gridSpan w:val="10"/>
            <w:tcBorders>
              <w:top w:val="single" w:sz="4" w:space="0" w:color="auto"/>
              <w:left w:val="nil"/>
              <w:bottom w:val="single" w:sz="4" w:space="0" w:color="auto"/>
              <w:right w:val="nil"/>
            </w:tcBorders>
          </w:tcPr>
          <w:p w:rsidR="00F104E9" w:rsidRPr="005911E2" w:rsidRDefault="00F104E9" w:rsidP="00E24340">
            <w:pPr>
              <w:pStyle w:val="braytabletext"/>
              <w:spacing w:after="0"/>
              <w:jc w:val="center"/>
            </w:pPr>
            <w:r w:rsidRPr="005911E2">
              <w:t>βStdY (a)</w:t>
            </w:r>
          </w:p>
        </w:tc>
        <w:tc>
          <w:tcPr>
            <w:tcW w:w="284" w:type="dxa"/>
            <w:tcBorders>
              <w:top w:val="nil"/>
              <w:left w:val="nil"/>
              <w:bottom w:val="single" w:sz="4" w:space="0" w:color="auto"/>
              <w:right w:val="nil"/>
            </w:tcBorders>
          </w:tcPr>
          <w:p w:rsidR="00F104E9" w:rsidRPr="005911E2" w:rsidRDefault="00F104E9" w:rsidP="00E24340">
            <w:pPr>
              <w:pStyle w:val="braytabletext"/>
              <w:spacing w:after="0"/>
            </w:pPr>
          </w:p>
        </w:tc>
        <w:tc>
          <w:tcPr>
            <w:tcW w:w="709" w:type="dxa"/>
            <w:tcBorders>
              <w:top w:val="nil"/>
              <w:left w:val="nil"/>
              <w:bottom w:val="single" w:sz="4" w:space="0" w:color="auto"/>
              <w:right w:val="nil"/>
            </w:tcBorders>
          </w:tcPr>
          <w:p w:rsidR="00F104E9" w:rsidRPr="005911E2" w:rsidRDefault="00F104E9" w:rsidP="00E24340">
            <w:pPr>
              <w:pStyle w:val="braytabletext"/>
              <w:spacing w:after="0"/>
            </w:pPr>
            <w:r w:rsidRPr="005911E2">
              <w:t>r2</w:t>
            </w:r>
          </w:p>
        </w:tc>
        <w:tc>
          <w:tcPr>
            <w:tcW w:w="1276" w:type="dxa"/>
            <w:gridSpan w:val="2"/>
            <w:tcBorders>
              <w:top w:val="single" w:sz="4" w:space="0" w:color="auto"/>
              <w:left w:val="nil"/>
              <w:bottom w:val="single" w:sz="4" w:space="0" w:color="auto"/>
              <w:right w:val="nil"/>
            </w:tcBorders>
          </w:tcPr>
          <w:p w:rsidR="00F104E9" w:rsidRPr="005911E2" w:rsidRDefault="00F104E9" w:rsidP="00E24340">
            <w:pPr>
              <w:pStyle w:val="braytabletext"/>
              <w:spacing w:after="0"/>
            </w:pPr>
            <w:r w:rsidRPr="005911E2">
              <w:t>βStdY</w:t>
            </w:r>
          </w:p>
        </w:tc>
      </w:tr>
      <w:tr w:rsidR="00F104E9" w:rsidRPr="005911E2" w:rsidTr="002459AC">
        <w:trPr>
          <w:trHeight w:val="290"/>
        </w:trPr>
        <w:tc>
          <w:tcPr>
            <w:tcW w:w="2712" w:type="dxa"/>
            <w:tcBorders>
              <w:top w:val="single" w:sz="4" w:space="0" w:color="auto"/>
              <w:left w:val="nil"/>
              <w:bottom w:val="nil"/>
              <w:right w:val="nil"/>
            </w:tcBorders>
          </w:tcPr>
          <w:p w:rsidR="00F104E9" w:rsidRPr="005911E2" w:rsidRDefault="00F104E9" w:rsidP="00E24340">
            <w:pPr>
              <w:pStyle w:val="braytabletext"/>
              <w:spacing w:after="0"/>
              <w:rPr>
                <w:i/>
              </w:rPr>
            </w:pPr>
            <w:r w:rsidRPr="005911E2">
              <w:rPr>
                <w:i/>
              </w:rPr>
              <w:t>Frequency of feeling: (b)</w:t>
            </w:r>
          </w:p>
        </w:tc>
        <w:tc>
          <w:tcPr>
            <w:tcW w:w="710" w:type="dxa"/>
            <w:tcBorders>
              <w:top w:val="single" w:sz="4" w:space="0" w:color="auto"/>
              <w:left w:val="nil"/>
              <w:bottom w:val="nil"/>
              <w:right w:val="nil"/>
            </w:tcBorders>
            <w:tcMar>
              <w:left w:w="28" w:type="dxa"/>
              <w:right w:w="28" w:type="dxa"/>
            </w:tcMar>
          </w:tcPr>
          <w:p w:rsidR="00F104E9" w:rsidRPr="005911E2" w:rsidRDefault="00F104E9" w:rsidP="00E24340">
            <w:pPr>
              <w:pStyle w:val="braytabletext"/>
              <w:spacing w:after="0"/>
            </w:pPr>
          </w:p>
        </w:tc>
        <w:tc>
          <w:tcPr>
            <w:tcW w:w="236" w:type="dxa"/>
            <w:tcBorders>
              <w:top w:val="single" w:sz="4" w:space="0" w:color="auto"/>
              <w:left w:val="nil"/>
              <w:bottom w:val="nil"/>
              <w:right w:val="nil"/>
            </w:tcBorders>
            <w:tcMar>
              <w:left w:w="28" w:type="dxa"/>
              <w:right w:w="28" w:type="dxa"/>
            </w:tcMar>
          </w:tcPr>
          <w:p w:rsidR="00F104E9" w:rsidRPr="005911E2" w:rsidRDefault="00F104E9" w:rsidP="00E24340">
            <w:pPr>
              <w:pStyle w:val="braytabletext"/>
              <w:spacing w:after="0"/>
            </w:pPr>
          </w:p>
        </w:tc>
        <w:tc>
          <w:tcPr>
            <w:tcW w:w="615" w:type="dxa"/>
            <w:gridSpan w:val="2"/>
            <w:tcBorders>
              <w:top w:val="single" w:sz="4" w:space="0" w:color="auto"/>
              <w:left w:val="nil"/>
              <w:bottom w:val="nil"/>
              <w:right w:val="nil"/>
            </w:tcBorders>
            <w:tcMar>
              <w:left w:w="28" w:type="dxa"/>
              <w:right w:w="28" w:type="dxa"/>
            </w:tcMar>
          </w:tcPr>
          <w:p w:rsidR="00F104E9" w:rsidRPr="005911E2" w:rsidRDefault="00F104E9" w:rsidP="00E24340">
            <w:pPr>
              <w:pStyle w:val="braytabletext"/>
              <w:spacing w:after="0"/>
            </w:pPr>
          </w:p>
        </w:tc>
        <w:tc>
          <w:tcPr>
            <w:tcW w:w="285" w:type="dxa"/>
            <w:tcBorders>
              <w:top w:val="single" w:sz="4" w:space="0" w:color="auto"/>
              <w:left w:val="nil"/>
              <w:bottom w:val="nil"/>
              <w:right w:val="nil"/>
            </w:tcBorders>
            <w:tcMar>
              <w:left w:w="28" w:type="dxa"/>
              <w:right w:w="28" w:type="dxa"/>
            </w:tcMar>
          </w:tcPr>
          <w:p w:rsidR="00F104E9" w:rsidRPr="005911E2" w:rsidRDefault="00F104E9" w:rsidP="00E24340">
            <w:pPr>
              <w:pStyle w:val="braytabletext"/>
              <w:spacing w:after="0"/>
            </w:pPr>
          </w:p>
        </w:tc>
        <w:tc>
          <w:tcPr>
            <w:tcW w:w="569" w:type="dxa"/>
            <w:tcBorders>
              <w:top w:val="single" w:sz="4" w:space="0" w:color="auto"/>
              <w:left w:val="nil"/>
              <w:bottom w:val="nil"/>
              <w:right w:val="nil"/>
            </w:tcBorders>
            <w:tcMar>
              <w:left w:w="28" w:type="dxa"/>
              <w:right w:w="28" w:type="dxa"/>
            </w:tcMar>
          </w:tcPr>
          <w:p w:rsidR="00F104E9" w:rsidRPr="005911E2" w:rsidRDefault="00F104E9" w:rsidP="00E24340">
            <w:pPr>
              <w:pStyle w:val="braytabletext"/>
              <w:spacing w:after="0"/>
            </w:pPr>
          </w:p>
        </w:tc>
        <w:tc>
          <w:tcPr>
            <w:tcW w:w="288" w:type="dxa"/>
            <w:tcBorders>
              <w:top w:val="single" w:sz="4" w:space="0" w:color="auto"/>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9" w:type="dxa"/>
            <w:tcBorders>
              <w:top w:val="single" w:sz="4" w:space="0" w:color="auto"/>
              <w:left w:val="nil"/>
              <w:bottom w:val="nil"/>
              <w:right w:val="nil"/>
            </w:tcBorders>
            <w:tcMar>
              <w:left w:w="28" w:type="dxa"/>
              <w:right w:w="28" w:type="dxa"/>
            </w:tcMar>
          </w:tcPr>
          <w:p w:rsidR="00F104E9" w:rsidRPr="005911E2" w:rsidRDefault="00F104E9" w:rsidP="00E24340">
            <w:pPr>
              <w:pStyle w:val="braytabletext"/>
              <w:spacing w:after="0"/>
            </w:pPr>
          </w:p>
        </w:tc>
        <w:tc>
          <w:tcPr>
            <w:tcW w:w="283" w:type="dxa"/>
            <w:tcBorders>
              <w:top w:val="single" w:sz="4" w:space="0" w:color="auto"/>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7" w:type="dxa"/>
            <w:tcBorders>
              <w:top w:val="single" w:sz="4" w:space="0" w:color="auto"/>
              <w:left w:val="nil"/>
              <w:bottom w:val="nil"/>
              <w:right w:val="nil"/>
            </w:tcBorders>
            <w:tcMar>
              <w:left w:w="28" w:type="dxa"/>
              <w:right w:w="28" w:type="dxa"/>
            </w:tcMar>
          </w:tcPr>
          <w:p w:rsidR="00F104E9" w:rsidRPr="005911E2" w:rsidRDefault="00F104E9" w:rsidP="00E24340">
            <w:pPr>
              <w:pStyle w:val="braytabletext"/>
              <w:spacing w:after="0"/>
            </w:pPr>
          </w:p>
        </w:tc>
        <w:tc>
          <w:tcPr>
            <w:tcW w:w="284" w:type="dxa"/>
            <w:tcBorders>
              <w:top w:val="single" w:sz="4" w:space="0" w:color="auto"/>
              <w:left w:val="nil"/>
              <w:bottom w:val="nil"/>
              <w:right w:val="nil"/>
            </w:tcBorders>
            <w:tcMar>
              <w:left w:w="28" w:type="dxa"/>
              <w:right w:w="28" w:type="dxa"/>
            </w:tcMar>
          </w:tcPr>
          <w:p w:rsidR="00F104E9" w:rsidRPr="005911E2" w:rsidRDefault="00F104E9" w:rsidP="00E24340">
            <w:pPr>
              <w:pStyle w:val="braytabletext"/>
              <w:spacing w:after="0"/>
            </w:pPr>
          </w:p>
        </w:tc>
        <w:tc>
          <w:tcPr>
            <w:tcW w:w="709" w:type="dxa"/>
            <w:tcBorders>
              <w:top w:val="single" w:sz="4" w:space="0" w:color="auto"/>
              <w:left w:val="nil"/>
              <w:bottom w:val="nil"/>
              <w:right w:val="nil"/>
            </w:tcBorders>
            <w:tcMar>
              <w:left w:w="28" w:type="dxa"/>
              <w:right w:w="28" w:type="dxa"/>
            </w:tcMar>
          </w:tcPr>
          <w:p w:rsidR="00F104E9" w:rsidRPr="005911E2" w:rsidRDefault="00F104E9" w:rsidP="00E24340">
            <w:pPr>
              <w:pStyle w:val="braytabletext"/>
              <w:spacing w:after="0"/>
            </w:pPr>
          </w:p>
        </w:tc>
        <w:tc>
          <w:tcPr>
            <w:tcW w:w="850" w:type="dxa"/>
            <w:tcBorders>
              <w:top w:val="single" w:sz="4" w:space="0" w:color="auto"/>
              <w:left w:val="nil"/>
              <w:bottom w:val="nil"/>
              <w:right w:val="nil"/>
            </w:tcBorders>
            <w:tcMar>
              <w:left w:w="28" w:type="dxa"/>
              <w:right w:w="28" w:type="dxa"/>
            </w:tcMar>
          </w:tcPr>
          <w:p w:rsidR="00F104E9" w:rsidRPr="005911E2" w:rsidRDefault="00F104E9" w:rsidP="00E24340">
            <w:pPr>
              <w:pStyle w:val="braytabletext"/>
              <w:spacing w:after="0"/>
            </w:pPr>
          </w:p>
        </w:tc>
        <w:tc>
          <w:tcPr>
            <w:tcW w:w="426" w:type="dxa"/>
            <w:tcBorders>
              <w:top w:val="single" w:sz="4" w:space="0" w:color="auto"/>
              <w:left w:val="nil"/>
              <w:bottom w:val="nil"/>
              <w:right w:val="nil"/>
            </w:tcBorders>
            <w:tcMar>
              <w:left w:w="28" w:type="dxa"/>
              <w:right w:w="28" w:type="dxa"/>
            </w:tcMar>
          </w:tcPr>
          <w:p w:rsidR="00F104E9" w:rsidRPr="005911E2" w:rsidRDefault="00F104E9" w:rsidP="00E24340">
            <w:pPr>
              <w:pStyle w:val="braytabletext"/>
              <w:spacing w:after="0"/>
            </w:pPr>
          </w:p>
        </w:tc>
      </w:tr>
      <w:tr w:rsidR="00F104E9" w:rsidRPr="005911E2" w:rsidTr="002459AC">
        <w:trPr>
          <w:trHeight w:val="290"/>
        </w:trPr>
        <w:tc>
          <w:tcPr>
            <w:tcW w:w="2712" w:type="dxa"/>
            <w:tcBorders>
              <w:top w:val="nil"/>
              <w:left w:val="nil"/>
              <w:bottom w:val="nil"/>
              <w:right w:val="nil"/>
            </w:tcBorders>
          </w:tcPr>
          <w:p w:rsidR="00F104E9" w:rsidRPr="005911E2" w:rsidRDefault="00F104E9" w:rsidP="00E24340">
            <w:pPr>
              <w:pStyle w:val="braytabletext"/>
              <w:spacing w:after="0"/>
            </w:pPr>
            <w:r w:rsidRPr="005911E2">
              <w:t>Discriminated against</w:t>
            </w:r>
          </w:p>
        </w:tc>
        <w:tc>
          <w:tcPr>
            <w:tcW w:w="710"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0.547</w:t>
            </w:r>
          </w:p>
        </w:tc>
        <w:tc>
          <w:tcPr>
            <w:tcW w:w="236"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r w:rsidRPr="005911E2">
              <w:rPr>
                <w:vertAlign w:val="superscript"/>
              </w:rPr>
              <w:t>**</w:t>
            </w:r>
          </w:p>
        </w:tc>
        <w:tc>
          <w:tcPr>
            <w:tcW w:w="615" w:type="dxa"/>
            <w:gridSpan w:val="2"/>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0.440</w:t>
            </w:r>
          </w:p>
        </w:tc>
        <w:tc>
          <w:tcPr>
            <w:tcW w:w="285"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r w:rsidRPr="005911E2">
              <w:rPr>
                <w:vertAlign w:val="superscript"/>
              </w:rPr>
              <w:t>**</w:t>
            </w:r>
          </w:p>
        </w:tc>
        <w:tc>
          <w:tcPr>
            <w:tcW w:w="56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0.532</w:t>
            </w:r>
          </w:p>
        </w:tc>
        <w:tc>
          <w:tcPr>
            <w:tcW w:w="288"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r w:rsidRPr="005911E2">
              <w:rPr>
                <w:vertAlign w:val="superscript"/>
              </w:rPr>
              <w:t>**</w:t>
            </w:r>
          </w:p>
        </w:tc>
        <w:tc>
          <w:tcPr>
            <w:tcW w:w="56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0.293</w:t>
            </w:r>
          </w:p>
        </w:tc>
        <w:tc>
          <w:tcPr>
            <w:tcW w:w="283"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7"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-0.108</w:t>
            </w:r>
          </w:p>
        </w:tc>
        <w:tc>
          <w:tcPr>
            <w:tcW w:w="284"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70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0.093</w:t>
            </w:r>
          </w:p>
        </w:tc>
        <w:tc>
          <w:tcPr>
            <w:tcW w:w="850" w:type="dxa"/>
            <w:tcBorders>
              <w:top w:val="nil"/>
              <w:left w:val="nil"/>
              <w:bottom w:val="nil"/>
              <w:right w:val="nil"/>
            </w:tcBorders>
            <w:tcMar>
              <w:left w:w="28" w:type="dxa"/>
              <w:right w:w="28" w:type="dxa"/>
            </w:tcMar>
          </w:tcPr>
          <w:p w:rsidR="00F104E9" w:rsidRPr="005911E2" w:rsidRDefault="00B702C9" w:rsidP="00E24340">
            <w:pPr>
              <w:pStyle w:val="braytabletext"/>
              <w:tabs>
                <w:tab w:val="left" w:pos="180"/>
              </w:tabs>
              <w:spacing w:after="0"/>
              <w:jc w:val="right"/>
            </w:pPr>
            <w:r w:rsidRPr="005911E2">
              <w:t>0</w:t>
            </w:r>
            <w:r w:rsidR="00D70EBD" w:rsidRPr="005911E2">
              <w:t>.419</w:t>
            </w:r>
          </w:p>
        </w:tc>
        <w:tc>
          <w:tcPr>
            <w:tcW w:w="426" w:type="dxa"/>
            <w:tcBorders>
              <w:top w:val="nil"/>
              <w:left w:val="nil"/>
              <w:bottom w:val="nil"/>
              <w:right w:val="nil"/>
            </w:tcBorders>
            <w:tcMar>
              <w:left w:w="28" w:type="dxa"/>
              <w:right w:w="28" w:type="dxa"/>
            </w:tcMar>
          </w:tcPr>
          <w:p w:rsidR="00F104E9" w:rsidRPr="005911E2" w:rsidRDefault="00B702C9" w:rsidP="00E24340">
            <w:pPr>
              <w:pStyle w:val="braytabletext"/>
              <w:spacing w:after="0"/>
              <w:rPr>
                <w:vertAlign w:val="superscript"/>
              </w:rPr>
            </w:pPr>
            <w:r w:rsidRPr="005911E2">
              <w:rPr>
                <w:vertAlign w:val="superscript"/>
              </w:rPr>
              <w:t>**</w:t>
            </w:r>
          </w:p>
        </w:tc>
      </w:tr>
      <w:tr w:rsidR="00F104E9" w:rsidRPr="005911E2" w:rsidTr="002459AC">
        <w:trPr>
          <w:trHeight w:val="290"/>
        </w:trPr>
        <w:tc>
          <w:tcPr>
            <w:tcW w:w="2712" w:type="dxa"/>
            <w:tcBorders>
              <w:top w:val="nil"/>
              <w:left w:val="nil"/>
              <w:bottom w:val="nil"/>
              <w:right w:val="nil"/>
            </w:tcBorders>
          </w:tcPr>
          <w:p w:rsidR="00F104E9" w:rsidRPr="005911E2" w:rsidRDefault="00F104E9" w:rsidP="00E24340">
            <w:pPr>
              <w:pStyle w:val="braytabletext"/>
              <w:spacing w:after="0"/>
            </w:pPr>
            <w:r w:rsidRPr="005911E2">
              <w:t>Embarrassed</w:t>
            </w:r>
          </w:p>
        </w:tc>
        <w:tc>
          <w:tcPr>
            <w:tcW w:w="710"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0.632</w:t>
            </w:r>
          </w:p>
        </w:tc>
        <w:tc>
          <w:tcPr>
            <w:tcW w:w="236"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r w:rsidRPr="005911E2">
              <w:rPr>
                <w:vertAlign w:val="superscript"/>
              </w:rPr>
              <w:t>**</w:t>
            </w:r>
          </w:p>
        </w:tc>
        <w:tc>
          <w:tcPr>
            <w:tcW w:w="615" w:type="dxa"/>
            <w:gridSpan w:val="2"/>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0.526</w:t>
            </w:r>
          </w:p>
        </w:tc>
        <w:tc>
          <w:tcPr>
            <w:tcW w:w="285"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r w:rsidRPr="005911E2">
              <w:rPr>
                <w:vertAlign w:val="superscript"/>
              </w:rPr>
              <w:t>**</w:t>
            </w:r>
          </w:p>
        </w:tc>
        <w:tc>
          <w:tcPr>
            <w:tcW w:w="56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0.348</w:t>
            </w:r>
          </w:p>
        </w:tc>
        <w:tc>
          <w:tcPr>
            <w:tcW w:w="288"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0.682</w:t>
            </w:r>
          </w:p>
        </w:tc>
        <w:tc>
          <w:tcPr>
            <w:tcW w:w="283"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r w:rsidRPr="005911E2">
              <w:rPr>
                <w:vertAlign w:val="superscript"/>
              </w:rPr>
              <w:t>**</w:t>
            </w:r>
          </w:p>
        </w:tc>
        <w:tc>
          <w:tcPr>
            <w:tcW w:w="567"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-0.159</w:t>
            </w:r>
          </w:p>
        </w:tc>
        <w:tc>
          <w:tcPr>
            <w:tcW w:w="284"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70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0.112</w:t>
            </w:r>
          </w:p>
        </w:tc>
        <w:tc>
          <w:tcPr>
            <w:tcW w:w="850" w:type="dxa"/>
            <w:tcBorders>
              <w:top w:val="nil"/>
              <w:left w:val="nil"/>
              <w:bottom w:val="nil"/>
              <w:right w:val="nil"/>
            </w:tcBorders>
            <w:tcMar>
              <w:left w:w="28" w:type="dxa"/>
              <w:right w:w="28" w:type="dxa"/>
            </w:tcMar>
          </w:tcPr>
          <w:p w:rsidR="00F104E9" w:rsidRPr="005911E2" w:rsidRDefault="00B702C9" w:rsidP="00E24340">
            <w:pPr>
              <w:pStyle w:val="braytabletext"/>
              <w:spacing w:after="0"/>
              <w:jc w:val="right"/>
            </w:pPr>
            <w:r w:rsidRPr="005911E2">
              <w:t>0.222</w:t>
            </w:r>
          </w:p>
        </w:tc>
        <w:tc>
          <w:tcPr>
            <w:tcW w:w="426"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r>
      <w:tr w:rsidR="00F104E9" w:rsidRPr="005911E2" w:rsidTr="002459AC">
        <w:trPr>
          <w:trHeight w:val="290"/>
        </w:trPr>
        <w:tc>
          <w:tcPr>
            <w:tcW w:w="2712" w:type="dxa"/>
            <w:tcBorders>
              <w:top w:val="nil"/>
              <w:left w:val="nil"/>
              <w:bottom w:val="nil"/>
              <w:right w:val="nil"/>
            </w:tcBorders>
          </w:tcPr>
          <w:p w:rsidR="00F104E9" w:rsidRPr="005911E2" w:rsidRDefault="00F104E9" w:rsidP="00E24340">
            <w:pPr>
              <w:pStyle w:val="braytabletext"/>
              <w:spacing w:after="0"/>
            </w:pPr>
            <w:r w:rsidRPr="005911E2">
              <w:t>Not fair</w:t>
            </w:r>
          </w:p>
        </w:tc>
        <w:tc>
          <w:tcPr>
            <w:tcW w:w="710"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0.520</w:t>
            </w:r>
          </w:p>
        </w:tc>
        <w:tc>
          <w:tcPr>
            <w:tcW w:w="236"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r w:rsidRPr="005911E2">
              <w:rPr>
                <w:vertAlign w:val="superscript"/>
              </w:rPr>
              <w:t>**</w:t>
            </w:r>
          </w:p>
        </w:tc>
        <w:tc>
          <w:tcPr>
            <w:tcW w:w="615" w:type="dxa"/>
            <w:gridSpan w:val="2"/>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0.529</w:t>
            </w:r>
          </w:p>
        </w:tc>
        <w:tc>
          <w:tcPr>
            <w:tcW w:w="285"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r w:rsidRPr="005911E2">
              <w:rPr>
                <w:vertAlign w:val="superscript"/>
              </w:rPr>
              <w:t>**</w:t>
            </w:r>
          </w:p>
        </w:tc>
        <w:tc>
          <w:tcPr>
            <w:tcW w:w="56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0.247</w:t>
            </w:r>
          </w:p>
        </w:tc>
        <w:tc>
          <w:tcPr>
            <w:tcW w:w="288"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0.224</w:t>
            </w:r>
          </w:p>
        </w:tc>
        <w:tc>
          <w:tcPr>
            <w:tcW w:w="283"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7"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-0.025</w:t>
            </w:r>
          </w:p>
        </w:tc>
        <w:tc>
          <w:tcPr>
            <w:tcW w:w="284"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70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0.096</w:t>
            </w:r>
          </w:p>
        </w:tc>
        <w:tc>
          <w:tcPr>
            <w:tcW w:w="850" w:type="dxa"/>
            <w:tcBorders>
              <w:top w:val="nil"/>
              <w:left w:val="nil"/>
              <w:bottom w:val="nil"/>
              <w:right w:val="nil"/>
            </w:tcBorders>
            <w:tcMar>
              <w:left w:w="28" w:type="dxa"/>
              <w:right w:w="28" w:type="dxa"/>
            </w:tcMar>
          </w:tcPr>
          <w:p w:rsidR="00F104E9" w:rsidRPr="005911E2" w:rsidRDefault="00B702C9" w:rsidP="00E24340">
            <w:pPr>
              <w:pStyle w:val="braytabletext"/>
              <w:tabs>
                <w:tab w:val="left" w:pos="300"/>
              </w:tabs>
              <w:spacing w:after="0"/>
              <w:jc w:val="right"/>
            </w:pPr>
            <w:r w:rsidRPr="005911E2">
              <w:t>0.466</w:t>
            </w:r>
          </w:p>
        </w:tc>
        <w:tc>
          <w:tcPr>
            <w:tcW w:w="426" w:type="dxa"/>
            <w:tcBorders>
              <w:top w:val="nil"/>
              <w:left w:val="nil"/>
              <w:bottom w:val="nil"/>
              <w:right w:val="nil"/>
            </w:tcBorders>
            <w:tcMar>
              <w:left w:w="28" w:type="dxa"/>
              <w:right w:w="28" w:type="dxa"/>
            </w:tcMar>
          </w:tcPr>
          <w:p w:rsidR="00F104E9" w:rsidRPr="005911E2" w:rsidRDefault="00B702C9" w:rsidP="00E24340">
            <w:pPr>
              <w:pStyle w:val="braytabletext"/>
              <w:spacing w:after="0"/>
              <w:rPr>
                <w:vertAlign w:val="superscript"/>
              </w:rPr>
            </w:pPr>
            <w:r w:rsidRPr="005911E2">
              <w:rPr>
                <w:vertAlign w:val="superscript"/>
              </w:rPr>
              <w:t>*</w:t>
            </w:r>
          </w:p>
        </w:tc>
      </w:tr>
      <w:tr w:rsidR="00F104E9" w:rsidRPr="005911E2" w:rsidTr="002459AC">
        <w:trPr>
          <w:trHeight w:val="290"/>
        </w:trPr>
        <w:tc>
          <w:tcPr>
            <w:tcW w:w="2712" w:type="dxa"/>
            <w:tcBorders>
              <w:top w:val="nil"/>
              <w:left w:val="nil"/>
              <w:bottom w:val="nil"/>
              <w:right w:val="nil"/>
            </w:tcBorders>
          </w:tcPr>
          <w:p w:rsidR="00F104E9" w:rsidRPr="005911E2" w:rsidRDefault="00F104E9" w:rsidP="00E24340">
            <w:pPr>
              <w:pStyle w:val="braytabletext"/>
              <w:spacing w:after="0"/>
            </w:pPr>
            <w:r w:rsidRPr="005911E2">
              <w:t>In control of life</w:t>
            </w:r>
          </w:p>
        </w:tc>
        <w:tc>
          <w:tcPr>
            <w:tcW w:w="710"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-0.374</w:t>
            </w:r>
          </w:p>
        </w:tc>
        <w:tc>
          <w:tcPr>
            <w:tcW w:w="236"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r w:rsidRPr="005911E2">
              <w:rPr>
                <w:vertAlign w:val="superscript"/>
              </w:rPr>
              <w:t>*</w:t>
            </w:r>
          </w:p>
        </w:tc>
        <w:tc>
          <w:tcPr>
            <w:tcW w:w="615" w:type="dxa"/>
            <w:gridSpan w:val="2"/>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-0.795</w:t>
            </w:r>
          </w:p>
        </w:tc>
        <w:tc>
          <w:tcPr>
            <w:tcW w:w="285"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r w:rsidRPr="005911E2">
              <w:rPr>
                <w:vertAlign w:val="superscript"/>
              </w:rPr>
              <w:t>**</w:t>
            </w:r>
          </w:p>
        </w:tc>
        <w:tc>
          <w:tcPr>
            <w:tcW w:w="56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-0.171</w:t>
            </w:r>
          </w:p>
        </w:tc>
        <w:tc>
          <w:tcPr>
            <w:tcW w:w="288"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-0.356</w:t>
            </w:r>
          </w:p>
        </w:tc>
        <w:tc>
          <w:tcPr>
            <w:tcW w:w="283"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7"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0.308</w:t>
            </w:r>
          </w:p>
        </w:tc>
        <w:tc>
          <w:tcPr>
            <w:tcW w:w="284"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r w:rsidRPr="005911E2">
              <w:rPr>
                <w:vertAlign w:val="superscript"/>
              </w:rPr>
              <w:t>*</w:t>
            </w:r>
          </w:p>
        </w:tc>
        <w:tc>
          <w:tcPr>
            <w:tcW w:w="70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0.138</w:t>
            </w:r>
          </w:p>
        </w:tc>
        <w:tc>
          <w:tcPr>
            <w:tcW w:w="850" w:type="dxa"/>
            <w:tcBorders>
              <w:top w:val="nil"/>
              <w:left w:val="nil"/>
              <w:bottom w:val="nil"/>
              <w:right w:val="nil"/>
            </w:tcBorders>
            <w:tcMar>
              <w:left w:w="28" w:type="dxa"/>
              <w:right w:w="28" w:type="dxa"/>
            </w:tcMar>
          </w:tcPr>
          <w:p w:rsidR="00F104E9" w:rsidRPr="005911E2" w:rsidRDefault="00B702C9" w:rsidP="00E24340">
            <w:pPr>
              <w:pStyle w:val="braytabletext"/>
              <w:spacing w:after="0"/>
              <w:jc w:val="right"/>
            </w:pPr>
            <w:r w:rsidRPr="005911E2">
              <w:t>-0.443</w:t>
            </w:r>
          </w:p>
        </w:tc>
        <w:tc>
          <w:tcPr>
            <w:tcW w:w="426" w:type="dxa"/>
            <w:tcBorders>
              <w:top w:val="nil"/>
              <w:left w:val="nil"/>
              <w:bottom w:val="nil"/>
              <w:right w:val="nil"/>
            </w:tcBorders>
            <w:tcMar>
              <w:left w:w="28" w:type="dxa"/>
              <w:right w:w="28" w:type="dxa"/>
            </w:tcMar>
          </w:tcPr>
          <w:p w:rsidR="00F104E9" w:rsidRPr="005911E2" w:rsidRDefault="00B702C9" w:rsidP="00E24340">
            <w:pPr>
              <w:pStyle w:val="braytabletext"/>
              <w:spacing w:after="0"/>
              <w:rPr>
                <w:vertAlign w:val="superscript"/>
              </w:rPr>
            </w:pPr>
            <w:r w:rsidRPr="005911E2">
              <w:rPr>
                <w:vertAlign w:val="superscript"/>
              </w:rPr>
              <w:t>*</w:t>
            </w:r>
          </w:p>
        </w:tc>
      </w:tr>
      <w:tr w:rsidR="00F104E9" w:rsidRPr="005911E2" w:rsidTr="002459AC">
        <w:trPr>
          <w:trHeight w:val="290"/>
        </w:trPr>
        <w:tc>
          <w:tcPr>
            <w:tcW w:w="2712" w:type="dxa"/>
            <w:tcBorders>
              <w:top w:val="nil"/>
              <w:left w:val="nil"/>
              <w:bottom w:val="nil"/>
              <w:right w:val="nil"/>
            </w:tcBorders>
          </w:tcPr>
          <w:p w:rsidR="00F104E9" w:rsidRPr="005911E2" w:rsidRDefault="00F104E9" w:rsidP="00E24340">
            <w:pPr>
              <w:pStyle w:val="braytabletext"/>
              <w:spacing w:after="0"/>
            </w:pPr>
            <w:r w:rsidRPr="005911E2">
              <w:t>Better for self and family</w:t>
            </w:r>
          </w:p>
        </w:tc>
        <w:tc>
          <w:tcPr>
            <w:tcW w:w="710"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-0.206</w:t>
            </w:r>
          </w:p>
        </w:tc>
        <w:tc>
          <w:tcPr>
            <w:tcW w:w="236"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615" w:type="dxa"/>
            <w:gridSpan w:val="2"/>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-0.567</w:t>
            </w:r>
          </w:p>
        </w:tc>
        <w:tc>
          <w:tcPr>
            <w:tcW w:w="285"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r w:rsidRPr="005911E2">
              <w:rPr>
                <w:vertAlign w:val="superscript"/>
              </w:rPr>
              <w:t>**</w:t>
            </w:r>
          </w:p>
        </w:tc>
        <w:tc>
          <w:tcPr>
            <w:tcW w:w="56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-0.003</w:t>
            </w:r>
          </w:p>
        </w:tc>
        <w:tc>
          <w:tcPr>
            <w:tcW w:w="288"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-0.336</w:t>
            </w:r>
          </w:p>
        </w:tc>
        <w:tc>
          <w:tcPr>
            <w:tcW w:w="283"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7"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0.352</w:t>
            </w:r>
          </w:p>
        </w:tc>
        <w:tc>
          <w:tcPr>
            <w:tcW w:w="284"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r w:rsidRPr="005911E2">
              <w:rPr>
                <w:vertAlign w:val="superscript"/>
              </w:rPr>
              <w:t>*</w:t>
            </w:r>
          </w:p>
        </w:tc>
        <w:tc>
          <w:tcPr>
            <w:tcW w:w="70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0.108</w:t>
            </w:r>
          </w:p>
        </w:tc>
        <w:tc>
          <w:tcPr>
            <w:tcW w:w="850" w:type="dxa"/>
            <w:tcBorders>
              <w:top w:val="nil"/>
              <w:left w:val="nil"/>
              <w:bottom w:val="nil"/>
              <w:right w:val="nil"/>
            </w:tcBorders>
            <w:tcMar>
              <w:left w:w="28" w:type="dxa"/>
              <w:right w:w="28" w:type="dxa"/>
            </w:tcMar>
          </w:tcPr>
          <w:p w:rsidR="00F104E9" w:rsidRPr="005911E2" w:rsidRDefault="00B702C9" w:rsidP="00E24340">
            <w:pPr>
              <w:pStyle w:val="braytabletext"/>
              <w:spacing w:after="0"/>
              <w:jc w:val="right"/>
            </w:pPr>
            <w:r w:rsidRPr="005911E2">
              <w:t>-0.760</w:t>
            </w:r>
          </w:p>
        </w:tc>
        <w:tc>
          <w:tcPr>
            <w:tcW w:w="426" w:type="dxa"/>
            <w:tcBorders>
              <w:top w:val="nil"/>
              <w:left w:val="nil"/>
              <w:bottom w:val="nil"/>
              <w:right w:val="nil"/>
            </w:tcBorders>
            <w:tcMar>
              <w:left w:w="28" w:type="dxa"/>
              <w:right w:w="28" w:type="dxa"/>
            </w:tcMar>
          </w:tcPr>
          <w:p w:rsidR="00F104E9" w:rsidRPr="005911E2" w:rsidRDefault="00B702C9" w:rsidP="00E24340">
            <w:pPr>
              <w:pStyle w:val="braytabletext"/>
              <w:spacing w:after="0"/>
              <w:rPr>
                <w:vertAlign w:val="superscript"/>
              </w:rPr>
            </w:pPr>
            <w:r w:rsidRPr="005911E2">
              <w:rPr>
                <w:vertAlign w:val="superscript"/>
              </w:rPr>
              <w:t>**</w:t>
            </w:r>
          </w:p>
        </w:tc>
      </w:tr>
      <w:tr w:rsidR="00F104E9" w:rsidRPr="005911E2" w:rsidTr="002459AC">
        <w:trPr>
          <w:trHeight w:val="290"/>
        </w:trPr>
        <w:tc>
          <w:tcPr>
            <w:tcW w:w="2712" w:type="dxa"/>
            <w:tcBorders>
              <w:top w:val="nil"/>
              <w:left w:val="nil"/>
              <w:bottom w:val="nil"/>
              <w:right w:val="nil"/>
            </w:tcBorders>
          </w:tcPr>
          <w:p w:rsidR="00F104E9" w:rsidRPr="005911E2" w:rsidRDefault="00F104E9" w:rsidP="00E24340">
            <w:pPr>
              <w:pStyle w:val="braytabletext"/>
              <w:spacing w:after="0"/>
            </w:pPr>
            <w:r w:rsidRPr="005911E2">
              <w:t>In control of money</w:t>
            </w:r>
          </w:p>
        </w:tc>
        <w:tc>
          <w:tcPr>
            <w:tcW w:w="710"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-0.362</w:t>
            </w:r>
          </w:p>
        </w:tc>
        <w:tc>
          <w:tcPr>
            <w:tcW w:w="236"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r w:rsidRPr="005911E2">
              <w:rPr>
                <w:vertAlign w:val="superscript"/>
              </w:rPr>
              <w:t>*</w:t>
            </w:r>
          </w:p>
        </w:tc>
        <w:tc>
          <w:tcPr>
            <w:tcW w:w="615" w:type="dxa"/>
            <w:gridSpan w:val="2"/>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-0.828</w:t>
            </w:r>
          </w:p>
        </w:tc>
        <w:tc>
          <w:tcPr>
            <w:tcW w:w="285"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r w:rsidRPr="005911E2">
              <w:rPr>
                <w:vertAlign w:val="superscript"/>
              </w:rPr>
              <w:t>**</w:t>
            </w:r>
          </w:p>
        </w:tc>
        <w:tc>
          <w:tcPr>
            <w:tcW w:w="56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-0.227</w:t>
            </w:r>
          </w:p>
        </w:tc>
        <w:tc>
          <w:tcPr>
            <w:tcW w:w="288"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-0.312</w:t>
            </w:r>
          </w:p>
        </w:tc>
        <w:tc>
          <w:tcPr>
            <w:tcW w:w="283"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7"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0.195</w:t>
            </w:r>
          </w:p>
        </w:tc>
        <w:tc>
          <w:tcPr>
            <w:tcW w:w="284"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70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0.113</w:t>
            </w:r>
          </w:p>
        </w:tc>
        <w:tc>
          <w:tcPr>
            <w:tcW w:w="850" w:type="dxa"/>
            <w:tcBorders>
              <w:top w:val="nil"/>
              <w:left w:val="nil"/>
              <w:bottom w:val="nil"/>
              <w:right w:val="nil"/>
            </w:tcBorders>
            <w:tcMar>
              <w:left w:w="28" w:type="dxa"/>
              <w:right w:w="28" w:type="dxa"/>
            </w:tcMar>
          </w:tcPr>
          <w:p w:rsidR="00F104E9" w:rsidRPr="005911E2" w:rsidRDefault="00B702C9" w:rsidP="00E24340">
            <w:pPr>
              <w:pStyle w:val="braytabletext"/>
              <w:spacing w:after="0"/>
              <w:jc w:val="right"/>
            </w:pPr>
            <w:r w:rsidRPr="005911E2">
              <w:t>-0.622</w:t>
            </w:r>
          </w:p>
        </w:tc>
        <w:tc>
          <w:tcPr>
            <w:tcW w:w="426" w:type="dxa"/>
            <w:tcBorders>
              <w:top w:val="nil"/>
              <w:left w:val="nil"/>
              <w:bottom w:val="nil"/>
              <w:right w:val="nil"/>
            </w:tcBorders>
            <w:tcMar>
              <w:left w:w="28" w:type="dxa"/>
              <w:right w:w="28" w:type="dxa"/>
            </w:tcMar>
          </w:tcPr>
          <w:p w:rsidR="00F104E9" w:rsidRPr="005911E2" w:rsidRDefault="00B702C9" w:rsidP="00E24340">
            <w:pPr>
              <w:pStyle w:val="braytabletext"/>
              <w:spacing w:after="0"/>
              <w:rPr>
                <w:vertAlign w:val="superscript"/>
              </w:rPr>
            </w:pPr>
            <w:r w:rsidRPr="005911E2">
              <w:rPr>
                <w:vertAlign w:val="superscript"/>
              </w:rPr>
              <w:t>**</w:t>
            </w:r>
          </w:p>
        </w:tc>
      </w:tr>
      <w:tr w:rsidR="00F104E9" w:rsidRPr="005911E2" w:rsidTr="002459AC">
        <w:trPr>
          <w:trHeight w:val="290"/>
        </w:trPr>
        <w:tc>
          <w:tcPr>
            <w:tcW w:w="2712" w:type="dxa"/>
            <w:tcBorders>
              <w:top w:val="nil"/>
              <w:left w:val="nil"/>
              <w:bottom w:val="nil"/>
              <w:right w:val="nil"/>
            </w:tcBorders>
          </w:tcPr>
          <w:p w:rsidR="00F104E9" w:rsidRPr="005911E2" w:rsidRDefault="00F104E9" w:rsidP="00E24340">
            <w:pPr>
              <w:pStyle w:val="braytabletext"/>
              <w:spacing w:after="0"/>
            </w:pPr>
            <w:r w:rsidRPr="005911E2">
              <w:t>Not worried</w:t>
            </w:r>
          </w:p>
        </w:tc>
        <w:tc>
          <w:tcPr>
            <w:tcW w:w="710"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-0.102</w:t>
            </w:r>
          </w:p>
        </w:tc>
        <w:tc>
          <w:tcPr>
            <w:tcW w:w="236"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615" w:type="dxa"/>
            <w:gridSpan w:val="2"/>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-0.248</w:t>
            </w:r>
          </w:p>
        </w:tc>
        <w:tc>
          <w:tcPr>
            <w:tcW w:w="285"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r w:rsidRPr="005911E2">
              <w:rPr>
                <w:vertAlign w:val="superscript"/>
              </w:rPr>
              <w:t>*</w:t>
            </w:r>
          </w:p>
        </w:tc>
        <w:tc>
          <w:tcPr>
            <w:tcW w:w="56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-0.124</w:t>
            </w:r>
          </w:p>
        </w:tc>
        <w:tc>
          <w:tcPr>
            <w:tcW w:w="288"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-0.299</w:t>
            </w:r>
          </w:p>
        </w:tc>
        <w:tc>
          <w:tcPr>
            <w:tcW w:w="283"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7"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0.226</w:t>
            </w:r>
          </w:p>
        </w:tc>
        <w:tc>
          <w:tcPr>
            <w:tcW w:w="284"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70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0.070</w:t>
            </w:r>
          </w:p>
        </w:tc>
        <w:tc>
          <w:tcPr>
            <w:tcW w:w="850" w:type="dxa"/>
            <w:tcBorders>
              <w:top w:val="nil"/>
              <w:left w:val="nil"/>
              <w:bottom w:val="nil"/>
              <w:right w:val="nil"/>
            </w:tcBorders>
            <w:tcMar>
              <w:left w:w="28" w:type="dxa"/>
              <w:right w:w="28" w:type="dxa"/>
            </w:tcMar>
          </w:tcPr>
          <w:p w:rsidR="00F104E9" w:rsidRPr="005911E2" w:rsidRDefault="00B702C9" w:rsidP="00E24340">
            <w:pPr>
              <w:pStyle w:val="braytabletext"/>
              <w:spacing w:after="0"/>
              <w:jc w:val="right"/>
            </w:pPr>
            <w:r w:rsidRPr="005911E2">
              <w:t>-0.092</w:t>
            </w:r>
          </w:p>
        </w:tc>
        <w:tc>
          <w:tcPr>
            <w:tcW w:w="426"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r>
      <w:tr w:rsidR="00F104E9" w:rsidRPr="005911E2" w:rsidTr="002459AC">
        <w:trPr>
          <w:trHeight w:val="290"/>
        </w:trPr>
        <w:tc>
          <w:tcPr>
            <w:tcW w:w="2712" w:type="dxa"/>
            <w:tcBorders>
              <w:top w:val="nil"/>
              <w:left w:val="nil"/>
              <w:bottom w:val="single" w:sz="4" w:space="0" w:color="auto"/>
              <w:right w:val="nil"/>
            </w:tcBorders>
          </w:tcPr>
          <w:p w:rsidR="00F104E9" w:rsidRPr="005911E2" w:rsidRDefault="00F104E9" w:rsidP="00E24340">
            <w:pPr>
              <w:pStyle w:val="braytabletext"/>
              <w:spacing w:after="0"/>
            </w:pPr>
            <w:r w:rsidRPr="005911E2">
              <w:t>Safer</w:t>
            </w:r>
          </w:p>
        </w:tc>
        <w:tc>
          <w:tcPr>
            <w:tcW w:w="710" w:type="dxa"/>
            <w:tcBorders>
              <w:top w:val="nil"/>
              <w:left w:val="nil"/>
              <w:bottom w:val="single" w:sz="4" w:space="0" w:color="auto"/>
              <w:right w:val="nil"/>
            </w:tcBorders>
            <w:tcMar>
              <w:left w:w="28" w:type="dxa"/>
              <w:right w:w="28" w:type="dxa"/>
            </w:tcMar>
          </w:tcPr>
          <w:p w:rsidR="00F104E9" w:rsidRPr="005911E2" w:rsidRDefault="00F104E9" w:rsidP="00E24340">
            <w:pPr>
              <w:pStyle w:val="braytabletext"/>
              <w:spacing w:after="0"/>
              <w:jc w:val="right"/>
            </w:pPr>
            <w:r w:rsidRPr="005911E2">
              <w:t>-0.252</w:t>
            </w:r>
          </w:p>
        </w:tc>
        <w:tc>
          <w:tcPr>
            <w:tcW w:w="236" w:type="dxa"/>
            <w:tcBorders>
              <w:top w:val="nil"/>
              <w:left w:val="nil"/>
              <w:bottom w:val="single" w:sz="4" w:space="0" w:color="auto"/>
              <w:right w:val="nil"/>
            </w:tcBorders>
            <w:tcMar>
              <w:left w:w="28" w:type="dxa"/>
              <w:right w:w="28" w:type="dxa"/>
            </w:tcMar>
          </w:tcPr>
          <w:p w:rsidR="00F104E9" w:rsidRPr="005911E2" w:rsidRDefault="00F104E9" w:rsidP="00E24340">
            <w:pPr>
              <w:pStyle w:val="braytabletext"/>
              <w:spacing w:after="0"/>
              <w:rPr>
                <w:vertAlign w:val="superscript"/>
              </w:rPr>
            </w:pPr>
          </w:p>
        </w:tc>
        <w:tc>
          <w:tcPr>
            <w:tcW w:w="615" w:type="dxa"/>
            <w:gridSpan w:val="2"/>
            <w:tcBorders>
              <w:top w:val="nil"/>
              <w:left w:val="nil"/>
              <w:bottom w:val="single" w:sz="4" w:space="0" w:color="auto"/>
              <w:right w:val="nil"/>
            </w:tcBorders>
            <w:tcMar>
              <w:left w:w="28" w:type="dxa"/>
              <w:right w:w="28" w:type="dxa"/>
            </w:tcMar>
          </w:tcPr>
          <w:p w:rsidR="00F104E9" w:rsidRPr="005911E2" w:rsidRDefault="00F104E9" w:rsidP="00E24340">
            <w:pPr>
              <w:pStyle w:val="braytabletext"/>
              <w:spacing w:after="0"/>
              <w:jc w:val="right"/>
            </w:pPr>
            <w:r w:rsidRPr="005911E2">
              <w:t>-0.727</w:t>
            </w:r>
          </w:p>
        </w:tc>
        <w:tc>
          <w:tcPr>
            <w:tcW w:w="285" w:type="dxa"/>
            <w:tcBorders>
              <w:top w:val="nil"/>
              <w:left w:val="nil"/>
              <w:bottom w:val="single" w:sz="4" w:space="0" w:color="auto"/>
              <w:right w:val="nil"/>
            </w:tcBorders>
            <w:tcMar>
              <w:left w:w="28" w:type="dxa"/>
              <w:right w:w="28" w:type="dxa"/>
            </w:tcMar>
          </w:tcPr>
          <w:p w:rsidR="00F104E9" w:rsidRPr="005911E2" w:rsidRDefault="00F104E9" w:rsidP="00E24340">
            <w:pPr>
              <w:pStyle w:val="braytabletext"/>
              <w:spacing w:after="0"/>
              <w:rPr>
                <w:vertAlign w:val="superscript"/>
              </w:rPr>
            </w:pPr>
            <w:r w:rsidRPr="005911E2">
              <w:rPr>
                <w:vertAlign w:val="superscript"/>
              </w:rPr>
              <w:t>**</w:t>
            </w:r>
          </w:p>
        </w:tc>
        <w:tc>
          <w:tcPr>
            <w:tcW w:w="569" w:type="dxa"/>
            <w:tcBorders>
              <w:top w:val="nil"/>
              <w:left w:val="nil"/>
              <w:bottom w:val="single" w:sz="4" w:space="0" w:color="auto"/>
              <w:right w:val="nil"/>
            </w:tcBorders>
            <w:tcMar>
              <w:left w:w="28" w:type="dxa"/>
              <w:right w:w="28" w:type="dxa"/>
            </w:tcMar>
          </w:tcPr>
          <w:p w:rsidR="00F104E9" w:rsidRPr="005911E2" w:rsidRDefault="00F104E9" w:rsidP="00E24340">
            <w:pPr>
              <w:pStyle w:val="braytabletext"/>
              <w:spacing w:after="0"/>
              <w:jc w:val="right"/>
            </w:pPr>
            <w:r w:rsidRPr="005911E2">
              <w:t>-0.124</w:t>
            </w:r>
          </w:p>
        </w:tc>
        <w:tc>
          <w:tcPr>
            <w:tcW w:w="288" w:type="dxa"/>
            <w:tcBorders>
              <w:top w:val="nil"/>
              <w:left w:val="nil"/>
              <w:bottom w:val="single" w:sz="4" w:space="0" w:color="auto"/>
              <w:right w:val="nil"/>
            </w:tcBorders>
            <w:tcMar>
              <w:left w:w="28" w:type="dxa"/>
              <w:right w:w="28" w:type="dxa"/>
            </w:tcMar>
          </w:tcPr>
          <w:p w:rsidR="00F104E9" w:rsidRPr="005911E2" w:rsidRDefault="00F104E9" w:rsidP="00E24340">
            <w:pPr>
              <w:pStyle w:val="braytabletext"/>
              <w:spacing w:after="0"/>
              <w:rPr>
                <w:vertAlign w:val="superscript"/>
              </w:rPr>
            </w:pPr>
          </w:p>
        </w:tc>
        <w:tc>
          <w:tcPr>
            <w:tcW w:w="569" w:type="dxa"/>
            <w:tcBorders>
              <w:top w:val="nil"/>
              <w:left w:val="nil"/>
              <w:bottom w:val="single" w:sz="4" w:space="0" w:color="auto"/>
              <w:right w:val="nil"/>
            </w:tcBorders>
            <w:tcMar>
              <w:left w:w="28" w:type="dxa"/>
              <w:right w:w="28" w:type="dxa"/>
            </w:tcMar>
          </w:tcPr>
          <w:p w:rsidR="00F104E9" w:rsidRPr="005911E2" w:rsidRDefault="00F104E9" w:rsidP="00E24340">
            <w:pPr>
              <w:pStyle w:val="braytabletext"/>
              <w:spacing w:after="0"/>
              <w:jc w:val="right"/>
            </w:pPr>
            <w:r w:rsidRPr="005911E2">
              <w:t>-0.420</w:t>
            </w:r>
          </w:p>
        </w:tc>
        <w:tc>
          <w:tcPr>
            <w:tcW w:w="283" w:type="dxa"/>
            <w:tcBorders>
              <w:top w:val="nil"/>
              <w:left w:val="nil"/>
              <w:bottom w:val="single" w:sz="4" w:space="0" w:color="auto"/>
              <w:right w:val="nil"/>
            </w:tcBorders>
            <w:tcMar>
              <w:left w:w="28" w:type="dxa"/>
              <w:right w:w="28" w:type="dxa"/>
            </w:tcMar>
          </w:tcPr>
          <w:p w:rsidR="00F104E9" w:rsidRPr="005911E2" w:rsidRDefault="00F104E9" w:rsidP="00E24340">
            <w:pPr>
              <w:pStyle w:val="braytabletext"/>
              <w:spacing w:after="0"/>
              <w:rPr>
                <w:vertAlign w:val="superscript"/>
              </w:rPr>
            </w:pPr>
          </w:p>
        </w:tc>
        <w:tc>
          <w:tcPr>
            <w:tcW w:w="567" w:type="dxa"/>
            <w:tcBorders>
              <w:top w:val="nil"/>
              <w:left w:val="nil"/>
              <w:bottom w:val="single" w:sz="4" w:space="0" w:color="auto"/>
              <w:right w:val="nil"/>
            </w:tcBorders>
            <w:tcMar>
              <w:left w:w="28" w:type="dxa"/>
              <w:right w:w="28" w:type="dxa"/>
            </w:tcMar>
          </w:tcPr>
          <w:p w:rsidR="00F104E9" w:rsidRPr="005911E2" w:rsidRDefault="00F104E9" w:rsidP="00E24340">
            <w:pPr>
              <w:pStyle w:val="braytabletext"/>
              <w:spacing w:after="0"/>
              <w:jc w:val="right"/>
            </w:pPr>
            <w:r w:rsidRPr="005911E2">
              <w:t>0.247</w:t>
            </w:r>
          </w:p>
        </w:tc>
        <w:tc>
          <w:tcPr>
            <w:tcW w:w="284" w:type="dxa"/>
            <w:tcBorders>
              <w:top w:val="nil"/>
              <w:left w:val="nil"/>
              <w:bottom w:val="single" w:sz="4" w:space="0" w:color="auto"/>
              <w:right w:val="nil"/>
            </w:tcBorders>
            <w:tcMar>
              <w:left w:w="28" w:type="dxa"/>
              <w:right w:w="28" w:type="dxa"/>
            </w:tcMar>
          </w:tcPr>
          <w:p w:rsidR="00F104E9" w:rsidRPr="005911E2" w:rsidRDefault="00F104E9" w:rsidP="00E24340">
            <w:pPr>
              <w:pStyle w:val="braytabletext"/>
              <w:spacing w:after="0"/>
              <w:rPr>
                <w:vertAlign w:val="superscript"/>
              </w:rPr>
            </w:pPr>
          </w:p>
        </w:tc>
        <w:tc>
          <w:tcPr>
            <w:tcW w:w="709" w:type="dxa"/>
            <w:tcBorders>
              <w:top w:val="nil"/>
              <w:left w:val="nil"/>
              <w:bottom w:val="single" w:sz="4" w:space="0" w:color="auto"/>
              <w:right w:val="nil"/>
            </w:tcBorders>
            <w:tcMar>
              <w:left w:w="28" w:type="dxa"/>
              <w:right w:w="28" w:type="dxa"/>
            </w:tcMar>
          </w:tcPr>
          <w:p w:rsidR="00F104E9" w:rsidRPr="005911E2" w:rsidRDefault="00F104E9" w:rsidP="00E24340">
            <w:pPr>
              <w:pStyle w:val="braytabletext"/>
              <w:spacing w:after="0"/>
              <w:jc w:val="right"/>
            </w:pPr>
            <w:r w:rsidRPr="005911E2">
              <w:t>0.133</w:t>
            </w:r>
          </w:p>
        </w:tc>
        <w:tc>
          <w:tcPr>
            <w:tcW w:w="850" w:type="dxa"/>
            <w:tcBorders>
              <w:top w:val="nil"/>
              <w:left w:val="nil"/>
              <w:bottom w:val="single" w:sz="4" w:space="0" w:color="auto"/>
              <w:right w:val="nil"/>
            </w:tcBorders>
            <w:tcMar>
              <w:left w:w="28" w:type="dxa"/>
              <w:right w:w="28" w:type="dxa"/>
            </w:tcMar>
          </w:tcPr>
          <w:p w:rsidR="00F104E9" w:rsidRPr="005911E2" w:rsidRDefault="00B702C9" w:rsidP="00E24340">
            <w:pPr>
              <w:pStyle w:val="braytabletext"/>
              <w:spacing w:after="0"/>
              <w:jc w:val="right"/>
            </w:pPr>
            <w:r w:rsidRPr="005911E2">
              <w:t>-0.688</w:t>
            </w:r>
          </w:p>
        </w:tc>
        <w:tc>
          <w:tcPr>
            <w:tcW w:w="426" w:type="dxa"/>
            <w:tcBorders>
              <w:top w:val="nil"/>
              <w:left w:val="nil"/>
              <w:bottom w:val="single" w:sz="4" w:space="0" w:color="auto"/>
              <w:right w:val="nil"/>
            </w:tcBorders>
            <w:tcMar>
              <w:left w:w="28" w:type="dxa"/>
              <w:right w:w="28" w:type="dxa"/>
            </w:tcMar>
          </w:tcPr>
          <w:p w:rsidR="00F104E9" w:rsidRPr="005911E2" w:rsidRDefault="00B702C9" w:rsidP="00E24340">
            <w:pPr>
              <w:pStyle w:val="braytabletext"/>
              <w:spacing w:after="0"/>
              <w:rPr>
                <w:vertAlign w:val="superscript"/>
              </w:rPr>
            </w:pPr>
            <w:r w:rsidRPr="005911E2">
              <w:rPr>
                <w:vertAlign w:val="superscript"/>
              </w:rPr>
              <w:t>**</w:t>
            </w:r>
          </w:p>
        </w:tc>
      </w:tr>
      <w:tr w:rsidR="00F104E9" w:rsidRPr="005911E2" w:rsidTr="002459AC">
        <w:trPr>
          <w:trHeight w:val="290"/>
        </w:trPr>
        <w:tc>
          <w:tcPr>
            <w:tcW w:w="2712" w:type="dxa"/>
            <w:tcBorders>
              <w:top w:val="single" w:sz="4" w:space="0" w:color="auto"/>
              <w:left w:val="nil"/>
              <w:bottom w:val="nil"/>
              <w:right w:val="nil"/>
            </w:tcBorders>
          </w:tcPr>
          <w:p w:rsidR="00F104E9" w:rsidRPr="005911E2" w:rsidRDefault="00F104E9" w:rsidP="00E24340">
            <w:pPr>
              <w:pStyle w:val="braytabletext"/>
              <w:spacing w:after="0"/>
              <w:rPr>
                <w:i/>
              </w:rPr>
            </w:pPr>
            <w:r w:rsidRPr="005911E2">
              <w:rPr>
                <w:i/>
              </w:rPr>
              <w:t>Perception of change: (c)</w:t>
            </w:r>
          </w:p>
        </w:tc>
        <w:tc>
          <w:tcPr>
            <w:tcW w:w="710" w:type="dxa"/>
            <w:tcBorders>
              <w:top w:val="single" w:sz="4" w:space="0" w:color="auto"/>
              <w:left w:val="nil"/>
              <w:bottom w:val="nil"/>
              <w:right w:val="nil"/>
            </w:tcBorders>
            <w:tcMar>
              <w:left w:w="28" w:type="dxa"/>
              <w:right w:w="28" w:type="dxa"/>
            </w:tcMar>
          </w:tcPr>
          <w:p w:rsidR="00F104E9" w:rsidRPr="005911E2" w:rsidRDefault="00F104E9" w:rsidP="00E24340">
            <w:pPr>
              <w:pStyle w:val="braytabletext"/>
              <w:spacing w:after="0"/>
            </w:pPr>
          </w:p>
        </w:tc>
        <w:tc>
          <w:tcPr>
            <w:tcW w:w="236" w:type="dxa"/>
            <w:tcBorders>
              <w:top w:val="single" w:sz="4" w:space="0" w:color="auto"/>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615" w:type="dxa"/>
            <w:gridSpan w:val="2"/>
            <w:tcBorders>
              <w:top w:val="single" w:sz="4" w:space="0" w:color="auto"/>
              <w:left w:val="nil"/>
              <w:bottom w:val="nil"/>
              <w:right w:val="nil"/>
            </w:tcBorders>
            <w:tcMar>
              <w:left w:w="28" w:type="dxa"/>
              <w:right w:w="28" w:type="dxa"/>
            </w:tcMar>
          </w:tcPr>
          <w:p w:rsidR="00F104E9" w:rsidRPr="005911E2" w:rsidRDefault="00F104E9" w:rsidP="00E24340">
            <w:pPr>
              <w:pStyle w:val="braytabletext"/>
              <w:spacing w:after="0"/>
            </w:pPr>
          </w:p>
        </w:tc>
        <w:tc>
          <w:tcPr>
            <w:tcW w:w="285" w:type="dxa"/>
            <w:tcBorders>
              <w:top w:val="single" w:sz="4" w:space="0" w:color="auto"/>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9" w:type="dxa"/>
            <w:tcBorders>
              <w:top w:val="single" w:sz="4" w:space="0" w:color="auto"/>
              <w:left w:val="nil"/>
              <w:bottom w:val="nil"/>
              <w:right w:val="nil"/>
            </w:tcBorders>
            <w:tcMar>
              <w:left w:w="28" w:type="dxa"/>
              <w:right w:w="28" w:type="dxa"/>
            </w:tcMar>
          </w:tcPr>
          <w:p w:rsidR="00F104E9" w:rsidRPr="005911E2" w:rsidRDefault="00F104E9" w:rsidP="00E24340">
            <w:pPr>
              <w:pStyle w:val="braytabletext"/>
              <w:spacing w:after="0"/>
            </w:pPr>
          </w:p>
        </w:tc>
        <w:tc>
          <w:tcPr>
            <w:tcW w:w="288" w:type="dxa"/>
            <w:tcBorders>
              <w:top w:val="single" w:sz="4" w:space="0" w:color="auto"/>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9" w:type="dxa"/>
            <w:tcBorders>
              <w:top w:val="single" w:sz="4" w:space="0" w:color="auto"/>
              <w:left w:val="nil"/>
              <w:bottom w:val="nil"/>
              <w:right w:val="nil"/>
            </w:tcBorders>
            <w:tcMar>
              <w:left w:w="28" w:type="dxa"/>
              <w:right w:w="28" w:type="dxa"/>
            </w:tcMar>
          </w:tcPr>
          <w:p w:rsidR="00F104E9" w:rsidRPr="005911E2" w:rsidRDefault="00F104E9" w:rsidP="00E24340">
            <w:pPr>
              <w:pStyle w:val="braytabletext"/>
              <w:spacing w:after="0"/>
            </w:pPr>
          </w:p>
        </w:tc>
        <w:tc>
          <w:tcPr>
            <w:tcW w:w="283" w:type="dxa"/>
            <w:tcBorders>
              <w:top w:val="single" w:sz="4" w:space="0" w:color="auto"/>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7" w:type="dxa"/>
            <w:tcBorders>
              <w:top w:val="single" w:sz="4" w:space="0" w:color="auto"/>
              <w:left w:val="nil"/>
              <w:bottom w:val="nil"/>
              <w:right w:val="nil"/>
            </w:tcBorders>
            <w:tcMar>
              <w:left w:w="28" w:type="dxa"/>
              <w:right w:w="28" w:type="dxa"/>
            </w:tcMar>
          </w:tcPr>
          <w:p w:rsidR="00F104E9" w:rsidRPr="005911E2" w:rsidRDefault="00F104E9" w:rsidP="00E24340">
            <w:pPr>
              <w:pStyle w:val="braytabletext"/>
              <w:spacing w:after="0"/>
            </w:pPr>
          </w:p>
        </w:tc>
        <w:tc>
          <w:tcPr>
            <w:tcW w:w="284" w:type="dxa"/>
            <w:tcBorders>
              <w:top w:val="single" w:sz="4" w:space="0" w:color="auto"/>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709" w:type="dxa"/>
            <w:tcBorders>
              <w:top w:val="single" w:sz="4" w:space="0" w:color="auto"/>
              <w:left w:val="nil"/>
              <w:bottom w:val="nil"/>
              <w:right w:val="nil"/>
            </w:tcBorders>
            <w:tcMar>
              <w:left w:w="28" w:type="dxa"/>
              <w:right w:w="28" w:type="dxa"/>
            </w:tcMar>
          </w:tcPr>
          <w:p w:rsidR="00F104E9" w:rsidRPr="005911E2" w:rsidRDefault="00F104E9" w:rsidP="00E24340">
            <w:pPr>
              <w:pStyle w:val="braytabletext"/>
              <w:spacing w:after="0"/>
            </w:pPr>
          </w:p>
        </w:tc>
        <w:tc>
          <w:tcPr>
            <w:tcW w:w="850" w:type="dxa"/>
            <w:tcBorders>
              <w:top w:val="single" w:sz="4" w:space="0" w:color="auto"/>
              <w:left w:val="nil"/>
              <w:bottom w:val="nil"/>
              <w:right w:val="nil"/>
            </w:tcBorders>
            <w:tcMar>
              <w:left w:w="28" w:type="dxa"/>
              <w:right w:w="28" w:type="dxa"/>
            </w:tcMar>
          </w:tcPr>
          <w:p w:rsidR="00F104E9" w:rsidRPr="005911E2" w:rsidRDefault="00F104E9" w:rsidP="00E24340">
            <w:pPr>
              <w:pStyle w:val="braytabletext"/>
              <w:spacing w:after="0"/>
              <w:jc w:val="right"/>
            </w:pPr>
          </w:p>
        </w:tc>
        <w:tc>
          <w:tcPr>
            <w:tcW w:w="426" w:type="dxa"/>
            <w:tcBorders>
              <w:top w:val="single" w:sz="4" w:space="0" w:color="auto"/>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r>
      <w:tr w:rsidR="00F104E9" w:rsidRPr="005911E2" w:rsidTr="002459AC">
        <w:trPr>
          <w:trHeight w:val="290"/>
        </w:trPr>
        <w:tc>
          <w:tcPr>
            <w:tcW w:w="2712" w:type="dxa"/>
            <w:tcBorders>
              <w:top w:val="nil"/>
              <w:left w:val="nil"/>
              <w:bottom w:val="nil"/>
              <w:right w:val="nil"/>
            </w:tcBorders>
          </w:tcPr>
          <w:p w:rsidR="00F104E9" w:rsidRPr="005911E2" w:rsidRDefault="00F104E9" w:rsidP="00E24340">
            <w:pPr>
              <w:pStyle w:val="braytabletext"/>
              <w:spacing w:after="0"/>
            </w:pPr>
            <w:r w:rsidRPr="005911E2">
              <w:t>Managing your money</w:t>
            </w:r>
          </w:p>
        </w:tc>
        <w:tc>
          <w:tcPr>
            <w:tcW w:w="710"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0.128</w:t>
            </w:r>
          </w:p>
        </w:tc>
        <w:tc>
          <w:tcPr>
            <w:tcW w:w="236"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615" w:type="dxa"/>
            <w:gridSpan w:val="2"/>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-0.393</w:t>
            </w:r>
          </w:p>
        </w:tc>
        <w:tc>
          <w:tcPr>
            <w:tcW w:w="285"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r w:rsidRPr="005911E2">
              <w:rPr>
                <w:vertAlign w:val="superscript"/>
              </w:rPr>
              <w:t>**</w:t>
            </w:r>
          </w:p>
        </w:tc>
        <w:tc>
          <w:tcPr>
            <w:tcW w:w="56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0.221</w:t>
            </w:r>
          </w:p>
        </w:tc>
        <w:tc>
          <w:tcPr>
            <w:tcW w:w="288"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-0.118</w:t>
            </w:r>
          </w:p>
        </w:tc>
        <w:tc>
          <w:tcPr>
            <w:tcW w:w="283"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7"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0.359</w:t>
            </w:r>
          </w:p>
        </w:tc>
        <w:tc>
          <w:tcPr>
            <w:tcW w:w="284"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r w:rsidRPr="005911E2">
              <w:rPr>
                <w:vertAlign w:val="superscript"/>
              </w:rPr>
              <w:t>*</w:t>
            </w:r>
          </w:p>
        </w:tc>
        <w:tc>
          <w:tcPr>
            <w:tcW w:w="70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0.126</w:t>
            </w:r>
          </w:p>
        </w:tc>
        <w:tc>
          <w:tcPr>
            <w:tcW w:w="850" w:type="dxa"/>
            <w:tcBorders>
              <w:top w:val="nil"/>
              <w:left w:val="nil"/>
              <w:bottom w:val="nil"/>
              <w:right w:val="nil"/>
            </w:tcBorders>
            <w:tcMar>
              <w:left w:w="28" w:type="dxa"/>
              <w:right w:w="28" w:type="dxa"/>
            </w:tcMar>
          </w:tcPr>
          <w:p w:rsidR="00F104E9" w:rsidRPr="005911E2" w:rsidRDefault="00B702C9" w:rsidP="00E24340">
            <w:pPr>
              <w:pStyle w:val="braytabletext"/>
              <w:spacing w:after="0"/>
              <w:jc w:val="right"/>
            </w:pPr>
            <w:r w:rsidRPr="005911E2">
              <w:t>-0.383</w:t>
            </w:r>
          </w:p>
        </w:tc>
        <w:tc>
          <w:tcPr>
            <w:tcW w:w="426" w:type="dxa"/>
            <w:tcBorders>
              <w:top w:val="nil"/>
              <w:left w:val="nil"/>
              <w:bottom w:val="nil"/>
              <w:right w:val="nil"/>
            </w:tcBorders>
            <w:tcMar>
              <w:left w:w="28" w:type="dxa"/>
              <w:right w:w="28" w:type="dxa"/>
            </w:tcMar>
          </w:tcPr>
          <w:p w:rsidR="00F104E9" w:rsidRPr="005911E2" w:rsidRDefault="00B702C9" w:rsidP="00E24340">
            <w:pPr>
              <w:pStyle w:val="braytabletext"/>
              <w:spacing w:after="0"/>
              <w:rPr>
                <w:vertAlign w:val="superscript"/>
              </w:rPr>
            </w:pPr>
            <w:r w:rsidRPr="005911E2">
              <w:rPr>
                <w:vertAlign w:val="superscript"/>
              </w:rPr>
              <w:t>*</w:t>
            </w:r>
          </w:p>
        </w:tc>
      </w:tr>
      <w:tr w:rsidR="00F104E9" w:rsidRPr="005911E2" w:rsidTr="002459AC">
        <w:trPr>
          <w:trHeight w:val="290"/>
        </w:trPr>
        <w:tc>
          <w:tcPr>
            <w:tcW w:w="2712" w:type="dxa"/>
            <w:tcBorders>
              <w:top w:val="nil"/>
              <w:left w:val="nil"/>
              <w:bottom w:val="nil"/>
              <w:right w:val="nil"/>
            </w:tcBorders>
          </w:tcPr>
          <w:p w:rsidR="00F104E9" w:rsidRPr="005911E2" w:rsidRDefault="00F104E9" w:rsidP="00E24340">
            <w:pPr>
              <w:pStyle w:val="braytabletext"/>
              <w:spacing w:after="0"/>
            </w:pPr>
            <w:r w:rsidRPr="005911E2">
              <w:t>Saving money</w:t>
            </w:r>
          </w:p>
        </w:tc>
        <w:tc>
          <w:tcPr>
            <w:tcW w:w="710"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0.218</w:t>
            </w:r>
          </w:p>
        </w:tc>
        <w:tc>
          <w:tcPr>
            <w:tcW w:w="236"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r w:rsidRPr="005911E2">
              <w:rPr>
                <w:vertAlign w:val="superscript"/>
              </w:rPr>
              <w:t xml:space="preserve"> </w:t>
            </w:r>
          </w:p>
        </w:tc>
        <w:tc>
          <w:tcPr>
            <w:tcW w:w="615" w:type="dxa"/>
            <w:gridSpan w:val="2"/>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-0.295</w:t>
            </w:r>
          </w:p>
        </w:tc>
        <w:tc>
          <w:tcPr>
            <w:tcW w:w="285"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r w:rsidRPr="005911E2">
              <w:rPr>
                <w:vertAlign w:val="superscript"/>
              </w:rPr>
              <w:t>*</w:t>
            </w:r>
          </w:p>
        </w:tc>
        <w:tc>
          <w:tcPr>
            <w:tcW w:w="56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0.368</w:t>
            </w:r>
          </w:p>
        </w:tc>
        <w:tc>
          <w:tcPr>
            <w:tcW w:w="288"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r w:rsidRPr="005911E2">
              <w:rPr>
                <w:vertAlign w:val="superscript"/>
              </w:rPr>
              <w:t>*</w:t>
            </w:r>
          </w:p>
        </w:tc>
        <w:tc>
          <w:tcPr>
            <w:tcW w:w="56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0.300</w:t>
            </w:r>
          </w:p>
        </w:tc>
        <w:tc>
          <w:tcPr>
            <w:tcW w:w="283"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7"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0.237</w:t>
            </w:r>
          </w:p>
        </w:tc>
        <w:tc>
          <w:tcPr>
            <w:tcW w:w="284"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70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0.144</w:t>
            </w:r>
          </w:p>
        </w:tc>
        <w:tc>
          <w:tcPr>
            <w:tcW w:w="850" w:type="dxa"/>
            <w:tcBorders>
              <w:top w:val="nil"/>
              <w:left w:val="nil"/>
              <w:bottom w:val="nil"/>
              <w:right w:val="nil"/>
            </w:tcBorders>
            <w:tcMar>
              <w:left w:w="28" w:type="dxa"/>
              <w:right w:w="28" w:type="dxa"/>
            </w:tcMar>
          </w:tcPr>
          <w:p w:rsidR="00F104E9" w:rsidRPr="005911E2" w:rsidRDefault="00B702C9" w:rsidP="00E24340">
            <w:pPr>
              <w:pStyle w:val="braytabletext"/>
              <w:spacing w:after="0"/>
              <w:jc w:val="right"/>
            </w:pPr>
            <w:r w:rsidRPr="005911E2">
              <w:t>-0.536</w:t>
            </w:r>
          </w:p>
        </w:tc>
        <w:tc>
          <w:tcPr>
            <w:tcW w:w="426" w:type="dxa"/>
            <w:tcBorders>
              <w:top w:val="nil"/>
              <w:left w:val="nil"/>
              <w:bottom w:val="nil"/>
              <w:right w:val="nil"/>
            </w:tcBorders>
            <w:tcMar>
              <w:left w:w="28" w:type="dxa"/>
              <w:right w:w="28" w:type="dxa"/>
            </w:tcMar>
          </w:tcPr>
          <w:p w:rsidR="00F104E9" w:rsidRPr="005911E2" w:rsidRDefault="00B702C9" w:rsidP="00E24340">
            <w:pPr>
              <w:pStyle w:val="braytabletext"/>
              <w:spacing w:after="0"/>
              <w:rPr>
                <w:vertAlign w:val="superscript"/>
              </w:rPr>
            </w:pPr>
            <w:r w:rsidRPr="005911E2">
              <w:rPr>
                <w:vertAlign w:val="superscript"/>
              </w:rPr>
              <w:t>**</w:t>
            </w:r>
          </w:p>
        </w:tc>
      </w:tr>
      <w:tr w:rsidR="00F104E9" w:rsidRPr="005911E2" w:rsidTr="002459AC">
        <w:trPr>
          <w:trHeight w:val="290"/>
        </w:trPr>
        <w:tc>
          <w:tcPr>
            <w:tcW w:w="2712" w:type="dxa"/>
            <w:tcBorders>
              <w:top w:val="nil"/>
              <w:left w:val="nil"/>
              <w:bottom w:val="nil"/>
              <w:right w:val="nil"/>
            </w:tcBorders>
          </w:tcPr>
          <w:p w:rsidR="00F104E9" w:rsidRPr="005911E2" w:rsidRDefault="00F104E9" w:rsidP="00E24340">
            <w:pPr>
              <w:pStyle w:val="braytabletext"/>
              <w:spacing w:after="0"/>
            </w:pPr>
            <w:r w:rsidRPr="005911E2">
              <w:t>Having enough food</w:t>
            </w:r>
          </w:p>
        </w:tc>
        <w:tc>
          <w:tcPr>
            <w:tcW w:w="710"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0.534</w:t>
            </w:r>
          </w:p>
        </w:tc>
        <w:tc>
          <w:tcPr>
            <w:tcW w:w="236"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r w:rsidRPr="005911E2">
              <w:rPr>
                <w:vertAlign w:val="superscript"/>
              </w:rPr>
              <w:t>**</w:t>
            </w:r>
          </w:p>
        </w:tc>
        <w:tc>
          <w:tcPr>
            <w:tcW w:w="615" w:type="dxa"/>
            <w:gridSpan w:val="2"/>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0.312</w:t>
            </w:r>
          </w:p>
        </w:tc>
        <w:tc>
          <w:tcPr>
            <w:tcW w:w="285"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r w:rsidRPr="005911E2">
              <w:rPr>
                <w:vertAlign w:val="superscript"/>
              </w:rPr>
              <w:t>**</w:t>
            </w:r>
          </w:p>
        </w:tc>
        <w:tc>
          <w:tcPr>
            <w:tcW w:w="56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0.629</w:t>
            </w:r>
          </w:p>
        </w:tc>
        <w:tc>
          <w:tcPr>
            <w:tcW w:w="288"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r w:rsidRPr="005911E2">
              <w:rPr>
                <w:vertAlign w:val="superscript"/>
              </w:rPr>
              <w:t>**</w:t>
            </w:r>
          </w:p>
        </w:tc>
        <w:tc>
          <w:tcPr>
            <w:tcW w:w="56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0.626</w:t>
            </w:r>
          </w:p>
        </w:tc>
        <w:tc>
          <w:tcPr>
            <w:tcW w:w="283"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r w:rsidRPr="005911E2">
              <w:rPr>
                <w:vertAlign w:val="superscript"/>
              </w:rPr>
              <w:t>**</w:t>
            </w:r>
          </w:p>
        </w:tc>
        <w:tc>
          <w:tcPr>
            <w:tcW w:w="567"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0.073</w:t>
            </w:r>
          </w:p>
        </w:tc>
        <w:tc>
          <w:tcPr>
            <w:tcW w:w="284"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70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0.083</w:t>
            </w:r>
          </w:p>
        </w:tc>
        <w:tc>
          <w:tcPr>
            <w:tcW w:w="850" w:type="dxa"/>
            <w:tcBorders>
              <w:top w:val="nil"/>
              <w:left w:val="nil"/>
              <w:bottom w:val="nil"/>
              <w:right w:val="nil"/>
            </w:tcBorders>
            <w:tcMar>
              <w:left w:w="28" w:type="dxa"/>
              <w:right w:w="28" w:type="dxa"/>
            </w:tcMar>
          </w:tcPr>
          <w:p w:rsidR="00F104E9" w:rsidRPr="005911E2" w:rsidRDefault="00B702C9" w:rsidP="00E24340">
            <w:pPr>
              <w:pStyle w:val="braytabletext"/>
              <w:spacing w:after="0"/>
              <w:jc w:val="right"/>
            </w:pPr>
            <w:r w:rsidRPr="005911E2">
              <w:t>0.185</w:t>
            </w:r>
          </w:p>
        </w:tc>
        <w:tc>
          <w:tcPr>
            <w:tcW w:w="426"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r>
      <w:tr w:rsidR="00F104E9" w:rsidRPr="005911E2" w:rsidTr="002459AC">
        <w:trPr>
          <w:trHeight w:val="290"/>
        </w:trPr>
        <w:tc>
          <w:tcPr>
            <w:tcW w:w="2712" w:type="dxa"/>
            <w:tcBorders>
              <w:top w:val="nil"/>
              <w:left w:val="nil"/>
              <w:bottom w:val="nil"/>
              <w:right w:val="nil"/>
            </w:tcBorders>
          </w:tcPr>
          <w:p w:rsidR="00F104E9" w:rsidRPr="005911E2" w:rsidRDefault="00F104E9" w:rsidP="00E24340">
            <w:pPr>
              <w:pStyle w:val="braytabletext"/>
              <w:spacing w:after="0"/>
            </w:pPr>
            <w:r w:rsidRPr="005911E2">
              <w:t>Knowing how much money</w:t>
            </w:r>
          </w:p>
        </w:tc>
        <w:tc>
          <w:tcPr>
            <w:tcW w:w="710"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0.329</w:t>
            </w:r>
          </w:p>
        </w:tc>
        <w:tc>
          <w:tcPr>
            <w:tcW w:w="236"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r w:rsidRPr="005911E2">
              <w:rPr>
                <w:vertAlign w:val="superscript"/>
              </w:rPr>
              <w:t>*</w:t>
            </w:r>
          </w:p>
        </w:tc>
        <w:tc>
          <w:tcPr>
            <w:tcW w:w="615" w:type="dxa"/>
            <w:gridSpan w:val="2"/>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-0.210</w:t>
            </w:r>
          </w:p>
        </w:tc>
        <w:tc>
          <w:tcPr>
            <w:tcW w:w="285"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0.341</w:t>
            </w:r>
          </w:p>
        </w:tc>
        <w:tc>
          <w:tcPr>
            <w:tcW w:w="288"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r w:rsidRPr="005911E2">
              <w:rPr>
                <w:vertAlign w:val="superscript"/>
              </w:rPr>
              <w:t xml:space="preserve"> </w:t>
            </w:r>
          </w:p>
        </w:tc>
        <w:tc>
          <w:tcPr>
            <w:tcW w:w="56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0.141</w:t>
            </w:r>
          </w:p>
        </w:tc>
        <w:tc>
          <w:tcPr>
            <w:tcW w:w="283"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7"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0.261</w:t>
            </w:r>
          </w:p>
        </w:tc>
        <w:tc>
          <w:tcPr>
            <w:tcW w:w="284"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70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0.120</w:t>
            </w:r>
          </w:p>
        </w:tc>
        <w:tc>
          <w:tcPr>
            <w:tcW w:w="850" w:type="dxa"/>
            <w:tcBorders>
              <w:top w:val="nil"/>
              <w:left w:val="nil"/>
              <w:bottom w:val="nil"/>
              <w:right w:val="nil"/>
            </w:tcBorders>
            <w:tcMar>
              <w:left w:w="28" w:type="dxa"/>
              <w:right w:w="28" w:type="dxa"/>
            </w:tcMar>
          </w:tcPr>
          <w:p w:rsidR="00B702C9" w:rsidRPr="005911E2" w:rsidRDefault="00B702C9" w:rsidP="00E24340">
            <w:pPr>
              <w:pStyle w:val="braytabletext"/>
              <w:spacing w:after="0"/>
              <w:jc w:val="right"/>
            </w:pPr>
            <w:r w:rsidRPr="005911E2">
              <w:t>-0.408</w:t>
            </w:r>
          </w:p>
        </w:tc>
        <w:tc>
          <w:tcPr>
            <w:tcW w:w="426" w:type="dxa"/>
            <w:tcBorders>
              <w:top w:val="nil"/>
              <w:left w:val="nil"/>
              <w:bottom w:val="nil"/>
              <w:right w:val="nil"/>
            </w:tcBorders>
            <w:tcMar>
              <w:left w:w="28" w:type="dxa"/>
              <w:right w:w="28" w:type="dxa"/>
            </w:tcMar>
          </w:tcPr>
          <w:p w:rsidR="00F104E9" w:rsidRPr="005911E2" w:rsidRDefault="00B702C9" w:rsidP="00E24340">
            <w:pPr>
              <w:pStyle w:val="braytabletext"/>
              <w:spacing w:after="0"/>
              <w:rPr>
                <w:vertAlign w:val="superscript"/>
              </w:rPr>
            </w:pPr>
            <w:r w:rsidRPr="005911E2">
              <w:rPr>
                <w:vertAlign w:val="superscript"/>
              </w:rPr>
              <w:t>*</w:t>
            </w:r>
          </w:p>
        </w:tc>
      </w:tr>
      <w:tr w:rsidR="00F104E9" w:rsidRPr="005911E2" w:rsidTr="002459AC">
        <w:trPr>
          <w:trHeight w:val="290"/>
        </w:trPr>
        <w:tc>
          <w:tcPr>
            <w:tcW w:w="2712" w:type="dxa"/>
            <w:tcBorders>
              <w:top w:val="nil"/>
              <w:left w:val="nil"/>
              <w:bottom w:val="single" w:sz="4" w:space="0" w:color="auto"/>
              <w:right w:val="nil"/>
            </w:tcBorders>
          </w:tcPr>
          <w:p w:rsidR="00F104E9" w:rsidRPr="005911E2" w:rsidRDefault="00F104E9" w:rsidP="00E24340">
            <w:pPr>
              <w:pStyle w:val="braytabletext"/>
              <w:spacing w:after="0"/>
            </w:pPr>
            <w:r w:rsidRPr="005911E2">
              <w:t>Looking after family obligations</w:t>
            </w:r>
          </w:p>
        </w:tc>
        <w:tc>
          <w:tcPr>
            <w:tcW w:w="710" w:type="dxa"/>
            <w:tcBorders>
              <w:top w:val="nil"/>
              <w:left w:val="nil"/>
              <w:bottom w:val="single" w:sz="4" w:space="0" w:color="auto"/>
              <w:right w:val="nil"/>
            </w:tcBorders>
            <w:tcMar>
              <w:left w:w="28" w:type="dxa"/>
              <w:right w:w="28" w:type="dxa"/>
            </w:tcMar>
          </w:tcPr>
          <w:p w:rsidR="00F104E9" w:rsidRPr="005911E2" w:rsidRDefault="00F104E9" w:rsidP="00E24340">
            <w:pPr>
              <w:pStyle w:val="braytabletext"/>
              <w:spacing w:after="0"/>
              <w:jc w:val="right"/>
            </w:pPr>
            <w:r w:rsidRPr="005911E2">
              <w:t>0.171</w:t>
            </w:r>
          </w:p>
        </w:tc>
        <w:tc>
          <w:tcPr>
            <w:tcW w:w="236" w:type="dxa"/>
            <w:tcBorders>
              <w:top w:val="nil"/>
              <w:left w:val="nil"/>
              <w:bottom w:val="single" w:sz="4" w:space="0" w:color="auto"/>
              <w:right w:val="nil"/>
            </w:tcBorders>
            <w:tcMar>
              <w:left w:w="28" w:type="dxa"/>
              <w:right w:w="28" w:type="dxa"/>
            </w:tcMar>
          </w:tcPr>
          <w:p w:rsidR="00F104E9" w:rsidRPr="005911E2" w:rsidRDefault="00F104E9" w:rsidP="00E24340">
            <w:pPr>
              <w:pStyle w:val="braytabletext"/>
              <w:spacing w:after="0"/>
              <w:rPr>
                <w:vertAlign w:val="superscript"/>
              </w:rPr>
            </w:pPr>
          </w:p>
        </w:tc>
        <w:tc>
          <w:tcPr>
            <w:tcW w:w="615" w:type="dxa"/>
            <w:gridSpan w:val="2"/>
            <w:tcBorders>
              <w:top w:val="nil"/>
              <w:left w:val="nil"/>
              <w:bottom w:val="single" w:sz="4" w:space="0" w:color="auto"/>
              <w:right w:val="nil"/>
            </w:tcBorders>
            <w:tcMar>
              <w:left w:w="28" w:type="dxa"/>
              <w:right w:w="28" w:type="dxa"/>
            </w:tcMar>
          </w:tcPr>
          <w:p w:rsidR="00F104E9" w:rsidRPr="005911E2" w:rsidRDefault="00F104E9" w:rsidP="00E24340">
            <w:pPr>
              <w:pStyle w:val="braytabletext"/>
              <w:spacing w:after="0"/>
              <w:jc w:val="right"/>
            </w:pPr>
            <w:r w:rsidRPr="005911E2">
              <w:t>-0.173</w:t>
            </w:r>
          </w:p>
        </w:tc>
        <w:tc>
          <w:tcPr>
            <w:tcW w:w="285" w:type="dxa"/>
            <w:tcBorders>
              <w:top w:val="nil"/>
              <w:left w:val="nil"/>
              <w:bottom w:val="single" w:sz="4" w:space="0" w:color="auto"/>
              <w:right w:val="nil"/>
            </w:tcBorders>
            <w:tcMar>
              <w:left w:w="28" w:type="dxa"/>
              <w:right w:w="28" w:type="dxa"/>
            </w:tcMar>
          </w:tcPr>
          <w:p w:rsidR="00F104E9" w:rsidRPr="005911E2" w:rsidRDefault="00F104E9" w:rsidP="00E24340">
            <w:pPr>
              <w:pStyle w:val="braytabletext"/>
              <w:spacing w:after="0"/>
              <w:rPr>
                <w:vertAlign w:val="superscript"/>
              </w:rPr>
            </w:pPr>
          </w:p>
        </w:tc>
        <w:tc>
          <w:tcPr>
            <w:tcW w:w="569" w:type="dxa"/>
            <w:tcBorders>
              <w:top w:val="nil"/>
              <w:left w:val="nil"/>
              <w:bottom w:val="single" w:sz="4" w:space="0" w:color="auto"/>
              <w:right w:val="nil"/>
            </w:tcBorders>
            <w:tcMar>
              <w:left w:w="28" w:type="dxa"/>
              <w:right w:w="28" w:type="dxa"/>
            </w:tcMar>
          </w:tcPr>
          <w:p w:rsidR="00F104E9" w:rsidRPr="005911E2" w:rsidRDefault="00F104E9" w:rsidP="00E24340">
            <w:pPr>
              <w:pStyle w:val="braytabletext"/>
              <w:spacing w:after="0"/>
              <w:jc w:val="right"/>
            </w:pPr>
            <w:r w:rsidRPr="005911E2">
              <w:t>0.272</w:t>
            </w:r>
          </w:p>
        </w:tc>
        <w:tc>
          <w:tcPr>
            <w:tcW w:w="288" w:type="dxa"/>
            <w:tcBorders>
              <w:top w:val="nil"/>
              <w:left w:val="nil"/>
              <w:bottom w:val="single" w:sz="4" w:space="0" w:color="auto"/>
              <w:right w:val="nil"/>
            </w:tcBorders>
            <w:tcMar>
              <w:left w:w="28" w:type="dxa"/>
              <w:right w:w="28" w:type="dxa"/>
            </w:tcMar>
          </w:tcPr>
          <w:p w:rsidR="00F104E9" w:rsidRPr="005911E2" w:rsidRDefault="00F104E9" w:rsidP="00E24340">
            <w:pPr>
              <w:pStyle w:val="braytabletext"/>
              <w:spacing w:after="0"/>
              <w:rPr>
                <w:vertAlign w:val="superscript"/>
              </w:rPr>
            </w:pPr>
          </w:p>
        </w:tc>
        <w:tc>
          <w:tcPr>
            <w:tcW w:w="569" w:type="dxa"/>
            <w:tcBorders>
              <w:top w:val="nil"/>
              <w:left w:val="nil"/>
              <w:bottom w:val="single" w:sz="4" w:space="0" w:color="auto"/>
              <w:right w:val="nil"/>
            </w:tcBorders>
            <w:tcMar>
              <w:left w:w="28" w:type="dxa"/>
              <w:right w:w="28" w:type="dxa"/>
            </w:tcMar>
          </w:tcPr>
          <w:p w:rsidR="00F104E9" w:rsidRPr="005911E2" w:rsidRDefault="00F104E9" w:rsidP="00E24340">
            <w:pPr>
              <w:pStyle w:val="braytabletext"/>
              <w:spacing w:after="0"/>
              <w:jc w:val="right"/>
            </w:pPr>
            <w:r w:rsidRPr="005911E2">
              <w:t>0.142</w:t>
            </w:r>
          </w:p>
        </w:tc>
        <w:tc>
          <w:tcPr>
            <w:tcW w:w="283" w:type="dxa"/>
            <w:tcBorders>
              <w:top w:val="nil"/>
              <w:left w:val="nil"/>
              <w:bottom w:val="single" w:sz="4" w:space="0" w:color="auto"/>
              <w:right w:val="nil"/>
            </w:tcBorders>
            <w:tcMar>
              <w:left w:w="28" w:type="dxa"/>
              <w:right w:w="28" w:type="dxa"/>
            </w:tcMar>
          </w:tcPr>
          <w:p w:rsidR="00F104E9" w:rsidRPr="005911E2" w:rsidRDefault="00F104E9" w:rsidP="00E24340">
            <w:pPr>
              <w:pStyle w:val="braytabletext"/>
              <w:spacing w:after="0"/>
              <w:rPr>
                <w:vertAlign w:val="superscript"/>
              </w:rPr>
            </w:pPr>
          </w:p>
        </w:tc>
        <w:tc>
          <w:tcPr>
            <w:tcW w:w="567" w:type="dxa"/>
            <w:tcBorders>
              <w:top w:val="nil"/>
              <w:left w:val="nil"/>
              <w:bottom w:val="single" w:sz="4" w:space="0" w:color="auto"/>
              <w:right w:val="nil"/>
            </w:tcBorders>
            <w:tcMar>
              <w:left w:w="28" w:type="dxa"/>
              <w:right w:w="28" w:type="dxa"/>
            </w:tcMar>
          </w:tcPr>
          <w:p w:rsidR="00F104E9" w:rsidRPr="005911E2" w:rsidRDefault="00F104E9" w:rsidP="00E24340">
            <w:pPr>
              <w:pStyle w:val="braytabletext"/>
              <w:spacing w:after="0"/>
              <w:jc w:val="right"/>
            </w:pPr>
            <w:r w:rsidRPr="005911E2">
              <w:t>0.336</w:t>
            </w:r>
          </w:p>
        </w:tc>
        <w:tc>
          <w:tcPr>
            <w:tcW w:w="284" w:type="dxa"/>
            <w:tcBorders>
              <w:top w:val="nil"/>
              <w:left w:val="nil"/>
              <w:bottom w:val="single" w:sz="4" w:space="0" w:color="auto"/>
              <w:right w:val="nil"/>
            </w:tcBorders>
            <w:tcMar>
              <w:left w:w="28" w:type="dxa"/>
              <w:right w:w="28" w:type="dxa"/>
            </w:tcMar>
          </w:tcPr>
          <w:p w:rsidR="00F104E9" w:rsidRPr="005911E2" w:rsidRDefault="00F104E9" w:rsidP="00E24340">
            <w:pPr>
              <w:pStyle w:val="braytabletext"/>
              <w:spacing w:after="0"/>
              <w:rPr>
                <w:vertAlign w:val="superscript"/>
              </w:rPr>
            </w:pPr>
            <w:r w:rsidRPr="005911E2">
              <w:rPr>
                <w:vertAlign w:val="superscript"/>
              </w:rPr>
              <w:t>*</w:t>
            </w:r>
          </w:p>
        </w:tc>
        <w:tc>
          <w:tcPr>
            <w:tcW w:w="709" w:type="dxa"/>
            <w:tcBorders>
              <w:top w:val="nil"/>
              <w:left w:val="nil"/>
              <w:bottom w:val="single" w:sz="4" w:space="0" w:color="auto"/>
              <w:right w:val="nil"/>
            </w:tcBorders>
            <w:tcMar>
              <w:left w:w="28" w:type="dxa"/>
              <w:right w:w="28" w:type="dxa"/>
            </w:tcMar>
          </w:tcPr>
          <w:p w:rsidR="00F104E9" w:rsidRPr="005911E2" w:rsidRDefault="00F104E9" w:rsidP="00E24340">
            <w:pPr>
              <w:pStyle w:val="braytabletext"/>
              <w:spacing w:after="0"/>
              <w:jc w:val="right"/>
            </w:pPr>
            <w:r w:rsidRPr="005911E2">
              <w:t>0.113</w:t>
            </w:r>
          </w:p>
        </w:tc>
        <w:tc>
          <w:tcPr>
            <w:tcW w:w="850" w:type="dxa"/>
            <w:tcBorders>
              <w:top w:val="nil"/>
              <w:left w:val="nil"/>
              <w:bottom w:val="single" w:sz="4" w:space="0" w:color="auto"/>
              <w:right w:val="nil"/>
            </w:tcBorders>
            <w:tcMar>
              <w:left w:w="28" w:type="dxa"/>
              <w:right w:w="28" w:type="dxa"/>
            </w:tcMar>
          </w:tcPr>
          <w:p w:rsidR="00F104E9" w:rsidRPr="005911E2" w:rsidRDefault="00B702C9" w:rsidP="00E24340">
            <w:pPr>
              <w:pStyle w:val="braytabletext"/>
              <w:spacing w:after="0"/>
              <w:jc w:val="right"/>
            </w:pPr>
            <w:r w:rsidRPr="005911E2">
              <w:t>-0.202</w:t>
            </w:r>
          </w:p>
        </w:tc>
        <w:tc>
          <w:tcPr>
            <w:tcW w:w="426" w:type="dxa"/>
            <w:tcBorders>
              <w:top w:val="nil"/>
              <w:left w:val="nil"/>
              <w:bottom w:val="single" w:sz="4" w:space="0" w:color="auto"/>
              <w:right w:val="nil"/>
            </w:tcBorders>
            <w:tcMar>
              <w:left w:w="28" w:type="dxa"/>
              <w:right w:w="28" w:type="dxa"/>
            </w:tcMar>
          </w:tcPr>
          <w:p w:rsidR="00F104E9" w:rsidRPr="005911E2" w:rsidRDefault="00F104E9" w:rsidP="00E24340">
            <w:pPr>
              <w:pStyle w:val="braytabletext"/>
              <w:spacing w:after="0"/>
              <w:rPr>
                <w:vertAlign w:val="superscript"/>
              </w:rPr>
            </w:pPr>
          </w:p>
        </w:tc>
      </w:tr>
      <w:tr w:rsidR="00F104E9" w:rsidRPr="005911E2" w:rsidTr="002459AC">
        <w:trPr>
          <w:trHeight w:val="290"/>
        </w:trPr>
        <w:tc>
          <w:tcPr>
            <w:tcW w:w="2712" w:type="dxa"/>
            <w:tcBorders>
              <w:top w:val="single" w:sz="4" w:space="0" w:color="auto"/>
              <w:left w:val="nil"/>
              <w:bottom w:val="nil"/>
              <w:right w:val="nil"/>
            </w:tcBorders>
          </w:tcPr>
          <w:p w:rsidR="00F104E9" w:rsidRPr="005911E2" w:rsidRDefault="00F104E9" w:rsidP="00E24340">
            <w:pPr>
              <w:pStyle w:val="braytabletext"/>
              <w:spacing w:after="0"/>
              <w:rPr>
                <w:i/>
              </w:rPr>
            </w:pPr>
            <w:r w:rsidRPr="005911E2">
              <w:rPr>
                <w:i/>
              </w:rPr>
              <w:t>Change in incidence of: (c)</w:t>
            </w:r>
          </w:p>
        </w:tc>
        <w:tc>
          <w:tcPr>
            <w:tcW w:w="710" w:type="dxa"/>
            <w:tcBorders>
              <w:top w:val="single" w:sz="4" w:space="0" w:color="auto"/>
              <w:left w:val="nil"/>
              <w:bottom w:val="nil"/>
              <w:right w:val="nil"/>
            </w:tcBorders>
            <w:tcMar>
              <w:left w:w="28" w:type="dxa"/>
              <w:right w:w="28" w:type="dxa"/>
            </w:tcMar>
          </w:tcPr>
          <w:p w:rsidR="00F104E9" w:rsidRPr="005911E2" w:rsidRDefault="00F104E9" w:rsidP="00E24340">
            <w:pPr>
              <w:pStyle w:val="braytabletext"/>
              <w:spacing w:after="0"/>
            </w:pPr>
          </w:p>
        </w:tc>
        <w:tc>
          <w:tcPr>
            <w:tcW w:w="236" w:type="dxa"/>
            <w:tcBorders>
              <w:top w:val="single" w:sz="4" w:space="0" w:color="auto"/>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615" w:type="dxa"/>
            <w:gridSpan w:val="2"/>
            <w:tcBorders>
              <w:top w:val="single" w:sz="4" w:space="0" w:color="auto"/>
              <w:left w:val="nil"/>
              <w:bottom w:val="nil"/>
              <w:right w:val="nil"/>
            </w:tcBorders>
            <w:tcMar>
              <w:left w:w="28" w:type="dxa"/>
              <w:right w:w="28" w:type="dxa"/>
            </w:tcMar>
          </w:tcPr>
          <w:p w:rsidR="00F104E9" w:rsidRPr="005911E2" w:rsidRDefault="00F104E9" w:rsidP="00E24340">
            <w:pPr>
              <w:pStyle w:val="braytabletext"/>
              <w:spacing w:after="0"/>
            </w:pPr>
          </w:p>
        </w:tc>
        <w:tc>
          <w:tcPr>
            <w:tcW w:w="285" w:type="dxa"/>
            <w:tcBorders>
              <w:top w:val="single" w:sz="4" w:space="0" w:color="auto"/>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9" w:type="dxa"/>
            <w:tcBorders>
              <w:top w:val="single" w:sz="4" w:space="0" w:color="auto"/>
              <w:left w:val="nil"/>
              <w:bottom w:val="nil"/>
              <w:right w:val="nil"/>
            </w:tcBorders>
            <w:tcMar>
              <w:left w:w="28" w:type="dxa"/>
              <w:right w:w="28" w:type="dxa"/>
            </w:tcMar>
          </w:tcPr>
          <w:p w:rsidR="00F104E9" w:rsidRPr="005911E2" w:rsidRDefault="00F104E9" w:rsidP="00E24340">
            <w:pPr>
              <w:pStyle w:val="braytabletext"/>
              <w:spacing w:after="0"/>
            </w:pPr>
          </w:p>
        </w:tc>
        <w:tc>
          <w:tcPr>
            <w:tcW w:w="288" w:type="dxa"/>
            <w:tcBorders>
              <w:top w:val="single" w:sz="4" w:space="0" w:color="auto"/>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9" w:type="dxa"/>
            <w:tcBorders>
              <w:top w:val="single" w:sz="4" w:space="0" w:color="auto"/>
              <w:left w:val="nil"/>
              <w:bottom w:val="nil"/>
              <w:right w:val="nil"/>
            </w:tcBorders>
            <w:tcMar>
              <w:left w:w="28" w:type="dxa"/>
              <w:right w:w="28" w:type="dxa"/>
            </w:tcMar>
          </w:tcPr>
          <w:p w:rsidR="00F104E9" w:rsidRPr="005911E2" w:rsidRDefault="00F104E9" w:rsidP="00E24340">
            <w:pPr>
              <w:pStyle w:val="braytabletext"/>
              <w:spacing w:after="0"/>
            </w:pPr>
          </w:p>
        </w:tc>
        <w:tc>
          <w:tcPr>
            <w:tcW w:w="283" w:type="dxa"/>
            <w:tcBorders>
              <w:top w:val="single" w:sz="4" w:space="0" w:color="auto"/>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7" w:type="dxa"/>
            <w:tcBorders>
              <w:top w:val="single" w:sz="4" w:space="0" w:color="auto"/>
              <w:left w:val="nil"/>
              <w:bottom w:val="nil"/>
              <w:right w:val="nil"/>
            </w:tcBorders>
            <w:tcMar>
              <w:left w:w="28" w:type="dxa"/>
              <w:right w:w="28" w:type="dxa"/>
            </w:tcMar>
          </w:tcPr>
          <w:p w:rsidR="00F104E9" w:rsidRPr="005911E2" w:rsidRDefault="00F104E9" w:rsidP="00E24340">
            <w:pPr>
              <w:pStyle w:val="braytabletext"/>
              <w:spacing w:after="0"/>
            </w:pPr>
          </w:p>
        </w:tc>
        <w:tc>
          <w:tcPr>
            <w:tcW w:w="284" w:type="dxa"/>
            <w:tcBorders>
              <w:top w:val="single" w:sz="4" w:space="0" w:color="auto"/>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709" w:type="dxa"/>
            <w:tcBorders>
              <w:top w:val="single" w:sz="4" w:space="0" w:color="auto"/>
              <w:left w:val="nil"/>
              <w:bottom w:val="nil"/>
              <w:right w:val="nil"/>
            </w:tcBorders>
            <w:tcMar>
              <w:left w:w="28" w:type="dxa"/>
              <w:right w:w="28" w:type="dxa"/>
            </w:tcMar>
          </w:tcPr>
          <w:p w:rsidR="00F104E9" w:rsidRPr="005911E2" w:rsidRDefault="00F104E9" w:rsidP="00E24340">
            <w:pPr>
              <w:pStyle w:val="braytabletext"/>
              <w:spacing w:after="0"/>
            </w:pPr>
          </w:p>
        </w:tc>
        <w:tc>
          <w:tcPr>
            <w:tcW w:w="850" w:type="dxa"/>
            <w:tcBorders>
              <w:top w:val="single" w:sz="4" w:space="0" w:color="auto"/>
              <w:left w:val="nil"/>
              <w:bottom w:val="nil"/>
              <w:right w:val="nil"/>
            </w:tcBorders>
            <w:tcMar>
              <w:left w:w="28" w:type="dxa"/>
              <w:right w:w="28" w:type="dxa"/>
            </w:tcMar>
          </w:tcPr>
          <w:p w:rsidR="00F104E9" w:rsidRPr="005911E2" w:rsidRDefault="00F104E9" w:rsidP="00E24340">
            <w:pPr>
              <w:pStyle w:val="braytabletext"/>
              <w:spacing w:after="0"/>
              <w:jc w:val="right"/>
            </w:pPr>
          </w:p>
        </w:tc>
        <w:tc>
          <w:tcPr>
            <w:tcW w:w="426" w:type="dxa"/>
            <w:tcBorders>
              <w:top w:val="single" w:sz="4" w:space="0" w:color="auto"/>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r>
      <w:tr w:rsidR="00F104E9" w:rsidRPr="005911E2" w:rsidTr="002459AC">
        <w:trPr>
          <w:trHeight w:val="290"/>
        </w:trPr>
        <w:tc>
          <w:tcPr>
            <w:tcW w:w="2712" w:type="dxa"/>
            <w:tcBorders>
              <w:top w:val="nil"/>
              <w:left w:val="nil"/>
              <w:bottom w:val="nil"/>
              <w:right w:val="nil"/>
            </w:tcBorders>
          </w:tcPr>
          <w:p w:rsidR="00F104E9" w:rsidRPr="005911E2" w:rsidRDefault="00F104E9" w:rsidP="00E24340">
            <w:pPr>
              <w:pStyle w:val="braytabletext"/>
              <w:spacing w:after="0"/>
            </w:pPr>
            <w:r w:rsidRPr="005911E2">
              <w:t>Ran out of money for food</w:t>
            </w:r>
          </w:p>
        </w:tc>
        <w:tc>
          <w:tcPr>
            <w:tcW w:w="710"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-0.233</w:t>
            </w:r>
          </w:p>
        </w:tc>
        <w:tc>
          <w:tcPr>
            <w:tcW w:w="236"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615" w:type="dxa"/>
            <w:gridSpan w:val="2"/>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-0.215</w:t>
            </w:r>
          </w:p>
        </w:tc>
        <w:tc>
          <w:tcPr>
            <w:tcW w:w="285"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-0.281</w:t>
            </w:r>
          </w:p>
        </w:tc>
        <w:tc>
          <w:tcPr>
            <w:tcW w:w="288"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-0.165</w:t>
            </w:r>
          </w:p>
        </w:tc>
        <w:tc>
          <w:tcPr>
            <w:tcW w:w="283"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7"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0.273</w:t>
            </w:r>
          </w:p>
        </w:tc>
        <w:tc>
          <w:tcPr>
            <w:tcW w:w="284"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70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0.044</w:t>
            </w:r>
          </w:p>
        </w:tc>
        <w:tc>
          <w:tcPr>
            <w:tcW w:w="850" w:type="dxa"/>
            <w:tcBorders>
              <w:top w:val="nil"/>
              <w:left w:val="nil"/>
              <w:bottom w:val="nil"/>
              <w:right w:val="nil"/>
            </w:tcBorders>
            <w:tcMar>
              <w:left w:w="28" w:type="dxa"/>
              <w:right w:w="28" w:type="dxa"/>
            </w:tcMar>
          </w:tcPr>
          <w:p w:rsidR="00F104E9" w:rsidRPr="005911E2" w:rsidRDefault="00B702C9" w:rsidP="00E24340">
            <w:pPr>
              <w:pStyle w:val="braytabletext"/>
              <w:spacing w:after="0"/>
              <w:jc w:val="right"/>
            </w:pPr>
            <w:r w:rsidRPr="005911E2">
              <w:t>-0.019</w:t>
            </w:r>
          </w:p>
        </w:tc>
        <w:tc>
          <w:tcPr>
            <w:tcW w:w="426"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r>
      <w:tr w:rsidR="00F104E9" w:rsidRPr="005911E2" w:rsidTr="002459AC">
        <w:trPr>
          <w:trHeight w:val="290"/>
        </w:trPr>
        <w:tc>
          <w:tcPr>
            <w:tcW w:w="2712" w:type="dxa"/>
            <w:tcBorders>
              <w:top w:val="nil"/>
              <w:left w:val="nil"/>
              <w:bottom w:val="nil"/>
              <w:right w:val="nil"/>
            </w:tcBorders>
          </w:tcPr>
          <w:p w:rsidR="00F104E9" w:rsidRPr="005911E2" w:rsidRDefault="00F104E9" w:rsidP="00E24340">
            <w:pPr>
              <w:pStyle w:val="braytabletext"/>
              <w:spacing w:after="0"/>
            </w:pPr>
            <w:r w:rsidRPr="005911E2">
              <w:t>Ran out of money for clothing</w:t>
            </w:r>
          </w:p>
        </w:tc>
        <w:tc>
          <w:tcPr>
            <w:tcW w:w="710"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-0.132</w:t>
            </w:r>
          </w:p>
        </w:tc>
        <w:tc>
          <w:tcPr>
            <w:tcW w:w="236"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615" w:type="dxa"/>
            <w:gridSpan w:val="2"/>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-0.174</w:t>
            </w:r>
          </w:p>
        </w:tc>
        <w:tc>
          <w:tcPr>
            <w:tcW w:w="285"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-0.162</w:t>
            </w:r>
          </w:p>
        </w:tc>
        <w:tc>
          <w:tcPr>
            <w:tcW w:w="288"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-0.113</w:t>
            </w:r>
          </w:p>
        </w:tc>
        <w:tc>
          <w:tcPr>
            <w:tcW w:w="283"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7"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0.272</w:t>
            </w:r>
          </w:p>
        </w:tc>
        <w:tc>
          <w:tcPr>
            <w:tcW w:w="284"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70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0.046</w:t>
            </w:r>
          </w:p>
        </w:tc>
        <w:tc>
          <w:tcPr>
            <w:tcW w:w="850" w:type="dxa"/>
            <w:tcBorders>
              <w:top w:val="nil"/>
              <w:left w:val="nil"/>
              <w:bottom w:val="nil"/>
              <w:right w:val="nil"/>
            </w:tcBorders>
            <w:tcMar>
              <w:left w:w="28" w:type="dxa"/>
              <w:right w:w="28" w:type="dxa"/>
            </w:tcMar>
          </w:tcPr>
          <w:p w:rsidR="00F104E9" w:rsidRPr="005911E2" w:rsidRDefault="00B702C9" w:rsidP="00E24340">
            <w:pPr>
              <w:pStyle w:val="braytabletext"/>
              <w:spacing w:after="0"/>
              <w:jc w:val="right"/>
            </w:pPr>
            <w:r w:rsidRPr="005911E2">
              <w:t>-0.000</w:t>
            </w:r>
          </w:p>
        </w:tc>
        <w:tc>
          <w:tcPr>
            <w:tcW w:w="426"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r>
      <w:tr w:rsidR="00F104E9" w:rsidRPr="005911E2" w:rsidTr="002459AC">
        <w:trPr>
          <w:trHeight w:val="290"/>
        </w:trPr>
        <w:tc>
          <w:tcPr>
            <w:tcW w:w="2712" w:type="dxa"/>
            <w:tcBorders>
              <w:top w:val="nil"/>
              <w:left w:val="nil"/>
              <w:bottom w:val="nil"/>
              <w:right w:val="nil"/>
            </w:tcBorders>
          </w:tcPr>
          <w:p w:rsidR="00F104E9" w:rsidRPr="005911E2" w:rsidRDefault="00F104E9" w:rsidP="00E24340">
            <w:pPr>
              <w:pStyle w:val="braytabletext"/>
              <w:spacing w:after="0"/>
            </w:pPr>
            <w:r w:rsidRPr="005911E2">
              <w:t>Ran out of money for medicine</w:t>
            </w:r>
          </w:p>
        </w:tc>
        <w:tc>
          <w:tcPr>
            <w:tcW w:w="710"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-0.214</w:t>
            </w:r>
          </w:p>
        </w:tc>
        <w:tc>
          <w:tcPr>
            <w:tcW w:w="236"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615" w:type="dxa"/>
            <w:gridSpan w:val="2"/>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-0.185</w:t>
            </w:r>
          </w:p>
        </w:tc>
        <w:tc>
          <w:tcPr>
            <w:tcW w:w="285"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-0.101</w:t>
            </w:r>
          </w:p>
        </w:tc>
        <w:tc>
          <w:tcPr>
            <w:tcW w:w="288"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-0.026</w:t>
            </w:r>
          </w:p>
        </w:tc>
        <w:tc>
          <w:tcPr>
            <w:tcW w:w="283"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7"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0.227</w:t>
            </w:r>
          </w:p>
        </w:tc>
        <w:tc>
          <w:tcPr>
            <w:tcW w:w="284"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70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0.069</w:t>
            </w:r>
          </w:p>
        </w:tc>
        <w:tc>
          <w:tcPr>
            <w:tcW w:w="850" w:type="dxa"/>
            <w:tcBorders>
              <w:top w:val="nil"/>
              <w:left w:val="nil"/>
              <w:bottom w:val="nil"/>
              <w:right w:val="nil"/>
            </w:tcBorders>
            <w:tcMar>
              <w:left w:w="28" w:type="dxa"/>
              <w:right w:w="28" w:type="dxa"/>
            </w:tcMar>
          </w:tcPr>
          <w:p w:rsidR="00F104E9" w:rsidRPr="005911E2" w:rsidRDefault="00B702C9" w:rsidP="00E24340">
            <w:pPr>
              <w:pStyle w:val="braytabletext"/>
              <w:spacing w:after="0"/>
              <w:jc w:val="right"/>
            </w:pPr>
            <w:r w:rsidRPr="005911E2">
              <w:t>0.061</w:t>
            </w:r>
          </w:p>
        </w:tc>
        <w:tc>
          <w:tcPr>
            <w:tcW w:w="426"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r>
      <w:tr w:rsidR="00F104E9" w:rsidRPr="005911E2" w:rsidTr="002459AC">
        <w:trPr>
          <w:trHeight w:val="290"/>
        </w:trPr>
        <w:tc>
          <w:tcPr>
            <w:tcW w:w="2712" w:type="dxa"/>
            <w:tcBorders>
              <w:top w:val="nil"/>
              <w:left w:val="nil"/>
              <w:bottom w:val="nil"/>
              <w:right w:val="nil"/>
            </w:tcBorders>
          </w:tcPr>
          <w:p w:rsidR="00F104E9" w:rsidRPr="005911E2" w:rsidRDefault="00F104E9" w:rsidP="00E24340">
            <w:pPr>
              <w:pStyle w:val="braytabletext"/>
              <w:spacing w:after="0"/>
            </w:pPr>
            <w:r w:rsidRPr="005911E2">
              <w:t>Rent on time</w:t>
            </w:r>
          </w:p>
        </w:tc>
        <w:tc>
          <w:tcPr>
            <w:tcW w:w="710"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-0.309</w:t>
            </w:r>
          </w:p>
        </w:tc>
        <w:tc>
          <w:tcPr>
            <w:tcW w:w="236"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615" w:type="dxa"/>
            <w:gridSpan w:val="2"/>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-0.302</w:t>
            </w:r>
          </w:p>
        </w:tc>
        <w:tc>
          <w:tcPr>
            <w:tcW w:w="285"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r w:rsidRPr="005911E2">
              <w:rPr>
                <w:vertAlign w:val="superscript"/>
              </w:rPr>
              <w:t>*</w:t>
            </w:r>
          </w:p>
        </w:tc>
        <w:tc>
          <w:tcPr>
            <w:tcW w:w="56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-0.264</w:t>
            </w:r>
          </w:p>
        </w:tc>
        <w:tc>
          <w:tcPr>
            <w:tcW w:w="288"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-0.007</w:t>
            </w:r>
          </w:p>
        </w:tc>
        <w:tc>
          <w:tcPr>
            <w:tcW w:w="283"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7"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0.317</w:t>
            </w:r>
          </w:p>
        </w:tc>
        <w:tc>
          <w:tcPr>
            <w:tcW w:w="284"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r w:rsidRPr="005911E2">
              <w:rPr>
                <w:vertAlign w:val="superscript"/>
              </w:rPr>
              <w:t>*</w:t>
            </w:r>
          </w:p>
        </w:tc>
        <w:tc>
          <w:tcPr>
            <w:tcW w:w="70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0.049</w:t>
            </w:r>
          </w:p>
        </w:tc>
        <w:tc>
          <w:tcPr>
            <w:tcW w:w="850" w:type="dxa"/>
            <w:tcBorders>
              <w:top w:val="nil"/>
              <w:left w:val="nil"/>
              <w:bottom w:val="nil"/>
              <w:right w:val="nil"/>
            </w:tcBorders>
            <w:tcMar>
              <w:left w:w="28" w:type="dxa"/>
              <w:right w:w="28" w:type="dxa"/>
            </w:tcMar>
          </w:tcPr>
          <w:p w:rsidR="00F104E9" w:rsidRPr="005911E2" w:rsidRDefault="00B702C9" w:rsidP="00E24340">
            <w:pPr>
              <w:pStyle w:val="braytabletext"/>
              <w:spacing w:after="0"/>
              <w:jc w:val="right"/>
            </w:pPr>
            <w:r w:rsidRPr="005911E2">
              <w:t>-0.060</w:t>
            </w:r>
          </w:p>
        </w:tc>
        <w:tc>
          <w:tcPr>
            <w:tcW w:w="426"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r>
      <w:tr w:rsidR="00F104E9" w:rsidRPr="005911E2" w:rsidTr="002459AC">
        <w:trPr>
          <w:trHeight w:val="290"/>
        </w:trPr>
        <w:tc>
          <w:tcPr>
            <w:tcW w:w="2712" w:type="dxa"/>
            <w:tcBorders>
              <w:top w:val="nil"/>
              <w:left w:val="nil"/>
              <w:bottom w:val="nil"/>
              <w:right w:val="nil"/>
            </w:tcBorders>
          </w:tcPr>
          <w:p w:rsidR="00F104E9" w:rsidRPr="005911E2" w:rsidRDefault="00F104E9" w:rsidP="00E24340">
            <w:pPr>
              <w:pStyle w:val="braytabletext"/>
              <w:spacing w:after="0"/>
            </w:pPr>
            <w:r w:rsidRPr="005911E2">
              <w:t>Bond</w:t>
            </w:r>
          </w:p>
        </w:tc>
        <w:tc>
          <w:tcPr>
            <w:tcW w:w="710"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-0.349</w:t>
            </w:r>
          </w:p>
        </w:tc>
        <w:tc>
          <w:tcPr>
            <w:tcW w:w="236"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615" w:type="dxa"/>
            <w:gridSpan w:val="2"/>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-0.276</w:t>
            </w:r>
          </w:p>
        </w:tc>
        <w:tc>
          <w:tcPr>
            <w:tcW w:w="285"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-0.003</w:t>
            </w:r>
          </w:p>
        </w:tc>
        <w:tc>
          <w:tcPr>
            <w:tcW w:w="288"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-0.104</w:t>
            </w:r>
          </w:p>
        </w:tc>
        <w:tc>
          <w:tcPr>
            <w:tcW w:w="283"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7"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-0.309</w:t>
            </w:r>
          </w:p>
        </w:tc>
        <w:tc>
          <w:tcPr>
            <w:tcW w:w="284"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70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0.063</w:t>
            </w:r>
          </w:p>
        </w:tc>
        <w:tc>
          <w:tcPr>
            <w:tcW w:w="850" w:type="dxa"/>
            <w:tcBorders>
              <w:top w:val="nil"/>
              <w:left w:val="nil"/>
              <w:bottom w:val="nil"/>
              <w:right w:val="nil"/>
            </w:tcBorders>
            <w:tcMar>
              <w:left w:w="28" w:type="dxa"/>
              <w:right w:w="28" w:type="dxa"/>
            </w:tcMar>
          </w:tcPr>
          <w:p w:rsidR="00F104E9" w:rsidRPr="005911E2" w:rsidRDefault="00B702C9" w:rsidP="00E24340">
            <w:pPr>
              <w:pStyle w:val="braytabletext"/>
              <w:spacing w:after="0"/>
              <w:jc w:val="right"/>
            </w:pPr>
            <w:r w:rsidRPr="005911E2">
              <w:t>-0.254</w:t>
            </w:r>
          </w:p>
        </w:tc>
        <w:tc>
          <w:tcPr>
            <w:tcW w:w="426"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r>
      <w:tr w:rsidR="00F104E9" w:rsidRPr="005911E2" w:rsidTr="002459AC">
        <w:trPr>
          <w:trHeight w:val="290"/>
        </w:trPr>
        <w:tc>
          <w:tcPr>
            <w:tcW w:w="2712" w:type="dxa"/>
            <w:tcBorders>
              <w:top w:val="nil"/>
              <w:left w:val="nil"/>
              <w:bottom w:val="nil"/>
              <w:right w:val="nil"/>
            </w:tcBorders>
          </w:tcPr>
          <w:p w:rsidR="00F104E9" w:rsidRPr="005911E2" w:rsidRDefault="00F104E9" w:rsidP="00E24340">
            <w:pPr>
              <w:pStyle w:val="braytabletext"/>
              <w:spacing w:after="0"/>
            </w:pPr>
            <w:r w:rsidRPr="005911E2">
              <w:t>Utilities</w:t>
            </w:r>
          </w:p>
        </w:tc>
        <w:tc>
          <w:tcPr>
            <w:tcW w:w="710"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-0.011</w:t>
            </w:r>
          </w:p>
        </w:tc>
        <w:tc>
          <w:tcPr>
            <w:tcW w:w="236"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615" w:type="dxa"/>
            <w:gridSpan w:val="2"/>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-0.012</w:t>
            </w:r>
          </w:p>
        </w:tc>
        <w:tc>
          <w:tcPr>
            <w:tcW w:w="285"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0.060</w:t>
            </w:r>
          </w:p>
        </w:tc>
        <w:tc>
          <w:tcPr>
            <w:tcW w:w="288"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0.148</w:t>
            </w:r>
          </w:p>
        </w:tc>
        <w:tc>
          <w:tcPr>
            <w:tcW w:w="283"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7"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0.220</w:t>
            </w:r>
          </w:p>
        </w:tc>
        <w:tc>
          <w:tcPr>
            <w:tcW w:w="284"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70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0.054</w:t>
            </w:r>
          </w:p>
        </w:tc>
        <w:tc>
          <w:tcPr>
            <w:tcW w:w="850" w:type="dxa"/>
            <w:tcBorders>
              <w:top w:val="nil"/>
              <w:left w:val="nil"/>
              <w:bottom w:val="nil"/>
              <w:right w:val="nil"/>
            </w:tcBorders>
            <w:tcMar>
              <w:left w:w="28" w:type="dxa"/>
              <w:right w:w="28" w:type="dxa"/>
            </w:tcMar>
          </w:tcPr>
          <w:p w:rsidR="00F104E9" w:rsidRPr="005911E2" w:rsidRDefault="00B702C9" w:rsidP="00E24340">
            <w:pPr>
              <w:pStyle w:val="braytabletext"/>
              <w:spacing w:after="0"/>
              <w:jc w:val="right"/>
            </w:pPr>
            <w:r w:rsidRPr="005911E2">
              <w:t>-0.109</w:t>
            </w:r>
          </w:p>
        </w:tc>
        <w:tc>
          <w:tcPr>
            <w:tcW w:w="426"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r>
      <w:tr w:rsidR="00F104E9" w:rsidRPr="005911E2" w:rsidTr="002459AC">
        <w:trPr>
          <w:trHeight w:val="290"/>
        </w:trPr>
        <w:tc>
          <w:tcPr>
            <w:tcW w:w="2712" w:type="dxa"/>
            <w:tcBorders>
              <w:top w:val="nil"/>
              <w:left w:val="nil"/>
              <w:bottom w:val="nil"/>
              <w:right w:val="nil"/>
            </w:tcBorders>
          </w:tcPr>
          <w:p w:rsidR="00F104E9" w:rsidRPr="005911E2" w:rsidRDefault="00F104E9" w:rsidP="00E24340">
            <w:pPr>
              <w:pStyle w:val="braytabletext"/>
              <w:spacing w:after="0"/>
            </w:pPr>
            <w:r w:rsidRPr="005911E2">
              <w:t>Gave</w:t>
            </w:r>
          </w:p>
        </w:tc>
        <w:tc>
          <w:tcPr>
            <w:tcW w:w="710"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0.495</w:t>
            </w:r>
          </w:p>
        </w:tc>
        <w:tc>
          <w:tcPr>
            <w:tcW w:w="236"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r w:rsidRPr="005911E2">
              <w:rPr>
                <w:vertAlign w:val="superscript"/>
              </w:rPr>
              <w:t>**</w:t>
            </w:r>
          </w:p>
        </w:tc>
        <w:tc>
          <w:tcPr>
            <w:tcW w:w="615" w:type="dxa"/>
            <w:gridSpan w:val="2"/>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0.209</w:t>
            </w:r>
          </w:p>
        </w:tc>
        <w:tc>
          <w:tcPr>
            <w:tcW w:w="285"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0.389</w:t>
            </w:r>
          </w:p>
        </w:tc>
        <w:tc>
          <w:tcPr>
            <w:tcW w:w="288"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r w:rsidRPr="005911E2">
              <w:rPr>
                <w:vertAlign w:val="superscript"/>
              </w:rPr>
              <w:t>*</w:t>
            </w:r>
          </w:p>
        </w:tc>
        <w:tc>
          <w:tcPr>
            <w:tcW w:w="56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0.633</w:t>
            </w:r>
          </w:p>
        </w:tc>
        <w:tc>
          <w:tcPr>
            <w:tcW w:w="283"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r w:rsidRPr="005911E2">
              <w:rPr>
                <w:vertAlign w:val="superscript"/>
              </w:rPr>
              <w:t>**</w:t>
            </w:r>
          </w:p>
        </w:tc>
        <w:tc>
          <w:tcPr>
            <w:tcW w:w="567"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-0.244</w:t>
            </w:r>
          </w:p>
        </w:tc>
        <w:tc>
          <w:tcPr>
            <w:tcW w:w="284"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70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0.042</w:t>
            </w:r>
          </w:p>
        </w:tc>
        <w:tc>
          <w:tcPr>
            <w:tcW w:w="850" w:type="dxa"/>
            <w:tcBorders>
              <w:top w:val="nil"/>
              <w:left w:val="nil"/>
              <w:bottom w:val="nil"/>
              <w:right w:val="nil"/>
            </w:tcBorders>
            <w:tcMar>
              <w:left w:w="28" w:type="dxa"/>
              <w:right w:w="28" w:type="dxa"/>
            </w:tcMar>
          </w:tcPr>
          <w:p w:rsidR="00F104E9" w:rsidRPr="005911E2" w:rsidRDefault="00B702C9" w:rsidP="00E24340">
            <w:pPr>
              <w:pStyle w:val="braytabletext"/>
              <w:spacing w:after="0"/>
              <w:jc w:val="right"/>
            </w:pPr>
            <w:r w:rsidRPr="005911E2">
              <w:t>0.094</w:t>
            </w:r>
          </w:p>
        </w:tc>
        <w:tc>
          <w:tcPr>
            <w:tcW w:w="426"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r>
      <w:tr w:rsidR="00F104E9" w:rsidRPr="005911E2" w:rsidTr="002459AC">
        <w:trPr>
          <w:trHeight w:val="290"/>
        </w:trPr>
        <w:tc>
          <w:tcPr>
            <w:tcW w:w="2712" w:type="dxa"/>
            <w:tcBorders>
              <w:top w:val="nil"/>
              <w:left w:val="nil"/>
              <w:bottom w:val="nil"/>
              <w:right w:val="nil"/>
            </w:tcBorders>
          </w:tcPr>
          <w:p w:rsidR="00F104E9" w:rsidRPr="005911E2" w:rsidRDefault="00F104E9" w:rsidP="00E24340">
            <w:pPr>
              <w:pStyle w:val="braytabletext"/>
              <w:spacing w:after="0"/>
            </w:pPr>
            <w:r w:rsidRPr="005911E2">
              <w:t>Asked</w:t>
            </w:r>
          </w:p>
        </w:tc>
        <w:tc>
          <w:tcPr>
            <w:tcW w:w="710"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-0.141</w:t>
            </w:r>
          </w:p>
        </w:tc>
        <w:tc>
          <w:tcPr>
            <w:tcW w:w="236"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615" w:type="dxa"/>
            <w:gridSpan w:val="2"/>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-0.014</w:t>
            </w:r>
          </w:p>
        </w:tc>
        <w:tc>
          <w:tcPr>
            <w:tcW w:w="285"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-0.189</w:t>
            </w:r>
          </w:p>
        </w:tc>
        <w:tc>
          <w:tcPr>
            <w:tcW w:w="288"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-0.029</w:t>
            </w:r>
          </w:p>
        </w:tc>
        <w:tc>
          <w:tcPr>
            <w:tcW w:w="283"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7"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0.136</w:t>
            </w:r>
          </w:p>
        </w:tc>
        <w:tc>
          <w:tcPr>
            <w:tcW w:w="284"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70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0.021</w:t>
            </w:r>
          </w:p>
        </w:tc>
        <w:tc>
          <w:tcPr>
            <w:tcW w:w="850" w:type="dxa"/>
            <w:tcBorders>
              <w:top w:val="nil"/>
              <w:left w:val="nil"/>
              <w:bottom w:val="nil"/>
              <w:right w:val="nil"/>
            </w:tcBorders>
            <w:tcMar>
              <w:left w:w="28" w:type="dxa"/>
              <w:right w:w="28" w:type="dxa"/>
            </w:tcMar>
          </w:tcPr>
          <w:p w:rsidR="00F104E9" w:rsidRPr="005911E2" w:rsidRDefault="002459AC" w:rsidP="00E24340">
            <w:pPr>
              <w:pStyle w:val="braytabletext"/>
              <w:spacing w:after="0"/>
              <w:jc w:val="right"/>
            </w:pPr>
            <w:r w:rsidRPr="005911E2">
              <w:t>0.095</w:t>
            </w:r>
          </w:p>
        </w:tc>
        <w:tc>
          <w:tcPr>
            <w:tcW w:w="426"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r>
      <w:tr w:rsidR="00F104E9" w:rsidRPr="005911E2" w:rsidTr="002459AC">
        <w:trPr>
          <w:trHeight w:val="290"/>
        </w:trPr>
        <w:tc>
          <w:tcPr>
            <w:tcW w:w="2712" w:type="dxa"/>
            <w:tcBorders>
              <w:top w:val="nil"/>
              <w:left w:val="nil"/>
              <w:bottom w:val="nil"/>
              <w:right w:val="nil"/>
            </w:tcBorders>
          </w:tcPr>
          <w:p w:rsidR="00F104E9" w:rsidRPr="005911E2" w:rsidRDefault="00F104E9" w:rsidP="00E24340">
            <w:pPr>
              <w:pStyle w:val="braytabletext"/>
              <w:spacing w:after="0"/>
            </w:pPr>
            <w:r w:rsidRPr="005911E2">
              <w:t>Emergency Relief</w:t>
            </w:r>
          </w:p>
        </w:tc>
        <w:tc>
          <w:tcPr>
            <w:tcW w:w="710"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0.035</w:t>
            </w:r>
          </w:p>
        </w:tc>
        <w:tc>
          <w:tcPr>
            <w:tcW w:w="236"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615" w:type="dxa"/>
            <w:gridSpan w:val="2"/>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-0.005</w:t>
            </w:r>
          </w:p>
        </w:tc>
        <w:tc>
          <w:tcPr>
            <w:tcW w:w="285"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0.041</w:t>
            </w:r>
          </w:p>
        </w:tc>
        <w:tc>
          <w:tcPr>
            <w:tcW w:w="288"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0.214</w:t>
            </w:r>
          </w:p>
        </w:tc>
        <w:tc>
          <w:tcPr>
            <w:tcW w:w="283"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7"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-0.191</w:t>
            </w:r>
          </w:p>
        </w:tc>
        <w:tc>
          <w:tcPr>
            <w:tcW w:w="284"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70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0.045</w:t>
            </w:r>
          </w:p>
        </w:tc>
        <w:tc>
          <w:tcPr>
            <w:tcW w:w="850" w:type="dxa"/>
            <w:tcBorders>
              <w:top w:val="nil"/>
              <w:left w:val="nil"/>
              <w:bottom w:val="nil"/>
              <w:right w:val="nil"/>
            </w:tcBorders>
            <w:tcMar>
              <w:left w:w="28" w:type="dxa"/>
              <w:right w:w="28" w:type="dxa"/>
            </w:tcMar>
          </w:tcPr>
          <w:p w:rsidR="00F104E9" w:rsidRPr="005911E2" w:rsidRDefault="002459AC" w:rsidP="00E24340">
            <w:pPr>
              <w:pStyle w:val="braytabletext"/>
              <w:spacing w:after="0"/>
              <w:jc w:val="right"/>
            </w:pPr>
            <w:r w:rsidRPr="005911E2">
              <w:t>-0.098</w:t>
            </w:r>
          </w:p>
        </w:tc>
        <w:tc>
          <w:tcPr>
            <w:tcW w:w="426"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r>
      <w:tr w:rsidR="00F104E9" w:rsidRPr="005911E2" w:rsidTr="002459AC">
        <w:trPr>
          <w:trHeight w:val="290"/>
        </w:trPr>
        <w:tc>
          <w:tcPr>
            <w:tcW w:w="2712" w:type="dxa"/>
            <w:tcBorders>
              <w:top w:val="nil"/>
              <w:left w:val="nil"/>
              <w:bottom w:val="nil"/>
              <w:right w:val="nil"/>
            </w:tcBorders>
          </w:tcPr>
          <w:p w:rsidR="00F104E9" w:rsidRPr="005911E2" w:rsidRDefault="00F104E9" w:rsidP="00E24340">
            <w:pPr>
              <w:pStyle w:val="braytabletext"/>
              <w:spacing w:after="0"/>
            </w:pPr>
            <w:r w:rsidRPr="005911E2">
              <w:t>Travel</w:t>
            </w:r>
          </w:p>
        </w:tc>
        <w:tc>
          <w:tcPr>
            <w:tcW w:w="710"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-0.191</w:t>
            </w:r>
          </w:p>
        </w:tc>
        <w:tc>
          <w:tcPr>
            <w:tcW w:w="236"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615" w:type="dxa"/>
            <w:gridSpan w:val="2"/>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-0.278</w:t>
            </w:r>
          </w:p>
        </w:tc>
        <w:tc>
          <w:tcPr>
            <w:tcW w:w="285"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r w:rsidRPr="005911E2">
              <w:rPr>
                <w:vertAlign w:val="superscript"/>
              </w:rPr>
              <w:t>*</w:t>
            </w:r>
          </w:p>
        </w:tc>
        <w:tc>
          <w:tcPr>
            <w:tcW w:w="56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-0.325</w:t>
            </w:r>
          </w:p>
        </w:tc>
        <w:tc>
          <w:tcPr>
            <w:tcW w:w="288"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0.112</w:t>
            </w:r>
          </w:p>
        </w:tc>
        <w:tc>
          <w:tcPr>
            <w:tcW w:w="283"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c>
          <w:tcPr>
            <w:tcW w:w="567"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0.293</w:t>
            </w:r>
          </w:p>
        </w:tc>
        <w:tc>
          <w:tcPr>
            <w:tcW w:w="284"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r w:rsidRPr="005911E2">
              <w:rPr>
                <w:vertAlign w:val="superscript"/>
              </w:rPr>
              <w:t>*</w:t>
            </w:r>
          </w:p>
        </w:tc>
        <w:tc>
          <w:tcPr>
            <w:tcW w:w="709" w:type="dxa"/>
            <w:tcBorders>
              <w:top w:val="nil"/>
              <w:left w:val="nil"/>
              <w:bottom w:val="nil"/>
              <w:right w:val="nil"/>
            </w:tcBorders>
            <w:tcMar>
              <w:left w:w="28" w:type="dxa"/>
              <w:right w:w="28" w:type="dxa"/>
            </w:tcMar>
          </w:tcPr>
          <w:p w:rsidR="00F104E9" w:rsidRPr="005911E2" w:rsidRDefault="00F104E9" w:rsidP="00E24340">
            <w:pPr>
              <w:pStyle w:val="braytabletext"/>
              <w:spacing w:after="0"/>
              <w:jc w:val="right"/>
            </w:pPr>
            <w:r w:rsidRPr="005911E2">
              <w:t>0.052</w:t>
            </w:r>
          </w:p>
        </w:tc>
        <w:tc>
          <w:tcPr>
            <w:tcW w:w="850" w:type="dxa"/>
            <w:tcBorders>
              <w:top w:val="nil"/>
              <w:left w:val="nil"/>
              <w:bottom w:val="nil"/>
              <w:right w:val="nil"/>
            </w:tcBorders>
            <w:tcMar>
              <w:left w:w="28" w:type="dxa"/>
              <w:right w:w="28" w:type="dxa"/>
            </w:tcMar>
          </w:tcPr>
          <w:p w:rsidR="00F104E9" w:rsidRPr="005911E2" w:rsidRDefault="002459AC" w:rsidP="00E24340">
            <w:pPr>
              <w:pStyle w:val="braytabletext"/>
              <w:spacing w:after="0"/>
              <w:jc w:val="right"/>
            </w:pPr>
            <w:r w:rsidRPr="005911E2">
              <w:t>0.054</w:t>
            </w:r>
          </w:p>
        </w:tc>
        <w:tc>
          <w:tcPr>
            <w:tcW w:w="426" w:type="dxa"/>
            <w:tcBorders>
              <w:top w:val="nil"/>
              <w:left w:val="nil"/>
              <w:bottom w:val="nil"/>
              <w:right w:val="nil"/>
            </w:tcBorders>
            <w:tcMar>
              <w:left w:w="28" w:type="dxa"/>
              <w:right w:w="28" w:type="dxa"/>
            </w:tcMar>
          </w:tcPr>
          <w:p w:rsidR="00F104E9" w:rsidRPr="005911E2" w:rsidRDefault="00F104E9" w:rsidP="00E24340">
            <w:pPr>
              <w:pStyle w:val="braytabletext"/>
              <w:spacing w:after="0"/>
              <w:rPr>
                <w:vertAlign w:val="superscript"/>
              </w:rPr>
            </w:pPr>
          </w:p>
        </w:tc>
      </w:tr>
      <w:tr w:rsidR="00F104E9" w:rsidRPr="005911E2" w:rsidTr="002459AC">
        <w:trPr>
          <w:trHeight w:val="290"/>
        </w:trPr>
        <w:tc>
          <w:tcPr>
            <w:tcW w:w="2712" w:type="dxa"/>
            <w:tcBorders>
              <w:top w:val="nil"/>
              <w:left w:val="nil"/>
              <w:bottom w:val="single" w:sz="4" w:space="0" w:color="auto"/>
              <w:right w:val="nil"/>
            </w:tcBorders>
          </w:tcPr>
          <w:p w:rsidR="00F104E9" w:rsidRPr="005911E2" w:rsidRDefault="00F104E9" w:rsidP="00E24340">
            <w:pPr>
              <w:pStyle w:val="braytabletext"/>
              <w:spacing w:after="0"/>
            </w:pPr>
            <w:r w:rsidRPr="005911E2">
              <w:t>School activities</w:t>
            </w:r>
          </w:p>
        </w:tc>
        <w:tc>
          <w:tcPr>
            <w:tcW w:w="710" w:type="dxa"/>
            <w:tcBorders>
              <w:top w:val="nil"/>
              <w:left w:val="nil"/>
              <w:bottom w:val="single" w:sz="4" w:space="0" w:color="auto"/>
              <w:right w:val="nil"/>
            </w:tcBorders>
            <w:tcMar>
              <w:left w:w="28" w:type="dxa"/>
              <w:right w:w="28" w:type="dxa"/>
            </w:tcMar>
          </w:tcPr>
          <w:p w:rsidR="00F104E9" w:rsidRPr="005911E2" w:rsidRDefault="00F104E9" w:rsidP="00E24340">
            <w:pPr>
              <w:pStyle w:val="braytabletext"/>
              <w:spacing w:after="0"/>
              <w:jc w:val="right"/>
            </w:pPr>
            <w:r w:rsidRPr="005911E2">
              <w:t>-0.338</w:t>
            </w:r>
          </w:p>
        </w:tc>
        <w:tc>
          <w:tcPr>
            <w:tcW w:w="236" w:type="dxa"/>
            <w:tcBorders>
              <w:top w:val="nil"/>
              <w:left w:val="nil"/>
              <w:bottom w:val="single" w:sz="4" w:space="0" w:color="auto"/>
              <w:right w:val="nil"/>
            </w:tcBorders>
            <w:tcMar>
              <w:left w:w="28" w:type="dxa"/>
              <w:right w:w="28" w:type="dxa"/>
            </w:tcMar>
          </w:tcPr>
          <w:p w:rsidR="00F104E9" w:rsidRPr="005911E2" w:rsidRDefault="00F104E9" w:rsidP="00E24340">
            <w:pPr>
              <w:pStyle w:val="braytabletext"/>
              <w:spacing w:after="0"/>
              <w:rPr>
                <w:vertAlign w:val="superscript"/>
              </w:rPr>
            </w:pPr>
          </w:p>
        </w:tc>
        <w:tc>
          <w:tcPr>
            <w:tcW w:w="615" w:type="dxa"/>
            <w:gridSpan w:val="2"/>
            <w:tcBorders>
              <w:top w:val="nil"/>
              <w:left w:val="nil"/>
              <w:bottom w:val="single" w:sz="4" w:space="0" w:color="auto"/>
              <w:right w:val="nil"/>
            </w:tcBorders>
            <w:tcMar>
              <w:left w:w="28" w:type="dxa"/>
              <w:right w:w="28" w:type="dxa"/>
            </w:tcMar>
          </w:tcPr>
          <w:p w:rsidR="00F104E9" w:rsidRPr="005911E2" w:rsidRDefault="00F104E9" w:rsidP="00E24340">
            <w:pPr>
              <w:pStyle w:val="braytabletext"/>
              <w:spacing w:after="0"/>
              <w:jc w:val="right"/>
            </w:pPr>
            <w:r w:rsidRPr="005911E2">
              <w:t>-0.006</w:t>
            </w:r>
          </w:p>
        </w:tc>
        <w:tc>
          <w:tcPr>
            <w:tcW w:w="285" w:type="dxa"/>
            <w:tcBorders>
              <w:top w:val="nil"/>
              <w:left w:val="nil"/>
              <w:bottom w:val="single" w:sz="4" w:space="0" w:color="auto"/>
              <w:right w:val="nil"/>
            </w:tcBorders>
            <w:tcMar>
              <w:left w:w="28" w:type="dxa"/>
              <w:right w:w="28" w:type="dxa"/>
            </w:tcMar>
          </w:tcPr>
          <w:p w:rsidR="00F104E9" w:rsidRPr="005911E2" w:rsidRDefault="00F104E9" w:rsidP="00E24340">
            <w:pPr>
              <w:pStyle w:val="braytabletext"/>
              <w:spacing w:after="0"/>
              <w:rPr>
                <w:vertAlign w:val="superscript"/>
              </w:rPr>
            </w:pPr>
          </w:p>
        </w:tc>
        <w:tc>
          <w:tcPr>
            <w:tcW w:w="569" w:type="dxa"/>
            <w:tcBorders>
              <w:top w:val="nil"/>
              <w:left w:val="nil"/>
              <w:bottom w:val="single" w:sz="4" w:space="0" w:color="auto"/>
              <w:right w:val="nil"/>
            </w:tcBorders>
            <w:tcMar>
              <w:left w:w="28" w:type="dxa"/>
              <w:right w:w="28" w:type="dxa"/>
            </w:tcMar>
          </w:tcPr>
          <w:p w:rsidR="00F104E9" w:rsidRPr="005911E2" w:rsidRDefault="00F104E9" w:rsidP="00E24340">
            <w:pPr>
              <w:pStyle w:val="braytabletext"/>
              <w:spacing w:after="0"/>
              <w:jc w:val="right"/>
            </w:pPr>
            <w:r w:rsidRPr="005911E2">
              <w:t>-0.224</w:t>
            </w:r>
          </w:p>
        </w:tc>
        <w:tc>
          <w:tcPr>
            <w:tcW w:w="288" w:type="dxa"/>
            <w:tcBorders>
              <w:top w:val="nil"/>
              <w:left w:val="nil"/>
              <w:bottom w:val="single" w:sz="4" w:space="0" w:color="auto"/>
              <w:right w:val="nil"/>
            </w:tcBorders>
            <w:tcMar>
              <w:left w:w="28" w:type="dxa"/>
              <w:right w:w="28" w:type="dxa"/>
            </w:tcMar>
          </w:tcPr>
          <w:p w:rsidR="00F104E9" w:rsidRPr="005911E2" w:rsidRDefault="00F104E9" w:rsidP="00E24340">
            <w:pPr>
              <w:pStyle w:val="braytabletext"/>
              <w:spacing w:after="0"/>
              <w:rPr>
                <w:vertAlign w:val="superscript"/>
              </w:rPr>
            </w:pPr>
          </w:p>
        </w:tc>
        <w:tc>
          <w:tcPr>
            <w:tcW w:w="569" w:type="dxa"/>
            <w:tcBorders>
              <w:top w:val="nil"/>
              <w:left w:val="nil"/>
              <w:bottom w:val="single" w:sz="4" w:space="0" w:color="auto"/>
              <w:right w:val="nil"/>
            </w:tcBorders>
            <w:tcMar>
              <w:left w:w="28" w:type="dxa"/>
              <w:right w:w="28" w:type="dxa"/>
            </w:tcMar>
          </w:tcPr>
          <w:p w:rsidR="00F104E9" w:rsidRPr="005911E2" w:rsidRDefault="00F104E9" w:rsidP="00E24340">
            <w:pPr>
              <w:pStyle w:val="braytabletext"/>
              <w:spacing w:after="0"/>
              <w:jc w:val="right"/>
            </w:pPr>
            <w:r w:rsidRPr="005911E2">
              <w:t>-0.243</w:t>
            </w:r>
          </w:p>
        </w:tc>
        <w:tc>
          <w:tcPr>
            <w:tcW w:w="283" w:type="dxa"/>
            <w:tcBorders>
              <w:top w:val="nil"/>
              <w:left w:val="nil"/>
              <w:bottom w:val="single" w:sz="4" w:space="0" w:color="auto"/>
              <w:right w:val="nil"/>
            </w:tcBorders>
            <w:tcMar>
              <w:left w:w="28" w:type="dxa"/>
              <w:right w:w="28" w:type="dxa"/>
            </w:tcMar>
          </w:tcPr>
          <w:p w:rsidR="00F104E9" w:rsidRPr="005911E2" w:rsidRDefault="00F104E9" w:rsidP="00E24340">
            <w:pPr>
              <w:pStyle w:val="braytabletext"/>
              <w:spacing w:after="0"/>
              <w:rPr>
                <w:vertAlign w:val="superscript"/>
              </w:rPr>
            </w:pPr>
          </w:p>
        </w:tc>
        <w:tc>
          <w:tcPr>
            <w:tcW w:w="567" w:type="dxa"/>
            <w:tcBorders>
              <w:top w:val="nil"/>
              <w:left w:val="nil"/>
              <w:bottom w:val="single" w:sz="4" w:space="0" w:color="auto"/>
              <w:right w:val="nil"/>
            </w:tcBorders>
            <w:tcMar>
              <w:left w:w="28" w:type="dxa"/>
              <w:right w:w="28" w:type="dxa"/>
            </w:tcMar>
          </w:tcPr>
          <w:p w:rsidR="00F104E9" w:rsidRPr="005911E2" w:rsidRDefault="00F104E9" w:rsidP="00E24340">
            <w:pPr>
              <w:pStyle w:val="braytabletext"/>
              <w:spacing w:after="0"/>
              <w:jc w:val="right"/>
            </w:pPr>
            <w:r w:rsidRPr="005911E2">
              <w:t>0.134</w:t>
            </w:r>
          </w:p>
        </w:tc>
        <w:tc>
          <w:tcPr>
            <w:tcW w:w="284" w:type="dxa"/>
            <w:tcBorders>
              <w:top w:val="nil"/>
              <w:left w:val="nil"/>
              <w:bottom w:val="single" w:sz="4" w:space="0" w:color="auto"/>
              <w:right w:val="nil"/>
            </w:tcBorders>
            <w:tcMar>
              <w:left w:w="28" w:type="dxa"/>
              <w:right w:w="28" w:type="dxa"/>
            </w:tcMar>
          </w:tcPr>
          <w:p w:rsidR="00F104E9" w:rsidRPr="005911E2" w:rsidRDefault="00F104E9" w:rsidP="00E24340">
            <w:pPr>
              <w:pStyle w:val="braytabletext"/>
              <w:spacing w:after="0"/>
              <w:rPr>
                <w:vertAlign w:val="superscript"/>
              </w:rPr>
            </w:pPr>
          </w:p>
        </w:tc>
        <w:tc>
          <w:tcPr>
            <w:tcW w:w="709" w:type="dxa"/>
            <w:tcBorders>
              <w:top w:val="nil"/>
              <w:left w:val="nil"/>
              <w:bottom w:val="single" w:sz="4" w:space="0" w:color="auto"/>
              <w:right w:val="nil"/>
            </w:tcBorders>
            <w:tcMar>
              <w:left w:w="28" w:type="dxa"/>
              <w:right w:w="28" w:type="dxa"/>
            </w:tcMar>
          </w:tcPr>
          <w:p w:rsidR="00F104E9" w:rsidRPr="005911E2" w:rsidRDefault="00F104E9" w:rsidP="00E24340">
            <w:pPr>
              <w:pStyle w:val="braytabletext"/>
              <w:spacing w:after="0"/>
              <w:jc w:val="right"/>
            </w:pPr>
            <w:r w:rsidRPr="005911E2">
              <w:t>0.060</w:t>
            </w:r>
          </w:p>
        </w:tc>
        <w:tc>
          <w:tcPr>
            <w:tcW w:w="850" w:type="dxa"/>
            <w:tcBorders>
              <w:top w:val="nil"/>
              <w:left w:val="nil"/>
              <w:bottom w:val="single" w:sz="4" w:space="0" w:color="auto"/>
              <w:right w:val="nil"/>
            </w:tcBorders>
            <w:tcMar>
              <w:left w:w="28" w:type="dxa"/>
              <w:right w:w="28" w:type="dxa"/>
            </w:tcMar>
          </w:tcPr>
          <w:p w:rsidR="00F104E9" w:rsidRPr="005911E2" w:rsidRDefault="002459AC" w:rsidP="00E24340">
            <w:pPr>
              <w:pStyle w:val="braytabletext"/>
              <w:spacing w:after="0"/>
              <w:jc w:val="right"/>
            </w:pPr>
            <w:r w:rsidRPr="005911E2">
              <w:t>0.228</w:t>
            </w:r>
          </w:p>
        </w:tc>
        <w:tc>
          <w:tcPr>
            <w:tcW w:w="426" w:type="dxa"/>
            <w:tcBorders>
              <w:top w:val="nil"/>
              <w:left w:val="nil"/>
              <w:bottom w:val="single" w:sz="4" w:space="0" w:color="auto"/>
              <w:right w:val="nil"/>
            </w:tcBorders>
            <w:tcMar>
              <w:left w:w="28" w:type="dxa"/>
              <w:right w:w="28" w:type="dxa"/>
            </w:tcMar>
          </w:tcPr>
          <w:p w:rsidR="00F104E9" w:rsidRPr="005911E2" w:rsidRDefault="00F104E9" w:rsidP="00E24340">
            <w:pPr>
              <w:pStyle w:val="braytabletext"/>
              <w:spacing w:after="0"/>
              <w:rPr>
                <w:vertAlign w:val="superscript"/>
              </w:rPr>
            </w:pPr>
          </w:p>
        </w:tc>
      </w:tr>
      <w:tr w:rsidR="00F104E9" w:rsidRPr="005911E2" w:rsidTr="002459AC">
        <w:trPr>
          <w:trHeight w:val="290"/>
        </w:trPr>
        <w:tc>
          <w:tcPr>
            <w:tcW w:w="2712" w:type="dxa"/>
            <w:tcBorders>
              <w:top w:val="single" w:sz="4" w:space="0" w:color="auto"/>
              <w:left w:val="nil"/>
              <w:bottom w:val="single" w:sz="4" w:space="0" w:color="auto"/>
              <w:right w:val="nil"/>
            </w:tcBorders>
          </w:tcPr>
          <w:p w:rsidR="00F104E9" w:rsidRPr="005911E2" w:rsidRDefault="00F104E9" w:rsidP="00E24340">
            <w:pPr>
              <w:pStyle w:val="braytabletext"/>
              <w:spacing w:after="0"/>
            </w:pPr>
            <w:r w:rsidRPr="005911E2">
              <w:t>Survey participants (</w:t>
            </w:r>
            <w:r w:rsidR="00E15AAB">
              <w:t>d</w:t>
            </w:r>
            <w:r w:rsidRPr="005911E2">
              <w:t>)</w:t>
            </w:r>
          </w:p>
        </w:tc>
        <w:tc>
          <w:tcPr>
            <w:tcW w:w="710" w:type="dxa"/>
            <w:tcBorders>
              <w:top w:val="single" w:sz="4" w:space="0" w:color="auto"/>
              <w:left w:val="nil"/>
              <w:bottom w:val="single" w:sz="4" w:space="0" w:color="auto"/>
              <w:right w:val="nil"/>
            </w:tcBorders>
            <w:tcMar>
              <w:left w:w="28" w:type="dxa"/>
              <w:right w:w="28" w:type="dxa"/>
            </w:tcMar>
          </w:tcPr>
          <w:p w:rsidR="00F104E9" w:rsidRPr="005911E2" w:rsidRDefault="00F104E9" w:rsidP="00E24340">
            <w:pPr>
              <w:pStyle w:val="braytabletext"/>
              <w:spacing w:after="0"/>
              <w:jc w:val="right"/>
            </w:pPr>
            <w:r w:rsidRPr="005911E2">
              <w:t>244</w:t>
            </w:r>
          </w:p>
        </w:tc>
        <w:tc>
          <w:tcPr>
            <w:tcW w:w="236" w:type="dxa"/>
            <w:tcBorders>
              <w:top w:val="single" w:sz="4" w:space="0" w:color="auto"/>
              <w:left w:val="nil"/>
              <w:bottom w:val="single" w:sz="4" w:space="0" w:color="auto"/>
              <w:right w:val="nil"/>
            </w:tcBorders>
            <w:tcMar>
              <w:left w:w="28" w:type="dxa"/>
              <w:right w:w="28" w:type="dxa"/>
            </w:tcMar>
          </w:tcPr>
          <w:p w:rsidR="00F104E9" w:rsidRPr="005911E2" w:rsidRDefault="00F104E9" w:rsidP="00E24340">
            <w:pPr>
              <w:pStyle w:val="braytabletext"/>
              <w:spacing w:after="0"/>
              <w:jc w:val="right"/>
              <w:rPr>
                <w:vertAlign w:val="superscript"/>
              </w:rPr>
            </w:pPr>
          </w:p>
        </w:tc>
        <w:tc>
          <w:tcPr>
            <w:tcW w:w="615" w:type="dxa"/>
            <w:gridSpan w:val="2"/>
            <w:tcBorders>
              <w:top w:val="single" w:sz="4" w:space="0" w:color="auto"/>
              <w:left w:val="nil"/>
              <w:bottom w:val="single" w:sz="4" w:space="0" w:color="auto"/>
              <w:right w:val="nil"/>
            </w:tcBorders>
            <w:tcMar>
              <w:left w:w="28" w:type="dxa"/>
              <w:right w:w="28" w:type="dxa"/>
            </w:tcMar>
          </w:tcPr>
          <w:p w:rsidR="00F104E9" w:rsidRPr="005911E2" w:rsidRDefault="00F104E9" w:rsidP="00E24340">
            <w:pPr>
              <w:pStyle w:val="braytabletext"/>
              <w:spacing w:after="0"/>
              <w:jc w:val="right"/>
            </w:pPr>
            <w:r w:rsidRPr="005911E2">
              <w:t>168</w:t>
            </w:r>
          </w:p>
        </w:tc>
        <w:tc>
          <w:tcPr>
            <w:tcW w:w="285" w:type="dxa"/>
            <w:tcBorders>
              <w:top w:val="single" w:sz="4" w:space="0" w:color="auto"/>
              <w:left w:val="nil"/>
              <w:bottom w:val="single" w:sz="4" w:space="0" w:color="auto"/>
              <w:right w:val="nil"/>
            </w:tcBorders>
            <w:tcMar>
              <w:left w:w="28" w:type="dxa"/>
              <w:right w:w="28" w:type="dxa"/>
            </w:tcMar>
          </w:tcPr>
          <w:p w:rsidR="00F104E9" w:rsidRPr="005911E2" w:rsidRDefault="00F104E9" w:rsidP="00E24340">
            <w:pPr>
              <w:pStyle w:val="braytabletext"/>
              <w:spacing w:after="0"/>
              <w:jc w:val="right"/>
              <w:rPr>
                <w:vertAlign w:val="superscript"/>
              </w:rPr>
            </w:pPr>
          </w:p>
        </w:tc>
        <w:tc>
          <w:tcPr>
            <w:tcW w:w="569" w:type="dxa"/>
            <w:tcBorders>
              <w:top w:val="single" w:sz="4" w:space="0" w:color="auto"/>
              <w:left w:val="nil"/>
              <w:bottom w:val="single" w:sz="4" w:space="0" w:color="auto"/>
              <w:right w:val="nil"/>
            </w:tcBorders>
            <w:tcMar>
              <w:left w:w="28" w:type="dxa"/>
              <w:right w:w="28" w:type="dxa"/>
            </w:tcMar>
          </w:tcPr>
          <w:p w:rsidR="00F104E9" w:rsidRPr="005911E2" w:rsidRDefault="00F104E9" w:rsidP="00E24340">
            <w:pPr>
              <w:pStyle w:val="braytabletext"/>
              <w:spacing w:after="0"/>
              <w:jc w:val="right"/>
            </w:pPr>
            <w:r w:rsidRPr="005911E2">
              <w:t>128</w:t>
            </w:r>
          </w:p>
        </w:tc>
        <w:tc>
          <w:tcPr>
            <w:tcW w:w="288" w:type="dxa"/>
            <w:tcBorders>
              <w:top w:val="single" w:sz="4" w:space="0" w:color="auto"/>
              <w:left w:val="nil"/>
              <w:bottom w:val="single" w:sz="4" w:space="0" w:color="auto"/>
              <w:right w:val="nil"/>
            </w:tcBorders>
            <w:tcMar>
              <w:left w:w="28" w:type="dxa"/>
              <w:right w:w="28" w:type="dxa"/>
            </w:tcMar>
          </w:tcPr>
          <w:p w:rsidR="00F104E9" w:rsidRPr="005911E2" w:rsidRDefault="00F104E9" w:rsidP="00E24340">
            <w:pPr>
              <w:pStyle w:val="braytabletext"/>
              <w:spacing w:after="0"/>
              <w:jc w:val="right"/>
              <w:rPr>
                <w:vertAlign w:val="superscript"/>
              </w:rPr>
            </w:pPr>
          </w:p>
        </w:tc>
        <w:tc>
          <w:tcPr>
            <w:tcW w:w="569" w:type="dxa"/>
            <w:tcBorders>
              <w:top w:val="single" w:sz="4" w:space="0" w:color="auto"/>
              <w:left w:val="nil"/>
              <w:bottom w:val="single" w:sz="4" w:space="0" w:color="auto"/>
              <w:right w:val="nil"/>
            </w:tcBorders>
            <w:tcMar>
              <w:left w:w="28" w:type="dxa"/>
              <w:right w:w="28" w:type="dxa"/>
            </w:tcMar>
          </w:tcPr>
          <w:p w:rsidR="00F104E9" w:rsidRPr="005911E2" w:rsidRDefault="00F104E9" w:rsidP="00E24340">
            <w:pPr>
              <w:pStyle w:val="braytabletext"/>
              <w:spacing w:after="0"/>
              <w:jc w:val="right"/>
            </w:pPr>
            <w:r w:rsidRPr="005911E2">
              <w:t>33</w:t>
            </w:r>
          </w:p>
        </w:tc>
        <w:tc>
          <w:tcPr>
            <w:tcW w:w="283" w:type="dxa"/>
            <w:tcBorders>
              <w:top w:val="single" w:sz="4" w:space="0" w:color="auto"/>
              <w:left w:val="nil"/>
              <w:bottom w:val="single" w:sz="4" w:space="0" w:color="auto"/>
              <w:right w:val="nil"/>
            </w:tcBorders>
            <w:tcMar>
              <w:left w:w="28" w:type="dxa"/>
              <w:right w:w="28" w:type="dxa"/>
            </w:tcMar>
          </w:tcPr>
          <w:p w:rsidR="00F104E9" w:rsidRPr="005911E2" w:rsidRDefault="00F104E9" w:rsidP="00E24340">
            <w:pPr>
              <w:pStyle w:val="braytabletext"/>
              <w:spacing w:after="0"/>
              <w:rPr>
                <w:vertAlign w:val="superscript"/>
              </w:rPr>
            </w:pPr>
          </w:p>
        </w:tc>
        <w:tc>
          <w:tcPr>
            <w:tcW w:w="567" w:type="dxa"/>
            <w:tcBorders>
              <w:top w:val="single" w:sz="4" w:space="0" w:color="auto"/>
              <w:left w:val="nil"/>
              <w:bottom w:val="single" w:sz="4" w:space="0" w:color="auto"/>
              <w:right w:val="nil"/>
            </w:tcBorders>
            <w:tcMar>
              <w:left w:w="28" w:type="dxa"/>
              <w:right w:w="28" w:type="dxa"/>
            </w:tcMar>
          </w:tcPr>
          <w:p w:rsidR="00F104E9" w:rsidRPr="005911E2" w:rsidRDefault="00F104E9" w:rsidP="00E24340">
            <w:pPr>
              <w:pStyle w:val="braytabletext"/>
              <w:spacing w:after="0"/>
            </w:pPr>
          </w:p>
        </w:tc>
        <w:tc>
          <w:tcPr>
            <w:tcW w:w="284" w:type="dxa"/>
            <w:tcBorders>
              <w:top w:val="single" w:sz="4" w:space="0" w:color="auto"/>
              <w:left w:val="nil"/>
              <w:bottom w:val="single" w:sz="4" w:space="0" w:color="auto"/>
              <w:right w:val="nil"/>
            </w:tcBorders>
            <w:tcMar>
              <w:left w:w="28" w:type="dxa"/>
              <w:right w:w="28" w:type="dxa"/>
            </w:tcMar>
          </w:tcPr>
          <w:p w:rsidR="00F104E9" w:rsidRPr="005911E2" w:rsidRDefault="00F104E9" w:rsidP="00E24340">
            <w:pPr>
              <w:pStyle w:val="braytabletext"/>
              <w:spacing w:after="0"/>
              <w:rPr>
                <w:vertAlign w:val="superscript"/>
              </w:rPr>
            </w:pPr>
          </w:p>
        </w:tc>
        <w:tc>
          <w:tcPr>
            <w:tcW w:w="709" w:type="dxa"/>
            <w:tcBorders>
              <w:top w:val="single" w:sz="4" w:space="0" w:color="auto"/>
              <w:left w:val="nil"/>
              <w:bottom w:val="single" w:sz="4" w:space="0" w:color="auto"/>
              <w:right w:val="nil"/>
            </w:tcBorders>
            <w:tcMar>
              <w:left w:w="28" w:type="dxa"/>
              <w:right w:w="28" w:type="dxa"/>
            </w:tcMar>
          </w:tcPr>
          <w:p w:rsidR="00F104E9" w:rsidRPr="005911E2" w:rsidRDefault="00F104E9" w:rsidP="00E24340">
            <w:pPr>
              <w:pStyle w:val="braytabletext"/>
              <w:spacing w:after="0"/>
            </w:pPr>
          </w:p>
        </w:tc>
        <w:tc>
          <w:tcPr>
            <w:tcW w:w="850" w:type="dxa"/>
            <w:tcBorders>
              <w:top w:val="single" w:sz="4" w:space="0" w:color="auto"/>
              <w:left w:val="nil"/>
              <w:bottom w:val="single" w:sz="4" w:space="0" w:color="auto"/>
              <w:right w:val="nil"/>
            </w:tcBorders>
            <w:tcMar>
              <w:left w:w="28" w:type="dxa"/>
              <w:right w:w="28" w:type="dxa"/>
            </w:tcMar>
          </w:tcPr>
          <w:p w:rsidR="00F104E9" w:rsidRPr="005911E2" w:rsidRDefault="002459AC" w:rsidP="00E24340">
            <w:pPr>
              <w:pStyle w:val="braytabletext"/>
              <w:spacing w:after="0"/>
              <w:jc w:val="right"/>
            </w:pPr>
            <w:r w:rsidRPr="005911E2">
              <w:t>286</w:t>
            </w:r>
          </w:p>
        </w:tc>
        <w:tc>
          <w:tcPr>
            <w:tcW w:w="426" w:type="dxa"/>
            <w:tcBorders>
              <w:top w:val="single" w:sz="4" w:space="0" w:color="auto"/>
              <w:left w:val="nil"/>
              <w:bottom w:val="single" w:sz="4" w:space="0" w:color="auto"/>
              <w:right w:val="nil"/>
            </w:tcBorders>
            <w:tcMar>
              <w:left w:w="28" w:type="dxa"/>
              <w:right w:w="28" w:type="dxa"/>
            </w:tcMar>
          </w:tcPr>
          <w:p w:rsidR="00F104E9" w:rsidRPr="005911E2" w:rsidRDefault="00F104E9" w:rsidP="00E24340">
            <w:pPr>
              <w:pStyle w:val="braytabletext"/>
              <w:spacing w:after="0"/>
              <w:rPr>
                <w:vertAlign w:val="superscript"/>
              </w:rPr>
            </w:pPr>
          </w:p>
        </w:tc>
      </w:tr>
    </w:tbl>
    <w:p w:rsidR="00E15AAB" w:rsidRDefault="00E15AAB" w:rsidP="00224BEA">
      <w:pPr>
        <w:pStyle w:val="tablefootnotes"/>
      </w:pPr>
      <w:r>
        <w:t>Notes:</w:t>
      </w:r>
      <w:r w:rsidR="00224BEA" w:rsidDel="001102A1">
        <w:t xml:space="preserve"> </w:t>
      </w:r>
      <w:r>
        <w:tab/>
      </w:r>
      <w:r w:rsidR="004E3A29">
        <w:t>** p&lt;0.01  *p&lt;0.05</w:t>
      </w:r>
    </w:p>
    <w:p w:rsidR="00D96A58" w:rsidRDefault="00897C1E" w:rsidP="00224BEA">
      <w:pPr>
        <w:pStyle w:val="tablefootnotes"/>
      </w:pPr>
      <w:r w:rsidRPr="005911E2">
        <w:t xml:space="preserve">(a) </w:t>
      </w:r>
      <w:r w:rsidRPr="005911E2">
        <w:tab/>
        <w:t xml:space="preserve">Results are for OLS regression. Alternative model specifications including ordered probit, have been tested and provide substantially the same results. All parameter estimates are in the form of </w:t>
      </w:r>
      <w:r w:rsidRPr="005911E2">
        <w:rPr>
          <w:rFonts w:cs="Arial"/>
        </w:rPr>
        <w:t>β</w:t>
      </w:r>
      <w:r w:rsidRPr="005911E2">
        <w:t xml:space="preserve">StdY, that is the change in the dependent variable expressed in terms of a standard deviation, to a unit change </w:t>
      </w:r>
      <w:r w:rsidR="00224BEA">
        <w:t xml:space="preserve">in </w:t>
      </w:r>
      <w:r w:rsidRPr="005911E2">
        <w:t xml:space="preserve">the independent variable which in this table is being in one of these </w:t>
      </w:r>
      <w:r w:rsidR="00F878E4">
        <w:t>income management</w:t>
      </w:r>
      <w:r w:rsidRPr="005911E2">
        <w:t xml:space="preserve"> categories relative to being in the contrast group.</w:t>
      </w:r>
    </w:p>
    <w:p w:rsidR="00D96A58" w:rsidRDefault="00897C1E" w:rsidP="00224BEA">
      <w:pPr>
        <w:pStyle w:val="tablefootnotes"/>
      </w:pPr>
      <w:r w:rsidRPr="005911E2">
        <w:t>(b)</w:t>
      </w:r>
      <w:r w:rsidRPr="005911E2">
        <w:tab/>
        <w:t>Responses to the questions have been given a numeric value ranging from 1 for never to 5 for always, a negative value therefore represents a less frequent occurrence and a positive a more frequent.</w:t>
      </w:r>
    </w:p>
    <w:p w:rsidR="00D96A58" w:rsidRDefault="00897C1E" w:rsidP="00224BEA">
      <w:pPr>
        <w:pStyle w:val="tablefootnotes"/>
      </w:pPr>
      <w:r w:rsidRPr="005911E2">
        <w:t>(c)</w:t>
      </w:r>
      <w:r w:rsidRPr="005911E2">
        <w:tab/>
        <w:t>Responses have been coded -1 for negative</w:t>
      </w:r>
      <w:r w:rsidR="00BA5565">
        <w:t>,</w:t>
      </w:r>
      <w:r w:rsidRPr="005911E2">
        <w:t xml:space="preserve"> 0 for no change and +1 for improvements</w:t>
      </w:r>
      <w:r w:rsidR="0049159A">
        <w:t>.</w:t>
      </w:r>
    </w:p>
    <w:p w:rsidR="00D96A58" w:rsidRDefault="00897C1E" w:rsidP="00224BEA">
      <w:pPr>
        <w:pStyle w:val="tablefootnotes"/>
      </w:pPr>
      <w:r w:rsidRPr="005911E2">
        <w:t>(</w:t>
      </w:r>
      <w:r w:rsidR="00E15AAB">
        <w:t>d</w:t>
      </w:r>
      <w:r w:rsidRPr="005911E2">
        <w:t>)</w:t>
      </w:r>
      <w:r w:rsidRPr="005911E2">
        <w:tab/>
        <w:t>Maximum number, numbers used in models vary with the level of non-response to particular questions</w:t>
      </w:r>
      <w:r w:rsidR="0049159A">
        <w:t>.</w:t>
      </w:r>
    </w:p>
    <w:p w:rsidR="00D96A58" w:rsidRPr="002F18E7" w:rsidRDefault="00897C1E" w:rsidP="004E3A29">
      <w:pPr>
        <w:pStyle w:val="tablefootnotes"/>
      </w:pPr>
      <w:r w:rsidRPr="00224BEA">
        <w:t>Source:</w:t>
      </w:r>
      <w:r w:rsidRPr="00224BEA">
        <w:tab/>
        <w:t xml:space="preserve">Derived from Wave 1 </w:t>
      </w:r>
      <w:r w:rsidRPr="008F07EE">
        <w:t>LSNIM</w:t>
      </w:r>
      <w:r w:rsidRPr="002F18E7">
        <w:t>.</w:t>
      </w:r>
    </w:p>
    <w:p w:rsidR="00897C1E" w:rsidRPr="005911E2" w:rsidRDefault="00897C1E" w:rsidP="00AE7648">
      <w:pPr>
        <w:pStyle w:val="tablefootnoteslastline"/>
      </w:pPr>
    </w:p>
    <w:p w:rsidR="00897C1E" w:rsidRPr="005911E2" w:rsidRDefault="00897C1E" w:rsidP="00BD6DFD">
      <w:pPr>
        <w:pStyle w:val="Heading3"/>
      </w:pPr>
      <w:r w:rsidRPr="005911E2">
        <w:t>Summary of feelings about being income managed</w:t>
      </w:r>
    </w:p>
    <w:p w:rsidR="00897C1E" w:rsidRPr="005911E2" w:rsidRDefault="00897C1E" w:rsidP="00897C1E">
      <w:pPr>
        <w:pStyle w:val="BodyText"/>
      </w:pPr>
      <w:r w:rsidRPr="005911E2">
        <w:t xml:space="preserve">The questions on feelings about being income managed need to be considered in terms of both the nature of the questions themselves and in comparison </w:t>
      </w:r>
      <w:r w:rsidR="004E3A29">
        <w:t>to the</w:t>
      </w:r>
      <w:r w:rsidR="004E3A29" w:rsidRPr="005911E2">
        <w:t xml:space="preserve"> </w:t>
      </w:r>
      <w:r w:rsidRPr="005911E2">
        <w:t>responses</w:t>
      </w:r>
      <w:r w:rsidR="004E3A29">
        <w:t xml:space="preserve"> of</w:t>
      </w:r>
      <w:r w:rsidRPr="005911E2">
        <w:t xml:space="preserve"> those not on IM living in the contrast site</w:t>
      </w:r>
      <w:r w:rsidR="004E3A29">
        <w:t>s</w:t>
      </w:r>
      <w:r w:rsidRPr="005911E2">
        <w:t xml:space="preserve"> to the questions about their feelings about income support payments which are not subject to IM.</w:t>
      </w:r>
    </w:p>
    <w:p w:rsidR="00897C1E" w:rsidRPr="005911E2" w:rsidRDefault="00897C1E" w:rsidP="00897C1E">
      <w:pPr>
        <w:pStyle w:val="BodyText"/>
      </w:pPr>
      <w:r w:rsidRPr="005911E2">
        <w:t xml:space="preserve">Overall, across most questions the majority of people subject to </w:t>
      </w:r>
      <w:r w:rsidR="00F878E4">
        <w:t>income management</w:t>
      </w:r>
      <w:r w:rsidRPr="005911E2">
        <w:t xml:space="preserve"> see no change or improvement. Indigenous people are</w:t>
      </w:r>
      <w:r w:rsidR="005B5A77">
        <w:t>,</w:t>
      </w:r>
      <w:r w:rsidRPr="005911E2">
        <w:t xml:space="preserve"> on the whole</w:t>
      </w:r>
      <w:r w:rsidR="005B5A77">
        <w:t>,</w:t>
      </w:r>
      <w:r w:rsidRPr="005911E2">
        <w:t xml:space="preserve"> more positive than non-Indigenous people and there is some evidence that improvements are perceived as greater for those living in NTER areas. For most responses the perceptions of those in the</w:t>
      </w:r>
      <w:r w:rsidR="006435C8">
        <w:t xml:space="preserve"> Northern Territory </w:t>
      </w:r>
      <w:r w:rsidRPr="005911E2">
        <w:t xml:space="preserve">are similar to those in the contrast sites. </w:t>
      </w:r>
    </w:p>
    <w:p w:rsidR="00897C1E" w:rsidRPr="005911E2" w:rsidRDefault="00897C1E" w:rsidP="00897C1E">
      <w:pPr>
        <w:pStyle w:val="BodyText"/>
      </w:pPr>
      <w:r w:rsidRPr="005911E2">
        <w:t xml:space="preserve">Across all of the groups on </w:t>
      </w:r>
      <w:r w:rsidR="00F878E4">
        <w:t>income management</w:t>
      </w:r>
      <w:r w:rsidRPr="005911E2">
        <w:t xml:space="preserve"> some two thirds or more of people experience some feelings of discrimination, embarrassment or unfairness about their being income managed, with a lack of fairness being the dominating feeling report</w:t>
      </w:r>
      <w:r w:rsidR="005B5A77">
        <w:t>ed</w:t>
      </w:r>
      <w:r w:rsidRPr="005911E2">
        <w:t>. Indigenous people in NTER areas felt significantly more discriminated against than those in the contrast group.</w:t>
      </w:r>
    </w:p>
    <w:p w:rsidR="00897C1E" w:rsidRPr="005911E2" w:rsidRDefault="00897C1E" w:rsidP="00897C1E">
      <w:pPr>
        <w:pStyle w:val="BodyText"/>
        <w:rPr>
          <w:lang w:eastAsia="en-US"/>
        </w:rPr>
      </w:pPr>
      <w:r w:rsidRPr="005911E2">
        <w:rPr>
          <w:lang w:eastAsia="en-US"/>
        </w:rPr>
        <w:t>A majority of survey participants report feeling more in control of their lives and their money</w:t>
      </w:r>
      <w:r w:rsidR="005B5A77">
        <w:rPr>
          <w:lang w:eastAsia="en-US"/>
        </w:rPr>
        <w:t>,</w:t>
      </w:r>
      <w:r w:rsidRPr="005911E2">
        <w:rPr>
          <w:lang w:eastAsia="en-US"/>
        </w:rPr>
        <w:t xml:space="preserve"> and that </w:t>
      </w:r>
      <w:r w:rsidR="005B5A77">
        <w:rPr>
          <w:lang w:eastAsia="en-US"/>
        </w:rPr>
        <w:t xml:space="preserve">the </w:t>
      </w:r>
      <w:r w:rsidRPr="005911E2">
        <w:rPr>
          <w:lang w:eastAsia="en-US"/>
        </w:rPr>
        <w:t>outcomes were better for their families. However</w:t>
      </w:r>
      <w:r w:rsidR="005B5A77">
        <w:rPr>
          <w:lang w:eastAsia="en-US"/>
        </w:rPr>
        <w:t>,</w:t>
      </w:r>
      <w:r w:rsidRPr="005911E2">
        <w:rPr>
          <w:lang w:eastAsia="en-US"/>
        </w:rPr>
        <w:t xml:space="preserve"> the responses of those on </w:t>
      </w:r>
      <w:r w:rsidR="00F878E4">
        <w:rPr>
          <w:lang w:eastAsia="en-US"/>
        </w:rPr>
        <w:t>income management</w:t>
      </w:r>
      <w:r w:rsidRPr="005911E2">
        <w:rPr>
          <w:lang w:eastAsia="en-US"/>
        </w:rPr>
        <w:t xml:space="preserve"> are not dissimilar to those expressed by the survey participants in the contrast sites about their attitudes to receipt of income support payments. This was particularly the case amongst Indigenous survey participants. Thus</w:t>
      </w:r>
      <w:r w:rsidR="005B5A77">
        <w:rPr>
          <w:lang w:eastAsia="en-US"/>
        </w:rPr>
        <w:t>,</w:t>
      </w:r>
      <w:r w:rsidRPr="005911E2">
        <w:rPr>
          <w:lang w:eastAsia="en-US"/>
        </w:rPr>
        <w:t xml:space="preserve"> considerable caution needs to be exercised in </w:t>
      </w:r>
      <w:r w:rsidR="005B5A77">
        <w:rPr>
          <w:lang w:eastAsia="en-US"/>
        </w:rPr>
        <w:t>attributing</w:t>
      </w:r>
      <w:r w:rsidR="005B5A77" w:rsidRPr="005911E2">
        <w:rPr>
          <w:lang w:eastAsia="en-US"/>
        </w:rPr>
        <w:t xml:space="preserve"> </w:t>
      </w:r>
      <w:r w:rsidRPr="005911E2">
        <w:rPr>
          <w:lang w:eastAsia="en-US"/>
        </w:rPr>
        <w:t xml:space="preserve">the results to </w:t>
      </w:r>
      <w:r w:rsidR="00F878E4">
        <w:rPr>
          <w:lang w:eastAsia="en-US"/>
        </w:rPr>
        <w:t>income management</w:t>
      </w:r>
      <w:r w:rsidRPr="005911E2">
        <w:rPr>
          <w:lang w:eastAsia="en-US"/>
        </w:rPr>
        <w:t xml:space="preserve"> </w:t>
      </w:r>
      <w:r w:rsidR="003B3BD2" w:rsidRPr="00224BEA">
        <w:rPr>
          <w:i/>
          <w:lang w:eastAsia="en-US"/>
        </w:rPr>
        <w:t>p</w:t>
      </w:r>
      <w:r w:rsidRPr="005911E2">
        <w:rPr>
          <w:i/>
          <w:lang w:eastAsia="en-US"/>
        </w:rPr>
        <w:t>er se</w:t>
      </w:r>
      <w:r w:rsidRPr="005911E2">
        <w:rPr>
          <w:lang w:eastAsia="en-US"/>
        </w:rPr>
        <w:t>.</w:t>
      </w:r>
      <w:r w:rsidR="00B62B2D">
        <w:rPr>
          <w:lang w:eastAsia="en-US"/>
        </w:rPr>
        <w:t xml:space="preserve"> </w:t>
      </w:r>
      <w:r w:rsidRPr="005911E2">
        <w:rPr>
          <w:lang w:eastAsia="en-US"/>
        </w:rPr>
        <w:t>This is confirmed in multivariate analysis. In particular</w:t>
      </w:r>
      <w:r w:rsidR="005B5A77">
        <w:rPr>
          <w:lang w:eastAsia="en-US"/>
        </w:rPr>
        <w:t>,</w:t>
      </w:r>
      <w:r w:rsidRPr="005911E2">
        <w:rPr>
          <w:lang w:eastAsia="en-US"/>
        </w:rPr>
        <w:t xml:space="preserve"> Indigenous people on </w:t>
      </w:r>
      <w:r w:rsidR="005B5A77">
        <w:rPr>
          <w:lang w:eastAsia="en-US"/>
        </w:rPr>
        <w:t>c</w:t>
      </w:r>
      <w:r w:rsidR="004808B3">
        <w:rPr>
          <w:lang w:eastAsia="en-US"/>
        </w:rPr>
        <w:t xml:space="preserve">ompulsory </w:t>
      </w:r>
      <w:r w:rsidR="005B5A77">
        <w:rPr>
          <w:lang w:eastAsia="en-US"/>
        </w:rPr>
        <w:t xml:space="preserve">measures </w:t>
      </w:r>
      <w:r w:rsidRPr="005911E2">
        <w:rPr>
          <w:lang w:eastAsia="en-US"/>
        </w:rPr>
        <w:t xml:space="preserve">in non-NTER </w:t>
      </w:r>
      <w:r w:rsidR="005B5A77">
        <w:rPr>
          <w:lang w:eastAsia="en-US"/>
        </w:rPr>
        <w:t>areas</w:t>
      </w:r>
      <w:r w:rsidR="005B5A77" w:rsidRPr="005911E2">
        <w:rPr>
          <w:lang w:eastAsia="en-US"/>
        </w:rPr>
        <w:t xml:space="preserve"> </w:t>
      </w:r>
      <w:r w:rsidRPr="005911E2">
        <w:rPr>
          <w:lang w:eastAsia="en-US"/>
        </w:rPr>
        <w:t>who participated in the survey were significantly more likely to feel discriminated against, embarrassed or have a sense of unfairness, and were less likely to feel in control of life or money,</w:t>
      </w:r>
      <w:r w:rsidR="004E3A29">
        <w:rPr>
          <w:lang w:eastAsia="en-US"/>
        </w:rPr>
        <w:t xml:space="preserve"> or report</w:t>
      </w:r>
      <w:r w:rsidRPr="005911E2">
        <w:rPr>
          <w:lang w:eastAsia="en-US"/>
        </w:rPr>
        <w:t xml:space="preserve"> that things were better for their families, safer</w:t>
      </w:r>
      <w:r w:rsidR="005B5A77">
        <w:rPr>
          <w:lang w:eastAsia="en-US"/>
        </w:rPr>
        <w:t>,</w:t>
      </w:r>
      <w:r w:rsidRPr="005911E2">
        <w:rPr>
          <w:lang w:eastAsia="en-US"/>
        </w:rPr>
        <w:t xml:space="preserve"> or were not worried about money.</w:t>
      </w:r>
    </w:p>
    <w:p w:rsidR="00897C1E" w:rsidRPr="005911E2" w:rsidRDefault="00897C1E" w:rsidP="00897C1E">
      <w:pPr>
        <w:pStyle w:val="BodyText"/>
        <w:rPr>
          <w:lang w:eastAsia="en-US"/>
        </w:rPr>
      </w:pPr>
      <w:r w:rsidRPr="005911E2">
        <w:rPr>
          <w:lang w:eastAsia="en-US"/>
        </w:rPr>
        <w:t xml:space="preserve">The responses also seem to have been affected by other policies and programs, particularly in the NTER areas. </w:t>
      </w:r>
    </w:p>
    <w:p w:rsidR="00897C1E" w:rsidRPr="005911E2" w:rsidRDefault="00897C1E" w:rsidP="00616B0F">
      <w:pPr>
        <w:pStyle w:val="Heading2"/>
      </w:pPr>
      <w:bookmarkStart w:id="1061" w:name="_Toc322470834"/>
      <w:bookmarkStart w:id="1062" w:name="_Toc328601532"/>
      <w:bookmarkStart w:id="1063" w:name="_Toc329870413"/>
      <w:bookmarkStart w:id="1064" w:name="_Toc335915799"/>
      <w:r w:rsidRPr="005911E2">
        <w:t>Changes in communities and families</w:t>
      </w:r>
      <w:bookmarkEnd w:id="1061"/>
      <w:bookmarkEnd w:id="1062"/>
      <w:bookmarkEnd w:id="1063"/>
      <w:bookmarkEnd w:id="1064"/>
    </w:p>
    <w:p w:rsidR="00897C1E" w:rsidRPr="005911E2" w:rsidRDefault="00897C1E" w:rsidP="00897C1E">
      <w:pPr>
        <w:pStyle w:val="BodyText"/>
        <w:rPr>
          <w:lang w:eastAsia="en-US"/>
        </w:rPr>
      </w:pPr>
      <w:r w:rsidRPr="005911E2">
        <w:rPr>
          <w:lang w:eastAsia="en-US"/>
        </w:rPr>
        <w:t xml:space="preserve">This section considers several dimensions of the potential impact of </w:t>
      </w:r>
      <w:r w:rsidR="00F878E4">
        <w:rPr>
          <w:lang w:eastAsia="en-US"/>
        </w:rPr>
        <w:t>income management</w:t>
      </w:r>
      <w:r w:rsidRPr="005911E2">
        <w:rPr>
          <w:lang w:eastAsia="en-US"/>
        </w:rPr>
        <w:t xml:space="preserve"> on families and communities. These include changes in the incidence of family problems, changes in child wellbeing</w:t>
      </w:r>
      <w:r w:rsidR="00552C75">
        <w:rPr>
          <w:lang w:eastAsia="en-US"/>
        </w:rPr>
        <w:t>,</w:t>
      </w:r>
      <w:r w:rsidRPr="005911E2">
        <w:rPr>
          <w:lang w:eastAsia="en-US"/>
        </w:rPr>
        <w:t xml:space="preserve"> and the impact on culture.</w:t>
      </w:r>
    </w:p>
    <w:p w:rsidR="00897C1E" w:rsidRPr="005911E2" w:rsidRDefault="00897C1E" w:rsidP="00BD6DFD">
      <w:pPr>
        <w:pStyle w:val="Heading3"/>
      </w:pPr>
      <w:r w:rsidRPr="005911E2">
        <w:t>Change in incidence of family problems</w:t>
      </w:r>
    </w:p>
    <w:p w:rsidR="00897C1E" w:rsidRPr="005911E2" w:rsidRDefault="006F14AA" w:rsidP="00897C1E">
      <w:pPr>
        <w:pStyle w:val="BodyText"/>
        <w:rPr>
          <w:lang w:eastAsia="en-US"/>
        </w:rPr>
      </w:pPr>
      <w:r w:rsidRPr="005911E2">
        <w:t xml:space="preserve">Table </w:t>
      </w:r>
      <w:r w:rsidRPr="005911E2">
        <w:rPr>
          <w:noProof/>
        </w:rPr>
        <w:t>10</w:t>
      </w:r>
      <w:r w:rsidRPr="005911E2">
        <w:noBreakHyphen/>
      </w:r>
      <w:r w:rsidRPr="005911E2">
        <w:rPr>
          <w:noProof/>
        </w:rPr>
        <w:t>3</w:t>
      </w:r>
      <w:r w:rsidR="006A02CC" w:rsidRPr="005911E2">
        <w:t xml:space="preserve"> </w:t>
      </w:r>
      <w:r w:rsidR="00897C1E" w:rsidRPr="005911E2">
        <w:rPr>
          <w:lang w:eastAsia="en-US"/>
        </w:rPr>
        <w:t xml:space="preserve">reported on the incidence of family problems. A follow up question in the survey asked participants </w:t>
      </w:r>
      <w:r w:rsidR="00552C75">
        <w:rPr>
          <w:lang w:eastAsia="en-US"/>
        </w:rPr>
        <w:t>‘</w:t>
      </w:r>
      <w:r w:rsidR="00897C1E" w:rsidRPr="005911E2">
        <w:rPr>
          <w:i/>
          <w:lang w:eastAsia="en-US"/>
        </w:rPr>
        <w:t>Have you had more or less of these problems in your family than a year ago</w:t>
      </w:r>
      <w:r w:rsidR="00552C75">
        <w:rPr>
          <w:lang w:eastAsia="en-US"/>
        </w:rPr>
        <w:t>’</w:t>
      </w:r>
      <w:r w:rsidR="00897C1E" w:rsidRPr="005911E2">
        <w:rPr>
          <w:lang w:eastAsia="en-US"/>
        </w:rPr>
        <w:t xml:space="preserve">. The responses to this question, along with the original level of incidence of problems, for those on </w:t>
      </w:r>
      <w:r w:rsidR="00F878E4">
        <w:rPr>
          <w:lang w:eastAsia="en-US"/>
        </w:rPr>
        <w:t>income management</w:t>
      </w:r>
      <w:r w:rsidR="00897C1E" w:rsidRPr="005911E2">
        <w:rPr>
          <w:lang w:eastAsia="en-US"/>
        </w:rPr>
        <w:t xml:space="preserve"> and the contrast population</w:t>
      </w:r>
      <w:r w:rsidR="00552C75">
        <w:rPr>
          <w:lang w:eastAsia="en-US"/>
        </w:rPr>
        <w:t>,</w:t>
      </w:r>
      <w:r w:rsidR="00897C1E" w:rsidRPr="005911E2">
        <w:rPr>
          <w:lang w:eastAsia="en-US"/>
        </w:rPr>
        <w:t xml:space="preserve"> are shown in </w:t>
      </w:r>
      <w:r w:rsidRPr="005911E2">
        <w:t xml:space="preserve">Table </w:t>
      </w:r>
      <w:r w:rsidRPr="005911E2">
        <w:rPr>
          <w:noProof/>
        </w:rPr>
        <w:t>10</w:t>
      </w:r>
      <w:r w:rsidRPr="005911E2">
        <w:noBreakHyphen/>
      </w:r>
      <w:r w:rsidRPr="005911E2">
        <w:rPr>
          <w:noProof/>
        </w:rPr>
        <w:t>11</w:t>
      </w:r>
      <w:r w:rsidR="006A02CC" w:rsidRPr="005911E2">
        <w:rPr>
          <w:lang w:eastAsia="en-US"/>
        </w:rPr>
        <w:t>.</w:t>
      </w:r>
    </w:p>
    <w:p w:rsidR="00897C1E" w:rsidRPr="005911E2" w:rsidRDefault="00897C1E" w:rsidP="00897C1E">
      <w:pPr>
        <w:pStyle w:val="tabfighead"/>
      </w:pPr>
      <w:bookmarkStart w:id="1065" w:name="_Ref323941916"/>
      <w:bookmarkStart w:id="1066" w:name="_Toc322470927"/>
      <w:bookmarkStart w:id="1067" w:name="_Toc328601639"/>
      <w:bookmarkStart w:id="1068" w:name="_Toc329051417"/>
      <w:bookmarkStart w:id="1069" w:name="_Toc335915905"/>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10</w:t>
      </w:r>
      <w:r w:rsidR="00C7347D" w:rsidRPr="005911E2">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11</w:t>
      </w:r>
      <w:r w:rsidR="00C7347D" w:rsidRPr="005911E2">
        <w:fldChar w:fldCharType="end"/>
      </w:r>
      <w:bookmarkEnd w:id="1065"/>
      <w:r w:rsidRPr="005911E2">
        <w:rPr>
          <w:noProof/>
        </w:rPr>
        <w:tab/>
        <w:t>LSNIM,</w:t>
      </w:r>
      <w:r w:rsidR="006435C8">
        <w:rPr>
          <w:noProof/>
        </w:rPr>
        <w:t xml:space="preserve"> Northern Territory </w:t>
      </w:r>
      <w:r w:rsidR="00F878E4">
        <w:rPr>
          <w:noProof/>
        </w:rPr>
        <w:t>income management</w:t>
      </w:r>
      <w:r w:rsidRPr="005911E2">
        <w:rPr>
          <w:noProof/>
        </w:rPr>
        <w:t xml:space="preserve"> and contrast sites, change in family problems in the past year</w:t>
      </w:r>
      <w:bookmarkEnd w:id="1066"/>
      <w:bookmarkEnd w:id="1067"/>
      <w:bookmarkEnd w:id="1068"/>
      <w:bookmarkEnd w:id="1069"/>
    </w:p>
    <w:tbl>
      <w:tblPr>
        <w:tblW w:w="9039" w:type="dxa"/>
        <w:tblLayout w:type="fixed"/>
        <w:tblLook w:val="04A0" w:firstRow="1" w:lastRow="0" w:firstColumn="1" w:lastColumn="0" w:noHBand="0" w:noVBand="1"/>
      </w:tblPr>
      <w:tblGrid>
        <w:gridCol w:w="1960"/>
        <w:gridCol w:w="994"/>
        <w:gridCol w:w="926"/>
        <w:gridCol w:w="267"/>
        <w:gridCol w:w="960"/>
        <w:gridCol w:w="960"/>
        <w:gridCol w:w="278"/>
        <w:gridCol w:w="851"/>
        <w:gridCol w:w="240"/>
        <w:gridCol w:w="752"/>
        <w:gridCol w:w="851"/>
      </w:tblGrid>
      <w:tr w:rsidR="00897C1E" w:rsidRPr="00AE7648" w:rsidTr="008A1D49">
        <w:trPr>
          <w:cantSplit/>
          <w:trHeight w:val="288"/>
        </w:trPr>
        <w:tc>
          <w:tcPr>
            <w:tcW w:w="1960" w:type="dxa"/>
            <w:tcBorders>
              <w:top w:val="single" w:sz="4" w:space="0" w:color="auto"/>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4107" w:type="dxa"/>
            <w:gridSpan w:val="5"/>
            <w:tcBorders>
              <w:top w:val="single" w:sz="4" w:space="0" w:color="auto"/>
              <w:left w:val="nil"/>
              <w:bottom w:val="single" w:sz="4" w:space="0" w:color="auto"/>
              <w:right w:val="nil"/>
            </w:tcBorders>
            <w:shd w:val="clear" w:color="auto" w:fill="auto"/>
            <w:noWrap/>
            <w:vAlign w:val="bottom"/>
            <w:hideMark/>
          </w:tcPr>
          <w:p w:rsidR="00897C1E" w:rsidRPr="00AE7648" w:rsidRDefault="00897C1E" w:rsidP="00F104E9">
            <w:pPr>
              <w:keepNext/>
              <w:keepLines/>
              <w:widowControl w:val="0"/>
              <w:spacing w:after="0" w:line="240" w:lineRule="auto"/>
              <w:ind w:left="0"/>
              <w:rPr>
                <w:rFonts w:cs="Arial"/>
                <w:color w:val="000000"/>
                <w:sz w:val="16"/>
                <w:szCs w:val="16"/>
                <w:lang w:eastAsia="en-AU" w:bidi="ar-SA"/>
              </w:rPr>
            </w:pPr>
            <w:r w:rsidRPr="00AE7648">
              <w:rPr>
                <w:rFonts w:cs="Arial"/>
                <w:color w:val="000000"/>
                <w:sz w:val="16"/>
                <w:szCs w:val="16"/>
                <w:lang w:eastAsia="en-AU" w:bidi="ar-SA"/>
              </w:rPr>
              <w:t xml:space="preserve">Northern Territory </w:t>
            </w:r>
            <w:r w:rsidR="00F878E4" w:rsidRPr="00AE7648">
              <w:rPr>
                <w:rFonts w:cs="Arial"/>
                <w:color w:val="000000"/>
                <w:sz w:val="16"/>
                <w:szCs w:val="16"/>
                <w:lang w:eastAsia="en-AU" w:bidi="ar-SA"/>
              </w:rPr>
              <w:t>income management</w:t>
            </w:r>
            <w:r w:rsidRPr="00AE7648">
              <w:rPr>
                <w:rFonts w:cs="Arial"/>
                <w:color w:val="000000"/>
                <w:sz w:val="16"/>
                <w:szCs w:val="16"/>
                <w:lang w:eastAsia="en-AU" w:bidi="ar-SA"/>
              </w:rPr>
              <w:t> </w:t>
            </w:r>
          </w:p>
        </w:tc>
        <w:tc>
          <w:tcPr>
            <w:tcW w:w="278" w:type="dxa"/>
            <w:tcBorders>
              <w:top w:val="single" w:sz="4" w:space="0" w:color="auto"/>
              <w:left w:val="nil"/>
              <w:bottom w:val="single" w:sz="4" w:space="0" w:color="auto"/>
              <w:right w:val="nil"/>
            </w:tcBorders>
          </w:tcPr>
          <w:p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851" w:type="dxa"/>
            <w:tcBorders>
              <w:top w:val="single" w:sz="4" w:space="0" w:color="auto"/>
              <w:left w:val="nil"/>
              <w:bottom w:val="single" w:sz="4" w:space="0" w:color="auto"/>
              <w:right w:val="nil"/>
            </w:tcBorders>
            <w:shd w:val="clear" w:color="auto" w:fill="auto"/>
            <w:noWrap/>
            <w:vAlign w:val="bottom"/>
            <w:hideMark/>
          </w:tcPr>
          <w:p w:rsidR="00897C1E" w:rsidRPr="00AE7648" w:rsidRDefault="00897C1E" w:rsidP="00F104E9">
            <w:pPr>
              <w:keepNext/>
              <w:keepLines/>
              <w:widowControl w:val="0"/>
              <w:spacing w:after="0" w:line="240" w:lineRule="auto"/>
              <w:ind w:left="0"/>
              <w:rPr>
                <w:rFonts w:cs="Arial"/>
                <w:color w:val="000000"/>
                <w:sz w:val="16"/>
                <w:szCs w:val="16"/>
                <w:lang w:eastAsia="en-AU" w:bidi="ar-SA"/>
              </w:rPr>
            </w:pPr>
            <w:r w:rsidRPr="00AE7648">
              <w:rPr>
                <w:rFonts w:cs="Arial"/>
                <w:color w:val="000000"/>
                <w:sz w:val="16"/>
                <w:szCs w:val="16"/>
                <w:lang w:eastAsia="en-AU" w:bidi="ar-SA"/>
              </w:rPr>
              <w:t> </w:t>
            </w:r>
          </w:p>
        </w:tc>
        <w:tc>
          <w:tcPr>
            <w:tcW w:w="240" w:type="dxa"/>
            <w:tcBorders>
              <w:top w:val="single" w:sz="4" w:space="0" w:color="auto"/>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1603" w:type="dxa"/>
            <w:gridSpan w:val="2"/>
            <w:tcBorders>
              <w:top w:val="single" w:sz="4" w:space="0" w:color="auto"/>
              <w:left w:val="nil"/>
              <w:bottom w:val="single" w:sz="4" w:space="0" w:color="auto"/>
              <w:right w:val="nil"/>
            </w:tcBorders>
            <w:shd w:val="clear" w:color="auto" w:fill="auto"/>
            <w:noWrap/>
            <w:vAlign w:val="bottom"/>
            <w:hideMark/>
          </w:tcPr>
          <w:p w:rsidR="00897C1E" w:rsidRPr="00AE7648" w:rsidRDefault="00897C1E" w:rsidP="008A1D49">
            <w:pPr>
              <w:keepNext/>
              <w:keepLines/>
              <w:widowControl w:val="0"/>
              <w:spacing w:after="0" w:line="240" w:lineRule="auto"/>
              <w:ind w:left="0"/>
              <w:jc w:val="left"/>
              <w:rPr>
                <w:rFonts w:cs="Arial"/>
                <w:color w:val="000000"/>
                <w:sz w:val="16"/>
                <w:szCs w:val="16"/>
                <w:lang w:eastAsia="en-AU" w:bidi="ar-SA"/>
              </w:rPr>
            </w:pPr>
            <w:r w:rsidRPr="00AE7648">
              <w:rPr>
                <w:rFonts w:cs="Arial"/>
                <w:color w:val="000000"/>
                <w:sz w:val="16"/>
                <w:szCs w:val="16"/>
                <w:lang w:eastAsia="en-AU" w:bidi="ar-SA"/>
              </w:rPr>
              <w:t>Contrast sites</w:t>
            </w:r>
          </w:p>
        </w:tc>
      </w:tr>
      <w:tr w:rsidR="00897C1E" w:rsidRPr="00AE7648" w:rsidTr="00B460A2">
        <w:trPr>
          <w:cantSplit/>
          <w:trHeight w:val="276"/>
        </w:trPr>
        <w:tc>
          <w:tcPr>
            <w:tcW w:w="1960"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897C1E" w:rsidRPr="00AE7648" w:rsidRDefault="00897C1E" w:rsidP="00F104E9">
            <w:pPr>
              <w:keepNext/>
              <w:keepLines/>
              <w:widowControl w:val="0"/>
              <w:spacing w:after="0" w:line="240" w:lineRule="auto"/>
              <w:ind w:left="0"/>
              <w:rPr>
                <w:rFonts w:cs="Arial"/>
                <w:color w:val="000000"/>
                <w:sz w:val="16"/>
                <w:szCs w:val="16"/>
                <w:lang w:eastAsia="en-AU" w:bidi="ar-SA"/>
              </w:rPr>
            </w:pPr>
            <w:r w:rsidRPr="00AE7648">
              <w:rPr>
                <w:rFonts w:cs="Arial"/>
                <w:color w:val="000000"/>
                <w:sz w:val="16"/>
                <w:szCs w:val="16"/>
                <w:lang w:eastAsia="en-AU" w:bidi="ar-SA"/>
              </w:rPr>
              <w:t>Indigenous</w:t>
            </w:r>
          </w:p>
        </w:tc>
        <w:tc>
          <w:tcPr>
            <w:tcW w:w="267" w:type="dxa"/>
            <w:tcBorders>
              <w:top w:val="nil"/>
              <w:left w:val="nil"/>
              <w:bottom w:val="single" w:sz="4" w:space="0" w:color="auto"/>
              <w:right w:val="nil"/>
            </w:tcBorders>
            <w:shd w:val="clear" w:color="auto" w:fill="auto"/>
            <w:noWrap/>
            <w:vAlign w:val="bottom"/>
            <w:hideMark/>
          </w:tcPr>
          <w:p w:rsidR="00897C1E" w:rsidRPr="00AE7648" w:rsidRDefault="00897C1E" w:rsidP="00F104E9">
            <w:pPr>
              <w:keepNext/>
              <w:keepLines/>
              <w:widowControl w:val="0"/>
              <w:spacing w:after="0" w:line="240" w:lineRule="auto"/>
              <w:ind w:left="0"/>
              <w:rPr>
                <w:rFonts w:cs="Arial"/>
                <w:color w:val="000000"/>
                <w:sz w:val="16"/>
                <w:szCs w:val="16"/>
                <w:lang w:eastAsia="en-AU" w:bidi="ar-SA"/>
              </w:rPr>
            </w:pPr>
            <w:r w:rsidRPr="00AE7648">
              <w:rPr>
                <w:rFonts w:cs="Arial"/>
                <w:color w:val="000000"/>
                <w:sz w:val="16"/>
                <w:szCs w:val="16"/>
                <w:lang w:eastAsia="en-AU" w:bidi="ar-SA"/>
              </w:rPr>
              <w:t> </w:t>
            </w:r>
          </w:p>
        </w:tc>
        <w:tc>
          <w:tcPr>
            <w:tcW w:w="960" w:type="dxa"/>
            <w:tcBorders>
              <w:top w:val="nil"/>
              <w:left w:val="nil"/>
              <w:bottom w:val="single" w:sz="4" w:space="0" w:color="auto"/>
              <w:right w:val="nil"/>
            </w:tcBorders>
            <w:shd w:val="clear" w:color="auto" w:fill="auto"/>
            <w:noWrap/>
            <w:vAlign w:val="bottom"/>
            <w:hideMark/>
          </w:tcPr>
          <w:p w:rsidR="00897C1E" w:rsidRPr="00AE7648" w:rsidRDefault="00897C1E" w:rsidP="00F104E9">
            <w:pPr>
              <w:keepNext/>
              <w:keepLines/>
              <w:widowControl w:val="0"/>
              <w:spacing w:after="0" w:line="240" w:lineRule="auto"/>
              <w:ind w:left="0"/>
              <w:rPr>
                <w:rFonts w:cs="Arial"/>
                <w:color w:val="000000"/>
                <w:sz w:val="16"/>
                <w:szCs w:val="16"/>
                <w:lang w:eastAsia="en-AU" w:bidi="ar-SA"/>
              </w:rPr>
            </w:pPr>
            <w:r w:rsidRPr="00AE7648">
              <w:rPr>
                <w:rFonts w:cs="Arial"/>
                <w:color w:val="000000"/>
                <w:sz w:val="16"/>
                <w:szCs w:val="16"/>
                <w:lang w:eastAsia="en-AU" w:bidi="ar-SA"/>
              </w:rPr>
              <w:t> </w:t>
            </w:r>
          </w:p>
        </w:tc>
        <w:tc>
          <w:tcPr>
            <w:tcW w:w="960" w:type="dxa"/>
            <w:tcBorders>
              <w:top w:val="nil"/>
              <w:left w:val="nil"/>
              <w:bottom w:val="single" w:sz="4" w:space="0" w:color="auto"/>
              <w:right w:val="nil"/>
            </w:tcBorders>
            <w:shd w:val="clear" w:color="auto" w:fill="auto"/>
            <w:noWrap/>
            <w:vAlign w:val="bottom"/>
            <w:hideMark/>
          </w:tcPr>
          <w:p w:rsidR="00897C1E" w:rsidRPr="00AE7648" w:rsidRDefault="00897C1E" w:rsidP="00F104E9">
            <w:pPr>
              <w:keepNext/>
              <w:keepLines/>
              <w:widowControl w:val="0"/>
              <w:spacing w:after="0" w:line="240" w:lineRule="auto"/>
              <w:ind w:left="0"/>
              <w:rPr>
                <w:rFonts w:cs="Arial"/>
                <w:color w:val="000000"/>
                <w:sz w:val="16"/>
                <w:szCs w:val="16"/>
                <w:lang w:eastAsia="en-AU" w:bidi="ar-SA"/>
              </w:rPr>
            </w:pPr>
            <w:r w:rsidRPr="00AE7648">
              <w:rPr>
                <w:rFonts w:cs="Arial"/>
                <w:color w:val="000000"/>
                <w:sz w:val="16"/>
                <w:szCs w:val="16"/>
                <w:lang w:eastAsia="en-AU" w:bidi="ar-SA"/>
              </w:rPr>
              <w:t> </w:t>
            </w:r>
          </w:p>
        </w:tc>
        <w:tc>
          <w:tcPr>
            <w:tcW w:w="278" w:type="dxa"/>
            <w:tcBorders>
              <w:top w:val="nil"/>
              <w:left w:val="nil"/>
              <w:bottom w:val="nil"/>
              <w:right w:val="nil"/>
            </w:tcBorders>
          </w:tcPr>
          <w:p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851" w:type="dxa"/>
            <w:tcBorders>
              <w:top w:val="nil"/>
              <w:left w:val="nil"/>
              <w:bottom w:val="single" w:sz="4" w:space="0" w:color="auto"/>
              <w:right w:val="nil"/>
            </w:tcBorders>
            <w:shd w:val="clear" w:color="auto" w:fill="auto"/>
            <w:vAlign w:val="bottom"/>
            <w:hideMark/>
          </w:tcPr>
          <w:p w:rsidR="00897C1E" w:rsidRPr="00AE7648" w:rsidRDefault="00897C1E" w:rsidP="00F104E9">
            <w:pPr>
              <w:keepNext/>
              <w:keepLines/>
              <w:widowControl w:val="0"/>
              <w:spacing w:after="0" w:line="240" w:lineRule="auto"/>
              <w:ind w:left="0"/>
              <w:rPr>
                <w:rFonts w:cs="Arial"/>
                <w:color w:val="000000"/>
                <w:sz w:val="16"/>
                <w:szCs w:val="16"/>
                <w:lang w:eastAsia="en-AU" w:bidi="ar-SA"/>
              </w:rPr>
            </w:pPr>
            <w:r w:rsidRPr="00AE7648">
              <w:rPr>
                <w:rFonts w:cs="Arial"/>
                <w:color w:val="000000"/>
                <w:sz w:val="16"/>
                <w:szCs w:val="16"/>
                <w:lang w:eastAsia="en-AU" w:bidi="ar-SA"/>
              </w:rPr>
              <w:t xml:space="preserve">Non-Indig-enous </w:t>
            </w:r>
          </w:p>
        </w:tc>
        <w:tc>
          <w:tcPr>
            <w:tcW w:w="240"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752" w:type="dxa"/>
            <w:vMerge w:val="restart"/>
            <w:tcBorders>
              <w:top w:val="nil"/>
              <w:left w:val="nil"/>
              <w:bottom w:val="nil"/>
              <w:right w:val="nil"/>
            </w:tcBorders>
            <w:shd w:val="clear" w:color="auto" w:fill="auto"/>
            <w:hideMark/>
          </w:tcPr>
          <w:p w:rsidR="00897C1E" w:rsidRPr="00AE7648" w:rsidRDefault="00897C1E" w:rsidP="00224BEA">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Indig-enous</w:t>
            </w:r>
          </w:p>
        </w:tc>
        <w:tc>
          <w:tcPr>
            <w:tcW w:w="851" w:type="dxa"/>
            <w:vMerge w:val="restart"/>
            <w:tcBorders>
              <w:top w:val="nil"/>
              <w:left w:val="nil"/>
              <w:bottom w:val="nil"/>
              <w:right w:val="nil"/>
            </w:tcBorders>
            <w:shd w:val="clear" w:color="auto" w:fill="auto"/>
            <w:hideMark/>
          </w:tcPr>
          <w:p w:rsidR="00897C1E" w:rsidRPr="00AE7648" w:rsidRDefault="00897C1E" w:rsidP="00224BEA">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Non-Indig-enous</w:t>
            </w:r>
          </w:p>
        </w:tc>
      </w:tr>
      <w:tr w:rsidR="008A1D49" w:rsidRPr="00AE7648" w:rsidTr="008A1D49">
        <w:trPr>
          <w:cantSplit/>
          <w:trHeight w:val="288"/>
        </w:trPr>
        <w:tc>
          <w:tcPr>
            <w:tcW w:w="1960" w:type="dxa"/>
            <w:tcBorders>
              <w:top w:val="nil"/>
              <w:left w:val="nil"/>
              <w:bottom w:val="nil"/>
              <w:right w:val="nil"/>
            </w:tcBorders>
            <w:shd w:val="clear" w:color="auto" w:fill="auto"/>
            <w:noWrap/>
            <w:vAlign w:val="bottom"/>
            <w:hideMark/>
          </w:tcPr>
          <w:p w:rsidR="008A1D49" w:rsidRPr="00AE7648" w:rsidRDefault="008A1D49" w:rsidP="00F104E9">
            <w:pPr>
              <w:keepNext/>
              <w:keepLines/>
              <w:widowControl w:val="0"/>
              <w:spacing w:after="0" w:line="240" w:lineRule="auto"/>
              <w:ind w:left="0"/>
              <w:rPr>
                <w:rFonts w:cs="Arial"/>
                <w:color w:val="000000"/>
                <w:sz w:val="16"/>
                <w:szCs w:val="16"/>
                <w:lang w:eastAsia="en-AU" w:bidi="ar-SA"/>
              </w:rPr>
            </w:pPr>
          </w:p>
        </w:tc>
        <w:tc>
          <w:tcPr>
            <w:tcW w:w="1920" w:type="dxa"/>
            <w:gridSpan w:val="2"/>
            <w:tcBorders>
              <w:top w:val="nil"/>
              <w:left w:val="nil"/>
              <w:bottom w:val="single" w:sz="4" w:space="0" w:color="auto"/>
              <w:right w:val="nil"/>
            </w:tcBorders>
            <w:shd w:val="clear" w:color="auto" w:fill="auto"/>
            <w:noWrap/>
            <w:vAlign w:val="bottom"/>
            <w:hideMark/>
          </w:tcPr>
          <w:p w:rsidR="008A1D49" w:rsidRPr="00AE7648" w:rsidRDefault="008A1D49" w:rsidP="00224BEA">
            <w:pPr>
              <w:keepNext/>
              <w:keepLines/>
              <w:widowControl w:val="0"/>
              <w:spacing w:after="0" w:line="240" w:lineRule="auto"/>
              <w:ind w:left="0"/>
              <w:rPr>
                <w:rFonts w:cs="Arial"/>
                <w:color w:val="000000"/>
                <w:sz w:val="16"/>
                <w:szCs w:val="16"/>
                <w:lang w:eastAsia="en-AU" w:bidi="ar-SA"/>
              </w:rPr>
            </w:pPr>
            <w:r>
              <w:rPr>
                <w:rFonts w:cs="Arial"/>
                <w:color w:val="000000"/>
                <w:sz w:val="16"/>
                <w:szCs w:val="16"/>
                <w:lang w:eastAsia="en-AU" w:bidi="ar-SA"/>
              </w:rPr>
              <w:t>Compul</w:t>
            </w:r>
            <w:r w:rsidRPr="00AE7648">
              <w:rPr>
                <w:rFonts w:cs="Arial"/>
                <w:color w:val="000000"/>
                <w:sz w:val="16"/>
                <w:szCs w:val="16"/>
                <w:lang w:eastAsia="en-AU" w:bidi="ar-SA"/>
              </w:rPr>
              <w:t xml:space="preserve">sory </w:t>
            </w:r>
          </w:p>
          <w:p w:rsidR="008A1D49" w:rsidRPr="00AE7648" w:rsidRDefault="008A1D49" w:rsidP="00F104E9">
            <w:pPr>
              <w:keepNext/>
              <w:keepLines/>
              <w:widowControl w:val="0"/>
              <w:spacing w:after="0" w:line="240" w:lineRule="auto"/>
              <w:ind w:left="0"/>
              <w:rPr>
                <w:rFonts w:cs="Arial"/>
                <w:color w:val="000000"/>
                <w:sz w:val="16"/>
                <w:szCs w:val="16"/>
                <w:lang w:eastAsia="en-AU" w:bidi="ar-SA"/>
              </w:rPr>
            </w:pPr>
            <w:r w:rsidRPr="00AE7648">
              <w:rPr>
                <w:rFonts w:cs="Arial"/>
                <w:color w:val="000000"/>
                <w:sz w:val="16"/>
                <w:szCs w:val="16"/>
                <w:lang w:eastAsia="en-AU" w:bidi="ar-SA"/>
              </w:rPr>
              <w:t> </w:t>
            </w:r>
          </w:p>
        </w:tc>
        <w:tc>
          <w:tcPr>
            <w:tcW w:w="267" w:type="dxa"/>
            <w:tcBorders>
              <w:top w:val="nil"/>
              <w:left w:val="nil"/>
              <w:bottom w:val="nil"/>
              <w:right w:val="nil"/>
            </w:tcBorders>
            <w:shd w:val="clear" w:color="auto" w:fill="auto"/>
            <w:noWrap/>
            <w:vAlign w:val="bottom"/>
            <w:hideMark/>
          </w:tcPr>
          <w:p w:rsidR="008A1D49" w:rsidRPr="00AE7648" w:rsidRDefault="008A1D49" w:rsidP="00F104E9">
            <w:pPr>
              <w:keepNext/>
              <w:keepLines/>
              <w:widowControl w:val="0"/>
              <w:spacing w:after="0" w:line="240" w:lineRule="auto"/>
              <w:ind w:left="0"/>
              <w:rPr>
                <w:rFonts w:cs="Arial"/>
                <w:color w:val="000000"/>
                <w:sz w:val="16"/>
                <w:szCs w:val="16"/>
                <w:lang w:eastAsia="en-AU" w:bidi="ar-SA"/>
              </w:rPr>
            </w:pP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8A1D49" w:rsidRPr="00AE7648" w:rsidRDefault="008A1D49" w:rsidP="00224BEA">
            <w:pPr>
              <w:keepNext/>
              <w:keepLines/>
              <w:widowControl w:val="0"/>
              <w:spacing w:after="0" w:line="240" w:lineRule="auto"/>
              <w:ind w:left="0"/>
              <w:rPr>
                <w:rFonts w:cs="Arial"/>
                <w:color w:val="000000"/>
                <w:sz w:val="16"/>
                <w:szCs w:val="16"/>
                <w:lang w:eastAsia="en-AU" w:bidi="ar-SA"/>
              </w:rPr>
            </w:pPr>
            <w:r w:rsidRPr="00AE7648">
              <w:rPr>
                <w:rFonts w:cs="Arial"/>
                <w:color w:val="000000"/>
                <w:sz w:val="16"/>
                <w:szCs w:val="16"/>
                <w:lang w:eastAsia="en-AU" w:bidi="ar-SA"/>
              </w:rPr>
              <w:t xml:space="preserve">Voluntary </w:t>
            </w:r>
          </w:p>
        </w:tc>
        <w:tc>
          <w:tcPr>
            <w:tcW w:w="278" w:type="dxa"/>
            <w:tcBorders>
              <w:top w:val="nil"/>
              <w:left w:val="nil"/>
              <w:bottom w:val="nil"/>
              <w:right w:val="nil"/>
            </w:tcBorders>
          </w:tcPr>
          <w:p w:rsidR="008A1D49" w:rsidRPr="00AE7648" w:rsidRDefault="008A1D49" w:rsidP="00F104E9">
            <w:pPr>
              <w:keepNext/>
              <w:keepLines/>
              <w:widowControl w:val="0"/>
              <w:spacing w:after="0" w:line="240" w:lineRule="auto"/>
              <w:ind w:left="0"/>
              <w:rPr>
                <w:rFonts w:cs="Arial"/>
                <w:color w:val="000000"/>
                <w:sz w:val="16"/>
                <w:szCs w:val="16"/>
                <w:lang w:eastAsia="en-AU" w:bidi="ar-SA"/>
              </w:rPr>
            </w:pPr>
          </w:p>
        </w:tc>
        <w:tc>
          <w:tcPr>
            <w:tcW w:w="851" w:type="dxa"/>
            <w:vMerge w:val="restart"/>
            <w:tcBorders>
              <w:top w:val="single" w:sz="4" w:space="0" w:color="auto"/>
              <w:left w:val="nil"/>
              <w:right w:val="nil"/>
            </w:tcBorders>
            <w:shd w:val="clear" w:color="auto" w:fill="auto"/>
            <w:hideMark/>
          </w:tcPr>
          <w:p w:rsidR="008A1D49" w:rsidRPr="00AE7648" w:rsidRDefault="008A1D49" w:rsidP="008A1D4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 xml:space="preserve">Comp-ulsory </w:t>
            </w:r>
          </w:p>
        </w:tc>
        <w:tc>
          <w:tcPr>
            <w:tcW w:w="240" w:type="dxa"/>
            <w:tcBorders>
              <w:top w:val="nil"/>
              <w:left w:val="nil"/>
              <w:bottom w:val="nil"/>
              <w:right w:val="nil"/>
            </w:tcBorders>
            <w:shd w:val="clear" w:color="auto" w:fill="auto"/>
            <w:noWrap/>
            <w:vAlign w:val="bottom"/>
            <w:hideMark/>
          </w:tcPr>
          <w:p w:rsidR="008A1D49" w:rsidRPr="00AE7648" w:rsidRDefault="008A1D49" w:rsidP="00F104E9">
            <w:pPr>
              <w:keepNext/>
              <w:keepLines/>
              <w:widowControl w:val="0"/>
              <w:spacing w:after="0" w:line="240" w:lineRule="auto"/>
              <w:ind w:left="0"/>
              <w:rPr>
                <w:rFonts w:cs="Arial"/>
                <w:color w:val="000000"/>
                <w:sz w:val="16"/>
                <w:szCs w:val="16"/>
                <w:lang w:eastAsia="en-AU" w:bidi="ar-SA"/>
              </w:rPr>
            </w:pPr>
          </w:p>
        </w:tc>
        <w:tc>
          <w:tcPr>
            <w:tcW w:w="752" w:type="dxa"/>
            <w:vMerge/>
            <w:tcBorders>
              <w:top w:val="nil"/>
              <w:left w:val="nil"/>
              <w:bottom w:val="nil"/>
              <w:right w:val="nil"/>
            </w:tcBorders>
            <w:vAlign w:val="center"/>
            <w:hideMark/>
          </w:tcPr>
          <w:p w:rsidR="008A1D49" w:rsidRPr="00AE7648" w:rsidRDefault="008A1D49" w:rsidP="00F104E9">
            <w:pPr>
              <w:keepNext/>
              <w:keepLines/>
              <w:widowControl w:val="0"/>
              <w:spacing w:after="0" w:line="240" w:lineRule="auto"/>
              <w:ind w:left="0"/>
              <w:rPr>
                <w:rFonts w:cs="Arial"/>
                <w:color w:val="000000"/>
                <w:sz w:val="16"/>
                <w:szCs w:val="16"/>
                <w:lang w:eastAsia="en-AU" w:bidi="ar-SA"/>
              </w:rPr>
            </w:pPr>
          </w:p>
        </w:tc>
        <w:tc>
          <w:tcPr>
            <w:tcW w:w="851" w:type="dxa"/>
            <w:vMerge/>
            <w:tcBorders>
              <w:top w:val="nil"/>
              <w:left w:val="nil"/>
              <w:bottom w:val="nil"/>
              <w:right w:val="nil"/>
            </w:tcBorders>
            <w:vAlign w:val="center"/>
            <w:hideMark/>
          </w:tcPr>
          <w:p w:rsidR="008A1D49" w:rsidRPr="00AE7648" w:rsidRDefault="008A1D49" w:rsidP="00F104E9">
            <w:pPr>
              <w:keepNext/>
              <w:keepLines/>
              <w:widowControl w:val="0"/>
              <w:spacing w:after="0" w:line="240" w:lineRule="auto"/>
              <w:ind w:left="0"/>
              <w:rPr>
                <w:rFonts w:cs="Arial"/>
                <w:color w:val="000000"/>
                <w:sz w:val="16"/>
                <w:szCs w:val="16"/>
                <w:lang w:eastAsia="en-AU" w:bidi="ar-SA"/>
              </w:rPr>
            </w:pPr>
          </w:p>
        </w:tc>
      </w:tr>
      <w:tr w:rsidR="00224BEA" w:rsidRPr="00AE7648" w:rsidTr="008A1D49">
        <w:trPr>
          <w:cantSplit/>
          <w:trHeight w:val="288"/>
        </w:trPr>
        <w:tc>
          <w:tcPr>
            <w:tcW w:w="1960" w:type="dxa"/>
            <w:tcBorders>
              <w:top w:val="nil"/>
              <w:left w:val="nil"/>
              <w:bottom w:val="single" w:sz="4" w:space="0" w:color="auto"/>
              <w:right w:val="nil"/>
            </w:tcBorders>
            <w:shd w:val="clear" w:color="auto" w:fill="auto"/>
            <w:noWrap/>
            <w:vAlign w:val="bottom"/>
            <w:hideMark/>
          </w:tcPr>
          <w:p w:rsidR="00224BEA" w:rsidRPr="00AE7648" w:rsidRDefault="00224BEA" w:rsidP="00F104E9">
            <w:pPr>
              <w:keepNext/>
              <w:keepLines/>
              <w:widowControl w:val="0"/>
              <w:spacing w:after="0" w:line="240" w:lineRule="auto"/>
              <w:ind w:left="0"/>
              <w:rPr>
                <w:rFonts w:cs="Arial"/>
                <w:color w:val="000000"/>
                <w:sz w:val="16"/>
                <w:szCs w:val="16"/>
                <w:lang w:eastAsia="en-AU" w:bidi="ar-SA"/>
              </w:rPr>
            </w:pPr>
          </w:p>
        </w:tc>
        <w:tc>
          <w:tcPr>
            <w:tcW w:w="994" w:type="dxa"/>
            <w:tcBorders>
              <w:top w:val="nil"/>
              <w:left w:val="nil"/>
              <w:bottom w:val="single" w:sz="4" w:space="0" w:color="auto"/>
              <w:right w:val="nil"/>
            </w:tcBorders>
            <w:shd w:val="clear" w:color="auto" w:fill="auto"/>
            <w:noWrap/>
            <w:hideMark/>
          </w:tcPr>
          <w:p w:rsidR="00224BEA" w:rsidRPr="00AE7648" w:rsidRDefault="00224BEA" w:rsidP="008A1D4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NTER area</w:t>
            </w:r>
          </w:p>
        </w:tc>
        <w:tc>
          <w:tcPr>
            <w:tcW w:w="926" w:type="dxa"/>
            <w:tcBorders>
              <w:top w:val="nil"/>
              <w:left w:val="nil"/>
              <w:bottom w:val="single" w:sz="4" w:space="0" w:color="auto"/>
              <w:right w:val="nil"/>
            </w:tcBorders>
            <w:shd w:val="clear" w:color="auto" w:fill="auto"/>
            <w:noWrap/>
            <w:hideMark/>
          </w:tcPr>
          <w:p w:rsidR="00224BEA" w:rsidRPr="00AE7648" w:rsidRDefault="00224BEA" w:rsidP="008A1D4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Not NTER</w:t>
            </w:r>
          </w:p>
        </w:tc>
        <w:tc>
          <w:tcPr>
            <w:tcW w:w="267" w:type="dxa"/>
            <w:tcBorders>
              <w:top w:val="nil"/>
              <w:left w:val="nil"/>
              <w:bottom w:val="single" w:sz="4" w:space="0" w:color="auto"/>
              <w:right w:val="nil"/>
            </w:tcBorders>
            <w:shd w:val="clear" w:color="auto" w:fill="auto"/>
            <w:noWrap/>
            <w:hideMark/>
          </w:tcPr>
          <w:p w:rsidR="00224BEA" w:rsidRPr="00AE7648" w:rsidRDefault="00224BEA" w:rsidP="008A1D49">
            <w:pPr>
              <w:keepNext/>
              <w:keepLines/>
              <w:widowControl w:val="0"/>
              <w:spacing w:after="0" w:line="240" w:lineRule="auto"/>
              <w:ind w:left="0"/>
              <w:jc w:val="right"/>
              <w:rPr>
                <w:rFonts w:cs="Arial"/>
                <w:color w:val="000000"/>
                <w:sz w:val="16"/>
                <w:szCs w:val="16"/>
                <w:lang w:eastAsia="en-AU" w:bidi="ar-SA"/>
              </w:rPr>
            </w:pPr>
          </w:p>
        </w:tc>
        <w:tc>
          <w:tcPr>
            <w:tcW w:w="960" w:type="dxa"/>
            <w:tcBorders>
              <w:top w:val="nil"/>
              <w:left w:val="nil"/>
              <w:bottom w:val="single" w:sz="4" w:space="0" w:color="auto"/>
              <w:right w:val="nil"/>
            </w:tcBorders>
            <w:shd w:val="clear" w:color="auto" w:fill="auto"/>
            <w:noWrap/>
            <w:hideMark/>
          </w:tcPr>
          <w:p w:rsidR="00224BEA" w:rsidRPr="00AE7648" w:rsidRDefault="00224BEA" w:rsidP="008A1D4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NTER area</w:t>
            </w:r>
          </w:p>
        </w:tc>
        <w:tc>
          <w:tcPr>
            <w:tcW w:w="960" w:type="dxa"/>
            <w:tcBorders>
              <w:top w:val="nil"/>
              <w:left w:val="nil"/>
              <w:bottom w:val="single" w:sz="4" w:space="0" w:color="auto"/>
              <w:right w:val="nil"/>
            </w:tcBorders>
            <w:shd w:val="clear" w:color="auto" w:fill="auto"/>
            <w:noWrap/>
            <w:hideMark/>
          </w:tcPr>
          <w:p w:rsidR="00224BEA" w:rsidRPr="00AE7648" w:rsidRDefault="00224BEA" w:rsidP="008A1D4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Not</w:t>
            </w:r>
            <w:r w:rsidR="008A1D49">
              <w:rPr>
                <w:rFonts w:cs="Arial"/>
                <w:color w:val="000000"/>
                <w:sz w:val="16"/>
                <w:szCs w:val="16"/>
                <w:lang w:eastAsia="en-AU" w:bidi="ar-SA"/>
              </w:rPr>
              <w:br/>
            </w:r>
            <w:r w:rsidRPr="00AE7648">
              <w:rPr>
                <w:rFonts w:cs="Arial"/>
                <w:color w:val="000000"/>
                <w:sz w:val="16"/>
                <w:szCs w:val="16"/>
                <w:lang w:eastAsia="en-AU" w:bidi="ar-SA"/>
              </w:rPr>
              <w:t xml:space="preserve"> NTER</w:t>
            </w:r>
          </w:p>
        </w:tc>
        <w:tc>
          <w:tcPr>
            <w:tcW w:w="278" w:type="dxa"/>
            <w:tcBorders>
              <w:top w:val="nil"/>
              <w:left w:val="nil"/>
              <w:bottom w:val="single" w:sz="4" w:space="0" w:color="auto"/>
              <w:right w:val="nil"/>
            </w:tcBorders>
          </w:tcPr>
          <w:p w:rsidR="00224BEA" w:rsidRPr="00AE7648" w:rsidRDefault="00224BEA" w:rsidP="00F104E9">
            <w:pPr>
              <w:keepNext/>
              <w:keepLines/>
              <w:widowControl w:val="0"/>
              <w:spacing w:after="0" w:line="240" w:lineRule="auto"/>
              <w:ind w:left="0"/>
              <w:rPr>
                <w:rFonts w:cs="Arial"/>
                <w:color w:val="000000"/>
                <w:sz w:val="16"/>
                <w:szCs w:val="16"/>
                <w:lang w:eastAsia="en-AU" w:bidi="ar-SA"/>
              </w:rPr>
            </w:pPr>
          </w:p>
        </w:tc>
        <w:tc>
          <w:tcPr>
            <w:tcW w:w="851" w:type="dxa"/>
            <w:vMerge/>
            <w:tcBorders>
              <w:left w:val="nil"/>
              <w:bottom w:val="single" w:sz="4" w:space="0" w:color="auto"/>
              <w:right w:val="nil"/>
            </w:tcBorders>
            <w:shd w:val="clear" w:color="auto" w:fill="auto"/>
            <w:vAlign w:val="center"/>
            <w:hideMark/>
          </w:tcPr>
          <w:p w:rsidR="00224BEA" w:rsidRPr="00AE7648" w:rsidRDefault="00224BEA" w:rsidP="00F104E9">
            <w:pPr>
              <w:keepNext/>
              <w:keepLines/>
              <w:widowControl w:val="0"/>
              <w:spacing w:after="0" w:line="240" w:lineRule="auto"/>
              <w:ind w:left="0"/>
              <w:rPr>
                <w:rFonts w:cs="Arial"/>
                <w:color w:val="000000"/>
                <w:sz w:val="16"/>
                <w:szCs w:val="16"/>
                <w:lang w:eastAsia="en-AU" w:bidi="ar-SA"/>
              </w:rPr>
            </w:pPr>
          </w:p>
        </w:tc>
        <w:tc>
          <w:tcPr>
            <w:tcW w:w="240" w:type="dxa"/>
            <w:tcBorders>
              <w:top w:val="nil"/>
              <w:left w:val="nil"/>
              <w:bottom w:val="single" w:sz="4" w:space="0" w:color="auto"/>
              <w:right w:val="nil"/>
            </w:tcBorders>
            <w:shd w:val="clear" w:color="auto" w:fill="auto"/>
            <w:noWrap/>
            <w:vAlign w:val="bottom"/>
            <w:hideMark/>
          </w:tcPr>
          <w:p w:rsidR="00224BEA" w:rsidRPr="00AE7648" w:rsidRDefault="00224BEA" w:rsidP="00F104E9">
            <w:pPr>
              <w:keepNext/>
              <w:keepLines/>
              <w:widowControl w:val="0"/>
              <w:spacing w:after="0" w:line="240" w:lineRule="auto"/>
              <w:ind w:left="0"/>
              <w:rPr>
                <w:rFonts w:cs="Arial"/>
                <w:color w:val="000000"/>
                <w:sz w:val="16"/>
                <w:szCs w:val="16"/>
                <w:lang w:eastAsia="en-AU" w:bidi="ar-SA"/>
              </w:rPr>
            </w:pPr>
          </w:p>
        </w:tc>
        <w:tc>
          <w:tcPr>
            <w:tcW w:w="752" w:type="dxa"/>
            <w:vMerge/>
            <w:tcBorders>
              <w:top w:val="nil"/>
              <w:left w:val="nil"/>
              <w:bottom w:val="single" w:sz="4" w:space="0" w:color="auto"/>
              <w:right w:val="nil"/>
            </w:tcBorders>
            <w:vAlign w:val="center"/>
            <w:hideMark/>
          </w:tcPr>
          <w:p w:rsidR="00224BEA" w:rsidRPr="00AE7648" w:rsidRDefault="00224BEA" w:rsidP="00F104E9">
            <w:pPr>
              <w:keepNext/>
              <w:keepLines/>
              <w:widowControl w:val="0"/>
              <w:spacing w:after="0" w:line="240" w:lineRule="auto"/>
              <w:ind w:left="0"/>
              <w:rPr>
                <w:rFonts w:cs="Arial"/>
                <w:color w:val="000000"/>
                <w:sz w:val="16"/>
                <w:szCs w:val="16"/>
                <w:lang w:eastAsia="en-AU" w:bidi="ar-SA"/>
              </w:rPr>
            </w:pPr>
          </w:p>
        </w:tc>
        <w:tc>
          <w:tcPr>
            <w:tcW w:w="851" w:type="dxa"/>
            <w:vMerge/>
            <w:tcBorders>
              <w:top w:val="nil"/>
              <w:left w:val="nil"/>
              <w:bottom w:val="single" w:sz="4" w:space="0" w:color="auto"/>
              <w:right w:val="nil"/>
            </w:tcBorders>
            <w:vAlign w:val="center"/>
            <w:hideMark/>
          </w:tcPr>
          <w:p w:rsidR="00224BEA" w:rsidRPr="00AE7648" w:rsidRDefault="00224BEA" w:rsidP="00F104E9">
            <w:pPr>
              <w:keepNext/>
              <w:keepLines/>
              <w:widowControl w:val="0"/>
              <w:spacing w:after="0" w:line="240" w:lineRule="auto"/>
              <w:ind w:left="0"/>
              <w:rPr>
                <w:rFonts w:cs="Arial"/>
                <w:color w:val="000000"/>
                <w:sz w:val="16"/>
                <w:szCs w:val="16"/>
                <w:lang w:eastAsia="en-AU" w:bidi="ar-SA"/>
              </w:rPr>
            </w:pPr>
          </w:p>
        </w:tc>
      </w:tr>
      <w:tr w:rsidR="00897C1E" w:rsidRPr="00AE7648" w:rsidTr="00B460A2">
        <w:trPr>
          <w:cantSplit/>
          <w:trHeight w:val="288"/>
        </w:trPr>
        <w:tc>
          <w:tcPr>
            <w:tcW w:w="9039" w:type="dxa"/>
            <w:gridSpan w:val="11"/>
            <w:tcBorders>
              <w:top w:val="single" w:sz="4" w:space="0" w:color="auto"/>
              <w:left w:val="nil"/>
              <w:bottom w:val="nil"/>
              <w:right w:val="nil"/>
            </w:tcBorders>
          </w:tcPr>
          <w:p w:rsidR="00897C1E" w:rsidRPr="00AE7648" w:rsidRDefault="00897C1E" w:rsidP="00F104E9">
            <w:pPr>
              <w:keepNext/>
              <w:keepLines/>
              <w:widowControl w:val="0"/>
              <w:spacing w:after="0" w:line="240" w:lineRule="auto"/>
              <w:ind w:left="0"/>
              <w:rPr>
                <w:rFonts w:cs="Arial"/>
                <w:color w:val="000000"/>
                <w:sz w:val="16"/>
                <w:szCs w:val="16"/>
                <w:lang w:eastAsia="en-AU" w:bidi="ar-SA"/>
              </w:rPr>
            </w:pPr>
            <w:r w:rsidRPr="00AE7648">
              <w:rPr>
                <w:rFonts w:cs="Arial"/>
                <w:color w:val="000000"/>
                <w:sz w:val="16"/>
                <w:szCs w:val="16"/>
                <w:lang w:eastAsia="en-AU" w:bidi="ar-SA"/>
              </w:rPr>
              <w:t>Proportion reporting 1 or more of alcohol, drugs or gambling as a problem in their family (%)</w:t>
            </w:r>
          </w:p>
        </w:tc>
      </w:tr>
      <w:tr w:rsidR="00897C1E" w:rsidRPr="00AE7648" w:rsidTr="00B460A2">
        <w:trPr>
          <w:cantSplit/>
          <w:trHeight w:val="288"/>
        </w:trPr>
        <w:tc>
          <w:tcPr>
            <w:tcW w:w="1960"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rPr>
                <w:rFonts w:cs="Arial"/>
                <w:color w:val="000000"/>
                <w:sz w:val="16"/>
                <w:szCs w:val="16"/>
                <w:lang w:eastAsia="en-AU" w:bidi="ar-SA"/>
              </w:rPr>
            </w:pPr>
            <w:r w:rsidRPr="00AE7648">
              <w:rPr>
                <w:rFonts w:cs="Arial"/>
                <w:color w:val="000000"/>
                <w:sz w:val="16"/>
                <w:szCs w:val="16"/>
                <w:lang w:eastAsia="en-AU" w:bidi="ar-SA"/>
              </w:rPr>
              <w:t>No problems</w:t>
            </w:r>
          </w:p>
        </w:tc>
        <w:tc>
          <w:tcPr>
            <w:tcW w:w="994"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42.6</w:t>
            </w:r>
          </w:p>
        </w:tc>
        <w:tc>
          <w:tcPr>
            <w:tcW w:w="926"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75.0</w:t>
            </w:r>
          </w:p>
        </w:tc>
        <w:tc>
          <w:tcPr>
            <w:tcW w:w="267"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960"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46.9</w:t>
            </w:r>
          </w:p>
        </w:tc>
        <w:tc>
          <w:tcPr>
            <w:tcW w:w="960"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48.5</w:t>
            </w:r>
          </w:p>
        </w:tc>
        <w:tc>
          <w:tcPr>
            <w:tcW w:w="278" w:type="dxa"/>
            <w:tcBorders>
              <w:top w:val="nil"/>
              <w:left w:val="nil"/>
              <w:bottom w:val="nil"/>
              <w:right w:val="nil"/>
            </w:tcBorders>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94.0</w:t>
            </w:r>
          </w:p>
        </w:tc>
        <w:tc>
          <w:tcPr>
            <w:tcW w:w="240"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752"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45.7</w:t>
            </w:r>
          </w:p>
        </w:tc>
        <w:tc>
          <w:tcPr>
            <w:tcW w:w="851"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76.4</w:t>
            </w:r>
          </w:p>
        </w:tc>
      </w:tr>
      <w:tr w:rsidR="00897C1E" w:rsidRPr="00AE7648" w:rsidTr="00B460A2">
        <w:trPr>
          <w:cantSplit/>
          <w:trHeight w:val="288"/>
        </w:trPr>
        <w:tc>
          <w:tcPr>
            <w:tcW w:w="1960" w:type="dxa"/>
            <w:tcBorders>
              <w:top w:val="nil"/>
              <w:left w:val="nil"/>
              <w:right w:val="nil"/>
            </w:tcBorders>
            <w:shd w:val="clear" w:color="auto" w:fill="auto"/>
            <w:noWrap/>
            <w:vAlign w:val="bottom"/>
            <w:hideMark/>
          </w:tcPr>
          <w:p w:rsidR="00897C1E" w:rsidRPr="00AE7648" w:rsidRDefault="00897C1E" w:rsidP="00552C75">
            <w:pPr>
              <w:keepNext/>
              <w:keepLines/>
              <w:widowControl w:val="0"/>
              <w:spacing w:after="0" w:line="240" w:lineRule="auto"/>
              <w:ind w:left="0"/>
              <w:rPr>
                <w:rFonts w:cs="Arial"/>
                <w:color w:val="000000"/>
                <w:sz w:val="16"/>
                <w:szCs w:val="16"/>
                <w:lang w:eastAsia="en-AU" w:bidi="ar-SA"/>
              </w:rPr>
            </w:pPr>
            <w:r w:rsidRPr="00AE7648">
              <w:rPr>
                <w:rFonts w:cs="Arial"/>
                <w:color w:val="000000"/>
                <w:sz w:val="16"/>
                <w:szCs w:val="16"/>
                <w:lang w:eastAsia="en-AU" w:bidi="ar-SA"/>
              </w:rPr>
              <w:t xml:space="preserve">1 or more </w:t>
            </w:r>
            <w:r w:rsidR="00552C75" w:rsidRPr="00AE7648">
              <w:rPr>
                <w:rFonts w:cs="Arial"/>
                <w:color w:val="000000"/>
                <w:sz w:val="16"/>
                <w:szCs w:val="16"/>
                <w:lang w:eastAsia="en-AU" w:bidi="ar-SA"/>
              </w:rPr>
              <w:t>‘</w:t>
            </w:r>
            <w:r w:rsidR="0031584C" w:rsidRPr="00AE7648">
              <w:rPr>
                <w:rFonts w:cs="Arial"/>
                <w:color w:val="000000"/>
                <w:sz w:val="16"/>
                <w:szCs w:val="16"/>
                <w:lang w:eastAsia="en-AU" w:bidi="ar-SA"/>
              </w:rPr>
              <w:t>a bit</w:t>
            </w:r>
            <w:r w:rsidR="00552C75" w:rsidRPr="00AE7648">
              <w:rPr>
                <w:rFonts w:cs="Arial"/>
                <w:color w:val="000000"/>
                <w:sz w:val="16"/>
                <w:szCs w:val="16"/>
                <w:lang w:eastAsia="en-AU" w:bidi="ar-SA"/>
              </w:rPr>
              <w:t>’</w:t>
            </w:r>
          </w:p>
        </w:tc>
        <w:tc>
          <w:tcPr>
            <w:tcW w:w="994" w:type="dxa"/>
            <w:tcBorders>
              <w:top w:val="nil"/>
              <w:left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35.7</w:t>
            </w:r>
          </w:p>
        </w:tc>
        <w:tc>
          <w:tcPr>
            <w:tcW w:w="926" w:type="dxa"/>
            <w:tcBorders>
              <w:top w:val="nil"/>
              <w:left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21.4</w:t>
            </w:r>
          </w:p>
        </w:tc>
        <w:tc>
          <w:tcPr>
            <w:tcW w:w="267" w:type="dxa"/>
            <w:tcBorders>
              <w:top w:val="nil"/>
              <w:left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960" w:type="dxa"/>
            <w:tcBorders>
              <w:top w:val="nil"/>
              <w:left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37.5</w:t>
            </w:r>
          </w:p>
        </w:tc>
        <w:tc>
          <w:tcPr>
            <w:tcW w:w="960" w:type="dxa"/>
            <w:tcBorders>
              <w:top w:val="nil"/>
              <w:left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21.2</w:t>
            </w:r>
          </w:p>
        </w:tc>
        <w:tc>
          <w:tcPr>
            <w:tcW w:w="278" w:type="dxa"/>
            <w:tcBorders>
              <w:top w:val="nil"/>
              <w:left w:val="nil"/>
              <w:right w:val="nil"/>
            </w:tcBorders>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p>
        </w:tc>
        <w:tc>
          <w:tcPr>
            <w:tcW w:w="851" w:type="dxa"/>
            <w:tcBorders>
              <w:top w:val="nil"/>
              <w:left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4.3</w:t>
            </w:r>
          </w:p>
        </w:tc>
        <w:tc>
          <w:tcPr>
            <w:tcW w:w="240" w:type="dxa"/>
            <w:tcBorders>
              <w:top w:val="nil"/>
              <w:left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752" w:type="dxa"/>
            <w:tcBorders>
              <w:top w:val="nil"/>
              <w:left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27.6</w:t>
            </w:r>
          </w:p>
        </w:tc>
        <w:tc>
          <w:tcPr>
            <w:tcW w:w="851" w:type="dxa"/>
            <w:tcBorders>
              <w:top w:val="nil"/>
              <w:left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19.8</w:t>
            </w:r>
          </w:p>
        </w:tc>
      </w:tr>
      <w:tr w:rsidR="00897C1E" w:rsidRPr="00AE7648" w:rsidTr="00B460A2">
        <w:trPr>
          <w:cantSplit/>
          <w:trHeight w:val="288"/>
        </w:trPr>
        <w:tc>
          <w:tcPr>
            <w:tcW w:w="1960" w:type="dxa"/>
            <w:tcBorders>
              <w:top w:val="nil"/>
              <w:left w:val="nil"/>
              <w:right w:val="nil"/>
            </w:tcBorders>
            <w:shd w:val="clear" w:color="auto" w:fill="auto"/>
            <w:noWrap/>
            <w:vAlign w:val="bottom"/>
            <w:hideMark/>
          </w:tcPr>
          <w:p w:rsidR="00897C1E" w:rsidRPr="00AE7648" w:rsidRDefault="00897C1E" w:rsidP="00552C75">
            <w:pPr>
              <w:keepNext/>
              <w:keepLines/>
              <w:widowControl w:val="0"/>
              <w:spacing w:after="0" w:line="240" w:lineRule="auto"/>
              <w:ind w:left="0"/>
              <w:rPr>
                <w:rFonts w:cs="Arial"/>
                <w:color w:val="000000"/>
                <w:sz w:val="16"/>
                <w:szCs w:val="16"/>
                <w:lang w:eastAsia="en-AU" w:bidi="ar-SA"/>
              </w:rPr>
            </w:pPr>
            <w:r w:rsidRPr="00AE7648">
              <w:rPr>
                <w:rFonts w:cs="Arial"/>
                <w:color w:val="000000"/>
                <w:sz w:val="16"/>
                <w:szCs w:val="16"/>
                <w:lang w:eastAsia="en-AU" w:bidi="ar-SA"/>
              </w:rPr>
              <w:t xml:space="preserve">1 or more </w:t>
            </w:r>
            <w:r w:rsidR="00552C75" w:rsidRPr="00AE7648">
              <w:rPr>
                <w:rFonts w:cs="Arial"/>
                <w:color w:val="000000"/>
                <w:sz w:val="16"/>
                <w:szCs w:val="16"/>
                <w:lang w:eastAsia="en-AU" w:bidi="ar-SA"/>
              </w:rPr>
              <w:t>‘</w:t>
            </w:r>
            <w:r w:rsidRPr="00AE7648">
              <w:rPr>
                <w:rFonts w:cs="Arial"/>
                <w:color w:val="000000"/>
                <w:sz w:val="16"/>
                <w:szCs w:val="16"/>
                <w:lang w:eastAsia="en-AU" w:bidi="ar-SA"/>
              </w:rPr>
              <w:t>big</w:t>
            </w:r>
            <w:r w:rsidR="00552C75" w:rsidRPr="00AE7648">
              <w:rPr>
                <w:rFonts w:cs="Arial"/>
                <w:color w:val="000000"/>
                <w:sz w:val="16"/>
                <w:szCs w:val="16"/>
                <w:lang w:eastAsia="en-AU" w:bidi="ar-SA"/>
              </w:rPr>
              <w:t>’</w:t>
            </w:r>
          </w:p>
        </w:tc>
        <w:tc>
          <w:tcPr>
            <w:tcW w:w="994" w:type="dxa"/>
            <w:tcBorders>
              <w:top w:val="nil"/>
              <w:left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21.7</w:t>
            </w:r>
          </w:p>
        </w:tc>
        <w:tc>
          <w:tcPr>
            <w:tcW w:w="926" w:type="dxa"/>
            <w:tcBorders>
              <w:top w:val="nil"/>
              <w:left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3.6</w:t>
            </w:r>
          </w:p>
        </w:tc>
        <w:tc>
          <w:tcPr>
            <w:tcW w:w="267" w:type="dxa"/>
            <w:tcBorders>
              <w:top w:val="nil"/>
              <w:left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960" w:type="dxa"/>
            <w:tcBorders>
              <w:top w:val="nil"/>
              <w:left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15.6</w:t>
            </w:r>
          </w:p>
        </w:tc>
        <w:tc>
          <w:tcPr>
            <w:tcW w:w="960" w:type="dxa"/>
            <w:tcBorders>
              <w:top w:val="nil"/>
              <w:left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30.3</w:t>
            </w:r>
          </w:p>
        </w:tc>
        <w:tc>
          <w:tcPr>
            <w:tcW w:w="278" w:type="dxa"/>
            <w:tcBorders>
              <w:top w:val="nil"/>
              <w:left w:val="nil"/>
              <w:right w:val="nil"/>
            </w:tcBorders>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p>
        </w:tc>
        <w:tc>
          <w:tcPr>
            <w:tcW w:w="851" w:type="dxa"/>
            <w:tcBorders>
              <w:top w:val="nil"/>
              <w:left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1.6</w:t>
            </w:r>
          </w:p>
        </w:tc>
        <w:tc>
          <w:tcPr>
            <w:tcW w:w="240" w:type="dxa"/>
            <w:tcBorders>
              <w:top w:val="nil"/>
              <w:left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752" w:type="dxa"/>
            <w:tcBorders>
              <w:top w:val="nil"/>
              <w:left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26.6</w:t>
            </w:r>
          </w:p>
        </w:tc>
        <w:tc>
          <w:tcPr>
            <w:tcW w:w="851" w:type="dxa"/>
            <w:tcBorders>
              <w:top w:val="nil"/>
              <w:left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3.8</w:t>
            </w:r>
          </w:p>
        </w:tc>
      </w:tr>
      <w:tr w:rsidR="00897C1E" w:rsidRPr="00AE7648" w:rsidTr="00B460A2">
        <w:trPr>
          <w:cantSplit/>
          <w:trHeight w:val="288"/>
        </w:trPr>
        <w:tc>
          <w:tcPr>
            <w:tcW w:w="1960" w:type="dxa"/>
            <w:tcBorders>
              <w:left w:val="nil"/>
              <w:bottom w:val="single" w:sz="4" w:space="0" w:color="auto"/>
              <w:right w:val="nil"/>
            </w:tcBorders>
            <w:shd w:val="clear" w:color="auto" w:fill="auto"/>
            <w:noWrap/>
            <w:vAlign w:val="bottom"/>
            <w:hideMark/>
          </w:tcPr>
          <w:p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994" w:type="dxa"/>
            <w:tcBorders>
              <w:left w:val="nil"/>
              <w:bottom w:val="single" w:sz="4" w:space="0" w:color="auto"/>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100.0</w:t>
            </w:r>
          </w:p>
        </w:tc>
        <w:tc>
          <w:tcPr>
            <w:tcW w:w="926" w:type="dxa"/>
            <w:tcBorders>
              <w:left w:val="nil"/>
              <w:bottom w:val="single" w:sz="4" w:space="0" w:color="auto"/>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100.0</w:t>
            </w:r>
          </w:p>
        </w:tc>
        <w:tc>
          <w:tcPr>
            <w:tcW w:w="267" w:type="dxa"/>
            <w:tcBorders>
              <w:left w:val="nil"/>
              <w:bottom w:val="single" w:sz="4" w:space="0" w:color="auto"/>
              <w:right w:val="nil"/>
            </w:tcBorders>
            <w:shd w:val="clear" w:color="auto" w:fill="auto"/>
            <w:noWrap/>
            <w:vAlign w:val="bottom"/>
            <w:hideMark/>
          </w:tcPr>
          <w:p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960" w:type="dxa"/>
            <w:tcBorders>
              <w:left w:val="nil"/>
              <w:bottom w:val="single" w:sz="4" w:space="0" w:color="auto"/>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100.0</w:t>
            </w:r>
          </w:p>
        </w:tc>
        <w:tc>
          <w:tcPr>
            <w:tcW w:w="960" w:type="dxa"/>
            <w:tcBorders>
              <w:left w:val="nil"/>
              <w:bottom w:val="single" w:sz="4" w:space="0" w:color="auto"/>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100.0</w:t>
            </w:r>
          </w:p>
        </w:tc>
        <w:tc>
          <w:tcPr>
            <w:tcW w:w="278" w:type="dxa"/>
            <w:tcBorders>
              <w:left w:val="nil"/>
              <w:bottom w:val="single" w:sz="4" w:space="0" w:color="auto"/>
              <w:right w:val="nil"/>
            </w:tcBorders>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p>
        </w:tc>
        <w:tc>
          <w:tcPr>
            <w:tcW w:w="851" w:type="dxa"/>
            <w:tcBorders>
              <w:left w:val="nil"/>
              <w:bottom w:val="single" w:sz="4" w:space="0" w:color="auto"/>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100.0</w:t>
            </w:r>
          </w:p>
        </w:tc>
        <w:tc>
          <w:tcPr>
            <w:tcW w:w="240" w:type="dxa"/>
            <w:tcBorders>
              <w:left w:val="nil"/>
              <w:bottom w:val="single" w:sz="4" w:space="0" w:color="auto"/>
              <w:right w:val="nil"/>
            </w:tcBorders>
            <w:shd w:val="clear" w:color="auto" w:fill="auto"/>
            <w:noWrap/>
            <w:vAlign w:val="bottom"/>
            <w:hideMark/>
          </w:tcPr>
          <w:p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752" w:type="dxa"/>
            <w:tcBorders>
              <w:left w:val="nil"/>
              <w:bottom w:val="single" w:sz="4" w:space="0" w:color="auto"/>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100.0</w:t>
            </w:r>
          </w:p>
        </w:tc>
        <w:tc>
          <w:tcPr>
            <w:tcW w:w="851" w:type="dxa"/>
            <w:tcBorders>
              <w:left w:val="nil"/>
              <w:bottom w:val="single" w:sz="4" w:space="0" w:color="auto"/>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100.0</w:t>
            </w:r>
          </w:p>
        </w:tc>
      </w:tr>
      <w:tr w:rsidR="00897C1E" w:rsidRPr="00AE7648" w:rsidTr="00B460A2">
        <w:trPr>
          <w:cantSplit/>
          <w:trHeight w:val="288"/>
        </w:trPr>
        <w:tc>
          <w:tcPr>
            <w:tcW w:w="9039" w:type="dxa"/>
            <w:gridSpan w:val="11"/>
            <w:tcBorders>
              <w:top w:val="single" w:sz="4" w:space="0" w:color="auto"/>
              <w:left w:val="nil"/>
              <w:bottom w:val="nil"/>
              <w:right w:val="nil"/>
            </w:tcBorders>
          </w:tcPr>
          <w:p w:rsidR="00897C1E" w:rsidRPr="00AE7648" w:rsidRDefault="00897C1E" w:rsidP="00F104E9">
            <w:pPr>
              <w:keepNext/>
              <w:keepLines/>
              <w:widowControl w:val="0"/>
              <w:spacing w:after="0" w:line="240" w:lineRule="auto"/>
              <w:ind w:left="0"/>
              <w:rPr>
                <w:rFonts w:cs="Arial"/>
                <w:color w:val="000000"/>
                <w:sz w:val="16"/>
                <w:szCs w:val="16"/>
                <w:lang w:eastAsia="en-AU" w:bidi="ar-SA"/>
              </w:rPr>
            </w:pPr>
            <w:r w:rsidRPr="00AE7648">
              <w:rPr>
                <w:rFonts w:cs="Arial"/>
                <w:color w:val="000000"/>
                <w:sz w:val="16"/>
                <w:szCs w:val="16"/>
                <w:lang w:eastAsia="en-AU" w:bidi="ar-SA"/>
              </w:rPr>
              <w:t>Change over last year (%)</w:t>
            </w:r>
          </w:p>
        </w:tc>
      </w:tr>
      <w:tr w:rsidR="00897C1E" w:rsidRPr="00AE7648" w:rsidTr="00B460A2">
        <w:trPr>
          <w:cantSplit/>
          <w:trHeight w:val="288"/>
        </w:trPr>
        <w:tc>
          <w:tcPr>
            <w:tcW w:w="1960"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rPr>
                <w:rFonts w:cs="Arial"/>
                <w:color w:val="000000"/>
                <w:sz w:val="16"/>
                <w:szCs w:val="16"/>
                <w:lang w:eastAsia="en-AU" w:bidi="ar-SA"/>
              </w:rPr>
            </w:pPr>
            <w:r w:rsidRPr="00AE7648">
              <w:rPr>
                <w:rFonts w:cs="Arial"/>
                <w:color w:val="000000"/>
                <w:sz w:val="16"/>
                <w:szCs w:val="16"/>
                <w:lang w:eastAsia="en-AU" w:bidi="ar-SA"/>
              </w:rPr>
              <w:t>A lot more</w:t>
            </w:r>
          </w:p>
        </w:tc>
        <w:tc>
          <w:tcPr>
            <w:tcW w:w="994"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2.9</w:t>
            </w:r>
          </w:p>
        </w:tc>
        <w:tc>
          <w:tcPr>
            <w:tcW w:w="926"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1.9</w:t>
            </w:r>
          </w:p>
        </w:tc>
        <w:tc>
          <w:tcPr>
            <w:tcW w:w="267"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960"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0.9</w:t>
            </w:r>
          </w:p>
        </w:tc>
        <w:tc>
          <w:tcPr>
            <w:tcW w:w="960"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3.8</w:t>
            </w:r>
          </w:p>
        </w:tc>
        <w:tc>
          <w:tcPr>
            <w:tcW w:w="278" w:type="dxa"/>
            <w:tcBorders>
              <w:top w:val="nil"/>
              <w:left w:val="nil"/>
              <w:bottom w:val="nil"/>
              <w:right w:val="nil"/>
            </w:tcBorders>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0.0</w:t>
            </w:r>
          </w:p>
        </w:tc>
        <w:tc>
          <w:tcPr>
            <w:tcW w:w="240"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752"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3.4</w:t>
            </w:r>
          </w:p>
        </w:tc>
        <w:tc>
          <w:tcPr>
            <w:tcW w:w="851"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1.0</w:t>
            </w:r>
          </w:p>
        </w:tc>
      </w:tr>
      <w:tr w:rsidR="00897C1E" w:rsidRPr="00AE7648" w:rsidTr="00B460A2">
        <w:trPr>
          <w:cantSplit/>
          <w:trHeight w:val="288"/>
        </w:trPr>
        <w:tc>
          <w:tcPr>
            <w:tcW w:w="1960"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rPr>
                <w:rFonts w:cs="Arial"/>
                <w:color w:val="000000"/>
                <w:sz w:val="16"/>
                <w:szCs w:val="16"/>
                <w:lang w:eastAsia="en-AU" w:bidi="ar-SA"/>
              </w:rPr>
            </w:pPr>
            <w:r w:rsidRPr="00AE7648">
              <w:rPr>
                <w:rFonts w:cs="Arial"/>
                <w:color w:val="000000"/>
                <w:sz w:val="16"/>
                <w:szCs w:val="16"/>
                <w:lang w:eastAsia="en-AU" w:bidi="ar-SA"/>
              </w:rPr>
              <w:t>A bit more</w:t>
            </w:r>
          </w:p>
        </w:tc>
        <w:tc>
          <w:tcPr>
            <w:tcW w:w="994"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7.6</w:t>
            </w:r>
          </w:p>
        </w:tc>
        <w:tc>
          <w:tcPr>
            <w:tcW w:w="926"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0.0</w:t>
            </w:r>
          </w:p>
        </w:tc>
        <w:tc>
          <w:tcPr>
            <w:tcW w:w="267"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960"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8.1</w:t>
            </w:r>
          </w:p>
        </w:tc>
        <w:tc>
          <w:tcPr>
            <w:tcW w:w="960"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7.7</w:t>
            </w:r>
          </w:p>
        </w:tc>
        <w:tc>
          <w:tcPr>
            <w:tcW w:w="278" w:type="dxa"/>
            <w:tcBorders>
              <w:top w:val="nil"/>
              <w:left w:val="nil"/>
              <w:bottom w:val="nil"/>
              <w:right w:val="nil"/>
            </w:tcBorders>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1.7</w:t>
            </w:r>
          </w:p>
        </w:tc>
        <w:tc>
          <w:tcPr>
            <w:tcW w:w="240"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752"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5.1</w:t>
            </w:r>
          </w:p>
        </w:tc>
        <w:tc>
          <w:tcPr>
            <w:tcW w:w="851"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7.0</w:t>
            </w:r>
          </w:p>
        </w:tc>
      </w:tr>
      <w:tr w:rsidR="00897C1E" w:rsidRPr="00AE7648" w:rsidTr="00B460A2">
        <w:trPr>
          <w:cantSplit/>
          <w:trHeight w:val="288"/>
        </w:trPr>
        <w:tc>
          <w:tcPr>
            <w:tcW w:w="1960"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rPr>
                <w:rFonts w:cs="Arial"/>
                <w:color w:val="000000"/>
                <w:sz w:val="16"/>
                <w:szCs w:val="16"/>
                <w:lang w:eastAsia="en-AU" w:bidi="ar-SA"/>
              </w:rPr>
            </w:pPr>
            <w:r w:rsidRPr="00AE7648">
              <w:rPr>
                <w:rFonts w:cs="Arial"/>
                <w:color w:val="000000"/>
                <w:sz w:val="16"/>
                <w:szCs w:val="16"/>
                <w:lang w:eastAsia="en-AU" w:bidi="ar-SA"/>
              </w:rPr>
              <w:t>About the same</w:t>
            </w:r>
          </w:p>
        </w:tc>
        <w:tc>
          <w:tcPr>
            <w:tcW w:w="994"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52.9</w:t>
            </w:r>
          </w:p>
        </w:tc>
        <w:tc>
          <w:tcPr>
            <w:tcW w:w="926"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75.3</w:t>
            </w:r>
          </w:p>
        </w:tc>
        <w:tc>
          <w:tcPr>
            <w:tcW w:w="267"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960"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52.3</w:t>
            </w:r>
          </w:p>
        </w:tc>
        <w:tc>
          <w:tcPr>
            <w:tcW w:w="960"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65.4</w:t>
            </w:r>
          </w:p>
        </w:tc>
        <w:tc>
          <w:tcPr>
            <w:tcW w:w="278" w:type="dxa"/>
            <w:tcBorders>
              <w:top w:val="nil"/>
              <w:left w:val="nil"/>
              <w:bottom w:val="nil"/>
              <w:right w:val="nil"/>
            </w:tcBorders>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77.4</w:t>
            </w:r>
          </w:p>
        </w:tc>
        <w:tc>
          <w:tcPr>
            <w:tcW w:w="240"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752"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71.3</w:t>
            </w:r>
          </w:p>
        </w:tc>
        <w:tc>
          <w:tcPr>
            <w:tcW w:w="851"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90.0</w:t>
            </w:r>
          </w:p>
        </w:tc>
      </w:tr>
      <w:tr w:rsidR="00897C1E" w:rsidRPr="00AE7648" w:rsidTr="00B460A2">
        <w:trPr>
          <w:cantSplit/>
          <w:trHeight w:val="288"/>
        </w:trPr>
        <w:tc>
          <w:tcPr>
            <w:tcW w:w="1960"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rPr>
                <w:rFonts w:cs="Arial"/>
                <w:color w:val="000000"/>
                <w:sz w:val="16"/>
                <w:szCs w:val="16"/>
                <w:lang w:eastAsia="en-AU" w:bidi="ar-SA"/>
              </w:rPr>
            </w:pPr>
            <w:r w:rsidRPr="00AE7648">
              <w:rPr>
                <w:rFonts w:cs="Arial"/>
                <w:color w:val="000000"/>
                <w:sz w:val="16"/>
                <w:szCs w:val="16"/>
                <w:lang w:eastAsia="en-AU" w:bidi="ar-SA"/>
              </w:rPr>
              <w:t>A bit less</w:t>
            </w:r>
          </w:p>
        </w:tc>
        <w:tc>
          <w:tcPr>
            <w:tcW w:w="994"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18.6</w:t>
            </w:r>
          </w:p>
        </w:tc>
        <w:tc>
          <w:tcPr>
            <w:tcW w:w="926"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5.8</w:t>
            </w:r>
          </w:p>
        </w:tc>
        <w:tc>
          <w:tcPr>
            <w:tcW w:w="267"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960"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18.9</w:t>
            </w:r>
          </w:p>
        </w:tc>
        <w:tc>
          <w:tcPr>
            <w:tcW w:w="960"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7.7</w:t>
            </w:r>
          </w:p>
        </w:tc>
        <w:tc>
          <w:tcPr>
            <w:tcW w:w="278" w:type="dxa"/>
            <w:tcBorders>
              <w:top w:val="nil"/>
              <w:left w:val="nil"/>
              <w:bottom w:val="nil"/>
              <w:right w:val="nil"/>
            </w:tcBorders>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1.7</w:t>
            </w:r>
          </w:p>
        </w:tc>
        <w:tc>
          <w:tcPr>
            <w:tcW w:w="240"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752"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6.2</w:t>
            </w:r>
          </w:p>
        </w:tc>
        <w:tc>
          <w:tcPr>
            <w:tcW w:w="851"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0.0</w:t>
            </w:r>
          </w:p>
        </w:tc>
      </w:tr>
      <w:tr w:rsidR="00897C1E" w:rsidRPr="00AE7648" w:rsidTr="00B460A2">
        <w:trPr>
          <w:cantSplit/>
          <w:trHeight w:val="288"/>
        </w:trPr>
        <w:tc>
          <w:tcPr>
            <w:tcW w:w="1960"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rPr>
                <w:rFonts w:cs="Arial"/>
                <w:color w:val="000000"/>
                <w:sz w:val="16"/>
                <w:szCs w:val="16"/>
                <w:lang w:eastAsia="en-AU" w:bidi="ar-SA"/>
              </w:rPr>
            </w:pPr>
            <w:r w:rsidRPr="00AE7648">
              <w:rPr>
                <w:rFonts w:cs="Arial"/>
                <w:color w:val="000000"/>
                <w:sz w:val="16"/>
                <w:szCs w:val="16"/>
                <w:lang w:eastAsia="en-AU" w:bidi="ar-SA"/>
              </w:rPr>
              <w:t>A lot less</w:t>
            </w:r>
          </w:p>
        </w:tc>
        <w:tc>
          <w:tcPr>
            <w:tcW w:w="994"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18.1</w:t>
            </w:r>
          </w:p>
        </w:tc>
        <w:tc>
          <w:tcPr>
            <w:tcW w:w="926"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16.9</w:t>
            </w:r>
          </w:p>
        </w:tc>
        <w:tc>
          <w:tcPr>
            <w:tcW w:w="267"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960"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19.8</w:t>
            </w:r>
          </w:p>
        </w:tc>
        <w:tc>
          <w:tcPr>
            <w:tcW w:w="960"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15.4</w:t>
            </w:r>
          </w:p>
        </w:tc>
        <w:tc>
          <w:tcPr>
            <w:tcW w:w="278" w:type="dxa"/>
            <w:tcBorders>
              <w:top w:val="nil"/>
              <w:left w:val="nil"/>
              <w:bottom w:val="nil"/>
              <w:right w:val="nil"/>
            </w:tcBorders>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19.2</w:t>
            </w:r>
          </w:p>
        </w:tc>
        <w:tc>
          <w:tcPr>
            <w:tcW w:w="240"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752"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14.0</w:t>
            </w:r>
          </w:p>
        </w:tc>
        <w:tc>
          <w:tcPr>
            <w:tcW w:w="851" w:type="dxa"/>
            <w:tcBorders>
              <w:top w:val="nil"/>
              <w:left w:val="nil"/>
              <w:bottom w:val="nil"/>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2.0</w:t>
            </w:r>
          </w:p>
        </w:tc>
      </w:tr>
      <w:tr w:rsidR="00897C1E" w:rsidRPr="00AE7648" w:rsidTr="00B460A2">
        <w:trPr>
          <w:cantSplit/>
          <w:trHeight w:val="288"/>
        </w:trPr>
        <w:tc>
          <w:tcPr>
            <w:tcW w:w="1960" w:type="dxa"/>
            <w:tcBorders>
              <w:top w:val="nil"/>
              <w:left w:val="nil"/>
              <w:bottom w:val="single" w:sz="4" w:space="0" w:color="auto"/>
              <w:right w:val="nil"/>
            </w:tcBorders>
            <w:shd w:val="clear" w:color="auto" w:fill="auto"/>
            <w:noWrap/>
            <w:vAlign w:val="bottom"/>
            <w:hideMark/>
          </w:tcPr>
          <w:p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994" w:type="dxa"/>
            <w:tcBorders>
              <w:top w:val="nil"/>
              <w:left w:val="nil"/>
              <w:bottom w:val="single" w:sz="4" w:space="0" w:color="auto"/>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100.0</w:t>
            </w:r>
          </w:p>
        </w:tc>
        <w:tc>
          <w:tcPr>
            <w:tcW w:w="926" w:type="dxa"/>
            <w:tcBorders>
              <w:top w:val="nil"/>
              <w:left w:val="nil"/>
              <w:bottom w:val="single" w:sz="4" w:space="0" w:color="auto"/>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100.0</w:t>
            </w:r>
          </w:p>
        </w:tc>
        <w:tc>
          <w:tcPr>
            <w:tcW w:w="267" w:type="dxa"/>
            <w:tcBorders>
              <w:top w:val="nil"/>
              <w:left w:val="nil"/>
              <w:bottom w:val="single" w:sz="4" w:space="0" w:color="auto"/>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p>
        </w:tc>
        <w:tc>
          <w:tcPr>
            <w:tcW w:w="960" w:type="dxa"/>
            <w:tcBorders>
              <w:top w:val="nil"/>
              <w:left w:val="nil"/>
              <w:bottom w:val="single" w:sz="4" w:space="0" w:color="auto"/>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100.0</w:t>
            </w:r>
          </w:p>
        </w:tc>
        <w:tc>
          <w:tcPr>
            <w:tcW w:w="960" w:type="dxa"/>
            <w:tcBorders>
              <w:top w:val="nil"/>
              <w:left w:val="nil"/>
              <w:bottom w:val="single" w:sz="4" w:space="0" w:color="auto"/>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100.0</w:t>
            </w:r>
          </w:p>
        </w:tc>
        <w:tc>
          <w:tcPr>
            <w:tcW w:w="278" w:type="dxa"/>
            <w:tcBorders>
              <w:top w:val="nil"/>
              <w:left w:val="nil"/>
              <w:bottom w:val="single" w:sz="4" w:space="0" w:color="auto"/>
              <w:right w:val="nil"/>
            </w:tcBorders>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p>
        </w:tc>
        <w:tc>
          <w:tcPr>
            <w:tcW w:w="851" w:type="dxa"/>
            <w:tcBorders>
              <w:top w:val="nil"/>
              <w:left w:val="nil"/>
              <w:bottom w:val="single" w:sz="4" w:space="0" w:color="auto"/>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100.0</w:t>
            </w:r>
          </w:p>
        </w:tc>
        <w:tc>
          <w:tcPr>
            <w:tcW w:w="240" w:type="dxa"/>
            <w:tcBorders>
              <w:top w:val="nil"/>
              <w:left w:val="nil"/>
              <w:bottom w:val="single" w:sz="4" w:space="0" w:color="auto"/>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p>
        </w:tc>
        <w:tc>
          <w:tcPr>
            <w:tcW w:w="752" w:type="dxa"/>
            <w:tcBorders>
              <w:top w:val="nil"/>
              <w:left w:val="nil"/>
              <w:bottom w:val="single" w:sz="4" w:space="0" w:color="auto"/>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100.0</w:t>
            </w:r>
          </w:p>
        </w:tc>
        <w:tc>
          <w:tcPr>
            <w:tcW w:w="851" w:type="dxa"/>
            <w:tcBorders>
              <w:top w:val="nil"/>
              <w:left w:val="nil"/>
              <w:bottom w:val="single" w:sz="4" w:space="0" w:color="auto"/>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100.0</w:t>
            </w:r>
          </w:p>
        </w:tc>
      </w:tr>
      <w:tr w:rsidR="00897C1E" w:rsidRPr="00AE7648" w:rsidTr="00B460A2">
        <w:trPr>
          <w:cantSplit/>
          <w:trHeight w:val="288"/>
        </w:trPr>
        <w:tc>
          <w:tcPr>
            <w:tcW w:w="1960" w:type="dxa"/>
            <w:tcBorders>
              <w:top w:val="single" w:sz="4" w:space="0" w:color="auto"/>
              <w:left w:val="nil"/>
              <w:bottom w:val="single" w:sz="4" w:space="0" w:color="auto"/>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left"/>
              <w:rPr>
                <w:rFonts w:cs="Arial"/>
                <w:color w:val="000000"/>
                <w:sz w:val="16"/>
                <w:szCs w:val="16"/>
                <w:lang w:eastAsia="en-AU" w:bidi="ar-SA"/>
              </w:rPr>
            </w:pPr>
            <w:r w:rsidRPr="00AE7648">
              <w:rPr>
                <w:rFonts w:cs="Arial"/>
                <w:color w:val="000000"/>
                <w:sz w:val="16"/>
                <w:szCs w:val="16"/>
                <w:lang w:eastAsia="en-AU" w:bidi="ar-SA"/>
              </w:rPr>
              <w:t>Number of survey participants</w:t>
            </w:r>
          </w:p>
        </w:tc>
        <w:tc>
          <w:tcPr>
            <w:tcW w:w="994" w:type="dxa"/>
            <w:tcBorders>
              <w:top w:val="single" w:sz="4" w:space="0" w:color="auto"/>
              <w:left w:val="nil"/>
              <w:bottom w:val="single" w:sz="4" w:space="0" w:color="auto"/>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244</w:t>
            </w:r>
          </w:p>
        </w:tc>
        <w:tc>
          <w:tcPr>
            <w:tcW w:w="926" w:type="dxa"/>
            <w:tcBorders>
              <w:top w:val="single" w:sz="4" w:space="0" w:color="auto"/>
              <w:left w:val="nil"/>
              <w:bottom w:val="single" w:sz="4" w:space="0" w:color="auto"/>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168</w:t>
            </w:r>
          </w:p>
        </w:tc>
        <w:tc>
          <w:tcPr>
            <w:tcW w:w="267" w:type="dxa"/>
            <w:tcBorders>
              <w:top w:val="single" w:sz="4" w:space="0" w:color="auto"/>
              <w:left w:val="nil"/>
              <w:bottom w:val="single" w:sz="4" w:space="0" w:color="auto"/>
              <w:right w:val="nil"/>
            </w:tcBorders>
            <w:shd w:val="clear" w:color="auto" w:fill="auto"/>
            <w:noWrap/>
            <w:vAlign w:val="bottom"/>
            <w:hideMark/>
          </w:tcPr>
          <w:p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960" w:type="dxa"/>
            <w:tcBorders>
              <w:top w:val="single" w:sz="4" w:space="0" w:color="auto"/>
              <w:left w:val="nil"/>
              <w:bottom w:val="single" w:sz="4" w:space="0" w:color="auto"/>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128</w:t>
            </w:r>
          </w:p>
        </w:tc>
        <w:tc>
          <w:tcPr>
            <w:tcW w:w="960" w:type="dxa"/>
            <w:tcBorders>
              <w:top w:val="single" w:sz="4" w:space="0" w:color="auto"/>
              <w:left w:val="nil"/>
              <w:bottom w:val="single" w:sz="4" w:space="0" w:color="auto"/>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33</w:t>
            </w:r>
          </w:p>
        </w:tc>
        <w:tc>
          <w:tcPr>
            <w:tcW w:w="278" w:type="dxa"/>
            <w:tcBorders>
              <w:top w:val="single" w:sz="4" w:space="0" w:color="auto"/>
              <w:left w:val="nil"/>
              <w:bottom w:val="single" w:sz="4" w:space="0" w:color="auto"/>
              <w:right w:val="nil"/>
            </w:tcBorders>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p>
        </w:tc>
        <w:tc>
          <w:tcPr>
            <w:tcW w:w="851" w:type="dxa"/>
            <w:tcBorders>
              <w:top w:val="single" w:sz="4" w:space="0" w:color="auto"/>
              <w:left w:val="nil"/>
              <w:bottom w:val="single" w:sz="4" w:space="0" w:color="auto"/>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184</w:t>
            </w:r>
          </w:p>
        </w:tc>
        <w:tc>
          <w:tcPr>
            <w:tcW w:w="240" w:type="dxa"/>
            <w:tcBorders>
              <w:top w:val="single" w:sz="4" w:space="0" w:color="auto"/>
              <w:left w:val="nil"/>
              <w:bottom w:val="single" w:sz="4" w:space="0" w:color="auto"/>
              <w:right w:val="nil"/>
            </w:tcBorders>
            <w:shd w:val="clear" w:color="auto" w:fill="auto"/>
            <w:noWrap/>
            <w:vAlign w:val="bottom"/>
            <w:hideMark/>
          </w:tcPr>
          <w:p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752" w:type="dxa"/>
            <w:tcBorders>
              <w:top w:val="single" w:sz="4" w:space="0" w:color="auto"/>
              <w:left w:val="nil"/>
              <w:bottom w:val="single" w:sz="4" w:space="0" w:color="auto"/>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199</w:t>
            </w:r>
          </w:p>
        </w:tc>
        <w:tc>
          <w:tcPr>
            <w:tcW w:w="851" w:type="dxa"/>
            <w:tcBorders>
              <w:top w:val="single" w:sz="4" w:space="0" w:color="auto"/>
              <w:left w:val="nil"/>
              <w:bottom w:val="single" w:sz="4" w:space="0" w:color="auto"/>
              <w:right w:val="nil"/>
            </w:tcBorders>
            <w:shd w:val="clear" w:color="auto" w:fill="auto"/>
            <w:noWrap/>
            <w:vAlign w:val="bottom"/>
            <w:hideMark/>
          </w:tcPr>
          <w:p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106</w:t>
            </w:r>
          </w:p>
        </w:tc>
      </w:tr>
    </w:tbl>
    <w:p w:rsidR="00897C1E" w:rsidRPr="005911E2" w:rsidRDefault="00897C1E" w:rsidP="00CF78DB">
      <w:pPr>
        <w:pStyle w:val="tablefootnotes"/>
      </w:pPr>
      <w:r w:rsidRPr="005911E2">
        <w:t xml:space="preserve">Source: </w:t>
      </w:r>
      <w:r w:rsidR="00224BEA">
        <w:tab/>
      </w:r>
      <w:r w:rsidRPr="005911E2">
        <w:t>LSNIM, Wave 1.</w:t>
      </w:r>
    </w:p>
    <w:p w:rsidR="00897C1E" w:rsidRPr="005911E2" w:rsidRDefault="00897C1E" w:rsidP="00CF78DB">
      <w:pPr>
        <w:pStyle w:val="tablefootnotes"/>
      </w:pPr>
    </w:p>
    <w:p w:rsidR="00897C1E" w:rsidRPr="005911E2" w:rsidRDefault="00897C1E" w:rsidP="00897C1E">
      <w:pPr>
        <w:pStyle w:val="BodyText"/>
        <w:rPr>
          <w:lang w:eastAsia="en-US"/>
        </w:rPr>
      </w:pPr>
      <w:r w:rsidRPr="005911E2">
        <w:rPr>
          <w:lang w:eastAsia="en-US"/>
        </w:rPr>
        <w:t xml:space="preserve">The first panel of the table shows the proportion of survey participants reporting one or more of these problems in their family according to Indigenous status, type of </w:t>
      </w:r>
      <w:r w:rsidR="00F878E4">
        <w:rPr>
          <w:lang w:eastAsia="en-US"/>
        </w:rPr>
        <w:t>income management</w:t>
      </w:r>
      <w:r w:rsidRPr="005911E2">
        <w:rPr>
          <w:lang w:eastAsia="en-US"/>
        </w:rPr>
        <w:t xml:space="preserve"> and whether in a</w:t>
      </w:r>
      <w:r w:rsidR="0066677B">
        <w:rPr>
          <w:lang w:eastAsia="en-US"/>
        </w:rPr>
        <w:t>n</w:t>
      </w:r>
      <w:r w:rsidRPr="005911E2">
        <w:rPr>
          <w:lang w:eastAsia="en-US"/>
        </w:rPr>
        <w:t xml:space="preserve"> NTER area, as well as for the contrast sites outside of the</w:t>
      </w:r>
      <w:r w:rsidR="006435C8">
        <w:rPr>
          <w:lang w:eastAsia="en-US"/>
        </w:rPr>
        <w:t xml:space="preserve"> Northern Territory</w:t>
      </w:r>
      <w:r w:rsidRPr="005911E2">
        <w:rPr>
          <w:lang w:eastAsia="en-US"/>
        </w:rPr>
        <w:t>. In general terms, when broken down into Indigenous and non-Indigenous groupings, the</w:t>
      </w:r>
      <w:r w:rsidR="006435C8">
        <w:rPr>
          <w:lang w:eastAsia="en-US"/>
        </w:rPr>
        <w:t xml:space="preserve"> Northern Territory</w:t>
      </w:r>
      <w:r w:rsidRPr="005911E2">
        <w:rPr>
          <w:lang w:eastAsia="en-US"/>
        </w:rPr>
        <w:t xml:space="preserve"> population subject to </w:t>
      </w:r>
      <w:r w:rsidR="00F878E4">
        <w:rPr>
          <w:lang w:eastAsia="en-US"/>
        </w:rPr>
        <w:t>income management</w:t>
      </w:r>
      <w:r w:rsidRPr="005911E2">
        <w:rPr>
          <w:lang w:eastAsia="en-US"/>
        </w:rPr>
        <w:t xml:space="preserve"> reports lower incidence of problems than those in the contrast population. In itself this finding is of limited salience as the contrast population has largely been identified to allow for the tracking of change over time</w:t>
      </w:r>
      <w:r w:rsidR="004E3A29">
        <w:rPr>
          <w:lang w:eastAsia="en-US"/>
        </w:rPr>
        <w:t>,</w:t>
      </w:r>
      <w:r w:rsidRPr="005911E2">
        <w:rPr>
          <w:lang w:eastAsia="en-US"/>
        </w:rPr>
        <w:t xml:space="preserve"> rather than its absolute distribution of characteristics. However</w:t>
      </w:r>
      <w:r w:rsidR="0066677B">
        <w:rPr>
          <w:lang w:eastAsia="en-US"/>
        </w:rPr>
        <w:t>,</w:t>
      </w:r>
      <w:r w:rsidRPr="005911E2">
        <w:rPr>
          <w:lang w:eastAsia="en-US"/>
        </w:rPr>
        <w:t xml:space="preserve"> the comparison in changes in the incidence of these problems between those in the</w:t>
      </w:r>
      <w:r w:rsidR="006435C8">
        <w:rPr>
          <w:lang w:eastAsia="en-US"/>
        </w:rPr>
        <w:t xml:space="preserve"> Northern Territory</w:t>
      </w:r>
      <w:r w:rsidRPr="005911E2">
        <w:rPr>
          <w:lang w:eastAsia="en-US"/>
        </w:rPr>
        <w:t xml:space="preserve"> on </w:t>
      </w:r>
      <w:r w:rsidR="00F878E4">
        <w:rPr>
          <w:lang w:eastAsia="en-US"/>
        </w:rPr>
        <w:t>income management</w:t>
      </w:r>
      <w:r w:rsidRPr="005911E2">
        <w:rPr>
          <w:lang w:eastAsia="en-US"/>
        </w:rPr>
        <w:t xml:space="preserve"> and those in the contrast sites is more meaningful.</w:t>
      </w:r>
    </w:p>
    <w:p w:rsidR="00897C1E" w:rsidRPr="005911E2" w:rsidRDefault="00897C1E" w:rsidP="00897C1E">
      <w:pPr>
        <w:pStyle w:val="BodyText"/>
        <w:rPr>
          <w:lang w:eastAsia="en-US"/>
        </w:rPr>
      </w:pPr>
      <w:r w:rsidRPr="005911E2">
        <w:rPr>
          <w:lang w:eastAsia="en-US"/>
        </w:rPr>
        <w:t xml:space="preserve">Looking at the change in the incidence of problems, while the majority of survey participants subject to </w:t>
      </w:r>
      <w:r w:rsidR="00F878E4">
        <w:rPr>
          <w:lang w:eastAsia="en-US"/>
        </w:rPr>
        <w:t>income management</w:t>
      </w:r>
      <w:r w:rsidRPr="005911E2">
        <w:rPr>
          <w:lang w:eastAsia="en-US"/>
        </w:rPr>
        <w:t xml:space="preserve"> report no change, of those reporting a change, this is overwhelmingly in a positive direction. Indeed across all groups of people subject to </w:t>
      </w:r>
      <w:r w:rsidR="00F878E4">
        <w:rPr>
          <w:lang w:eastAsia="en-US"/>
        </w:rPr>
        <w:t>income management</w:t>
      </w:r>
      <w:r w:rsidR="0066677B">
        <w:rPr>
          <w:lang w:eastAsia="en-US"/>
        </w:rPr>
        <w:t>,</w:t>
      </w:r>
      <w:r w:rsidRPr="005911E2">
        <w:rPr>
          <w:lang w:eastAsia="en-US"/>
        </w:rPr>
        <w:t xml:space="preserve"> around 15 to 20 per cent report that these problems are a lot less than they were a year earlier. An additional, but more variable proportion reported that they were a little less.</w:t>
      </w:r>
    </w:p>
    <w:p w:rsidR="00897C1E" w:rsidRPr="005911E2" w:rsidRDefault="00897C1E" w:rsidP="00897C1E">
      <w:pPr>
        <w:pStyle w:val="BodyText"/>
        <w:rPr>
          <w:lang w:eastAsia="en-US"/>
        </w:rPr>
      </w:pPr>
      <w:r w:rsidRPr="005911E2">
        <w:rPr>
          <w:lang w:eastAsia="en-US"/>
        </w:rPr>
        <w:t xml:space="preserve">The least amount of change was reported by those Indigenous people living in non-NTER areas, and non-Indigenous people subject to compulsory forms of </w:t>
      </w:r>
      <w:r w:rsidR="00F878E4">
        <w:rPr>
          <w:lang w:eastAsia="en-US"/>
        </w:rPr>
        <w:t>income management</w:t>
      </w:r>
      <w:r w:rsidRPr="005911E2">
        <w:rPr>
          <w:lang w:eastAsia="en-US"/>
        </w:rPr>
        <w:t>. When the changes over time are compared with the contrast populations</w:t>
      </w:r>
      <w:r w:rsidR="004E3A29">
        <w:rPr>
          <w:lang w:eastAsia="en-US"/>
        </w:rPr>
        <w:t>,</w:t>
      </w:r>
      <w:r w:rsidRPr="005911E2">
        <w:rPr>
          <w:lang w:eastAsia="en-US"/>
        </w:rPr>
        <w:t xml:space="preserve"> it appears that for Indigenous participants the extent of major falls in the incidence of problems amongst those on </w:t>
      </w:r>
      <w:r w:rsidR="00F878E4">
        <w:rPr>
          <w:lang w:eastAsia="en-US"/>
        </w:rPr>
        <w:t>income management</w:t>
      </w:r>
      <w:r w:rsidRPr="005911E2">
        <w:rPr>
          <w:lang w:eastAsia="en-US"/>
        </w:rPr>
        <w:t xml:space="preserve"> is only slightly above the contrast groups, but that the extent to which minor gains have occurred is markedly higher. This effect is most apparent for those living in areas subject to the NTER. In giving reasons for the apparent change some participants, as well as citing </w:t>
      </w:r>
      <w:r w:rsidR="00F878E4">
        <w:rPr>
          <w:lang w:eastAsia="en-US"/>
        </w:rPr>
        <w:t>income management</w:t>
      </w:r>
      <w:r w:rsidRPr="005911E2">
        <w:rPr>
          <w:lang w:eastAsia="en-US"/>
        </w:rPr>
        <w:t xml:space="preserve"> and the BasicsCard, indicated that increased policing had played a major role, especially in regard to </w:t>
      </w:r>
      <w:r w:rsidR="00F12270">
        <w:rPr>
          <w:lang w:eastAsia="en-US"/>
        </w:rPr>
        <w:t>stopping</w:t>
      </w:r>
      <w:r w:rsidR="00F12270" w:rsidRPr="005911E2">
        <w:rPr>
          <w:lang w:eastAsia="en-US"/>
        </w:rPr>
        <w:t xml:space="preserve"> </w:t>
      </w:r>
      <w:r w:rsidRPr="005911E2">
        <w:rPr>
          <w:lang w:eastAsia="en-US"/>
        </w:rPr>
        <w:t xml:space="preserve">alcohol </w:t>
      </w:r>
      <w:r w:rsidR="00F12270">
        <w:rPr>
          <w:lang w:eastAsia="en-US"/>
        </w:rPr>
        <w:t xml:space="preserve">being brought </w:t>
      </w:r>
      <w:r w:rsidRPr="005911E2">
        <w:rPr>
          <w:lang w:eastAsia="en-US"/>
        </w:rPr>
        <w:t xml:space="preserve">into communities. Multivariate analysis found no significant difference between the contrast population and the Indigenous subgroups on </w:t>
      </w:r>
      <w:r w:rsidR="00F878E4">
        <w:rPr>
          <w:lang w:eastAsia="en-US"/>
        </w:rPr>
        <w:t>income management</w:t>
      </w:r>
      <w:r w:rsidR="002A53BE">
        <w:rPr>
          <w:lang w:eastAsia="en-US"/>
        </w:rPr>
        <w:t>.</w:t>
      </w:r>
    </w:p>
    <w:p w:rsidR="00897C1E" w:rsidRDefault="00F12270" w:rsidP="00897C1E">
      <w:pPr>
        <w:pStyle w:val="BodyText"/>
        <w:rPr>
          <w:lang w:eastAsia="en-US"/>
        </w:rPr>
      </w:pPr>
      <w:r>
        <w:rPr>
          <w:lang w:eastAsia="en-US"/>
        </w:rPr>
        <w:t>For</w:t>
      </w:r>
      <w:r w:rsidRPr="005911E2">
        <w:rPr>
          <w:lang w:eastAsia="en-US"/>
        </w:rPr>
        <w:t xml:space="preserve"> </w:t>
      </w:r>
      <w:r w:rsidR="00897C1E" w:rsidRPr="005911E2">
        <w:rPr>
          <w:lang w:eastAsia="en-US"/>
        </w:rPr>
        <w:t xml:space="preserve">the non-Indigenous population on </w:t>
      </w:r>
      <w:r w:rsidR="00F878E4">
        <w:rPr>
          <w:lang w:eastAsia="en-US"/>
        </w:rPr>
        <w:t>income management</w:t>
      </w:r>
      <w:r>
        <w:rPr>
          <w:lang w:eastAsia="en-US"/>
        </w:rPr>
        <w:t>,</w:t>
      </w:r>
      <w:r w:rsidR="00897C1E" w:rsidRPr="005911E2">
        <w:rPr>
          <w:lang w:eastAsia="en-US"/>
        </w:rPr>
        <w:t xml:space="preserve"> 21 per cent reported improvement. This was well above that of the contrast population, notwithstanding the higher rate of problems in the contrast population. In multivariate analysis the population of non-Indigenous people on </w:t>
      </w:r>
      <w:r w:rsidR="00F878E4">
        <w:rPr>
          <w:lang w:eastAsia="en-US"/>
        </w:rPr>
        <w:t>income management</w:t>
      </w:r>
      <w:r w:rsidR="00897C1E" w:rsidRPr="005911E2">
        <w:rPr>
          <w:lang w:eastAsia="en-US"/>
        </w:rPr>
        <w:t xml:space="preserve"> had a significant (half a standard deviation) score, indicating a higher level of improvement.</w:t>
      </w:r>
    </w:p>
    <w:p w:rsidR="00224BEA" w:rsidRPr="005911E2" w:rsidRDefault="00224BEA" w:rsidP="00224BEA">
      <w:pPr>
        <w:pStyle w:val="BodyText"/>
        <w:rPr>
          <w:lang w:eastAsia="en-US"/>
        </w:rPr>
      </w:pPr>
      <w:r w:rsidRPr="005911E2">
        <w:rPr>
          <w:lang w:eastAsia="en-US"/>
        </w:rPr>
        <w:t>The distribution of reported changes, by gender, for those in the</w:t>
      </w:r>
      <w:r w:rsidR="006435C8">
        <w:rPr>
          <w:lang w:eastAsia="en-US"/>
        </w:rPr>
        <w:t xml:space="preserve"> Northern Territory </w:t>
      </w:r>
      <w:r w:rsidRPr="005911E2">
        <w:rPr>
          <w:lang w:eastAsia="en-US"/>
        </w:rPr>
        <w:t>are shown in</w:t>
      </w:r>
      <w:r w:rsidRPr="005911E2">
        <w:t xml:space="preserve"> Figure </w:t>
      </w:r>
      <w:r w:rsidRPr="005911E2">
        <w:rPr>
          <w:noProof/>
        </w:rPr>
        <w:t>10</w:t>
      </w:r>
      <w:r w:rsidRPr="005911E2">
        <w:noBreakHyphen/>
      </w:r>
      <w:r w:rsidRPr="005911E2">
        <w:rPr>
          <w:noProof/>
        </w:rPr>
        <w:t>5</w:t>
      </w:r>
      <w:r>
        <w:rPr>
          <w:noProof/>
        </w:rPr>
        <w:t>;</w:t>
      </w:r>
      <w:r w:rsidRPr="005911E2">
        <w:rPr>
          <w:lang w:eastAsia="en-US"/>
        </w:rPr>
        <w:t xml:space="preserve"> while there are some differences in the responses by gender for some groups, there is no single consistent pattern by gender across the subgroups.</w:t>
      </w:r>
    </w:p>
    <w:p w:rsidR="00897C1E" w:rsidRPr="005911E2" w:rsidRDefault="00897C1E" w:rsidP="00897C1E">
      <w:pPr>
        <w:pStyle w:val="tabfighead"/>
      </w:pPr>
      <w:bookmarkStart w:id="1070" w:name="_Ref323941977"/>
      <w:bookmarkStart w:id="1071" w:name="_Toc322470955"/>
      <w:bookmarkStart w:id="1072" w:name="_Toc328601671"/>
      <w:bookmarkStart w:id="1073" w:name="_Toc335915937"/>
      <w:r w:rsidRPr="005911E2">
        <w:t xml:space="preserve">Figure </w:t>
      </w:r>
      <w:r w:rsidR="00C7347D">
        <w:fldChar w:fldCharType="begin"/>
      </w:r>
      <w:r w:rsidR="00E74851">
        <w:instrText xml:space="preserve"> STYLEREF 1 \s </w:instrText>
      </w:r>
      <w:r w:rsidR="00C7347D">
        <w:fldChar w:fldCharType="separate"/>
      </w:r>
      <w:r w:rsidR="007D7E45">
        <w:rPr>
          <w:noProof/>
        </w:rPr>
        <w:t>10</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5</w:t>
      </w:r>
      <w:r w:rsidR="00C7347D">
        <w:fldChar w:fldCharType="end"/>
      </w:r>
      <w:bookmarkEnd w:id="1070"/>
      <w:r w:rsidRPr="005911E2">
        <w:tab/>
      </w:r>
      <w:r w:rsidR="006435C8">
        <w:t xml:space="preserve">Northern Territory </w:t>
      </w:r>
      <w:r w:rsidR="00F878E4">
        <w:t>income management</w:t>
      </w:r>
      <w:r w:rsidRPr="005911E2">
        <w:t xml:space="preserve"> survey participants, change in the incidence of family problems by gender</w:t>
      </w:r>
      <w:bookmarkEnd w:id="1071"/>
      <w:bookmarkEnd w:id="1072"/>
      <w:bookmarkEnd w:id="1073"/>
    </w:p>
    <w:tbl>
      <w:tblPr>
        <w:tblStyle w:val="TableGrid"/>
        <w:tblW w:w="0" w:type="auto"/>
        <w:tblInd w:w="1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10-5 Northern Territory income management survey participants, change in the incidence of family problems by gender"/>
        <w:tblDescription w:val="Figure 10-5 Northern Territory income management survey participants, change in the incidence of family problems by gender"/>
      </w:tblPr>
      <w:tblGrid>
        <w:gridCol w:w="7474"/>
      </w:tblGrid>
      <w:tr w:rsidR="009D6644" w:rsidTr="009D15E2">
        <w:trPr>
          <w:tblHeader/>
        </w:trPr>
        <w:tc>
          <w:tcPr>
            <w:tcW w:w="7474" w:type="dxa"/>
          </w:tcPr>
          <w:p w:rsidR="009D6644" w:rsidRDefault="00E75F1A" w:rsidP="00897C1E">
            <w:pPr>
              <w:pStyle w:val="BodyText"/>
              <w:ind w:left="0"/>
              <w:jc w:val="center"/>
              <w:rPr>
                <w:lang w:eastAsia="en-US"/>
              </w:rPr>
            </w:pPr>
            <w:r>
              <w:rPr>
                <w:noProof/>
                <w:lang w:bidi="ar-SA"/>
              </w:rPr>
              <w:drawing>
                <wp:inline distT="0" distB="0" distL="0" distR="0" wp14:anchorId="24D55D62" wp14:editId="286C3FEF">
                  <wp:extent cx="4572000" cy="2743200"/>
                  <wp:effectExtent l="0" t="0" r="0" b="0"/>
                  <wp:docPr id="70" name="Picture 59" descr="Figure 10-5 Northern Territory income management survey participants, change in the incidence of family problems by gender" title="Figure 10-5 Northern Territory income management survey participants, change in the incidence of family problems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tc>
      </w:tr>
    </w:tbl>
    <w:p w:rsidR="00224BEA" w:rsidRDefault="00224BEA" w:rsidP="00224BEA">
      <w:pPr>
        <w:pStyle w:val="tablefootnotes"/>
      </w:pPr>
      <w:r w:rsidRPr="00A21C6E">
        <w:t>Notes:</w:t>
      </w:r>
      <w:r w:rsidRPr="00A21C6E">
        <w:tab/>
        <w:t>CIM in this chart inc</w:t>
      </w:r>
      <w:r w:rsidR="004E3A29">
        <w:t>l</w:t>
      </w:r>
      <w:r w:rsidRPr="00A21C6E">
        <w:t>udes all compulsory streams</w:t>
      </w:r>
      <w:r w:rsidR="00AE7648">
        <w:t>.</w:t>
      </w:r>
    </w:p>
    <w:p w:rsidR="00897C1E" w:rsidRPr="005911E2" w:rsidRDefault="00897C1E" w:rsidP="00CF78DB">
      <w:pPr>
        <w:pStyle w:val="tablefootnotes"/>
      </w:pPr>
      <w:r w:rsidRPr="005911E2">
        <w:t xml:space="preserve">Source: </w:t>
      </w:r>
      <w:r w:rsidR="00224BEA">
        <w:tab/>
      </w:r>
      <w:r w:rsidRPr="005911E2">
        <w:t>LSNIM, Wave 1.</w:t>
      </w:r>
    </w:p>
    <w:p w:rsidR="00897C1E" w:rsidRPr="005911E2" w:rsidRDefault="00897C1E" w:rsidP="00CF78DB">
      <w:pPr>
        <w:pStyle w:val="tablefootnotes"/>
      </w:pPr>
    </w:p>
    <w:p w:rsidR="00897C1E" w:rsidRPr="005911E2" w:rsidRDefault="00897C1E" w:rsidP="00897C1E">
      <w:pPr>
        <w:pStyle w:val="BodyText"/>
        <w:rPr>
          <w:lang w:eastAsia="en-US"/>
        </w:rPr>
      </w:pPr>
      <w:r w:rsidRPr="005911E2">
        <w:rPr>
          <w:lang w:eastAsia="en-US"/>
        </w:rPr>
        <w:t xml:space="preserve">A limitation in interpreting these questions is the relationship between many of the responses on the actual incidence of problems relative to the reported change. For example, looking at the group of Indigenous people on compulsory </w:t>
      </w:r>
      <w:r w:rsidR="00F878E4">
        <w:rPr>
          <w:lang w:eastAsia="en-US"/>
        </w:rPr>
        <w:t>income management</w:t>
      </w:r>
      <w:r w:rsidRPr="005911E2">
        <w:rPr>
          <w:lang w:eastAsia="en-US"/>
        </w:rPr>
        <w:t xml:space="preserve">, the group with the largest proportion reporting that family problems were a lot less than a year previously (21 per cent) were those who </w:t>
      </w:r>
      <w:r w:rsidR="002014E8">
        <w:rPr>
          <w:lang w:eastAsia="en-US"/>
        </w:rPr>
        <w:t xml:space="preserve">also </w:t>
      </w:r>
      <w:r w:rsidRPr="005911E2">
        <w:rPr>
          <w:lang w:eastAsia="en-US"/>
        </w:rPr>
        <w:t>said they had no problems. In comparison</w:t>
      </w:r>
      <w:r w:rsidR="002014E8">
        <w:rPr>
          <w:lang w:eastAsia="en-US"/>
        </w:rPr>
        <w:t>,</w:t>
      </w:r>
      <w:r w:rsidRPr="005911E2">
        <w:rPr>
          <w:lang w:eastAsia="en-US"/>
        </w:rPr>
        <w:t xml:space="preserve"> for those who said that they had a ‘bit of a problem’</w:t>
      </w:r>
      <w:r w:rsidR="002014E8">
        <w:rPr>
          <w:lang w:eastAsia="en-US"/>
        </w:rPr>
        <w:t>,</w:t>
      </w:r>
      <w:r w:rsidRPr="005911E2">
        <w:rPr>
          <w:lang w:eastAsia="en-US"/>
        </w:rPr>
        <w:t xml:space="preserve"> the proportion reporting that problems were a lot less was 17 per cent and for those with a ‘very big problem’ the improvement was just 6 per cent.</w:t>
      </w:r>
      <w:r w:rsidR="00B62B2D">
        <w:rPr>
          <w:lang w:eastAsia="en-US"/>
        </w:rPr>
        <w:t xml:space="preserve"> </w:t>
      </w:r>
      <w:r w:rsidRPr="005911E2">
        <w:rPr>
          <w:lang w:eastAsia="en-US"/>
        </w:rPr>
        <w:t>Looking more closely at the group who reported that at least one of alcohol, drugs and gambling was a very big problem</w:t>
      </w:r>
      <w:r w:rsidR="00224BEA">
        <w:rPr>
          <w:lang w:eastAsia="en-US"/>
        </w:rPr>
        <w:t>,</w:t>
      </w:r>
      <w:r w:rsidRPr="005911E2">
        <w:rPr>
          <w:lang w:eastAsia="en-US"/>
        </w:rPr>
        <w:t xml:space="preserve"> equal numbers reported a reduction in problems of either a bit or a lot (29 per cent) as those who reported an increase, and the proportion reporting ‘a lot more’ (14 per cent) </w:t>
      </w:r>
      <w:r w:rsidR="004E3A29">
        <w:rPr>
          <w:lang w:eastAsia="en-US"/>
        </w:rPr>
        <w:t>far</w:t>
      </w:r>
      <w:r w:rsidRPr="005911E2">
        <w:rPr>
          <w:lang w:eastAsia="en-US"/>
        </w:rPr>
        <w:t xml:space="preserve"> outweighed the 6 per cent reporting ‘a lot less’. </w:t>
      </w:r>
    </w:p>
    <w:p w:rsidR="00897C1E" w:rsidRPr="005911E2" w:rsidRDefault="00897C1E" w:rsidP="00BD6DFD">
      <w:pPr>
        <w:pStyle w:val="Heading3"/>
      </w:pPr>
      <w:r w:rsidRPr="005911E2">
        <w:t xml:space="preserve">Impact of </w:t>
      </w:r>
      <w:r w:rsidR="00F878E4">
        <w:t>income management</w:t>
      </w:r>
      <w:r w:rsidRPr="005911E2">
        <w:t xml:space="preserve"> on children in the community</w:t>
      </w:r>
    </w:p>
    <w:p w:rsidR="00897C1E" w:rsidRPr="005911E2" w:rsidRDefault="00897C1E" w:rsidP="00897C1E">
      <w:pPr>
        <w:pStyle w:val="BodyText"/>
        <w:rPr>
          <w:lang w:eastAsia="en-US"/>
        </w:rPr>
      </w:pPr>
      <w:r w:rsidRPr="005911E2">
        <w:rPr>
          <w:lang w:eastAsia="en-US"/>
        </w:rPr>
        <w:t>As well as asking survey participants about the changes for themselves and their families</w:t>
      </w:r>
      <w:r w:rsidR="002014E8">
        <w:rPr>
          <w:lang w:eastAsia="en-US"/>
        </w:rPr>
        <w:t>,</w:t>
      </w:r>
      <w:r w:rsidRPr="005911E2">
        <w:rPr>
          <w:lang w:eastAsia="en-US"/>
        </w:rPr>
        <w:t xml:space="preserve"> the survey asked more generally about the extent to which people considered that there had been changes in the wellbeing of children. These results are given in </w:t>
      </w:r>
      <w:r w:rsidR="006F14AA" w:rsidRPr="005911E2">
        <w:t xml:space="preserve">Table </w:t>
      </w:r>
      <w:r w:rsidR="006F14AA" w:rsidRPr="005911E2">
        <w:rPr>
          <w:noProof/>
        </w:rPr>
        <w:t>10</w:t>
      </w:r>
      <w:r w:rsidR="006F14AA" w:rsidRPr="005911E2">
        <w:noBreakHyphen/>
      </w:r>
      <w:r w:rsidR="006F14AA" w:rsidRPr="005911E2">
        <w:rPr>
          <w:noProof/>
        </w:rPr>
        <w:t>12</w:t>
      </w:r>
      <w:r w:rsidR="006A02CC" w:rsidRPr="005911E2">
        <w:t>.</w:t>
      </w:r>
    </w:p>
    <w:p w:rsidR="00897C1E" w:rsidRPr="005911E2" w:rsidRDefault="00897C1E" w:rsidP="00897C1E">
      <w:pPr>
        <w:pStyle w:val="tabfighead"/>
      </w:pPr>
      <w:bookmarkStart w:id="1074" w:name="_Ref323942025"/>
      <w:bookmarkStart w:id="1075" w:name="_Toc322470928"/>
      <w:bookmarkStart w:id="1076" w:name="_Toc328601640"/>
      <w:bookmarkStart w:id="1077" w:name="_Toc329051418"/>
      <w:bookmarkStart w:id="1078" w:name="_Toc335915906"/>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10</w:t>
      </w:r>
      <w:r w:rsidR="00C7347D" w:rsidRPr="005911E2">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12</w:t>
      </w:r>
      <w:r w:rsidR="00C7347D" w:rsidRPr="005911E2">
        <w:fldChar w:fldCharType="end"/>
      </w:r>
      <w:bookmarkEnd w:id="1074"/>
      <w:r w:rsidRPr="005911E2">
        <w:t xml:space="preserve"> </w:t>
      </w:r>
      <w:r w:rsidRPr="005911E2">
        <w:tab/>
      </w:r>
      <w:r w:rsidR="006435C8">
        <w:t xml:space="preserve">Northern Territory </w:t>
      </w:r>
      <w:r w:rsidRPr="005911E2">
        <w:t xml:space="preserve">and contrast site survey participants, changes in children’s wellbeing since the introduction of </w:t>
      </w:r>
      <w:r w:rsidR="00F878E4">
        <w:t>income management</w:t>
      </w:r>
      <w:bookmarkEnd w:id="1075"/>
      <w:bookmarkEnd w:id="1076"/>
      <w:bookmarkEnd w:id="1077"/>
      <w:bookmarkEnd w:id="1078"/>
    </w:p>
    <w:tbl>
      <w:tblPr>
        <w:tblW w:w="7842" w:type="dxa"/>
        <w:jc w:val="right"/>
        <w:tblLayout w:type="fixed"/>
        <w:tblLook w:val="0000" w:firstRow="0" w:lastRow="0" w:firstColumn="0" w:lastColumn="0" w:noHBand="0" w:noVBand="0"/>
      </w:tblPr>
      <w:tblGrid>
        <w:gridCol w:w="1843"/>
        <w:gridCol w:w="708"/>
        <w:gridCol w:w="709"/>
        <w:gridCol w:w="236"/>
        <w:gridCol w:w="757"/>
        <w:gridCol w:w="851"/>
        <w:gridCol w:w="284"/>
        <w:gridCol w:w="707"/>
        <w:gridCol w:w="238"/>
        <w:gridCol w:w="800"/>
        <w:gridCol w:w="709"/>
      </w:tblGrid>
      <w:tr w:rsidR="00897C1E" w:rsidRPr="005911E2" w:rsidTr="00B460A2">
        <w:trPr>
          <w:trHeight w:val="290"/>
          <w:jc w:val="right"/>
        </w:trPr>
        <w:tc>
          <w:tcPr>
            <w:tcW w:w="1843" w:type="dxa"/>
            <w:tcBorders>
              <w:top w:val="single" w:sz="4" w:space="0" w:color="auto"/>
              <w:left w:val="nil"/>
              <w:bottom w:val="nil"/>
              <w:right w:val="nil"/>
            </w:tcBorders>
          </w:tcPr>
          <w:p w:rsidR="00897C1E" w:rsidRPr="005911E2" w:rsidRDefault="00897C1E" w:rsidP="00F104E9">
            <w:pPr>
              <w:pStyle w:val="braytabletext"/>
            </w:pPr>
          </w:p>
        </w:tc>
        <w:tc>
          <w:tcPr>
            <w:tcW w:w="4252" w:type="dxa"/>
            <w:gridSpan w:val="7"/>
            <w:tcBorders>
              <w:top w:val="single" w:sz="4" w:space="0" w:color="auto"/>
              <w:left w:val="nil"/>
              <w:bottom w:val="single" w:sz="4" w:space="0" w:color="auto"/>
              <w:right w:val="nil"/>
            </w:tcBorders>
          </w:tcPr>
          <w:p w:rsidR="00897C1E" w:rsidRPr="005911E2" w:rsidRDefault="00897C1E" w:rsidP="00F104E9">
            <w:pPr>
              <w:pStyle w:val="braytabletext"/>
            </w:pPr>
            <w:r w:rsidRPr="005911E2">
              <w:t>Northern Territory (</w:t>
            </w:r>
            <w:r w:rsidR="00F878E4">
              <w:t>income management</w:t>
            </w:r>
            <w:r w:rsidRPr="005911E2">
              <w:t>)</w:t>
            </w:r>
          </w:p>
        </w:tc>
        <w:tc>
          <w:tcPr>
            <w:tcW w:w="238" w:type="dxa"/>
            <w:tcBorders>
              <w:top w:val="single" w:sz="4" w:space="0" w:color="auto"/>
              <w:left w:val="nil"/>
              <w:bottom w:val="nil"/>
              <w:right w:val="nil"/>
            </w:tcBorders>
          </w:tcPr>
          <w:p w:rsidR="00897C1E" w:rsidRPr="005911E2" w:rsidRDefault="00897C1E" w:rsidP="00F104E9">
            <w:pPr>
              <w:pStyle w:val="braytabletext"/>
            </w:pPr>
          </w:p>
        </w:tc>
        <w:tc>
          <w:tcPr>
            <w:tcW w:w="1509" w:type="dxa"/>
            <w:gridSpan w:val="2"/>
            <w:tcBorders>
              <w:top w:val="single" w:sz="4" w:space="0" w:color="auto"/>
              <w:left w:val="nil"/>
              <w:bottom w:val="single" w:sz="4" w:space="0" w:color="auto"/>
              <w:right w:val="nil"/>
            </w:tcBorders>
          </w:tcPr>
          <w:p w:rsidR="00897C1E" w:rsidRPr="005911E2" w:rsidRDefault="00897C1E" w:rsidP="00F104E9">
            <w:pPr>
              <w:pStyle w:val="braytabletext"/>
            </w:pPr>
            <w:r w:rsidRPr="005911E2">
              <w:t>Contrast sites</w:t>
            </w:r>
          </w:p>
        </w:tc>
      </w:tr>
      <w:tr w:rsidR="00897C1E" w:rsidRPr="005911E2" w:rsidTr="00B460A2">
        <w:trPr>
          <w:trHeight w:val="290"/>
          <w:jc w:val="right"/>
        </w:trPr>
        <w:tc>
          <w:tcPr>
            <w:tcW w:w="1843" w:type="dxa"/>
            <w:tcBorders>
              <w:top w:val="nil"/>
              <w:left w:val="nil"/>
              <w:bottom w:val="nil"/>
              <w:right w:val="nil"/>
            </w:tcBorders>
          </w:tcPr>
          <w:p w:rsidR="00897C1E" w:rsidRPr="005911E2" w:rsidRDefault="00897C1E" w:rsidP="00F104E9">
            <w:pPr>
              <w:pStyle w:val="braytabletext"/>
            </w:pPr>
          </w:p>
        </w:tc>
        <w:tc>
          <w:tcPr>
            <w:tcW w:w="3261" w:type="dxa"/>
            <w:gridSpan w:val="5"/>
            <w:tcBorders>
              <w:top w:val="single" w:sz="4" w:space="0" w:color="auto"/>
              <w:left w:val="nil"/>
              <w:bottom w:val="single" w:sz="4" w:space="0" w:color="auto"/>
              <w:right w:val="nil"/>
            </w:tcBorders>
          </w:tcPr>
          <w:p w:rsidR="00897C1E" w:rsidRPr="005911E2" w:rsidRDefault="00897C1E" w:rsidP="00F104E9">
            <w:pPr>
              <w:pStyle w:val="braytabletext"/>
            </w:pPr>
            <w:r w:rsidRPr="005911E2">
              <w:t>Indigenous</w:t>
            </w:r>
          </w:p>
        </w:tc>
        <w:tc>
          <w:tcPr>
            <w:tcW w:w="284" w:type="dxa"/>
            <w:tcBorders>
              <w:top w:val="single" w:sz="4" w:space="0" w:color="auto"/>
              <w:left w:val="nil"/>
              <w:right w:val="nil"/>
            </w:tcBorders>
          </w:tcPr>
          <w:p w:rsidR="00897C1E" w:rsidRPr="005911E2" w:rsidRDefault="00897C1E" w:rsidP="00F104E9">
            <w:pPr>
              <w:pStyle w:val="braytabletext"/>
              <w:jc w:val="right"/>
            </w:pPr>
          </w:p>
        </w:tc>
        <w:tc>
          <w:tcPr>
            <w:tcW w:w="707" w:type="dxa"/>
            <w:tcBorders>
              <w:top w:val="single" w:sz="4" w:space="0" w:color="auto"/>
              <w:left w:val="nil"/>
              <w:bottom w:val="single" w:sz="4" w:space="0" w:color="auto"/>
              <w:right w:val="nil"/>
            </w:tcBorders>
          </w:tcPr>
          <w:p w:rsidR="00897C1E" w:rsidRPr="005911E2" w:rsidRDefault="00897C1E" w:rsidP="00F104E9">
            <w:pPr>
              <w:pStyle w:val="braytabletext"/>
              <w:jc w:val="right"/>
            </w:pPr>
            <w:r w:rsidRPr="005911E2">
              <w:t xml:space="preserve">Non-Indig-enous </w:t>
            </w:r>
          </w:p>
        </w:tc>
        <w:tc>
          <w:tcPr>
            <w:tcW w:w="238" w:type="dxa"/>
            <w:tcBorders>
              <w:top w:val="nil"/>
              <w:left w:val="nil"/>
              <w:bottom w:val="nil"/>
              <w:right w:val="nil"/>
            </w:tcBorders>
          </w:tcPr>
          <w:p w:rsidR="00897C1E" w:rsidRPr="005911E2" w:rsidRDefault="00897C1E" w:rsidP="00F104E9">
            <w:pPr>
              <w:pStyle w:val="braytabletext"/>
              <w:jc w:val="right"/>
            </w:pPr>
          </w:p>
        </w:tc>
        <w:tc>
          <w:tcPr>
            <w:tcW w:w="800" w:type="dxa"/>
            <w:vMerge w:val="restart"/>
            <w:tcBorders>
              <w:top w:val="single" w:sz="4" w:space="0" w:color="auto"/>
              <w:left w:val="nil"/>
              <w:right w:val="nil"/>
            </w:tcBorders>
          </w:tcPr>
          <w:p w:rsidR="00897C1E" w:rsidRPr="005911E2" w:rsidRDefault="00897C1E" w:rsidP="00F104E9">
            <w:pPr>
              <w:pStyle w:val="braytabletext"/>
              <w:jc w:val="right"/>
            </w:pPr>
            <w:r w:rsidRPr="005911E2">
              <w:t>Indig-enous</w:t>
            </w:r>
          </w:p>
        </w:tc>
        <w:tc>
          <w:tcPr>
            <w:tcW w:w="709" w:type="dxa"/>
            <w:vMerge w:val="restart"/>
            <w:tcBorders>
              <w:top w:val="single" w:sz="4" w:space="0" w:color="auto"/>
              <w:left w:val="nil"/>
              <w:right w:val="nil"/>
            </w:tcBorders>
          </w:tcPr>
          <w:p w:rsidR="00897C1E" w:rsidRPr="005911E2" w:rsidRDefault="00897C1E" w:rsidP="00F104E9">
            <w:pPr>
              <w:pStyle w:val="braytabletext"/>
              <w:jc w:val="right"/>
            </w:pPr>
            <w:r w:rsidRPr="005911E2">
              <w:t>Non-Indig-enous</w:t>
            </w:r>
          </w:p>
        </w:tc>
      </w:tr>
      <w:tr w:rsidR="00224BEA" w:rsidRPr="005911E2" w:rsidTr="00B460A2">
        <w:trPr>
          <w:trHeight w:val="290"/>
          <w:jc w:val="right"/>
        </w:trPr>
        <w:tc>
          <w:tcPr>
            <w:tcW w:w="1843" w:type="dxa"/>
            <w:tcBorders>
              <w:top w:val="nil"/>
              <w:left w:val="nil"/>
              <w:bottom w:val="nil"/>
              <w:right w:val="nil"/>
            </w:tcBorders>
          </w:tcPr>
          <w:p w:rsidR="00224BEA" w:rsidRPr="005911E2" w:rsidRDefault="00224BEA" w:rsidP="00F104E9">
            <w:pPr>
              <w:pStyle w:val="braytabletext"/>
            </w:pPr>
          </w:p>
        </w:tc>
        <w:tc>
          <w:tcPr>
            <w:tcW w:w="1417" w:type="dxa"/>
            <w:gridSpan w:val="2"/>
            <w:tcBorders>
              <w:top w:val="single" w:sz="4" w:space="0" w:color="auto"/>
              <w:left w:val="nil"/>
              <w:bottom w:val="single" w:sz="4" w:space="0" w:color="auto"/>
              <w:right w:val="nil"/>
            </w:tcBorders>
          </w:tcPr>
          <w:p w:rsidR="00224BEA" w:rsidRPr="005911E2" w:rsidRDefault="00224BEA" w:rsidP="00224BEA">
            <w:pPr>
              <w:pStyle w:val="braytabletext"/>
            </w:pPr>
            <w:r>
              <w:t xml:space="preserve">Compulsory </w:t>
            </w:r>
          </w:p>
        </w:tc>
        <w:tc>
          <w:tcPr>
            <w:tcW w:w="236" w:type="dxa"/>
            <w:tcBorders>
              <w:top w:val="single" w:sz="4" w:space="0" w:color="auto"/>
              <w:left w:val="nil"/>
              <w:bottom w:val="nil"/>
              <w:right w:val="nil"/>
            </w:tcBorders>
          </w:tcPr>
          <w:p w:rsidR="00224BEA" w:rsidRPr="005911E2" w:rsidRDefault="00224BEA" w:rsidP="00F104E9">
            <w:pPr>
              <w:pStyle w:val="braytabletext"/>
            </w:pPr>
          </w:p>
        </w:tc>
        <w:tc>
          <w:tcPr>
            <w:tcW w:w="1608" w:type="dxa"/>
            <w:gridSpan w:val="2"/>
            <w:tcBorders>
              <w:top w:val="single" w:sz="4" w:space="0" w:color="auto"/>
              <w:left w:val="nil"/>
              <w:bottom w:val="single" w:sz="4" w:space="0" w:color="auto"/>
              <w:right w:val="nil"/>
            </w:tcBorders>
          </w:tcPr>
          <w:p w:rsidR="00224BEA" w:rsidRPr="005911E2" w:rsidRDefault="00224BEA" w:rsidP="00224BEA">
            <w:pPr>
              <w:pStyle w:val="braytabletext"/>
            </w:pPr>
            <w:r w:rsidRPr="005911E2">
              <w:t xml:space="preserve">Voluntary </w:t>
            </w:r>
          </w:p>
        </w:tc>
        <w:tc>
          <w:tcPr>
            <w:tcW w:w="284" w:type="dxa"/>
            <w:tcBorders>
              <w:left w:val="nil"/>
              <w:right w:val="nil"/>
            </w:tcBorders>
          </w:tcPr>
          <w:p w:rsidR="00224BEA" w:rsidRPr="005911E2" w:rsidRDefault="00224BEA" w:rsidP="00F104E9">
            <w:pPr>
              <w:pStyle w:val="braytabletext"/>
            </w:pPr>
          </w:p>
        </w:tc>
        <w:tc>
          <w:tcPr>
            <w:tcW w:w="945" w:type="dxa"/>
            <w:gridSpan w:val="2"/>
            <w:vMerge w:val="restart"/>
            <w:tcBorders>
              <w:top w:val="single" w:sz="4" w:space="0" w:color="auto"/>
              <w:left w:val="nil"/>
              <w:right w:val="nil"/>
            </w:tcBorders>
          </w:tcPr>
          <w:p w:rsidR="00224BEA" w:rsidRPr="005911E2" w:rsidRDefault="00224BEA" w:rsidP="00F104E9">
            <w:pPr>
              <w:pStyle w:val="braytabletext"/>
            </w:pPr>
            <w:r>
              <w:t xml:space="preserve">Comp-ulsory </w:t>
            </w:r>
          </w:p>
        </w:tc>
        <w:tc>
          <w:tcPr>
            <w:tcW w:w="800" w:type="dxa"/>
            <w:vMerge/>
            <w:tcBorders>
              <w:left w:val="nil"/>
              <w:right w:val="nil"/>
            </w:tcBorders>
          </w:tcPr>
          <w:p w:rsidR="00224BEA" w:rsidRPr="005911E2" w:rsidRDefault="00224BEA" w:rsidP="00F104E9">
            <w:pPr>
              <w:pStyle w:val="braytabletext"/>
            </w:pPr>
          </w:p>
        </w:tc>
        <w:tc>
          <w:tcPr>
            <w:tcW w:w="709" w:type="dxa"/>
            <w:vMerge/>
            <w:tcBorders>
              <w:left w:val="nil"/>
              <w:right w:val="nil"/>
            </w:tcBorders>
          </w:tcPr>
          <w:p w:rsidR="00224BEA" w:rsidRPr="005911E2" w:rsidRDefault="00224BEA" w:rsidP="00F104E9">
            <w:pPr>
              <w:pStyle w:val="braytabletext"/>
            </w:pPr>
          </w:p>
        </w:tc>
      </w:tr>
      <w:tr w:rsidR="00224BEA" w:rsidRPr="005911E2" w:rsidTr="00B460A2">
        <w:trPr>
          <w:trHeight w:val="290"/>
          <w:jc w:val="right"/>
        </w:trPr>
        <w:tc>
          <w:tcPr>
            <w:tcW w:w="1843" w:type="dxa"/>
            <w:tcBorders>
              <w:top w:val="nil"/>
              <w:left w:val="nil"/>
              <w:bottom w:val="single" w:sz="4" w:space="0" w:color="auto"/>
              <w:right w:val="nil"/>
            </w:tcBorders>
          </w:tcPr>
          <w:p w:rsidR="00224BEA" w:rsidRPr="005911E2" w:rsidRDefault="00224BEA" w:rsidP="00F104E9">
            <w:pPr>
              <w:pStyle w:val="braytabletext"/>
            </w:pPr>
          </w:p>
        </w:tc>
        <w:tc>
          <w:tcPr>
            <w:tcW w:w="708" w:type="dxa"/>
            <w:tcBorders>
              <w:top w:val="single" w:sz="4" w:space="0" w:color="auto"/>
              <w:left w:val="nil"/>
              <w:bottom w:val="single" w:sz="4" w:space="0" w:color="auto"/>
              <w:right w:val="nil"/>
            </w:tcBorders>
          </w:tcPr>
          <w:p w:rsidR="00224BEA" w:rsidRPr="005911E2" w:rsidRDefault="00224BEA" w:rsidP="00F104E9">
            <w:pPr>
              <w:pStyle w:val="braytabletext"/>
              <w:jc w:val="right"/>
            </w:pPr>
            <w:r w:rsidRPr="005911E2">
              <w:t>NTER area</w:t>
            </w:r>
          </w:p>
        </w:tc>
        <w:tc>
          <w:tcPr>
            <w:tcW w:w="709" w:type="dxa"/>
            <w:tcBorders>
              <w:top w:val="single" w:sz="4" w:space="0" w:color="auto"/>
              <w:left w:val="nil"/>
              <w:bottom w:val="single" w:sz="4" w:space="0" w:color="auto"/>
              <w:right w:val="nil"/>
            </w:tcBorders>
          </w:tcPr>
          <w:p w:rsidR="00224BEA" w:rsidRPr="005911E2" w:rsidRDefault="00224BEA" w:rsidP="00F104E9">
            <w:pPr>
              <w:pStyle w:val="braytabletext"/>
              <w:jc w:val="right"/>
            </w:pPr>
            <w:r w:rsidRPr="005911E2">
              <w:t>Not NTER</w:t>
            </w:r>
          </w:p>
        </w:tc>
        <w:tc>
          <w:tcPr>
            <w:tcW w:w="236" w:type="dxa"/>
            <w:tcBorders>
              <w:top w:val="nil"/>
              <w:left w:val="nil"/>
              <w:bottom w:val="single" w:sz="4" w:space="0" w:color="auto"/>
              <w:right w:val="nil"/>
            </w:tcBorders>
          </w:tcPr>
          <w:p w:rsidR="00224BEA" w:rsidRPr="005911E2" w:rsidRDefault="00224BEA" w:rsidP="00F104E9">
            <w:pPr>
              <w:pStyle w:val="braytabletext"/>
              <w:jc w:val="right"/>
            </w:pPr>
          </w:p>
        </w:tc>
        <w:tc>
          <w:tcPr>
            <w:tcW w:w="757" w:type="dxa"/>
            <w:tcBorders>
              <w:top w:val="single" w:sz="4" w:space="0" w:color="auto"/>
              <w:left w:val="nil"/>
              <w:bottom w:val="single" w:sz="4" w:space="0" w:color="auto"/>
              <w:right w:val="nil"/>
            </w:tcBorders>
          </w:tcPr>
          <w:p w:rsidR="00224BEA" w:rsidRPr="005911E2" w:rsidRDefault="00224BEA" w:rsidP="00F104E9">
            <w:pPr>
              <w:pStyle w:val="braytabletext"/>
              <w:jc w:val="right"/>
            </w:pPr>
            <w:r w:rsidRPr="005911E2">
              <w:t>NTER area</w:t>
            </w:r>
          </w:p>
        </w:tc>
        <w:tc>
          <w:tcPr>
            <w:tcW w:w="851" w:type="dxa"/>
            <w:tcBorders>
              <w:top w:val="single" w:sz="4" w:space="0" w:color="auto"/>
              <w:left w:val="nil"/>
              <w:bottom w:val="single" w:sz="4" w:space="0" w:color="auto"/>
              <w:right w:val="nil"/>
            </w:tcBorders>
          </w:tcPr>
          <w:p w:rsidR="00224BEA" w:rsidRPr="005911E2" w:rsidRDefault="00224BEA" w:rsidP="00F104E9">
            <w:pPr>
              <w:pStyle w:val="braytabletext"/>
              <w:jc w:val="right"/>
            </w:pPr>
            <w:r w:rsidRPr="005911E2">
              <w:t>Not NTER</w:t>
            </w:r>
          </w:p>
        </w:tc>
        <w:tc>
          <w:tcPr>
            <w:tcW w:w="284" w:type="dxa"/>
            <w:tcBorders>
              <w:left w:val="nil"/>
              <w:bottom w:val="single" w:sz="4" w:space="0" w:color="auto"/>
              <w:right w:val="nil"/>
            </w:tcBorders>
          </w:tcPr>
          <w:p w:rsidR="00224BEA" w:rsidRPr="005911E2" w:rsidRDefault="00224BEA" w:rsidP="00F104E9">
            <w:pPr>
              <w:pStyle w:val="braytabletext"/>
            </w:pPr>
          </w:p>
        </w:tc>
        <w:tc>
          <w:tcPr>
            <w:tcW w:w="945" w:type="dxa"/>
            <w:gridSpan w:val="2"/>
            <w:vMerge/>
            <w:tcBorders>
              <w:left w:val="nil"/>
              <w:bottom w:val="single" w:sz="4" w:space="0" w:color="auto"/>
              <w:right w:val="nil"/>
            </w:tcBorders>
          </w:tcPr>
          <w:p w:rsidR="00224BEA" w:rsidRPr="005911E2" w:rsidRDefault="00224BEA" w:rsidP="00F104E9">
            <w:pPr>
              <w:pStyle w:val="braytabletext"/>
            </w:pPr>
          </w:p>
        </w:tc>
        <w:tc>
          <w:tcPr>
            <w:tcW w:w="800" w:type="dxa"/>
            <w:vMerge/>
            <w:tcBorders>
              <w:left w:val="nil"/>
              <w:bottom w:val="single" w:sz="4" w:space="0" w:color="auto"/>
              <w:right w:val="nil"/>
            </w:tcBorders>
          </w:tcPr>
          <w:p w:rsidR="00224BEA" w:rsidRPr="005911E2" w:rsidRDefault="00224BEA" w:rsidP="00F104E9">
            <w:pPr>
              <w:pStyle w:val="braytabletext"/>
            </w:pPr>
          </w:p>
        </w:tc>
        <w:tc>
          <w:tcPr>
            <w:tcW w:w="709" w:type="dxa"/>
            <w:vMerge/>
            <w:tcBorders>
              <w:left w:val="nil"/>
              <w:bottom w:val="single" w:sz="4" w:space="0" w:color="auto"/>
              <w:right w:val="nil"/>
            </w:tcBorders>
          </w:tcPr>
          <w:p w:rsidR="00224BEA" w:rsidRPr="005911E2" w:rsidRDefault="00224BEA" w:rsidP="00F104E9">
            <w:pPr>
              <w:pStyle w:val="braytabletext"/>
            </w:pPr>
          </w:p>
        </w:tc>
      </w:tr>
      <w:tr w:rsidR="00897C1E" w:rsidRPr="005911E2" w:rsidTr="00B460A2">
        <w:trPr>
          <w:trHeight w:val="290"/>
          <w:jc w:val="right"/>
        </w:trPr>
        <w:tc>
          <w:tcPr>
            <w:tcW w:w="1843" w:type="dxa"/>
            <w:tcBorders>
              <w:top w:val="single" w:sz="4" w:space="0" w:color="auto"/>
              <w:left w:val="nil"/>
              <w:bottom w:val="nil"/>
              <w:right w:val="nil"/>
            </w:tcBorders>
          </w:tcPr>
          <w:p w:rsidR="00897C1E" w:rsidRPr="005911E2" w:rsidRDefault="00897C1E" w:rsidP="00F104E9">
            <w:pPr>
              <w:pStyle w:val="braytabletext"/>
            </w:pPr>
          </w:p>
        </w:tc>
        <w:tc>
          <w:tcPr>
            <w:tcW w:w="5999" w:type="dxa"/>
            <w:gridSpan w:val="10"/>
            <w:tcBorders>
              <w:top w:val="single" w:sz="4" w:space="0" w:color="auto"/>
              <w:left w:val="nil"/>
              <w:bottom w:val="nil"/>
              <w:right w:val="nil"/>
            </w:tcBorders>
          </w:tcPr>
          <w:p w:rsidR="00897C1E" w:rsidRPr="005911E2" w:rsidRDefault="00897C1E" w:rsidP="00F104E9">
            <w:pPr>
              <w:pStyle w:val="braytabletext"/>
              <w:jc w:val="center"/>
            </w:pPr>
            <w:r w:rsidRPr="005911E2">
              <w:t>Percentage point improvement</w:t>
            </w:r>
            <w:r w:rsidR="00224BEA">
              <w:t xml:space="preserve"> (a)</w:t>
            </w:r>
          </w:p>
        </w:tc>
      </w:tr>
      <w:tr w:rsidR="00897C1E" w:rsidRPr="005911E2" w:rsidTr="00B460A2">
        <w:trPr>
          <w:trHeight w:val="290"/>
          <w:jc w:val="right"/>
        </w:trPr>
        <w:tc>
          <w:tcPr>
            <w:tcW w:w="1843" w:type="dxa"/>
            <w:tcBorders>
              <w:top w:val="nil"/>
              <w:left w:val="nil"/>
              <w:bottom w:val="nil"/>
              <w:right w:val="nil"/>
            </w:tcBorders>
          </w:tcPr>
          <w:p w:rsidR="00897C1E" w:rsidRPr="005911E2" w:rsidRDefault="00897C1E" w:rsidP="00F104E9">
            <w:pPr>
              <w:pStyle w:val="braytabletext"/>
            </w:pPr>
            <w:r w:rsidRPr="005911E2">
              <w:t>Healthier</w:t>
            </w:r>
          </w:p>
        </w:tc>
        <w:tc>
          <w:tcPr>
            <w:tcW w:w="708" w:type="dxa"/>
            <w:tcBorders>
              <w:top w:val="nil"/>
              <w:left w:val="nil"/>
              <w:bottom w:val="nil"/>
              <w:right w:val="nil"/>
            </w:tcBorders>
          </w:tcPr>
          <w:p w:rsidR="00897C1E" w:rsidRPr="005911E2" w:rsidRDefault="00897C1E" w:rsidP="00F104E9">
            <w:pPr>
              <w:pStyle w:val="braytabletext"/>
              <w:jc w:val="right"/>
            </w:pPr>
            <w:r w:rsidRPr="005911E2">
              <w:t>50.9</w:t>
            </w:r>
          </w:p>
        </w:tc>
        <w:tc>
          <w:tcPr>
            <w:tcW w:w="709" w:type="dxa"/>
            <w:tcBorders>
              <w:top w:val="nil"/>
              <w:left w:val="nil"/>
              <w:bottom w:val="nil"/>
              <w:right w:val="nil"/>
            </w:tcBorders>
          </w:tcPr>
          <w:p w:rsidR="00897C1E" w:rsidRPr="005911E2" w:rsidRDefault="00897C1E" w:rsidP="00F104E9">
            <w:pPr>
              <w:pStyle w:val="braytabletext"/>
              <w:jc w:val="right"/>
            </w:pPr>
            <w:r w:rsidRPr="005911E2">
              <w:t>42.1</w:t>
            </w:r>
          </w:p>
        </w:tc>
        <w:tc>
          <w:tcPr>
            <w:tcW w:w="236" w:type="dxa"/>
            <w:tcBorders>
              <w:top w:val="nil"/>
              <w:left w:val="nil"/>
              <w:bottom w:val="nil"/>
              <w:right w:val="nil"/>
            </w:tcBorders>
          </w:tcPr>
          <w:p w:rsidR="00897C1E" w:rsidRPr="005911E2" w:rsidRDefault="00897C1E" w:rsidP="00F104E9">
            <w:pPr>
              <w:pStyle w:val="braytabletext"/>
              <w:jc w:val="right"/>
            </w:pPr>
          </w:p>
        </w:tc>
        <w:tc>
          <w:tcPr>
            <w:tcW w:w="757" w:type="dxa"/>
            <w:tcBorders>
              <w:top w:val="nil"/>
              <w:left w:val="nil"/>
              <w:bottom w:val="nil"/>
              <w:right w:val="nil"/>
            </w:tcBorders>
          </w:tcPr>
          <w:p w:rsidR="00897C1E" w:rsidRPr="005911E2" w:rsidRDefault="00897C1E" w:rsidP="00F104E9">
            <w:pPr>
              <w:pStyle w:val="braytabletext"/>
              <w:jc w:val="right"/>
            </w:pPr>
            <w:r w:rsidRPr="005911E2">
              <w:t>62.5</w:t>
            </w:r>
          </w:p>
        </w:tc>
        <w:tc>
          <w:tcPr>
            <w:tcW w:w="851" w:type="dxa"/>
            <w:tcBorders>
              <w:top w:val="nil"/>
              <w:left w:val="nil"/>
              <w:bottom w:val="nil"/>
              <w:right w:val="nil"/>
            </w:tcBorders>
          </w:tcPr>
          <w:p w:rsidR="00897C1E" w:rsidRPr="005911E2" w:rsidRDefault="00897C1E" w:rsidP="00F104E9">
            <w:pPr>
              <w:pStyle w:val="braytabletext"/>
              <w:jc w:val="right"/>
            </w:pPr>
            <w:r w:rsidRPr="005911E2">
              <w:t>36.4</w:t>
            </w:r>
          </w:p>
        </w:tc>
        <w:tc>
          <w:tcPr>
            <w:tcW w:w="284" w:type="dxa"/>
            <w:tcBorders>
              <w:top w:val="nil"/>
              <w:left w:val="nil"/>
              <w:bottom w:val="nil"/>
              <w:right w:val="nil"/>
            </w:tcBorders>
          </w:tcPr>
          <w:p w:rsidR="00897C1E" w:rsidRPr="005911E2" w:rsidRDefault="00897C1E" w:rsidP="00F104E9">
            <w:pPr>
              <w:pStyle w:val="braytabletext"/>
              <w:jc w:val="right"/>
            </w:pPr>
          </w:p>
        </w:tc>
        <w:tc>
          <w:tcPr>
            <w:tcW w:w="707" w:type="dxa"/>
            <w:tcBorders>
              <w:top w:val="nil"/>
              <w:left w:val="nil"/>
              <w:bottom w:val="nil"/>
              <w:right w:val="nil"/>
            </w:tcBorders>
          </w:tcPr>
          <w:p w:rsidR="00897C1E" w:rsidRPr="005911E2" w:rsidRDefault="00897C1E" w:rsidP="00F104E9">
            <w:pPr>
              <w:pStyle w:val="braytabletext"/>
              <w:jc w:val="right"/>
            </w:pPr>
            <w:r w:rsidRPr="005911E2">
              <w:t>7.4</w:t>
            </w:r>
          </w:p>
        </w:tc>
        <w:tc>
          <w:tcPr>
            <w:tcW w:w="238" w:type="dxa"/>
            <w:tcBorders>
              <w:top w:val="nil"/>
              <w:left w:val="nil"/>
              <w:bottom w:val="nil"/>
              <w:right w:val="nil"/>
            </w:tcBorders>
          </w:tcPr>
          <w:p w:rsidR="00897C1E" w:rsidRPr="005911E2" w:rsidRDefault="00897C1E" w:rsidP="00F104E9">
            <w:pPr>
              <w:pStyle w:val="braytabletext"/>
              <w:jc w:val="right"/>
            </w:pPr>
          </w:p>
        </w:tc>
        <w:tc>
          <w:tcPr>
            <w:tcW w:w="800" w:type="dxa"/>
            <w:tcBorders>
              <w:top w:val="nil"/>
              <w:left w:val="nil"/>
              <w:bottom w:val="nil"/>
              <w:right w:val="nil"/>
            </w:tcBorders>
          </w:tcPr>
          <w:p w:rsidR="00897C1E" w:rsidRPr="005911E2" w:rsidRDefault="00897C1E" w:rsidP="00F104E9">
            <w:pPr>
              <w:pStyle w:val="braytabletext"/>
              <w:jc w:val="right"/>
            </w:pPr>
            <w:r w:rsidRPr="005911E2">
              <w:t>12.6</w:t>
            </w:r>
          </w:p>
        </w:tc>
        <w:tc>
          <w:tcPr>
            <w:tcW w:w="709" w:type="dxa"/>
            <w:tcBorders>
              <w:top w:val="nil"/>
              <w:left w:val="nil"/>
              <w:bottom w:val="nil"/>
              <w:right w:val="nil"/>
            </w:tcBorders>
          </w:tcPr>
          <w:p w:rsidR="00897C1E" w:rsidRPr="005911E2" w:rsidRDefault="00897C1E" w:rsidP="00F104E9">
            <w:pPr>
              <w:pStyle w:val="braytabletext"/>
              <w:jc w:val="right"/>
            </w:pPr>
            <w:r w:rsidRPr="005911E2">
              <w:t>0.0</w:t>
            </w:r>
          </w:p>
        </w:tc>
      </w:tr>
      <w:tr w:rsidR="00897C1E" w:rsidRPr="005911E2" w:rsidTr="00B460A2">
        <w:trPr>
          <w:trHeight w:val="290"/>
          <w:jc w:val="right"/>
        </w:trPr>
        <w:tc>
          <w:tcPr>
            <w:tcW w:w="1843" w:type="dxa"/>
            <w:tcBorders>
              <w:top w:val="nil"/>
              <w:left w:val="nil"/>
              <w:bottom w:val="nil"/>
              <w:right w:val="nil"/>
            </w:tcBorders>
          </w:tcPr>
          <w:p w:rsidR="00897C1E" w:rsidRPr="005911E2" w:rsidRDefault="00897C1E" w:rsidP="00F104E9">
            <w:pPr>
              <w:pStyle w:val="braytabletext"/>
            </w:pPr>
            <w:r w:rsidRPr="005911E2">
              <w:t>More food</w:t>
            </w:r>
          </w:p>
        </w:tc>
        <w:tc>
          <w:tcPr>
            <w:tcW w:w="708" w:type="dxa"/>
            <w:tcBorders>
              <w:top w:val="nil"/>
              <w:left w:val="nil"/>
              <w:bottom w:val="nil"/>
              <w:right w:val="nil"/>
            </w:tcBorders>
          </w:tcPr>
          <w:p w:rsidR="00897C1E" w:rsidRPr="005911E2" w:rsidRDefault="00897C1E" w:rsidP="00F104E9">
            <w:pPr>
              <w:pStyle w:val="braytabletext"/>
              <w:jc w:val="right"/>
            </w:pPr>
            <w:r w:rsidRPr="005911E2">
              <w:t>50.7</w:t>
            </w:r>
          </w:p>
        </w:tc>
        <w:tc>
          <w:tcPr>
            <w:tcW w:w="709" w:type="dxa"/>
            <w:tcBorders>
              <w:top w:val="nil"/>
              <w:left w:val="nil"/>
              <w:bottom w:val="nil"/>
              <w:right w:val="nil"/>
            </w:tcBorders>
          </w:tcPr>
          <w:p w:rsidR="00897C1E" w:rsidRPr="005911E2" w:rsidRDefault="00897C1E" w:rsidP="00F104E9">
            <w:pPr>
              <w:pStyle w:val="braytabletext"/>
              <w:jc w:val="right"/>
            </w:pPr>
            <w:r w:rsidRPr="005911E2">
              <w:t>50.7</w:t>
            </w:r>
          </w:p>
        </w:tc>
        <w:tc>
          <w:tcPr>
            <w:tcW w:w="236" w:type="dxa"/>
            <w:tcBorders>
              <w:top w:val="nil"/>
              <w:left w:val="nil"/>
              <w:bottom w:val="nil"/>
              <w:right w:val="nil"/>
            </w:tcBorders>
          </w:tcPr>
          <w:p w:rsidR="00897C1E" w:rsidRPr="005911E2" w:rsidRDefault="00897C1E" w:rsidP="00F104E9">
            <w:pPr>
              <w:pStyle w:val="braytabletext"/>
              <w:jc w:val="right"/>
            </w:pPr>
          </w:p>
        </w:tc>
        <w:tc>
          <w:tcPr>
            <w:tcW w:w="757" w:type="dxa"/>
            <w:tcBorders>
              <w:top w:val="nil"/>
              <w:left w:val="nil"/>
              <w:bottom w:val="nil"/>
              <w:right w:val="nil"/>
            </w:tcBorders>
          </w:tcPr>
          <w:p w:rsidR="00897C1E" w:rsidRPr="005911E2" w:rsidRDefault="00897C1E" w:rsidP="00F104E9">
            <w:pPr>
              <w:pStyle w:val="braytabletext"/>
              <w:jc w:val="right"/>
            </w:pPr>
            <w:r w:rsidRPr="005911E2">
              <w:t>54.5</w:t>
            </w:r>
          </w:p>
        </w:tc>
        <w:tc>
          <w:tcPr>
            <w:tcW w:w="851" w:type="dxa"/>
            <w:tcBorders>
              <w:top w:val="nil"/>
              <w:left w:val="nil"/>
              <w:bottom w:val="nil"/>
              <w:right w:val="nil"/>
            </w:tcBorders>
          </w:tcPr>
          <w:p w:rsidR="00897C1E" w:rsidRPr="005911E2" w:rsidRDefault="00897C1E" w:rsidP="00F104E9">
            <w:pPr>
              <w:pStyle w:val="braytabletext"/>
              <w:jc w:val="right"/>
            </w:pPr>
            <w:r w:rsidRPr="005911E2">
              <w:t>34.6</w:t>
            </w:r>
          </w:p>
        </w:tc>
        <w:tc>
          <w:tcPr>
            <w:tcW w:w="284" w:type="dxa"/>
            <w:tcBorders>
              <w:top w:val="nil"/>
              <w:left w:val="nil"/>
              <w:bottom w:val="nil"/>
              <w:right w:val="nil"/>
            </w:tcBorders>
          </w:tcPr>
          <w:p w:rsidR="00897C1E" w:rsidRPr="005911E2" w:rsidRDefault="00897C1E" w:rsidP="00F104E9">
            <w:pPr>
              <w:pStyle w:val="braytabletext"/>
              <w:jc w:val="right"/>
            </w:pPr>
          </w:p>
        </w:tc>
        <w:tc>
          <w:tcPr>
            <w:tcW w:w="707" w:type="dxa"/>
            <w:tcBorders>
              <w:top w:val="nil"/>
              <w:left w:val="nil"/>
              <w:bottom w:val="nil"/>
              <w:right w:val="nil"/>
            </w:tcBorders>
          </w:tcPr>
          <w:p w:rsidR="00897C1E" w:rsidRPr="005911E2" w:rsidRDefault="00897C1E" w:rsidP="00F104E9">
            <w:pPr>
              <w:pStyle w:val="braytabletext"/>
              <w:jc w:val="right"/>
            </w:pPr>
            <w:r w:rsidRPr="005911E2">
              <w:t>21.3</w:t>
            </w:r>
          </w:p>
        </w:tc>
        <w:tc>
          <w:tcPr>
            <w:tcW w:w="238" w:type="dxa"/>
            <w:tcBorders>
              <w:top w:val="nil"/>
              <w:left w:val="nil"/>
              <w:bottom w:val="nil"/>
              <w:right w:val="nil"/>
            </w:tcBorders>
          </w:tcPr>
          <w:p w:rsidR="00897C1E" w:rsidRPr="005911E2" w:rsidRDefault="00897C1E" w:rsidP="00F104E9">
            <w:pPr>
              <w:pStyle w:val="braytabletext"/>
              <w:jc w:val="right"/>
            </w:pPr>
          </w:p>
        </w:tc>
        <w:tc>
          <w:tcPr>
            <w:tcW w:w="800" w:type="dxa"/>
            <w:tcBorders>
              <w:top w:val="nil"/>
              <w:left w:val="nil"/>
              <w:bottom w:val="nil"/>
              <w:right w:val="nil"/>
            </w:tcBorders>
          </w:tcPr>
          <w:p w:rsidR="00897C1E" w:rsidRPr="005911E2" w:rsidRDefault="00897C1E" w:rsidP="00F104E9">
            <w:pPr>
              <w:pStyle w:val="braytabletext"/>
              <w:jc w:val="right"/>
            </w:pPr>
            <w:r w:rsidRPr="005911E2">
              <w:t>16.1</w:t>
            </w:r>
          </w:p>
        </w:tc>
        <w:tc>
          <w:tcPr>
            <w:tcW w:w="709" w:type="dxa"/>
            <w:tcBorders>
              <w:top w:val="nil"/>
              <w:left w:val="nil"/>
              <w:bottom w:val="nil"/>
              <w:right w:val="nil"/>
            </w:tcBorders>
          </w:tcPr>
          <w:p w:rsidR="00897C1E" w:rsidRPr="005911E2" w:rsidRDefault="00897C1E" w:rsidP="00F104E9">
            <w:pPr>
              <w:pStyle w:val="braytabletext"/>
              <w:jc w:val="right"/>
            </w:pPr>
            <w:r w:rsidRPr="005911E2">
              <w:t>7.0</w:t>
            </w:r>
          </w:p>
        </w:tc>
      </w:tr>
      <w:tr w:rsidR="00897C1E" w:rsidRPr="005911E2" w:rsidTr="00B460A2">
        <w:trPr>
          <w:trHeight w:val="290"/>
          <w:jc w:val="right"/>
        </w:trPr>
        <w:tc>
          <w:tcPr>
            <w:tcW w:w="1843" w:type="dxa"/>
            <w:tcBorders>
              <w:top w:val="nil"/>
              <w:left w:val="nil"/>
              <w:bottom w:val="nil"/>
              <w:right w:val="nil"/>
            </w:tcBorders>
          </w:tcPr>
          <w:p w:rsidR="00897C1E" w:rsidRPr="005911E2" w:rsidRDefault="00897C1E" w:rsidP="00F104E9">
            <w:pPr>
              <w:pStyle w:val="braytabletext"/>
            </w:pPr>
            <w:r w:rsidRPr="005911E2">
              <w:t>Safer</w:t>
            </w:r>
          </w:p>
        </w:tc>
        <w:tc>
          <w:tcPr>
            <w:tcW w:w="708" w:type="dxa"/>
            <w:tcBorders>
              <w:top w:val="nil"/>
              <w:left w:val="nil"/>
              <w:bottom w:val="nil"/>
              <w:right w:val="nil"/>
            </w:tcBorders>
          </w:tcPr>
          <w:p w:rsidR="00897C1E" w:rsidRPr="005911E2" w:rsidRDefault="00897C1E" w:rsidP="00F104E9">
            <w:pPr>
              <w:pStyle w:val="braytabletext"/>
              <w:jc w:val="right"/>
            </w:pPr>
            <w:r w:rsidRPr="005911E2">
              <w:t>61.2</w:t>
            </w:r>
          </w:p>
        </w:tc>
        <w:tc>
          <w:tcPr>
            <w:tcW w:w="709" w:type="dxa"/>
            <w:tcBorders>
              <w:top w:val="nil"/>
              <w:left w:val="nil"/>
              <w:bottom w:val="nil"/>
              <w:right w:val="nil"/>
            </w:tcBorders>
          </w:tcPr>
          <w:p w:rsidR="00897C1E" w:rsidRPr="005911E2" w:rsidRDefault="00897C1E" w:rsidP="00F104E9">
            <w:pPr>
              <w:pStyle w:val="braytabletext"/>
              <w:jc w:val="right"/>
            </w:pPr>
            <w:r w:rsidRPr="005911E2">
              <w:t>27.9</w:t>
            </w:r>
          </w:p>
        </w:tc>
        <w:tc>
          <w:tcPr>
            <w:tcW w:w="236" w:type="dxa"/>
            <w:tcBorders>
              <w:top w:val="nil"/>
              <w:left w:val="nil"/>
              <w:bottom w:val="nil"/>
              <w:right w:val="nil"/>
            </w:tcBorders>
          </w:tcPr>
          <w:p w:rsidR="00897C1E" w:rsidRPr="005911E2" w:rsidRDefault="00897C1E" w:rsidP="00F104E9">
            <w:pPr>
              <w:pStyle w:val="braytabletext"/>
              <w:jc w:val="right"/>
            </w:pPr>
          </w:p>
        </w:tc>
        <w:tc>
          <w:tcPr>
            <w:tcW w:w="757" w:type="dxa"/>
            <w:tcBorders>
              <w:top w:val="nil"/>
              <w:left w:val="nil"/>
              <w:bottom w:val="nil"/>
              <w:right w:val="nil"/>
            </w:tcBorders>
          </w:tcPr>
          <w:p w:rsidR="00897C1E" w:rsidRPr="005911E2" w:rsidRDefault="00897C1E" w:rsidP="00F104E9">
            <w:pPr>
              <w:pStyle w:val="braytabletext"/>
              <w:jc w:val="right"/>
            </w:pPr>
            <w:r w:rsidRPr="005911E2">
              <w:t>67.5</w:t>
            </w:r>
          </w:p>
        </w:tc>
        <w:tc>
          <w:tcPr>
            <w:tcW w:w="851" w:type="dxa"/>
            <w:tcBorders>
              <w:top w:val="nil"/>
              <w:left w:val="nil"/>
              <w:bottom w:val="nil"/>
              <w:right w:val="nil"/>
            </w:tcBorders>
          </w:tcPr>
          <w:p w:rsidR="00897C1E" w:rsidRPr="005911E2" w:rsidRDefault="00897C1E" w:rsidP="00F104E9">
            <w:pPr>
              <w:pStyle w:val="braytabletext"/>
              <w:jc w:val="right"/>
            </w:pPr>
            <w:r w:rsidRPr="005911E2">
              <w:t>30.8</w:t>
            </w:r>
          </w:p>
        </w:tc>
        <w:tc>
          <w:tcPr>
            <w:tcW w:w="284" w:type="dxa"/>
            <w:tcBorders>
              <w:top w:val="nil"/>
              <w:left w:val="nil"/>
              <w:bottom w:val="nil"/>
              <w:right w:val="nil"/>
            </w:tcBorders>
          </w:tcPr>
          <w:p w:rsidR="00897C1E" w:rsidRPr="005911E2" w:rsidRDefault="00897C1E" w:rsidP="00F104E9">
            <w:pPr>
              <w:pStyle w:val="braytabletext"/>
              <w:jc w:val="right"/>
            </w:pPr>
          </w:p>
        </w:tc>
        <w:tc>
          <w:tcPr>
            <w:tcW w:w="707" w:type="dxa"/>
            <w:tcBorders>
              <w:top w:val="nil"/>
              <w:left w:val="nil"/>
              <w:bottom w:val="nil"/>
              <w:right w:val="nil"/>
            </w:tcBorders>
          </w:tcPr>
          <w:p w:rsidR="00897C1E" w:rsidRPr="005911E2" w:rsidRDefault="00897C1E" w:rsidP="00F104E9">
            <w:pPr>
              <w:pStyle w:val="braytabletext"/>
              <w:jc w:val="right"/>
            </w:pPr>
            <w:r w:rsidRPr="005911E2">
              <w:t>-3.5</w:t>
            </w:r>
          </w:p>
        </w:tc>
        <w:tc>
          <w:tcPr>
            <w:tcW w:w="238" w:type="dxa"/>
            <w:tcBorders>
              <w:top w:val="nil"/>
              <w:left w:val="nil"/>
              <w:bottom w:val="nil"/>
              <w:right w:val="nil"/>
            </w:tcBorders>
          </w:tcPr>
          <w:p w:rsidR="00897C1E" w:rsidRPr="005911E2" w:rsidRDefault="00897C1E" w:rsidP="00F104E9">
            <w:pPr>
              <w:pStyle w:val="braytabletext"/>
              <w:jc w:val="right"/>
            </w:pPr>
          </w:p>
        </w:tc>
        <w:tc>
          <w:tcPr>
            <w:tcW w:w="800" w:type="dxa"/>
            <w:tcBorders>
              <w:top w:val="nil"/>
              <w:left w:val="nil"/>
              <w:bottom w:val="nil"/>
              <w:right w:val="nil"/>
            </w:tcBorders>
          </w:tcPr>
          <w:p w:rsidR="00897C1E" w:rsidRPr="005911E2" w:rsidRDefault="00897C1E" w:rsidP="00F104E9">
            <w:pPr>
              <w:pStyle w:val="braytabletext"/>
              <w:jc w:val="right"/>
            </w:pPr>
            <w:r w:rsidRPr="005911E2">
              <w:t>2.4</w:t>
            </w:r>
          </w:p>
        </w:tc>
        <w:tc>
          <w:tcPr>
            <w:tcW w:w="709" w:type="dxa"/>
            <w:tcBorders>
              <w:top w:val="nil"/>
              <w:left w:val="nil"/>
              <w:bottom w:val="nil"/>
              <w:right w:val="nil"/>
            </w:tcBorders>
          </w:tcPr>
          <w:p w:rsidR="00897C1E" w:rsidRPr="005911E2" w:rsidRDefault="00897C1E" w:rsidP="00F104E9">
            <w:pPr>
              <w:pStyle w:val="braytabletext"/>
              <w:jc w:val="right"/>
            </w:pPr>
            <w:r w:rsidRPr="005911E2">
              <w:t>-8.0</w:t>
            </w:r>
          </w:p>
        </w:tc>
      </w:tr>
      <w:tr w:rsidR="00897C1E" w:rsidRPr="005911E2" w:rsidTr="00B460A2">
        <w:trPr>
          <w:trHeight w:val="290"/>
          <w:jc w:val="right"/>
        </w:trPr>
        <w:tc>
          <w:tcPr>
            <w:tcW w:w="1843" w:type="dxa"/>
            <w:tcBorders>
              <w:top w:val="nil"/>
              <w:left w:val="nil"/>
              <w:bottom w:val="nil"/>
              <w:right w:val="nil"/>
            </w:tcBorders>
          </w:tcPr>
          <w:p w:rsidR="00897C1E" w:rsidRPr="005911E2" w:rsidRDefault="00897C1E" w:rsidP="00F104E9">
            <w:pPr>
              <w:pStyle w:val="braytabletext"/>
            </w:pPr>
            <w:r w:rsidRPr="005911E2">
              <w:t>Better school attendance</w:t>
            </w:r>
          </w:p>
        </w:tc>
        <w:tc>
          <w:tcPr>
            <w:tcW w:w="708" w:type="dxa"/>
            <w:tcBorders>
              <w:top w:val="nil"/>
              <w:left w:val="nil"/>
              <w:bottom w:val="nil"/>
              <w:right w:val="nil"/>
            </w:tcBorders>
          </w:tcPr>
          <w:p w:rsidR="00897C1E" w:rsidRPr="005911E2" w:rsidRDefault="00897C1E" w:rsidP="00F104E9">
            <w:pPr>
              <w:pStyle w:val="braytabletext"/>
              <w:jc w:val="right"/>
            </w:pPr>
            <w:r w:rsidRPr="005911E2">
              <w:t>55.1</w:t>
            </w:r>
          </w:p>
        </w:tc>
        <w:tc>
          <w:tcPr>
            <w:tcW w:w="709" w:type="dxa"/>
            <w:tcBorders>
              <w:top w:val="nil"/>
              <w:left w:val="nil"/>
              <w:bottom w:val="nil"/>
              <w:right w:val="nil"/>
            </w:tcBorders>
          </w:tcPr>
          <w:p w:rsidR="00897C1E" w:rsidRPr="005911E2" w:rsidRDefault="00897C1E" w:rsidP="00F104E9">
            <w:pPr>
              <w:pStyle w:val="braytabletext"/>
              <w:jc w:val="right"/>
            </w:pPr>
            <w:r w:rsidRPr="005911E2">
              <w:t>37.1</w:t>
            </w:r>
          </w:p>
        </w:tc>
        <w:tc>
          <w:tcPr>
            <w:tcW w:w="236" w:type="dxa"/>
            <w:tcBorders>
              <w:top w:val="nil"/>
              <w:left w:val="nil"/>
              <w:bottom w:val="nil"/>
              <w:right w:val="nil"/>
            </w:tcBorders>
          </w:tcPr>
          <w:p w:rsidR="00897C1E" w:rsidRPr="005911E2" w:rsidRDefault="00897C1E" w:rsidP="00F104E9">
            <w:pPr>
              <w:pStyle w:val="braytabletext"/>
              <w:jc w:val="right"/>
            </w:pPr>
          </w:p>
        </w:tc>
        <w:tc>
          <w:tcPr>
            <w:tcW w:w="757" w:type="dxa"/>
            <w:tcBorders>
              <w:top w:val="nil"/>
              <w:left w:val="nil"/>
              <w:bottom w:val="nil"/>
              <w:right w:val="nil"/>
            </w:tcBorders>
          </w:tcPr>
          <w:p w:rsidR="00897C1E" w:rsidRPr="005911E2" w:rsidRDefault="00897C1E" w:rsidP="00F104E9">
            <w:pPr>
              <w:pStyle w:val="braytabletext"/>
              <w:jc w:val="right"/>
            </w:pPr>
            <w:r w:rsidRPr="005911E2">
              <w:t>63.9</w:t>
            </w:r>
          </w:p>
        </w:tc>
        <w:tc>
          <w:tcPr>
            <w:tcW w:w="851" w:type="dxa"/>
            <w:tcBorders>
              <w:top w:val="nil"/>
              <w:left w:val="nil"/>
              <w:bottom w:val="nil"/>
              <w:right w:val="nil"/>
            </w:tcBorders>
          </w:tcPr>
          <w:p w:rsidR="00897C1E" w:rsidRPr="005911E2" w:rsidRDefault="00897C1E" w:rsidP="00F104E9">
            <w:pPr>
              <w:pStyle w:val="braytabletext"/>
              <w:jc w:val="right"/>
            </w:pPr>
            <w:r w:rsidRPr="005911E2">
              <w:t>21.7</w:t>
            </w:r>
          </w:p>
        </w:tc>
        <w:tc>
          <w:tcPr>
            <w:tcW w:w="284" w:type="dxa"/>
            <w:tcBorders>
              <w:top w:val="nil"/>
              <w:left w:val="nil"/>
              <w:bottom w:val="nil"/>
              <w:right w:val="nil"/>
            </w:tcBorders>
          </w:tcPr>
          <w:p w:rsidR="00897C1E" w:rsidRPr="005911E2" w:rsidRDefault="00897C1E" w:rsidP="00F104E9">
            <w:pPr>
              <w:pStyle w:val="braytabletext"/>
              <w:jc w:val="right"/>
            </w:pPr>
          </w:p>
        </w:tc>
        <w:tc>
          <w:tcPr>
            <w:tcW w:w="707" w:type="dxa"/>
            <w:tcBorders>
              <w:top w:val="nil"/>
              <w:left w:val="nil"/>
              <w:bottom w:val="nil"/>
              <w:right w:val="nil"/>
            </w:tcBorders>
          </w:tcPr>
          <w:p w:rsidR="00897C1E" w:rsidRPr="005911E2" w:rsidRDefault="00897C1E" w:rsidP="00F104E9">
            <w:pPr>
              <w:pStyle w:val="braytabletext"/>
              <w:jc w:val="right"/>
            </w:pPr>
            <w:r w:rsidRPr="005911E2">
              <w:t>14.8</w:t>
            </w:r>
          </w:p>
        </w:tc>
        <w:tc>
          <w:tcPr>
            <w:tcW w:w="238" w:type="dxa"/>
            <w:tcBorders>
              <w:top w:val="nil"/>
              <w:left w:val="nil"/>
              <w:bottom w:val="nil"/>
              <w:right w:val="nil"/>
            </w:tcBorders>
          </w:tcPr>
          <w:p w:rsidR="00897C1E" w:rsidRPr="005911E2" w:rsidRDefault="00897C1E" w:rsidP="00F104E9">
            <w:pPr>
              <w:pStyle w:val="braytabletext"/>
              <w:jc w:val="right"/>
            </w:pPr>
          </w:p>
        </w:tc>
        <w:tc>
          <w:tcPr>
            <w:tcW w:w="800" w:type="dxa"/>
            <w:tcBorders>
              <w:top w:val="nil"/>
              <w:left w:val="nil"/>
              <w:bottom w:val="nil"/>
              <w:right w:val="nil"/>
            </w:tcBorders>
          </w:tcPr>
          <w:p w:rsidR="00897C1E" w:rsidRPr="005911E2" w:rsidRDefault="00897C1E" w:rsidP="00F104E9">
            <w:pPr>
              <w:pStyle w:val="braytabletext"/>
              <w:jc w:val="right"/>
            </w:pPr>
            <w:r w:rsidRPr="005911E2">
              <w:t>14.4</w:t>
            </w:r>
          </w:p>
        </w:tc>
        <w:tc>
          <w:tcPr>
            <w:tcW w:w="709" w:type="dxa"/>
            <w:tcBorders>
              <w:top w:val="nil"/>
              <w:left w:val="nil"/>
              <w:bottom w:val="nil"/>
              <w:right w:val="nil"/>
            </w:tcBorders>
          </w:tcPr>
          <w:p w:rsidR="00897C1E" w:rsidRPr="005911E2" w:rsidRDefault="00897C1E" w:rsidP="00F104E9">
            <w:pPr>
              <w:pStyle w:val="braytabletext"/>
              <w:jc w:val="right"/>
            </w:pPr>
            <w:r w:rsidRPr="005911E2">
              <w:t>-2.0</w:t>
            </w:r>
          </w:p>
        </w:tc>
      </w:tr>
      <w:tr w:rsidR="00897C1E" w:rsidRPr="005911E2" w:rsidTr="00B460A2">
        <w:trPr>
          <w:trHeight w:val="290"/>
          <w:jc w:val="right"/>
        </w:trPr>
        <w:tc>
          <w:tcPr>
            <w:tcW w:w="1843" w:type="dxa"/>
            <w:tcBorders>
              <w:top w:val="nil"/>
              <w:left w:val="nil"/>
              <w:bottom w:val="nil"/>
              <w:right w:val="nil"/>
            </w:tcBorders>
          </w:tcPr>
          <w:p w:rsidR="00897C1E" w:rsidRPr="005911E2" w:rsidRDefault="00897C1E" w:rsidP="00F104E9">
            <w:pPr>
              <w:pStyle w:val="braytabletext"/>
            </w:pPr>
            <w:r w:rsidRPr="005911E2">
              <w:t>Happier</w:t>
            </w:r>
          </w:p>
        </w:tc>
        <w:tc>
          <w:tcPr>
            <w:tcW w:w="708" w:type="dxa"/>
            <w:tcBorders>
              <w:top w:val="nil"/>
              <w:left w:val="nil"/>
              <w:bottom w:val="nil"/>
              <w:right w:val="nil"/>
            </w:tcBorders>
          </w:tcPr>
          <w:p w:rsidR="00897C1E" w:rsidRPr="005911E2" w:rsidRDefault="00897C1E" w:rsidP="00F104E9">
            <w:pPr>
              <w:pStyle w:val="braytabletext"/>
              <w:jc w:val="right"/>
            </w:pPr>
            <w:r w:rsidRPr="005911E2">
              <w:t>67.8</w:t>
            </w:r>
          </w:p>
        </w:tc>
        <w:tc>
          <w:tcPr>
            <w:tcW w:w="709" w:type="dxa"/>
            <w:tcBorders>
              <w:top w:val="nil"/>
              <w:left w:val="nil"/>
              <w:bottom w:val="nil"/>
              <w:right w:val="nil"/>
            </w:tcBorders>
          </w:tcPr>
          <w:p w:rsidR="00897C1E" w:rsidRPr="005911E2" w:rsidRDefault="00897C1E" w:rsidP="00F104E9">
            <w:pPr>
              <w:pStyle w:val="braytabletext"/>
              <w:jc w:val="right"/>
            </w:pPr>
            <w:r w:rsidRPr="005911E2">
              <w:t>46.7</w:t>
            </w:r>
          </w:p>
        </w:tc>
        <w:tc>
          <w:tcPr>
            <w:tcW w:w="236" w:type="dxa"/>
            <w:tcBorders>
              <w:top w:val="nil"/>
              <w:left w:val="nil"/>
              <w:bottom w:val="nil"/>
              <w:right w:val="nil"/>
            </w:tcBorders>
          </w:tcPr>
          <w:p w:rsidR="00897C1E" w:rsidRPr="005911E2" w:rsidRDefault="00897C1E" w:rsidP="00F104E9">
            <w:pPr>
              <w:pStyle w:val="braytabletext"/>
              <w:jc w:val="right"/>
            </w:pPr>
          </w:p>
        </w:tc>
        <w:tc>
          <w:tcPr>
            <w:tcW w:w="757" w:type="dxa"/>
            <w:tcBorders>
              <w:top w:val="nil"/>
              <w:left w:val="nil"/>
              <w:bottom w:val="nil"/>
              <w:right w:val="nil"/>
            </w:tcBorders>
          </w:tcPr>
          <w:p w:rsidR="00897C1E" w:rsidRPr="005911E2" w:rsidRDefault="00897C1E" w:rsidP="00F104E9">
            <w:pPr>
              <w:pStyle w:val="braytabletext"/>
              <w:jc w:val="right"/>
            </w:pPr>
            <w:r w:rsidRPr="005911E2">
              <w:t>68.9</w:t>
            </w:r>
          </w:p>
        </w:tc>
        <w:tc>
          <w:tcPr>
            <w:tcW w:w="851" w:type="dxa"/>
            <w:tcBorders>
              <w:top w:val="nil"/>
              <w:left w:val="nil"/>
              <w:bottom w:val="nil"/>
              <w:right w:val="nil"/>
            </w:tcBorders>
          </w:tcPr>
          <w:p w:rsidR="00897C1E" w:rsidRPr="005911E2" w:rsidRDefault="00897C1E" w:rsidP="00F104E9">
            <w:pPr>
              <w:pStyle w:val="braytabletext"/>
              <w:jc w:val="right"/>
            </w:pPr>
            <w:r w:rsidRPr="005911E2">
              <w:t>44.0</w:t>
            </w:r>
          </w:p>
        </w:tc>
        <w:tc>
          <w:tcPr>
            <w:tcW w:w="284" w:type="dxa"/>
            <w:tcBorders>
              <w:top w:val="nil"/>
              <w:left w:val="nil"/>
              <w:bottom w:val="nil"/>
              <w:right w:val="nil"/>
            </w:tcBorders>
          </w:tcPr>
          <w:p w:rsidR="00897C1E" w:rsidRPr="005911E2" w:rsidRDefault="00897C1E" w:rsidP="00F104E9">
            <w:pPr>
              <w:pStyle w:val="braytabletext"/>
              <w:jc w:val="right"/>
            </w:pPr>
          </w:p>
        </w:tc>
        <w:tc>
          <w:tcPr>
            <w:tcW w:w="707" w:type="dxa"/>
            <w:tcBorders>
              <w:top w:val="nil"/>
              <w:left w:val="nil"/>
              <w:bottom w:val="nil"/>
              <w:right w:val="nil"/>
            </w:tcBorders>
          </w:tcPr>
          <w:p w:rsidR="00897C1E" w:rsidRPr="005911E2" w:rsidRDefault="00897C1E" w:rsidP="00F104E9">
            <w:pPr>
              <w:pStyle w:val="braytabletext"/>
              <w:jc w:val="right"/>
            </w:pPr>
            <w:r w:rsidRPr="005911E2">
              <w:t>19.1</w:t>
            </w:r>
          </w:p>
        </w:tc>
        <w:tc>
          <w:tcPr>
            <w:tcW w:w="238" w:type="dxa"/>
            <w:tcBorders>
              <w:top w:val="nil"/>
              <w:left w:val="nil"/>
              <w:bottom w:val="nil"/>
              <w:right w:val="nil"/>
            </w:tcBorders>
          </w:tcPr>
          <w:p w:rsidR="00897C1E" w:rsidRPr="005911E2" w:rsidRDefault="00897C1E" w:rsidP="00F104E9">
            <w:pPr>
              <w:pStyle w:val="braytabletext"/>
              <w:jc w:val="right"/>
            </w:pPr>
          </w:p>
        </w:tc>
        <w:tc>
          <w:tcPr>
            <w:tcW w:w="800" w:type="dxa"/>
            <w:tcBorders>
              <w:top w:val="nil"/>
              <w:left w:val="nil"/>
              <w:bottom w:val="nil"/>
              <w:right w:val="nil"/>
            </w:tcBorders>
          </w:tcPr>
          <w:p w:rsidR="00897C1E" w:rsidRPr="005911E2" w:rsidRDefault="00897C1E" w:rsidP="00F104E9">
            <w:pPr>
              <w:pStyle w:val="braytabletext"/>
              <w:jc w:val="right"/>
            </w:pPr>
            <w:r w:rsidRPr="005911E2">
              <w:t>36.8</w:t>
            </w:r>
          </w:p>
        </w:tc>
        <w:tc>
          <w:tcPr>
            <w:tcW w:w="709" w:type="dxa"/>
            <w:tcBorders>
              <w:top w:val="nil"/>
              <w:left w:val="nil"/>
              <w:bottom w:val="nil"/>
              <w:right w:val="nil"/>
            </w:tcBorders>
          </w:tcPr>
          <w:p w:rsidR="00897C1E" w:rsidRPr="005911E2" w:rsidRDefault="00897C1E" w:rsidP="00F104E9">
            <w:pPr>
              <w:pStyle w:val="braytabletext"/>
              <w:jc w:val="right"/>
            </w:pPr>
            <w:r w:rsidRPr="005911E2">
              <w:t>-5.2</w:t>
            </w:r>
          </w:p>
        </w:tc>
      </w:tr>
      <w:tr w:rsidR="00897C1E" w:rsidRPr="005911E2" w:rsidTr="00B460A2">
        <w:trPr>
          <w:trHeight w:val="290"/>
          <w:jc w:val="right"/>
        </w:trPr>
        <w:tc>
          <w:tcPr>
            <w:tcW w:w="1843" w:type="dxa"/>
            <w:tcBorders>
              <w:top w:val="nil"/>
              <w:left w:val="nil"/>
              <w:bottom w:val="nil"/>
              <w:right w:val="nil"/>
            </w:tcBorders>
          </w:tcPr>
          <w:p w:rsidR="00897C1E" w:rsidRPr="005911E2" w:rsidRDefault="00897C1E" w:rsidP="00F104E9">
            <w:pPr>
              <w:pStyle w:val="braytabletext"/>
            </w:pPr>
            <w:r w:rsidRPr="005911E2">
              <w:t>Cultural activities</w:t>
            </w:r>
          </w:p>
        </w:tc>
        <w:tc>
          <w:tcPr>
            <w:tcW w:w="708" w:type="dxa"/>
            <w:tcBorders>
              <w:top w:val="nil"/>
              <w:left w:val="nil"/>
              <w:bottom w:val="nil"/>
              <w:right w:val="nil"/>
            </w:tcBorders>
          </w:tcPr>
          <w:p w:rsidR="00897C1E" w:rsidRPr="005911E2" w:rsidRDefault="00897C1E" w:rsidP="00F104E9">
            <w:pPr>
              <w:pStyle w:val="braytabletext"/>
              <w:jc w:val="right"/>
            </w:pPr>
            <w:r w:rsidRPr="005911E2">
              <w:t>13.9</w:t>
            </w:r>
          </w:p>
        </w:tc>
        <w:tc>
          <w:tcPr>
            <w:tcW w:w="709" w:type="dxa"/>
            <w:tcBorders>
              <w:top w:val="nil"/>
              <w:left w:val="nil"/>
              <w:bottom w:val="nil"/>
              <w:right w:val="nil"/>
            </w:tcBorders>
          </w:tcPr>
          <w:p w:rsidR="00897C1E" w:rsidRPr="005911E2" w:rsidRDefault="00897C1E" w:rsidP="00F104E9">
            <w:pPr>
              <w:pStyle w:val="braytabletext"/>
              <w:jc w:val="right"/>
            </w:pPr>
            <w:r w:rsidRPr="005911E2">
              <w:t>-18.1</w:t>
            </w:r>
          </w:p>
        </w:tc>
        <w:tc>
          <w:tcPr>
            <w:tcW w:w="236" w:type="dxa"/>
            <w:tcBorders>
              <w:top w:val="nil"/>
              <w:left w:val="nil"/>
              <w:bottom w:val="nil"/>
              <w:right w:val="nil"/>
            </w:tcBorders>
          </w:tcPr>
          <w:p w:rsidR="00897C1E" w:rsidRPr="005911E2" w:rsidRDefault="00897C1E" w:rsidP="00F104E9">
            <w:pPr>
              <w:pStyle w:val="braytabletext"/>
              <w:jc w:val="right"/>
            </w:pPr>
          </w:p>
        </w:tc>
        <w:tc>
          <w:tcPr>
            <w:tcW w:w="757" w:type="dxa"/>
            <w:tcBorders>
              <w:top w:val="nil"/>
              <w:left w:val="nil"/>
              <w:bottom w:val="nil"/>
              <w:right w:val="nil"/>
            </w:tcBorders>
          </w:tcPr>
          <w:p w:rsidR="00897C1E" w:rsidRPr="005911E2" w:rsidRDefault="00897C1E" w:rsidP="00F104E9">
            <w:pPr>
              <w:pStyle w:val="braytabletext"/>
              <w:jc w:val="right"/>
            </w:pPr>
            <w:r w:rsidRPr="005911E2">
              <w:t>24.1</w:t>
            </w:r>
          </w:p>
        </w:tc>
        <w:tc>
          <w:tcPr>
            <w:tcW w:w="851" w:type="dxa"/>
            <w:tcBorders>
              <w:top w:val="nil"/>
              <w:left w:val="nil"/>
              <w:bottom w:val="nil"/>
              <w:right w:val="nil"/>
            </w:tcBorders>
          </w:tcPr>
          <w:p w:rsidR="00897C1E" w:rsidRPr="005911E2" w:rsidRDefault="00897C1E" w:rsidP="00F104E9">
            <w:pPr>
              <w:pStyle w:val="braytabletext"/>
              <w:jc w:val="right"/>
            </w:pPr>
            <w:r w:rsidRPr="005911E2">
              <w:t>-7.7</w:t>
            </w:r>
          </w:p>
        </w:tc>
        <w:tc>
          <w:tcPr>
            <w:tcW w:w="284" w:type="dxa"/>
            <w:tcBorders>
              <w:top w:val="nil"/>
              <w:left w:val="nil"/>
              <w:bottom w:val="nil"/>
              <w:right w:val="nil"/>
            </w:tcBorders>
          </w:tcPr>
          <w:p w:rsidR="00897C1E" w:rsidRPr="005911E2" w:rsidRDefault="00897C1E" w:rsidP="00F104E9">
            <w:pPr>
              <w:pStyle w:val="braytabletext"/>
              <w:jc w:val="right"/>
            </w:pPr>
          </w:p>
        </w:tc>
        <w:tc>
          <w:tcPr>
            <w:tcW w:w="707" w:type="dxa"/>
            <w:tcBorders>
              <w:top w:val="nil"/>
              <w:left w:val="nil"/>
              <w:bottom w:val="nil"/>
              <w:right w:val="nil"/>
            </w:tcBorders>
          </w:tcPr>
          <w:p w:rsidR="00897C1E" w:rsidRPr="005911E2" w:rsidRDefault="00897C1E" w:rsidP="00F104E9">
            <w:pPr>
              <w:pStyle w:val="braytabletext"/>
              <w:jc w:val="right"/>
            </w:pPr>
            <w:r w:rsidRPr="005911E2">
              <w:t>-3.4</w:t>
            </w:r>
          </w:p>
        </w:tc>
        <w:tc>
          <w:tcPr>
            <w:tcW w:w="238" w:type="dxa"/>
            <w:tcBorders>
              <w:top w:val="nil"/>
              <w:left w:val="nil"/>
              <w:bottom w:val="nil"/>
              <w:right w:val="nil"/>
            </w:tcBorders>
          </w:tcPr>
          <w:p w:rsidR="00897C1E" w:rsidRPr="005911E2" w:rsidRDefault="00897C1E" w:rsidP="00F104E9">
            <w:pPr>
              <w:pStyle w:val="braytabletext"/>
              <w:jc w:val="right"/>
            </w:pPr>
          </w:p>
        </w:tc>
        <w:tc>
          <w:tcPr>
            <w:tcW w:w="800" w:type="dxa"/>
            <w:tcBorders>
              <w:top w:val="nil"/>
              <w:left w:val="nil"/>
              <w:bottom w:val="nil"/>
              <w:right w:val="nil"/>
            </w:tcBorders>
          </w:tcPr>
          <w:p w:rsidR="00897C1E" w:rsidRPr="005911E2" w:rsidRDefault="00897C1E" w:rsidP="00F104E9">
            <w:pPr>
              <w:pStyle w:val="braytabletext"/>
              <w:jc w:val="right"/>
            </w:pPr>
            <w:r w:rsidRPr="005911E2">
              <w:t>-6.0</w:t>
            </w:r>
          </w:p>
        </w:tc>
        <w:tc>
          <w:tcPr>
            <w:tcW w:w="709" w:type="dxa"/>
            <w:tcBorders>
              <w:top w:val="nil"/>
              <w:left w:val="nil"/>
              <w:bottom w:val="nil"/>
              <w:right w:val="nil"/>
            </w:tcBorders>
          </w:tcPr>
          <w:p w:rsidR="00897C1E" w:rsidRPr="005911E2" w:rsidRDefault="00897C1E" w:rsidP="00F104E9">
            <w:pPr>
              <w:pStyle w:val="braytabletext"/>
              <w:jc w:val="right"/>
            </w:pPr>
            <w:r w:rsidRPr="005911E2">
              <w:t>7.6</w:t>
            </w:r>
          </w:p>
        </w:tc>
      </w:tr>
      <w:tr w:rsidR="00897C1E" w:rsidRPr="005911E2" w:rsidTr="00B460A2">
        <w:trPr>
          <w:trHeight w:val="290"/>
          <w:jc w:val="right"/>
        </w:trPr>
        <w:tc>
          <w:tcPr>
            <w:tcW w:w="1843" w:type="dxa"/>
            <w:tcBorders>
              <w:top w:val="nil"/>
              <w:left w:val="nil"/>
              <w:bottom w:val="single" w:sz="4" w:space="0" w:color="auto"/>
              <w:right w:val="nil"/>
            </w:tcBorders>
          </w:tcPr>
          <w:p w:rsidR="00897C1E" w:rsidRPr="005911E2" w:rsidRDefault="00897C1E" w:rsidP="00F104E9">
            <w:pPr>
              <w:pStyle w:val="braytabletext"/>
            </w:pPr>
          </w:p>
        </w:tc>
        <w:tc>
          <w:tcPr>
            <w:tcW w:w="708" w:type="dxa"/>
            <w:tcBorders>
              <w:top w:val="nil"/>
              <w:left w:val="nil"/>
              <w:bottom w:val="single" w:sz="4" w:space="0" w:color="auto"/>
              <w:right w:val="nil"/>
            </w:tcBorders>
          </w:tcPr>
          <w:p w:rsidR="00897C1E" w:rsidRPr="005911E2" w:rsidRDefault="00897C1E" w:rsidP="00F104E9">
            <w:pPr>
              <w:pStyle w:val="braytabletext"/>
              <w:jc w:val="right"/>
            </w:pPr>
          </w:p>
        </w:tc>
        <w:tc>
          <w:tcPr>
            <w:tcW w:w="709" w:type="dxa"/>
            <w:tcBorders>
              <w:top w:val="nil"/>
              <w:left w:val="nil"/>
              <w:bottom w:val="single" w:sz="4" w:space="0" w:color="auto"/>
              <w:right w:val="nil"/>
            </w:tcBorders>
          </w:tcPr>
          <w:p w:rsidR="00897C1E" w:rsidRPr="005911E2" w:rsidRDefault="00897C1E" w:rsidP="00F104E9">
            <w:pPr>
              <w:pStyle w:val="braytabletext"/>
              <w:jc w:val="right"/>
            </w:pPr>
          </w:p>
        </w:tc>
        <w:tc>
          <w:tcPr>
            <w:tcW w:w="236" w:type="dxa"/>
            <w:tcBorders>
              <w:top w:val="nil"/>
              <w:left w:val="nil"/>
              <w:bottom w:val="single" w:sz="4" w:space="0" w:color="auto"/>
              <w:right w:val="nil"/>
            </w:tcBorders>
          </w:tcPr>
          <w:p w:rsidR="00897C1E" w:rsidRPr="005911E2" w:rsidRDefault="00897C1E" w:rsidP="00F104E9">
            <w:pPr>
              <w:pStyle w:val="braytabletext"/>
              <w:jc w:val="right"/>
            </w:pPr>
          </w:p>
        </w:tc>
        <w:tc>
          <w:tcPr>
            <w:tcW w:w="757" w:type="dxa"/>
            <w:tcBorders>
              <w:top w:val="nil"/>
              <w:left w:val="nil"/>
              <w:bottom w:val="single" w:sz="4" w:space="0" w:color="auto"/>
              <w:right w:val="nil"/>
            </w:tcBorders>
          </w:tcPr>
          <w:p w:rsidR="00897C1E" w:rsidRPr="005911E2" w:rsidRDefault="00897C1E" w:rsidP="00F104E9">
            <w:pPr>
              <w:pStyle w:val="braytabletext"/>
              <w:jc w:val="right"/>
            </w:pPr>
          </w:p>
        </w:tc>
        <w:tc>
          <w:tcPr>
            <w:tcW w:w="851" w:type="dxa"/>
            <w:tcBorders>
              <w:top w:val="nil"/>
              <w:left w:val="nil"/>
              <w:bottom w:val="single" w:sz="4" w:space="0" w:color="auto"/>
              <w:right w:val="nil"/>
            </w:tcBorders>
          </w:tcPr>
          <w:p w:rsidR="00897C1E" w:rsidRPr="005911E2" w:rsidRDefault="00897C1E" w:rsidP="00F104E9">
            <w:pPr>
              <w:pStyle w:val="braytabletext"/>
              <w:jc w:val="right"/>
            </w:pPr>
          </w:p>
        </w:tc>
        <w:tc>
          <w:tcPr>
            <w:tcW w:w="284" w:type="dxa"/>
            <w:tcBorders>
              <w:top w:val="nil"/>
              <w:left w:val="nil"/>
              <w:bottom w:val="single" w:sz="4" w:space="0" w:color="auto"/>
              <w:right w:val="nil"/>
            </w:tcBorders>
          </w:tcPr>
          <w:p w:rsidR="00897C1E" w:rsidRPr="005911E2" w:rsidRDefault="00897C1E" w:rsidP="00F104E9">
            <w:pPr>
              <w:pStyle w:val="braytabletext"/>
              <w:jc w:val="right"/>
            </w:pPr>
          </w:p>
        </w:tc>
        <w:tc>
          <w:tcPr>
            <w:tcW w:w="707" w:type="dxa"/>
            <w:tcBorders>
              <w:top w:val="nil"/>
              <w:left w:val="nil"/>
              <w:bottom w:val="single" w:sz="4" w:space="0" w:color="auto"/>
              <w:right w:val="nil"/>
            </w:tcBorders>
          </w:tcPr>
          <w:p w:rsidR="00897C1E" w:rsidRPr="005911E2" w:rsidRDefault="00897C1E" w:rsidP="00F104E9">
            <w:pPr>
              <w:pStyle w:val="braytabletext"/>
              <w:jc w:val="right"/>
            </w:pPr>
          </w:p>
        </w:tc>
        <w:tc>
          <w:tcPr>
            <w:tcW w:w="238" w:type="dxa"/>
            <w:tcBorders>
              <w:top w:val="nil"/>
              <w:left w:val="nil"/>
              <w:bottom w:val="single" w:sz="4" w:space="0" w:color="auto"/>
              <w:right w:val="nil"/>
            </w:tcBorders>
          </w:tcPr>
          <w:p w:rsidR="00897C1E" w:rsidRPr="005911E2" w:rsidRDefault="00897C1E" w:rsidP="00F104E9">
            <w:pPr>
              <w:pStyle w:val="braytabletext"/>
              <w:jc w:val="right"/>
            </w:pPr>
          </w:p>
        </w:tc>
        <w:tc>
          <w:tcPr>
            <w:tcW w:w="800" w:type="dxa"/>
            <w:tcBorders>
              <w:top w:val="nil"/>
              <w:left w:val="nil"/>
              <w:bottom w:val="single" w:sz="4" w:space="0" w:color="auto"/>
              <w:right w:val="nil"/>
            </w:tcBorders>
          </w:tcPr>
          <w:p w:rsidR="00897C1E" w:rsidRPr="005911E2" w:rsidRDefault="00897C1E" w:rsidP="00F104E9">
            <w:pPr>
              <w:pStyle w:val="braytabletext"/>
              <w:jc w:val="right"/>
            </w:pPr>
          </w:p>
        </w:tc>
        <w:tc>
          <w:tcPr>
            <w:tcW w:w="709" w:type="dxa"/>
            <w:tcBorders>
              <w:top w:val="nil"/>
              <w:left w:val="nil"/>
              <w:bottom w:val="single" w:sz="4" w:space="0" w:color="auto"/>
              <w:right w:val="nil"/>
            </w:tcBorders>
          </w:tcPr>
          <w:p w:rsidR="00897C1E" w:rsidRPr="005911E2" w:rsidRDefault="00897C1E" w:rsidP="00F104E9">
            <w:pPr>
              <w:pStyle w:val="braytabletext"/>
              <w:jc w:val="right"/>
            </w:pPr>
          </w:p>
        </w:tc>
      </w:tr>
      <w:tr w:rsidR="00897C1E" w:rsidRPr="005911E2" w:rsidTr="00B460A2">
        <w:trPr>
          <w:trHeight w:val="290"/>
          <w:jc w:val="right"/>
        </w:trPr>
        <w:tc>
          <w:tcPr>
            <w:tcW w:w="1843" w:type="dxa"/>
            <w:tcBorders>
              <w:top w:val="single" w:sz="4" w:space="0" w:color="auto"/>
              <w:left w:val="nil"/>
              <w:bottom w:val="single" w:sz="4" w:space="0" w:color="auto"/>
              <w:right w:val="nil"/>
            </w:tcBorders>
          </w:tcPr>
          <w:p w:rsidR="00897C1E" w:rsidRPr="005911E2" w:rsidRDefault="00897C1E" w:rsidP="00F104E9">
            <w:pPr>
              <w:pStyle w:val="braytabletext"/>
            </w:pPr>
            <w:r w:rsidRPr="005911E2">
              <w:t>Maximum number of survey participants (b)</w:t>
            </w:r>
          </w:p>
        </w:tc>
        <w:tc>
          <w:tcPr>
            <w:tcW w:w="708" w:type="dxa"/>
            <w:tcBorders>
              <w:top w:val="single" w:sz="4" w:space="0" w:color="auto"/>
              <w:left w:val="nil"/>
              <w:bottom w:val="single" w:sz="4" w:space="0" w:color="auto"/>
              <w:right w:val="nil"/>
            </w:tcBorders>
            <w:vAlign w:val="bottom"/>
          </w:tcPr>
          <w:p w:rsidR="00897C1E" w:rsidRPr="005911E2" w:rsidRDefault="00897C1E" w:rsidP="00F104E9">
            <w:pPr>
              <w:pStyle w:val="braytabletext"/>
              <w:jc w:val="right"/>
            </w:pPr>
            <w:r w:rsidRPr="005911E2">
              <w:t>244</w:t>
            </w:r>
          </w:p>
        </w:tc>
        <w:tc>
          <w:tcPr>
            <w:tcW w:w="709" w:type="dxa"/>
            <w:tcBorders>
              <w:top w:val="single" w:sz="4" w:space="0" w:color="auto"/>
              <w:left w:val="nil"/>
              <w:bottom w:val="single" w:sz="4" w:space="0" w:color="auto"/>
              <w:right w:val="nil"/>
            </w:tcBorders>
            <w:vAlign w:val="bottom"/>
          </w:tcPr>
          <w:p w:rsidR="00897C1E" w:rsidRPr="005911E2" w:rsidRDefault="00897C1E" w:rsidP="00F104E9">
            <w:pPr>
              <w:pStyle w:val="braytabletext"/>
              <w:jc w:val="right"/>
            </w:pPr>
            <w:r w:rsidRPr="005911E2">
              <w:t>168</w:t>
            </w:r>
          </w:p>
        </w:tc>
        <w:tc>
          <w:tcPr>
            <w:tcW w:w="236" w:type="dxa"/>
            <w:tcBorders>
              <w:top w:val="single" w:sz="4" w:space="0" w:color="auto"/>
              <w:left w:val="nil"/>
              <w:bottom w:val="single" w:sz="4" w:space="0" w:color="auto"/>
              <w:right w:val="nil"/>
            </w:tcBorders>
            <w:vAlign w:val="bottom"/>
          </w:tcPr>
          <w:p w:rsidR="00897C1E" w:rsidRPr="005911E2" w:rsidRDefault="00897C1E" w:rsidP="00F104E9">
            <w:pPr>
              <w:pStyle w:val="braytabletext"/>
              <w:jc w:val="right"/>
            </w:pPr>
          </w:p>
        </w:tc>
        <w:tc>
          <w:tcPr>
            <w:tcW w:w="757" w:type="dxa"/>
            <w:tcBorders>
              <w:top w:val="single" w:sz="4" w:space="0" w:color="auto"/>
              <w:left w:val="nil"/>
              <w:bottom w:val="single" w:sz="4" w:space="0" w:color="auto"/>
              <w:right w:val="nil"/>
            </w:tcBorders>
            <w:vAlign w:val="bottom"/>
          </w:tcPr>
          <w:p w:rsidR="00897C1E" w:rsidRPr="005911E2" w:rsidRDefault="00897C1E" w:rsidP="00F104E9">
            <w:pPr>
              <w:pStyle w:val="braytabletext"/>
              <w:jc w:val="right"/>
            </w:pPr>
            <w:r w:rsidRPr="005911E2">
              <w:t>128</w:t>
            </w:r>
          </w:p>
        </w:tc>
        <w:tc>
          <w:tcPr>
            <w:tcW w:w="851" w:type="dxa"/>
            <w:tcBorders>
              <w:top w:val="single" w:sz="4" w:space="0" w:color="auto"/>
              <w:left w:val="nil"/>
              <w:bottom w:val="single" w:sz="4" w:space="0" w:color="auto"/>
              <w:right w:val="nil"/>
            </w:tcBorders>
            <w:vAlign w:val="bottom"/>
          </w:tcPr>
          <w:p w:rsidR="00897C1E" w:rsidRPr="005911E2" w:rsidRDefault="00897C1E" w:rsidP="00F104E9">
            <w:pPr>
              <w:pStyle w:val="braytabletext"/>
              <w:jc w:val="right"/>
            </w:pPr>
            <w:r w:rsidRPr="005911E2">
              <w:t>33</w:t>
            </w:r>
          </w:p>
        </w:tc>
        <w:tc>
          <w:tcPr>
            <w:tcW w:w="284" w:type="dxa"/>
            <w:tcBorders>
              <w:top w:val="single" w:sz="4" w:space="0" w:color="auto"/>
              <w:left w:val="nil"/>
              <w:bottom w:val="single" w:sz="4" w:space="0" w:color="auto"/>
              <w:right w:val="nil"/>
            </w:tcBorders>
            <w:vAlign w:val="bottom"/>
          </w:tcPr>
          <w:p w:rsidR="00897C1E" w:rsidRPr="005911E2" w:rsidRDefault="00897C1E" w:rsidP="00F104E9">
            <w:pPr>
              <w:pStyle w:val="braytabletext"/>
              <w:jc w:val="right"/>
            </w:pPr>
          </w:p>
        </w:tc>
        <w:tc>
          <w:tcPr>
            <w:tcW w:w="707" w:type="dxa"/>
            <w:tcBorders>
              <w:top w:val="single" w:sz="4" w:space="0" w:color="auto"/>
              <w:left w:val="nil"/>
              <w:bottom w:val="single" w:sz="4" w:space="0" w:color="auto"/>
              <w:right w:val="nil"/>
            </w:tcBorders>
            <w:vAlign w:val="bottom"/>
          </w:tcPr>
          <w:p w:rsidR="00897C1E" w:rsidRPr="005911E2" w:rsidRDefault="00897C1E" w:rsidP="00F104E9">
            <w:pPr>
              <w:pStyle w:val="braytabletext"/>
              <w:jc w:val="right"/>
            </w:pPr>
            <w:r w:rsidRPr="005911E2">
              <w:t>184</w:t>
            </w:r>
          </w:p>
        </w:tc>
        <w:tc>
          <w:tcPr>
            <w:tcW w:w="238" w:type="dxa"/>
            <w:tcBorders>
              <w:top w:val="single" w:sz="4" w:space="0" w:color="auto"/>
              <w:left w:val="nil"/>
              <w:bottom w:val="single" w:sz="4" w:space="0" w:color="auto"/>
              <w:right w:val="nil"/>
            </w:tcBorders>
            <w:vAlign w:val="bottom"/>
          </w:tcPr>
          <w:p w:rsidR="00897C1E" w:rsidRPr="005911E2" w:rsidRDefault="00897C1E" w:rsidP="00F104E9">
            <w:pPr>
              <w:pStyle w:val="braytabletext"/>
              <w:jc w:val="right"/>
            </w:pPr>
            <w:r w:rsidRPr="005911E2">
              <w:t xml:space="preserve"> </w:t>
            </w:r>
          </w:p>
        </w:tc>
        <w:tc>
          <w:tcPr>
            <w:tcW w:w="800" w:type="dxa"/>
            <w:tcBorders>
              <w:top w:val="single" w:sz="4" w:space="0" w:color="auto"/>
              <w:left w:val="nil"/>
              <w:bottom w:val="single" w:sz="4" w:space="0" w:color="auto"/>
              <w:right w:val="nil"/>
            </w:tcBorders>
            <w:vAlign w:val="bottom"/>
          </w:tcPr>
          <w:p w:rsidR="00897C1E" w:rsidRPr="005911E2" w:rsidRDefault="00897C1E" w:rsidP="00F104E9">
            <w:pPr>
              <w:pStyle w:val="braytabletext"/>
              <w:jc w:val="right"/>
            </w:pPr>
            <w:r w:rsidRPr="005911E2">
              <w:t>199</w:t>
            </w:r>
          </w:p>
        </w:tc>
        <w:tc>
          <w:tcPr>
            <w:tcW w:w="709" w:type="dxa"/>
            <w:tcBorders>
              <w:top w:val="single" w:sz="4" w:space="0" w:color="auto"/>
              <w:left w:val="nil"/>
              <w:bottom w:val="single" w:sz="4" w:space="0" w:color="auto"/>
              <w:right w:val="nil"/>
            </w:tcBorders>
            <w:vAlign w:val="bottom"/>
          </w:tcPr>
          <w:p w:rsidR="00897C1E" w:rsidRPr="005911E2" w:rsidRDefault="00897C1E" w:rsidP="00F104E9">
            <w:pPr>
              <w:pStyle w:val="braytabletext"/>
              <w:jc w:val="right"/>
            </w:pPr>
            <w:r w:rsidRPr="005911E2">
              <w:t>106</w:t>
            </w:r>
          </w:p>
        </w:tc>
      </w:tr>
    </w:tbl>
    <w:p w:rsidR="00224BEA" w:rsidRDefault="00224BEA" w:rsidP="00CF78DB">
      <w:pPr>
        <w:pStyle w:val="tablefootnotes"/>
      </w:pPr>
      <w:r>
        <w:t>Notes:</w:t>
      </w:r>
    </w:p>
    <w:p w:rsidR="00897C1E" w:rsidRPr="005911E2" w:rsidRDefault="00897C1E" w:rsidP="00CF78DB">
      <w:pPr>
        <w:pStyle w:val="tablefootnotes"/>
      </w:pPr>
      <w:r w:rsidRPr="005911E2">
        <w:t xml:space="preserve">(a) </w:t>
      </w:r>
      <w:r w:rsidRPr="005911E2">
        <w:tab/>
        <w:t xml:space="preserve">The number reporting an improvement less the number reporting a decline as a </w:t>
      </w:r>
      <w:r w:rsidR="00BB552A">
        <w:t>proportion</w:t>
      </w:r>
      <w:r w:rsidR="00BB552A" w:rsidRPr="005911E2">
        <w:t xml:space="preserve"> </w:t>
      </w:r>
      <w:r w:rsidRPr="005911E2">
        <w:t>of all of those reporting either an improvement, stability or a decline.</w:t>
      </w:r>
    </w:p>
    <w:p w:rsidR="00897C1E" w:rsidRPr="005911E2" w:rsidRDefault="00897C1E" w:rsidP="00CF78DB">
      <w:pPr>
        <w:pStyle w:val="tablefootnotes"/>
      </w:pPr>
      <w:r w:rsidRPr="005911E2">
        <w:t>(b)</w:t>
      </w:r>
      <w:r w:rsidRPr="005911E2">
        <w:tab/>
        <w:t>The number responding to individual questions varied.</w:t>
      </w:r>
    </w:p>
    <w:p w:rsidR="00897C1E" w:rsidRPr="005911E2" w:rsidRDefault="00897C1E" w:rsidP="00CF78DB">
      <w:pPr>
        <w:pStyle w:val="tablefootnotes"/>
      </w:pPr>
      <w:r w:rsidRPr="005911E2">
        <w:t>Source: LSNIM, Wave 1.</w:t>
      </w:r>
    </w:p>
    <w:p w:rsidR="00897C1E" w:rsidRPr="005911E2" w:rsidRDefault="00897C1E" w:rsidP="00224BEA">
      <w:pPr>
        <w:pStyle w:val="tablefootnotes"/>
      </w:pPr>
    </w:p>
    <w:p w:rsidR="00AE7648" w:rsidRPr="005911E2" w:rsidRDefault="00AE7648" w:rsidP="00AE7648">
      <w:pPr>
        <w:pStyle w:val="BodyText"/>
        <w:rPr>
          <w:lang w:eastAsia="en-US"/>
        </w:rPr>
      </w:pPr>
      <w:r w:rsidRPr="005911E2">
        <w:rPr>
          <w:lang w:eastAsia="en-US"/>
        </w:rPr>
        <w:t>As with a number of previous questions</w:t>
      </w:r>
      <w:r>
        <w:rPr>
          <w:lang w:eastAsia="en-US"/>
        </w:rPr>
        <w:t>,</w:t>
      </w:r>
      <w:r w:rsidRPr="005911E2">
        <w:rPr>
          <w:lang w:eastAsia="en-US"/>
        </w:rPr>
        <w:t xml:space="preserve"> these questions were asked of both the income managed and the contrast populations and in this case</w:t>
      </w:r>
      <w:r>
        <w:rPr>
          <w:lang w:eastAsia="en-US"/>
        </w:rPr>
        <w:t>,</w:t>
      </w:r>
      <w:r w:rsidRPr="005911E2">
        <w:rPr>
          <w:lang w:eastAsia="en-US"/>
        </w:rPr>
        <w:t xml:space="preserve"> the same question format was used – whether or not they had noticed </w:t>
      </w:r>
      <w:r>
        <w:rPr>
          <w:lang w:eastAsia="en-US"/>
        </w:rPr>
        <w:t xml:space="preserve">any </w:t>
      </w:r>
      <w:r w:rsidRPr="005911E2">
        <w:rPr>
          <w:lang w:eastAsia="en-US"/>
        </w:rPr>
        <w:t xml:space="preserve">change </w:t>
      </w:r>
      <w:r>
        <w:rPr>
          <w:lang w:eastAsia="en-US"/>
        </w:rPr>
        <w:t xml:space="preserve">with regard to </w:t>
      </w:r>
      <w:r w:rsidRPr="005911E2">
        <w:rPr>
          <w:lang w:eastAsia="en-US"/>
        </w:rPr>
        <w:t>children in the location in which they lived in the previous 12 months. The questions had three response categories: an improvement; no change; or an increase in the problem. The table shows the balance of positive over negative change as a proportion of the whole population who responded to the question.</w:t>
      </w:r>
    </w:p>
    <w:p w:rsidR="00AE7648" w:rsidRPr="005911E2" w:rsidRDefault="00AE7648" w:rsidP="00AE7648">
      <w:pPr>
        <w:pStyle w:val="BodyText"/>
        <w:rPr>
          <w:lang w:eastAsia="en-US"/>
        </w:rPr>
      </w:pPr>
      <w:r w:rsidRPr="005911E2">
        <w:rPr>
          <w:lang w:eastAsia="en-US"/>
        </w:rPr>
        <w:t xml:space="preserve">The overall results point to a perception of </w:t>
      </w:r>
      <w:r>
        <w:rPr>
          <w:lang w:eastAsia="en-US"/>
        </w:rPr>
        <w:t>there having been</w:t>
      </w:r>
      <w:r w:rsidRPr="005911E2">
        <w:rPr>
          <w:lang w:eastAsia="en-US"/>
        </w:rPr>
        <w:t xml:space="preserve"> very considerable improvements, particular</w:t>
      </w:r>
      <w:r>
        <w:rPr>
          <w:lang w:eastAsia="en-US"/>
        </w:rPr>
        <w:t>ly</w:t>
      </w:r>
      <w:r w:rsidRPr="005911E2">
        <w:rPr>
          <w:lang w:eastAsia="en-US"/>
        </w:rPr>
        <w:t xml:space="preserve"> in the communities in which Indigenous income managed people live. This was most marked in those locations prescribed under the NTER. In these locations the balance of positive change was around 50 to almost 70 percent</w:t>
      </w:r>
      <w:r>
        <w:rPr>
          <w:lang w:eastAsia="en-US"/>
        </w:rPr>
        <w:t>age points</w:t>
      </w:r>
      <w:r w:rsidRPr="005911E2">
        <w:rPr>
          <w:lang w:eastAsia="en-US"/>
        </w:rPr>
        <w:t xml:space="preserve"> to all questions</w:t>
      </w:r>
      <w:r>
        <w:rPr>
          <w:lang w:eastAsia="en-US"/>
        </w:rPr>
        <w:t>,</w:t>
      </w:r>
      <w:r w:rsidRPr="005911E2">
        <w:rPr>
          <w:lang w:eastAsia="en-US"/>
        </w:rPr>
        <w:t xml:space="preserve"> other than cultural activities. In non NTER areas</w:t>
      </w:r>
      <w:r>
        <w:rPr>
          <w:lang w:eastAsia="en-US"/>
        </w:rPr>
        <w:t>,</w:t>
      </w:r>
      <w:r w:rsidRPr="005911E2">
        <w:rPr>
          <w:lang w:eastAsia="en-US"/>
        </w:rPr>
        <w:t xml:space="preserve"> the balance of positive to negative change was around 20 to 50 per cent. While the pattern of more positive outcomes in the NTER communities persisted with regard to the question on cultural activities, the net gain was relatively low in these locations, and negative in the others.</w:t>
      </w:r>
    </w:p>
    <w:p w:rsidR="00897C1E" w:rsidRPr="005911E2" w:rsidRDefault="00897C1E" w:rsidP="00897C1E">
      <w:pPr>
        <w:pStyle w:val="BodyText"/>
        <w:rPr>
          <w:lang w:eastAsia="en-US"/>
        </w:rPr>
      </w:pPr>
      <w:r w:rsidRPr="005911E2">
        <w:rPr>
          <w:lang w:eastAsia="en-US"/>
        </w:rPr>
        <w:t xml:space="preserve">While positive results were also expressed by the Indigenous contrast group who were on income support only, the magnitude of change was considerably below that of the group on </w:t>
      </w:r>
      <w:r w:rsidR="00F878E4">
        <w:rPr>
          <w:lang w:eastAsia="en-US"/>
        </w:rPr>
        <w:t>income management</w:t>
      </w:r>
      <w:r w:rsidR="00614538" w:rsidRPr="005911E2">
        <w:rPr>
          <w:lang w:eastAsia="en-US"/>
        </w:rPr>
        <w:t>.</w:t>
      </w:r>
      <w:r w:rsidR="00614538">
        <w:rPr>
          <w:lang w:eastAsia="en-US"/>
        </w:rPr>
        <w:t xml:space="preserve"> </w:t>
      </w:r>
      <w:r w:rsidRPr="005911E2">
        <w:rPr>
          <w:lang w:eastAsia="en-US"/>
        </w:rPr>
        <w:t xml:space="preserve">Indeed as illustrated in </w:t>
      </w:r>
      <w:r w:rsidR="006F14AA" w:rsidRPr="005911E2">
        <w:t xml:space="preserve">Figure </w:t>
      </w:r>
      <w:r w:rsidR="006F14AA" w:rsidRPr="005911E2">
        <w:rPr>
          <w:noProof/>
        </w:rPr>
        <w:t>10</w:t>
      </w:r>
      <w:r w:rsidR="006F14AA" w:rsidRPr="005911E2">
        <w:noBreakHyphen/>
      </w:r>
      <w:r w:rsidR="006F14AA" w:rsidRPr="005911E2">
        <w:rPr>
          <w:noProof/>
        </w:rPr>
        <w:t>6</w:t>
      </w:r>
      <w:r w:rsidR="002014E8">
        <w:rPr>
          <w:noProof/>
        </w:rPr>
        <w:t>,</w:t>
      </w:r>
      <w:r w:rsidRPr="005911E2">
        <w:rPr>
          <w:lang w:eastAsia="en-US"/>
        </w:rPr>
        <w:t xml:space="preserve"> the multivariate analysis shows a series of positive and statistically significant associations between the major groups of Indigenous </w:t>
      </w:r>
      <w:r w:rsidR="00F878E4">
        <w:rPr>
          <w:lang w:eastAsia="en-US"/>
        </w:rPr>
        <w:t>income management</w:t>
      </w:r>
      <w:r w:rsidRPr="005911E2">
        <w:rPr>
          <w:lang w:eastAsia="en-US"/>
        </w:rPr>
        <w:t xml:space="preserve"> population and more positive outcomes for children relative to the contrast group. In most cases this is a difference of about half a standard deviation in the outcomes for children (</w:t>
      </w:r>
      <w:r w:rsidR="00BB552A">
        <w:rPr>
          <w:lang w:eastAsia="en-US"/>
        </w:rPr>
        <w:t xml:space="preserve">results are </w:t>
      </w:r>
      <w:r w:rsidRPr="005911E2">
        <w:rPr>
          <w:lang w:eastAsia="en-US"/>
        </w:rPr>
        <w:t>not shown for happiness or cultural activities where none of the relationships were statistically significant)</w:t>
      </w:r>
      <w:r w:rsidR="002014E8">
        <w:rPr>
          <w:lang w:eastAsia="en-US"/>
        </w:rPr>
        <w:t>.</w:t>
      </w:r>
    </w:p>
    <w:p w:rsidR="00897C1E" w:rsidRPr="005911E2" w:rsidRDefault="00897C1E" w:rsidP="00897C1E">
      <w:pPr>
        <w:pStyle w:val="BodyText"/>
        <w:rPr>
          <w:lang w:eastAsia="en-US"/>
        </w:rPr>
      </w:pPr>
      <w:r w:rsidRPr="005911E2">
        <w:rPr>
          <w:lang w:eastAsia="en-US"/>
        </w:rPr>
        <w:t xml:space="preserve">Other than the weaker results for Indigenous people on </w:t>
      </w:r>
      <w:r w:rsidR="00224BEA">
        <w:rPr>
          <w:lang w:eastAsia="en-US"/>
        </w:rPr>
        <w:t>Voluntary Income Management</w:t>
      </w:r>
      <w:r w:rsidR="002014E8">
        <w:rPr>
          <w:lang w:eastAsia="en-US"/>
        </w:rPr>
        <w:t xml:space="preserve"> </w:t>
      </w:r>
      <w:r w:rsidRPr="005911E2">
        <w:rPr>
          <w:lang w:eastAsia="en-US"/>
        </w:rPr>
        <w:t>in non-NTER areas</w:t>
      </w:r>
      <w:r w:rsidR="002014E8">
        <w:rPr>
          <w:lang w:eastAsia="en-US"/>
        </w:rPr>
        <w:t>,</w:t>
      </w:r>
      <w:r w:rsidRPr="005911E2">
        <w:rPr>
          <w:lang w:eastAsia="en-US"/>
        </w:rPr>
        <w:t xml:space="preserve"> potentially associated with the small size of this sample, the results are relatively consistent across locations and for those on </w:t>
      </w:r>
      <w:r w:rsidR="00224BEA">
        <w:rPr>
          <w:lang w:eastAsia="en-US"/>
        </w:rPr>
        <w:t>Voluntary Income Management</w:t>
      </w:r>
      <w:r w:rsidR="002014E8">
        <w:rPr>
          <w:lang w:eastAsia="en-US"/>
        </w:rPr>
        <w:t xml:space="preserve"> </w:t>
      </w:r>
      <w:r w:rsidRPr="005911E2">
        <w:rPr>
          <w:lang w:eastAsia="en-US"/>
        </w:rPr>
        <w:t>in NTER areas.</w:t>
      </w:r>
    </w:p>
    <w:p w:rsidR="00897C1E" w:rsidRPr="005911E2" w:rsidRDefault="00897C1E" w:rsidP="00897C1E">
      <w:pPr>
        <w:pStyle w:val="tabfighead"/>
      </w:pPr>
      <w:bookmarkStart w:id="1079" w:name="_Ref323935603"/>
      <w:bookmarkStart w:id="1080" w:name="_Toc322470956"/>
      <w:bookmarkStart w:id="1081" w:name="_Toc328601672"/>
      <w:bookmarkStart w:id="1082" w:name="_Toc335915938"/>
      <w:r w:rsidRPr="005911E2">
        <w:t xml:space="preserve">Figure </w:t>
      </w:r>
      <w:r w:rsidR="00C7347D">
        <w:fldChar w:fldCharType="begin"/>
      </w:r>
      <w:r w:rsidR="00E74851">
        <w:instrText xml:space="preserve"> STYLEREF 1 \s </w:instrText>
      </w:r>
      <w:r w:rsidR="00C7347D">
        <w:fldChar w:fldCharType="separate"/>
      </w:r>
      <w:r w:rsidR="007D7E45">
        <w:rPr>
          <w:noProof/>
        </w:rPr>
        <w:t>10</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6</w:t>
      </w:r>
      <w:r w:rsidR="00C7347D">
        <w:fldChar w:fldCharType="end"/>
      </w:r>
      <w:bookmarkEnd w:id="1079"/>
      <w:r w:rsidRPr="005911E2">
        <w:tab/>
        <w:t xml:space="preserve">Major Indigenous sub-populations by type of </w:t>
      </w:r>
      <w:r w:rsidR="00F878E4">
        <w:t>income management</w:t>
      </w:r>
      <w:r w:rsidRPr="005911E2">
        <w:t xml:space="preserve"> and location, multivariate analysis of children’s wellbeing, impact of different </w:t>
      </w:r>
      <w:r w:rsidR="00F878E4">
        <w:t>income management</w:t>
      </w:r>
      <w:r w:rsidRPr="005911E2">
        <w:t xml:space="preserve"> circumstances</w:t>
      </w:r>
      <w:bookmarkEnd w:id="1080"/>
      <w:bookmarkEnd w:id="1081"/>
      <w:bookmarkEnd w:id="1082"/>
    </w:p>
    <w:tbl>
      <w:tblPr>
        <w:tblStyle w:val="TableGrid"/>
        <w:tblW w:w="0" w:type="auto"/>
        <w:tblInd w:w="1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10-6 Major Indigenous sub-populations by type of income management and location, multivariate analysis of children’s wellbeing, impact of different income management circumstances"/>
        <w:tblDescription w:val="Figure 10-6 Major Indigenous sub-populations by type of income management and location, multivariate analysis of children’s wellbeing, impact of different income management circumstances"/>
      </w:tblPr>
      <w:tblGrid>
        <w:gridCol w:w="7474"/>
      </w:tblGrid>
      <w:tr w:rsidR="009D6644" w:rsidTr="009D15E2">
        <w:trPr>
          <w:tblHeader/>
        </w:trPr>
        <w:tc>
          <w:tcPr>
            <w:tcW w:w="7474" w:type="dxa"/>
          </w:tcPr>
          <w:p w:rsidR="009D6644" w:rsidRDefault="00E75F1A" w:rsidP="00897C1E">
            <w:pPr>
              <w:ind w:left="0"/>
            </w:pPr>
            <w:r>
              <w:rPr>
                <w:noProof/>
                <w:lang w:eastAsia="en-AU" w:bidi="ar-SA"/>
              </w:rPr>
              <w:drawing>
                <wp:inline distT="0" distB="0" distL="0" distR="0" wp14:anchorId="5134BDB9" wp14:editId="6F5F47CF">
                  <wp:extent cx="4572000" cy="2743200"/>
                  <wp:effectExtent l="0" t="0" r="0" b="0"/>
                  <wp:docPr id="71" name="Picture 60" descr="Figure 10-6 Major Indigenous sub-populations by type of income management and location, multivariate analysis of children’s wellbeing, impact of different income management circumstances" title="Figure 10-6 Major Indigenous sub-populations by type of income management and location, multivariate analysis of children’s wellbeing, impact of different income management circumst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tc>
      </w:tr>
    </w:tbl>
    <w:p w:rsidR="00224BEA" w:rsidRDefault="00224BEA" w:rsidP="00224BEA">
      <w:pPr>
        <w:pStyle w:val="tablefootnotes"/>
      </w:pPr>
      <w:r w:rsidRPr="00A21C6E">
        <w:t>Notes:</w:t>
      </w:r>
      <w:r w:rsidRPr="00A21C6E">
        <w:tab/>
        <w:t>CIM in this chart inc</w:t>
      </w:r>
      <w:r w:rsidR="004E3A29">
        <w:t>l</w:t>
      </w:r>
      <w:r w:rsidRPr="00A21C6E">
        <w:t>udes all compulsory streams</w:t>
      </w:r>
      <w:r w:rsidR="00AE7648">
        <w:t>.</w:t>
      </w:r>
    </w:p>
    <w:p w:rsidR="00897C1E" w:rsidRPr="005911E2" w:rsidRDefault="00897C1E" w:rsidP="00CF78DB">
      <w:pPr>
        <w:pStyle w:val="tablefootnotes"/>
      </w:pPr>
      <w:r w:rsidRPr="005911E2">
        <w:t>Source</w:t>
      </w:r>
      <w:r w:rsidR="00614538" w:rsidRPr="005911E2">
        <w:t>:</w:t>
      </w:r>
      <w:r w:rsidR="00614538">
        <w:t xml:space="preserve"> </w:t>
      </w:r>
      <w:r w:rsidR="00224BEA">
        <w:tab/>
      </w:r>
      <w:r w:rsidRPr="005911E2">
        <w:t>LSNIM, Wave 1</w:t>
      </w:r>
      <w:r w:rsidR="00AE7648">
        <w:t>.</w:t>
      </w:r>
    </w:p>
    <w:p w:rsidR="00897C1E" w:rsidRPr="005911E2" w:rsidRDefault="00897C1E" w:rsidP="00CF78DB">
      <w:pPr>
        <w:pStyle w:val="tablefootnotes"/>
      </w:pPr>
    </w:p>
    <w:p w:rsidR="00897C1E" w:rsidRPr="005911E2" w:rsidRDefault="00897C1E" w:rsidP="00897C1E">
      <w:pPr>
        <w:pStyle w:val="BodyText"/>
        <w:rPr>
          <w:lang w:eastAsia="en-US"/>
        </w:rPr>
      </w:pPr>
      <w:r w:rsidRPr="005911E2">
        <w:rPr>
          <w:lang w:eastAsia="en-US"/>
        </w:rPr>
        <w:t xml:space="preserve">The picture presented by non-Indigenous survey participants </w:t>
      </w:r>
      <w:r w:rsidR="002014E8">
        <w:rPr>
          <w:lang w:eastAsia="en-US"/>
        </w:rPr>
        <w:t>i</w:t>
      </w:r>
      <w:r w:rsidRPr="005911E2">
        <w:rPr>
          <w:lang w:eastAsia="en-US"/>
        </w:rPr>
        <w:t>s less clear. While in response to four of the six questions they reported positive change</w:t>
      </w:r>
      <w:r w:rsidR="00356085">
        <w:rPr>
          <w:lang w:eastAsia="en-US"/>
        </w:rPr>
        <w:t>,</w:t>
      </w:r>
      <w:r w:rsidRPr="005911E2">
        <w:rPr>
          <w:lang w:eastAsia="en-US"/>
        </w:rPr>
        <w:t xml:space="preserve"> the magnitude of this was far below that of the Indigenous participants</w:t>
      </w:r>
      <w:r w:rsidR="00356085">
        <w:rPr>
          <w:lang w:eastAsia="en-US"/>
        </w:rPr>
        <w:t>;</w:t>
      </w:r>
      <w:r w:rsidRPr="005911E2">
        <w:rPr>
          <w:lang w:eastAsia="en-US"/>
        </w:rPr>
        <w:t xml:space="preserve"> and for questions on safety and cultural activities</w:t>
      </w:r>
      <w:r w:rsidR="00356085">
        <w:rPr>
          <w:lang w:eastAsia="en-US"/>
        </w:rPr>
        <w:t>,</w:t>
      </w:r>
      <w:r w:rsidRPr="005911E2">
        <w:rPr>
          <w:lang w:eastAsia="en-US"/>
        </w:rPr>
        <w:t xml:space="preserve"> the balance of responses was negative. The results, while not consistent, usually showed more positive change than that reported by the contrast group. The only statistically significant result relating to being on </w:t>
      </w:r>
      <w:r w:rsidR="00F878E4">
        <w:rPr>
          <w:lang w:eastAsia="en-US"/>
        </w:rPr>
        <w:t>income management</w:t>
      </w:r>
      <w:r w:rsidRPr="005911E2">
        <w:rPr>
          <w:lang w:eastAsia="en-US"/>
        </w:rPr>
        <w:t xml:space="preserve"> was with regard to children’s happiness. Here non-Indigenous people on </w:t>
      </w:r>
      <w:r w:rsidR="00F878E4">
        <w:rPr>
          <w:lang w:eastAsia="en-US"/>
        </w:rPr>
        <w:t>income management</w:t>
      </w:r>
      <w:r w:rsidRPr="005911E2">
        <w:rPr>
          <w:lang w:eastAsia="en-US"/>
        </w:rPr>
        <w:t xml:space="preserve"> rated the change in children’s happiness half a standard deviation above non-Indigenous people in the contrast population.</w:t>
      </w:r>
    </w:p>
    <w:p w:rsidR="00897C1E" w:rsidRPr="005911E2" w:rsidRDefault="00897C1E" w:rsidP="00897C1E">
      <w:pPr>
        <w:pStyle w:val="BodyText"/>
        <w:rPr>
          <w:lang w:eastAsia="en-US"/>
        </w:rPr>
      </w:pPr>
      <w:r w:rsidRPr="005911E2">
        <w:rPr>
          <w:lang w:eastAsia="en-US"/>
        </w:rPr>
        <w:t>In drawing findings from these responses there is also some value in comparing these perceived trends with other sources of information. At this point in the evaluation</w:t>
      </w:r>
      <w:r w:rsidR="006A7896">
        <w:rPr>
          <w:lang w:eastAsia="en-US"/>
        </w:rPr>
        <w:t xml:space="preserve"> there is</w:t>
      </w:r>
      <w:r w:rsidRPr="005911E2">
        <w:rPr>
          <w:lang w:eastAsia="en-US"/>
        </w:rPr>
        <w:t xml:space="preserve"> only limited data available to do this</w:t>
      </w:r>
      <w:r w:rsidR="006A7896">
        <w:rPr>
          <w:lang w:eastAsia="en-US"/>
        </w:rPr>
        <w:t>. H</w:t>
      </w:r>
      <w:r w:rsidRPr="005911E2">
        <w:rPr>
          <w:lang w:eastAsia="en-US"/>
        </w:rPr>
        <w:t>owever</w:t>
      </w:r>
      <w:r w:rsidR="006A7896">
        <w:rPr>
          <w:lang w:eastAsia="en-US"/>
        </w:rPr>
        <w:t>,</w:t>
      </w:r>
      <w:r w:rsidRPr="005911E2">
        <w:rPr>
          <w:lang w:eastAsia="en-US"/>
        </w:rPr>
        <w:t xml:space="preserve"> to the extent it can be done, as with the earlier analysis of perception of having sufficient money for food</w:t>
      </w:r>
      <w:r w:rsidR="006A7896">
        <w:rPr>
          <w:lang w:eastAsia="en-US"/>
        </w:rPr>
        <w:t>,</w:t>
      </w:r>
      <w:r w:rsidRPr="005911E2">
        <w:rPr>
          <w:lang w:eastAsia="en-US"/>
        </w:rPr>
        <w:t xml:space="preserve"> it does raise the potential of there being a considerable gap between perceptions and actual change. As illustrated in </w:t>
      </w:r>
      <w:r w:rsidR="00C7347D">
        <w:rPr>
          <w:lang w:eastAsia="en-US"/>
        </w:rPr>
        <w:fldChar w:fldCharType="begin"/>
      </w:r>
      <w:r w:rsidR="00224BEA">
        <w:rPr>
          <w:lang w:eastAsia="en-US"/>
        </w:rPr>
        <w:instrText xml:space="preserve"> REF _Ref321155147 \h </w:instrText>
      </w:r>
      <w:r w:rsidR="00C7347D">
        <w:rPr>
          <w:lang w:eastAsia="en-US"/>
        </w:rPr>
      </w:r>
      <w:r w:rsidR="00C7347D">
        <w:rPr>
          <w:lang w:eastAsia="en-US"/>
        </w:rPr>
        <w:fldChar w:fldCharType="separate"/>
      </w:r>
      <w:r w:rsidR="007D7E45" w:rsidRPr="005911E2">
        <w:t xml:space="preserve">Table </w:t>
      </w:r>
      <w:r w:rsidR="007D7E45">
        <w:rPr>
          <w:noProof/>
        </w:rPr>
        <w:t>12</w:t>
      </w:r>
      <w:r w:rsidR="007D7E45" w:rsidRPr="005911E2">
        <w:noBreakHyphen/>
      </w:r>
      <w:r w:rsidR="007D7E45">
        <w:rPr>
          <w:noProof/>
        </w:rPr>
        <w:t>2</w:t>
      </w:r>
      <w:r w:rsidR="00C7347D">
        <w:rPr>
          <w:lang w:eastAsia="en-US"/>
        </w:rPr>
        <w:fldChar w:fldCharType="end"/>
      </w:r>
      <w:r w:rsidR="006A7896">
        <w:rPr>
          <w:lang w:eastAsia="en-US"/>
        </w:rPr>
        <w:t xml:space="preserve">, </w:t>
      </w:r>
      <w:r w:rsidRPr="005911E2">
        <w:rPr>
          <w:lang w:eastAsia="en-US"/>
        </w:rPr>
        <w:t>when surveyed in late 2011 or early 2012</w:t>
      </w:r>
      <w:r w:rsidR="006A7896">
        <w:rPr>
          <w:lang w:eastAsia="en-US"/>
        </w:rPr>
        <w:t>,</w:t>
      </w:r>
      <w:r w:rsidRPr="005911E2">
        <w:rPr>
          <w:lang w:eastAsia="en-US"/>
        </w:rPr>
        <w:t xml:space="preserve"> up to </w:t>
      </w:r>
      <w:r w:rsidR="00224BEA" w:rsidRPr="005911E2">
        <w:rPr>
          <w:lang w:eastAsia="en-US"/>
        </w:rPr>
        <w:t>6</w:t>
      </w:r>
      <w:r w:rsidR="00224BEA">
        <w:rPr>
          <w:lang w:eastAsia="en-US"/>
        </w:rPr>
        <w:t>4</w:t>
      </w:r>
      <w:r w:rsidR="00224BEA" w:rsidRPr="005911E2">
        <w:rPr>
          <w:lang w:eastAsia="en-US"/>
        </w:rPr>
        <w:t xml:space="preserve"> </w:t>
      </w:r>
      <w:r w:rsidRPr="005911E2">
        <w:rPr>
          <w:lang w:eastAsia="en-US"/>
        </w:rPr>
        <w:t>per cent of Indigenous respondents reported improved school attendance in their community. In contrast</w:t>
      </w:r>
      <w:r w:rsidR="006A7896">
        <w:rPr>
          <w:lang w:eastAsia="en-US"/>
        </w:rPr>
        <w:t>,</w:t>
      </w:r>
      <w:r w:rsidRPr="005911E2">
        <w:rPr>
          <w:lang w:eastAsia="en-US"/>
        </w:rPr>
        <w:t xml:space="preserve"> administrative data on school attendance for Indigenous students suggested little substantive change. In Term 4 2011 it stood at 66.8 per cent, little differen</w:t>
      </w:r>
      <w:r w:rsidR="006A7896">
        <w:rPr>
          <w:lang w:eastAsia="en-US"/>
        </w:rPr>
        <w:t>ce</w:t>
      </w:r>
      <w:r w:rsidRPr="005911E2">
        <w:rPr>
          <w:lang w:eastAsia="en-US"/>
        </w:rPr>
        <w:t xml:space="preserve"> to the 66.2 per cent a year earlier (Department of Education and Training</w:t>
      </w:r>
      <w:r w:rsidR="006A7896">
        <w:rPr>
          <w:lang w:eastAsia="en-US"/>
        </w:rPr>
        <w:t>,</w:t>
      </w:r>
      <w:r w:rsidRPr="005911E2">
        <w:rPr>
          <w:lang w:eastAsia="en-US"/>
        </w:rPr>
        <w:t xml:space="preserve"> 2012).</w:t>
      </w:r>
      <w:r w:rsidRPr="005911E2">
        <w:rPr>
          <w:rStyle w:val="FootnoteReference"/>
        </w:rPr>
        <w:footnoteReference w:id="124"/>
      </w:r>
      <w:r w:rsidRPr="005911E2">
        <w:rPr>
          <w:lang w:eastAsia="en-US"/>
        </w:rPr>
        <w:t xml:space="preserve"> Perhaps </w:t>
      </w:r>
      <w:r w:rsidRPr="005911E2">
        <w:t>the most plausible explanation for this is that there is a general sense in these communities that things are improving, but it is difficult for community members to identify the specific nature or causes of these changes. This is an issue which, as noted earlier in this chapter, has been found in other research including evaluation of the NTER.</w:t>
      </w:r>
    </w:p>
    <w:p w:rsidR="00897C1E" w:rsidRPr="005911E2" w:rsidRDefault="00897C1E" w:rsidP="00BD6DFD">
      <w:pPr>
        <w:pStyle w:val="Heading3"/>
      </w:pPr>
      <w:r w:rsidRPr="005911E2">
        <w:t>Impact on culture</w:t>
      </w:r>
    </w:p>
    <w:p w:rsidR="00897C1E" w:rsidRPr="005911E2" w:rsidRDefault="00897C1E" w:rsidP="00897C1E">
      <w:pPr>
        <w:pStyle w:val="BodyText"/>
        <w:rPr>
          <w:lang w:eastAsia="en-US"/>
        </w:rPr>
      </w:pPr>
      <w:r w:rsidRPr="005911E2">
        <w:rPr>
          <w:lang w:eastAsia="en-US"/>
        </w:rPr>
        <w:t>As seen above</w:t>
      </w:r>
      <w:r w:rsidR="007404C8">
        <w:rPr>
          <w:lang w:eastAsia="en-US"/>
        </w:rPr>
        <w:t>,</w:t>
      </w:r>
      <w:r w:rsidRPr="005911E2">
        <w:rPr>
          <w:lang w:eastAsia="en-US"/>
        </w:rPr>
        <w:t xml:space="preserve"> the responses to the question of change in children’s engagement in cultural activities present a very mixed picture with stark contrasts between the NTER and other locations. The survey asked a further question of people on </w:t>
      </w:r>
      <w:r w:rsidR="00F878E4">
        <w:rPr>
          <w:lang w:eastAsia="en-US"/>
        </w:rPr>
        <w:t>income management</w:t>
      </w:r>
      <w:r w:rsidRPr="005911E2">
        <w:rPr>
          <w:lang w:eastAsia="en-US"/>
        </w:rPr>
        <w:t xml:space="preserve"> </w:t>
      </w:r>
      <w:r w:rsidR="007404C8">
        <w:rPr>
          <w:lang w:eastAsia="en-US"/>
        </w:rPr>
        <w:t>concerning</w:t>
      </w:r>
      <w:r w:rsidR="007404C8" w:rsidRPr="005911E2">
        <w:rPr>
          <w:lang w:eastAsia="en-US"/>
        </w:rPr>
        <w:t xml:space="preserve"> </w:t>
      </w:r>
      <w:r w:rsidRPr="005911E2">
        <w:rPr>
          <w:lang w:eastAsia="en-US"/>
        </w:rPr>
        <w:t xml:space="preserve">the impact of the program on </w:t>
      </w:r>
      <w:r w:rsidR="007404C8">
        <w:rPr>
          <w:lang w:eastAsia="en-US"/>
        </w:rPr>
        <w:t>‘</w:t>
      </w:r>
      <w:r w:rsidRPr="005911E2">
        <w:rPr>
          <w:lang w:eastAsia="en-US"/>
        </w:rPr>
        <w:t>the way you practi</w:t>
      </w:r>
      <w:r w:rsidR="004E3A29">
        <w:rPr>
          <w:lang w:eastAsia="en-US"/>
        </w:rPr>
        <w:t>s</w:t>
      </w:r>
      <w:r w:rsidRPr="005911E2">
        <w:rPr>
          <w:lang w:eastAsia="en-US"/>
        </w:rPr>
        <w:t>e culture or family obligations</w:t>
      </w:r>
      <w:r w:rsidR="007404C8">
        <w:rPr>
          <w:lang w:eastAsia="en-US"/>
        </w:rPr>
        <w:t>’</w:t>
      </w:r>
      <w:r w:rsidRPr="005911E2">
        <w:rPr>
          <w:lang w:eastAsia="en-US"/>
        </w:rPr>
        <w:t>. While this question evoked a large number of responses</w:t>
      </w:r>
      <w:r w:rsidR="004E3A29">
        <w:rPr>
          <w:lang w:eastAsia="en-US"/>
        </w:rPr>
        <w:t>,</w:t>
      </w:r>
      <w:r w:rsidRPr="005911E2">
        <w:rPr>
          <w:lang w:eastAsia="en-US"/>
        </w:rPr>
        <w:t xml:space="preserve"> there was little consistency in these. Some survey participants considered that </w:t>
      </w:r>
      <w:r w:rsidR="00F878E4">
        <w:rPr>
          <w:lang w:eastAsia="en-US"/>
        </w:rPr>
        <w:t>income management</w:t>
      </w:r>
      <w:r w:rsidRPr="005911E2">
        <w:rPr>
          <w:lang w:eastAsia="en-US"/>
        </w:rPr>
        <w:t xml:space="preserve"> improved their capacity to manage money and hence their ability to attend funerals and other activities. </w:t>
      </w:r>
      <w:r w:rsidR="007404C8">
        <w:rPr>
          <w:lang w:eastAsia="en-US"/>
        </w:rPr>
        <w:t>O</w:t>
      </w:r>
      <w:r w:rsidRPr="005911E2">
        <w:rPr>
          <w:lang w:eastAsia="en-US"/>
        </w:rPr>
        <w:t>thers felt the impact was negative, with travel becoming more difficult due to lack of flexibility. Some report</w:t>
      </w:r>
      <w:r w:rsidR="007404C8">
        <w:rPr>
          <w:lang w:eastAsia="en-US"/>
        </w:rPr>
        <w:t>ed</w:t>
      </w:r>
      <w:r w:rsidRPr="005911E2">
        <w:rPr>
          <w:lang w:eastAsia="en-US"/>
        </w:rPr>
        <w:t xml:space="preserve"> changing the way in which they provided support to others in their families, for example providing assistance as food, rather than in cash.</w:t>
      </w:r>
    </w:p>
    <w:p w:rsidR="00897C1E" w:rsidRPr="005911E2" w:rsidRDefault="00897C1E" w:rsidP="00616B0F">
      <w:pPr>
        <w:pStyle w:val="Heading2"/>
      </w:pPr>
      <w:bookmarkStart w:id="1083" w:name="_Toc322470835"/>
      <w:bookmarkStart w:id="1084" w:name="_Toc328601533"/>
      <w:bookmarkStart w:id="1085" w:name="_Toc329870414"/>
      <w:bookmarkStart w:id="1086" w:name="_Toc335915800"/>
      <w:r w:rsidRPr="005911E2">
        <w:t xml:space="preserve">Desire to exit </w:t>
      </w:r>
      <w:bookmarkEnd w:id="1083"/>
      <w:r w:rsidR="00F878E4">
        <w:t>income management</w:t>
      </w:r>
      <w:bookmarkEnd w:id="1084"/>
      <w:bookmarkEnd w:id="1085"/>
      <w:bookmarkEnd w:id="1086"/>
      <w:r w:rsidRPr="005911E2">
        <w:t xml:space="preserve"> </w:t>
      </w:r>
    </w:p>
    <w:p w:rsidR="00897C1E" w:rsidRPr="005911E2" w:rsidRDefault="00897C1E" w:rsidP="00897C1E">
      <w:pPr>
        <w:pStyle w:val="BodyText"/>
        <w:rPr>
          <w:lang w:eastAsia="en-US"/>
        </w:rPr>
      </w:pPr>
      <w:r w:rsidRPr="005911E2">
        <w:rPr>
          <w:lang w:eastAsia="en-US"/>
        </w:rPr>
        <w:t xml:space="preserve">Responses to a direct question on whether people wanted to remain on, or exit, </w:t>
      </w:r>
      <w:r w:rsidR="00F878E4">
        <w:rPr>
          <w:lang w:eastAsia="en-US"/>
        </w:rPr>
        <w:t>income management</w:t>
      </w:r>
      <w:r w:rsidRPr="005911E2">
        <w:rPr>
          <w:lang w:eastAsia="en-US"/>
        </w:rPr>
        <w:t xml:space="preserve"> generated quite different patterns of response</w:t>
      </w:r>
      <w:r w:rsidR="00AE197B">
        <w:rPr>
          <w:lang w:eastAsia="en-US"/>
        </w:rPr>
        <w:t>s</w:t>
      </w:r>
      <w:r w:rsidRPr="005911E2">
        <w:rPr>
          <w:lang w:eastAsia="en-US"/>
        </w:rPr>
        <w:t xml:space="preserve"> for different sub-populations. These are illustrated in</w:t>
      </w:r>
      <w:r w:rsidR="006A02CC" w:rsidRPr="005911E2">
        <w:t xml:space="preserve"> </w:t>
      </w:r>
      <w:r w:rsidR="006F14AA" w:rsidRPr="005911E2">
        <w:t xml:space="preserve">Figure </w:t>
      </w:r>
      <w:r w:rsidR="006F14AA" w:rsidRPr="005911E2">
        <w:rPr>
          <w:noProof/>
        </w:rPr>
        <w:t>10</w:t>
      </w:r>
      <w:r w:rsidR="006F14AA" w:rsidRPr="005911E2">
        <w:noBreakHyphen/>
      </w:r>
      <w:r w:rsidR="006F14AA" w:rsidRPr="005911E2">
        <w:rPr>
          <w:noProof/>
        </w:rPr>
        <w:t>7</w:t>
      </w:r>
      <w:r w:rsidRPr="005911E2">
        <w:rPr>
          <w:lang w:eastAsia="en-US"/>
        </w:rPr>
        <w:t>.</w:t>
      </w:r>
    </w:p>
    <w:p w:rsidR="00897C1E" w:rsidRPr="005911E2" w:rsidRDefault="00897C1E" w:rsidP="00897C1E">
      <w:pPr>
        <w:pStyle w:val="BodyText"/>
      </w:pPr>
      <w:r w:rsidRPr="005911E2">
        <w:t xml:space="preserve">Indigenous survey participants on various compulsory forms of </w:t>
      </w:r>
      <w:r w:rsidR="00F878E4">
        <w:t>income management</w:t>
      </w:r>
      <w:r w:rsidRPr="005911E2">
        <w:t xml:space="preserve"> were split roughly equally between those who wished to remain on and those who wished to exit the program, with around 20 per cent being unsure. While women had a greater tendency than men to wish to remain on the program</w:t>
      </w:r>
      <w:r w:rsidR="00AE197B">
        <w:t>,</w:t>
      </w:r>
      <w:r w:rsidRPr="005911E2">
        <w:t xml:space="preserve"> this </w:t>
      </w:r>
      <w:r w:rsidR="009003D7">
        <w:t>tendency</w:t>
      </w:r>
      <w:r w:rsidR="009003D7" w:rsidRPr="005911E2">
        <w:t xml:space="preserve"> </w:t>
      </w:r>
      <w:r w:rsidRPr="005911E2">
        <w:t>was relatively small.</w:t>
      </w:r>
    </w:p>
    <w:p w:rsidR="00897C1E" w:rsidRPr="005911E2" w:rsidRDefault="00897C1E" w:rsidP="00897C1E">
      <w:pPr>
        <w:pStyle w:val="BodyText"/>
      </w:pPr>
      <w:r w:rsidRPr="005911E2">
        <w:t xml:space="preserve">People on </w:t>
      </w:r>
      <w:r w:rsidR="009003D7">
        <w:t xml:space="preserve">the voluntary measure </w:t>
      </w:r>
      <w:r w:rsidRPr="005911E2">
        <w:t xml:space="preserve">are considered to have chosen to have been on this measure, and indeed only 11 per cent of women and 10 per cent of Indigenous </w:t>
      </w:r>
      <w:r w:rsidR="00614538" w:rsidRPr="005911E2">
        <w:t>men</w:t>
      </w:r>
      <w:r w:rsidR="00614538">
        <w:t xml:space="preserve"> </w:t>
      </w:r>
      <w:r w:rsidRPr="005911E2">
        <w:t xml:space="preserve">said that they wanted to get off </w:t>
      </w:r>
      <w:r w:rsidR="00F878E4">
        <w:t>income management</w:t>
      </w:r>
      <w:r w:rsidRPr="005911E2">
        <w:t>, with three quarters of the women and two thirds of the men</w:t>
      </w:r>
      <w:r w:rsidR="004E3A29">
        <w:t xml:space="preserve"> </w:t>
      </w:r>
      <w:r w:rsidRPr="005911E2">
        <w:t xml:space="preserve">indicating that they wished to remain on </w:t>
      </w:r>
      <w:r w:rsidR="00F878E4">
        <w:t>income management</w:t>
      </w:r>
      <w:r w:rsidRPr="005911E2">
        <w:t xml:space="preserve">, and the remainder being unsure. </w:t>
      </w:r>
    </w:p>
    <w:p w:rsidR="00897C1E" w:rsidRPr="005911E2" w:rsidRDefault="00897C1E" w:rsidP="00897C1E">
      <w:pPr>
        <w:pStyle w:val="BodyText"/>
      </w:pPr>
      <w:r w:rsidRPr="005911E2">
        <w:t xml:space="preserve">Non-Indigenous people subject to various types of compulsory </w:t>
      </w:r>
      <w:r w:rsidR="00F878E4">
        <w:t>income management</w:t>
      </w:r>
      <w:r w:rsidRPr="005911E2">
        <w:t xml:space="preserve"> were more likely to want to get off </w:t>
      </w:r>
      <w:r w:rsidR="00F878E4">
        <w:t>income management</w:t>
      </w:r>
      <w:r w:rsidRPr="005911E2">
        <w:t xml:space="preserve"> (60 per cent of women and 69 per cent men). Only 28 per cent of women and 21 per cent of men responded that they wanted to stay on the measure</w:t>
      </w:r>
      <w:r w:rsidR="004E3A29">
        <w:t>.</w:t>
      </w:r>
    </w:p>
    <w:p w:rsidR="00897C1E" w:rsidRPr="005911E2" w:rsidRDefault="00897C1E" w:rsidP="00897C1E">
      <w:pPr>
        <w:pStyle w:val="tabfighead"/>
      </w:pPr>
      <w:bookmarkStart w:id="1087" w:name="_Ref323942068"/>
      <w:bookmarkStart w:id="1088" w:name="_Toc322470957"/>
      <w:bookmarkStart w:id="1089" w:name="_Toc328601673"/>
      <w:bookmarkStart w:id="1090" w:name="_Toc335915939"/>
      <w:r w:rsidRPr="005911E2">
        <w:t xml:space="preserve">Figure </w:t>
      </w:r>
      <w:r w:rsidR="00C7347D">
        <w:fldChar w:fldCharType="begin"/>
      </w:r>
      <w:r w:rsidR="00E74851">
        <w:instrText xml:space="preserve"> STYLEREF 1 \s </w:instrText>
      </w:r>
      <w:r w:rsidR="00C7347D">
        <w:fldChar w:fldCharType="separate"/>
      </w:r>
      <w:r w:rsidR="007D7E45">
        <w:rPr>
          <w:noProof/>
        </w:rPr>
        <w:t>10</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7</w:t>
      </w:r>
      <w:r w:rsidR="00C7347D">
        <w:fldChar w:fldCharType="end"/>
      </w:r>
      <w:bookmarkEnd w:id="1087"/>
      <w:r w:rsidRPr="005911E2">
        <w:tab/>
      </w:r>
      <w:r w:rsidR="006435C8">
        <w:t xml:space="preserve">Northern Territory </w:t>
      </w:r>
      <w:r w:rsidRPr="005911E2">
        <w:t xml:space="preserve">income managed survey participants, whether they wish to remain on or exit </w:t>
      </w:r>
      <w:r w:rsidR="00F878E4">
        <w:t>income management</w:t>
      </w:r>
      <w:bookmarkEnd w:id="1088"/>
      <w:bookmarkEnd w:id="1089"/>
      <w:bookmarkEnd w:id="1090"/>
    </w:p>
    <w:tbl>
      <w:tblPr>
        <w:tblStyle w:val="TableGrid"/>
        <w:tblW w:w="0" w:type="auto"/>
        <w:tblInd w:w="1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10-7 Northern Territory income managed survey participants, whether they wish to remain on or exit income management"/>
        <w:tblDescription w:val="Figure 10-7 Northern Territory income managed survey participants, whether they wish to remain on or exit income management"/>
      </w:tblPr>
      <w:tblGrid>
        <w:gridCol w:w="7332"/>
      </w:tblGrid>
      <w:tr w:rsidR="009D6644" w:rsidTr="009D15E2">
        <w:trPr>
          <w:tblHeader/>
        </w:trPr>
        <w:tc>
          <w:tcPr>
            <w:tcW w:w="7332" w:type="dxa"/>
          </w:tcPr>
          <w:p w:rsidR="009D6644" w:rsidRDefault="00593501" w:rsidP="00897C1E">
            <w:pPr>
              <w:ind w:left="0"/>
            </w:pPr>
            <w:r>
              <w:rPr>
                <w:noProof/>
                <w:lang w:eastAsia="en-AU" w:bidi="ar-SA"/>
              </w:rPr>
              <w:drawing>
                <wp:inline distT="0" distB="0" distL="0" distR="0" wp14:anchorId="7DA6D789" wp14:editId="04A7A752">
                  <wp:extent cx="4579620" cy="2750820"/>
                  <wp:effectExtent l="0" t="0" r="0" b="0"/>
                  <wp:docPr id="13" name="Picture 6" descr="Figure 10-7 Northern Territory income managed survey participants, whether they wish to remain on or exit income management" title="Figure 10-7 Northern Territory income managed survey participants, whether they wish to remain on or exit incom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srcRect/>
                          <a:stretch>
                            <a:fillRect/>
                          </a:stretch>
                        </pic:blipFill>
                        <pic:spPr bwMode="auto">
                          <a:xfrm>
                            <a:off x="0" y="0"/>
                            <a:ext cx="4579620" cy="2750820"/>
                          </a:xfrm>
                          <a:prstGeom prst="rect">
                            <a:avLst/>
                          </a:prstGeom>
                          <a:noFill/>
                          <a:ln w="9525">
                            <a:noFill/>
                            <a:miter lim="800000"/>
                            <a:headEnd/>
                            <a:tailEnd/>
                          </a:ln>
                        </pic:spPr>
                      </pic:pic>
                    </a:graphicData>
                  </a:graphic>
                </wp:inline>
              </w:drawing>
            </w:r>
          </w:p>
        </w:tc>
      </w:tr>
    </w:tbl>
    <w:p w:rsidR="00224BEA" w:rsidRDefault="00224BEA" w:rsidP="00224BEA">
      <w:pPr>
        <w:pStyle w:val="tablefootnotes"/>
      </w:pPr>
      <w:r w:rsidRPr="00A21C6E">
        <w:t>Notes:</w:t>
      </w:r>
      <w:r w:rsidRPr="00A21C6E">
        <w:tab/>
        <w:t>CIM in this chart inc</w:t>
      </w:r>
      <w:r w:rsidR="004E3A29">
        <w:t>l</w:t>
      </w:r>
      <w:r w:rsidRPr="00A21C6E">
        <w:t>udes all compulsory streams</w:t>
      </w:r>
      <w:r w:rsidR="00423C90">
        <w:t>.</w:t>
      </w:r>
      <w:r w:rsidRPr="00A21C6E" w:rsidDel="00A21C6E">
        <w:t xml:space="preserve"> </w:t>
      </w:r>
    </w:p>
    <w:p w:rsidR="00897C1E" w:rsidRPr="005911E2" w:rsidRDefault="00897C1E" w:rsidP="00CF78DB">
      <w:pPr>
        <w:pStyle w:val="tablefootnotes"/>
      </w:pPr>
      <w:r w:rsidRPr="005911E2">
        <w:t xml:space="preserve">Source: </w:t>
      </w:r>
      <w:r w:rsidR="00224BEA">
        <w:tab/>
      </w:r>
      <w:r w:rsidRPr="005911E2">
        <w:t>LSNIM, Wave 1.</w:t>
      </w:r>
    </w:p>
    <w:p w:rsidR="00897C1E" w:rsidRPr="005911E2" w:rsidRDefault="00897C1E" w:rsidP="00897C1E">
      <w:pPr>
        <w:pStyle w:val="BodyText"/>
        <w:rPr>
          <w:lang w:eastAsia="en-US"/>
        </w:rPr>
      </w:pPr>
    </w:p>
    <w:p w:rsidR="00897C1E" w:rsidRPr="005911E2" w:rsidRDefault="00897C1E" w:rsidP="00897C1E">
      <w:pPr>
        <w:pStyle w:val="BodyText"/>
      </w:pPr>
      <w:r w:rsidRPr="005911E2">
        <w:t xml:space="preserve">Consistent with a desire of many to exit compulsory </w:t>
      </w:r>
      <w:r w:rsidR="00F878E4">
        <w:t>income management</w:t>
      </w:r>
      <w:r w:rsidRPr="005911E2">
        <w:t xml:space="preserve">, 42 per cent of Indigenous people subject to </w:t>
      </w:r>
      <w:r w:rsidR="009003D7">
        <w:t>c</w:t>
      </w:r>
      <w:r w:rsidR="004808B3">
        <w:t xml:space="preserve">ompulsory </w:t>
      </w:r>
      <w:r w:rsidR="009003D7">
        <w:t xml:space="preserve">measures </w:t>
      </w:r>
      <w:r w:rsidRPr="005911E2">
        <w:t xml:space="preserve">who participated in the survey indicated that they have tried or are currently trying to exit </w:t>
      </w:r>
      <w:r w:rsidR="00F878E4">
        <w:t>income management</w:t>
      </w:r>
      <w:r w:rsidRPr="005911E2">
        <w:t>.</w:t>
      </w:r>
      <w:r w:rsidRPr="005911E2">
        <w:rPr>
          <w:rStyle w:val="FootnoteReference"/>
        </w:rPr>
        <w:footnoteReference w:id="125"/>
      </w:r>
      <w:r w:rsidRPr="005911E2">
        <w:t xml:space="preserve"> Amongst non-Indigenous people the rate is a little higher at 46 per cent.</w:t>
      </w:r>
    </w:p>
    <w:p w:rsidR="00897C1E" w:rsidRPr="005911E2" w:rsidRDefault="00897C1E" w:rsidP="00897C1E">
      <w:pPr>
        <w:pStyle w:val="BodyText"/>
      </w:pPr>
      <w:r w:rsidRPr="005911E2">
        <w:t xml:space="preserve">The main reasons given for seeking to exit </w:t>
      </w:r>
      <w:r w:rsidR="00F878E4">
        <w:t>income management</w:t>
      </w:r>
      <w:r w:rsidRPr="005911E2">
        <w:t xml:space="preserve"> are detailed in</w:t>
      </w:r>
      <w:r w:rsidR="006A02CC" w:rsidRPr="005911E2">
        <w:t xml:space="preserve"> </w:t>
      </w:r>
      <w:r w:rsidR="006F14AA" w:rsidRPr="005911E2">
        <w:t xml:space="preserve">Figure </w:t>
      </w:r>
      <w:r w:rsidR="006F14AA" w:rsidRPr="005911E2">
        <w:rPr>
          <w:noProof/>
        </w:rPr>
        <w:t>10</w:t>
      </w:r>
      <w:r w:rsidR="006F14AA" w:rsidRPr="005911E2">
        <w:noBreakHyphen/>
      </w:r>
      <w:r w:rsidR="006F14AA" w:rsidRPr="005911E2">
        <w:rPr>
          <w:noProof/>
        </w:rPr>
        <w:t>8</w:t>
      </w:r>
      <w:r w:rsidRPr="005911E2">
        <w:t>. Around 80 per cent identify a desire to control their money as one of the reasons</w:t>
      </w:r>
      <w:r w:rsidR="009003D7">
        <w:t xml:space="preserve"> for </w:t>
      </w:r>
      <w:r w:rsidR="00224BEA">
        <w:t>wanting to exit</w:t>
      </w:r>
      <w:r w:rsidR="009003D7">
        <w:t xml:space="preserve"> income management</w:t>
      </w:r>
      <w:r w:rsidRPr="005911E2">
        <w:t xml:space="preserve">, followed by a desire to have ‘freedom of choice’, to ‘get rights back’ or because of a perceived stigma and shame in being income managed. </w:t>
      </w:r>
      <w:r w:rsidR="002F18E7" w:rsidRPr="005911E2">
        <w:t>Higher costs of shopping with the BasicsCard were</w:t>
      </w:r>
      <w:r w:rsidRPr="005911E2">
        <w:t xml:space="preserve"> also cited by 40 per cent of non-Indigenous survey participants and 25 per cent of Indigenous survey participants who had sought to exit the program. When asked what actions they were taking to build their case for an exemption</w:t>
      </w:r>
      <w:r w:rsidR="009003D7">
        <w:t>,</w:t>
      </w:r>
      <w:r w:rsidRPr="005911E2">
        <w:t xml:space="preserve"> the most frequently cited response was seeking employment</w:t>
      </w:r>
      <w:r w:rsidR="009003D7">
        <w:t>.</w:t>
      </w:r>
      <w:r w:rsidRPr="005911E2">
        <w:rPr>
          <w:rStyle w:val="FootnoteReference"/>
        </w:rPr>
        <w:footnoteReference w:id="126"/>
      </w:r>
    </w:p>
    <w:p w:rsidR="00897C1E" w:rsidRPr="005911E2" w:rsidRDefault="00897C1E" w:rsidP="00897C1E">
      <w:pPr>
        <w:pStyle w:val="tabfighead"/>
      </w:pPr>
      <w:bookmarkStart w:id="1091" w:name="_Ref323942088"/>
      <w:bookmarkStart w:id="1092" w:name="_Toc322470958"/>
      <w:bookmarkStart w:id="1093" w:name="_Toc328601674"/>
      <w:bookmarkStart w:id="1094" w:name="_Toc335915940"/>
      <w:r w:rsidRPr="005911E2">
        <w:t xml:space="preserve">Figure </w:t>
      </w:r>
      <w:r w:rsidR="00C7347D">
        <w:fldChar w:fldCharType="begin"/>
      </w:r>
      <w:r w:rsidR="00E74851">
        <w:instrText xml:space="preserve"> STYLEREF 1 \s </w:instrText>
      </w:r>
      <w:r w:rsidR="00C7347D">
        <w:fldChar w:fldCharType="separate"/>
      </w:r>
      <w:r w:rsidR="007D7E45">
        <w:rPr>
          <w:noProof/>
        </w:rPr>
        <w:t>10</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8</w:t>
      </w:r>
      <w:r w:rsidR="00C7347D">
        <w:fldChar w:fldCharType="end"/>
      </w:r>
      <w:bookmarkEnd w:id="1091"/>
      <w:r w:rsidRPr="005911E2">
        <w:rPr>
          <w:noProof/>
        </w:rPr>
        <w:tab/>
      </w:r>
      <w:r w:rsidR="006435C8">
        <w:t xml:space="preserve">Northern Territory </w:t>
      </w:r>
      <w:r w:rsidRPr="005911E2">
        <w:t>survey participants</w:t>
      </w:r>
      <w:r w:rsidR="002636B4">
        <w:t xml:space="preserve"> subject to compulsory income management</w:t>
      </w:r>
      <w:r w:rsidRPr="005911E2">
        <w:t>,</w:t>
      </w:r>
      <w:r w:rsidRPr="005911E2">
        <w:rPr>
          <w:noProof/>
        </w:rPr>
        <w:t xml:space="preserve"> reasons given for having sought an exemption</w:t>
      </w:r>
      <w:bookmarkEnd w:id="1092"/>
      <w:bookmarkEnd w:id="1093"/>
      <w:bookmarkEnd w:id="1094"/>
    </w:p>
    <w:tbl>
      <w:tblPr>
        <w:tblStyle w:val="TableGrid"/>
        <w:tblW w:w="0" w:type="auto"/>
        <w:tblInd w:w="675" w:type="dxa"/>
        <w:tblLook w:val="04A0" w:firstRow="1" w:lastRow="0" w:firstColumn="1" w:lastColumn="0" w:noHBand="0" w:noVBand="1"/>
        <w:tblCaption w:val="Figure 10-8 Northern Territory survey participants subject to compulsory income management, reasons given for having sought an exemption"/>
        <w:tblDescription w:val="Figure 10-8 Northern Territory survey participants subject to compulsory income management, reasons given for having sought an exemption"/>
      </w:tblPr>
      <w:tblGrid>
        <w:gridCol w:w="8420"/>
      </w:tblGrid>
      <w:tr w:rsidR="00813623" w:rsidTr="009D15E2">
        <w:trPr>
          <w:tblHeader/>
        </w:trPr>
        <w:tc>
          <w:tcPr>
            <w:tcW w:w="8420" w:type="dxa"/>
            <w:tcBorders>
              <w:top w:val="nil"/>
              <w:left w:val="nil"/>
              <w:bottom w:val="nil"/>
              <w:right w:val="nil"/>
            </w:tcBorders>
          </w:tcPr>
          <w:p w:rsidR="00813623" w:rsidRDefault="00813623" w:rsidP="00813623">
            <w:pPr>
              <w:pStyle w:val="tablefootnotes"/>
              <w:ind w:left="0" w:firstLine="0"/>
              <w:jc w:val="right"/>
            </w:pPr>
            <w:r>
              <w:rPr>
                <w:noProof/>
                <w:lang w:eastAsia="en-AU" w:bidi="ar-SA"/>
              </w:rPr>
              <w:drawing>
                <wp:inline distT="0" distB="0" distL="0" distR="0" wp14:anchorId="1191881E" wp14:editId="171FA697">
                  <wp:extent cx="4579620" cy="2750820"/>
                  <wp:effectExtent l="0" t="0" r="0" b="0"/>
                  <wp:docPr id="21" name="Picture 8" descr="Figure 10-8 Northern Territory survey participants subject to compulsory income management, reasons given for having sought an exemption" title="Figure 10-8 Northern Territory survey participants subject to compulsory income management, reasons given for having sought an exe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srcRect/>
                          <a:stretch>
                            <a:fillRect/>
                          </a:stretch>
                        </pic:blipFill>
                        <pic:spPr bwMode="auto">
                          <a:xfrm>
                            <a:off x="0" y="0"/>
                            <a:ext cx="4579620" cy="2750820"/>
                          </a:xfrm>
                          <a:prstGeom prst="rect">
                            <a:avLst/>
                          </a:prstGeom>
                          <a:noFill/>
                          <a:ln w="9525">
                            <a:noFill/>
                            <a:miter lim="800000"/>
                            <a:headEnd/>
                            <a:tailEnd/>
                          </a:ln>
                        </pic:spPr>
                      </pic:pic>
                    </a:graphicData>
                  </a:graphic>
                </wp:inline>
              </w:drawing>
            </w:r>
          </w:p>
        </w:tc>
      </w:tr>
    </w:tbl>
    <w:p w:rsidR="00897C1E" w:rsidRPr="005911E2" w:rsidRDefault="00813623" w:rsidP="00CF78DB">
      <w:pPr>
        <w:pStyle w:val="tablefootnotes"/>
      </w:pPr>
      <w:r>
        <w:t>Notes:</w:t>
      </w:r>
      <w:r>
        <w:tab/>
        <w:t>Totals do not add to 100 as respondents could give multiple reasons.</w:t>
      </w:r>
    </w:p>
    <w:p w:rsidR="00897C1E" w:rsidRPr="005911E2" w:rsidRDefault="00897C1E" w:rsidP="00CF78DB">
      <w:pPr>
        <w:pStyle w:val="tablefootnotes"/>
      </w:pPr>
      <w:r w:rsidRPr="005911E2">
        <w:t xml:space="preserve">Source: </w:t>
      </w:r>
      <w:r w:rsidR="00224BEA">
        <w:tab/>
      </w:r>
      <w:r w:rsidRPr="005911E2">
        <w:t>LSNIM, Wave 1.</w:t>
      </w:r>
    </w:p>
    <w:p w:rsidR="00897C1E" w:rsidRPr="005911E2" w:rsidRDefault="00897C1E" w:rsidP="00AE7648">
      <w:pPr>
        <w:pStyle w:val="tablefootnoteslastline"/>
      </w:pPr>
    </w:p>
    <w:p w:rsidR="00897C1E" w:rsidRPr="005911E2" w:rsidRDefault="00897C1E" w:rsidP="00616B0F">
      <w:pPr>
        <w:pStyle w:val="Heading2"/>
      </w:pPr>
      <w:bookmarkStart w:id="1095" w:name="_Toc322470836"/>
      <w:bookmarkStart w:id="1096" w:name="_Toc328601534"/>
      <w:bookmarkStart w:id="1097" w:name="_Toc329870415"/>
      <w:bookmarkStart w:id="1098" w:name="_Toc335915801"/>
      <w:r w:rsidRPr="005911E2">
        <w:t xml:space="preserve">Overall feelings about </w:t>
      </w:r>
      <w:bookmarkEnd w:id="1095"/>
      <w:r w:rsidR="00F878E4">
        <w:t>income management</w:t>
      </w:r>
      <w:bookmarkEnd w:id="1096"/>
      <w:bookmarkEnd w:id="1097"/>
      <w:bookmarkEnd w:id="1098"/>
    </w:p>
    <w:p w:rsidR="00897C1E" w:rsidRPr="005911E2" w:rsidRDefault="00897C1E" w:rsidP="00897C1E">
      <w:pPr>
        <w:pStyle w:val="BodyText"/>
      </w:pPr>
      <w:r w:rsidRPr="005911E2">
        <w:t xml:space="preserve">To provide some summary assessment of the views of people on </w:t>
      </w:r>
      <w:r w:rsidR="00F878E4">
        <w:t>income management</w:t>
      </w:r>
      <w:r w:rsidRPr="005911E2">
        <w:t xml:space="preserve">, survey participants were asked whether ‘overall’ they felt </w:t>
      </w:r>
      <w:r w:rsidR="00F878E4">
        <w:t>income management</w:t>
      </w:r>
      <w:r w:rsidRPr="005911E2">
        <w:t xml:space="preserve"> made things better or worse for themselves, and secondly </w:t>
      </w:r>
      <w:r w:rsidRPr="005911E2">
        <w:rPr>
          <w:lang w:eastAsia="en-US"/>
        </w:rPr>
        <w:t>whether</w:t>
      </w:r>
      <w:r w:rsidRPr="005911E2">
        <w:t xml:space="preserve"> they would recommend it for others.</w:t>
      </w:r>
    </w:p>
    <w:p w:rsidR="00897C1E" w:rsidRPr="005911E2" w:rsidRDefault="00897C1E" w:rsidP="00897C1E">
      <w:pPr>
        <w:pStyle w:val="BodyText"/>
        <w:rPr>
          <w:lang w:eastAsia="en-US"/>
        </w:rPr>
      </w:pPr>
      <w:r w:rsidRPr="005911E2">
        <w:rPr>
          <w:lang w:eastAsia="en-US"/>
        </w:rPr>
        <w:t xml:space="preserve">The only groups in which a majority of participants in the survey unambiguously saw </w:t>
      </w:r>
      <w:r w:rsidR="00F878E4">
        <w:rPr>
          <w:lang w:eastAsia="en-US"/>
        </w:rPr>
        <w:t>income management</w:t>
      </w:r>
      <w:r w:rsidRPr="005911E2">
        <w:rPr>
          <w:lang w:eastAsia="en-US"/>
        </w:rPr>
        <w:t xml:space="preserve"> as being better for them were Indigenous men and women living in former NTER areas on </w:t>
      </w:r>
      <w:r w:rsidR="00224BEA">
        <w:rPr>
          <w:lang w:eastAsia="en-US"/>
        </w:rPr>
        <w:t>Voluntary Income Management</w:t>
      </w:r>
      <w:r w:rsidRPr="005911E2">
        <w:rPr>
          <w:lang w:eastAsia="en-US"/>
        </w:rPr>
        <w:t xml:space="preserve">. For these two groups 53 per </w:t>
      </w:r>
      <w:r w:rsidR="00614538" w:rsidRPr="005911E2">
        <w:rPr>
          <w:lang w:eastAsia="en-US"/>
        </w:rPr>
        <w:t>cent</w:t>
      </w:r>
      <w:r w:rsidR="00614538">
        <w:rPr>
          <w:lang w:eastAsia="en-US"/>
        </w:rPr>
        <w:t xml:space="preserve"> </w:t>
      </w:r>
      <w:r w:rsidR="004E3A29">
        <w:rPr>
          <w:lang w:eastAsia="en-US"/>
        </w:rPr>
        <w:t xml:space="preserve">and </w:t>
      </w:r>
      <w:r w:rsidRPr="005911E2">
        <w:rPr>
          <w:lang w:eastAsia="en-US"/>
        </w:rPr>
        <w:t>57 per cent expressed these views.</w:t>
      </w:r>
    </w:p>
    <w:p w:rsidR="00897C1E" w:rsidRPr="005911E2" w:rsidRDefault="00897C1E" w:rsidP="00897C1E">
      <w:pPr>
        <w:pStyle w:val="BodyText"/>
        <w:rPr>
          <w:lang w:eastAsia="en-US"/>
        </w:rPr>
      </w:pPr>
      <w:r w:rsidRPr="005911E2">
        <w:rPr>
          <w:lang w:eastAsia="en-US"/>
        </w:rPr>
        <w:t>The strongest level of negative responses – that is</w:t>
      </w:r>
      <w:r w:rsidR="004E3A29">
        <w:rPr>
          <w:lang w:eastAsia="en-US"/>
        </w:rPr>
        <w:t>,</w:t>
      </w:r>
      <w:r w:rsidRPr="005911E2">
        <w:rPr>
          <w:lang w:eastAsia="en-US"/>
        </w:rPr>
        <w:t xml:space="preserve"> that </w:t>
      </w:r>
      <w:r w:rsidR="00F878E4">
        <w:rPr>
          <w:lang w:eastAsia="en-US"/>
        </w:rPr>
        <w:t>income management</w:t>
      </w:r>
      <w:r w:rsidRPr="005911E2">
        <w:rPr>
          <w:lang w:eastAsia="en-US"/>
        </w:rPr>
        <w:t xml:space="preserve"> had made things worse for them - were reported by non-Indigenous people on compulsory forms of </w:t>
      </w:r>
      <w:r w:rsidR="00F878E4">
        <w:rPr>
          <w:lang w:eastAsia="en-US"/>
        </w:rPr>
        <w:t>income management</w:t>
      </w:r>
      <w:r w:rsidR="009003D7">
        <w:rPr>
          <w:lang w:eastAsia="en-US"/>
        </w:rPr>
        <w:t>,</w:t>
      </w:r>
      <w:r w:rsidRPr="005911E2">
        <w:rPr>
          <w:lang w:eastAsia="en-US"/>
        </w:rPr>
        <w:t xml:space="preserve"> where 55 per cent of men and 47 per cent of women expressed these views. For these two groups</w:t>
      </w:r>
      <w:r w:rsidR="009003D7">
        <w:rPr>
          <w:lang w:eastAsia="en-US"/>
        </w:rPr>
        <w:t>,</w:t>
      </w:r>
      <w:r w:rsidRPr="005911E2">
        <w:rPr>
          <w:lang w:eastAsia="en-US"/>
        </w:rPr>
        <w:t xml:space="preserve"> a total of 84 per cent</w:t>
      </w:r>
      <w:r w:rsidR="009003D7">
        <w:rPr>
          <w:lang w:eastAsia="en-US"/>
        </w:rPr>
        <w:t xml:space="preserve"> of men</w:t>
      </w:r>
      <w:r w:rsidRPr="005911E2">
        <w:rPr>
          <w:lang w:eastAsia="en-US"/>
        </w:rPr>
        <w:t xml:space="preserve"> and 72 per cent </w:t>
      </w:r>
      <w:r w:rsidR="009003D7">
        <w:rPr>
          <w:lang w:eastAsia="en-US"/>
        </w:rPr>
        <w:t xml:space="preserve">of women </w:t>
      </w:r>
      <w:r w:rsidRPr="005911E2">
        <w:rPr>
          <w:lang w:eastAsia="en-US"/>
        </w:rPr>
        <w:t xml:space="preserve">expressed the view that the program had either made no difference or had </w:t>
      </w:r>
      <w:r w:rsidR="004E3A29">
        <w:rPr>
          <w:lang w:eastAsia="en-US"/>
        </w:rPr>
        <w:t xml:space="preserve">had </w:t>
      </w:r>
      <w:r w:rsidRPr="005911E2">
        <w:rPr>
          <w:lang w:eastAsia="en-US"/>
        </w:rPr>
        <w:t>a negative impact.</w:t>
      </w:r>
    </w:p>
    <w:p w:rsidR="00897C1E" w:rsidRPr="005911E2" w:rsidRDefault="00897C1E" w:rsidP="00897C1E">
      <w:pPr>
        <w:pStyle w:val="BodyText"/>
        <w:rPr>
          <w:lang w:eastAsia="en-US"/>
        </w:rPr>
      </w:pPr>
      <w:r w:rsidRPr="005911E2">
        <w:rPr>
          <w:lang w:eastAsia="en-US"/>
        </w:rPr>
        <w:t xml:space="preserve">A slightly lower (but still high) level of negative response was given by Indigenous people on compulsory forms of </w:t>
      </w:r>
      <w:r w:rsidR="00F878E4">
        <w:rPr>
          <w:lang w:eastAsia="en-US"/>
        </w:rPr>
        <w:t>income management</w:t>
      </w:r>
      <w:r w:rsidRPr="005911E2">
        <w:rPr>
          <w:lang w:eastAsia="en-US"/>
        </w:rPr>
        <w:t xml:space="preserve"> living in non-NTER locations. These views were however more gender specific. A total of 61 per cent of women and 81 per cent of men in this group reported that the program had either no </w:t>
      </w:r>
      <w:r w:rsidR="009003D7">
        <w:rPr>
          <w:lang w:eastAsia="en-US"/>
        </w:rPr>
        <w:t xml:space="preserve">effect </w:t>
      </w:r>
      <w:r w:rsidRPr="005911E2">
        <w:rPr>
          <w:lang w:eastAsia="en-US"/>
        </w:rPr>
        <w:t xml:space="preserve">or a negative effect on them. However, at the same time 33 per cent of women and 10 per cent of men in this group felt that </w:t>
      </w:r>
      <w:r w:rsidR="00F878E4">
        <w:rPr>
          <w:lang w:eastAsia="en-US"/>
        </w:rPr>
        <w:t>income management</w:t>
      </w:r>
      <w:r w:rsidRPr="005911E2">
        <w:rPr>
          <w:lang w:eastAsia="en-US"/>
        </w:rPr>
        <w:t xml:space="preserve"> had made them better off.</w:t>
      </w:r>
    </w:p>
    <w:p w:rsidR="00897C1E" w:rsidRPr="005911E2" w:rsidRDefault="00897C1E" w:rsidP="00897C1E">
      <w:pPr>
        <w:pStyle w:val="BodyText"/>
        <w:rPr>
          <w:lang w:eastAsia="en-US"/>
        </w:rPr>
      </w:pPr>
      <w:r w:rsidRPr="005911E2">
        <w:rPr>
          <w:lang w:eastAsia="en-US"/>
        </w:rPr>
        <w:t xml:space="preserve">A higher level of positive outcomes were reported by Indigenous people on compulsory </w:t>
      </w:r>
      <w:r w:rsidR="00F878E4">
        <w:rPr>
          <w:lang w:eastAsia="en-US"/>
        </w:rPr>
        <w:t>income management</w:t>
      </w:r>
      <w:r w:rsidRPr="005911E2">
        <w:rPr>
          <w:lang w:eastAsia="en-US"/>
        </w:rPr>
        <w:t xml:space="preserve"> living in NTER locations. Amongst women the proportion reporting that they were better off was 43 per cent, slightly larger than the combined number who felt it had no impact (24 per cent) or they were worse off (19 per cent). </w:t>
      </w:r>
      <w:r w:rsidR="00FF3589">
        <w:rPr>
          <w:lang w:eastAsia="en-US"/>
        </w:rPr>
        <w:t>For men</w:t>
      </w:r>
      <w:r w:rsidRPr="005911E2">
        <w:rPr>
          <w:lang w:eastAsia="en-US"/>
        </w:rPr>
        <w:t xml:space="preserve"> in this group</w:t>
      </w:r>
      <w:r w:rsidR="00FF3589">
        <w:rPr>
          <w:lang w:eastAsia="en-US"/>
        </w:rPr>
        <w:t>,</w:t>
      </w:r>
      <w:r w:rsidRPr="005911E2">
        <w:rPr>
          <w:lang w:eastAsia="en-US"/>
        </w:rPr>
        <w:t xml:space="preserve"> both the proportion reporting better and worse outcomes was smaller, largely as</w:t>
      </w:r>
      <w:r w:rsidR="00F8413B">
        <w:rPr>
          <w:lang w:eastAsia="en-US"/>
        </w:rPr>
        <w:t xml:space="preserve"> a result of over a quarter (28 </w:t>
      </w:r>
      <w:r w:rsidRPr="005911E2">
        <w:rPr>
          <w:lang w:eastAsia="en-US"/>
        </w:rPr>
        <w:t xml:space="preserve">per cent) reporting that they did not know whether it had made things better or worse. </w:t>
      </w:r>
    </w:p>
    <w:p w:rsidR="00897C1E" w:rsidRPr="005911E2" w:rsidRDefault="00897C1E" w:rsidP="00897C1E">
      <w:pPr>
        <w:pStyle w:val="tabfighead"/>
      </w:pPr>
      <w:bookmarkStart w:id="1099" w:name="_Toc328601675"/>
      <w:bookmarkStart w:id="1100" w:name="_Toc335915941"/>
      <w:bookmarkStart w:id="1101" w:name="_Toc322470959"/>
      <w:r w:rsidRPr="005911E2">
        <w:t xml:space="preserve">Figure </w:t>
      </w:r>
      <w:r w:rsidR="00C7347D">
        <w:fldChar w:fldCharType="begin"/>
      </w:r>
      <w:r w:rsidR="00E74851">
        <w:instrText xml:space="preserve"> STYLEREF 1 \s </w:instrText>
      </w:r>
      <w:r w:rsidR="00C7347D">
        <w:fldChar w:fldCharType="separate"/>
      </w:r>
      <w:r w:rsidR="007D7E45">
        <w:rPr>
          <w:noProof/>
        </w:rPr>
        <w:t>10</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9</w:t>
      </w:r>
      <w:r w:rsidR="00C7347D">
        <w:fldChar w:fldCharType="end"/>
      </w:r>
      <w:r w:rsidRPr="005911E2">
        <w:tab/>
      </w:r>
      <w:r w:rsidR="006435C8">
        <w:t xml:space="preserve">Northern Territory </w:t>
      </w:r>
      <w:r w:rsidRPr="005911E2">
        <w:t xml:space="preserve">survey participants, overall assessment of impact of </w:t>
      </w:r>
      <w:r w:rsidR="00F878E4">
        <w:t>income management</w:t>
      </w:r>
      <w:bookmarkEnd w:id="1099"/>
      <w:bookmarkEnd w:id="1100"/>
      <w:r w:rsidRPr="005911E2">
        <w:t xml:space="preserve"> </w:t>
      </w:r>
      <w:bookmarkEnd w:id="1101"/>
    </w:p>
    <w:tbl>
      <w:tblPr>
        <w:tblStyle w:val="TableGrid"/>
        <w:tblW w:w="8788"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10-9 Northern Territory survey participants, overall assessment of impact of income management "/>
        <w:tblDescription w:val="Figure 10-9 Northern Territory survey participants, overall assessment of impact of income management "/>
      </w:tblPr>
      <w:tblGrid>
        <w:gridCol w:w="8788"/>
      </w:tblGrid>
      <w:tr w:rsidR="00897C1E" w:rsidRPr="005911E2" w:rsidTr="009D15E2">
        <w:trPr>
          <w:tblHeader/>
        </w:trPr>
        <w:tc>
          <w:tcPr>
            <w:tcW w:w="8788" w:type="dxa"/>
          </w:tcPr>
          <w:p w:rsidR="00897C1E" w:rsidRPr="005911E2" w:rsidRDefault="00897C1E" w:rsidP="000401CF">
            <w:pPr>
              <w:pStyle w:val="TableText"/>
              <w:jc w:val="right"/>
            </w:pPr>
            <w:r w:rsidRPr="005911E2">
              <w:rPr>
                <w:noProof/>
                <w:lang w:eastAsia="en-AU" w:bidi="ar-SA"/>
              </w:rPr>
              <w:drawing>
                <wp:inline distT="0" distB="0" distL="0" distR="0" wp14:anchorId="511D5086" wp14:editId="6CA71837">
                  <wp:extent cx="5197475" cy="2868295"/>
                  <wp:effectExtent l="0" t="0" r="3175" b="0"/>
                  <wp:docPr id="63" name="Picture 18" descr="Figure 10-9 Northern Territory survey participants, overall assessment of impact of income management " title="Figure 10-9 Northern Territory survey participants, overall assessment of impact of income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srcRect/>
                          <a:stretch>
                            <a:fillRect/>
                          </a:stretch>
                        </pic:blipFill>
                        <pic:spPr bwMode="auto">
                          <a:xfrm>
                            <a:off x="0" y="0"/>
                            <a:ext cx="5197475" cy="2868295"/>
                          </a:xfrm>
                          <a:prstGeom prst="rect">
                            <a:avLst/>
                          </a:prstGeom>
                          <a:noFill/>
                          <a:ln w="9525">
                            <a:noFill/>
                            <a:miter lim="800000"/>
                            <a:headEnd/>
                            <a:tailEnd/>
                          </a:ln>
                        </pic:spPr>
                      </pic:pic>
                    </a:graphicData>
                  </a:graphic>
                </wp:inline>
              </w:drawing>
            </w:r>
          </w:p>
        </w:tc>
      </w:tr>
    </w:tbl>
    <w:p w:rsidR="00224BEA" w:rsidRDefault="00224BEA" w:rsidP="00224BEA">
      <w:pPr>
        <w:pStyle w:val="tablefootnotes"/>
      </w:pPr>
      <w:r w:rsidRPr="00A21C6E">
        <w:t>Notes:</w:t>
      </w:r>
      <w:r w:rsidRPr="00A21C6E">
        <w:tab/>
        <w:t>CIM in this chart inc</w:t>
      </w:r>
      <w:r w:rsidR="004E3A29">
        <w:t>l</w:t>
      </w:r>
      <w:r w:rsidRPr="00A21C6E">
        <w:t>udes all compulsory streams</w:t>
      </w:r>
      <w:r w:rsidR="00AE7648">
        <w:t>.</w:t>
      </w:r>
      <w:r w:rsidRPr="00A21C6E" w:rsidDel="00A21C6E">
        <w:t xml:space="preserve"> </w:t>
      </w:r>
    </w:p>
    <w:p w:rsidR="00897C1E" w:rsidRPr="005911E2" w:rsidRDefault="00897C1E" w:rsidP="00CF78DB">
      <w:pPr>
        <w:pStyle w:val="tablefootnotes"/>
      </w:pPr>
      <w:r w:rsidRPr="005911E2">
        <w:t xml:space="preserve">Source: </w:t>
      </w:r>
      <w:r w:rsidR="008F07EE">
        <w:tab/>
      </w:r>
      <w:r w:rsidRPr="005911E2">
        <w:t>LSNIM, Wave 1.</w:t>
      </w:r>
    </w:p>
    <w:p w:rsidR="00897C1E" w:rsidRPr="005911E2" w:rsidRDefault="00897C1E" w:rsidP="00AE7648">
      <w:pPr>
        <w:pStyle w:val="tablefootnoteslastline"/>
      </w:pPr>
    </w:p>
    <w:p w:rsidR="00897C1E" w:rsidRPr="005911E2" w:rsidRDefault="00897C1E" w:rsidP="00897C1E">
      <w:pPr>
        <w:pStyle w:val="BodyText"/>
        <w:rPr>
          <w:lang w:eastAsia="en-US"/>
        </w:rPr>
      </w:pPr>
      <w:r w:rsidRPr="005911E2">
        <w:rPr>
          <w:lang w:eastAsia="en-US"/>
        </w:rPr>
        <w:t xml:space="preserve">The general sentiment across those people on </w:t>
      </w:r>
      <w:r w:rsidR="00F878E4">
        <w:rPr>
          <w:lang w:eastAsia="en-US"/>
        </w:rPr>
        <w:t>income management</w:t>
      </w:r>
      <w:r w:rsidRPr="005911E2">
        <w:rPr>
          <w:lang w:eastAsia="en-US"/>
        </w:rPr>
        <w:t xml:space="preserve"> was that they would not recommend it to others, with only 36 per cent saying they would recommend </w:t>
      </w:r>
      <w:r w:rsidR="008F07EE">
        <w:rPr>
          <w:lang w:eastAsia="en-US"/>
        </w:rPr>
        <w:t>income management</w:t>
      </w:r>
      <w:r w:rsidR="008F07EE" w:rsidRPr="005911E2">
        <w:rPr>
          <w:lang w:eastAsia="en-US"/>
        </w:rPr>
        <w:t xml:space="preserve"> </w:t>
      </w:r>
      <w:r w:rsidRPr="005911E2">
        <w:rPr>
          <w:lang w:eastAsia="en-US"/>
        </w:rPr>
        <w:t xml:space="preserve">to others, 47 per cent </w:t>
      </w:r>
      <w:r w:rsidR="004E3A29">
        <w:rPr>
          <w:lang w:eastAsia="en-US"/>
        </w:rPr>
        <w:t xml:space="preserve">saying </w:t>
      </w:r>
      <w:r w:rsidRPr="005911E2">
        <w:rPr>
          <w:lang w:eastAsia="en-US"/>
        </w:rPr>
        <w:t xml:space="preserve">that </w:t>
      </w:r>
      <w:r w:rsidR="004E3A29">
        <w:rPr>
          <w:lang w:eastAsia="en-US"/>
        </w:rPr>
        <w:t xml:space="preserve">they </w:t>
      </w:r>
      <w:r w:rsidRPr="005911E2">
        <w:rPr>
          <w:lang w:eastAsia="en-US"/>
        </w:rPr>
        <w:t>would not recommend it</w:t>
      </w:r>
      <w:r w:rsidR="00FF3589">
        <w:rPr>
          <w:lang w:eastAsia="en-US"/>
        </w:rPr>
        <w:t>,</w:t>
      </w:r>
      <w:r w:rsidRPr="005911E2">
        <w:rPr>
          <w:lang w:eastAsia="en-US"/>
        </w:rPr>
        <w:t xml:space="preserve"> and the remaining 17 per cent uncertain as to what recommendation, if any</w:t>
      </w:r>
      <w:r w:rsidR="00FF3589">
        <w:rPr>
          <w:lang w:eastAsia="en-US"/>
        </w:rPr>
        <w:t>,</w:t>
      </w:r>
      <w:r w:rsidRPr="005911E2">
        <w:rPr>
          <w:lang w:eastAsia="en-US"/>
        </w:rPr>
        <w:t xml:space="preserve"> they would make.</w:t>
      </w:r>
    </w:p>
    <w:p w:rsidR="00897C1E" w:rsidRDefault="00897C1E" w:rsidP="00897C1E">
      <w:pPr>
        <w:pStyle w:val="BodyText"/>
        <w:rPr>
          <w:lang w:eastAsia="en-US"/>
        </w:rPr>
      </w:pPr>
      <w:r w:rsidRPr="005911E2">
        <w:rPr>
          <w:lang w:eastAsia="en-US"/>
        </w:rPr>
        <w:t xml:space="preserve">While there was some association between how people felt that </w:t>
      </w:r>
      <w:r w:rsidR="00F878E4">
        <w:rPr>
          <w:lang w:eastAsia="en-US"/>
        </w:rPr>
        <w:t>income management</w:t>
      </w:r>
      <w:r w:rsidRPr="005911E2">
        <w:rPr>
          <w:lang w:eastAsia="en-US"/>
        </w:rPr>
        <w:t xml:space="preserve"> had impacted on them and whether or not they would recommend </w:t>
      </w:r>
      <w:r w:rsidR="00F878E4">
        <w:rPr>
          <w:lang w:eastAsia="en-US"/>
        </w:rPr>
        <w:t>income management</w:t>
      </w:r>
      <w:r w:rsidRPr="005911E2">
        <w:rPr>
          <w:lang w:eastAsia="en-US"/>
        </w:rPr>
        <w:t xml:space="preserve"> to others</w:t>
      </w:r>
      <w:r w:rsidR="00FF3589">
        <w:rPr>
          <w:lang w:eastAsia="en-US"/>
        </w:rPr>
        <w:t>,</w:t>
      </w:r>
      <w:r w:rsidRPr="005911E2">
        <w:rPr>
          <w:lang w:eastAsia="en-US"/>
        </w:rPr>
        <w:t xml:space="preserve"> this </w:t>
      </w:r>
      <w:r w:rsidR="00FF3589">
        <w:rPr>
          <w:lang w:eastAsia="en-US"/>
        </w:rPr>
        <w:t>association</w:t>
      </w:r>
      <w:r w:rsidR="00FF3589" w:rsidRPr="005911E2">
        <w:rPr>
          <w:lang w:eastAsia="en-US"/>
        </w:rPr>
        <w:t xml:space="preserve"> </w:t>
      </w:r>
      <w:r w:rsidRPr="005911E2">
        <w:rPr>
          <w:lang w:eastAsia="en-US"/>
        </w:rPr>
        <w:t xml:space="preserve">was far from exact. This is illustrated in </w:t>
      </w:r>
      <w:r w:rsidR="006F14AA" w:rsidRPr="005911E2">
        <w:t xml:space="preserve">Table </w:t>
      </w:r>
      <w:r w:rsidR="006F14AA" w:rsidRPr="005911E2">
        <w:rPr>
          <w:noProof/>
        </w:rPr>
        <w:t>10</w:t>
      </w:r>
      <w:r w:rsidR="006F14AA" w:rsidRPr="005911E2">
        <w:noBreakHyphen/>
      </w:r>
      <w:r w:rsidR="006F14AA" w:rsidRPr="005911E2">
        <w:rPr>
          <w:noProof/>
        </w:rPr>
        <w:t>13</w:t>
      </w:r>
      <w:r w:rsidR="006A02CC" w:rsidRPr="005911E2">
        <w:t xml:space="preserve"> </w:t>
      </w:r>
      <w:r w:rsidRPr="005911E2">
        <w:rPr>
          <w:lang w:eastAsia="en-US"/>
        </w:rPr>
        <w:t>for the Indigenous population of the</w:t>
      </w:r>
      <w:r w:rsidR="006435C8">
        <w:rPr>
          <w:lang w:eastAsia="en-US"/>
        </w:rPr>
        <w:t xml:space="preserve"> Northern Territory </w:t>
      </w:r>
      <w:r w:rsidRPr="005911E2">
        <w:rPr>
          <w:lang w:eastAsia="en-US"/>
        </w:rPr>
        <w:t xml:space="preserve">who were subject to </w:t>
      </w:r>
      <w:r w:rsidR="00F878E4">
        <w:rPr>
          <w:lang w:eastAsia="en-US"/>
        </w:rPr>
        <w:t>income management</w:t>
      </w:r>
      <w:r w:rsidRPr="005911E2">
        <w:rPr>
          <w:lang w:eastAsia="en-US"/>
        </w:rPr>
        <w:t xml:space="preserve">, split by whether this was </w:t>
      </w:r>
      <w:r w:rsidR="00FF3589">
        <w:rPr>
          <w:lang w:eastAsia="en-US"/>
        </w:rPr>
        <w:t xml:space="preserve">a </w:t>
      </w:r>
      <w:r w:rsidRPr="005911E2">
        <w:rPr>
          <w:lang w:eastAsia="en-US"/>
        </w:rPr>
        <w:t>compulsory or voluntary</w:t>
      </w:r>
      <w:r w:rsidR="00FF3589">
        <w:rPr>
          <w:lang w:eastAsia="en-US"/>
        </w:rPr>
        <w:t xml:space="preserve"> measure</w:t>
      </w:r>
      <w:r w:rsidRPr="005911E2">
        <w:rPr>
          <w:lang w:eastAsia="en-US"/>
        </w:rPr>
        <w:t>.</w:t>
      </w:r>
    </w:p>
    <w:p w:rsidR="004E3A29" w:rsidRPr="005911E2" w:rsidRDefault="004E3A29" w:rsidP="004E3A29">
      <w:pPr>
        <w:pStyle w:val="BodyText"/>
        <w:rPr>
          <w:lang w:eastAsia="en-US"/>
        </w:rPr>
      </w:pPr>
      <w:r w:rsidRPr="005911E2">
        <w:rPr>
          <w:lang w:eastAsia="en-US"/>
        </w:rPr>
        <w:t xml:space="preserve">Focusing on the 36 per cent of those on compulsory </w:t>
      </w:r>
      <w:r>
        <w:rPr>
          <w:lang w:eastAsia="en-US"/>
        </w:rPr>
        <w:t>measures</w:t>
      </w:r>
      <w:r w:rsidRPr="005911E2">
        <w:rPr>
          <w:lang w:eastAsia="en-US"/>
        </w:rPr>
        <w:t xml:space="preserve"> who felt that </w:t>
      </w:r>
      <w:r>
        <w:rPr>
          <w:lang w:eastAsia="en-US"/>
        </w:rPr>
        <w:t>income management</w:t>
      </w:r>
      <w:r w:rsidRPr="005911E2">
        <w:rPr>
          <w:lang w:eastAsia="en-US"/>
        </w:rPr>
        <w:t xml:space="preserve"> made thing</w:t>
      </w:r>
      <w:r w:rsidR="00751204">
        <w:rPr>
          <w:lang w:eastAsia="en-US"/>
        </w:rPr>
        <w:t>s better for them, only 59 </w:t>
      </w:r>
      <w:r w:rsidRPr="005911E2">
        <w:rPr>
          <w:lang w:eastAsia="en-US"/>
        </w:rPr>
        <w:t>per cent said that they would</w:t>
      </w:r>
      <w:r w:rsidR="00751204">
        <w:rPr>
          <w:lang w:eastAsia="en-US"/>
        </w:rPr>
        <w:t xml:space="preserve"> recommend it for others and 28 </w:t>
      </w:r>
      <w:r w:rsidRPr="005911E2">
        <w:rPr>
          <w:lang w:eastAsia="en-US"/>
        </w:rPr>
        <w:t xml:space="preserve">per cent said that they would not recommend </w:t>
      </w:r>
      <w:r>
        <w:rPr>
          <w:lang w:eastAsia="en-US"/>
        </w:rPr>
        <w:t>it</w:t>
      </w:r>
      <w:r w:rsidRPr="005911E2">
        <w:rPr>
          <w:lang w:eastAsia="en-US"/>
        </w:rPr>
        <w:t xml:space="preserve"> to others. On the other hand, 10 per cent of those who felt that the program made things worse for them still reported that they would recommend it for others.</w:t>
      </w:r>
    </w:p>
    <w:p w:rsidR="00897C1E" w:rsidRPr="005911E2" w:rsidRDefault="00897C1E" w:rsidP="00897C1E">
      <w:pPr>
        <w:pStyle w:val="tabfighead"/>
      </w:pPr>
      <w:bookmarkStart w:id="1102" w:name="_Ref323942136"/>
      <w:bookmarkStart w:id="1103" w:name="_Toc322470929"/>
      <w:bookmarkStart w:id="1104" w:name="_Toc328601641"/>
      <w:bookmarkStart w:id="1105" w:name="_Toc329051419"/>
      <w:bookmarkStart w:id="1106" w:name="_Toc335915907"/>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10</w:t>
      </w:r>
      <w:r w:rsidR="00C7347D" w:rsidRPr="005911E2">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13</w:t>
      </w:r>
      <w:r w:rsidR="00C7347D" w:rsidRPr="005911E2">
        <w:fldChar w:fldCharType="end"/>
      </w:r>
      <w:bookmarkEnd w:id="1102"/>
      <w:r w:rsidRPr="005911E2">
        <w:tab/>
      </w:r>
      <w:r w:rsidR="006435C8">
        <w:t xml:space="preserve">Northern Territory </w:t>
      </w:r>
      <w:r w:rsidRPr="005911E2">
        <w:t xml:space="preserve">Indigenous survey participants, whether </w:t>
      </w:r>
      <w:r w:rsidR="00FF3589">
        <w:t xml:space="preserve">they </w:t>
      </w:r>
      <w:r w:rsidRPr="005911E2">
        <w:t xml:space="preserve">would recommend </w:t>
      </w:r>
      <w:r w:rsidR="00F878E4">
        <w:t>income management</w:t>
      </w:r>
      <w:r w:rsidRPr="005911E2">
        <w:t xml:space="preserve"> by assessment of impact</w:t>
      </w:r>
      <w:bookmarkEnd w:id="1103"/>
      <w:bookmarkEnd w:id="1104"/>
      <w:bookmarkEnd w:id="1105"/>
      <w:bookmarkEnd w:id="1106"/>
    </w:p>
    <w:tbl>
      <w:tblPr>
        <w:tblW w:w="0" w:type="auto"/>
        <w:tblInd w:w="1242" w:type="dxa"/>
        <w:tblLayout w:type="fixed"/>
        <w:tblLook w:val="0000" w:firstRow="0" w:lastRow="0" w:firstColumn="0" w:lastColumn="0" w:noHBand="0" w:noVBand="0"/>
      </w:tblPr>
      <w:tblGrid>
        <w:gridCol w:w="2694"/>
        <w:gridCol w:w="992"/>
        <w:gridCol w:w="954"/>
        <w:gridCol w:w="1030"/>
        <w:gridCol w:w="993"/>
        <w:gridCol w:w="954"/>
      </w:tblGrid>
      <w:tr w:rsidR="00897C1E" w:rsidRPr="005911E2" w:rsidTr="000401CF">
        <w:trPr>
          <w:trHeight w:val="374"/>
        </w:trPr>
        <w:tc>
          <w:tcPr>
            <w:tcW w:w="2694" w:type="dxa"/>
            <w:vMerge w:val="restart"/>
            <w:tcBorders>
              <w:top w:val="single" w:sz="4" w:space="0" w:color="auto"/>
              <w:left w:val="nil"/>
              <w:right w:val="nil"/>
            </w:tcBorders>
          </w:tcPr>
          <w:p w:rsidR="00897C1E" w:rsidRPr="005911E2" w:rsidRDefault="00897C1E" w:rsidP="00F104E9">
            <w:pPr>
              <w:pStyle w:val="braytabletext"/>
            </w:pPr>
            <w:r w:rsidRPr="005911E2">
              <w:t xml:space="preserve">Whether they would recommend </w:t>
            </w:r>
            <w:r w:rsidR="00F878E4">
              <w:t>income management</w:t>
            </w:r>
            <w:r w:rsidRPr="005911E2">
              <w:t xml:space="preserve"> to others</w:t>
            </w:r>
          </w:p>
        </w:tc>
        <w:tc>
          <w:tcPr>
            <w:tcW w:w="4923" w:type="dxa"/>
            <w:gridSpan w:val="5"/>
            <w:tcBorders>
              <w:top w:val="single" w:sz="4" w:space="0" w:color="auto"/>
              <w:left w:val="nil"/>
              <w:bottom w:val="single" w:sz="4" w:space="0" w:color="auto"/>
              <w:right w:val="nil"/>
            </w:tcBorders>
          </w:tcPr>
          <w:p w:rsidR="00897C1E" w:rsidRPr="005911E2" w:rsidRDefault="00897C1E" w:rsidP="00F104E9">
            <w:pPr>
              <w:pStyle w:val="braytabletext"/>
            </w:pPr>
            <w:r w:rsidRPr="005911E2">
              <w:t xml:space="preserve">Impact of </w:t>
            </w:r>
            <w:r w:rsidR="00F878E4">
              <w:t>income management</w:t>
            </w:r>
            <w:r w:rsidR="008A1D49">
              <w:t>:</w:t>
            </w:r>
          </w:p>
        </w:tc>
      </w:tr>
      <w:tr w:rsidR="00897C1E" w:rsidRPr="005911E2" w:rsidTr="008A1D49">
        <w:trPr>
          <w:trHeight w:val="941"/>
        </w:trPr>
        <w:tc>
          <w:tcPr>
            <w:tcW w:w="2694" w:type="dxa"/>
            <w:vMerge/>
            <w:tcBorders>
              <w:left w:val="nil"/>
              <w:bottom w:val="single" w:sz="4" w:space="0" w:color="auto"/>
              <w:right w:val="nil"/>
            </w:tcBorders>
          </w:tcPr>
          <w:p w:rsidR="00897C1E" w:rsidRPr="005911E2" w:rsidRDefault="00897C1E" w:rsidP="00F104E9">
            <w:pPr>
              <w:pStyle w:val="braytabletext"/>
            </w:pPr>
          </w:p>
        </w:tc>
        <w:tc>
          <w:tcPr>
            <w:tcW w:w="992" w:type="dxa"/>
            <w:tcBorders>
              <w:top w:val="single" w:sz="4" w:space="0" w:color="auto"/>
              <w:left w:val="nil"/>
              <w:bottom w:val="single" w:sz="4" w:space="0" w:color="auto"/>
              <w:right w:val="nil"/>
            </w:tcBorders>
          </w:tcPr>
          <w:p w:rsidR="00897C1E" w:rsidRPr="005911E2" w:rsidRDefault="00897C1E" w:rsidP="008A1D49">
            <w:pPr>
              <w:pStyle w:val="braytabletext"/>
              <w:jc w:val="right"/>
            </w:pPr>
            <w:r w:rsidRPr="005911E2">
              <w:t>Made things better</w:t>
            </w:r>
          </w:p>
        </w:tc>
        <w:tc>
          <w:tcPr>
            <w:tcW w:w="954" w:type="dxa"/>
            <w:tcBorders>
              <w:top w:val="single" w:sz="4" w:space="0" w:color="auto"/>
              <w:left w:val="nil"/>
              <w:bottom w:val="single" w:sz="4" w:space="0" w:color="auto"/>
              <w:right w:val="nil"/>
            </w:tcBorders>
          </w:tcPr>
          <w:p w:rsidR="00897C1E" w:rsidRPr="005911E2" w:rsidRDefault="00897C1E" w:rsidP="008A1D49">
            <w:pPr>
              <w:pStyle w:val="braytabletext"/>
              <w:jc w:val="right"/>
            </w:pPr>
            <w:r w:rsidRPr="005911E2">
              <w:t>Made no difference</w:t>
            </w:r>
          </w:p>
        </w:tc>
        <w:tc>
          <w:tcPr>
            <w:tcW w:w="1030" w:type="dxa"/>
            <w:tcBorders>
              <w:top w:val="single" w:sz="4" w:space="0" w:color="auto"/>
              <w:left w:val="nil"/>
              <w:bottom w:val="single" w:sz="4" w:space="0" w:color="auto"/>
              <w:right w:val="nil"/>
            </w:tcBorders>
          </w:tcPr>
          <w:p w:rsidR="00897C1E" w:rsidRPr="005911E2" w:rsidRDefault="00897C1E" w:rsidP="008A1D49">
            <w:pPr>
              <w:pStyle w:val="braytabletext"/>
              <w:jc w:val="right"/>
            </w:pPr>
            <w:r w:rsidRPr="005911E2">
              <w:t>Made things worse</w:t>
            </w:r>
          </w:p>
        </w:tc>
        <w:tc>
          <w:tcPr>
            <w:tcW w:w="993" w:type="dxa"/>
            <w:tcBorders>
              <w:top w:val="single" w:sz="4" w:space="0" w:color="auto"/>
              <w:left w:val="nil"/>
              <w:bottom w:val="single" w:sz="4" w:space="0" w:color="auto"/>
              <w:right w:val="nil"/>
            </w:tcBorders>
          </w:tcPr>
          <w:p w:rsidR="00897C1E" w:rsidRPr="005911E2" w:rsidRDefault="00897C1E" w:rsidP="008A1D49">
            <w:pPr>
              <w:pStyle w:val="braytabletext"/>
              <w:jc w:val="right"/>
            </w:pPr>
            <w:r w:rsidRPr="005911E2">
              <w:t>Don't know/ prefer not to say</w:t>
            </w:r>
          </w:p>
        </w:tc>
        <w:tc>
          <w:tcPr>
            <w:tcW w:w="954" w:type="dxa"/>
            <w:tcBorders>
              <w:top w:val="single" w:sz="4" w:space="0" w:color="auto"/>
              <w:left w:val="nil"/>
              <w:bottom w:val="single" w:sz="4" w:space="0" w:color="auto"/>
              <w:right w:val="nil"/>
            </w:tcBorders>
          </w:tcPr>
          <w:p w:rsidR="00897C1E" w:rsidRPr="005911E2" w:rsidRDefault="00897C1E" w:rsidP="008A1D49">
            <w:pPr>
              <w:pStyle w:val="braytabletext"/>
              <w:jc w:val="right"/>
            </w:pPr>
            <w:r w:rsidRPr="005911E2">
              <w:t>Total</w:t>
            </w:r>
          </w:p>
        </w:tc>
      </w:tr>
      <w:tr w:rsidR="00897C1E" w:rsidRPr="005911E2" w:rsidTr="000401CF">
        <w:trPr>
          <w:trHeight w:val="302"/>
        </w:trPr>
        <w:tc>
          <w:tcPr>
            <w:tcW w:w="4640" w:type="dxa"/>
            <w:gridSpan w:val="3"/>
            <w:tcBorders>
              <w:top w:val="single" w:sz="4" w:space="0" w:color="auto"/>
              <w:left w:val="nil"/>
              <w:bottom w:val="nil"/>
              <w:right w:val="nil"/>
            </w:tcBorders>
          </w:tcPr>
          <w:p w:rsidR="00897C1E" w:rsidRPr="005911E2" w:rsidRDefault="00897C1E" w:rsidP="008F07EE">
            <w:pPr>
              <w:pStyle w:val="braytabletext"/>
              <w:rPr>
                <w:i/>
              </w:rPr>
            </w:pPr>
            <w:r w:rsidRPr="005911E2">
              <w:rPr>
                <w:i/>
              </w:rPr>
              <w:t xml:space="preserve">Indigenous Compulsory </w:t>
            </w:r>
          </w:p>
        </w:tc>
        <w:tc>
          <w:tcPr>
            <w:tcW w:w="1030" w:type="dxa"/>
            <w:tcBorders>
              <w:top w:val="single" w:sz="4" w:space="0" w:color="auto"/>
              <w:left w:val="nil"/>
              <w:bottom w:val="nil"/>
              <w:right w:val="nil"/>
            </w:tcBorders>
          </w:tcPr>
          <w:p w:rsidR="00897C1E" w:rsidRPr="005911E2" w:rsidRDefault="00897C1E" w:rsidP="00F104E9">
            <w:pPr>
              <w:pStyle w:val="braytabletext"/>
            </w:pPr>
            <w:r w:rsidRPr="005911E2">
              <w:t>-</w:t>
            </w:r>
            <w:r w:rsidR="006435C8">
              <w:t xml:space="preserve"> </w:t>
            </w:r>
            <w:r w:rsidRPr="005911E2">
              <w:t>% -</w:t>
            </w:r>
          </w:p>
        </w:tc>
        <w:tc>
          <w:tcPr>
            <w:tcW w:w="993" w:type="dxa"/>
            <w:tcBorders>
              <w:top w:val="single" w:sz="4" w:space="0" w:color="auto"/>
              <w:left w:val="nil"/>
              <w:bottom w:val="nil"/>
              <w:right w:val="nil"/>
            </w:tcBorders>
          </w:tcPr>
          <w:p w:rsidR="00897C1E" w:rsidRPr="005911E2" w:rsidRDefault="00897C1E" w:rsidP="00F104E9">
            <w:pPr>
              <w:pStyle w:val="braytabletext"/>
            </w:pPr>
          </w:p>
        </w:tc>
        <w:tc>
          <w:tcPr>
            <w:tcW w:w="954" w:type="dxa"/>
            <w:tcBorders>
              <w:top w:val="single" w:sz="4" w:space="0" w:color="auto"/>
              <w:left w:val="nil"/>
              <w:bottom w:val="nil"/>
              <w:right w:val="nil"/>
            </w:tcBorders>
          </w:tcPr>
          <w:p w:rsidR="00897C1E" w:rsidRPr="005911E2" w:rsidRDefault="00897C1E" w:rsidP="00F104E9">
            <w:pPr>
              <w:pStyle w:val="braytabletext"/>
            </w:pPr>
          </w:p>
        </w:tc>
      </w:tr>
      <w:tr w:rsidR="00897C1E" w:rsidRPr="005911E2" w:rsidTr="000401CF">
        <w:trPr>
          <w:trHeight w:val="290"/>
        </w:trPr>
        <w:tc>
          <w:tcPr>
            <w:tcW w:w="2694" w:type="dxa"/>
            <w:tcBorders>
              <w:top w:val="nil"/>
              <w:left w:val="nil"/>
              <w:bottom w:val="nil"/>
              <w:right w:val="nil"/>
            </w:tcBorders>
          </w:tcPr>
          <w:p w:rsidR="00897C1E" w:rsidRPr="005911E2" w:rsidRDefault="00897C1E" w:rsidP="00F104E9">
            <w:pPr>
              <w:pStyle w:val="braytabletext"/>
            </w:pPr>
            <w:r w:rsidRPr="005911E2">
              <w:t>Yes</w:t>
            </w:r>
          </w:p>
        </w:tc>
        <w:tc>
          <w:tcPr>
            <w:tcW w:w="992" w:type="dxa"/>
            <w:tcBorders>
              <w:top w:val="nil"/>
              <w:left w:val="nil"/>
              <w:bottom w:val="nil"/>
              <w:right w:val="nil"/>
            </w:tcBorders>
          </w:tcPr>
          <w:p w:rsidR="00897C1E" w:rsidRPr="005911E2" w:rsidRDefault="00897C1E" w:rsidP="00F104E9">
            <w:pPr>
              <w:pStyle w:val="braytabletext"/>
              <w:jc w:val="right"/>
            </w:pPr>
            <w:r w:rsidRPr="005911E2">
              <w:t>21.0</w:t>
            </w:r>
          </w:p>
        </w:tc>
        <w:tc>
          <w:tcPr>
            <w:tcW w:w="954" w:type="dxa"/>
            <w:tcBorders>
              <w:top w:val="nil"/>
              <w:left w:val="nil"/>
              <w:bottom w:val="nil"/>
              <w:right w:val="nil"/>
            </w:tcBorders>
          </w:tcPr>
          <w:p w:rsidR="00897C1E" w:rsidRPr="005911E2" w:rsidRDefault="00897C1E" w:rsidP="00F104E9">
            <w:pPr>
              <w:pStyle w:val="braytabletext"/>
              <w:jc w:val="right"/>
            </w:pPr>
            <w:r w:rsidRPr="005911E2">
              <w:t>8.6</w:t>
            </w:r>
          </w:p>
        </w:tc>
        <w:tc>
          <w:tcPr>
            <w:tcW w:w="1030" w:type="dxa"/>
            <w:tcBorders>
              <w:top w:val="nil"/>
              <w:left w:val="nil"/>
              <w:bottom w:val="nil"/>
              <w:right w:val="nil"/>
            </w:tcBorders>
          </w:tcPr>
          <w:p w:rsidR="00897C1E" w:rsidRPr="005911E2" w:rsidRDefault="00897C1E" w:rsidP="00F104E9">
            <w:pPr>
              <w:pStyle w:val="braytabletext"/>
              <w:jc w:val="right"/>
            </w:pPr>
            <w:r w:rsidRPr="005911E2">
              <w:t>2.5</w:t>
            </w:r>
          </w:p>
        </w:tc>
        <w:tc>
          <w:tcPr>
            <w:tcW w:w="993" w:type="dxa"/>
            <w:tcBorders>
              <w:top w:val="nil"/>
              <w:left w:val="nil"/>
              <w:bottom w:val="nil"/>
              <w:right w:val="nil"/>
            </w:tcBorders>
          </w:tcPr>
          <w:p w:rsidR="00897C1E" w:rsidRPr="005911E2" w:rsidRDefault="00897C1E" w:rsidP="00F104E9">
            <w:pPr>
              <w:pStyle w:val="braytabletext"/>
              <w:jc w:val="right"/>
            </w:pPr>
            <w:r w:rsidRPr="005911E2">
              <w:t>1.3</w:t>
            </w:r>
          </w:p>
        </w:tc>
        <w:tc>
          <w:tcPr>
            <w:tcW w:w="954" w:type="dxa"/>
            <w:tcBorders>
              <w:top w:val="nil"/>
              <w:left w:val="nil"/>
              <w:bottom w:val="nil"/>
              <w:right w:val="nil"/>
            </w:tcBorders>
          </w:tcPr>
          <w:p w:rsidR="00897C1E" w:rsidRPr="005911E2" w:rsidRDefault="00897C1E" w:rsidP="00F104E9">
            <w:pPr>
              <w:pStyle w:val="braytabletext"/>
              <w:jc w:val="right"/>
            </w:pPr>
            <w:r w:rsidRPr="005911E2">
              <w:t>33.4</w:t>
            </w:r>
          </w:p>
        </w:tc>
      </w:tr>
      <w:tr w:rsidR="00897C1E" w:rsidRPr="005911E2" w:rsidTr="000401CF">
        <w:trPr>
          <w:trHeight w:val="290"/>
        </w:trPr>
        <w:tc>
          <w:tcPr>
            <w:tcW w:w="2694" w:type="dxa"/>
            <w:tcBorders>
              <w:top w:val="nil"/>
              <w:left w:val="nil"/>
              <w:bottom w:val="nil"/>
              <w:right w:val="nil"/>
            </w:tcBorders>
          </w:tcPr>
          <w:p w:rsidR="00897C1E" w:rsidRPr="005911E2" w:rsidRDefault="00897C1E" w:rsidP="00F104E9">
            <w:pPr>
              <w:pStyle w:val="braytabletext"/>
            </w:pPr>
            <w:r w:rsidRPr="005911E2">
              <w:t>No</w:t>
            </w:r>
          </w:p>
        </w:tc>
        <w:tc>
          <w:tcPr>
            <w:tcW w:w="992" w:type="dxa"/>
            <w:tcBorders>
              <w:top w:val="nil"/>
              <w:left w:val="nil"/>
              <w:bottom w:val="nil"/>
              <w:right w:val="nil"/>
            </w:tcBorders>
          </w:tcPr>
          <w:p w:rsidR="00897C1E" w:rsidRPr="005911E2" w:rsidRDefault="00897C1E" w:rsidP="00F104E9">
            <w:pPr>
              <w:pStyle w:val="braytabletext"/>
              <w:jc w:val="right"/>
            </w:pPr>
            <w:r w:rsidRPr="005911E2">
              <w:t>9.9</w:t>
            </w:r>
          </w:p>
        </w:tc>
        <w:tc>
          <w:tcPr>
            <w:tcW w:w="954" w:type="dxa"/>
            <w:tcBorders>
              <w:top w:val="nil"/>
              <w:left w:val="nil"/>
              <w:bottom w:val="nil"/>
              <w:right w:val="nil"/>
            </w:tcBorders>
          </w:tcPr>
          <w:p w:rsidR="00897C1E" w:rsidRPr="005911E2" w:rsidRDefault="00897C1E" w:rsidP="00F104E9">
            <w:pPr>
              <w:pStyle w:val="braytabletext"/>
              <w:jc w:val="right"/>
            </w:pPr>
            <w:r w:rsidRPr="005911E2">
              <w:t>10.4</w:t>
            </w:r>
          </w:p>
        </w:tc>
        <w:tc>
          <w:tcPr>
            <w:tcW w:w="1030" w:type="dxa"/>
            <w:tcBorders>
              <w:top w:val="nil"/>
              <w:left w:val="nil"/>
              <w:bottom w:val="nil"/>
              <w:right w:val="nil"/>
            </w:tcBorders>
          </w:tcPr>
          <w:p w:rsidR="00897C1E" w:rsidRPr="005911E2" w:rsidRDefault="00897C1E" w:rsidP="00F104E9">
            <w:pPr>
              <w:pStyle w:val="braytabletext"/>
              <w:jc w:val="right"/>
            </w:pPr>
            <w:r w:rsidRPr="005911E2">
              <w:t>20.8</w:t>
            </w:r>
          </w:p>
        </w:tc>
        <w:tc>
          <w:tcPr>
            <w:tcW w:w="993" w:type="dxa"/>
            <w:tcBorders>
              <w:top w:val="nil"/>
              <w:left w:val="nil"/>
              <w:bottom w:val="nil"/>
              <w:right w:val="nil"/>
            </w:tcBorders>
          </w:tcPr>
          <w:p w:rsidR="00897C1E" w:rsidRPr="005911E2" w:rsidRDefault="00897C1E" w:rsidP="00F104E9">
            <w:pPr>
              <w:pStyle w:val="braytabletext"/>
              <w:jc w:val="right"/>
            </w:pPr>
            <w:r w:rsidRPr="005911E2">
              <w:t>7.3</w:t>
            </w:r>
          </w:p>
        </w:tc>
        <w:tc>
          <w:tcPr>
            <w:tcW w:w="954" w:type="dxa"/>
            <w:tcBorders>
              <w:top w:val="nil"/>
              <w:left w:val="nil"/>
              <w:bottom w:val="nil"/>
              <w:right w:val="nil"/>
            </w:tcBorders>
          </w:tcPr>
          <w:p w:rsidR="00897C1E" w:rsidRPr="005911E2" w:rsidRDefault="00897C1E" w:rsidP="00F104E9">
            <w:pPr>
              <w:pStyle w:val="braytabletext"/>
              <w:jc w:val="right"/>
            </w:pPr>
            <w:r w:rsidRPr="005911E2">
              <w:t>48.4</w:t>
            </w:r>
          </w:p>
        </w:tc>
      </w:tr>
      <w:tr w:rsidR="00897C1E" w:rsidRPr="005911E2" w:rsidTr="000401CF">
        <w:trPr>
          <w:trHeight w:val="317"/>
        </w:trPr>
        <w:tc>
          <w:tcPr>
            <w:tcW w:w="2694" w:type="dxa"/>
            <w:tcBorders>
              <w:top w:val="nil"/>
              <w:left w:val="nil"/>
              <w:bottom w:val="nil"/>
              <w:right w:val="nil"/>
            </w:tcBorders>
          </w:tcPr>
          <w:p w:rsidR="00897C1E" w:rsidRPr="005911E2" w:rsidRDefault="00897C1E" w:rsidP="00F104E9">
            <w:pPr>
              <w:pStyle w:val="braytabletext"/>
            </w:pPr>
            <w:r w:rsidRPr="005911E2">
              <w:t>Don't know/prefer not to say</w:t>
            </w:r>
          </w:p>
        </w:tc>
        <w:tc>
          <w:tcPr>
            <w:tcW w:w="992" w:type="dxa"/>
            <w:tcBorders>
              <w:top w:val="nil"/>
              <w:left w:val="nil"/>
              <w:bottom w:val="nil"/>
              <w:right w:val="nil"/>
            </w:tcBorders>
          </w:tcPr>
          <w:p w:rsidR="00897C1E" w:rsidRPr="005911E2" w:rsidRDefault="00897C1E" w:rsidP="00F104E9">
            <w:pPr>
              <w:pStyle w:val="braytabletext"/>
              <w:jc w:val="right"/>
            </w:pPr>
            <w:r w:rsidRPr="005911E2">
              <w:t>4.8</w:t>
            </w:r>
          </w:p>
        </w:tc>
        <w:tc>
          <w:tcPr>
            <w:tcW w:w="954" w:type="dxa"/>
            <w:tcBorders>
              <w:top w:val="nil"/>
              <w:left w:val="nil"/>
              <w:bottom w:val="nil"/>
              <w:right w:val="nil"/>
            </w:tcBorders>
          </w:tcPr>
          <w:p w:rsidR="00897C1E" w:rsidRPr="005911E2" w:rsidRDefault="00897C1E" w:rsidP="00F104E9">
            <w:pPr>
              <w:pStyle w:val="braytabletext"/>
              <w:jc w:val="right"/>
            </w:pPr>
            <w:r w:rsidRPr="005911E2">
              <w:t>6.6</w:t>
            </w:r>
          </w:p>
        </w:tc>
        <w:tc>
          <w:tcPr>
            <w:tcW w:w="1030" w:type="dxa"/>
            <w:tcBorders>
              <w:top w:val="nil"/>
              <w:left w:val="nil"/>
              <w:bottom w:val="nil"/>
              <w:right w:val="nil"/>
            </w:tcBorders>
          </w:tcPr>
          <w:p w:rsidR="00897C1E" w:rsidRPr="005911E2" w:rsidRDefault="00897C1E" w:rsidP="00F104E9">
            <w:pPr>
              <w:pStyle w:val="braytabletext"/>
              <w:jc w:val="right"/>
            </w:pPr>
            <w:r w:rsidRPr="005911E2">
              <w:t>2.0</w:t>
            </w:r>
          </w:p>
        </w:tc>
        <w:tc>
          <w:tcPr>
            <w:tcW w:w="993" w:type="dxa"/>
            <w:tcBorders>
              <w:top w:val="nil"/>
              <w:left w:val="nil"/>
              <w:bottom w:val="nil"/>
              <w:right w:val="nil"/>
            </w:tcBorders>
          </w:tcPr>
          <w:p w:rsidR="00897C1E" w:rsidRPr="005911E2" w:rsidRDefault="00897C1E" w:rsidP="00F104E9">
            <w:pPr>
              <w:pStyle w:val="braytabletext"/>
              <w:jc w:val="right"/>
            </w:pPr>
            <w:r w:rsidRPr="005911E2">
              <w:t>4.8</w:t>
            </w:r>
          </w:p>
        </w:tc>
        <w:tc>
          <w:tcPr>
            <w:tcW w:w="954" w:type="dxa"/>
            <w:tcBorders>
              <w:top w:val="nil"/>
              <w:left w:val="nil"/>
              <w:bottom w:val="nil"/>
              <w:right w:val="nil"/>
            </w:tcBorders>
          </w:tcPr>
          <w:p w:rsidR="00897C1E" w:rsidRPr="005911E2" w:rsidRDefault="00897C1E" w:rsidP="00F104E9">
            <w:pPr>
              <w:pStyle w:val="braytabletext"/>
              <w:jc w:val="right"/>
            </w:pPr>
            <w:r w:rsidRPr="005911E2">
              <w:t>18.2</w:t>
            </w:r>
          </w:p>
        </w:tc>
      </w:tr>
      <w:tr w:rsidR="00897C1E" w:rsidRPr="005911E2" w:rsidTr="000401CF">
        <w:trPr>
          <w:trHeight w:val="290"/>
        </w:trPr>
        <w:tc>
          <w:tcPr>
            <w:tcW w:w="2694" w:type="dxa"/>
            <w:tcBorders>
              <w:top w:val="nil"/>
              <w:left w:val="nil"/>
              <w:bottom w:val="single" w:sz="4" w:space="0" w:color="auto"/>
              <w:right w:val="nil"/>
            </w:tcBorders>
          </w:tcPr>
          <w:p w:rsidR="00897C1E" w:rsidRPr="005911E2" w:rsidRDefault="00897C1E" w:rsidP="00F104E9">
            <w:pPr>
              <w:pStyle w:val="braytabletext"/>
            </w:pPr>
            <w:r w:rsidRPr="005911E2">
              <w:t>Total</w:t>
            </w:r>
          </w:p>
        </w:tc>
        <w:tc>
          <w:tcPr>
            <w:tcW w:w="992" w:type="dxa"/>
            <w:tcBorders>
              <w:top w:val="nil"/>
              <w:left w:val="nil"/>
              <w:bottom w:val="single" w:sz="4" w:space="0" w:color="auto"/>
              <w:right w:val="nil"/>
            </w:tcBorders>
          </w:tcPr>
          <w:p w:rsidR="00897C1E" w:rsidRPr="005911E2" w:rsidRDefault="00897C1E" w:rsidP="00F104E9">
            <w:pPr>
              <w:pStyle w:val="braytabletext"/>
              <w:jc w:val="right"/>
            </w:pPr>
            <w:r w:rsidRPr="005911E2">
              <w:t>35.7</w:t>
            </w:r>
          </w:p>
        </w:tc>
        <w:tc>
          <w:tcPr>
            <w:tcW w:w="954" w:type="dxa"/>
            <w:tcBorders>
              <w:top w:val="nil"/>
              <w:left w:val="nil"/>
              <w:bottom w:val="single" w:sz="4" w:space="0" w:color="auto"/>
              <w:right w:val="nil"/>
            </w:tcBorders>
          </w:tcPr>
          <w:p w:rsidR="00897C1E" w:rsidRPr="005911E2" w:rsidRDefault="00897C1E" w:rsidP="00F104E9">
            <w:pPr>
              <w:pStyle w:val="braytabletext"/>
              <w:jc w:val="right"/>
            </w:pPr>
            <w:r w:rsidRPr="005911E2">
              <w:t>25.6</w:t>
            </w:r>
          </w:p>
        </w:tc>
        <w:tc>
          <w:tcPr>
            <w:tcW w:w="1030" w:type="dxa"/>
            <w:tcBorders>
              <w:top w:val="nil"/>
              <w:left w:val="nil"/>
              <w:bottom w:val="single" w:sz="4" w:space="0" w:color="auto"/>
              <w:right w:val="nil"/>
            </w:tcBorders>
          </w:tcPr>
          <w:p w:rsidR="00897C1E" w:rsidRPr="005911E2" w:rsidRDefault="00897C1E" w:rsidP="00F104E9">
            <w:pPr>
              <w:pStyle w:val="braytabletext"/>
              <w:jc w:val="right"/>
            </w:pPr>
            <w:r w:rsidRPr="005911E2">
              <w:t>25.3</w:t>
            </w:r>
          </w:p>
        </w:tc>
        <w:tc>
          <w:tcPr>
            <w:tcW w:w="993" w:type="dxa"/>
            <w:tcBorders>
              <w:top w:val="nil"/>
              <w:left w:val="nil"/>
              <w:bottom w:val="single" w:sz="4" w:space="0" w:color="auto"/>
              <w:right w:val="nil"/>
            </w:tcBorders>
          </w:tcPr>
          <w:p w:rsidR="00897C1E" w:rsidRPr="005911E2" w:rsidRDefault="00897C1E" w:rsidP="00F104E9">
            <w:pPr>
              <w:pStyle w:val="braytabletext"/>
              <w:jc w:val="right"/>
            </w:pPr>
            <w:r w:rsidRPr="005911E2">
              <w:t>13.4</w:t>
            </w:r>
          </w:p>
        </w:tc>
        <w:tc>
          <w:tcPr>
            <w:tcW w:w="954" w:type="dxa"/>
            <w:tcBorders>
              <w:top w:val="nil"/>
              <w:left w:val="nil"/>
              <w:bottom w:val="single" w:sz="4" w:space="0" w:color="auto"/>
              <w:right w:val="nil"/>
            </w:tcBorders>
          </w:tcPr>
          <w:p w:rsidR="00897C1E" w:rsidRPr="005911E2" w:rsidRDefault="00897C1E" w:rsidP="00F104E9">
            <w:pPr>
              <w:pStyle w:val="braytabletext"/>
              <w:jc w:val="right"/>
            </w:pPr>
            <w:r w:rsidRPr="005911E2">
              <w:t>100.0</w:t>
            </w:r>
          </w:p>
        </w:tc>
      </w:tr>
      <w:tr w:rsidR="00897C1E" w:rsidRPr="005911E2" w:rsidTr="000401CF">
        <w:trPr>
          <w:trHeight w:val="302"/>
        </w:trPr>
        <w:tc>
          <w:tcPr>
            <w:tcW w:w="4640" w:type="dxa"/>
            <w:gridSpan w:val="3"/>
            <w:tcBorders>
              <w:top w:val="single" w:sz="4" w:space="0" w:color="auto"/>
              <w:left w:val="nil"/>
              <w:bottom w:val="nil"/>
              <w:right w:val="nil"/>
            </w:tcBorders>
          </w:tcPr>
          <w:p w:rsidR="00897C1E" w:rsidRPr="005911E2" w:rsidRDefault="00897C1E" w:rsidP="008F07EE">
            <w:pPr>
              <w:pStyle w:val="braytabletext"/>
              <w:rPr>
                <w:i/>
              </w:rPr>
            </w:pPr>
            <w:r w:rsidRPr="005911E2">
              <w:rPr>
                <w:i/>
              </w:rPr>
              <w:t xml:space="preserve">Indigenous Voluntary </w:t>
            </w:r>
          </w:p>
        </w:tc>
        <w:tc>
          <w:tcPr>
            <w:tcW w:w="1030" w:type="dxa"/>
            <w:tcBorders>
              <w:top w:val="single" w:sz="4" w:space="0" w:color="auto"/>
              <w:left w:val="nil"/>
              <w:bottom w:val="nil"/>
              <w:right w:val="nil"/>
            </w:tcBorders>
          </w:tcPr>
          <w:p w:rsidR="00897C1E" w:rsidRPr="005911E2" w:rsidRDefault="00897C1E" w:rsidP="00F104E9">
            <w:pPr>
              <w:pStyle w:val="braytabletext"/>
              <w:jc w:val="right"/>
              <w:rPr>
                <w:i/>
              </w:rPr>
            </w:pPr>
          </w:p>
        </w:tc>
        <w:tc>
          <w:tcPr>
            <w:tcW w:w="993" w:type="dxa"/>
            <w:tcBorders>
              <w:top w:val="single" w:sz="4" w:space="0" w:color="auto"/>
              <w:left w:val="nil"/>
              <w:bottom w:val="nil"/>
              <w:right w:val="nil"/>
            </w:tcBorders>
          </w:tcPr>
          <w:p w:rsidR="00897C1E" w:rsidRPr="005911E2" w:rsidRDefault="00897C1E" w:rsidP="00F104E9">
            <w:pPr>
              <w:pStyle w:val="braytabletext"/>
              <w:jc w:val="right"/>
              <w:rPr>
                <w:i/>
              </w:rPr>
            </w:pPr>
          </w:p>
        </w:tc>
        <w:tc>
          <w:tcPr>
            <w:tcW w:w="954" w:type="dxa"/>
            <w:tcBorders>
              <w:top w:val="single" w:sz="4" w:space="0" w:color="auto"/>
              <w:left w:val="nil"/>
              <w:bottom w:val="nil"/>
              <w:right w:val="nil"/>
            </w:tcBorders>
          </w:tcPr>
          <w:p w:rsidR="00897C1E" w:rsidRPr="005911E2" w:rsidRDefault="00897C1E" w:rsidP="00F104E9">
            <w:pPr>
              <w:pStyle w:val="braytabletext"/>
              <w:jc w:val="right"/>
              <w:rPr>
                <w:i/>
              </w:rPr>
            </w:pPr>
          </w:p>
        </w:tc>
      </w:tr>
      <w:tr w:rsidR="00897C1E" w:rsidRPr="005911E2" w:rsidTr="000401CF">
        <w:trPr>
          <w:trHeight w:val="290"/>
        </w:trPr>
        <w:tc>
          <w:tcPr>
            <w:tcW w:w="2694" w:type="dxa"/>
            <w:tcBorders>
              <w:top w:val="nil"/>
              <w:left w:val="nil"/>
              <w:bottom w:val="nil"/>
              <w:right w:val="nil"/>
            </w:tcBorders>
          </w:tcPr>
          <w:p w:rsidR="00897C1E" w:rsidRPr="005911E2" w:rsidRDefault="00897C1E" w:rsidP="00F104E9">
            <w:pPr>
              <w:pStyle w:val="braytabletext"/>
            </w:pPr>
            <w:r w:rsidRPr="005911E2">
              <w:t>Yes</w:t>
            </w:r>
          </w:p>
        </w:tc>
        <w:tc>
          <w:tcPr>
            <w:tcW w:w="992" w:type="dxa"/>
            <w:tcBorders>
              <w:top w:val="nil"/>
              <w:left w:val="nil"/>
              <w:bottom w:val="nil"/>
              <w:right w:val="nil"/>
            </w:tcBorders>
          </w:tcPr>
          <w:p w:rsidR="00897C1E" w:rsidRPr="005911E2" w:rsidRDefault="00897C1E" w:rsidP="00F104E9">
            <w:pPr>
              <w:pStyle w:val="braytabletext"/>
              <w:jc w:val="right"/>
            </w:pPr>
            <w:r w:rsidRPr="005911E2">
              <w:t>39.5</w:t>
            </w:r>
          </w:p>
        </w:tc>
        <w:tc>
          <w:tcPr>
            <w:tcW w:w="954" w:type="dxa"/>
            <w:tcBorders>
              <w:top w:val="nil"/>
              <w:left w:val="nil"/>
              <w:bottom w:val="nil"/>
              <w:right w:val="nil"/>
            </w:tcBorders>
          </w:tcPr>
          <w:p w:rsidR="00897C1E" w:rsidRPr="005911E2" w:rsidRDefault="00897C1E" w:rsidP="00F104E9">
            <w:pPr>
              <w:pStyle w:val="braytabletext"/>
              <w:jc w:val="right"/>
            </w:pPr>
            <w:r w:rsidRPr="005911E2">
              <w:t>4.5</w:t>
            </w:r>
          </w:p>
        </w:tc>
        <w:tc>
          <w:tcPr>
            <w:tcW w:w="1030" w:type="dxa"/>
            <w:tcBorders>
              <w:top w:val="nil"/>
              <w:left w:val="nil"/>
              <w:bottom w:val="nil"/>
              <w:right w:val="nil"/>
            </w:tcBorders>
          </w:tcPr>
          <w:p w:rsidR="00897C1E" w:rsidRPr="005911E2" w:rsidRDefault="00897C1E" w:rsidP="00F104E9">
            <w:pPr>
              <w:pStyle w:val="braytabletext"/>
              <w:jc w:val="right"/>
            </w:pPr>
            <w:r w:rsidRPr="005911E2">
              <w:t>1.9</w:t>
            </w:r>
          </w:p>
        </w:tc>
        <w:tc>
          <w:tcPr>
            <w:tcW w:w="993" w:type="dxa"/>
            <w:tcBorders>
              <w:top w:val="nil"/>
              <w:left w:val="nil"/>
              <w:bottom w:val="nil"/>
              <w:right w:val="nil"/>
            </w:tcBorders>
          </w:tcPr>
          <w:p w:rsidR="00897C1E" w:rsidRPr="005911E2" w:rsidRDefault="00897C1E" w:rsidP="00F104E9">
            <w:pPr>
              <w:pStyle w:val="braytabletext"/>
              <w:jc w:val="right"/>
            </w:pPr>
            <w:r w:rsidRPr="005911E2">
              <w:t>0.6</w:t>
            </w:r>
          </w:p>
        </w:tc>
        <w:tc>
          <w:tcPr>
            <w:tcW w:w="954" w:type="dxa"/>
            <w:tcBorders>
              <w:top w:val="nil"/>
              <w:left w:val="nil"/>
              <w:bottom w:val="nil"/>
              <w:right w:val="nil"/>
            </w:tcBorders>
          </w:tcPr>
          <w:p w:rsidR="00897C1E" w:rsidRPr="005911E2" w:rsidRDefault="00897C1E" w:rsidP="00F104E9">
            <w:pPr>
              <w:pStyle w:val="braytabletext"/>
              <w:jc w:val="right"/>
            </w:pPr>
            <w:r w:rsidRPr="005911E2">
              <w:t>46.5</w:t>
            </w:r>
          </w:p>
        </w:tc>
      </w:tr>
      <w:tr w:rsidR="00897C1E" w:rsidRPr="005911E2" w:rsidTr="000401CF">
        <w:trPr>
          <w:trHeight w:val="290"/>
        </w:trPr>
        <w:tc>
          <w:tcPr>
            <w:tcW w:w="2694" w:type="dxa"/>
            <w:tcBorders>
              <w:top w:val="nil"/>
              <w:left w:val="nil"/>
              <w:bottom w:val="nil"/>
              <w:right w:val="nil"/>
            </w:tcBorders>
          </w:tcPr>
          <w:p w:rsidR="00897C1E" w:rsidRPr="005911E2" w:rsidRDefault="00897C1E" w:rsidP="00F104E9">
            <w:pPr>
              <w:pStyle w:val="braytabletext"/>
            </w:pPr>
            <w:r w:rsidRPr="005911E2">
              <w:t>No</w:t>
            </w:r>
          </w:p>
        </w:tc>
        <w:tc>
          <w:tcPr>
            <w:tcW w:w="992" w:type="dxa"/>
            <w:tcBorders>
              <w:top w:val="nil"/>
              <w:left w:val="nil"/>
              <w:bottom w:val="nil"/>
              <w:right w:val="nil"/>
            </w:tcBorders>
          </w:tcPr>
          <w:p w:rsidR="00897C1E" w:rsidRPr="005911E2" w:rsidRDefault="00897C1E" w:rsidP="00F104E9">
            <w:pPr>
              <w:pStyle w:val="braytabletext"/>
              <w:jc w:val="right"/>
            </w:pPr>
            <w:r w:rsidRPr="005911E2">
              <w:t>12.1</w:t>
            </w:r>
          </w:p>
        </w:tc>
        <w:tc>
          <w:tcPr>
            <w:tcW w:w="954" w:type="dxa"/>
            <w:tcBorders>
              <w:top w:val="nil"/>
              <w:left w:val="nil"/>
              <w:bottom w:val="nil"/>
              <w:right w:val="nil"/>
            </w:tcBorders>
          </w:tcPr>
          <w:p w:rsidR="00897C1E" w:rsidRPr="005911E2" w:rsidRDefault="00897C1E" w:rsidP="00F104E9">
            <w:pPr>
              <w:pStyle w:val="braytabletext"/>
              <w:jc w:val="right"/>
            </w:pPr>
            <w:r w:rsidRPr="005911E2">
              <w:t>8.9</w:t>
            </w:r>
          </w:p>
        </w:tc>
        <w:tc>
          <w:tcPr>
            <w:tcW w:w="1030" w:type="dxa"/>
            <w:tcBorders>
              <w:top w:val="nil"/>
              <w:left w:val="nil"/>
              <w:bottom w:val="nil"/>
              <w:right w:val="nil"/>
            </w:tcBorders>
          </w:tcPr>
          <w:p w:rsidR="00897C1E" w:rsidRPr="005911E2" w:rsidRDefault="00897C1E" w:rsidP="00F104E9">
            <w:pPr>
              <w:pStyle w:val="braytabletext"/>
              <w:jc w:val="right"/>
            </w:pPr>
            <w:r w:rsidRPr="005911E2">
              <w:t>2.5</w:t>
            </w:r>
          </w:p>
        </w:tc>
        <w:tc>
          <w:tcPr>
            <w:tcW w:w="993" w:type="dxa"/>
            <w:tcBorders>
              <w:top w:val="nil"/>
              <w:left w:val="nil"/>
              <w:bottom w:val="nil"/>
              <w:right w:val="nil"/>
            </w:tcBorders>
          </w:tcPr>
          <w:p w:rsidR="00897C1E" w:rsidRPr="005911E2" w:rsidRDefault="00897C1E" w:rsidP="00F104E9">
            <w:pPr>
              <w:pStyle w:val="braytabletext"/>
              <w:jc w:val="right"/>
            </w:pPr>
            <w:r w:rsidRPr="005911E2">
              <w:t>7.0</w:t>
            </w:r>
          </w:p>
        </w:tc>
        <w:tc>
          <w:tcPr>
            <w:tcW w:w="954" w:type="dxa"/>
            <w:tcBorders>
              <w:top w:val="nil"/>
              <w:left w:val="nil"/>
              <w:bottom w:val="nil"/>
              <w:right w:val="nil"/>
            </w:tcBorders>
          </w:tcPr>
          <w:p w:rsidR="00897C1E" w:rsidRPr="005911E2" w:rsidRDefault="00897C1E" w:rsidP="00F104E9">
            <w:pPr>
              <w:pStyle w:val="braytabletext"/>
              <w:jc w:val="right"/>
            </w:pPr>
            <w:r w:rsidRPr="005911E2">
              <w:t>30.6</w:t>
            </w:r>
          </w:p>
        </w:tc>
      </w:tr>
      <w:tr w:rsidR="00897C1E" w:rsidRPr="005911E2" w:rsidTr="000401CF">
        <w:trPr>
          <w:trHeight w:val="381"/>
        </w:trPr>
        <w:tc>
          <w:tcPr>
            <w:tcW w:w="2694" w:type="dxa"/>
            <w:tcBorders>
              <w:top w:val="nil"/>
              <w:left w:val="nil"/>
              <w:right w:val="nil"/>
            </w:tcBorders>
          </w:tcPr>
          <w:p w:rsidR="00897C1E" w:rsidRPr="005911E2" w:rsidRDefault="00897C1E" w:rsidP="00F104E9">
            <w:pPr>
              <w:pStyle w:val="braytabletext"/>
            </w:pPr>
            <w:r w:rsidRPr="005911E2">
              <w:t>Don't know/prefer not to say</w:t>
            </w:r>
          </w:p>
        </w:tc>
        <w:tc>
          <w:tcPr>
            <w:tcW w:w="992" w:type="dxa"/>
            <w:tcBorders>
              <w:top w:val="nil"/>
              <w:left w:val="nil"/>
              <w:right w:val="nil"/>
            </w:tcBorders>
          </w:tcPr>
          <w:p w:rsidR="00897C1E" w:rsidRPr="005911E2" w:rsidRDefault="00897C1E" w:rsidP="00F104E9">
            <w:pPr>
              <w:pStyle w:val="braytabletext"/>
              <w:jc w:val="right"/>
            </w:pPr>
            <w:r w:rsidRPr="005911E2">
              <w:t>7.0</w:t>
            </w:r>
          </w:p>
        </w:tc>
        <w:tc>
          <w:tcPr>
            <w:tcW w:w="954" w:type="dxa"/>
            <w:tcBorders>
              <w:top w:val="nil"/>
              <w:left w:val="nil"/>
              <w:right w:val="nil"/>
            </w:tcBorders>
          </w:tcPr>
          <w:p w:rsidR="00897C1E" w:rsidRPr="005911E2" w:rsidRDefault="00897C1E" w:rsidP="00F104E9">
            <w:pPr>
              <w:pStyle w:val="braytabletext"/>
              <w:jc w:val="right"/>
            </w:pPr>
            <w:r w:rsidRPr="005911E2">
              <w:t>8.9</w:t>
            </w:r>
          </w:p>
        </w:tc>
        <w:tc>
          <w:tcPr>
            <w:tcW w:w="1030" w:type="dxa"/>
            <w:tcBorders>
              <w:top w:val="nil"/>
              <w:left w:val="nil"/>
              <w:right w:val="nil"/>
            </w:tcBorders>
          </w:tcPr>
          <w:p w:rsidR="00897C1E" w:rsidRPr="005911E2" w:rsidRDefault="00897C1E" w:rsidP="00F104E9">
            <w:pPr>
              <w:pStyle w:val="braytabletext"/>
              <w:jc w:val="right"/>
            </w:pPr>
            <w:r w:rsidRPr="005911E2">
              <w:t>1.3</w:t>
            </w:r>
          </w:p>
        </w:tc>
        <w:tc>
          <w:tcPr>
            <w:tcW w:w="993" w:type="dxa"/>
            <w:tcBorders>
              <w:top w:val="nil"/>
              <w:left w:val="nil"/>
              <w:right w:val="nil"/>
            </w:tcBorders>
          </w:tcPr>
          <w:p w:rsidR="00897C1E" w:rsidRPr="005911E2" w:rsidRDefault="00897C1E" w:rsidP="00F104E9">
            <w:pPr>
              <w:pStyle w:val="braytabletext"/>
              <w:jc w:val="right"/>
            </w:pPr>
            <w:r w:rsidRPr="005911E2">
              <w:t>5.7</w:t>
            </w:r>
          </w:p>
        </w:tc>
        <w:tc>
          <w:tcPr>
            <w:tcW w:w="954" w:type="dxa"/>
            <w:tcBorders>
              <w:top w:val="nil"/>
              <w:left w:val="nil"/>
              <w:right w:val="nil"/>
            </w:tcBorders>
          </w:tcPr>
          <w:p w:rsidR="00897C1E" w:rsidRPr="005911E2" w:rsidRDefault="00897C1E" w:rsidP="00F104E9">
            <w:pPr>
              <w:pStyle w:val="braytabletext"/>
              <w:jc w:val="right"/>
            </w:pPr>
            <w:r w:rsidRPr="005911E2">
              <w:t>22.9</w:t>
            </w:r>
          </w:p>
        </w:tc>
      </w:tr>
      <w:tr w:rsidR="00897C1E" w:rsidRPr="005911E2" w:rsidTr="000401CF">
        <w:trPr>
          <w:trHeight w:val="290"/>
        </w:trPr>
        <w:tc>
          <w:tcPr>
            <w:tcW w:w="2694" w:type="dxa"/>
            <w:tcBorders>
              <w:top w:val="nil"/>
              <w:left w:val="nil"/>
              <w:bottom w:val="single" w:sz="4" w:space="0" w:color="auto"/>
              <w:right w:val="nil"/>
            </w:tcBorders>
          </w:tcPr>
          <w:p w:rsidR="00897C1E" w:rsidRPr="005911E2" w:rsidRDefault="00897C1E" w:rsidP="00F104E9">
            <w:pPr>
              <w:pStyle w:val="braytabletext"/>
            </w:pPr>
            <w:r w:rsidRPr="005911E2">
              <w:t>Total</w:t>
            </w:r>
          </w:p>
        </w:tc>
        <w:tc>
          <w:tcPr>
            <w:tcW w:w="992" w:type="dxa"/>
            <w:tcBorders>
              <w:top w:val="nil"/>
              <w:left w:val="nil"/>
              <w:bottom w:val="single" w:sz="4" w:space="0" w:color="auto"/>
              <w:right w:val="nil"/>
            </w:tcBorders>
          </w:tcPr>
          <w:p w:rsidR="00897C1E" w:rsidRPr="005911E2" w:rsidRDefault="00897C1E" w:rsidP="00F104E9">
            <w:pPr>
              <w:pStyle w:val="braytabletext"/>
              <w:jc w:val="right"/>
            </w:pPr>
            <w:r w:rsidRPr="005911E2">
              <w:t>58.6</w:t>
            </w:r>
          </w:p>
        </w:tc>
        <w:tc>
          <w:tcPr>
            <w:tcW w:w="954" w:type="dxa"/>
            <w:tcBorders>
              <w:top w:val="nil"/>
              <w:left w:val="nil"/>
              <w:bottom w:val="single" w:sz="4" w:space="0" w:color="auto"/>
              <w:right w:val="nil"/>
            </w:tcBorders>
          </w:tcPr>
          <w:p w:rsidR="00897C1E" w:rsidRPr="005911E2" w:rsidRDefault="00897C1E" w:rsidP="00F104E9">
            <w:pPr>
              <w:pStyle w:val="braytabletext"/>
              <w:jc w:val="right"/>
            </w:pPr>
            <w:r w:rsidRPr="005911E2">
              <w:t>22.3</w:t>
            </w:r>
          </w:p>
        </w:tc>
        <w:tc>
          <w:tcPr>
            <w:tcW w:w="1030" w:type="dxa"/>
            <w:tcBorders>
              <w:top w:val="nil"/>
              <w:left w:val="nil"/>
              <w:bottom w:val="single" w:sz="4" w:space="0" w:color="auto"/>
              <w:right w:val="nil"/>
            </w:tcBorders>
          </w:tcPr>
          <w:p w:rsidR="00897C1E" w:rsidRPr="005911E2" w:rsidRDefault="00897C1E" w:rsidP="00F104E9">
            <w:pPr>
              <w:pStyle w:val="braytabletext"/>
              <w:jc w:val="right"/>
            </w:pPr>
            <w:r w:rsidRPr="005911E2">
              <w:t>5.7</w:t>
            </w:r>
          </w:p>
        </w:tc>
        <w:tc>
          <w:tcPr>
            <w:tcW w:w="993" w:type="dxa"/>
            <w:tcBorders>
              <w:top w:val="nil"/>
              <w:left w:val="nil"/>
              <w:bottom w:val="single" w:sz="4" w:space="0" w:color="auto"/>
              <w:right w:val="nil"/>
            </w:tcBorders>
          </w:tcPr>
          <w:p w:rsidR="00897C1E" w:rsidRPr="005911E2" w:rsidRDefault="00897C1E" w:rsidP="00F104E9">
            <w:pPr>
              <w:pStyle w:val="braytabletext"/>
              <w:jc w:val="right"/>
            </w:pPr>
            <w:r w:rsidRPr="005911E2">
              <w:t>13.4</w:t>
            </w:r>
          </w:p>
        </w:tc>
        <w:tc>
          <w:tcPr>
            <w:tcW w:w="954" w:type="dxa"/>
            <w:tcBorders>
              <w:top w:val="nil"/>
              <w:left w:val="nil"/>
              <w:bottom w:val="single" w:sz="4" w:space="0" w:color="auto"/>
              <w:right w:val="nil"/>
            </w:tcBorders>
          </w:tcPr>
          <w:p w:rsidR="00897C1E" w:rsidRPr="005911E2" w:rsidRDefault="00897C1E" w:rsidP="00F104E9">
            <w:pPr>
              <w:pStyle w:val="braytabletext"/>
              <w:jc w:val="right"/>
            </w:pPr>
            <w:r w:rsidRPr="005911E2">
              <w:t>100.0</w:t>
            </w:r>
          </w:p>
        </w:tc>
      </w:tr>
    </w:tbl>
    <w:p w:rsidR="00897C1E" w:rsidRPr="005911E2" w:rsidRDefault="00897C1E" w:rsidP="00CF78DB">
      <w:pPr>
        <w:pStyle w:val="tablefootnotes"/>
      </w:pPr>
      <w:r w:rsidRPr="005911E2">
        <w:t xml:space="preserve">Source: </w:t>
      </w:r>
      <w:r w:rsidR="008F07EE">
        <w:tab/>
      </w:r>
      <w:r w:rsidRPr="005911E2">
        <w:t>LSNIM, Wave 1.</w:t>
      </w:r>
    </w:p>
    <w:p w:rsidR="00897C1E" w:rsidRPr="005911E2" w:rsidRDefault="00897C1E" w:rsidP="00CF78DB">
      <w:pPr>
        <w:pStyle w:val="tablefootnotes"/>
      </w:pPr>
    </w:p>
    <w:p w:rsidR="00897C1E" w:rsidRPr="005911E2" w:rsidRDefault="00897C1E" w:rsidP="00897C1E">
      <w:pPr>
        <w:pStyle w:val="BodyText"/>
        <w:rPr>
          <w:lang w:eastAsia="en-US"/>
        </w:rPr>
      </w:pPr>
      <w:r w:rsidRPr="005911E2">
        <w:rPr>
          <w:lang w:eastAsia="en-US"/>
        </w:rPr>
        <w:t xml:space="preserve">While various interpretations may be placed on these results it can be suggested that an underlying factor was that the program was seen by those answering the question as being suitable for some people in some circumstances, but not necessarily for all people in all situations. </w:t>
      </w:r>
      <w:r w:rsidR="00FF3589">
        <w:rPr>
          <w:lang w:eastAsia="en-US"/>
        </w:rPr>
        <w:t>W</w:t>
      </w:r>
      <w:r w:rsidRPr="005911E2">
        <w:rPr>
          <w:lang w:eastAsia="en-US"/>
        </w:rPr>
        <w:t>hile a person may have found the program a negative for them</w:t>
      </w:r>
      <w:r w:rsidR="00FF3589">
        <w:rPr>
          <w:lang w:eastAsia="en-US"/>
        </w:rPr>
        <w:t>selves</w:t>
      </w:r>
      <w:r w:rsidR="004E3A29">
        <w:rPr>
          <w:lang w:eastAsia="en-US"/>
        </w:rPr>
        <w:t>,</w:t>
      </w:r>
      <w:r w:rsidRPr="005911E2">
        <w:rPr>
          <w:lang w:eastAsia="en-US"/>
        </w:rPr>
        <w:t xml:space="preserve"> they might see that it would be useful for someone else.</w:t>
      </w:r>
    </w:p>
    <w:p w:rsidR="00897C1E" w:rsidRPr="005911E2" w:rsidRDefault="00897C1E" w:rsidP="00616B0F">
      <w:pPr>
        <w:pStyle w:val="Heading2"/>
      </w:pPr>
      <w:bookmarkStart w:id="1107" w:name="_Toc322470837"/>
      <w:bookmarkStart w:id="1108" w:name="_Toc328601535"/>
      <w:bookmarkStart w:id="1109" w:name="_Toc329870416"/>
      <w:bookmarkStart w:id="1110" w:name="_Toc335915802"/>
      <w:r w:rsidRPr="005911E2">
        <w:t>Attitude to Centrelink</w:t>
      </w:r>
      <w:bookmarkEnd w:id="1107"/>
      <w:bookmarkEnd w:id="1108"/>
      <w:bookmarkEnd w:id="1109"/>
      <w:bookmarkEnd w:id="1110"/>
    </w:p>
    <w:p w:rsidR="00897C1E" w:rsidRPr="005911E2" w:rsidRDefault="00897C1E" w:rsidP="00897C1E">
      <w:pPr>
        <w:pStyle w:val="BodyText"/>
        <w:rPr>
          <w:lang w:eastAsia="en-US"/>
        </w:rPr>
      </w:pPr>
      <w:r w:rsidRPr="005911E2">
        <w:rPr>
          <w:lang w:eastAsia="en-US"/>
        </w:rPr>
        <w:t xml:space="preserve">The survey also asked participants about their interaction with and views about Centrelink. A summary table of the results is at </w:t>
      </w:r>
      <w:r w:rsidR="00C7347D">
        <w:rPr>
          <w:lang w:eastAsia="en-US"/>
        </w:rPr>
        <w:fldChar w:fldCharType="begin"/>
      </w:r>
      <w:r w:rsidR="008F07EE">
        <w:rPr>
          <w:lang w:eastAsia="en-US"/>
        </w:rPr>
        <w:instrText xml:space="preserve"> REF _Ref328310466 \r \h </w:instrText>
      </w:r>
      <w:r w:rsidR="00C7347D">
        <w:rPr>
          <w:lang w:eastAsia="en-US"/>
        </w:rPr>
      </w:r>
      <w:r w:rsidR="00C7347D">
        <w:rPr>
          <w:lang w:eastAsia="en-US"/>
        </w:rPr>
        <w:fldChar w:fldCharType="separate"/>
      </w:r>
      <w:r w:rsidR="007D7E45">
        <w:rPr>
          <w:lang w:eastAsia="en-US"/>
        </w:rPr>
        <w:t>Appendix H</w:t>
      </w:r>
      <w:r w:rsidR="00C7347D">
        <w:rPr>
          <w:lang w:eastAsia="en-US"/>
        </w:rPr>
        <w:fldChar w:fldCharType="end"/>
      </w:r>
      <w:r w:rsidR="008F07EE">
        <w:rPr>
          <w:lang w:eastAsia="en-US"/>
        </w:rPr>
        <w:t>.</w:t>
      </w:r>
    </w:p>
    <w:p w:rsidR="00897C1E" w:rsidRPr="005911E2" w:rsidRDefault="00897C1E" w:rsidP="00616B0F">
      <w:pPr>
        <w:pStyle w:val="Heading2"/>
      </w:pPr>
      <w:bookmarkStart w:id="1111" w:name="_Toc322470838"/>
      <w:bookmarkStart w:id="1112" w:name="_Toc328601536"/>
      <w:bookmarkStart w:id="1113" w:name="_Toc329870417"/>
      <w:bookmarkStart w:id="1114" w:name="_Toc335915803"/>
      <w:r w:rsidRPr="005911E2">
        <w:t>Summary</w:t>
      </w:r>
      <w:bookmarkEnd w:id="1111"/>
      <w:bookmarkEnd w:id="1112"/>
      <w:bookmarkEnd w:id="1113"/>
      <w:bookmarkEnd w:id="1114"/>
      <w:r w:rsidRPr="005911E2">
        <w:t xml:space="preserve"> </w:t>
      </w:r>
    </w:p>
    <w:p w:rsidR="00897C1E" w:rsidRPr="005911E2" w:rsidRDefault="00897C1E" w:rsidP="00897C1E">
      <w:pPr>
        <w:pStyle w:val="BodyText"/>
        <w:rPr>
          <w:lang w:eastAsia="en-US"/>
        </w:rPr>
      </w:pPr>
      <w:r w:rsidRPr="005911E2">
        <w:rPr>
          <w:lang w:eastAsia="en-US"/>
        </w:rPr>
        <w:t xml:space="preserve">This chapter has provided detailed information on the experiences of those on </w:t>
      </w:r>
      <w:r w:rsidR="00F878E4">
        <w:rPr>
          <w:lang w:eastAsia="en-US"/>
        </w:rPr>
        <w:t>income management</w:t>
      </w:r>
      <w:r w:rsidRPr="005911E2">
        <w:rPr>
          <w:lang w:eastAsia="en-US"/>
        </w:rPr>
        <w:t xml:space="preserve"> and their perception of its impacts. The analysis is based upon data from the first wave of the LSNIM, conducted in late 2011 and early 2012. </w:t>
      </w:r>
    </w:p>
    <w:p w:rsidR="00897C1E" w:rsidRPr="005911E2" w:rsidRDefault="00897C1E" w:rsidP="00897C1E">
      <w:pPr>
        <w:pStyle w:val="BodyText"/>
        <w:rPr>
          <w:lang w:eastAsia="en-US"/>
        </w:rPr>
      </w:pPr>
      <w:r w:rsidRPr="005911E2">
        <w:rPr>
          <w:lang w:eastAsia="en-US"/>
        </w:rPr>
        <w:t xml:space="preserve">There are strong indicators in the data that many of those on </w:t>
      </w:r>
      <w:r w:rsidR="00F878E4">
        <w:rPr>
          <w:lang w:eastAsia="en-US"/>
        </w:rPr>
        <w:t>income management</w:t>
      </w:r>
      <w:r w:rsidRPr="005911E2">
        <w:rPr>
          <w:lang w:eastAsia="en-US"/>
        </w:rPr>
        <w:t xml:space="preserve"> do not understand how </w:t>
      </w:r>
      <w:r w:rsidR="00F878E4">
        <w:rPr>
          <w:lang w:eastAsia="en-US"/>
        </w:rPr>
        <w:t>income management</w:t>
      </w:r>
      <w:r w:rsidRPr="005911E2">
        <w:rPr>
          <w:lang w:eastAsia="en-US"/>
        </w:rPr>
        <w:t xml:space="preserve"> operates, which type of </w:t>
      </w:r>
      <w:r w:rsidR="00F878E4">
        <w:rPr>
          <w:lang w:eastAsia="en-US"/>
        </w:rPr>
        <w:t>income management</w:t>
      </w:r>
      <w:r w:rsidRPr="005911E2">
        <w:rPr>
          <w:lang w:eastAsia="en-US"/>
        </w:rPr>
        <w:t xml:space="preserve"> they are on</w:t>
      </w:r>
      <w:r w:rsidR="00FF3589">
        <w:rPr>
          <w:lang w:eastAsia="en-US"/>
        </w:rPr>
        <w:t>,</w:t>
      </w:r>
      <w:r w:rsidRPr="005911E2">
        <w:rPr>
          <w:lang w:eastAsia="en-US"/>
        </w:rPr>
        <w:t xml:space="preserve"> and why they are on </w:t>
      </w:r>
      <w:r w:rsidR="004E3A29">
        <w:rPr>
          <w:lang w:eastAsia="en-US"/>
        </w:rPr>
        <w:t>it</w:t>
      </w:r>
      <w:r w:rsidRPr="005911E2">
        <w:rPr>
          <w:lang w:eastAsia="en-US"/>
        </w:rPr>
        <w:t xml:space="preserve">. While one of the central rationales of the program is to assist in addressing problems of spending associated with alcohol, drugs and gambling, most people on </w:t>
      </w:r>
      <w:r w:rsidR="00F878E4">
        <w:rPr>
          <w:lang w:eastAsia="en-US"/>
        </w:rPr>
        <w:t>income management</w:t>
      </w:r>
      <w:r w:rsidRPr="005911E2">
        <w:rPr>
          <w:lang w:eastAsia="en-US"/>
        </w:rPr>
        <w:t xml:space="preserve"> reported an absence of these problems for themselves and their families. Where the</w:t>
      </w:r>
      <w:r w:rsidR="00FF3589">
        <w:rPr>
          <w:lang w:eastAsia="en-US"/>
        </w:rPr>
        <w:t>se problems</w:t>
      </w:r>
      <w:r w:rsidRPr="005911E2">
        <w:rPr>
          <w:lang w:eastAsia="en-US"/>
        </w:rPr>
        <w:t xml:space="preserve"> existed</w:t>
      </w:r>
      <w:r w:rsidR="00FF3589">
        <w:rPr>
          <w:lang w:eastAsia="en-US"/>
        </w:rPr>
        <w:t>,</w:t>
      </w:r>
      <w:r w:rsidRPr="005911E2">
        <w:rPr>
          <w:lang w:eastAsia="en-US"/>
        </w:rPr>
        <w:t xml:space="preserve"> people tended to consider them to be minor rather than major. While there is likely to be an under</w:t>
      </w:r>
      <w:r w:rsidR="004E3A29">
        <w:rPr>
          <w:lang w:eastAsia="en-US"/>
        </w:rPr>
        <w:t>-</w:t>
      </w:r>
      <w:r w:rsidRPr="005911E2">
        <w:rPr>
          <w:lang w:eastAsia="en-US"/>
        </w:rPr>
        <w:t>reporting of these problems, either because participants d</w:t>
      </w:r>
      <w:r w:rsidR="004E3A29">
        <w:rPr>
          <w:lang w:eastAsia="en-US"/>
        </w:rPr>
        <w:t>id</w:t>
      </w:r>
      <w:r w:rsidRPr="005911E2">
        <w:rPr>
          <w:lang w:eastAsia="en-US"/>
        </w:rPr>
        <w:t xml:space="preserve">n’t want to </w:t>
      </w:r>
      <w:r w:rsidR="00FF3589">
        <w:rPr>
          <w:lang w:eastAsia="en-US"/>
        </w:rPr>
        <w:t>‘</w:t>
      </w:r>
      <w:r w:rsidRPr="005911E2">
        <w:rPr>
          <w:lang w:eastAsia="en-US"/>
        </w:rPr>
        <w:t>look bad</w:t>
      </w:r>
      <w:r w:rsidR="00FF3589">
        <w:rPr>
          <w:lang w:eastAsia="en-US"/>
        </w:rPr>
        <w:t>’</w:t>
      </w:r>
      <w:r w:rsidRPr="005911E2">
        <w:rPr>
          <w:lang w:eastAsia="en-US"/>
        </w:rPr>
        <w:t xml:space="preserve"> to the interviewer or because they don’t think these issues are problems for their families</w:t>
      </w:r>
      <w:r w:rsidR="004E3A29">
        <w:rPr>
          <w:lang w:eastAsia="en-US"/>
        </w:rPr>
        <w:t>,</w:t>
      </w:r>
      <w:r w:rsidRPr="005911E2">
        <w:rPr>
          <w:lang w:eastAsia="en-US"/>
        </w:rPr>
        <w:t xml:space="preserve"> even </w:t>
      </w:r>
      <w:r w:rsidR="00FF3589">
        <w:rPr>
          <w:lang w:eastAsia="en-US"/>
        </w:rPr>
        <w:t xml:space="preserve">though </w:t>
      </w:r>
      <w:r w:rsidRPr="005911E2">
        <w:rPr>
          <w:lang w:eastAsia="en-US"/>
        </w:rPr>
        <w:t xml:space="preserve">they </w:t>
      </w:r>
      <w:r w:rsidR="008F07EE">
        <w:rPr>
          <w:lang w:eastAsia="en-US"/>
        </w:rPr>
        <w:t>may</w:t>
      </w:r>
      <w:r w:rsidR="008F07EE" w:rsidRPr="005911E2">
        <w:rPr>
          <w:lang w:eastAsia="en-US"/>
        </w:rPr>
        <w:t xml:space="preserve"> </w:t>
      </w:r>
      <w:r w:rsidRPr="005911E2">
        <w:rPr>
          <w:lang w:eastAsia="en-US"/>
        </w:rPr>
        <w:t xml:space="preserve">problems when more objectively measured, there is no doubt that many of those subject to </w:t>
      </w:r>
      <w:r w:rsidR="00F878E4">
        <w:rPr>
          <w:lang w:eastAsia="en-US"/>
        </w:rPr>
        <w:t>income management</w:t>
      </w:r>
      <w:r w:rsidRPr="005911E2">
        <w:rPr>
          <w:lang w:eastAsia="en-US"/>
        </w:rPr>
        <w:t xml:space="preserve"> do not themselves have these problems.</w:t>
      </w:r>
    </w:p>
    <w:p w:rsidR="00897C1E" w:rsidRPr="005911E2" w:rsidRDefault="00897C1E" w:rsidP="00897C1E">
      <w:pPr>
        <w:pStyle w:val="BodyText"/>
        <w:rPr>
          <w:lang w:eastAsia="en-US"/>
        </w:rPr>
      </w:pPr>
      <w:r w:rsidRPr="005911E2">
        <w:rPr>
          <w:lang w:eastAsia="en-US"/>
        </w:rPr>
        <w:t>When the question of change in these problems was considered</w:t>
      </w:r>
      <w:r w:rsidR="00FF3589">
        <w:rPr>
          <w:lang w:eastAsia="en-US"/>
        </w:rPr>
        <w:t>,</w:t>
      </w:r>
      <w:r w:rsidRPr="005911E2">
        <w:rPr>
          <w:lang w:eastAsia="en-US"/>
        </w:rPr>
        <w:t xml:space="preserve"> the results, while generally positive, appear to be substantially affected by two factors. </w:t>
      </w:r>
      <w:r w:rsidR="00C159E8">
        <w:rPr>
          <w:lang w:eastAsia="en-US"/>
        </w:rPr>
        <w:t xml:space="preserve">Firstly, there is a </w:t>
      </w:r>
      <w:r w:rsidRPr="005911E2">
        <w:rPr>
          <w:lang w:eastAsia="en-US"/>
        </w:rPr>
        <w:t>wide range of changes associated with the NTER, including investments in improved policing</w:t>
      </w:r>
      <w:r w:rsidR="008F07EE">
        <w:rPr>
          <w:lang w:eastAsia="en-US"/>
        </w:rPr>
        <w:t xml:space="preserve"> and infrastructure</w:t>
      </w:r>
      <w:r w:rsidRPr="005911E2">
        <w:rPr>
          <w:lang w:eastAsia="en-US"/>
        </w:rPr>
        <w:t xml:space="preserve">. Secondly, </w:t>
      </w:r>
      <w:r w:rsidR="00C0361A">
        <w:rPr>
          <w:lang w:eastAsia="en-US"/>
        </w:rPr>
        <w:t>in particular in the case of</w:t>
      </w:r>
      <w:r w:rsidRPr="005911E2">
        <w:rPr>
          <w:lang w:eastAsia="en-US"/>
        </w:rPr>
        <w:t xml:space="preserve"> Indigenous people, the improvements were </w:t>
      </w:r>
      <w:r w:rsidR="00C0361A">
        <w:rPr>
          <w:lang w:eastAsia="en-US"/>
        </w:rPr>
        <w:t xml:space="preserve">frequently </w:t>
      </w:r>
      <w:r w:rsidRPr="005911E2">
        <w:rPr>
          <w:lang w:eastAsia="en-US"/>
        </w:rPr>
        <w:t xml:space="preserve">broadly similar to </w:t>
      </w:r>
      <w:r w:rsidR="00C0361A">
        <w:rPr>
          <w:lang w:eastAsia="en-US"/>
        </w:rPr>
        <w:t xml:space="preserve">those </w:t>
      </w:r>
      <w:r w:rsidRPr="005911E2">
        <w:rPr>
          <w:lang w:eastAsia="en-US"/>
        </w:rPr>
        <w:t xml:space="preserve">of Indigenous people living </w:t>
      </w:r>
      <w:r w:rsidR="00C0361A" w:rsidRPr="00C0361A">
        <w:rPr>
          <w:lang w:eastAsia="en-US"/>
        </w:rPr>
        <w:t xml:space="preserve">in the contrast sites </w:t>
      </w:r>
      <w:r w:rsidRPr="005911E2">
        <w:rPr>
          <w:lang w:eastAsia="en-US"/>
        </w:rPr>
        <w:t>outside of the</w:t>
      </w:r>
      <w:r w:rsidR="006435C8">
        <w:rPr>
          <w:lang w:eastAsia="en-US"/>
        </w:rPr>
        <w:t xml:space="preserve"> Northern Territory </w:t>
      </w:r>
      <w:r w:rsidR="00C0361A">
        <w:rPr>
          <w:lang w:eastAsia="en-US"/>
        </w:rPr>
        <w:t xml:space="preserve">who </w:t>
      </w:r>
      <w:r w:rsidRPr="005911E2">
        <w:rPr>
          <w:lang w:eastAsia="en-US"/>
        </w:rPr>
        <w:t xml:space="preserve">were not subject to </w:t>
      </w:r>
      <w:r w:rsidR="00F878E4">
        <w:rPr>
          <w:lang w:eastAsia="en-US"/>
        </w:rPr>
        <w:t>income management</w:t>
      </w:r>
      <w:r w:rsidRPr="005911E2">
        <w:rPr>
          <w:lang w:eastAsia="en-US"/>
        </w:rPr>
        <w:t>.</w:t>
      </w:r>
    </w:p>
    <w:p w:rsidR="00897C1E" w:rsidRPr="005911E2" w:rsidRDefault="00897C1E" w:rsidP="00897C1E">
      <w:pPr>
        <w:pStyle w:val="BodyText"/>
        <w:rPr>
          <w:lang w:eastAsia="en-US"/>
        </w:rPr>
      </w:pPr>
      <w:r w:rsidRPr="005911E2">
        <w:rPr>
          <w:lang w:eastAsia="en-US"/>
        </w:rPr>
        <w:t xml:space="preserve">A similar pattern emerged in the analysis of changes in financial problems within families. Again not only was there much diversity but the changes </w:t>
      </w:r>
      <w:r w:rsidR="004E3A29" w:rsidRPr="005911E2">
        <w:rPr>
          <w:lang w:eastAsia="en-US"/>
        </w:rPr>
        <w:t>re</w:t>
      </w:r>
      <w:r w:rsidR="004E3A29">
        <w:rPr>
          <w:lang w:eastAsia="en-US"/>
        </w:rPr>
        <w:t>ported</w:t>
      </w:r>
      <w:r w:rsidR="004E3A29" w:rsidRPr="005911E2">
        <w:rPr>
          <w:lang w:eastAsia="en-US"/>
        </w:rPr>
        <w:t xml:space="preserve"> </w:t>
      </w:r>
      <w:r w:rsidRPr="005911E2">
        <w:rPr>
          <w:lang w:eastAsia="en-US"/>
        </w:rPr>
        <w:t xml:space="preserve">by people on </w:t>
      </w:r>
      <w:r w:rsidR="00F878E4">
        <w:rPr>
          <w:lang w:eastAsia="en-US"/>
        </w:rPr>
        <w:t>income management</w:t>
      </w:r>
      <w:r w:rsidRPr="005911E2">
        <w:rPr>
          <w:lang w:eastAsia="en-US"/>
        </w:rPr>
        <w:t xml:space="preserve"> in the</w:t>
      </w:r>
      <w:r w:rsidR="006435C8">
        <w:rPr>
          <w:lang w:eastAsia="en-US"/>
        </w:rPr>
        <w:t xml:space="preserve"> Northern Territory </w:t>
      </w:r>
      <w:r w:rsidRPr="005911E2">
        <w:rPr>
          <w:lang w:eastAsia="en-US"/>
        </w:rPr>
        <w:t>were not dissimilar to those reported by other income support recipients in other states which have been used in this analysis as a contrast group. One exception to this was a reduction in the extent to which people ran out of money because they had given money to others.</w:t>
      </w:r>
    </w:p>
    <w:p w:rsidR="00897C1E" w:rsidRPr="005911E2" w:rsidRDefault="00897C1E" w:rsidP="00897C1E">
      <w:pPr>
        <w:pStyle w:val="BodyText"/>
        <w:rPr>
          <w:lang w:eastAsia="en-US"/>
        </w:rPr>
      </w:pPr>
      <w:r w:rsidRPr="005911E2">
        <w:rPr>
          <w:lang w:eastAsia="en-US"/>
        </w:rPr>
        <w:t>Questions on perceived changes for individuals, their families</w:t>
      </w:r>
      <w:r w:rsidR="00C159E8">
        <w:rPr>
          <w:lang w:eastAsia="en-US"/>
        </w:rPr>
        <w:t>,</w:t>
      </w:r>
      <w:r w:rsidRPr="005911E2">
        <w:rPr>
          <w:lang w:eastAsia="en-US"/>
        </w:rPr>
        <w:t xml:space="preserve"> and communities</w:t>
      </w:r>
      <w:r w:rsidR="00C159E8">
        <w:rPr>
          <w:lang w:eastAsia="en-US"/>
        </w:rPr>
        <w:t>,</w:t>
      </w:r>
      <w:r w:rsidRPr="005911E2">
        <w:rPr>
          <w:lang w:eastAsia="en-US"/>
        </w:rPr>
        <w:t xml:space="preserve"> generally reported considerable improvements, often in excess of that reported by people living in the contrast sites. However</w:t>
      </w:r>
      <w:r w:rsidR="00C159E8">
        <w:rPr>
          <w:lang w:eastAsia="en-US"/>
        </w:rPr>
        <w:t>,</w:t>
      </w:r>
      <w:r w:rsidRPr="005911E2">
        <w:rPr>
          <w:lang w:eastAsia="en-US"/>
        </w:rPr>
        <w:t xml:space="preserve"> when it was possible to compare the perceived changes with more objective data (derived from administrative data sets) it would appear that the perceptions of change overstate the actual change that has occurred, at least in the dimensions measured by the administrative data or through other questions in the LSNIM.</w:t>
      </w:r>
    </w:p>
    <w:p w:rsidR="00C0361A" w:rsidRDefault="00C0361A" w:rsidP="00897C1E">
      <w:pPr>
        <w:pStyle w:val="BodyText"/>
        <w:rPr>
          <w:lang w:eastAsia="en-US"/>
        </w:rPr>
      </w:pPr>
      <w:r>
        <w:rPr>
          <w:lang w:eastAsia="en-US"/>
        </w:rPr>
        <w:t>While for a number of questions there were more positive responses by those living in NTER prescribed communities</w:t>
      </w:r>
      <w:r w:rsidR="004E3A29">
        <w:rPr>
          <w:lang w:eastAsia="en-US"/>
        </w:rPr>
        <w:t>,</w:t>
      </w:r>
      <w:r>
        <w:rPr>
          <w:lang w:eastAsia="en-US"/>
        </w:rPr>
        <w:t xml:space="preserve"> this result was not consistent either across questions or across those on Voluntary income management and those on the compulsory streams.</w:t>
      </w:r>
    </w:p>
    <w:p w:rsidR="00897C1E" w:rsidRPr="005911E2" w:rsidRDefault="00897C1E" w:rsidP="00897C1E">
      <w:pPr>
        <w:pStyle w:val="BodyText"/>
        <w:rPr>
          <w:lang w:eastAsia="en-US"/>
        </w:rPr>
      </w:pPr>
      <w:r w:rsidRPr="005911E2">
        <w:rPr>
          <w:lang w:eastAsia="en-US"/>
        </w:rPr>
        <w:t>Being income managed was for the majority accompanied by a sense of discrimination, embarrassment and a view that it was ‘not fair’. While for many these feelings were only occasional</w:t>
      </w:r>
      <w:r w:rsidR="00C159E8">
        <w:rPr>
          <w:lang w:eastAsia="en-US"/>
        </w:rPr>
        <w:t>,</w:t>
      </w:r>
      <w:r w:rsidRPr="005911E2">
        <w:rPr>
          <w:lang w:eastAsia="en-US"/>
        </w:rPr>
        <w:t xml:space="preserve"> for others they were much more persistent – with 40 to 50 per cent feeling this way all or most of the time.</w:t>
      </w:r>
    </w:p>
    <w:p w:rsidR="00897C1E" w:rsidRPr="005911E2" w:rsidRDefault="00897C1E" w:rsidP="00897C1E">
      <w:pPr>
        <w:pStyle w:val="BodyText"/>
        <w:rPr>
          <w:lang w:eastAsia="en-US"/>
        </w:rPr>
      </w:pPr>
      <w:r w:rsidRPr="005911E2">
        <w:rPr>
          <w:lang w:eastAsia="en-US"/>
        </w:rPr>
        <w:t xml:space="preserve">For some 30 to 50 per cent of those subject to </w:t>
      </w:r>
      <w:r w:rsidR="00C159E8">
        <w:rPr>
          <w:lang w:eastAsia="en-US"/>
        </w:rPr>
        <w:t>c</w:t>
      </w:r>
      <w:r w:rsidR="004808B3">
        <w:rPr>
          <w:lang w:eastAsia="en-US"/>
        </w:rPr>
        <w:t xml:space="preserve">ompulsory </w:t>
      </w:r>
      <w:r w:rsidR="00C159E8">
        <w:rPr>
          <w:lang w:eastAsia="en-US"/>
        </w:rPr>
        <w:t>measures of income management</w:t>
      </w:r>
      <w:r w:rsidRPr="005911E2">
        <w:rPr>
          <w:lang w:eastAsia="en-US"/>
        </w:rPr>
        <w:t xml:space="preserve"> there was a strong sense of loss of control over money. In fact one of the most common reasons for seeking an exemption was to have control over their money. </w:t>
      </w:r>
    </w:p>
    <w:p w:rsidR="00897C1E" w:rsidRPr="005911E2" w:rsidRDefault="00897C1E" w:rsidP="00897C1E">
      <w:pPr>
        <w:pStyle w:val="BodyText"/>
        <w:rPr>
          <w:lang w:eastAsia="en-US"/>
        </w:rPr>
      </w:pPr>
      <w:r w:rsidRPr="005911E2">
        <w:rPr>
          <w:lang w:eastAsia="en-US"/>
        </w:rPr>
        <w:t xml:space="preserve">Across the population being subject to </w:t>
      </w:r>
      <w:r w:rsidR="00C159E8">
        <w:rPr>
          <w:lang w:eastAsia="en-US"/>
        </w:rPr>
        <w:t>c</w:t>
      </w:r>
      <w:r w:rsidR="004808B3">
        <w:rPr>
          <w:lang w:eastAsia="en-US"/>
        </w:rPr>
        <w:t xml:space="preserve">ompulsory </w:t>
      </w:r>
      <w:r w:rsidR="00C159E8">
        <w:rPr>
          <w:lang w:eastAsia="en-US"/>
        </w:rPr>
        <w:t xml:space="preserve">measures </w:t>
      </w:r>
      <w:r w:rsidRPr="005911E2">
        <w:rPr>
          <w:lang w:eastAsia="en-US"/>
        </w:rPr>
        <w:t>there</w:t>
      </w:r>
      <w:r w:rsidR="00DB18E8" w:rsidRPr="005911E2">
        <w:rPr>
          <w:lang w:eastAsia="en-US"/>
        </w:rPr>
        <w:t xml:space="preserve"> </w:t>
      </w:r>
      <w:r w:rsidRPr="005911E2">
        <w:rPr>
          <w:lang w:eastAsia="en-US"/>
        </w:rPr>
        <w:t xml:space="preserve">was an overall tendency by those participating in the survey to describe the impact of the program in terms of </w:t>
      </w:r>
      <w:r w:rsidR="0006153C">
        <w:rPr>
          <w:lang w:eastAsia="en-US"/>
        </w:rPr>
        <w:t xml:space="preserve">it </w:t>
      </w:r>
      <w:r w:rsidRPr="005911E2">
        <w:rPr>
          <w:lang w:eastAsia="en-US"/>
        </w:rPr>
        <w:t xml:space="preserve">making no difference or making things worse, rather than in terms of it being positive. This was not the case however with those on </w:t>
      </w:r>
      <w:r w:rsidR="002F18E7">
        <w:rPr>
          <w:lang w:eastAsia="en-US"/>
        </w:rPr>
        <w:t>Voluntary Income Management</w:t>
      </w:r>
      <w:r w:rsidRPr="005911E2">
        <w:rPr>
          <w:lang w:eastAsia="en-US"/>
        </w:rPr>
        <w:t>, although even in this group a considerable proportion would not recommend the program to others. Rather</w:t>
      </w:r>
      <w:r w:rsidR="004E3A29">
        <w:rPr>
          <w:lang w:eastAsia="en-US"/>
        </w:rPr>
        <w:t>,</w:t>
      </w:r>
      <w:r w:rsidRPr="005911E2">
        <w:rPr>
          <w:lang w:eastAsia="en-US"/>
        </w:rPr>
        <w:t xml:space="preserve"> the data on both the overall assessment of the program and on whether they would recommend it to others reflects the diversity </w:t>
      </w:r>
      <w:r w:rsidR="00C159E8">
        <w:rPr>
          <w:lang w:eastAsia="en-US"/>
        </w:rPr>
        <w:t xml:space="preserve">of views </w:t>
      </w:r>
      <w:r w:rsidRPr="005911E2">
        <w:rPr>
          <w:lang w:eastAsia="en-US"/>
        </w:rPr>
        <w:t xml:space="preserve">identified earlier in this section. To the extent there were differences by gender these tended to </w:t>
      </w:r>
      <w:r w:rsidR="00C159E8">
        <w:rPr>
          <w:lang w:eastAsia="en-US"/>
        </w:rPr>
        <w:t xml:space="preserve">be </w:t>
      </w:r>
      <w:r w:rsidRPr="005911E2">
        <w:rPr>
          <w:lang w:eastAsia="en-US"/>
        </w:rPr>
        <w:t>differences of degree rather than men and women taking opposing views, and again there was a great deal of within-group diversity for both men and women.</w:t>
      </w:r>
    </w:p>
    <w:p w:rsidR="001B5674" w:rsidRPr="005911E2" w:rsidRDefault="001B5674" w:rsidP="00897C1E">
      <w:pPr>
        <w:pStyle w:val="BodyText"/>
        <w:rPr>
          <w:lang w:eastAsia="en-US"/>
        </w:rPr>
      </w:pPr>
      <w:r w:rsidRPr="005911E2">
        <w:rPr>
          <w:lang w:eastAsia="en-US"/>
        </w:rPr>
        <w:t>Given the relatively short period that NIM had been in place at the time of the first wave of the LSNIM</w:t>
      </w:r>
      <w:r w:rsidR="004E3A29">
        <w:rPr>
          <w:lang w:eastAsia="en-US"/>
        </w:rPr>
        <w:t>,</w:t>
      </w:r>
      <w:r w:rsidRPr="005911E2">
        <w:rPr>
          <w:lang w:eastAsia="en-US"/>
        </w:rPr>
        <w:t xml:space="preserve"> the question arises as to whether it is premature to make any judgements on the impact of </w:t>
      </w:r>
      <w:r w:rsidR="00F878E4">
        <w:rPr>
          <w:lang w:eastAsia="en-US"/>
        </w:rPr>
        <w:t>income management</w:t>
      </w:r>
      <w:r w:rsidRPr="005911E2">
        <w:rPr>
          <w:lang w:eastAsia="en-US"/>
        </w:rPr>
        <w:t xml:space="preserve">, and that longer time frames are required to allow the program to change behaviours. </w:t>
      </w:r>
      <w:r w:rsidR="0098759A" w:rsidRPr="005911E2">
        <w:rPr>
          <w:lang w:eastAsia="en-US"/>
        </w:rPr>
        <w:t>One way of assessing this is to consider the outcomes of those who had previously been on NTER IM</w:t>
      </w:r>
      <w:r w:rsidRPr="005911E2">
        <w:rPr>
          <w:lang w:eastAsia="en-US"/>
        </w:rPr>
        <w:t xml:space="preserve"> </w:t>
      </w:r>
      <w:r w:rsidR="0098759A" w:rsidRPr="005911E2">
        <w:rPr>
          <w:lang w:eastAsia="en-US"/>
        </w:rPr>
        <w:t xml:space="preserve">and who hence have had a much longer exposure to </w:t>
      </w:r>
      <w:r w:rsidR="00C159E8">
        <w:rPr>
          <w:lang w:eastAsia="en-US"/>
        </w:rPr>
        <w:t>income management</w:t>
      </w:r>
      <w:r w:rsidR="0098759A" w:rsidRPr="005911E2">
        <w:rPr>
          <w:lang w:eastAsia="en-US"/>
        </w:rPr>
        <w:t>. Such analysis does not suggest this is the case</w:t>
      </w:r>
      <w:r w:rsidR="00614538" w:rsidRPr="005911E2">
        <w:rPr>
          <w:lang w:eastAsia="en-US"/>
        </w:rPr>
        <w:t>.</w:t>
      </w:r>
      <w:r w:rsidR="00614538">
        <w:rPr>
          <w:lang w:eastAsia="en-US"/>
        </w:rPr>
        <w:t xml:space="preserve"> </w:t>
      </w:r>
      <w:r w:rsidR="0098759A" w:rsidRPr="005911E2">
        <w:rPr>
          <w:lang w:eastAsia="en-US"/>
        </w:rPr>
        <w:t>Although the multivariate analysis has identified some cases of difference, there is little, if any consistency in this</w:t>
      </w:r>
      <w:r w:rsidR="00614538" w:rsidRPr="005911E2">
        <w:rPr>
          <w:lang w:eastAsia="en-US"/>
        </w:rPr>
        <w:t>.</w:t>
      </w:r>
      <w:r w:rsidR="00614538">
        <w:rPr>
          <w:lang w:eastAsia="en-US"/>
        </w:rPr>
        <w:t xml:space="preserve"> </w:t>
      </w:r>
      <w:r w:rsidR="0098759A" w:rsidRPr="005911E2">
        <w:rPr>
          <w:lang w:eastAsia="en-US"/>
        </w:rPr>
        <w:t>Furthermore even when some difference is identified</w:t>
      </w:r>
      <w:r w:rsidR="004E3A29">
        <w:rPr>
          <w:lang w:eastAsia="en-US"/>
        </w:rPr>
        <w:t>,</w:t>
      </w:r>
      <w:r w:rsidR="0098759A" w:rsidRPr="005911E2">
        <w:rPr>
          <w:lang w:eastAsia="en-US"/>
        </w:rPr>
        <w:t xml:space="preserve"> it is often more in terms of muting negative outcomes.</w:t>
      </w:r>
    </w:p>
    <w:p w:rsidR="00C0582B" w:rsidRDefault="00897C1E" w:rsidP="00A26515">
      <w:pPr>
        <w:pStyle w:val="BodyText"/>
        <w:rPr>
          <w:lang w:eastAsia="en-US"/>
        </w:rPr>
      </w:pPr>
      <w:r w:rsidRPr="005911E2">
        <w:rPr>
          <w:lang w:eastAsia="en-US"/>
        </w:rPr>
        <w:t xml:space="preserve">The overall picture to emerge from the survey of those subject to </w:t>
      </w:r>
      <w:r w:rsidR="00F878E4">
        <w:rPr>
          <w:lang w:eastAsia="en-US"/>
        </w:rPr>
        <w:t>income management</w:t>
      </w:r>
      <w:r w:rsidRPr="005911E2">
        <w:rPr>
          <w:lang w:eastAsia="en-US"/>
        </w:rPr>
        <w:t xml:space="preserve"> is that people have very mixed views about </w:t>
      </w:r>
      <w:r w:rsidR="00F878E4">
        <w:rPr>
          <w:lang w:eastAsia="en-US"/>
        </w:rPr>
        <w:t>income management</w:t>
      </w:r>
      <w:r w:rsidRPr="005911E2">
        <w:rPr>
          <w:lang w:eastAsia="en-US"/>
        </w:rPr>
        <w:t xml:space="preserve"> and the impact it has had on themselves, their family and their community. Some participants report positive impacts on themselves, their families and communities and a substantial proportion report a desire to remain on the program. Others</w:t>
      </w:r>
      <w:r w:rsidR="004E3A29">
        <w:rPr>
          <w:lang w:eastAsia="en-US"/>
        </w:rPr>
        <w:t>,</w:t>
      </w:r>
      <w:r w:rsidRPr="005911E2">
        <w:rPr>
          <w:lang w:eastAsia="en-US"/>
        </w:rPr>
        <w:t xml:space="preserve"> however</w:t>
      </w:r>
      <w:r w:rsidR="004E3A29">
        <w:rPr>
          <w:lang w:eastAsia="en-US"/>
        </w:rPr>
        <w:t>,</w:t>
      </w:r>
      <w:r w:rsidRPr="005911E2">
        <w:rPr>
          <w:lang w:eastAsia="en-US"/>
        </w:rPr>
        <w:t xml:space="preserve"> report a sense of a loss of control, and a view that it has made their lives more difficult. A considerable proportion report that they find being </w:t>
      </w:r>
      <w:r w:rsidR="00F878E4">
        <w:rPr>
          <w:lang w:eastAsia="en-US"/>
        </w:rPr>
        <w:t>income manage</w:t>
      </w:r>
      <w:r w:rsidR="007C6DAC">
        <w:rPr>
          <w:lang w:eastAsia="en-US"/>
        </w:rPr>
        <w:t>d</w:t>
      </w:r>
      <w:r w:rsidRPr="005911E2">
        <w:rPr>
          <w:lang w:eastAsia="en-US"/>
        </w:rPr>
        <w:t xml:space="preserve"> is embarrassing and shaming. For many others they report that that it has not ma</w:t>
      </w:r>
      <w:r w:rsidR="007C6DAC">
        <w:rPr>
          <w:lang w:eastAsia="en-US"/>
        </w:rPr>
        <w:t>de</w:t>
      </w:r>
      <w:r w:rsidRPr="005911E2">
        <w:rPr>
          <w:lang w:eastAsia="en-US"/>
        </w:rPr>
        <w:t xml:space="preserve"> a major difference to their day-to-day lives.</w:t>
      </w:r>
      <w:bookmarkEnd w:id="969"/>
      <w:bookmarkEnd w:id="970"/>
    </w:p>
    <w:p w:rsidR="00C0582B" w:rsidRDefault="00C0582B" w:rsidP="00C0582B">
      <w:pPr>
        <w:pStyle w:val="chapterend"/>
      </w:pPr>
    </w:p>
    <w:p w:rsidR="00991B4C" w:rsidRPr="005911E2" w:rsidRDefault="00991B4C" w:rsidP="00A26515">
      <w:pPr>
        <w:pStyle w:val="BodyText"/>
        <w:rPr>
          <w:b/>
        </w:rPr>
      </w:pPr>
      <w:r w:rsidRPr="005911E2">
        <w:rPr>
          <w:b/>
        </w:rPr>
        <w:br w:type="page"/>
      </w:r>
    </w:p>
    <w:p w:rsidR="00353CE7" w:rsidRPr="005911E2" w:rsidRDefault="00353CE7" w:rsidP="00BD6DFD">
      <w:pPr>
        <w:pStyle w:val="Heading1"/>
      </w:pPr>
      <w:r w:rsidRPr="005911E2">
        <w:tab/>
      </w:r>
      <w:bookmarkStart w:id="1115" w:name="_Toc328601537"/>
      <w:bookmarkStart w:id="1116" w:name="_Toc329870418"/>
      <w:bookmarkStart w:id="1117" w:name="_Toc335915804"/>
      <w:r w:rsidRPr="005911E2">
        <w:t xml:space="preserve">Qualitative interviews with people subject to </w:t>
      </w:r>
      <w:r w:rsidR="00F878E4">
        <w:t>income management</w:t>
      </w:r>
      <w:bookmarkEnd w:id="1115"/>
      <w:bookmarkEnd w:id="1116"/>
      <w:bookmarkEnd w:id="1117"/>
    </w:p>
    <w:p w:rsidR="00D96A58" w:rsidRDefault="00D219D9">
      <w:pPr>
        <w:pStyle w:val="Heading2"/>
      </w:pPr>
      <w:bookmarkStart w:id="1118" w:name="_Toc328601538"/>
      <w:bookmarkStart w:id="1119" w:name="_Toc329870419"/>
      <w:bookmarkStart w:id="1120" w:name="_Toc335915805"/>
      <w:r w:rsidRPr="005911E2">
        <w:t>Introduction</w:t>
      </w:r>
      <w:bookmarkEnd w:id="1118"/>
      <w:bookmarkEnd w:id="1119"/>
      <w:bookmarkEnd w:id="1120"/>
    </w:p>
    <w:p w:rsidR="00D219D9" w:rsidRPr="005911E2" w:rsidRDefault="00D219D9" w:rsidP="00D219D9">
      <w:pPr>
        <w:pStyle w:val="BodyText"/>
      </w:pPr>
      <w:bookmarkStart w:id="1121" w:name="_Toc67898428"/>
      <w:bookmarkStart w:id="1122" w:name="_Toc255912969"/>
      <w:bookmarkStart w:id="1123" w:name="_Toc256071763"/>
      <w:r w:rsidRPr="005911E2">
        <w:t xml:space="preserve">This chapter outlines the findings </w:t>
      </w:r>
      <w:r w:rsidR="00806228">
        <w:t>from</w:t>
      </w:r>
      <w:r w:rsidR="00806228" w:rsidRPr="005911E2">
        <w:t xml:space="preserve"> </w:t>
      </w:r>
      <w:r w:rsidR="00806228">
        <w:t xml:space="preserve">the </w:t>
      </w:r>
      <w:r w:rsidRPr="005911E2">
        <w:t>analysis of all the open-end</w:t>
      </w:r>
      <w:r w:rsidR="00A9403F">
        <w:t>ed</w:t>
      </w:r>
      <w:r w:rsidRPr="005911E2">
        <w:t xml:space="preserve"> questions in the main </w:t>
      </w:r>
      <w:r w:rsidR="001B3FD3">
        <w:t xml:space="preserve">LSNIM </w:t>
      </w:r>
      <w:r w:rsidRPr="005911E2">
        <w:t>survey and the questions asked in the additional qualitative survey gathered in the</w:t>
      </w:r>
      <w:r w:rsidR="006435C8">
        <w:t xml:space="preserve"> Northern Territory </w:t>
      </w:r>
      <w:r w:rsidRPr="005911E2">
        <w:t xml:space="preserve">locations. </w:t>
      </w:r>
      <w:bookmarkStart w:id="1124" w:name="_Toc284333744"/>
      <w:r w:rsidRPr="005911E2">
        <w:t xml:space="preserve">As described in Appendix </w:t>
      </w:r>
      <w:r w:rsidR="0027077D">
        <w:t>D</w:t>
      </w:r>
      <w:r w:rsidRPr="005911E2">
        <w:t xml:space="preserve">, the qualitative interviews mainly focused on the participants’ experience of the BasicsCard and how </w:t>
      </w:r>
      <w:r w:rsidR="00F878E4">
        <w:t>income management</w:t>
      </w:r>
      <w:r w:rsidRPr="005911E2">
        <w:t xml:space="preserve"> had impacted on them. </w:t>
      </w:r>
      <w:r w:rsidR="00A9403F">
        <w:t xml:space="preserve">The quantitative survey also included </w:t>
      </w:r>
      <w:r w:rsidRPr="005911E2">
        <w:t>a number of open ended questions. This chapter combines the responses to the extended survey with the qualitative responses to the main survey.</w:t>
      </w:r>
    </w:p>
    <w:p w:rsidR="00D219D9" w:rsidRPr="005911E2" w:rsidRDefault="00D219D9" w:rsidP="00D219D9">
      <w:pPr>
        <w:pStyle w:val="BodyText"/>
      </w:pPr>
      <w:r w:rsidRPr="005911E2">
        <w:t xml:space="preserve">The chapter begins with an overview of the broad perceptions about </w:t>
      </w:r>
      <w:r w:rsidR="00F878E4">
        <w:t>income management</w:t>
      </w:r>
      <w:r w:rsidRPr="005911E2">
        <w:t xml:space="preserve">. This is followed by a discussion of participants’ understanding of why they were subject to </w:t>
      </w:r>
      <w:r w:rsidR="00F878E4">
        <w:t>income management</w:t>
      </w:r>
      <w:r w:rsidRPr="005911E2">
        <w:t xml:space="preserve"> and their experiences of consultation. The frustrations of day-to-day living while being subject to </w:t>
      </w:r>
      <w:r w:rsidR="00F878E4">
        <w:t>income management</w:t>
      </w:r>
      <w:r w:rsidRPr="005911E2">
        <w:t xml:space="preserve"> is then discussed, followed by some insights into the perceived impacts of </w:t>
      </w:r>
      <w:r w:rsidR="00F878E4">
        <w:t>income management</w:t>
      </w:r>
      <w:r w:rsidRPr="005911E2">
        <w:t xml:space="preserve"> on participants and their families. </w:t>
      </w:r>
    </w:p>
    <w:p w:rsidR="00D219D9" w:rsidRPr="005911E2" w:rsidRDefault="009D7925" w:rsidP="00D219D9">
      <w:pPr>
        <w:pStyle w:val="BodyText"/>
      </w:pPr>
      <w:r>
        <w:t>W</w:t>
      </w:r>
      <w:r w:rsidR="00D219D9" w:rsidRPr="005911E2">
        <w:t xml:space="preserve">hile participants in the </w:t>
      </w:r>
      <w:r>
        <w:t>c</w:t>
      </w:r>
      <w:r w:rsidR="00D219D9" w:rsidRPr="005911E2">
        <w:t xml:space="preserve">ontrast sites did not take part in the extended qualitative interviews, some of these participants spontaneously provided opinions about </w:t>
      </w:r>
      <w:r w:rsidR="00F878E4">
        <w:t>income management</w:t>
      </w:r>
      <w:r w:rsidR="00D219D9" w:rsidRPr="005911E2">
        <w:t xml:space="preserve"> to the fieldworkers.</w:t>
      </w:r>
      <w:r w:rsidR="00B62B2D">
        <w:t xml:space="preserve"> </w:t>
      </w:r>
      <w:r w:rsidR="00D219D9" w:rsidRPr="005911E2">
        <w:t xml:space="preserve">These are also </w:t>
      </w:r>
      <w:r>
        <w:t>included</w:t>
      </w:r>
      <w:r w:rsidRPr="005911E2">
        <w:t xml:space="preserve"> </w:t>
      </w:r>
      <w:r w:rsidR="00D219D9" w:rsidRPr="005911E2">
        <w:t xml:space="preserve">here. </w:t>
      </w:r>
    </w:p>
    <w:p w:rsidR="00D219D9" w:rsidRPr="005911E2" w:rsidRDefault="00D219D9" w:rsidP="00D219D9">
      <w:pPr>
        <w:pStyle w:val="BodyText"/>
      </w:pPr>
      <w:r w:rsidRPr="005911E2">
        <w:t>In presenting these results it is noted that:</w:t>
      </w:r>
    </w:p>
    <w:p w:rsidR="009D7925" w:rsidRDefault="00D219D9" w:rsidP="00051CDC">
      <w:pPr>
        <w:pStyle w:val="ListBullet"/>
      </w:pPr>
      <w:r w:rsidRPr="005911E2">
        <w:t xml:space="preserve">The focus of this chapter is on seeking to identify the diversity of views – and not the balance. The more specific questions of the balance of views on specific issues has been considered in the previous chapter and will be addressed in the next wave of the LSNIM. </w:t>
      </w:r>
    </w:p>
    <w:p w:rsidR="00D219D9" w:rsidRPr="005911E2" w:rsidRDefault="00D219D9" w:rsidP="00051CDC">
      <w:pPr>
        <w:pStyle w:val="ListBullet"/>
      </w:pPr>
      <w:r w:rsidRPr="005911E2">
        <w:t xml:space="preserve">In general those who favoured </w:t>
      </w:r>
      <w:r w:rsidR="00F878E4">
        <w:t>income management</w:t>
      </w:r>
      <w:r w:rsidRPr="005911E2">
        <w:t xml:space="preserve"> agreed that its main benefits were to reduce financial harassment and to ensure that a portion of funds were ‘safe’ and able to be spent on essentials. On the other hand</w:t>
      </w:r>
      <w:r w:rsidR="009D7925">
        <w:t>,</w:t>
      </w:r>
      <w:r w:rsidRPr="005911E2">
        <w:t xml:space="preserve"> those who opposed </w:t>
      </w:r>
      <w:r w:rsidR="00F878E4">
        <w:t>income management</w:t>
      </w:r>
      <w:r w:rsidRPr="005911E2">
        <w:t xml:space="preserve"> expressed a wide range of </w:t>
      </w:r>
      <w:r w:rsidR="001B3FD3">
        <w:t xml:space="preserve">different </w:t>
      </w:r>
      <w:r w:rsidRPr="005911E2">
        <w:t>views about the principle</w:t>
      </w:r>
      <w:r w:rsidR="009D7925">
        <w:t>s</w:t>
      </w:r>
      <w:r w:rsidRPr="005911E2">
        <w:t xml:space="preserve"> of </w:t>
      </w:r>
      <w:r w:rsidR="00F878E4">
        <w:t>income management</w:t>
      </w:r>
      <w:r w:rsidRPr="005911E2">
        <w:t>, its targeting</w:t>
      </w:r>
      <w:r w:rsidR="009D7925">
        <w:t>,</w:t>
      </w:r>
      <w:r w:rsidRPr="005911E2">
        <w:t xml:space="preserve"> and its operation. To capture this diversity of views</w:t>
      </w:r>
      <w:r w:rsidR="001B3FD3">
        <w:t>, and because in many cases people who might be supportive of some aspects of income management were often critical of others,</w:t>
      </w:r>
      <w:r w:rsidRPr="005911E2">
        <w:t xml:space="preserve"> there are inevitably more quotes opposing </w:t>
      </w:r>
      <w:r w:rsidR="00F878E4">
        <w:t>income management</w:t>
      </w:r>
      <w:r w:rsidRPr="005911E2">
        <w:t xml:space="preserve"> than supporting </w:t>
      </w:r>
      <w:r w:rsidR="00F878E4">
        <w:t>income management</w:t>
      </w:r>
      <w:r w:rsidRPr="005911E2">
        <w:t xml:space="preserve"> in this chapter</w:t>
      </w:r>
      <w:r w:rsidR="00FA5A6B">
        <w:t>.</w:t>
      </w:r>
      <w:r w:rsidR="00C96922">
        <w:rPr>
          <w:rStyle w:val="FootnoteReference"/>
        </w:rPr>
        <w:footnoteReference w:id="127"/>
      </w:r>
    </w:p>
    <w:p w:rsidR="00D219D9" w:rsidRPr="005911E2" w:rsidRDefault="009D7925" w:rsidP="00051CDC">
      <w:pPr>
        <w:pStyle w:val="ListBullet"/>
      </w:pPr>
      <w:r>
        <w:t>As</w:t>
      </w:r>
      <w:r w:rsidR="00D219D9" w:rsidRPr="005911E2">
        <w:t xml:space="preserve"> the survey was overweighted to non-Indigenous participants</w:t>
      </w:r>
      <w:r>
        <w:t>,</w:t>
      </w:r>
      <w:r w:rsidR="00D219D9" w:rsidRPr="005911E2">
        <w:t xml:space="preserve"> the representation of views by non-Indigenous participants tends to be disproportionate to the share of </w:t>
      </w:r>
      <w:r>
        <w:t xml:space="preserve">non-Indigenous </w:t>
      </w:r>
      <w:r w:rsidR="00D219D9" w:rsidRPr="005911E2">
        <w:t xml:space="preserve">people on </w:t>
      </w:r>
      <w:r w:rsidR="00F878E4">
        <w:t>income management</w:t>
      </w:r>
      <w:r w:rsidR="00D219D9" w:rsidRPr="005911E2">
        <w:t>.</w:t>
      </w:r>
    </w:p>
    <w:p w:rsidR="00D219D9" w:rsidRPr="005911E2" w:rsidRDefault="00D219D9" w:rsidP="00D219D9">
      <w:pPr>
        <w:pStyle w:val="Heading3"/>
      </w:pPr>
      <w:bookmarkStart w:id="1125" w:name="_Toc322084384"/>
      <w:bookmarkEnd w:id="1124"/>
      <w:r w:rsidRPr="005911E2">
        <w:t xml:space="preserve">Qualitative </w:t>
      </w:r>
      <w:r w:rsidR="00F86AB1">
        <w:t>r</w:t>
      </w:r>
      <w:r w:rsidRPr="005911E2">
        <w:t xml:space="preserve">esponses in the </w:t>
      </w:r>
      <w:r w:rsidR="00F86AB1">
        <w:t>s</w:t>
      </w:r>
      <w:r w:rsidRPr="005911E2">
        <w:t>urvey</w:t>
      </w:r>
      <w:bookmarkEnd w:id="1125"/>
    </w:p>
    <w:p w:rsidR="00D219D9" w:rsidRPr="005911E2" w:rsidRDefault="00D219D9" w:rsidP="00D219D9">
      <w:pPr>
        <w:pStyle w:val="BodyText"/>
      </w:pPr>
      <w:r w:rsidRPr="005911E2">
        <w:t xml:space="preserve">The longer qualitative interview was conducted with 95 respondents. There were a further 90 participants who undertook the shorter interview but who provided some qualitative data in the open ended components of the survey. </w:t>
      </w:r>
      <w:r w:rsidR="009D7925">
        <w:t>A</w:t>
      </w:r>
      <w:r w:rsidRPr="005911E2">
        <w:t xml:space="preserve">t least some qualitative data is available from 185 respondents. This chapter primarily draws on data from the 95 respondents who undertook the full qualitative </w:t>
      </w:r>
      <w:r w:rsidR="00576705" w:rsidRPr="005911E2">
        <w:t>interview;</w:t>
      </w:r>
      <w:r w:rsidRPr="005911E2">
        <w:t xml:space="preserve"> however, where appropriate</w:t>
      </w:r>
      <w:r w:rsidR="009D7925">
        <w:t>,</w:t>
      </w:r>
      <w:r w:rsidRPr="005911E2">
        <w:t xml:space="preserve"> it also uses the additional qualitative data provided by those doing the stand alone quantitative interviews.</w:t>
      </w:r>
    </w:p>
    <w:p w:rsidR="00D96A58" w:rsidRDefault="00D219D9">
      <w:pPr>
        <w:pStyle w:val="Heading2"/>
      </w:pPr>
      <w:bookmarkStart w:id="1126" w:name="_Toc322084378"/>
      <w:bookmarkStart w:id="1127" w:name="_Toc328601539"/>
      <w:bookmarkStart w:id="1128" w:name="_Toc329870420"/>
      <w:bookmarkStart w:id="1129" w:name="_Toc335915806"/>
      <w:bookmarkEnd w:id="1121"/>
      <w:bookmarkEnd w:id="1122"/>
      <w:bookmarkEnd w:id="1123"/>
      <w:r w:rsidRPr="005911E2">
        <w:t xml:space="preserve">Broad </w:t>
      </w:r>
      <w:r w:rsidR="00F86AB1">
        <w:t>v</w:t>
      </w:r>
      <w:r w:rsidRPr="005911E2">
        <w:t xml:space="preserve">iews of </w:t>
      </w:r>
      <w:bookmarkEnd w:id="1126"/>
      <w:r w:rsidRPr="005911E2">
        <w:t>NIM</w:t>
      </w:r>
      <w:bookmarkEnd w:id="1127"/>
      <w:bookmarkEnd w:id="1128"/>
      <w:bookmarkEnd w:id="1129"/>
    </w:p>
    <w:p w:rsidR="00D219D9" w:rsidRPr="005911E2" w:rsidRDefault="00D219D9" w:rsidP="00D219D9">
      <w:pPr>
        <w:pStyle w:val="BodyText"/>
      </w:pPr>
      <w:r w:rsidRPr="005911E2">
        <w:t xml:space="preserve">Qualitative responses from the surveys of people subject to NIM showed that there was a diversity of views about </w:t>
      </w:r>
      <w:r w:rsidR="00425940">
        <w:t>income management</w:t>
      </w:r>
      <w:r w:rsidRPr="005911E2">
        <w:t xml:space="preserve">. Consistent with the findings from the quantitative survey, the qualitative responses tended to fall into one of three broad categories: </w:t>
      </w:r>
    </w:p>
    <w:p w:rsidR="00D219D9" w:rsidRPr="005911E2" w:rsidRDefault="00D219D9" w:rsidP="00051CDC">
      <w:pPr>
        <w:pStyle w:val="ListBullet"/>
      </w:pPr>
      <w:r w:rsidRPr="005911E2">
        <w:t>those who saw NIM as being highly beneficial to themselves</w:t>
      </w:r>
    </w:p>
    <w:p w:rsidR="00D219D9" w:rsidRPr="005911E2" w:rsidRDefault="00425940" w:rsidP="00051CDC">
      <w:pPr>
        <w:pStyle w:val="ListBullet"/>
      </w:pPr>
      <w:r>
        <w:t>those</w:t>
      </w:r>
      <w:r w:rsidR="00D219D9" w:rsidRPr="005911E2">
        <w:t xml:space="preserve"> who saw </w:t>
      </w:r>
      <w:r w:rsidR="00F878E4">
        <w:t>income management</w:t>
      </w:r>
      <w:r w:rsidR="00D219D9" w:rsidRPr="005911E2">
        <w:t xml:space="preserve"> as being both good and bad in their own experience (or not good for them personally but good for others)</w:t>
      </w:r>
      <w:r w:rsidR="00BD10FF">
        <w:t>;</w:t>
      </w:r>
      <w:r w:rsidR="00D219D9" w:rsidRPr="005911E2">
        <w:t xml:space="preserve"> </w:t>
      </w:r>
      <w:r w:rsidR="00BD10FF">
        <w:t>t</w:t>
      </w:r>
      <w:r w:rsidR="00C96922">
        <w:t>his group also contained many who, while feeling somewhat put out by being income managed, found it had little real impact on their lives.</w:t>
      </w:r>
    </w:p>
    <w:p w:rsidR="00D219D9" w:rsidRPr="005911E2" w:rsidRDefault="00D219D9" w:rsidP="00051CDC">
      <w:pPr>
        <w:pStyle w:val="ListBullet"/>
      </w:pPr>
      <w:r w:rsidRPr="005911E2">
        <w:t xml:space="preserve">those who held very negative views about NIM overall. </w:t>
      </w:r>
    </w:p>
    <w:p w:rsidR="00D219D9" w:rsidRPr="005911E2" w:rsidRDefault="00D219D9" w:rsidP="00D219D9">
      <w:pPr>
        <w:pStyle w:val="Heading3"/>
      </w:pPr>
      <w:r w:rsidRPr="005911E2">
        <w:t xml:space="preserve">Positive perspectives on </w:t>
      </w:r>
      <w:r w:rsidR="00F878E4">
        <w:t>income management</w:t>
      </w:r>
    </w:p>
    <w:p w:rsidR="00D219D9" w:rsidRPr="005911E2" w:rsidRDefault="00D219D9" w:rsidP="00D219D9">
      <w:pPr>
        <w:pStyle w:val="BodyText"/>
      </w:pPr>
      <w:r w:rsidRPr="005911E2">
        <w:t xml:space="preserve">People who expressed positive views about </w:t>
      </w:r>
      <w:r w:rsidR="00F878E4">
        <w:t xml:space="preserve">income </w:t>
      </w:r>
      <w:r w:rsidR="00B5351D">
        <w:t>management</w:t>
      </w:r>
      <w:r w:rsidRPr="005911E2">
        <w:t xml:space="preserve"> generally saw it as having enabled them to better provide for their families’ needs. In particular, many participants spoke about the increased food security, health of children</w:t>
      </w:r>
      <w:r w:rsidR="00425940">
        <w:t>,</w:t>
      </w:r>
      <w:r w:rsidRPr="005911E2">
        <w:t xml:space="preserve"> and improvement to general wellbeing. In some cases</w:t>
      </w:r>
      <w:r w:rsidR="00425940">
        <w:t>, they</w:t>
      </w:r>
      <w:r w:rsidRPr="005911E2">
        <w:t xml:space="preserve"> previously felt negative</w:t>
      </w:r>
      <w:r w:rsidR="00425940">
        <w:t>,</w:t>
      </w:r>
      <w:r w:rsidRPr="005911E2">
        <w:t xml:space="preserve"> but having experienced </w:t>
      </w:r>
      <w:r w:rsidR="00F878E4">
        <w:t>income management</w:t>
      </w:r>
      <w:r w:rsidR="00425940">
        <w:t>,</w:t>
      </w:r>
      <w:r w:rsidRPr="005911E2">
        <w:t xml:space="preserve"> they now felt there were benefits to having part of the</w:t>
      </w:r>
      <w:r w:rsidR="00BD10FF">
        <w:t>ir</w:t>
      </w:r>
      <w:r w:rsidRPr="005911E2">
        <w:t xml:space="preserve"> income support payments subject to </w:t>
      </w:r>
      <w:r w:rsidR="00F878E4">
        <w:t>income management</w:t>
      </w:r>
      <w:r w:rsidRPr="005911E2">
        <w:t>.</w:t>
      </w:r>
    </w:p>
    <w:p w:rsidR="00D219D9" w:rsidRPr="005911E2" w:rsidRDefault="00D219D9" w:rsidP="00D219D9">
      <w:pPr>
        <w:pStyle w:val="miniquote"/>
      </w:pPr>
      <w:r w:rsidRPr="005911E2">
        <w:t>I wasn't asked initially but I was taken off after six months or a year and then I asked to be put back on it ‘cause it’s easier to handle the money and all of my bills are paid for, for the first time ever I know how much money is left and all my bills are paid. It makes me pretty happy.</w:t>
      </w:r>
      <w:r w:rsidR="00B62B2D">
        <w:t xml:space="preserve"> </w:t>
      </w:r>
    </w:p>
    <w:p w:rsidR="00D219D9" w:rsidRPr="005911E2" w:rsidRDefault="000401CF" w:rsidP="00D219D9">
      <w:pPr>
        <w:pStyle w:val="mininame"/>
      </w:pPr>
      <w:r>
        <w:t xml:space="preserve">Non-Indigenous </w:t>
      </w:r>
      <w:r w:rsidR="00E010D1">
        <w:t>man,</w:t>
      </w:r>
      <w:r w:rsidR="00D219D9" w:rsidRPr="005911E2">
        <w:t xml:space="preserve"> Darwin </w:t>
      </w:r>
    </w:p>
    <w:p w:rsidR="00D219D9" w:rsidRPr="005911E2" w:rsidRDefault="00D219D9" w:rsidP="00D219D9">
      <w:pPr>
        <w:pStyle w:val="miniquote"/>
      </w:pPr>
      <w:r w:rsidRPr="005911E2">
        <w:t>At first I wanted to get off but now I am used to it. My family can't demand my money. It has got better as time has gone by.</w:t>
      </w:r>
    </w:p>
    <w:p w:rsidR="00D219D9" w:rsidRPr="005911E2" w:rsidRDefault="000401CF" w:rsidP="00D219D9">
      <w:pPr>
        <w:pStyle w:val="mininame"/>
      </w:pPr>
      <w:r>
        <w:t xml:space="preserve">Indigenous </w:t>
      </w:r>
      <w:r w:rsidR="00E010D1">
        <w:t>woman,</w:t>
      </w:r>
      <w:r w:rsidR="00D219D9" w:rsidRPr="005911E2">
        <w:t xml:space="preserve"> Alice Springs</w:t>
      </w:r>
    </w:p>
    <w:p w:rsidR="00D219D9" w:rsidRPr="005911E2" w:rsidRDefault="00D219D9" w:rsidP="00D219D9">
      <w:pPr>
        <w:pStyle w:val="miniquote"/>
      </w:pPr>
      <w:r w:rsidRPr="005911E2">
        <w:t>I don’t mind the BasicsCard at least it’s easy you got your money in each account the money in the BasicsCard is for my food, clothes, medicine and money I get in my card if for other things</w:t>
      </w:r>
      <w:r w:rsidR="002A53BE">
        <w:t>.</w:t>
      </w:r>
    </w:p>
    <w:p w:rsidR="00D219D9" w:rsidRPr="005911E2" w:rsidRDefault="000401CF" w:rsidP="00D219D9">
      <w:pPr>
        <w:pStyle w:val="mininame"/>
      </w:pPr>
      <w:r>
        <w:t xml:space="preserve">Indigenous </w:t>
      </w:r>
      <w:r w:rsidR="00E010D1">
        <w:t>woman,</w:t>
      </w:r>
      <w:r w:rsidR="00D219D9" w:rsidRPr="005911E2">
        <w:t xml:space="preserve"> Darwin</w:t>
      </w:r>
    </w:p>
    <w:p w:rsidR="00D219D9" w:rsidRPr="005911E2" w:rsidRDefault="00D219D9" w:rsidP="00D219D9">
      <w:pPr>
        <w:pStyle w:val="BodyText"/>
      </w:pPr>
      <w:r w:rsidRPr="005911E2">
        <w:t xml:space="preserve">Having a greater sense of control over money was an important reason why they viewed </w:t>
      </w:r>
      <w:r w:rsidR="00F878E4">
        <w:t>income management</w:t>
      </w:r>
      <w:r w:rsidRPr="005911E2">
        <w:t xml:space="preserve"> positively.</w:t>
      </w:r>
    </w:p>
    <w:p w:rsidR="00D219D9" w:rsidRPr="005911E2" w:rsidRDefault="00D219D9" w:rsidP="00D219D9">
      <w:pPr>
        <w:pStyle w:val="miniquote"/>
      </w:pPr>
      <w:r w:rsidRPr="005911E2">
        <w:t>In the past my money would come and it would all be gone and the next day I would be starving but now I have more control and can save money for food.</w:t>
      </w:r>
    </w:p>
    <w:p w:rsidR="00D219D9" w:rsidRPr="005911E2" w:rsidRDefault="000401CF" w:rsidP="00D219D9">
      <w:pPr>
        <w:pStyle w:val="mininame"/>
      </w:pPr>
      <w:r>
        <w:t xml:space="preserve">Indigenous </w:t>
      </w:r>
      <w:r w:rsidR="00E010D1">
        <w:t>woman,</w:t>
      </w:r>
      <w:r w:rsidR="00D219D9" w:rsidRPr="005911E2">
        <w:t xml:space="preserve"> Remote NT</w:t>
      </w:r>
    </w:p>
    <w:p w:rsidR="00D219D9" w:rsidRPr="005911E2" w:rsidRDefault="00D219D9" w:rsidP="00D219D9">
      <w:pPr>
        <w:pStyle w:val="BodyText"/>
      </w:pPr>
      <w:r w:rsidRPr="005911E2">
        <w:t xml:space="preserve">For some, the limits </w:t>
      </w:r>
      <w:r w:rsidR="00F878E4">
        <w:t>income management</w:t>
      </w:r>
      <w:r w:rsidRPr="005911E2">
        <w:t xml:space="preserve"> placed </w:t>
      </w:r>
      <w:r w:rsidR="00BD10FF">
        <w:t xml:space="preserve">on </w:t>
      </w:r>
      <w:r w:rsidRPr="005911E2">
        <w:t xml:space="preserve">their ability to be able to buy alcohol and drugs was seen as a positive, allowing for food and other essentials to be purchased for themselves or their families. In some cases participants see </w:t>
      </w:r>
      <w:r w:rsidR="00F878E4">
        <w:t>income management</w:t>
      </w:r>
      <w:r w:rsidRPr="005911E2">
        <w:t xml:space="preserve"> as contributing to a reduction in alcohol or drug misuse.</w:t>
      </w:r>
    </w:p>
    <w:p w:rsidR="00D219D9" w:rsidRPr="005911E2" w:rsidRDefault="00D219D9" w:rsidP="00D219D9">
      <w:pPr>
        <w:pStyle w:val="miniquote"/>
      </w:pPr>
      <w:r w:rsidRPr="005911E2">
        <w:t>I used to get paid and spend my money on drink. I used to be a heavy drinker but now I have the BasicsCard I have not been drinking. I only drink on special occasions.</w:t>
      </w:r>
      <w:r w:rsidR="00B62B2D">
        <w:t xml:space="preserve"> </w:t>
      </w:r>
      <w:r w:rsidR="00576705">
        <w:t>‘</w:t>
      </w:r>
      <w:r w:rsidRPr="005911E2">
        <w:t>Cause I know I have food money and kids can’t always get things I like it (</w:t>
      </w:r>
      <w:r w:rsidR="00F878E4">
        <w:t>income management</w:t>
      </w:r>
      <w:r w:rsidRPr="005911E2">
        <w:t>).</w:t>
      </w:r>
    </w:p>
    <w:p w:rsidR="00D219D9" w:rsidRPr="005911E2" w:rsidRDefault="000401CF" w:rsidP="00D219D9">
      <w:pPr>
        <w:pStyle w:val="mininame"/>
      </w:pPr>
      <w:r>
        <w:t xml:space="preserve">Indigenous </w:t>
      </w:r>
      <w:r w:rsidR="00E010D1">
        <w:t>woman,</w:t>
      </w:r>
      <w:r w:rsidR="00D219D9" w:rsidRPr="005911E2">
        <w:t xml:space="preserve"> Darwin</w:t>
      </w:r>
    </w:p>
    <w:p w:rsidR="00D219D9" w:rsidRPr="005911E2" w:rsidRDefault="00D219D9" w:rsidP="00D219D9">
      <w:pPr>
        <w:pStyle w:val="miniquote"/>
      </w:pPr>
      <w:r w:rsidRPr="005911E2">
        <w:t>I was associated with an intravenous user and I was an intravenous user. I am recovered two years now ...</w:t>
      </w:r>
      <w:r w:rsidR="00B62B2D">
        <w:t xml:space="preserve"> </w:t>
      </w:r>
      <w:r w:rsidRPr="005911E2">
        <w:t>I have done a money management course. I even get a monthly statement showing what I have spent my money on. I tried (to get an exemption) at the start but my social worker advised me to stay on it (</w:t>
      </w:r>
      <w:r w:rsidR="00F878E4">
        <w:t>income management</w:t>
      </w:r>
      <w:r w:rsidRPr="005911E2">
        <w:t>).</w:t>
      </w:r>
      <w:r w:rsidR="00B62B2D">
        <w:t xml:space="preserve"> </w:t>
      </w:r>
      <w:r w:rsidRPr="005911E2">
        <w:t>I have recommended that (</w:t>
      </w:r>
      <w:r w:rsidR="00F878E4">
        <w:t>income management</w:t>
      </w:r>
      <w:r w:rsidRPr="005911E2">
        <w:t>) to a lot of people - especially people I know with drug abusing partners.</w:t>
      </w:r>
    </w:p>
    <w:p w:rsidR="00D219D9" w:rsidRPr="005911E2" w:rsidRDefault="000401CF" w:rsidP="00D219D9">
      <w:pPr>
        <w:pStyle w:val="mininame"/>
      </w:pPr>
      <w:r>
        <w:t xml:space="preserve">Non-Indigenous </w:t>
      </w:r>
      <w:r w:rsidR="00E010D1">
        <w:t>woman,</w:t>
      </w:r>
      <w:r w:rsidR="00D219D9" w:rsidRPr="005911E2">
        <w:t xml:space="preserve"> Darwin </w:t>
      </w:r>
    </w:p>
    <w:p w:rsidR="00D219D9" w:rsidRPr="005911E2" w:rsidRDefault="00D219D9" w:rsidP="00D219D9">
      <w:pPr>
        <w:pStyle w:val="miniquote"/>
      </w:pPr>
      <w:r w:rsidRPr="005911E2">
        <w:t>Helped me to manage my money and helped me with my problems. When I had cash I would buy alcohol</w:t>
      </w:r>
      <w:r w:rsidR="00C7421D">
        <w:t>.</w:t>
      </w:r>
      <w:r w:rsidRPr="005911E2">
        <w:t xml:space="preserve"> </w:t>
      </w:r>
    </w:p>
    <w:p w:rsidR="00D219D9" w:rsidRPr="005911E2" w:rsidRDefault="000401CF" w:rsidP="00D219D9">
      <w:pPr>
        <w:pStyle w:val="mininame"/>
      </w:pPr>
      <w:r>
        <w:t xml:space="preserve">Non-Indigenous </w:t>
      </w:r>
      <w:r w:rsidR="00E010D1">
        <w:t>man,</w:t>
      </w:r>
      <w:r w:rsidR="00D219D9" w:rsidRPr="005911E2">
        <w:t xml:space="preserve"> Alice </w:t>
      </w:r>
      <w:r>
        <w:t>Springs</w:t>
      </w:r>
    </w:p>
    <w:p w:rsidR="00D219D9" w:rsidRPr="005911E2" w:rsidRDefault="00D219D9" w:rsidP="00D219D9">
      <w:pPr>
        <w:pStyle w:val="BodyText"/>
      </w:pPr>
      <w:r w:rsidRPr="005911E2">
        <w:t>For others the positive impacts were expressed in terms of the community more broadly.</w:t>
      </w:r>
    </w:p>
    <w:p w:rsidR="00D219D9" w:rsidRPr="005911E2" w:rsidRDefault="00D219D9" w:rsidP="00D219D9">
      <w:pPr>
        <w:pStyle w:val="miniquote"/>
      </w:pPr>
      <w:r w:rsidRPr="005911E2">
        <w:t>The green card (made the difference). Before when everybody use</w:t>
      </w:r>
      <w:r w:rsidR="00C7421D">
        <w:t>d</w:t>
      </w:r>
      <w:r w:rsidRPr="005911E2">
        <w:t xml:space="preserve"> to get cash they used to spend it on grog and cards and they used to go hungry all the time and their kids to</w:t>
      </w:r>
      <w:r w:rsidR="00C7421D">
        <w:t>o</w:t>
      </w:r>
      <w:r w:rsidRPr="005911E2">
        <w:t>. Nothing now because everybody got the BasicsCards</w:t>
      </w:r>
      <w:r w:rsidR="00C7421D">
        <w:t>.</w:t>
      </w:r>
      <w:r w:rsidRPr="005911E2">
        <w:t xml:space="preserve"> </w:t>
      </w:r>
    </w:p>
    <w:p w:rsidR="00D219D9" w:rsidRPr="005911E2" w:rsidRDefault="000401CF" w:rsidP="00D219D9">
      <w:pPr>
        <w:pStyle w:val="mininame"/>
      </w:pPr>
      <w:r>
        <w:t xml:space="preserve">Indigenous </w:t>
      </w:r>
      <w:r w:rsidR="00E010D1">
        <w:t>woman,</w:t>
      </w:r>
      <w:r w:rsidR="00D219D9" w:rsidRPr="005911E2">
        <w:t xml:space="preserve"> Remote NT </w:t>
      </w:r>
    </w:p>
    <w:p w:rsidR="00D219D9" w:rsidRPr="005911E2" w:rsidRDefault="00D219D9" w:rsidP="00D219D9">
      <w:pPr>
        <w:pStyle w:val="miniquote"/>
      </w:pPr>
      <w:r w:rsidRPr="005911E2">
        <w:t>We can buy only certain things with the BasicsCard and not buy any grog or Gunja. BasicsCard, being income managed has slowed a lot of people down on spending their money on grog, gambling and drugs.</w:t>
      </w:r>
    </w:p>
    <w:p w:rsidR="00D219D9" w:rsidRPr="005911E2" w:rsidRDefault="000401CF" w:rsidP="00D219D9">
      <w:pPr>
        <w:pStyle w:val="mininame"/>
      </w:pPr>
      <w:r>
        <w:t xml:space="preserve">Indigenous </w:t>
      </w:r>
      <w:r w:rsidR="00E010D1">
        <w:t xml:space="preserve">woman, </w:t>
      </w:r>
      <w:r w:rsidR="00D219D9" w:rsidRPr="005911E2">
        <w:t>Alice Springs</w:t>
      </w:r>
    </w:p>
    <w:p w:rsidR="00D219D9" w:rsidRPr="005911E2" w:rsidRDefault="00D219D9" w:rsidP="00D219D9">
      <w:pPr>
        <w:pStyle w:val="Heading3"/>
      </w:pPr>
      <w:r w:rsidRPr="005911E2">
        <w:t>Mixed views</w:t>
      </w:r>
    </w:p>
    <w:p w:rsidR="00D219D9" w:rsidRPr="005911E2" w:rsidRDefault="00D219D9" w:rsidP="00D219D9">
      <w:pPr>
        <w:pStyle w:val="BodyText"/>
      </w:pPr>
      <w:r w:rsidRPr="005911E2">
        <w:t xml:space="preserve">Some participants had more mixed views about </w:t>
      </w:r>
      <w:r w:rsidR="00F878E4">
        <w:t>income management</w:t>
      </w:r>
      <w:r w:rsidRPr="005911E2">
        <w:t xml:space="preserve">. These included those who experienced both positive and negative impacts of </w:t>
      </w:r>
      <w:r w:rsidR="002955BA">
        <w:t>income management</w:t>
      </w:r>
      <w:r w:rsidRPr="005911E2">
        <w:t>.</w:t>
      </w:r>
    </w:p>
    <w:p w:rsidR="00D219D9" w:rsidRPr="005911E2" w:rsidRDefault="00D219D9" w:rsidP="00D219D9">
      <w:pPr>
        <w:pStyle w:val="miniquote"/>
      </w:pPr>
      <w:r w:rsidRPr="005911E2">
        <w:t>I don't have any money problems; I'm strong with my money and how much I give away to families. It's (</w:t>
      </w:r>
      <w:r w:rsidR="00F878E4">
        <w:t>income management</w:t>
      </w:r>
      <w:r w:rsidRPr="005911E2">
        <w:t>) a good thing, but still the same as I always had control over my money during the intervention and now. It helps me a lot because of my age, easy to maintain (pay bills). But it can be harder because we only have money to survive till the next pay week.</w:t>
      </w:r>
      <w:r w:rsidR="00384A7D">
        <w:t xml:space="preserve"> </w:t>
      </w:r>
      <w:r w:rsidRPr="005911E2">
        <w:t>Can't afford to give money away to support in the grieving process and ceremonial. Can save you from starving cause you got the BasicsCard to fall back on when you're short</w:t>
      </w:r>
      <w:r w:rsidR="00624976">
        <w:t>.</w:t>
      </w:r>
    </w:p>
    <w:p w:rsidR="00D219D9" w:rsidRPr="005911E2" w:rsidRDefault="000401CF" w:rsidP="00D219D9">
      <w:pPr>
        <w:pStyle w:val="mininame"/>
      </w:pPr>
      <w:r w:rsidRPr="000401CF">
        <w:t xml:space="preserve">Indigenous </w:t>
      </w:r>
      <w:r w:rsidR="00E010D1">
        <w:t>woman,</w:t>
      </w:r>
      <w:r w:rsidRPr="000401CF">
        <w:t xml:space="preserve"> </w:t>
      </w:r>
      <w:r w:rsidR="00D219D9" w:rsidRPr="005911E2">
        <w:t xml:space="preserve">Alice Springs </w:t>
      </w:r>
    </w:p>
    <w:p w:rsidR="00D219D9" w:rsidRPr="005911E2" w:rsidRDefault="00D219D9" w:rsidP="00D219D9">
      <w:pPr>
        <w:pStyle w:val="miniquote"/>
        <w:rPr>
          <w:lang w:eastAsia="en-AU" w:bidi="ar-SA"/>
        </w:rPr>
      </w:pPr>
      <w:r w:rsidRPr="005911E2">
        <w:rPr>
          <w:lang w:eastAsia="en-AU" w:bidi="ar-SA"/>
        </w:rPr>
        <w:t>Sometimes I feel good about being on it because when I go shopping when people ask for money I show them the green card and they just walk away. But then I feel ashamed when I line up in the supermarket and ever</w:t>
      </w:r>
      <w:r w:rsidR="00BD10FF">
        <w:rPr>
          <w:lang w:eastAsia="en-AU" w:bidi="ar-SA"/>
        </w:rPr>
        <w:t>y</w:t>
      </w:r>
      <w:r w:rsidRPr="005911E2">
        <w:rPr>
          <w:lang w:eastAsia="en-AU" w:bidi="ar-SA"/>
        </w:rPr>
        <w:t>one else is paying with their keycards</w:t>
      </w:r>
      <w:r w:rsidR="00624976">
        <w:rPr>
          <w:lang w:eastAsia="en-AU" w:bidi="ar-SA"/>
        </w:rPr>
        <w:t>.</w:t>
      </w:r>
    </w:p>
    <w:p w:rsidR="00D219D9" w:rsidRPr="005911E2" w:rsidRDefault="000401CF" w:rsidP="00D219D9">
      <w:pPr>
        <w:pStyle w:val="mininame"/>
      </w:pPr>
      <w:r w:rsidRPr="000401CF">
        <w:t xml:space="preserve">Indigenous </w:t>
      </w:r>
      <w:r w:rsidR="00E010D1">
        <w:t>woman,</w:t>
      </w:r>
      <w:r w:rsidRPr="000401CF">
        <w:t xml:space="preserve"> </w:t>
      </w:r>
      <w:r w:rsidR="00D219D9" w:rsidRPr="005911E2">
        <w:t>Alice Springs</w:t>
      </w:r>
    </w:p>
    <w:p w:rsidR="00D219D9" w:rsidRPr="005911E2" w:rsidRDefault="00D219D9" w:rsidP="00D219D9">
      <w:pPr>
        <w:pStyle w:val="BodyText"/>
      </w:pPr>
      <w:r w:rsidRPr="005911E2">
        <w:t xml:space="preserve">Some participants said it worked well but suggested it would be better if there was more flexibility about the proportion of funds managed. This reflects some of the interviews with Centrelink staff who also felt that some flexibility in the percentage of funds managed would make </w:t>
      </w:r>
      <w:r w:rsidR="00F878E4">
        <w:t>income management</w:t>
      </w:r>
      <w:r w:rsidRPr="005911E2">
        <w:t xml:space="preserve"> work better for some people. </w:t>
      </w:r>
    </w:p>
    <w:p w:rsidR="00D219D9" w:rsidRPr="005911E2" w:rsidRDefault="00D219D9" w:rsidP="00D219D9">
      <w:pPr>
        <w:pStyle w:val="miniquote"/>
      </w:pPr>
      <w:r w:rsidRPr="005911E2">
        <w:t xml:space="preserve">But it has really helped me pay off all my bills. I would like to have more choice over what was on </w:t>
      </w:r>
      <w:r w:rsidR="00F878E4">
        <w:t>income management</w:t>
      </w:r>
      <w:r w:rsidRPr="005911E2">
        <w:t xml:space="preserve"> – like a third maybe. If I was asked at the time I would have said no but it did help at the time. Now I want to have more cash back.</w:t>
      </w:r>
      <w:r w:rsidR="00B62B2D">
        <w:t xml:space="preserve"> </w:t>
      </w:r>
    </w:p>
    <w:p w:rsidR="00D219D9" w:rsidRPr="005911E2" w:rsidRDefault="000401CF" w:rsidP="00D219D9">
      <w:pPr>
        <w:pStyle w:val="mininame"/>
      </w:pPr>
      <w:r>
        <w:t xml:space="preserve">Non-Indigenous </w:t>
      </w:r>
      <w:r w:rsidR="00E010D1">
        <w:t>woman,</w:t>
      </w:r>
      <w:r>
        <w:t xml:space="preserve"> Alice Springs</w:t>
      </w:r>
    </w:p>
    <w:p w:rsidR="00D219D9" w:rsidRPr="005911E2" w:rsidRDefault="00D219D9" w:rsidP="00D219D9">
      <w:pPr>
        <w:pStyle w:val="BodyText"/>
      </w:pPr>
      <w:r w:rsidRPr="005911E2">
        <w:t xml:space="preserve">Others said that they liked being able to pay their bills but didn’t like the lack of consultation </w:t>
      </w:r>
      <w:r w:rsidR="00E65D7D">
        <w:t>about</w:t>
      </w:r>
      <w:r w:rsidR="00E65D7D" w:rsidRPr="005911E2">
        <w:t xml:space="preserve"> </w:t>
      </w:r>
      <w:r w:rsidRPr="005911E2">
        <w:t>being put onto it, or felt that it had deprived them of some rights</w:t>
      </w:r>
      <w:r w:rsidR="00614538">
        <w:t xml:space="preserve">. </w:t>
      </w:r>
    </w:p>
    <w:p w:rsidR="00D219D9" w:rsidRPr="005911E2" w:rsidRDefault="00D219D9" w:rsidP="00D219D9">
      <w:pPr>
        <w:pStyle w:val="miniquote"/>
      </w:pPr>
      <w:r w:rsidRPr="005911E2">
        <w:t>BasicsCard is a good thing for me as I have money and food for my grandchildren when they visit me. …The only bad thing about income management is government need to listen to us, hear our voice and don't make decisions for us. Just because our rights have been taken away just listen and hear what we want.</w:t>
      </w:r>
    </w:p>
    <w:p w:rsidR="00D219D9" w:rsidRPr="005911E2" w:rsidRDefault="000401CF" w:rsidP="00D219D9">
      <w:pPr>
        <w:pStyle w:val="mininame"/>
      </w:pPr>
      <w:r>
        <w:t xml:space="preserve">Indigenous </w:t>
      </w:r>
      <w:r w:rsidR="00E010D1">
        <w:t>man,</w:t>
      </w:r>
      <w:r w:rsidR="00D219D9" w:rsidRPr="005911E2">
        <w:t xml:space="preserve"> Remote NT </w:t>
      </w:r>
    </w:p>
    <w:p w:rsidR="00D219D9" w:rsidRPr="005911E2" w:rsidRDefault="00D219D9" w:rsidP="00D219D9">
      <w:pPr>
        <w:pStyle w:val="miniquote"/>
        <w:rPr>
          <w:lang w:eastAsia="en-AU" w:bidi="ar-SA"/>
        </w:rPr>
      </w:pPr>
      <w:r w:rsidRPr="005911E2">
        <w:rPr>
          <w:lang w:eastAsia="en-AU" w:bidi="ar-SA"/>
        </w:rPr>
        <w:t xml:space="preserve">I find it helped in ways, but you </w:t>
      </w:r>
      <w:r w:rsidR="00576705" w:rsidRPr="005911E2">
        <w:rPr>
          <w:lang w:eastAsia="en-AU" w:bidi="ar-SA"/>
        </w:rPr>
        <w:t>still need</w:t>
      </w:r>
      <w:r w:rsidRPr="005911E2">
        <w:rPr>
          <w:lang w:eastAsia="en-AU" w:bidi="ar-SA"/>
        </w:rPr>
        <w:t xml:space="preserve"> to have </w:t>
      </w:r>
      <w:r w:rsidR="00576705" w:rsidRPr="005911E2">
        <w:rPr>
          <w:lang w:eastAsia="en-AU" w:bidi="ar-SA"/>
        </w:rPr>
        <w:t>your right to</w:t>
      </w:r>
      <w:r w:rsidRPr="005911E2">
        <w:rPr>
          <w:lang w:eastAsia="en-AU" w:bidi="ar-SA"/>
        </w:rPr>
        <w:t xml:space="preserve"> receive your </w:t>
      </w:r>
      <w:r w:rsidR="00576705" w:rsidRPr="005911E2">
        <w:rPr>
          <w:lang w:eastAsia="en-AU" w:bidi="ar-SA"/>
        </w:rPr>
        <w:t>money 100</w:t>
      </w:r>
      <w:r w:rsidRPr="005911E2">
        <w:rPr>
          <w:lang w:eastAsia="en-AU" w:bidi="ar-SA"/>
        </w:rPr>
        <w:t xml:space="preserve"> </w:t>
      </w:r>
      <w:r w:rsidR="00CF545F" w:rsidRPr="005911E2">
        <w:rPr>
          <w:lang w:eastAsia="en-AU" w:bidi="ar-SA"/>
        </w:rPr>
        <w:t>per cent</w:t>
      </w:r>
      <w:r w:rsidR="00576705" w:rsidRPr="005911E2">
        <w:rPr>
          <w:lang w:eastAsia="en-AU" w:bidi="ar-SA"/>
        </w:rPr>
        <w:t>.</w:t>
      </w:r>
    </w:p>
    <w:p w:rsidR="00D219D9" w:rsidRPr="005911E2" w:rsidRDefault="000401CF" w:rsidP="00D219D9">
      <w:pPr>
        <w:pStyle w:val="mininame"/>
      </w:pPr>
      <w:r>
        <w:t xml:space="preserve">Indigenous </w:t>
      </w:r>
      <w:r w:rsidR="00E010D1">
        <w:t>woman,</w:t>
      </w:r>
      <w:r w:rsidR="00D219D9" w:rsidRPr="005911E2">
        <w:t xml:space="preserve"> Darwin</w:t>
      </w:r>
    </w:p>
    <w:p w:rsidR="00D219D9" w:rsidRPr="005911E2" w:rsidRDefault="00D219D9" w:rsidP="00D219D9">
      <w:pPr>
        <w:pStyle w:val="Heading3"/>
      </w:pPr>
      <w:r w:rsidRPr="005911E2">
        <w:t>Negative views</w:t>
      </w:r>
    </w:p>
    <w:p w:rsidR="00D219D9" w:rsidRPr="005911E2" w:rsidRDefault="00D219D9" w:rsidP="00D219D9">
      <w:pPr>
        <w:pStyle w:val="BodyText"/>
      </w:pPr>
      <w:r w:rsidRPr="005911E2">
        <w:t>There was also a group of participants who held very negative views</w:t>
      </w:r>
      <w:r w:rsidR="002955BA">
        <w:t xml:space="preserve"> about income management.</w:t>
      </w:r>
      <w:r w:rsidRPr="005911E2">
        <w:t xml:space="preserve"> These participants tended to </w:t>
      </w:r>
      <w:r w:rsidR="002955BA">
        <w:t>report</w:t>
      </w:r>
      <w:r w:rsidRPr="005911E2">
        <w:t xml:space="preserve"> experiencing </w:t>
      </w:r>
      <w:r w:rsidR="002955BA">
        <w:t>income management</w:t>
      </w:r>
      <w:r w:rsidR="002955BA" w:rsidRPr="005911E2">
        <w:t xml:space="preserve"> </w:t>
      </w:r>
      <w:r w:rsidRPr="005911E2">
        <w:t xml:space="preserve">as something that stigmatised them and set them apart from others. For this group the term </w:t>
      </w:r>
      <w:r w:rsidR="002C4832">
        <w:t>‘</w:t>
      </w:r>
      <w:r w:rsidRPr="005911E2">
        <w:t>shame</w:t>
      </w:r>
      <w:r w:rsidR="002C4832">
        <w:t>’</w:t>
      </w:r>
      <w:r w:rsidRPr="005911E2">
        <w:t xml:space="preserve"> was frequently used.</w:t>
      </w:r>
    </w:p>
    <w:p w:rsidR="00D219D9" w:rsidRPr="005911E2" w:rsidRDefault="00D219D9" w:rsidP="00D219D9">
      <w:pPr>
        <w:pStyle w:val="miniquote"/>
      </w:pPr>
      <w:r w:rsidRPr="005911E2">
        <w:t>I felt like it marginalized people with a BasicsCard. It was brought in initially as an Intervention measure so I felt marginali</w:t>
      </w:r>
      <w:r w:rsidR="002A53BE">
        <w:t>s</w:t>
      </w:r>
      <w:r w:rsidRPr="005911E2">
        <w:t>ed. If it had been introduced differently maybe it would have worked better.</w:t>
      </w:r>
    </w:p>
    <w:p w:rsidR="00D219D9" w:rsidRPr="005911E2" w:rsidRDefault="000401CF" w:rsidP="00D219D9">
      <w:pPr>
        <w:pStyle w:val="mininame"/>
      </w:pPr>
      <w:r>
        <w:t xml:space="preserve">Indigenous </w:t>
      </w:r>
      <w:r w:rsidR="00E010D1">
        <w:t>woman,</w:t>
      </w:r>
      <w:r w:rsidR="00D219D9" w:rsidRPr="005911E2">
        <w:t xml:space="preserve"> Darwin</w:t>
      </w:r>
    </w:p>
    <w:p w:rsidR="00D219D9" w:rsidRPr="005911E2" w:rsidRDefault="00D219D9" w:rsidP="00D219D9">
      <w:pPr>
        <w:pStyle w:val="miniquote"/>
      </w:pPr>
      <w:r w:rsidRPr="005911E2">
        <w:t>Them (Government) not telling me why I'm on it, I hate the BasicsCard and it takes away my independence. Even my kids are ashamed to use it. Just gets my whole family unit down.</w:t>
      </w:r>
    </w:p>
    <w:p w:rsidR="00D219D9" w:rsidRPr="005911E2" w:rsidRDefault="000401CF" w:rsidP="00D219D9">
      <w:pPr>
        <w:pStyle w:val="mininame"/>
      </w:pPr>
      <w:r>
        <w:t xml:space="preserve">Non-Indigenous </w:t>
      </w:r>
      <w:r w:rsidR="00E010D1">
        <w:t>man,</w:t>
      </w:r>
      <w:r w:rsidR="00D219D9" w:rsidRPr="005911E2">
        <w:t xml:space="preserve"> Darwin</w:t>
      </w:r>
    </w:p>
    <w:p w:rsidR="00D219D9" w:rsidRPr="005911E2" w:rsidRDefault="00D219D9" w:rsidP="00D219D9">
      <w:pPr>
        <w:pStyle w:val="miniquote"/>
      </w:pPr>
      <w:r w:rsidRPr="005911E2">
        <w:t xml:space="preserve">It's really embarrassing for me because I was working all my life and then you got strangers from interstate telling how to spend my money. When I ring up you got strangers asking me </w:t>
      </w:r>
      <w:r w:rsidR="00BD10FF" w:rsidRPr="005911E2">
        <w:t>w</w:t>
      </w:r>
      <w:r w:rsidR="00BD10FF">
        <w:t>hat</w:t>
      </w:r>
      <w:r w:rsidR="00BD10FF" w:rsidRPr="005911E2">
        <w:t xml:space="preserve"> </w:t>
      </w:r>
      <w:r w:rsidRPr="005911E2">
        <w:t>I'm going to spend my money on.</w:t>
      </w:r>
    </w:p>
    <w:p w:rsidR="00D219D9" w:rsidRPr="005911E2" w:rsidRDefault="000401CF" w:rsidP="00D219D9">
      <w:pPr>
        <w:pStyle w:val="mininame"/>
      </w:pPr>
      <w:r>
        <w:t xml:space="preserve">Indigenous </w:t>
      </w:r>
      <w:r w:rsidR="00E010D1">
        <w:t>woman,</w:t>
      </w:r>
      <w:r w:rsidR="00D219D9" w:rsidRPr="005911E2">
        <w:t xml:space="preserve"> Alice Springs</w:t>
      </w:r>
    </w:p>
    <w:p w:rsidR="00D219D9" w:rsidRPr="005911E2" w:rsidRDefault="00D219D9" w:rsidP="00D219D9">
      <w:pPr>
        <w:pStyle w:val="BodyText"/>
      </w:pPr>
      <w:r w:rsidRPr="005911E2">
        <w:t xml:space="preserve">Some participants were strongly opposed to the imposition of </w:t>
      </w:r>
      <w:r w:rsidR="00F878E4">
        <w:t>income management</w:t>
      </w:r>
      <w:r w:rsidRPr="005911E2">
        <w:t xml:space="preserve"> on themselves but still considered that it may be appropriate for others.</w:t>
      </w:r>
    </w:p>
    <w:p w:rsidR="00D219D9" w:rsidRPr="005911E2" w:rsidRDefault="00D219D9" w:rsidP="00D219D9">
      <w:pPr>
        <w:pStyle w:val="miniquote"/>
      </w:pPr>
      <w:r w:rsidRPr="005911E2">
        <w:t xml:space="preserve">[What is wrong with </w:t>
      </w:r>
      <w:r w:rsidR="00F878E4">
        <w:t>income management</w:t>
      </w:r>
      <w:r w:rsidRPr="005911E2">
        <w:t xml:space="preserve">?] Everything. Nowhere to use </w:t>
      </w:r>
      <w:r w:rsidR="00576705" w:rsidRPr="005911E2">
        <w:t>it, lack</w:t>
      </w:r>
      <w:r w:rsidRPr="005911E2">
        <w:t xml:space="preserve"> of </w:t>
      </w:r>
      <w:r w:rsidR="00576705" w:rsidRPr="005911E2">
        <w:t xml:space="preserve">choice. </w:t>
      </w:r>
      <w:r w:rsidRPr="005911E2">
        <w:t>I want control over my own money and where and how I use it. I'm grateful for the benefit but I can budget.</w:t>
      </w:r>
    </w:p>
    <w:p w:rsidR="00D219D9" w:rsidRPr="005911E2" w:rsidRDefault="00D219D9" w:rsidP="00D219D9">
      <w:pPr>
        <w:pStyle w:val="miniquote"/>
      </w:pPr>
      <w:r w:rsidRPr="005911E2">
        <w:t>There is a yes and no for people – for bad spenders yes, but if you can prove you not bad spending then shouldn’t</w:t>
      </w:r>
      <w:r w:rsidR="00B62B2D">
        <w:t xml:space="preserve"> </w:t>
      </w:r>
      <w:r w:rsidRPr="005911E2">
        <w:t>be on it. Its discriminating, racist, prejudice, they shouldn’t have the right to put you on there unless they can prove you are bad with money</w:t>
      </w:r>
      <w:r w:rsidR="00E65D7D">
        <w:t>.</w:t>
      </w:r>
    </w:p>
    <w:p w:rsidR="00D219D9" w:rsidRPr="005911E2" w:rsidRDefault="000401CF" w:rsidP="00D219D9">
      <w:pPr>
        <w:pStyle w:val="mininame"/>
      </w:pPr>
      <w:r>
        <w:t xml:space="preserve">Non-Indigenous </w:t>
      </w:r>
      <w:r w:rsidR="00E010D1">
        <w:t>man,</w:t>
      </w:r>
      <w:r w:rsidR="00D219D9" w:rsidRPr="005911E2">
        <w:t xml:space="preserve"> Darwin</w:t>
      </w:r>
    </w:p>
    <w:p w:rsidR="00D219D9" w:rsidRPr="005911E2" w:rsidRDefault="00D219D9" w:rsidP="00D219D9">
      <w:pPr>
        <w:pStyle w:val="BodyText"/>
      </w:pPr>
      <w:r w:rsidRPr="005911E2">
        <w:t xml:space="preserve">In some cases </w:t>
      </w:r>
      <w:r w:rsidR="00F878E4">
        <w:t>income management</w:t>
      </w:r>
      <w:r w:rsidRPr="005911E2">
        <w:t xml:space="preserve"> was seen as a punishment for behaviours or actions that did not apply to them or as discriminatory.</w:t>
      </w:r>
    </w:p>
    <w:p w:rsidR="00D219D9" w:rsidRPr="005911E2" w:rsidRDefault="00D219D9" w:rsidP="00D219D9">
      <w:pPr>
        <w:pStyle w:val="miniquote"/>
      </w:pPr>
      <w:r w:rsidRPr="005911E2">
        <w:t>I don’t like it because I had full control of my money, we on BasicsCard now and we don't choose healthy food because there is nothing left on BasicsCard and cash</w:t>
      </w:r>
      <w:r w:rsidR="008E29A5">
        <w:t>,</w:t>
      </w:r>
      <w:r w:rsidRPr="005911E2">
        <w:t xml:space="preserve"> after rent, light bill and other payments from our pension same, we'll still find ways to go to funerals or go to ceremonials, but that might mean no food. I feel like someone is punishing me for something I did not do. I don't drink, smoke or gamble. I got punished for eating healthy and looking after my grandchildren. Aboriginal people have been talking, protesting year after year over the same things but still nothing happening and now policy gone wrong and blaming us, Aboriginal people for their (Government’s) mistake. You (Government) mucking around with our heads our minds and our health making us live the white people way. It is making us sick adapting the government way of living. We have many families, extended families, not just your mother, father, son, daughter.</w:t>
      </w:r>
      <w:r w:rsidR="00B62B2D">
        <w:t xml:space="preserve"> </w:t>
      </w:r>
      <w:r w:rsidRPr="005911E2">
        <w:t>When will they understand this?</w:t>
      </w:r>
    </w:p>
    <w:p w:rsidR="00D219D9" w:rsidRPr="005911E2" w:rsidRDefault="000401CF" w:rsidP="00D219D9">
      <w:pPr>
        <w:pStyle w:val="mininame"/>
      </w:pPr>
      <w:r>
        <w:t>Indigenous woman</w:t>
      </w:r>
      <w:r w:rsidR="008C142B">
        <w:t>,</w:t>
      </w:r>
      <w:r w:rsidR="00D219D9" w:rsidRPr="005911E2">
        <w:t xml:space="preserve"> Alice Springs </w:t>
      </w:r>
    </w:p>
    <w:p w:rsidR="00D219D9" w:rsidRPr="005911E2" w:rsidRDefault="00D219D9" w:rsidP="00D219D9">
      <w:pPr>
        <w:pStyle w:val="miniquote"/>
      </w:pPr>
      <w:r w:rsidRPr="005911E2">
        <w:t>From beginning I was really upset about being forced to be income managed and fought it all the way. I felt I had no option. It wasn’t explained that you could dispute this. I was upset because I was put on income management but I was managing well. I found Centrelink did not deal with situations, and I was given 4 different answers. They don’t follow up on us to see if we are ok</w:t>
      </w:r>
      <w:r w:rsidR="00E65D7D">
        <w:t>.</w:t>
      </w:r>
    </w:p>
    <w:p w:rsidR="00D219D9" w:rsidRPr="005911E2" w:rsidRDefault="000401CF" w:rsidP="00D219D9">
      <w:pPr>
        <w:pStyle w:val="mininame"/>
      </w:pPr>
      <w:r>
        <w:t>Indigenous woman</w:t>
      </w:r>
      <w:r w:rsidR="008C142B">
        <w:t>,</w:t>
      </w:r>
      <w:r w:rsidR="00D219D9" w:rsidRPr="005911E2">
        <w:t xml:space="preserve"> Darwin </w:t>
      </w:r>
    </w:p>
    <w:p w:rsidR="00D219D9" w:rsidRPr="005911E2" w:rsidRDefault="00D219D9" w:rsidP="00D219D9">
      <w:pPr>
        <w:pStyle w:val="BodyText"/>
      </w:pPr>
      <w:r w:rsidRPr="005911E2">
        <w:t xml:space="preserve">For others there was a sense that being on </w:t>
      </w:r>
      <w:r w:rsidR="00F878E4">
        <w:t>income management</w:t>
      </w:r>
      <w:r w:rsidRPr="005911E2">
        <w:t xml:space="preserve"> was a punishment for something that was beyond their control</w:t>
      </w:r>
      <w:r w:rsidR="00E65D7D">
        <w:t>, f</w:t>
      </w:r>
      <w:r w:rsidRPr="005911E2">
        <w:t xml:space="preserve">or example, for being unemployed. </w:t>
      </w:r>
    </w:p>
    <w:p w:rsidR="00D219D9" w:rsidRPr="005911E2" w:rsidRDefault="00D219D9" w:rsidP="00D219D9">
      <w:pPr>
        <w:pStyle w:val="miniquote"/>
      </w:pPr>
      <w:r w:rsidRPr="005911E2">
        <w:t>I want to work and to receive proper payment not signing Centrelink form. I am not working now but still waiting for a job very soon.</w:t>
      </w:r>
      <w:r w:rsidR="00B62B2D">
        <w:t xml:space="preserve"> </w:t>
      </w:r>
      <w:r w:rsidRPr="005911E2">
        <w:t xml:space="preserve">But while I wait I receive </w:t>
      </w:r>
      <w:r w:rsidR="009D040F">
        <w:t>BasicsCard</w:t>
      </w:r>
      <w:r w:rsidRPr="005911E2">
        <w:t>.</w:t>
      </w:r>
    </w:p>
    <w:p w:rsidR="00D219D9" w:rsidRPr="005911E2" w:rsidRDefault="000401CF" w:rsidP="00D219D9">
      <w:pPr>
        <w:pStyle w:val="mininame"/>
      </w:pPr>
      <w:r>
        <w:t>Indigenous man</w:t>
      </w:r>
      <w:r w:rsidR="008C142B">
        <w:t>,</w:t>
      </w:r>
      <w:r w:rsidR="00D219D9" w:rsidRPr="005911E2">
        <w:t xml:space="preserve"> Remote NT</w:t>
      </w:r>
    </w:p>
    <w:p w:rsidR="00D96A58" w:rsidRDefault="00D219D9">
      <w:pPr>
        <w:pStyle w:val="Heading2"/>
      </w:pPr>
      <w:bookmarkStart w:id="1130" w:name="_Toc328601540"/>
      <w:bookmarkStart w:id="1131" w:name="_Toc329870421"/>
      <w:bookmarkStart w:id="1132" w:name="_Toc335915807"/>
      <w:r w:rsidRPr="005911E2">
        <w:t xml:space="preserve">Targeting – and the imposition of mandatory </w:t>
      </w:r>
      <w:r w:rsidR="00F878E4">
        <w:t>income management</w:t>
      </w:r>
      <w:bookmarkEnd w:id="1130"/>
      <w:bookmarkEnd w:id="1131"/>
      <w:bookmarkEnd w:id="1132"/>
    </w:p>
    <w:p w:rsidR="00D219D9" w:rsidRPr="005911E2" w:rsidRDefault="00D219D9" w:rsidP="00D219D9">
      <w:pPr>
        <w:pStyle w:val="BodyText"/>
      </w:pPr>
      <w:r w:rsidRPr="005911E2">
        <w:t xml:space="preserve">As already seen above, some participants considered that </w:t>
      </w:r>
      <w:r w:rsidR="00F878E4">
        <w:t>income management</w:t>
      </w:r>
      <w:r w:rsidRPr="005911E2">
        <w:t xml:space="preserve"> had merits as a policy for some people – but felt that the mandatory imposition of it on people for whom there was no evidence of financial mismanagement was inappropriate. These participants often spoke about being good with their money and in control and tended to report that they did not need </w:t>
      </w:r>
      <w:r w:rsidR="00F878E4">
        <w:t>income management</w:t>
      </w:r>
      <w:r w:rsidRPr="005911E2">
        <w:t xml:space="preserve">. For these participants </w:t>
      </w:r>
      <w:r w:rsidR="00F878E4">
        <w:t>income management</w:t>
      </w:r>
      <w:r w:rsidRPr="005911E2">
        <w:t xml:space="preserve"> was seen as a policy which may have a useful role but not appropriately targeted.</w:t>
      </w:r>
    </w:p>
    <w:p w:rsidR="00D219D9" w:rsidRPr="005911E2" w:rsidRDefault="00D219D9" w:rsidP="00D219D9">
      <w:pPr>
        <w:pStyle w:val="miniquote"/>
      </w:pPr>
      <w:r w:rsidRPr="005911E2">
        <w:t>I have mixed feelings about it (</w:t>
      </w:r>
      <w:r w:rsidR="00F878E4">
        <w:t>income management</w:t>
      </w:r>
      <w:r w:rsidRPr="005911E2">
        <w:t>). I don't feel that I need to be on income management but sometimes it is ok…</w:t>
      </w:r>
      <w:r w:rsidR="00B62B2D">
        <w:t xml:space="preserve"> </w:t>
      </w:r>
      <w:r w:rsidRPr="005911E2">
        <w:t>The way they applied it hasn't exactly worked for all people. They got to remember not everyone is dysfunctional.</w:t>
      </w:r>
    </w:p>
    <w:p w:rsidR="00D219D9" w:rsidRPr="005911E2" w:rsidRDefault="000401CF" w:rsidP="00D219D9">
      <w:pPr>
        <w:pStyle w:val="mininame"/>
      </w:pPr>
      <w:r>
        <w:t>Indigenous woman</w:t>
      </w:r>
      <w:r w:rsidR="008C142B">
        <w:t>,</w:t>
      </w:r>
      <w:r w:rsidR="00D219D9" w:rsidRPr="005911E2">
        <w:t xml:space="preserve"> Darwin</w:t>
      </w:r>
    </w:p>
    <w:p w:rsidR="00D219D9" w:rsidRPr="005911E2" w:rsidRDefault="00D219D9" w:rsidP="00D219D9">
      <w:pPr>
        <w:pStyle w:val="miniquote"/>
      </w:pPr>
      <w:r w:rsidRPr="005911E2">
        <w:t>For me there was nothing. I do. I think it is good for some but not everyone. Centrelink should see what a person is like before automatically putting everyone on it.</w:t>
      </w:r>
    </w:p>
    <w:p w:rsidR="00D219D9" w:rsidRPr="005911E2" w:rsidRDefault="000401CF" w:rsidP="00D219D9">
      <w:pPr>
        <w:pStyle w:val="mininame"/>
      </w:pPr>
      <w:r>
        <w:t>Non-Indigenous woman</w:t>
      </w:r>
      <w:r w:rsidR="008C142B">
        <w:t>,</w:t>
      </w:r>
      <w:r w:rsidR="00D219D9" w:rsidRPr="005911E2">
        <w:t xml:space="preserve"> Alice Springs</w:t>
      </w:r>
    </w:p>
    <w:p w:rsidR="00D219D9" w:rsidRPr="005911E2" w:rsidRDefault="00D219D9" w:rsidP="00D219D9">
      <w:pPr>
        <w:pStyle w:val="miniquote"/>
      </w:pPr>
      <w:r w:rsidRPr="005911E2">
        <w:t>I would recommend this service for people who don’t manage their income, but I feel I was penalised as I was nothing (not a drinker) - doing well.</w:t>
      </w:r>
      <w:r w:rsidR="00B62B2D">
        <w:t xml:space="preserve"> </w:t>
      </w:r>
    </w:p>
    <w:p w:rsidR="00D219D9" w:rsidRPr="005911E2" w:rsidRDefault="000401CF" w:rsidP="00D219D9">
      <w:pPr>
        <w:pStyle w:val="mininame"/>
      </w:pPr>
      <w:r>
        <w:t>Indigenous woman</w:t>
      </w:r>
      <w:r w:rsidR="008C142B">
        <w:t>,</w:t>
      </w:r>
      <w:r>
        <w:t xml:space="preserve"> Darwin</w:t>
      </w:r>
    </w:p>
    <w:p w:rsidR="00D219D9" w:rsidRPr="005911E2" w:rsidRDefault="00D219D9" w:rsidP="00D219D9">
      <w:pPr>
        <w:pStyle w:val="miniquote"/>
      </w:pPr>
      <w:r w:rsidRPr="005911E2">
        <w:t>That the blanket application to all of the people using Centrelink payments and that there is no consideration of individual circumstances. In my case having a child in my care who has difficult and unusual circumstances and my annual budgeting strategy is taken out of my hands.</w:t>
      </w:r>
    </w:p>
    <w:p w:rsidR="00D219D9" w:rsidRPr="005911E2" w:rsidRDefault="000401CF" w:rsidP="00D219D9">
      <w:pPr>
        <w:pStyle w:val="mininame"/>
      </w:pPr>
      <w:r>
        <w:t>Non-Indigenous woman</w:t>
      </w:r>
      <w:r w:rsidR="008C142B">
        <w:t>,</w:t>
      </w:r>
      <w:r w:rsidR="00D219D9" w:rsidRPr="005911E2">
        <w:t xml:space="preserve"> Alice Springs</w:t>
      </w:r>
    </w:p>
    <w:p w:rsidR="00D219D9" w:rsidRPr="005911E2" w:rsidRDefault="00D219D9" w:rsidP="00D219D9">
      <w:pPr>
        <w:pStyle w:val="miniquote"/>
      </w:pPr>
      <w:r w:rsidRPr="005911E2">
        <w:t xml:space="preserve">Less control of my life </w:t>
      </w:r>
      <w:r w:rsidR="00CF545F" w:rsidRPr="005911E2">
        <w:t>now. There</w:t>
      </w:r>
      <w:r w:rsidRPr="005911E2">
        <w:t xml:space="preserve"> should be some sort of assessment for people to see if there need for that person. I’m 63 and I damn well know how to manage my money. There’s only so much you need to get of the </w:t>
      </w:r>
      <w:r w:rsidR="005911E2" w:rsidRPr="005911E2">
        <w:t>BasicsCard</w:t>
      </w:r>
      <w:r w:rsidRPr="005911E2">
        <w:t xml:space="preserve"> money just sits there for nothing.</w:t>
      </w:r>
    </w:p>
    <w:p w:rsidR="00D219D9" w:rsidRPr="005911E2" w:rsidRDefault="008C142B" w:rsidP="00D219D9">
      <w:pPr>
        <w:pStyle w:val="mininame"/>
      </w:pPr>
      <w:r>
        <w:t>Non-Indigenous man,</w:t>
      </w:r>
      <w:r w:rsidR="00D219D9" w:rsidRPr="005911E2">
        <w:t xml:space="preserve"> Darwin</w:t>
      </w:r>
    </w:p>
    <w:p w:rsidR="00D219D9" w:rsidRPr="005911E2" w:rsidRDefault="00D219D9" w:rsidP="00D219D9">
      <w:pPr>
        <w:pStyle w:val="miniquote"/>
        <w:rPr>
          <w:lang w:eastAsia="en-AU" w:bidi="ar-SA"/>
        </w:rPr>
      </w:pPr>
      <w:r w:rsidRPr="005911E2">
        <w:rPr>
          <w:lang w:eastAsia="en-AU" w:bidi="ar-SA"/>
        </w:rPr>
        <w:t xml:space="preserve">[What is good about </w:t>
      </w:r>
      <w:r w:rsidR="00F878E4">
        <w:rPr>
          <w:lang w:eastAsia="en-AU" w:bidi="ar-SA"/>
        </w:rPr>
        <w:t>income management</w:t>
      </w:r>
      <w:r w:rsidRPr="005911E2">
        <w:rPr>
          <w:lang w:eastAsia="en-AU" w:bidi="ar-SA"/>
        </w:rPr>
        <w:t>?] Nothing but I can see how it can help feed some kids but not mine as I've always had control of my own life and affairs and finances</w:t>
      </w:r>
      <w:r w:rsidR="00E65D7D">
        <w:rPr>
          <w:lang w:eastAsia="en-AU" w:bidi="ar-SA"/>
        </w:rPr>
        <w:t>.</w:t>
      </w:r>
    </w:p>
    <w:p w:rsidR="00D219D9" w:rsidRPr="005911E2" w:rsidRDefault="008C142B" w:rsidP="00D219D9">
      <w:pPr>
        <w:pStyle w:val="mininame"/>
      </w:pPr>
      <w:r>
        <w:t>Indigenous woman,</w:t>
      </w:r>
      <w:r w:rsidR="00D219D9" w:rsidRPr="005911E2">
        <w:t xml:space="preserve"> Darwin</w:t>
      </w:r>
    </w:p>
    <w:p w:rsidR="00D219D9" w:rsidRPr="005911E2" w:rsidRDefault="00D219D9" w:rsidP="00D219D9">
      <w:pPr>
        <w:pStyle w:val="miniquote"/>
      </w:pPr>
      <w:r w:rsidRPr="005911E2">
        <w:t xml:space="preserve">The government is thinking very wrong about this income management this people they are accusing of not looking after their families it's like the stolen generation. The government is trying to blame them for these problems. I'm not </w:t>
      </w:r>
      <w:r w:rsidR="008E29A5">
        <w:t>A</w:t>
      </w:r>
      <w:r w:rsidR="008E29A5" w:rsidRPr="005911E2">
        <w:t xml:space="preserve">boriginal </w:t>
      </w:r>
      <w:r w:rsidRPr="005911E2">
        <w:t>and am from</w:t>
      </w:r>
      <w:r w:rsidR="008E29A5">
        <w:t xml:space="preserve"> [</w:t>
      </w:r>
      <w:r w:rsidR="001429AF">
        <w:t>country</w:t>
      </w:r>
      <w:r w:rsidR="008E29A5">
        <w:t>]</w:t>
      </w:r>
      <w:r w:rsidRPr="005911E2">
        <w:t xml:space="preserve">. I don't think it has changed the livelihood of Indigenous Australia. This policy is nothing but a racist policy. This income policy is a racist policy. I don’t think Centrelink should have introduced income management. The whole </w:t>
      </w:r>
      <w:r w:rsidR="00E65D7D">
        <w:t>m</w:t>
      </w:r>
      <w:r w:rsidRPr="005911E2">
        <w:t xml:space="preserve">oney </w:t>
      </w:r>
      <w:r w:rsidR="00E65D7D">
        <w:t>m</w:t>
      </w:r>
      <w:r w:rsidRPr="005911E2">
        <w:t>anagement service doesn't work, it is a broken down service. Centrelink told me that if I saved $500 they said they would match my savings but they didn't. I don't need income management to improve my life. Because of what happened 200 years ago the government is punishing the Indigenous people for their wrong doings. Being income managed isn't changing or helping my situation. Income management is a racist policy and I don't agree with it. I tried getting an exemption from income management but they refused me both times because my son has been absent from school. I don't force my child because of my cultural background, and if I did try to force him he could get me in trouble because back in my hometown life is different.</w:t>
      </w:r>
    </w:p>
    <w:p w:rsidR="00D219D9" w:rsidRPr="005911E2" w:rsidRDefault="008C142B" w:rsidP="00D219D9">
      <w:pPr>
        <w:pStyle w:val="mininame"/>
      </w:pPr>
      <w:r>
        <w:t>Non-Indigenous man</w:t>
      </w:r>
      <w:r w:rsidR="00D219D9" w:rsidRPr="005911E2">
        <w:t>, Darwin</w:t>
      </w:r>
    </w:p>
    <w:p w:rsidR="00D96A58" w:rsidRDefault="00D219D9">
      <w:pPr>
        <w:pStyle w:val="Heading2"/>
      </w:pPr>
      <w:bookmarkStart w:id="1133" w:name="_Toc328601541"/>
      <w:bookmarkStart w:id="1134" w:name="_Toc329870422"/>
      <w:bookmarkStart w:id="1135" w:name="_Toc335915808"/>
      <w:r w:rsidRPr="005911E2">
        <w:t xml:space="preserve">Understandings of becoming subject to </w:t>
      </w:r>
      <w:r w:rsidR="00F878E4">
        <w:t>income management</w:t>
      </w:r>
      <w:bookmarkEnd w:id="1133"/>
      <w:bookmarkEnd w:id="1134"/>
      <w:bookmarkEnd w:id="1135"/>
    </w:p>
    <w:p w:rsidR="00D219D9" w:rsidRPr="005911E2" w:rsidRDefault="00D219D9" w:rsidP="00D219D9">
      <w:pPr>
        <w:pStyle w:val="BodyText"/>
      </w:pPr>
      <w:r w:rsidRPr="005911E2">
        <w:t xml:space="preserve">Many people appeared to have only a limited </w:t>
      </w:r>
      <w:r w:rsidR="00E65D7D">
        <w:t>understanding</w:t>
      </w:r>
      <w:r w:rsidR="00E65D7D" w:rsidRPr="005911E2">
        <w:t xml:space="preserve"> </w:t>
      </w:r>
      <w:r w:rsidRPr="005911E2">
        <w:t xml:space="preserve">of the rationale for the introduction of </w:t>
      </w:r>
      <w:r w:rsidR="00F878E4">
        <w:t>income management</w:t>
      </w:r>
      <w:r w:rsidRPr="005911E2">
        <w:t>.</w:t>
      </w:r>
    </w:p>
    <w:p w:rsidR="00D219D9" w:rsidRPr="005911E2" w:rsidRDefault="00D219D9" w:rsidP="00D219D9">
      <w:pPr>
        <w:pStyle w:val="miniquote"/>
      </w:pPr>
      <w:r w:rsidRPr="005911E2">
        <w:t>Because I was told I must be income managed as I’m under 25 – that’s the law</w:t>
      </w:r>
      <w:r w:rsidR="00E65D7D">
        <w:t>.</w:t>
      </w:r>
    </w:p>
    <w:p w:rsidR="00D219D9" w:rsidRPr="005911E2" w:rsidRDefault="008C142B" w:rsidP="00D219D9">
      <w:pPr>
        <w:pStyle w:val="mininame"/>
      </w:pPr>
      <w:r>
        <w:t>Non-Indigenous man</w:t>
      </w:r>
      <w:r w:rsidR="00D219D9" w:rsidRPr="005911E2">
        <w:t>, Darwin</w:t>
      </w:r>
    </w:p>
    <w:p w:rsidR="00D219D9" w:rsidRPr="005911E2" w:rsidRDefault="00D219D9" w:rsidP="00D219D9">
      <w:pPr>
        <w:pStyle w:val="miniquote"/>
        <w:rPr>
          <w:lang w:eastAsia="en-AU" w:bidi="ar-SA"/>
        </w:rPr>
      </w:pPr>
      <w:r w:rsidRPr="005911E2">
        <w:rPr>
          <w:lang w:eastAsia="en-AU" w:bidi="ar-SA"/>
        </w:rPr>
        <w:t>The reason they put me on in is because my age group are high drinkers</w:t>
      </w:r>
      <w:r w:rsidR="00E65D7D">
        <w:rPr>
          <w:lang w:eastAsia="en-AU" w:bidi="ar-SA"/>
        </w:rPr>
        <w:t>,</w:t>
      </w:r>
      <w:r w:rsidRPr="005911E2">
        <w:rPr>
          <w:lang w:eastAsia="en-AU" w:bidi="ar-SA"/>
        </w:rPr>
        <w:t xml:space="preserve"> etc</w:t>
      </w:r>
      <w:r w:rsidR="00E65D7D">
        <w:rPr>
          <w:lang w:eastAsia="en-AU" w:bidi="ar-SA"/>
        </w:rPr>
        <w:t>.</w:t>
      </w:r>
      <w:r w:rsidRPr="005911E2">
        <w:rPr>
          <w:lang w:eastAsia="en-AU" w:bidi="ar-SA"/>
        </w:rPr>
        <w:t xml:space="preserve"> I would be glad to take a drug and alcohol test to prove I don’t do these things.</w:t>
      </w:r>
    </w:p>
    <w:p w:rsidR="00D219D9" w:rsidRPr="005911E2" w:rsidRDefault="008C142B" w:rsidP="00D219D9">
      <w:pPr>
        <w:pStyle w:val="mininame"/>
      </w:pPr>
      <w:r>
        <w:t>Non-Indigenous woman,</w:t>
      </w:r>
      <w:r w:rsidR="00D219D9" w:rsidRPr="005911E2">
        <w:t xml:space="preserve"> Darwin</w:t>
      </w:r>
    </w:p>
    <w:p w:rsidR="00D219D9" w:rsidRPr="005911E2" w:rsidRDefault="00D219D9" w:rsidP="00D219D9">
      <w:pPr>
        <w:pStyle w:val="BodyText"/>
      </w:pPr>
      <w:r w:rsidRPr="005911E2">
        <w:t xml:space="preserve">A significant group of Indigenous (and some non-Indigenous) participants indicated that they had no choice, and </w:t>
      </w:r>
      <w:r w:rsidR="009C6B34">
        <w:t xml:space="preserve">expressed a view </w:t>
      </w:r>
      <w:r w:rsidRPr="005911E2">
        <w:t>that the policy is racially discriminating and judgemental</w:t>
      </w:r>
      <w:r w:rsidR="00614538" w:rsidRPr="005911E2">
        <w:t>.</w:t>
      </w:r>
      <w:r w:rsidR="00614538">
        <w:t xml:space="preserve"> </w:t>
      </w:r>
    </w:p>
    <w:p w:rsidR="00D219D9" w:rsidRPr="005911E2" w:rsidRDefault="00D219D9" w:rsidP="00D219D9">
      <w:pPr>
        <w:pStyle w:val="miniquote"/>
      </w:pPr>
      <w:r w:rsidRPr="005911E2">
        <w:t xml:space="preserve">What the government has done with this income management is not right because I don't need income </w:t>
      </w:r>
      <w:r w:rsidR="00E65D7D">
        <w:t>m</w:t>
      </w:r>
      <w:r w:rsidRPr="005911E2">
        <w:t xml:space="preserve">anagement because I already know how to save and manage my money. Being income managed isn't changing or helping my situation. Income management is a racist policy and I don't agree with it. </w:t>
      </w:r>
    </w:p>
    <w:p w:rsidR="00D219D9" w:rsidRPr="005911E2" w:rsidRDefault="008C142B" w:rsidP="00D219D9">
      <w:pPr>
        <w:pStyle w:val="mininame"/>
      </w:pPr>
      <w:r>
        <w:t>Non-Indigenous man,</w:t>
      </w:r>
      <w:r w:rsidR="00D219D9" w:rsidRPr="005911E2">
        <w:t xml:space="preserve"> Darwin</w:t>
      </w:r>
    </w:p>
    <w:p w:rsidR="00D219D9" w:rsidRPr="005911E2" w:rsidRDefault="00D219D9" w:rsidP="00D219D9">
      <w:pPr>
        <w:pStyle w:val="miniquote"/>
      </w:pPr>
      <w:r w:rsidRPr="005911E2">
        <w:t>I was very frustrated at first because it was just lumped on us. We felt like bloody cattle lined up at a trough for water. It sucked, it hurt, was angry. We are citizens of this country, and government can't be doing these things to us to please themselves and make them look good. We are all human beings with feelings, voice and choice.</w:t>
      </w:r>
      <w:r w:rsidR="00B62B2D">
        <w:t xml:space="preserve"> </w:t>
      </w:r>
      <w:r w:rsidRPr="005911E2">
        <w:t>They (government) don't listen to what we are saying, don't make decisions on behalf of us, (they should) make decisions with us.</w:t>
      </w:r>
    </w:p>
    <w:p w:rsidR="00D219D9" w:rsidRPr="005911E2" w:rsidRDefault="008C142B" w:rsidP="00D219D9">
      <w:pPr>
        <w:pStyle w:val="mininame"/>
      </w:pPr>
      <w:r>
        <w:t>Indigenous woman,</w:t>
      </w:r>
      <w:r w:rsidR="00D219D9" w:rsidRPr="005911E2">
        <w:t xml:space="preserve"> Alice Springs </w:t>
      </w:r>
    </w:p>
    <w:p w:rsidR="00D219D9" w:rsidRPr="005911E2" w:rsidRDefault="00D219D9" w:rsidP="00D219D9">
      <w:pPr>
        <w:pStyle w:val="miniquote"/>
      </w:pPr>
      <w:r w:rsidRPr="005911E2">
        <w:t>Income management and BasicsCard have made my life harder and gave me money problems... I think that the government is running scared of being called racist.</w:t>
      </w:r>
      <w:r w:rsidR="00B62B2D">
        <w:t xml:space="preserve"> </w:t>
      </w:r>
      <w:r w:rsidRPr="005911E2">
        <w:t>They should have social workers a</w:t>
      </w:r>
      <w:r w:rsidR="008E29A5">
        <w:t>ss</w:t>
      </w:r>
      <w:r w:rsidRPr="005911E2">
        <w:t>ess those people who are presenting problems for those people who need to go on income management.</w:t>
      </w:r>
    </w:p>
    <w:p w:rsidR="00D219D9" w:rsidRPr="005911E2" w:rsidRDefault="008C142B" w:rsidP="00D219D9">
      <w:pPr>
        <w:pStyle w:val="mininame"/>
      </w:pPr>
      <w:r>
        <w:t>Non-Indigenous man,</w:t>
      </w:r>
      <w:r w:rsidR="00D219D9" w:rsidRPr="005911E2">
        <w:t xml:space="preserve"> Darwin</w:t>
      </w:r>
    </w:p>
    <w:p w:rsidR="00D219D9" w:rsidRPr="005911E2" w:rsidRDefault="00D219D9" w:rsidP="00D219D9">
      <w:pPr>
        <w:pStyle w:val="miniquote"/>
      </w:pPr>
      <w:r w:rsidRPr="005911E2">
        <w:t>Nobody came and ask</w:t>
      </w:r>
      <w:r w:rsidR="006A787A">
        <w:t>ed</w:t>
      </w:r>
      <w:r w:rsidRPr="005911E2">
        <w:t xml:space="preserve"> me what my needs were</w:t>
      </w:r>
      <w:r w:rsidR="006A787A">
        <w:t>. T</w:t>
      </w:r>
      <w:r w:rsidRPr="005911E2">
        <w:t>hey just put me on BasicsCard whether I want</w:t>
      </w:r>
      <w:r w:rsidR="006A787A">
        <w:t>ed</w:t>
      </w:r>
      <w:r w:rsidRPr="005911E2">
        <w:t xml:space="preserve"> it or not.</w:t>
      </w:r>
    </w:p>
    <w:p w:rsidR="00D219D9" w:rsidRPr="005911E2" w:rsidRDefault="008C142B" w:rsidP="00D219D9">
      <w:pPr>
        <w:pStyle w:val="mininame"/>
      </w:pPr>
      <w:r>
        <w:t>Indigenous woman</w:t>
      </w:r>
      <w:r w:rsidR="00D219D9" w:rsidRPr="005911E2">
        <w:t>, Remote NT</w:t>
      </w:r>
    </w:p>
    <w:p w:rsidR="00D219D9" w:rsidRPr="005911E2" w:rsidRDefault="00D219D9" w:rsidP="00D219D9">
      <w:pPr>
        <w:pStyle w:val="BodyText"/>
      </w:pPr>
      <w:r w:rsidRPr="005911E2">
        <w:t xml:space="preserve">As discussed earlier in the chapter, others rejected the reasons for which they had been subject to </w:t>
      </w:r>
      <w:r w:rsidR="00F878E4">
        <w:t>income management</w:t>
      </w:r>
      <w:r w:rsidRPr="005911E2">
        <w:t>.</w:t>
      </w:r>
    </w:p>
    <w:p w:rsidR="00D219D9" w:rsidRPr="005911E2" w:rsidRDefault="00D219D9" w:rsidP="00D219D9">
      <w:pPr>
        <w:pStyle w:val="miniquote"/>
      </w:pPr>
      <w:r w:rsidRPr="005911E2">
        <w:t>They did not give me a reason. They said they did not want me to waste money on smokes and alcohol. I don't smoke and I very rarely drink. It made me frustrated they were judging me because I was a teenager.</w:t>
      </w:r>
    </w:p>
    <w:p w:rsidR="00D219D9" w:rsidRPr="005911E2" w:rsidRDefault="008C142B" w:rsidP="00D219D9">
      <w:pPr>
        <w:pStyle w:val="mininame"/>
      </w:pPr>
      <w:r>
        <w:t>Non-Indigenous man</w:t>
      </w:r>
      <w:r w:rsidR="00D219D9" w:rsidRPr="005911E2">
        <w:t>, Alice Springs</w:t>
      </w:r>
    </w:p>
    <w:p w:rsidR="00D219D9" w:rsidRPr="005911E2" w:rsidRDefault="00D219D9" w:rsidP="00D219D9">
      <w:pPr>
        <w:pStyle w:val="BodyText"/>
      </w:pPr>
      <w:r w:rsidRPr="005911E2">
        <w:t xml:space="preserve">Some non-Indigenous participants see </w:t>
      </w:r>
      <w:r w:rsidR="00F878E4">
        <w:t>income management</w:t>
      </w:r>
      <w:r w:rsidRPr="005911E2">
        <w:t xml:space="preserve"> as something that has been done to them that is not fair, and believe it is in place only so that the government can avoid the racial discrimination claims. Other non-Indigenous participants simply have no idea why they have been subject to </w:t>
      </w:r>
      <w:r w:rsidR="00F878E4">
        <w:t>income management</w:t>
      </w:r>
      <w:r w:rsidRPr="005911E2">
        <w:t>.</w:t>
      </w:r>
    </w:p>
    <w:p w:rsidR="00D219D9" w:rsidRPr="005911E2" w:rsidRDefault="00D219D9" w:rsidP="00D219D9">
      <w:pPr>
        <w:pStyle w:val="BodyText"/>
      </w:pPr>
      <w:r w:rsidRPr="005911E2">
        <w:t xml:space="preserve">Many participants accused the government of not consulting adequately. Interestingly several participants in the contrast sites said that they would like the government to consult with them about introducing </w:t>
      </w:r>
      <w:r w:rsidR="00F878E4">
        <w:t>income management</w:t>
      </w:r>
      <w:r w:rsidRPr="005911E2">
        <w:t xml:space="preserve"> to their communities.</w:t>
      </w:r>
    </w:p>
    <w:p w:rsidR="00D219D9" w:rsidRPr="005911E2" w:rsidRDefault="00D219D9" w:rsidP="00D219D9">
      <w:pPr>
        <w:pStyle w:val="miniquote"/>
      </w:pPr>
      <w:r w:rsidRPr="005911E2">
        <w:t>It should be tailored to each community. There were a lot of places it was imposed that needed it and some that didn’t</w:t>
      </w:r>
      <w:r w:rsidR="006A787A">
        <w:t>,</w:t>
      </w:r>
      <w:r w:rsidRPr="005911E2">
        <w:t xml:space="preserve"> it should be tailored to each community.</w:t>
      </w:r>
    </w:p>
    <w:p w:rsidR="00D219D9" w:rsidRPr="005911E2" w:rsidRDefault="008C142B" w:rsidP="00D219D9">
      <w:pPr>
        <w:pStyle w:val="mininame"/>
      </w:pPr>
      <w:r>
        <w:t>N</w:t>
      </w:r>
      <w:r w:rsidR="00576705" w:rsidRPr="005911E2">
        <w:t>on</w:t>
      </w:r>
      <w:r w:rsidR="00D219D9" w:rsidRPr="005911E2">
        <w:t>-Indigenous</w:t>
      </w:r>
      <w:r>
        <w:t xml:space="preserve"> man</w:t>
      </w:r>
      <w:r w:rsidR="00D219D9" w:rsidRPr="005911E2">
        <w:t>, Darwin</w:t>
      </w:r>
    </w:p>
    <w:p w:rsidR="00D219D9" w:rsidRPr="005911E2" w:rsidRDefault="00D219D9" w:rsidP="00D219D9">
      <w:pPr>
        <w:pStyle w:val="miniquote"/>
      </w:pPr>
      <w:r w:rsidRPr="005911E2">
        <w:t xml:space="preserve">Yes, I think they should come and talk to us first. Because we live in many </w:t>
      </w:r>
      <w:r w:rsidR="006A787A" w:rsidRPr="005911E2">
        <w:t>communit</w:t>
      </w:r>
      <w:r w:rsidR="006A787A">
        <w:t>ies</w:t>
      </w:r>
      <w:r w:rsidR="006A787A" w:rsidRPr="005911E2">
        <w:t xml:space="preserve"> </w:t>
      </w:r>
      <w:r w:rsidRPr="005911E2">
        <w:t>and our shops are different from the shops in town. Prices are too high out in all the communities now.</w:t>
      </w:r>
      <w:r w:rsidR="00B62B2D">
        <w:t xml:space="preserve"> </w:t>
      </w:r>
      <w:r w:rsidRPr="005911E2">
        <w:t xml:space="preserve">We going to be doing shopping with the </w:t>
      </w:r>
      <w:r w:rsidR="005911E2" w:rsidRPr="005911E2">
        <w:t>BasicsCard</w:t>
      </w:r>
      <w:r w:rsidRPr="005911E2">
        <w:t xml:space="preserve"> and extra with cash</w:t>
      </w:r>
      <w:r w:rsidR="00472407">
        <w:t>.</w:t>
      </w:r>
    </w:p>
    <w:p w:rsidR="00D219D9" w:rsidRPr="005911E2" w:rsidRDefault="008C142B" w:rsidP="00D219D9">
      <w:pPr>
        <w:pStyle w:val="mininame"/>
      </w:pPr>
      <w:r>
        <w:t>Indigenous woman</w:t>
      </w:r>
      <w:r w:rsidR="00D219D9" w:rsidRPr="005911E2">
        <w:t>, Remote NT</w:t>
      </w:r>
    </w:p>
    <w:p w:rsidR="00D96A58" w:rsidRDefault="00D219D9">
      <w:pPr>
        <w:pStyle w:val="Heading2"/>
      </w:pPr>
      <w:bookmarkStart w:id="1136" w:name="_Toc328601542"/>
      <w:bookmarkStart w:id="1137" w:name="_Toc329870423"/>
      <w:bookmarkStart w:id="1138" w:name="_Toc335915809"/>
      <w:r w:rsidRPr="005911E2">
        <w:t>Effectiveness</w:t>
      </w:r>
      <w:bookmarkEnd w:id="1136"/>
      <w:bookmarkEnd w:id="1137"/>
      <w:bookmarkEnd w:id="1138"/>
      <w:r w:rsidRPr="005911E2">
        <w:t xml:space="preserve"> </w:t>
      </w:r>
    </w:p>
    <w:p w:rsidR="00D219D9" w:rsidRPr="005911E2" w:rsidRDefault="00D219D9" w:rsidP="00D219D9">
      <w:pPr>
        <w:pStyle w:val="BodyText"/>
      </w:pPr>
      <w:r w:rsidRPr="005911E2">
        <w:rPr>
          <w:lang w:bidi="ar-SA"/>
        </w:rPr>
        <w:t xml:space="preserve">One theme which emerged in many of the qualitative comments </w:t>
      </w:r>
      <w:r w:rsidR="009E689C">
        <w:rPr>
          <w:lang w:bidi="ar-SA"/>
        </w:rPr>
        <w:t>is</w:t>
      </w:r>
      <w:r w:rsidR="009E689C" w:rsidRPr="005911E2">
        <w:rPr>
          <w:lang w:bidi="ar-SA"/>
        </w:rPr>
        <w:t xml:space="preserve"> </w:t>
      </w:r>
      <w:r w:rsidRPr="005911E2">
        <w:rPr>
          <w:lang w:bidi="ar-SA"/>
        </w:rPr>
        <w:t xml:space="preserve">that in some cases </w:t>
      </w:r>
      <w:r w:rsidR="00F878E4">
        <w:rPr>
          <w:lang w:bidi="ar-SA"/>
        </w:rPr>
        <w:t>income management</w:t>
      </w:r>
      <w:r w:rsidRPr="005911E2">
        <w:rPr>
          <w:lang w:bidi="ar-SA"/>
        </w:rPr>
        <w:t xml:space="preserve"> has not necessarily been wholly effective as people find ways of getting ‘around the system’, or because problems manifest in other ways. For example some </w:t>
      </w:r>
      <w:r w:rsidRPr="005911E2">
        <w:t>participants say there is more financial harassment due to the reduced cash available to family members who have addictions (smoking, alcohol, drugs or gambling). If they are unable to get cash, they often ‘humbug’ for the BasicsCard. BasicsCards are also used for currency in card games and gambled. This has led to some unintended consequences. The burden on the one or two working family members has greatly increased. Some participants mentioned that they may give up work because they were unable to stop the ‘humbugging’, and the pressure and stress of having less money</w:t>
      </w:r>
      <w:r w:rsidR="00110CBB">
        <w:t xml:space="preserve"> for their own needs</w:t>
      </w:r>
      <w:r w:rsidRPr="005911E2">
        <w:t xml:space="preserve"> than </w:t>
      </w:r>
      <w:r w:rsidR="00C96922">
        <w:t xml:space="preserve">they would if </w:t>
      </w:r>
      <w:r w:rsidRPr="005911E2">
        <w:t xml:space="preserve">they were on </w:t>
      </w:r>
      <w:r w:rsidR="00F878E4">
        <w:t>income management</w:t>
      </w:r>
      <w:r w:rsidRPr="005911E2">
        <w:t xml:space="preserve"> was too much.</w:t>
      </w:r>
    </w:p>
    <w:p w:rsidR="00D219D9" w:rsidRPr="005911E2" w:rsidRDefault="00D219D9" w:rsidP="00D219D9">
      <w:pPr>
        <w:pStyle w:val="BodyText"/>
      </w:pPr>
      <w:r w:rsidRPr="005911E2">
        <w:t>A number of responses talked about the way in which BasicsCard purchases could be converted to cash</w:t>
      </w:r>
      <w:r w:rsidR="009E689C">
        <w:t>.</w:t>
      </w:r>
    </w:p>
    <w:p w:rsidR="00D219D9" w:rsidRPr="005911E2" w:rsidRDefault="00D219D9" w:rsidP="00D219D9">
      <w:pPr>
        <w:pStyle w:val="miniquote"/>
      </w:pPr>
      <w:r w:rsidRPr="005911E2">
        <w:t>It's hard on income management. Paying for things like rent, power and my lawn mower to get fixed so I got friends that weren't on income management I'd do their shopping so they would give me cash to pay</w:t>
      </w:r>
      <w:r w:rsidR="009E689C">
        <w:t>.</w:t>
      </w:r>
    </w:p>
    <w:p w:rsidR="00D219D9" w:rsidRPr="005911E2" w:rsidRDefault="008C142B" w:rsidP="00D219D9">
      <w:pPr>
        <w:pStyle w:val="mininame"/>
      </w:pPr>
      <w:r>
        <w:t>Indigenous man</w:t>
      </w:r>
      <w:r w:rsidR="00D219D9" w:rsidRPr="005911E2">
        <w:t xml:space="preserve">, Darwin </w:t>
      </w:r>
    </w:p>
    <w:p w:rsidR="00D219D9" w:rsidRPr="005911E2" w:rsidRDefault="00D219D9" w:rsidP="00D219D9">
      <w:pPr>
        <w:pStyle w:val="miniquote"/>
      </w:pPr>
      <w:r w:rsidRPr="005911E2">
        <w:t>The kids are up at the shops spending the BasicsCard on crap.</w:t>
      </w:r>
      <w:r w:rsidR="00B62B2D">
        <w:t xml:space="preserve"> </w:t>
      </w:r>
      <w:r w:rsidRPr="005911E2">
        <w:t>They try to trade their BasicsCard for cash, or buy things they can trade for cash.</w:t>
      </w:r>
      <w:r w:rsidR="00B62B2D">
        <w:t xml:space="preserve"> </w:t>
      </w:r>
    </w:p>
    <w:p w:rsidR="00D219D9" w:rsidRPr="005911E2" w:rsidRDefault="008C142B" w:rsidP="00D219D9">
      <w:pPr>
        <w:pStyle w:val="mininame"/>
      </w:pPr>
      <w:r>
        <w:t>Indigenous woman</w:t>
      </w:r>
      <w:r w:rsidR="00D219D9" w:rsidRPr="005911E2">
        <w:t xml:space="preserve">, Darwin </w:t>
      </w:r>
    </w:p>
    <w:p w:rsidR="00D219D9" w:rsidRPr="005911E2" w:rsidRDefault="00D219D9" w:rsidP="00D219D9">
      <w:pPr>
        <w:pStyle w:val="miniquote"/>
      </w:pPr>
      <w:r w:rsidRPr="005911E2">
        <w:t>People still find a</w:t>
      </w:r>
      <w:r w:rsidR="006A787A">
        <w:t xml:space="preserve"> </w:t>
      </w:r>
      <w:r w:rsidRPr="005911E2">
        <w:t xml:space="preserve">way to trade it in for money and when they spend their money they come and humbug you for your money or </w:t>
      </w:r>
      <w:r w:rsidR="009E689C">
        <w:t>B</w:t>
      </w:r>
      <w:r w:rsidRPr="005911E2">
        <w:t>asic</w:t>
      </w:r>
      <w:r w:rsidR="009E689C">
        <w:t>sC</w:t>
      </w:r>
      <w:r w:rsidRPr="005911E2">
        <w:t>ard.</w:t>
      </w:r>
    </w:p>
    <w:p w:rsidR="00D219D9" w:rsidRPr="005911E2" w:rsidRDefault="008C142B" w:rsidP="00D219D9">
      <w:pPr>
        <w:pStyle w:val="mininame"/>
      </w:pPr>
      <w:r>
        <w:t>Indigenous woman</w:t>
      </w:r>
      <w:r w:rsidR="00D219D9" w:rsidRPr="005911E2">
        <w:t xml:space="preserve">, Alice Springs </w:t>
      </w:r>
    </w:p>
    <w:p w:rsidR="00D219D9" w:rsidRPr="005911E2" w:rsidRDefault="00D219D9" w:rsidP="00D219D9">
      <w:pPr>
        <w:pStyle w:val="BodyText"/>
      </w:pPr>
      <w:r w:rsidRPr="005911E2">
        <w:t xml:space="preserve">While a large number of people reported that they felt that they were less susceptible to financial harassment with </w:t>
      </w:r>
      <w:r w:rsidR="00F878E4">
        <w:t>income management</w:t>
      </w:r>
      <w:r w:rsidRPr="005911E2">
        <w:t xml:space="preserve"> and the BasicsCard</w:t>
      </w:r>
      <w:r w:rsidR="009E689C">
        <w:t>,</w:t>
      </w:r>
      <w:r w:rsidRPr="005911E2">
        <w:t xml:space="preserve"> some echoed the experience of the above person that </w:t>
      </w:r>
      <w:r w:rsidR="00F878E4">
        <w:t>income management</w:t>
      </w:r>
      <w:r w:rsidRPr="005911E2">
        <w:t xml:space="preserve"> did not offer protection.</w:t>
      </w:r>
    </w:p>
    <w:p w:rsidR="00D219D9" w:rsidRPr="005911E2" w:rsidRDefault="00D219D9" w:rsidP="00D219D9">
      <w:pPr>
        <w:pStyle w:val="miniquote"/>
      </w:pPr>
      <w:r w:rsidRPr="005911E2">
        <w:t>It's hard for me because I'm old and my kids still rob me for my money.</w:t>
      </w:r>
    </w:p>
    <w:p w:rsidR="00D219D9" w:rsidRPr="005911E2" w:rsidRDefault="008C142B" w:rsidP="00D219D9">
      <w:pPr>
        <w:pStyle w:val="mininame"/>
      </w:pPr>
      <w:r>
        <w:t>Indigenous man</w:t>
      </w:r>
      <w:r w:rsidR="00D219D9" w:rsidRPr="005911E2">
        <w:t>, Remote NT</w:t>
      </w:r>
    </w:p>
    <w:p w:rsidR="00D219D9" w:rsidRPr="005911E2" w:rsidRDefault="00D219D9" w:rsidP="00D219D9">
      <w:pPr>
        <w:pStyle w:val="miniquote"/>
        <w:rPr>
          <w:lang w:eastAsia="en-AU" w:bidi="ar-SA"/>
        </w:rPr>
      </w:pPr>
      <w:r w:rsidRPr="005911E2">
        <w:rPr>
          <w:lang w:eastAsia="en-AU" w:bidi="ar-SA"/>
        </w:rPr>
        <w:t>My family now control my BasicsCard and use it for food so I don't really see my card I just keep the money from my bank</w:t>
      </w:r>
      <w:r w:rsidR="009E689C">
        <w:rPr>
          <w:lang w:eastAsia="en-AU" w:bidi="ar-SA"/>
        </w:rPr>
        <w:t>.</w:t>
      </w:r>
    </w:p>
    <w:p w:rsidR="00D219D9" w:rsidRPr="005911E2" w:rsidRDefault="008C142B" w:rsidP="00D219D9">
      <w:pPr>
        <w:pStyle w:val="mininame"/>
      </w:pPr>
      <w:r>
        <w:t>Indigenous man</w:t>
      </w:r>
      <w:r w:rsidR="00D219D9" w:rsidRPr="005911E2">
        <w:t>, Darwin</w:t>
      </w:r>
    </w:p>
    <w:p w:rsidR="00D219D9" w:rsidRPr="005911E2" w:rsidRDefault="00D219D9" w:rsidP="00D219D9">
      <w:pPr>
        <w:pStyle w:val="miniquote"/>
        <w:rPr>
          <w:lang w:eastAsia="en-AU" w:bidi="ar-SA"/>
        </w:rPr>
      </w:pPr>
      <w:r w:rsidRPr="005911E2">
        <w:rPr>
          <w:lang w:eastAsia="en-AU" w:bidi="ar-SA"/>
        </w:rPr>
        <w:t xml:space="preserve">Sometimes </w:t>
      </w:r>
      <w:r w:rsidR="00576705" w:rsidRPr="005911E2">
        <w:rPr>
          <w:lang w:eastAsia="en-AU" w:bidi="ar-SA"/>
        </w:rPr>
        <w:t>it’s</w:t>
      </w:r>
      <w:r w:rsidRPr="005911E2">
        <w:rPr>
          <w:lang w:eastAsia="en-AU" w:bidi="ar-SA"/>
        </w:rPr>
        <w:t xml:space="preserve"> good sometimes it's bad. Some of my families still humbug me for my </w:t>
      </w:r>
      <w:r w:rsidR="009D040F">
        <w:rPr>
          <w:lang w:eastAsia="en-AU" w:bidi="ar-SA"/>
        </w:rPr>
        <w:t>BasicsCard</w:t>
      </w:r>
      <w:r w:rsidRPr="005911E2">
        <w:rPr>
          <w:lang w:eastAsia="en-AU" w:bidi="ar-SA"/>
        </w:rPr>
        <w:t>.</w:t>
      </w:r>
    </w:p>
    <w:p w:rsidR="00D219D9" w:rsidRPr="005911E2" w:rsidRDefault="008C142B" w:rsidP="00D219D9">
      <w:pPr>
        <w:pStyle w:val="mininame"/>
      </w:pPr>
      <w:r>
        <w:t>Indigenous woman,</w:t>
      </w:r>
      <w:r w:rsidR="00D219D9" w:rsidRPr="005911E2">
        <w:t xml:space="preserve"> Remote NT</w:t>
      </w:r>
    </w:p>
    <w:p w:rsidR="00D219D9" w:rsidRPr="005911E2" w:rsidRDefault="00D219D9" w:rsidP="00D219D9">
      <w:pPr>
        <w:pStyle w:val="BodyText"/>
      </w:pPr>
      <w:r w:rsidRPr="005911E2">
        <w:t>Some people reported that the reduced amount of cash in the community had, in fact, increased the level of crime as people were more inclined to turn to crime to obtain money.</w:t>
      </w:r>
    </w:p>
    <w:p w:rsidR="00D219D9" w:rsidRPr="005911E2" w:rsidRDefault="00D219D9" w:rsidP="00D219D9">
      <w:pPr>
        <w:pStyle w:val="miniquote"/>
      </w:pPr>
      <w:r w:rsidRPr="005911E2">
        <w:t xml:space="preserve">There are more robberies and violence due to less </w:t>
      </w:r>
      <w:r w:rsidR="00576705" w:rsidRPr="005911E2">
        <w:t>cash</w:t>
      </w:r>
      <w:r w:rsidRPr="005911E2">
        <w:t xml:space="preserve"> and this is thanks to the BasicsCard</w:t>
      </w:r>
      <w:r w:rsidR="009E689C">
        <w:t>.</w:t>
      </w:r>
      <w:r w:rsidRPr="005911E2">
        <w:t xml:space="preserve"> </w:t>
      </w:r>
    </w:p>
    <w:p w:rsidR="00D219D9" w:rsidRPr="005911E2" w:rsidRDefault="008C142B" w:rsidP="00D219D9">
      <w:pPr>
        <w:pStyle w:val="mininame"/>
      </w:pPr>
      <w:r>
        <w:t>Indigenous man</w:t>
      </w:r>
      <w:r w:rsidR="00D219D9" w:rsidRPr="005911E2">
        <w:t>, Darwin</w:t>
      </w:r>
    </w:p>
    <w:p w:rsidR="00D219D9" w:rsidRPr="005911E2" w:rsidRDefault="00D219D9" w:rsidP="00D219D9">
      <w:pPr>
        <w:pStyle w:val="BodyText"/>
      </w:pPr>
      <w:r w:rsidRPr="005911E2">
        <w:t>There was also some ambiguity with the consequence of the specific quarantining of money for basic items, suggesting that the balance of funds could be used for other purposes.</w:t>
      </w:r>
    </w:p>
    <w:p w:rsidR="00D219D9" w:rsidRPr="005911E2" w:rsidRDefault="00D219D9" w:rsidP="00D219D9">
      <w:pPr>
        <w:pStyle w:val="miniquote"/>
      </w:pPr>
      <w:r w:rsidRPr="005911E2">
        <w:t>We share and help each other out</w:t>
      </w:r>
      <w:r w:rsidR="006A787A">
        <w:t>. I</w:t>
      </w:r>
      <w:r w:rsidRPr="005911E2">
        <w:t>f me or my family have problems, we all share. But some of our families go and drink the hot stuff so they can still stay drunk all the time. I know if I want to spend my cash money on what I like I know I got money on BasicsCard for food.</w:t>
      </w:r>
      <w:r w:rsidRPr="005911E2">
        <w:tab/>
        <w:t>You can spend your cash knowing me and my family won't go hungry because there's money on BasicsCard and kitty account.</w:t>
      </w:r>
    </w:p>
    <w:p w:rsidR="00D219D9" w:rsidRPr="005911E2" w:rsidRDefault="008C142B" w:rsidP="00D219D9">
      <w:pPr>
        <w:pStyle w:val="mininame"/>
      </w:pPr>
      <w:r>
        <w:t>Indigenous woman</w:t>
      </w:r>
      <w:r w:rsidR="00D219D9" w:rsidRPr="005911E2">
        <w:t xml:space="preserve">, Alice Springs </w:t>
      </w:r>
    </w:p>
    <w:p w:rsidR="00D219D9" w:rsidRPr="005911E2" w:rsidRDefault="00D219D9" w:rsidP="00D219D9">
      <w:pPr>
        <w:pStyle w:val="BodyText"/>
      </w:pPr>
      <w:r w:rsidRPr="005911E2">
        <w:t>Some people also suggested that instead of improving their spending, the inflexibility of the card made purchasing basics more expensive</w:t>
      </w:r>
      <w:r w:rsidR="0018601C">
        <w:t>.</w:t>
      </w:r>
    </w:p>
    <w:p w:rsidR="00D219D9" w:rsidRPr="005911E2" w:rsidRDefault="00D219D9" w:rsidP="00D219D9">
      <w:pPr>
        <w:pStyle w:val="miniquote"/>
      </w:pPr>
      <w:r w:rsidRPr="005911E2">
        <w:t>Just shame and at most places there is a minimum like $10 or $15 you gotta spend before getting something on your card so you’re spending more then you need to.</w:t>
      </w:r>
    </w:p>
    <w:p w:rsidR="00D219D9" w:rsidRPr="005911E2" w:rsidRDefault="008C142B" w:rsidP="00D219D9">
      <w:pPr>
        <w:pStyle w:val="mininame"/>
      </w:pPr>
      <w:r>
        <w:t>N</w:t>
      </w:r>
      <w:r w:rsidR="00D219D9" w:rsidRPr="005911E2">
        <w:t>on-Indigenous</w:t>
      </w:r>
      <w:r>
        <w:t xml:space="preserve"> woman</w:t>
      </w:r>
      <w:r w:rsidR="00D219D9" w:rsidRPr="005911E2">
        <w:t>, Regional</w:t>
      </w:r>
    </w:p>
    <w:p w:rsidR="00D219D9" w:rsidRPr="005911E2" w:rsidRDefault="00D219D9" w:rsidP="00D219D9">
      <w:pPr>
        <w:pStyle w:val="BodyText"/>
      </w:pPr>
      <w:r w:rsidRPr="005911E2">
        <w:t xml:space="preserve">In other cases policies other than </w:t>
      </w:r>
      <w:r w:rsidR="00F878E4">
        <w:t>income management</w:t>
      </w:r>
      <w:r w:rsidRPr="005911E2">
        <w:t xml:space="preserve"> were seen as effective in changing things.</w:t>
      </w:r>
    </w:p>
    <w:p w:rsidR="00D219D9" w:rsidRPr="005911E2" w:rsidRDefault="00D219D9" w:rsidP="00D219D9">
      <w:pPr>
        <w:pStyle w:val="miniquote"/>
      </w:pPr>
      <w:r w:rsidRPr="005911E2">
        <w:t>(Drinking has reduced) Because police stop all the cars in Alice Springs and when they come to the community.</w:t>
      </w:r>
    </w:p>
    <w:p w:rsidR="00D219D9" w:rsidRPr="005911E2" w:rsidRDefault="00D219D9" w:rsidP="00D219D9">
      <w:pPr>
        <w:pStyle w:val="mininame"/>
      </w:pPr>
      <w:r w:rsidRPr="005911E2">
        <w:t>Indigenous</w:t>
      </w:r>
      <w:r w:rsidR="008C142B">
        <w:t xml:space="preserve"> man</w:t>
      </w:r>
      <w:r w:rsidRPr="005911E2">
        <w:t>, Remote NT</w:t>
      </w:r>
    </w:p>
    <w:p w:rsidR="00D96A58" w:rsidRDefault="00D219D9">
      <w:pPr>
        <w:pStyle w:val="Heading2"/>
      </w:pPr>
      <w:bookmarkStart w:id="1139" w:name="_Toc328601543"/>
      <w:bookmarkStart w:id="1140" w:name="_Toc329870424"/>
      <w:bookmarkStart w:id="1141" w:name="_Toc335915810"/>
      <w:r w:rsidRPr="005911E2">
        <w:t xml:space="preserve">Impact of </w:t>
      </w:r>
      <w:r w:rsidR="00F878E4">
        <w:t>income management</w:t>
      </w:r>
      <w:bookmarkEnd w:id="1139"/>
      <w:bookmarkEnd w:id="1140"/>
      <w:bookmarkEnd w:id="1141"/>
    </w:p>
    <w:p w:rsidR="00D219D9" w:rsidRPr="005911E2" w:rsidRDefault="00D219D9" w:rsidP="00D219D9">
      <w:pPr>
        <w:pStyle w:val="BodyText"/>
      </w:pPr>
      <w:r w:rsidRPr="005911E2">
        <w:t xml:space="preserve">Again there was diversity in perceptions of the impact of </w:t>
      </w:r>
      <w:r w:rsidR="00F878E4">
        <w:t>income management</w:t>
      </w:r>
      <w:r w:rsidRPr="005911E2">
        <w:t xml:space="preserve"> on participants’ lives and those of their families. One very common theme was that not much had changed. </w:t>
      </w:r>
    </w:p>
    <w:p w:rsidR="00D219D9" w:rsidRPr="005911E2" w:rsidRDefault="00D219D9" w:rsidP="00D219D9">
      <w:pPr>
        <w:pStyle w:val="miniquote"/>
      </w:pPr>
      <w:r w:rsidRPr="005911E2">
        <w:t>People didn’t change their life when everybody got BasicsCard. I just know how to look after my money, I feel it's racist we knew how to look after ourselves it should be for everyone not only black fellas. Treat us the same as the wider community.</w:t>
      </w:r>
    </w:p>
    <w:p w:rsidR="00D219D9" w:rsidRPr="005911E2" w:rsidRDefault="008C142B" w:rsidP="00D219D9">
      <w:pPr>
        <w:pStyle w:val="mininame"/>
      </w:pPr>
      <w:r>
        <w:t>Indigenous man</w:t>
      </w:r>
      <w:r w:rsidR="00D219D9" w:rsidRPr="005911E2">
        <w:t>, Alice Springs</w:t>
      </w:r>
    </w:p>
    <w:p w:rsidR="00D219D9" w:rsidRPr="005911E2" w:rsidRDefault="00D219D9" w:rsidP="00D219D9">
      <w:pPr>
        <w:pStyle w:val="miniquote"/>
        <w:rPr>
          <w:lang w:bidi="ar-SA"/>
        </w:rPr>
      </w:pPr>
      <w:r w:rsidRPr="005911E2">
        <w:rPr>
          <w:lang w:bidi="ar-SA"/>
        </w:rPr>
        <w:t xml:space="preserve">The </w:t>
      </w:r>
      <w:r w:rsidR="009D040F">
        <w:rPr>
          <w:lang w:bidi="ar-SA"/>
        </w:rPr>
        <w:t>BasicsCard</w:t>
      </w:r>
      <w:r w:rsidRPr="005911E2">
        <w:rPr>
          <w:lang w:bidi="ar-SA"/>
        </w:rPr>
        <w:t xml:space="preserve"> hasn't changed my life a whole deal. Basics</w:t>
      </w:r>
      <w:r w:rsidR="009D040F">
        <w:rPr>
          <w:lang w:bidi="ar-SA"/>
        </w:rPr>
        <w:t>C</w:t>
      </w:r>
      <w:r w:rsidRPr="005911E2">
        <w:rPr>
          <w:lang w:bidi="ar-SA"/>
        </w:rPr>
        <w:t>ard is good for people with problems but it’s not a solution to the big problem</w:t>
      </w:r>
      <w:r w:rsidR="0018601C">
        <w:rPr>
          <w:lang w:bidi="ar-SA"/>
        </w:rPr>
        <w:t>.</w:t>
      </w:r>
    </w:p>
    <w:p w:rsidR="00D219D9" w:rsidRPr="005911E2" w:rsidRDefault="008C142B" w:rsidP="00D219D9">
      <w:pPr>
        <w:pStyle w:val="mininame"/>
        <w:rPr>
          <w:lang w:bidi="ar-SA"/>
        </w:rPr>
      </w:pPr>
      <w:r>
        <w:rPr>
          <w:lang w:bidi="ar-SA"/>
        </w:rPr>
        <w:t>N</w:t>
      </w:r>
      <w:r w:rsidR="00D219D9" w:rsidRPr="005911E2">
        <w:rPr>
          <w:lang w:bidi="ar-SA"/>
        </w:rPr>
        <w:t>on-Indigenous</w:t>
      </w:r>
      <w:r>
        <w:rPr>
          <w:lang w:bidi="ar-SA"/>
        </w:rPr>
        <w:t xml:space="preserve"> man</w:t>
      </w:r>
      <w:r w:rsidR="00D219D9" w:rsidRPr="005911E2">
        <w:rPr>
          <w:lang w:bidi="ar-SA"/>
        </w:rPr>
        <w:t>, Darwin</w:t>
      </w:r>
    </w:p>
    <w:p w:rsidR="00D219D9" w:rsidRPr="005911E2" w:rsidRDefault="00D219D9" w:rsidP="00D219D9">
      <w:pPr>
        <w:pStyle w:val="miniquote"/>
        <w:rPr>
          <w:lang w:eastAsia="en-AU" w:bidi="ar-SA"/>
        </w:rPr>
      </w:pPr>
      <w:r w:rsidRPr="005911E2">
        <w:rPr>
          <w:lang w:eastAsia="en-AU" w:bidi="ar-SA"/>
        </w:rPr>
        <w:t>I would still look after my family the same way if I was on income management or not</w:t>
      </w:r>
      <w:r w:rsidR="0018601C">
        <w:rPr>
          <w:lang w:eastAsia="en-AU" w:bidi="ar-SA"/>
        </w:rPr>
        <w:t>.</w:t>
      </w:r>
    </w:p>
    <w:p w:rsidR="00D219D9" w:rsidRPr="005911E2" w:rsidRDefault="008C142B" w:rsidP="00D219D9">
      <w:pPr>
        <w:pStyle w:val="mininame"/>
        <w:rPr>
          <w:lang w:bidi="ar-SA"/>
        </w:rPr>
      </w:pPr>
      <w:r>
        <w:rPr>
          <w:lang w:bidi="ar-SA"/>
        </w:rPr>
        <w:t>Indigenous woman</w:t>
      </w:r>
      <w:r w:rsidR="00D219D9" w:rsidRPr="005911E2">
        <w:rPr>
          <w:lang w:bidi="ar-SA"/>
        </w:rPr>
        <w:t>, Remote NT</w:t>
      </w:r>
    </w:p>
    <w:p w:rsidR="00D219D9" w:rsidRPr="005911E2" w:rsidRDefault="00D219D9" w:rsidP="00D219D9">
      <w:pPr>
        <w:pStyle w:val="Heading3"/>
      </w:pPr>
      <w:r w:rsidRPr="005911E2">
        <w:t>Impact on cultural obligations and practices</w:t>
      </w:r>
    </w:p>
    <w:p w:rsidR="00D219D9" w:rsidRPr="005911E2" w:rsidRDefault="00D219D9" w:rsidP="00D219D9">
      <w:pPr>
        <w:pStyle w:val="BodyText"/>
        <w:rPr>
          <w:lang w:bidi="ar-SA"/>
        </w:rPr>
      </w:pPr>
      <w:r w:rsidRPr="005911E2">
        <w:rPr>
          <w:lang w:bidi="ar-SA"/>
        </w:rPr>
        <w:t xml:space="preserve">Many participants felt that </w:t>
      </w:r>
      <w:r w:rsidR="00F878E4">
        <w:rPr>
          <w:lang w:bidi="ar-SA"/>
        </w:rPr>
        <w:t>income management</w:t>
      </w:r>
      <w:r w:rsidRPr="005911E2">
        <w:rPr>
          <w:lang w:bidi="ar-SA"/>
        </w:rPr>
        <w:t xml:space="preserve"> made little difference to cultural practices</w:t>
      </w:r>
      <w:r w:rsidR="00CA1E68" w:rsidRPr="005911E2">
        <w:rPr>
          <w:lang w:bidi="ar-SA"/>
        </w:rPr>
        <w:t xml:space="preserve"> </w:t>
      </w:r>
      <w:r w:rsidRPr="005911E2">
        <w:rPr>
          <w:lang w:bidi="ar-SA"/>
        </w:rPr>
        <w:t>– or involved just little adjustments such as providing food rather than cash.</w:t>
      </w:r>
    </w:p>
    <w:p w:rsidR="00D219D9" w:rsidRPr="005911E2" w:rsidRDefault="00D219D9" w:rsidP="00D219D9">
      <w:pPr>
        <w:pStyle w:val="miniquote"/>
        <w:rPr>
          <w:lang w:bidi="ar-SA"/>
        </w:rPr>
      </w:pPr>
      <w:r w:rsidRPr="005911E2">
        <w:rPr>
          <w:lang w:bidi="ar-SA"/>
        </w:rPr>
        <w:t>Made no difference. Same. Still manage to practice all our culture and family obligations. No matter what, we still can do it.</w:t>
      </w:r>
    </w:p>
    <w:p w:rsidR="00D219D9" w:rsidRPr="005911E2" w:rsidRDefault="008C142B" w:rsidP="00D219D9">
      <w:pPr>
        <w:pStyle w:val="mininame"/>
        <w:rPr>
          <w:lang w:bidi="ar-SA"/>
        </w:rPr>
      </w:pPr>
      <w:r>
        <w:rPr>
          <w:lang w:bidi="ar-SA"/>
        </w:rPr>
        <w:t>Indigenous woman</w:t>
      </w:r>
      <w:r w:rsidR="00D219D9" w:rsidRPr="005911E2">
        <w:rPr>
          <w:lang w:bidi="ar-SA"/>
        </w:rPr>
        <w:t>, Remote NT</w:t>
      </w:r>
    </w:p>
    <w:p w:rsidR="00D219D9" w:rsidRPr="005911E2" w:rsidRDefault="00D219D9" w:rsidP="00D219D9">
      <w:pPr>
        <w:pStyle w:val="miniquote"/>
        <w:rPr>
          <w:lang w:bidi="ar-SA"/>
        </w:rPr>
      </w:pPr>
      <w:r w:rsidRPr="005911E2">
        <w:rPr>
          <w:lang w:bidi="ar-SA"/>
        </w:rPr>
        <w:t>It's helped biggest mob due to the fact that I can spend my money on the two things</w:t>
      </w:r>
      <w:r w:rsidR="0018601C">
        <w:rPr>
          <w:lang w:bidi="ar-SA"/>
        </w:rPr>
        <w:t xml:space="preserve"> </w:t>
      </w:r>
      <w:r w:rsidRPr="005911E2">
        <w:rPr>
          <w:lang w:bidi="ar-SA"/>
        </w:rPr>
        <w:t xml:space="preserve">- cultural and it's influences and still have my money for the kids. I can't buy the stuff we need to buy for the Corroborree but I got the BasicsCard and so I can take the food out there which is good even though we got other ways now. </w:t>
      </w:r>
    </w:p>
    <w:p w:rsidR="00D219D9" w:rsidRPr="005911E2" w:rsidRDefault="008C142B" w:rsidP="00D219D9">
      <w:pPr>
        <w:pStyle w:val="mininame"/>
        <w:rPr>
          <w:lang w:bidi="ar-SA"/>
        </w:rPr>
      </w:pPr>
      <w:r>
        <w:rPr>
          <w:lang w:bidi="ar-SA"/>
        </w:rPr>
        <w:t>Indigenous man</w:t>
      </w:r>
      <w:r w:rsidR="00D219D9" w:rsidRPr="005911E2">
        <w:rPr>
          <w:lang w:bidi="ar-SA"/>
        </w:rPr>
        <w:t>, Darwin</w:t>
      </w:r>
    </w:p>
    <w:p w:rsidR="00D219D9" w:rsidRPr="005911E2" w:rsidRDefault="00D219D9" w:rsidP="00D219D9">
      <w:pPr>
        <w:pStyle w:val="BodyText"/>
        <w:rPr>
          <w:lang w:bidi="ar-SA"/>
        </w:rPr>
      </w:pPr>
      <w:r w:rsidRPr="005911E2">
        <w:rPr>
          <w:lang w:bidi="ar-SA"/>
        </w:rPr>
        <w:t xml:space="preserve">Some people reported that the BasicsCard and </w:t>
      </w:r>
      <w:r w:rsidR="00F878E4">
        <w:rPr>
          <w:lang w:bidi="ar-SA"/>
        </w:rPr>
        <w:t>income management</w:t>
      </w:r>
      <w:r w:rsidRPr="005911E2">
        <w:rPr>
          <w:lang w:bidi="ar-SA"/>
        </w:rPr>
        <w:t xml:space="preserve"> had made meeting obligations easier – in some cases because they perceived that they were better able to manage their money and have some savings to meet various obligations. In other cases, especially when travelling by road</w:t>
      </w:r>
      <w:r w:rsidR="0018601C">
        <w:rPr>
          <w:lang w:bidi="ar-SA"/>
        </w:rPr>
        <w:t>,</w:t>
      </w:r>
      <w:r w:rsidRPr="005911E2">
        <w:rPr>
          <w:lang w:bidi="ar-SA"/>
        </w:rPr>
        <w:t xml:space="preserve"> it was seen as a good means of funding fuel and other purchases.</w:t>
      </w:r>
    </w:p>
    <w:p w:rsidR="00D219D9" w:rsidRPr="005911E2" w:rsidRDefault="00D219D9" w:rsidP="00D219D9">
      <w:pPr>
        <w:pStyle w:val="miniquote"/>
        <w:rPr>
          <w:lang w:eastAsia="en-AU" w:bidi="ar-SA"/>
        </w:rPr>
      </w:pPr>
      <w:r w:rsidRPr="005911E2">
        <w:rPr>
          <w:lang w:eastAsia="en-AU" w:bidi="ar-SA"/>
        </w:rPr>
        <w:t xml:space="preserve">Easier for funerals or ceremonials me and families we use our </w:t>
      </w:r>
      <w:r w:rsidR="009D040F">
        <w:rPr>
          <w:lang w:eastAsia="en-AU" w:bidi="ar-SA"/>
        </w:rPr>
        <w:t>BasicsCard</w:t>
      </w:r>
      <w:r w:rsidRPr="005911E2">
        <w:rPr>
          <w:lang w:eastAsia="en-AU" w:bidi="ar-SA"/>
        </w:rPr>
        <w:t xml:space="preserve"> and chuck in all the time and that's really good</w:t>
      </w:r>
      <w:r w:rsidR="0018601C">
        <w:rPr>
          <w:lang w:eastAsia="en-AU" w:bidi="ar-SA"/>
        </w:rPr>
        <w:t>.</w:t>
      </w:r>
    </w:p>
    <w:p w:rsidR="00D219D9" w:rsidRPr="005911E2" w:rsidRDefault="008C142B" w:rsidP="00D219D9">
      <w:pPr>
        <w:pStyle w:val="mininame"/>
        <w:rPr>
          <w:lang w:eastAsia="en-AU" w:bidi="ar-SA"/>
        </w:rPr>
      </w:pPr>
      <w:r>
        <w:rPr>
          <w:lang w:eastAsia="en-AU" w:bidi="ar-SA"/>
        </w:rPr>
        <w:t>Indigenous woman</w:t>
      </w:r>
      <w:r w:rsidR="00D219D9" w:rsidRPr="005911E2">
        <w:rPr>
          <w:lang w:eastAsia="en-AU" w:bidi="ar-SA"/>
        </w:rPr>
        <w:t xml:space="preserve">, Alice Springs </w:t>
      </w:r>
    </w:p>
    <w:p w:rsidR="00D219D9" w:rsidRPr="005911E2" w:rsidRDefault="00D219D9" w:rsidP="00D219D9">
      <w:pPr>
        <w:pStyle w:val="miniquote"/>
        <w:rPr>
          <w:lang w:eastAsia="en-AU" w:bidi="ar-SA"/>
        </w:rPr>
      </w:pPr>
      <w:r w:rsidRPr="005911E2">
        <w:rPr>
          <w:lang w:eastAsia="en-AU" w:bidi="ar-SA"/>
        </w:rPr>
        <w:t>Easier to pay for food for funerals and petrol for travelling</w:t>
      </w:r>
      <w:r w:rsidR="0018601C">
        <w:rPr>
          <w:lang w:eastAsia="en-AU" w:bidi="ar-SA"/>
        </w:rPr>
        <w:t>.</w:t>
      </w:r>
    </w:p>
    <w:p w:rsidR="00D219D9" w:rsidRPr="005911E2" w:rsidRDefault="008C142B" w:rsidP="00D219D9">
      <w:pPr>
        <w:pStyle w:val="mininame"/>
        <w:rPr>
          <w:lang w:eastAsia="en-AU" w:bidi="ar-SA"/>
        </w:rPr>
      </w:pPr>
      <w:r>
        <w:rPr>
          <w:lang w:eastAsia="en-AU" w:bidi="ar-SA"/>
        </w:rPr>
        <w:t>Indigenous woman</w:t>
      </w:r>
      <w:r w:rsidR="00D219D9" w:rsidRPr="005911E2">
        <w:rPr>
          <w:lang w:eastAsia="en-AU" w:bidi="ar-SA"/>
        </w:rPr>
        <w:t>, Remote NT</w:t>
      </w:r>
    </w:p>
    <w:p w:rsidR="00D219D9" w:rsidRPr="005911E2" w:rsidRDefault="00D219D9" w:rsidP="00D219D9">
      <w:pPr>
        <w:pStyle w:val="miniquote"/>
        <w:rPr>
          <w:lang w:eastAsia="en-AU" w:bidi="ar-SA"/>
        </w:rPr>
      </w:pPr>
      <w:r w:rsidRPr="005911E2">
        <w:rPr>
          <w:lang w:eastAsia="en-AU" w:bidi="ar-SA"/>
        </w:rPr>
        <w:t xml:space="preserve">Easier, ‘cause I spend </w:t>
      </w:r>
      <w:r w:rsidR="009D040F">
        <w:rPr>
          <w:lang w:eastAsia="en-AU" w:bidi="ar-SA"/>
        </w:rPr>
        <w:t xml:space="preserve">BasicsCard </w:t>
      </w:r>
      <w:r w:rsidRPr="005911E2">
        <w:rPr>
          <w:lang w:eastAsia="en-AU" w:bidi="ar-SA"/>
        </w:rPr>
        <w:t>on fuel and etc</w:t>
      </w:r>
      <w:r w:rsidR="0018601C">
        <w:rPr>
          <w:lang w:eastAsia="en-AU" w:bidi="ar-SA"/>
        </w:rPr>
        <w:t>.</w:t>
      </w:r>
      <w:r w:rsidRPr="005911E2">
        <w:rPr>
          <w:lang w:eastAsia="en-AU" w:bidi="ar-SA"/>
        </w:rPr>
        <w:t xml:space="preserve"> and have cash for pocket money when travelling out bush/ceremonial/family visit.</w:t>
      </w:r>
    </w:p>
    <w:p w:rsidR="00D219D9" w:rsidRPr="005911E2" w:rsidRDefault="008C142B" w:rsidP="00D219D9">
      <w:pPr>
        <w:pStyle w:val="mininame"/>
        <w:rPr>
          <w:lang w:eastAsia="en-AU" w:bidi="ar-SA"/>
        </w:rPr>
      </w:pPr>
      <w:r>
        <w:rPr>
          <w:lang w:eastAsia="en-AU" w:bidi="ar-SA"/>
        </w:rPr>
        <w:t>Indigenous man</w:t>
      </w:r>
      <w:r w:rsidR="00D219D9" w:rsidRPr="005911E2">
        <w:rPr>
          <w:lang w:eastAsia="en-AU" w:bidi="ar-SA"/>
        </w:rPr>
        <w:t>, Remote NT</w:t>
      </w:r>
    </w:p>
    <w:p w:rsidR="00D219D9" w:rsidRPr="005911E2" w:rsidRDefault="00D219D9" w:rsidP="00D219D9">
      <w:pPr>
        <w:pStyle w:val="BodyText1"/>
      </w:pPr>
      <w:r w:rsidRPr="005911E2">
        <w:t>Others, though, reported difficulties. Problems of paying for airfares were a particular concern for many</w:t>
      </w:r>
      <w:r w:rsidR="0018601C">
        <w:t>.</w:t>
      </w:r>
    </w:p>
    <w:p w:rsidR="00D219D9" w:rsidRPr="005911E2" w:rsidRDefault="00D219D9" w:rsidP="00D219D9">
      <w:pPr>
        <w:pStyle w:val="miniquote"/>
      </w:pPr>
      <w:r w:rsidRPr="005911E2">
        <w:t xml:space="preserve">It has when I've had funerals in the family and it really hard to travel to Tiwi </w:t>
      </w:r>
      <w:r w:rsidR="006A787A" w:rsidRPr="005911E2">
        <w:t>Island</w:t>
      </w:r>
      <w:r w:rsidRPr="005911E2">
        <w:t xml:space="preserve"> and Alice Springs for them.... Had to get family to pay for it then pay them back in food</w:t>
      </w:r>
      <w:r w:rsidR="0018601C">
        <w:t>.</w:t>
      </w:r>
    </w:p>
    <w:p w:rsidR="00D219D9" w:rsidRPr="005911E2" w:rsidRDefault="008C142B" w:rsidP="00D219D9">
      <w:pPr>
        <w:pStyle w:val="mininame"/>
      </w:pPr>
      <w:r>
        <w:t>Indigenous woman</w:t>
      </w:r>
      <w:r w:rsidR="00E010D1">
        <w:t>,</w:t>
      </w:r>
      <w:r w:rsidR="00D219D9" w:rsidRPr="005911E2">
        <w:t xml:space="preserve"> Darwin</w:t>
      </w:r>
    </w:p>
    <w:p w:rsidR="00D219D9" w:rsidRPr="005911E2" w:rsidRDefault="00D219D9" w:rsidP="00D219D9">
      <w:pPr>
        <w:pStyle w:val="miniquote"/>
      </w:pPr>
      <w:r w:rsidRPr="005911E2">
        <w:t xml:space="preserve">It's hard to pay for funerals or get to funerals. I'd rather have cash in my pocket. </w:t>
      </w:r>
    </w:p>
    <w:p w:rsidR="00D219D9" w:rsidRPr="005911E2" w:rsidRDefault="008C142B" w:rsidP="00D219D9">
      <w:pPr>
        <w:pStyle w:val="mininame"/>
      </w:pPr>
      <w:r>
        <w:t>Indigenous woman</w:t>
      </w:r>
      <w:r w:rsidR="00D219D9" w:rsidRPr="005911E2">
        <w:t xml:space="preserve">, Remote NT </w:t>
      </w:r>
    </w:p>
    <w:p w:rsidR="00D219D9" w:rsidRPr="005911E2" w:rsidRDefault="00D219D9" w:rsidP="00D219D9">
      <w:pPr>
        <w:pStyle w:val="Heading3"/>
      </w:pPr>
      <w:r w:rsidRPr="005911E2">
        <w:t>Family and other activities</w:t>
      </w:r>
    </w:p>
    <w:p w:rsidR="00D219D9" w:rsidRPr="005911E2" w:rsidRDefault="00D219D9" w:rsidP="00D219D9">
      <w:pPr>
        <w:pStyle w:val="BodyText"/>
        <w:rPr>
          <w:lang w:bidi="ar-SA"/>
        </w:rPr>
      </w:pPr>
      <w:r w:rsidRPr="005911E2">
        <w:rPr>
          <w:lang w:bidi="ar-SA"/>
        </w:rPr>
        <w:t xml:space="preserve">A number of people reported that they felt that </w:t>
      </w:r>
      <w:r w:rsidR="00F878E4">
        <w:rPr>
          <w:lang w:bidi="ar-SA"/>
        </w:rPr>
        <w:t>income management</w:t>
      </w:r>
      <w:r w:rsidRPr="005911E2">
        <w:rPr>
          <w:lang w:bidi="ar-SA"/>
        </w:rPr>
        <w:t xml:space="preserve"> had made it more difficult to engage in family and other activities. One subject that was raised in many of the interviews was the problem of paying for entry to cinemas, sporting events and shows</w:t>
      </w:r>
      <w:r w:rsidR="0018601C">
        <w:rPr>
          <w:lang w:bidi="ar-SA"/>
        </w:rPr>
        <w:t>,</w:t>
      </w:r>
      <w:r w:rsidRPr="005911E2">
        <w:rPr>
          <w:lang w:bidi="ar-SA"/>
        </w:rPr>
        <w:t xml:space="preserve"> none of which would accept </w:t>
      </w:r>
      <w:r w:rsidR="0018601C">
        <w:rPr>
          <w:lang w:bidi="ar-SA"/>
        </w:rPr>
        <w:t xml:space="preserve">the </w:t>
      </w:r>
      <w:r w:rsidRPr="005911E2">
        <w:rPr>
          <w:lang w:bidi="ar-SA"/>
        </w:rPr>
        <w:t>BasicsCard.</w:t>
      </w:r>
    </w:p>
    <w:p w:rsidR="00D219D9" w:rsidRPr="005911E2" w:rsidRDefault="00D219D9" w:rsidP="00D219D9">
      <w:pPr>
        <w:pStyle w:val="miniquote"/>
      </w:pPr>
      <w:r w:rsidRPr="005911E2">
        <w:t>It has c</w:t>
      </w:r>
      <w:r w:rsidR="00813623">
        <w:t>hanged family outing, I thought it</w:t>
      </w:r>
      <w:r w:rsidRPr="005911E2">
        <w:t xml:space="preserve"> was protecting the kids but you can't get or do anything they want with income management.</w:t>
      </w:r>
    </w:p>
    <w:p w:rsidR="00D219D9" w:rsidRPr="005911E2" w:rsidRDefault="00D219D9" w:rsidP="00D219D9">
      <w:pPr>
        <w:pStyle w:val="mininame"/>
      </w:pPr>
      <w:r w:rsidRPr="005911E2">
        <w:t>Indigenous</w:t>
      </w:r>
      <w:r w:rsidR="008C142B">
        <w:t xml:space="preserve"> woman,</w:t>
      </w:r>
      <w:r w:rsidRPr="005911E2">
        <w:t xml:space="preserve"> Darwin</w:t>
      </w:r>
    </w:p>
    <w:p w:rsidR="00D219D9" w:rsidRPr="005911E2" w:rsidRDefault="00D219D9" w:rsidP="00D219D9">
      <w:pPr>
        <w:pStyle w:val="miniquote"/>
      </w:pPr>
      <w:r w:rsidRPr="005911E2">
        <w:t xml:space="preserve">It has affected the social activity with my children. Things like go to Crocodylus </w:t>
      </w:r>
      <w:r w:rsidR="00CF545F" w:rsidRPr="005911E2">
        <w:t>Park</w:t>
      </w:r>
      <w:r w:rsidRPr="005911E2">
        <w:t>, the wildlife park, the bowling, things like go to a nice dinner or lunch with my children and sporting events and fees for my child’s involvement.</w:t>
      </w:r>
    </w:p>
    <w:p w:rsidR="00D219D9" w:rsidRPr="005911E2" w:rsidRDefault="008C142B" w:rsidP="00D219D9">
      <w:pPr>
        <w:pStyle w:val="mininame"/>
      </w:pPr>
      <w:r>
        <w:t>Non-Indigenous woman</w:t>
      </w:r>
      <w:r w:rsidR="00D219D9" w:rsidRPr="005911E2">
        <w:t xml:space="preserve">, Darwin </w:t>
      </w:r>
    </w:p>
    <w:p w:rsidR="00D219D9" w:rsidRPr="005911E2" w:rsidRDefault="00D219D9" w:rsidP="00D219D9">
      <w:pPr>
        <w:pStyle w:val="miniquote"/>
      </w:pPr>
      <w:r w:rsidRPr="005911E2">
        <w:t xml:space="preserve">When I went to take the kids to the Darwin show I couldn’t get in because they wouldn’t take the </w:t>
      </w:r>
      <w:r w:rsidR="002D097C">
        <w:t>BasicsCard</w:t>
      </w:r>
      <w:r w:rsidRPr="005911E2">
        <w:t xml:space="preserve"> – the kids had to miss out</w:t>
      </w:r>
      <w:r w:rsidR="0018601C">
        <w:t>.</w:t>
      </w:r>
    </w:p>
    <w:p w:rsidR="00D219D9" w:rsidRPr="005911E2" w:rsidRDefault="008C142B" w:rsidP="00D219D9">
      <w:pPr>
        <w:pStyle w:val="mininame"/>
      </w:pPr>
      <w:r>
        <w:t>Indigenous woman</w:t>
      </w:r>
      <w:r w:rsidR="00D219D9" w:rsidRPr="005911E2">
        <w:t xml:space="preserve">, Darwin </w:t>
      </w:r>
    </w:p>
    <w:p w:rsidR="00D219D9" w:rsidRPr="005911E2" w:rsidRDefault="00D219D9" w:rsidP="00D219D9">
      <w:pPr>
        <w:pStyle w:val="miniquote"/>
        <w:rPr>
          <w:lang w:eastAsia="en-AU" w:bidi="ar-SA"/>
        </w:rPr>
      </w:pPr>
      <w:r w:rsidRPr="005911E2">
        <w:rPr>
          <w:lang w:eastAsia="en-AU" w:bidi="ar-SA"/>
        </w:rPr>
        <w:t xml:space="preserve">When we have international stars who come to perform in Alice Springs like big name rappers, we can't pay with our </w:t>
      </w:r>
      <w:r w:rsidR="002D097C">
        <w:rPr>
          <w:lang w:eastAsia="en-AU" w:bidi="ar-SA"/>
        </w:rPr>
        <w:t>BasicsCard</w:t>
      </w:r>
      <w:r w:rsidRPr="005911E2">
        <w:rPr>
          <w:lang w:eastAsia="en-AU" w:bidi="ar-SA"/>
        </w:rPr>
        <w:t xml:space="preserve"> to</w:t>
      </w:r>
      <w:r w:rsidR="00F34C94">
        <w:rPr>
          <w:lang w:eastAsia="en-AU" w:bidi="ar-SA"/>
        </w:rPr>
        <w:t xml:space="preserve"> get in to see the</w:t>
      </w:r>
      <w:r w:rsidRPr="005911E2">
        <w:rPr>
          <w:lang w:eastAsia="en-AU" w:bidi="ar-SA"/>
        </w:rPr>
        <w:t xml:space="preserve"> big acts. Even if we want to go to the football game we can't pay with our </w:t>
      </w:r>
      <w:r w:rsidR="009D040F">
        <w:rPr>
          <w:lang w:eastAsia="en-AU" w:bidi="ar-SA"/>
        </w:rPr>
        <w:t>BasicsCard</w:t>
      </w:r>
      <w:r w:rsidR="0018601C">
        <w:rPr>
          <w:lang w:eastAsia="en-AU" w:bidi="ar-SA"/>
        </w:rPr>
        <w:t>.</w:t>
      </w:r>
      <w:r w:rsidRPr="005911E2">
        <w:rPr>
          <w:lang w:eastAsia="en-AU" w:bidi="ar-SA"/>
        </w:rPr>
        <w:t xml:space="preserve"> </w:t>
      </w:r>
    </w:p>
    <w:p w:rsidR="00D219D9" w:rsidRPr="005911E2" w:rsidRDefault="008C142B" w:rsidP="00D219D9">
      <w:pPr>
        <w:pStyle w:val="mininame"/>
        <w:rPr>
          <w:lang w:eastAsia="en-AU" w:bidi="ar-SA"/>
        </w:rPr>
      </w:pPr>
      <w:r>
        <w:rPr>
          <w:lang w:eastAsia="en-AU" w:bidi="ar-SA"/>
        </w:rPr>
        <w:t>Indigenous woman</w:t>
      </w:r>
      <w:r w:rsidR="00D219D9" w:rsidRPr="005911E2">
        <w:rPr>
          <w:lang w:eastAsia="en-AU" w:bidi="ar-SA"/>
        </w:rPr>
        <w:t xml:space="preserve">, Alice Springs </w:t>
      </w:r>
    </w:p>
    <w:p w:rsidR="00D219D9" w:rsidRPr="005911E2" w:rsidRDefault="00D219D9" w:rsidP="00D219D9">
      <w:pPr>
        <w:pStyle w:val="BodyText"/>
        <w:rPr>
          <w:lang w:bidi="ar-SA"/>
        </w:rPr>
      </w:pPr>
      <w:r w:rsidRPr="005911E2">
        <w:rPr>
          <w:lang w:bidi="ar-SA"/>
        </w:rPr>
        <w:t>One specific problem for some people was travelling to remote communities and then having a need to request Centrelink to pay for bills, transfer money between accounts or simply to check a balance</w:t>
      </w:r>
      <w:r w:rsidR="0018601C">
        <w:rPr>
          <w:lang w:bidi="ar-SA"/>
        </w:rPr>
        <w:t>.</w:t>
      </w:r>
    </w:p>
    <w:p w:rsidR="00D219D9" w:rsidRPr="005911E2" w:rsidRDefault="00D219D9" w:rsidP="00D219D9">
      <w:pPr>
        <w:pStyle w:val="miniquote"/>
        <w:rPr>
          <w:lang w:eastAsia="en-AU" w:bidi="ar-SA"/>
        </w:rPr>
      </w:pPr>
      <w:r w:rsidRPr="005911E2">
        <w:rPr>
          <w:lang w:eastAsia="en-AU" w:bidi="ar-SA"/>
        </w:rPr>
        <w:t>Harder if I need to travel anywhere it's hard because I have to ring to put money on and there is no phone to do that in another community sometimes.</w:t>
      </w:r>
    </w:p>
    <w:p w:rsidR="00D219D9" w:rsidRPr="005911E2" w:rsidRDefault="008C142B" w:rsidP="00D219D9">
      <w:pPr>
        <w:pStyle w:val="mininame"/>
      </w:pPr>
      <w:r>
        <w:t>Indigenous woman</w:t>
      </w:r>
      <w:r w:rsidR="00D219D9" w:rsidRPr="005911E2">
        <w:t>, Remote NT</w:t>
      </w:r>
    </w:p>
    <w:p w:rsidR="00D219D9" w:rsidRPr="005911E2" w:rsidRDefault="00D219D9" w:rsidP="00D219D9">
      <w:pPr>
        <w:pStyle w:val="miniquote"/>
      </w:pPr>
      <w:r w:rsidRPr="005911E2">
        <w:t>Harder, sometimes when I travel to other communities for sport or other, it is hard because there is no telephone to ring and find out how much money I've got</w:t>
      </w:r>
      <w:r w:rsidR="0018601C">
        <w:t>.</w:t>
      </w:r>
    </w:p>
    <w:p w:rsidR="00D219D9" w:rsidRPr="005911E2" w:rsidRDefault="008C142B" w:rsidP="00D219D9">
      <w:pPr>
        <w:pStyle w:val="mininame"/>
      </w:pPr>
      <w:r>
        <w:t>Indigenous woman</w:t>
      </w:r>
      <w:r w:rsidR="00D219D9" w:rsidRPr="005911E2">
        <w:t>, Remote NT</w:t>
      </w:r>
    </w:p>
    <w:p w:rsidR="00D219D9" w:rsidRPr="005911E2" w:rsidRDefault="00D219D9" w:rsidP="00D219D9">
      <w:pPr>
        <w:pStyle w:val="BodyText"/>
      </w:pPr>
      <w:r w:rsidRPr="005911E2">
        <w:t>More generally some found with less cash they were unable to assist their families or meet obligations such as purchasing presents.</w:t>
      </w:r>
    </w:p>
    <w:p w:rsidR="00D219D9" w:rsidRPr="005911E2" w:rsidRDefault="00D219D9" w:rsidP="00D219D9">
      <w:pPr>
        <w:pStyle w:val="miniquote"/>
      </w:pPr>
      <w:r w:rsidRPr="005911E2">
        <w:t>Family obligations now it's a lot more restricted. To buy presents and stuff like that.</w:t>
      </w:r>
    </w:p>
    <w:p w:rsidR="00D219D9" w:rsidRPr="005911E2" w:rsidRDefault="008C142B" w:rsidP="00D219D9">
      <w:pPr>
        <w:pStyle w:val="mininame"/>
      </w:pPr>
      <w:r>
        <w:t>Indigenous woman</w:t>
      </w:r>
      <w:r w:rsidR="00D219D9" w:rsidRPr="005911E2">
        <w:t>, Remote NT</w:t>
      </w:r>
    </w:p>
    <w:p w:rsidR="00D219D9" w:rsidRPr="005911E2" w:rsidRDefault="00D219D9" w:rsidP="00D219D9">
      <w:pPr>
        <w:pStyle w:val="miniquote"/>
      </w:pPr>
      <w:r w:rsidRPr="005911E2">
        <w:t>I can’t help out my son at all. I will be on the BasicsCard as of next fortnight and I was on the BasicsCard prior to becoming a carer. I was only off the BasicsCard for three and a half months. I am worried about my son when I am on BasicsCard.</w:t>
      </w:r>
      <w:r w:rsidR="00B62B2D">
        <w:t xml:space="preserve"> </w:t>
      </w:r>
    </w:p>
    <w:p w:rsidR="00D219D9" w:rsidRPr="005911E2" w:rsidRDefault="008C142B" w:rsidP="00D219D9">
      <w:pPr>
        <w:pStyle w:val="mininame"/>
      </w:pPr>
      <w:r>
        <w:t>Indigenous man</w:t>
      </w:r>
      <w:r w:rsidR="00D219D9" w:rsidRPr="005911E2">
        <w:t xml:space="preserve">, Darwin </w:t>
      </w:r>
    </w:p>
    <w:p w:rsidR="00D219D9" w:rsidRPr="005911E2" w:rsidRDefault="00D219D9" w:rsidP="00D219D9">
      <w:pPr>
        <w:pStyle w:val="Heading3"/>
      </w:pPr>
      <w:r w:rsidRPr="005911E2">
        <w:t xml:space="preserve">Sense of control </w:t>
      </w:r>
    </w:p>
    <w:p w:rsidR="00D219D9" w:rsidRPr="005911E2" w:rsidRDefault="00D219D9" w:rsidP="00D219D9">
      <w:pPr>
        <w:pStyle w:val="BodyText"/>
        <w:rPr>
          <w:lang w:bidi="ar-SA"/>
        </w:rPr>
      </w:pPr>
      <w:r w:rsidRPr="005911E2">
        <w:rPr>
          <w:lang w:bidi="ar-SA"/>
        </w:rPr>
        <w:t>A recurrent theme in many interviews was a desire of people for a sense of autonomy and control in their lives.</w:t>
      </w:r>
    </w:p>
    <w:p w:rsidR="00D219D9" w:rsidRPr="005911E2" w:rsidRDefault="00D219D9" w:rsidP="00D219D9">
      <w:pPr>
        <w:pStyle w:val="miniquote"/>
        <w:rPr>
          <w:lang w:bidi="ar-SA"/>
        </w:rPr>
      </w:pPr>
      <w:r w:rsidRPr="005911E2">
        <w:rPr>
          <w:lang w:bidi="ar-SA"/>
        </w:rPr>
        <w:t>I went to college and we were taught about managing our money. I was really excited to be leaving school and experiencing life outside of college. As soon as I moved back to my community I was dumped with this BasicsCard. I was not prepared for this and now I struggle because I now have to adjust to the Government</w:t>
      </w:r>
      <w:r w:rsidR="002D097C">
        <w:rPr>
          <w:lang w:bidi="ar-SA"/>
        </w:rPr>
        <w:t>’</w:t>
      </w:r>
      <w:r w:rsidRPr="005911E2">
        <w:rPr>
          <w:lang w:bidi="ar-SA"/>
        </w:rPr>
        <w:t>s way of money management. Not fair that this has come along</w:t>
      </w:r>
      <w:r w:rsidR="002D097C">
        <w:rPr>
          <w:lang w:bidi="ar-SA"/>
        </w:rPr>
        <w:t>.</w:t>
      </w:r>
      <w:r w:rsidRPr="005911E2">
        <w:rPr>
          <w:lang w:bidi="ar-SA"/>
        </w:rPr>
        <w:t xml:space="preserve"> </w:t>
      </w:r>
      <w:r w:rsidR="002D097C">
        <w:rPr>
          <w:lang w:bidi="ar-SA"/>
        </w:rPr>
        <w:t>I</w:t>
      </w:r>
      <w:r w:rsidRPr="005911E2">
        <w:rPr>
          <w:lang w:bidi="ar-SA"/>
        </w:rPr>
        <w:t>t’s like</w:t>
      </w:r>
      <w:r w:rsidR="002D097C">
        <w:rPr>
          <w:lang w:bidi="ar-SA"/>
        </w:rPr>
        <w:t>,</w:t>
      </w:r>
      <w:r w:rsidRPr="005911E2">
        <w:rPr>
          <w:lang w:bidi="ar-SA"/>
        </w:rPr>
        <w:t xml:space="preserve"> it’s stopped me from wanting to experience life that I wanted my way, my choice. </w:t>
      </w:r>
    </w:p>
    <w:p w:rsidR="00D219D9" w:rsidRPr="005911E2" w:rsidRDefault="008C142B" w:rsidP="00D219D9">
      <w:pPr>
        <w:pStyle w:val="mininame"/>
        <w:rPr>
          <w:lang w:bidi="ar-SA"/>
        </w:rPr>
      </w:pPr>
      <w:r>
        <w:rPr>
          <w:lang w:bidi="ar-SA"/>
        </w:rPr>
        <w:t>Indigenous woman</w:t>
      </w:r>
      <w:r w:rsidR="00D219D9" w:rsidRPr="005911E2">
        <w:rPr>
          <w:lang w:bidi="ar-SA"/>
        </w:rPr>
        <w:t xml:space="preserve">, Alice Springs </w:t>
      </w:r>
    </w:p>
    <w:p w:rsidR="00D219D9" w:rsidRPr="005911E2" w:rsidRDefault="00D219D9" w:rsidP="00D219D9">
      <w:pPr>
        <w:pStyle w:val="miniquote"/>
        <w:rPr>
          <w:lang w:eastAsia="en-AU" w:bidi="ar-SA"/>
        </w:rPr>
      </w:pPr>
      <w:r w:rsidRPr="005911E2">
        <w:rPr>
          <w:lang w:eastAsia="en-AU" w:bidi="ar-SA"/>
        </w:rPr>
        <w:t>The reason why I don't like income manage</w:t>
      </w:r>
      <w:r w:rsidR="00813623">
        <w:rPr>
          <w:lang w:eastAsia="en-AU" w:bidi="ar-SA"/>
        </w:rPr>
        <w:t>ment</w:t>
      </w:r>
      <w:r w:rsidRPr="005911E2">
        <w:rPr>
          <w:lang w:eastAsia="en-AU" w:bidi="ar-SA"/>
        </w:rPr>
        <w:t xml:space="preserve"> is because we don’t make decisions on how we want to be paid because decisions are made by Centrelink</w:t>
      </w:r>
      <w:r w:rsidR="0018601C">
        <w:rPr>
          <w:lang w:eastAsia="en-AU" w:bidi="ar-SA"/>
        </w:rPr>
        <w:t>.</w:t>
      </w:r>
    </w:p>
    <w:p w:rsidR="00D219D9" w:rsidRPr="005911E2" w:rsidRDefault="008C142B" w:rsidP="00D219D9">
      <w:pPr>
        <w:pStyle w:val="mininame"/>
        <w:rPr>
          <w:lang w:bidi="ar-SA"/>
        </w:rPr>
      </w:pPr>
      <w:r>
        <w:rPr>
          <w:lang w:bidi="ar-SA"/>
        </w:rPr>
        <w:t>Indigenous woman</w:t>
      </w:r>
      <w:r w:rsidR="00D219D9" w:rsidRPr="005911E2">
        <w:rPr>
          <w:lang w:bidi="ar-SA"/>
        </w:rPr>
        <w:t>, Remote NT</w:t>
      </w:r>
    </w:p>
    <w:p w:rsidR="00D219D9" w:rsidRPr="005911E2" w:rsidRDefault="00D219D9" w:rsidP="00D219D9">
      <w:pPr>
        <w:pStyle w:val="BodyText"/>
        <w:rPr>
          <w:lang w:bidi="ar-SA"/>
        </w:rPr>
      </w:pPr>
      <w:r w:rsidRPr="005911E2">
        <w:rPr>
          <w:lang w:bidi="ar-SA"/>
        </w:rPr>
        <w:t xml:space="preserve">In some cases the lack of control from being income managed was seen as being a barrier to coming off </w:t>
      </w:r>
      <w:r w:rsidR="00F878E4">
        <w:rPr>
          <w:lang w:bidi="ar-SA"/>
        </w:rPr>
        <w:t>income management</w:t>
      </w:r>
      <w:r w:rsidRPr="005911E2">
        <w:rPr>
          <w:lang w:bidi="ar-SA"/>
        </w:rPr>
        <w:t>.</w:t>
      </w:r>
    </w:p>
    <w:p w:rsidR="00D219D9" w:rsidRPr="005911E2" w:rsidRDefault="00D219D9" w:rsidP="00D219D9">
      <w:pPr>
        <w:pStyle w:val="miniquote"/>
        <w:rPr>
          <w:lang w:bidi="ar-SA"/>
        </w:rPr>
      </w:pPr>
      <w:r w:rsidRPr="005911E2">
        <w:rPr>
          <w:lang w:bidi="ar-SA"/>
        </w:rPr>
        <w:t>If I get off it then how will I manage my money</w:t>
      </w:r>
      <w:r w:rsidR="0018601C">
        <w:rPr>
          <w:lang w:bidi="ar-SA"/>
        </w:rPr>
        <w:t>?</w:t>
      </w:r>
      <w:r w:rsidRPr="005911E2">
        <w:rPr>
          <w:lang w:bidi="ar-SA"/>
        </w:rPr>
        <w:t xml:space="preserve"> It will take me a while to get used of having cash and to manage it at the same time. Same as when I first came to be income managed it took me </w:t>
      </w:r>
      <w:r w:rsidR="00CA1E68" w:rsidRPr="005911E2">
        <w:rPr>
          <w:lang w:bidi="ar-SA"/>
        </w:rPr>
        <w:t xml:space="preserve">a </w:t>
      </w:r>
      <w:r w:rsidRPr="005911E2">
        <w:rPr>
          <w:lang w:bidi="ar-SA"/>
        </w:rPr>
        <w:t>while to say it was okay to live with.</w:t>
      </w:r>
    </w:p>
    <w:p w:rsidR="00D219D9" w:rsidRPr="005911E2" w:rsidRDefault="008C142B" w:rsidP="00D219D9">
      <w:pPr>
        <w:pStyle w:val="mininame"/>
        <w:rPr>
          <w:lang w:bidi="ar-SA"/>
        </w:rPr>
      </w:pPr>
      <w:r>
        <w:rPr>
          <w:lang w:bidi="ar-SA"/>
        </w:rPr>
        <w:t>Indigenous woman</w:t>
      </w:r>
      <w:r w:rsidR="00D219D9" w:rsidRPr="005911E2">
        <w:rPr>
          <w:lang w:bidi="ar-SA"/>
        </w:rPr>
        <w:t>, Remote NT</w:t>
      </w:r>
    </w:p>
    <w:p w:rsidR="00D219D9" w:rsidRPr="005911E2" w:rsidRDefault="00D219D9" w:rsidP="00D219D9">
      <w:r w:rsidRPr="005911E2">
        <w:t xml:space="preserve">For some, the frustration went even further, suggesting that </w:t>
      </w:r>
      <w:r w:rsidR="00F878E4">
        <w:t>income management</w:t>
      </w:r>
      <w:r w:rsidRPr="005911E2">
        <w:t xml:space="preserve"> was preventing them from seeking employment:</w:t>
      </w:r>
    </w:p>
    <w:p w:rsidR="00D219D9" w:rsidRPr="005911E2" w:rsidRDefault="00D219D9" w:rsidP="00D219D9">
      <w:pPr>
        <w:pStyle w:val="miniquote"/>
      </w:pPr>
      <w:r w:rsidRPr="005911E2">
        <w:t>F**n’ sux. We can't fix our boat so can't work</w:t>
      </w:r>
      <w:r w:rsidR="002D097C">
        <w:t>,</w:t>
      </w:r>
      <w:r w:rsidRPr="005911E2">
        <w:t xml:space="preserve"> so figure we will just stay on the dole</w:t>
      </w:r>
      <w:r w:rsidR="002D097C">
        <w:t>,</w:t>
      </w:r>
      <w:r w:rsidRPr="005911E2">
        <w:t xml:space="preserve"> that's what they want anyway.</w:t>
      </w:r>
    </w:p>
    <w:p w:rsidR="00D219D9" w:rsidRPr="005911E2" w:rsidRDefault="008C142B" w:rsidP="00D219D9">
      <w:pPr>
        <w:pStyle w:val="mininame"/>
        <w:rPr>
          <w:lang w:eastAsia="en-AU" w:bidi="ar-SA"/>
        </w:rPr>
      </w:pPr>
      <w:r>
        <w:t>Non-Indigenous woman, Darwin</w:t>
      </w:r>
    </w:p>
    <w:p w:rsidR="00D219D9" w:rsidRPr="005911E2" w:rsidRDefault="00D219D9" w:rsidP="00D219D9">
      <w:pPr>
        <w:pStyle w:val="mininame"/>
        <w:rPr>
          <w:lang w:bidi="ar-SA"/>
        </w:rPr>
      </w:pPr>
    </w:p>
    <w:p w:rsidR="00D96A58" w:rsidRDefault="00D219D9">
      <w:pPr>
        <w:pStyle w:val="Heading2"/>
      </w:pPr>
      <w:bookmarkStart w:id="1142" w:name="_Toc328601544"/>
      <w:bookmarkStart w:id="1143" w:name="_Toc329870425"/>
      <w:bookmarkStart w:id="1144" w:name="_Toc335915811"/>
      <w:r w:rsidRPr="005911E2">
        <w:t>Applying for exemptions</w:t>
      </w:r>
      <w:bookmarkEnd w:id="1142"/>
      <w:bookmarkEnd w:id="1143"/>
      <w:bookmarkEnd w:id="1144"/>
      <w:r w:rsidRPr="005911E2">
        <w:t xml:space="preserve"> </w:t>
      </w:r>
    </w:p>
    <w:p w:rsidR="00D219D9" w:rsidRPr="005911E2" w:rsidRDefault="00D219D9" w:rsidP="00D219D9">
      <w:pPr>
        <w:pStyle w:val="BodyText"/>
      </w:pPr>
      <w:r w:rsidRPr="005911E2">
        <w:t xml:space="preserve">As discussed in </w:t>
      </w:r>
      <w:r w:rsidR="00CA1E68" w:rsidRPr="005911E2">
        <w:t>Chapter 8</w:t>
      </w:r>
      <w:r w:rsidR="0018601C">
        <w:t>,</w:t>
      </w:r>
      <w:r w:rsidRPr="005911E2">
        <w:t xml:space="preserve"> exemptions were a </w:t>
      </w:r>
      <w:r w:rsidR="0018601C">
        <w:t>difficult</w:t>
      </w:r>
      <w:r w:rsidR="0018601C" w:rsidRPr="005911E2">
        <w:t xml:space="preserve"> </w:t>
      </w:r>
      <w:r w:rsidRPr="005911E2">
        <w:t xml:space="preserve">issue for many. A number of participants mentioned that they had been advised that they were ineligible or that they did not meet the </w:t>
      </w:r>
      <w:r w:rsidR="0018601C">
        <w:t xml:space="preserve">exemption </w:t>
      </w:r>
      <w:r w:rsidRPr="005911E2">
        <w:t>requirements. Many of the participants did not know the eligibility requirements for accessing exemptions. Reflecting the qualitative interviews from Centrelink staff, participants who pursued an exemption after their initial enquiry spoke about difficulties in obtaining or locating all the relevant documentation and records to apply.</w:t>
      </w:r>
    </w:p>
    <w:p w:rsidR="00D219D9" w:rsidRPr="005911E2" w:rsidRDefault="00D219D9" w:rsidP="00D219D9">
      <w:pPr>
        <w:pStyle w:val="miniquote"/>
      </w:pPr>
      <w:r w:rsidRPr="005911E2">
        <w:t>Didn't really get very far, I didn't meet the requirements.</w:t>
      </w:r>
    </w:p>
    <w:p w:rsidR="00D219D9" w:rsidRPr="005911E2" w:rsidRDefault="008C142B" w:rsidP="00D219D9">
      <w:pPr>
        <w:pStyle w:val="mininame"/>
      </w:pPr>
      <w:r>
        <w:t>Non-Indigenous man,</w:t>
      </w:r>
      <w:r w:rsidR="00D219D9" w:rsidRPr="005911E2">
        <w:t xml:space="preserve"> Darwin</w:t>
      </w:r>
    </w:p>
    <w:p w:rsidR="00D219D9" w:rsidRPr="005911E2" w:rsidRDefault="00D219D9" w:rsidP="00D219D9">
      <w:pPr>
        <w:pStyle w:val="miniquote"/>
      </w:pPr>
      <w:r w:rsidRPr="005911E2">
        <w:t xml:space="preserve">I went to apply for an exemption but got messed around. They said I didn't have the right information. All they needed was immunisation records - so now I have to do it all over again. I may not bother. </w:t>
      </w:r>
    </w:p>
    <w:p w:rsidR="00D219D9" w:rsidRPr="005911E2" w:rsidRDefault="00686B3D" w:rsidP="00D219D9">
      <w:pPr>
        <w:pStyle w:val="mininame"/>
      </w:pPr>
      <w:r>
        <w:t>N</w:t>
      </w:r>
      <w:r w:rsidR="00D219D9" w:rsidRPr="005911E2">
        <w:t>on-Indigenous</w:t>
      </w:r>
      <w:r>
        <w:t xml:space="preserve"> man</w:t>
      </w:r>
      <w:r w:rsidR="0018601C">
        <w:t>,</w:t>
      </w:r>
      <w:r w:rsidR="00D219D9" w:rsidRPr="005911E2">
        <w:t xml:space="preserve"> Darwin</w:t>
      </w:r>
    </w:p>
    <w:p w:rsidR="00D219D9" w:rsidRPr="005911E2" w:rsidRDefault="00D219D9" w:rsidP="00D219D9">
      <w:pPr>
        <w:pStyle w:val="miniquote"/>
      </w:pPr>
      <w:r w:rsidRPr="005911E2">
        <w:t xml:space="preserve">Get full time work then you can get off it, that’s what Centrelink said. I can’t work, so how am I going to get an exemption? </w:t>
      </w:r>
    </w:p>
    <w:p w:rsidR="00D219D9" w:rsidRPr="005911E2" w:rsidRDefault="00686B3D" w:rsidP="00D219D9">
      <w:pPr>
        <w:pStyle w:val="mininame"/>
      </w:pPr>
      <w:r>
        <w:t>N</w:t>
      </w:r>
      <w:r w:rsidR="00D219D9" w:rsidRPr="005911E2">
        <w:t>on-Indigenous</w:t>
      </w:r>
      <w:r>
        <w:t xml:space="preserve"> woman</w:t>
      </w:r>
      <w:r w:rsidR="0018601C">
        <w:t>,</w:t>
      </w:r>
      <w:r w:rsidR="0018601C" w:rsidRPr="0018601C">
        <w:t xml:space="preserve"> </w:t>
      </w:r>
      <w:r w:rsidR="0018601C" w:rsidRPr="005911E2">
        <w:t>Alice Springs</w:t>
      </w:r>
    </w:p>
    <w:p w:rsidR="00D219D9" w:rsidRPr="005911E2" w:rsidRDefault="00D219D9" w:rsidP="00D219D9">
      <w:pPr>
        <w:pStyle w:val="miniquote"/>
      </w:pPr>
      <w:r w:rsidRPr="005911E2">
        <w:t xml:space="preserve">Only reason that I got rejected was because sometimes my kids missed days of school but my ex and I have joint custody so if they don't go to school while they are in his care they </w:t>
      </w:r>
      <w:r w:rsidR="002A53BE" w:rsidRPr="005911E2">
        <w:t>penali</w:t>
      </w:r>
      <w:r w:rsidR="002A53BE">
        <w:t>s</w:t>
      </w:r>
      <w:r w:rsidR="002A53BE" w:rsidRPr="005911E2">
        <w:t xml:space="preserve">e </w:t>
      </w:r>
      <w:r w:rsidRPr="005911E2">
        <w:t>me</w:t>
      </w:r>
    </w:p>
    <w:p w:rsidR="00D219D9" w:rsidRPr="005911E2" w:rsidRDefault="00D219D9" w:rsidP="00D219D9">
      <w:pPr>
        <w:pStyle w:val="mininame"/>
      </w:pPr>
      <w:r w:rsidRPr="005911E2">
        <w:t>Indigenous</w:t>
      </w:r>
      <w:r w:rsidR="00686B3D">
        <w:t xml:space="preserve"> woman</w:t>
      </w:r>
      <w:r w:rsidRPr="005911E2">
        <w:t>, Darwin</w:t>
      </w:r>
    </w:p>
    <w:p w:rsidR="00D219D9" w:rsidRPr="005911E2" w:rsidRDefault="00D219D9" w:rsidP="00D219D9">
      <w:pPr>
        <w:pStyle w:val="miniquote"/>
      </w:pPr>
      <w:r w:rsidRPr="005911E2">
        <w:t>Had to dispute my child was going to school. They said she wasn't. Collecting all the paperwork was too hard</w:t>
      </w:r>
    </w:p>
    <w:p w:rsidR="00D219D9" w:rsidRPr="005911E2" w:rsidRDefault="00686B3D" w:rsidP="00D219D9">
      <w:pPr>
        <w:pStyle w:val="mininame"/>
      </w:pPr>
      <w:r>
        <w:t>N</w:t>
      </w:r>
      <w:r w:rsidR="00D219D9" w:rsidRPr="005911E2">
        <w:t>on-Indigenous</w:t>
      </w:r>
      <w:r>
        <w:t xml:space="preserve"> woman</w:t>
      </w:r>
      <w:r w:rsidR="00D219D9" w:rsidRPr="005911E2">
        <w:t>, Darwin</w:t>
      </w:r>
    </w:p>
    <w:p w:rsidR="00D96A58" w:rsidRDefault="00D219D9">
      <w:pPr>
        <w:pStyle w:val="Heading2"/>
      </w:pPr>
      <w:bookmarkStart w:id="1145" w:name="_Toc328601545"/>
      <w:bookmarkStart w:id="1146" w:name="_Toc329870426"/>
      <w:bookmarkStart w:id="1147" w:name="_Toc335915812"/>
      <w:r w:rsidRPr="005911E2">
        <w:t xml:space="preserve">Frustrations with aspects of </w:t>
      </w:r>
      <w:r w:rsidR="00F878E4">
        <w:t>income management</w:t>
      </w:r>
      <w:bookmarkEnd w:id="1145"/>
      <w:bookmarkEnd w:id="1146"/>
      <w:bookmarkEnd w:id="1147"/>
    </w:p>
    <w:p w:rsidR="00D219D9" w:rsidRPr="005911E2" w:rsidRDefault="00D219D9" w:rsidP="00D219D9">
      <w:pPr>
        <w:pStyle w:val="BodyText"/>
      </w:pPr>
      <w:r w:rsidRPr="005911E2">
        <w:t xml:space="preserve">Participants in the interviews expressed a number of frustrations with the day-to-day experience </w:t>
      </w:r>
      <w:r w:rsidR="00D451FE">
        <w:t xml:space="preserve">of </w:t>
      </w:r>
      <w:r w:rsidRPr="005911E2">
        <w:t xml:space="preserve">being subject to </w:t>
      </w:r>
      <w:r w:rsidR="00F878E4">
        <w:t>income management</w:t>
      </w:r>
      <w:r w:rsidRPr="005911E2">
        <w:t>. Similar to the interviews with service providers, the most common frustration was the limited locations and contexts that the BasicsCard can be used in.</w:t>
      </w:r>
      <w:r w:rsidR="00B62B2D">
        <w:t xml:space="preserve"> </w:t>
      </w:r>
    </w:p>
    <w:p w:rsidR="00D219D9" w:rsidRPr="005911E2" w:rsidRDefault="00D219D9" w:rsidP="00D219D9">
      <w:pPr>
        <w:pStyle w:val="miniquote"/>
        <w:rPr>
          <w:lang w:eastAsia="en-AU" w:bidi="ar-SA"/>
        </w:rPr>
      </w:pPr>
      <w:r w:rsidRPr="005911E2">
        <w:rPr>
          <w:lang w:eastAsia="en-AU" w:bidi="ar-SA"/>
        </w:rPr>
        <w:t>I don’t think there is anything bad about income management but sometimes people on the hotline number aren't very helpful and don't treat you very well.</w:t>
      </w:r>
    </w:p>
    <w:p w:rsidR="00D219D9" w:rsidRPr="005911E2" w:rsidRDefault="00686B3D" w:rsidP="00D219D9">
      <w:pPr>
        <w:pStyle w:val="mininame"/>
      </w:pPr>
      <w:r>
        <w:t>N</w:t>
      </w:r>
      <w:r w:rsidR="00D219D9" w:rsidRPr="005911E2">
        <w:t>on-Indigenous</w:t>
      </w:r>
      <w:r>
        <w:t xml:space="preserve"> man</w:t>
      </w:r>
      <w:r w:rsidR="00D219D9" w:rsidRPr="005911E2">
        <w:t>, Alice Springs</w:t>
      </w:r>
    </w:p>
    <w:p w:rsidR="00D219D9" w:rsidRPr="005911E2" w:rsidRDefault="00D219D9" w:rsidP="00D219D9">
      <w:pPr>
        <w:pStyle w:val="miniquote"/>
      </w:pPr>
      <w:r w:rsidRPr="005911E2">
        <w:t xml:space="preserve">Why should I wait in Centrelink line to get someone to pay my electricity </w:t>
      </w:r>
      <w:r w:rsidR="00CF545F" w:rsidRPr="005911E2">
        <w:t>bill?</w:t>
      </w:r>
      <w:r w:rsidR="00614538">
        <w:t xml:space="preserve"> </w:t>
      </w:r>
    </w:p>
    <w:p w:rsidR="00D219D9" w:rsidRPr="005911E2" w:rsidRDefault="00D219D9" w:rsidP="00D219D9">
      <w:pPr>
        <w:pStyle w:val="mininame"/>
      </w:pPr>
      <w:r w:rsidRPr="005911E2">
        <w:t>Indigenous</w:t>
      </w:r>
      <w:r w:rsidR="00686B3D">
        <w:t xml:space="preserve"> man</w:t>
      </w:r>
      <w:r w:rsidRPr="005911E2">
        <w:t xml:space="preserve">, Darwin </w:t>
      </w:r>
    </w:p>
    <w:p w:rsidR="00D219D9" w:rsidRPr="005911E2" w:rsidRDefault="00D219D9" w:rsidP="00D219D9">
      <w:pPr>
        <w:pStyle w:val="BodyText"/>
      </w:pPr>
      <w:r w:rsidRPr="005911E2">
        <w:t xml:space="preserve">This could limit people’s ability to socialise or assist their families. </w:t>
      </w:r>
    </w:p>
    <w:p w:rsidR="00D219D9" w:rsidRPr="005911E2" w:rsidRDefault="00D219D9" w:rsidP="00D219D9">
      <w:pPr>
        <w:pStyle w:val="miniquote"/>
      </w:pPr>
      <w:r w:rsidRPr="005911E2">
        <w:t xml:space="preserve">Before </w:t>
      </w:r>
      <w:r w:rsidR="00D451FE">
        <w:t>i</w:t>
      </w:r>
      <w:r w:rsidRPr="005911E2">
        <w:t xml:space="preserve">ncome </w:t>
      </w:r>
      <w:r w:rsidR="00D451FE">
        <w:t>m</w:t>
      </w:r>
      <w:r w:rsidRPr="005911E2">
        <w:t>anagement I had Centrepay. Once everything was done that money left was pocket money and going out money for me.</w:t>
      </w:r>
      <w:r w:rsidR="00D451FE">
        <w:t xml:space="preserve"> </w:t>
      </w:r>
      <w:r w:rsidRPr="005911E2">
        <w:t>I would use to like to go to the Cinema and get dressed up and go to the restaurants and teach my girls how to eat and be at all different places. Coles says we can't buy vouchers with BasicsCard</w:t>
      </w:r>
      <w:r w:rsidR="00D451FE">
        <w:t>,</w:t>
      </w:r>
      <w:r w:rsidRPr="005911E2">
        <w:t xml:space="preserve"> they wouldn't let me take my kids to the Cinema cause I wasn't allowed to buy gift cards. I sent my girls to Broome when I was in Queensland and they had no money so I bought the gift cards to give my girls toiletries and food. When I came back to NT I couldn’t buy a gift card for my children and help them like I used to.</w:t>
      </w:r>
    </w:p>
    <w:p w:rsidR="00D219D9" w:rsidRPr="005911E2" w:rsidRDefault="00686B3D" w:rsidP="00D219D9">
      <w:pPr>
        <w:pStyle w:val="mininame"/>
      </w:pPr>
      <w:r>
        <w:t>Indigenous woman</w:t>
      </w:r>
      <w:r w:rsidR="00D219D9" w:rsidRPr="005911E2">
        <w:t xml:space="preserve">, Darwin </w:t>
      </w:r>
    </w:p>
    <w:p w:rsidR="00D219D9" w:rsidRPr="005911E2" w:rsidRDefault="00D219D9" w:rsidP="00D219D9">
      <w:pPr>
        <w:pStyle w:val="BodyText"/>
      </w:pPr>
      <w:r w:rsidRPr="005911E2">
        <w:t xml:space="preserve">It was also seen as restricting access to cheaper products outside of the major retailers. </w:t>
      </w:r>
    </w:p>
    <w:p w:rsidR="00D219D9" w:rsidRPr="005911E2" w:rsidRDefault="00D219D9" w:rsidP="00D219D9">
      <w:pPr>
        <w:pStyle w:val="miniquote"/>
      </w:pPr>
      <w:r w:rsidRPr="005911E2">
        <w:t xml:space="preserve">There are limited retailers, wholesale meats, cheap vegetables - can't use at all stores. </w:t>
      </w:r>
    </w:p>
    <w:p w:rsidR="00D219D9" w:rsidRPr="005911E2" w:rsidRDefault="00686B3D" w:rsidP="00D219D9">
      <w:pPr>
        <w:pStyle w:val="mininame"/>
      </w:pPr>
      <w:r>
        <w:t>N</w:t>
      </w:r>
      <w:r w:rsidR="00D219D9" w:rsidRPr="005911E2">
        <w:t>on-Indigenous</w:t>
      </w:r>
      <w:r>
        <w:t xml:space="preserve"> woman</w:t>
      </w:r>
      <w:r w:rsidR="00D219D9" w:rsidRPr="005911E2">
        <w:t xml:space="preserve">, Darwin </w:t>
      </w:r>
    </w:p>
    <w:p w:rsidR="00D219D9" w:rsidRPr="005911E2" w:rsidRDefault="00D219D9" w:rsidP="00D219D9">
      <w:pPr>
        <w:pStyle w:val="BodyText"/>
      </w:pPr>
      <w:r w:rsidRPr="005911E2">
        <w:t>Having to get special payments made by Centrelink for specific items was also seen as time-consuming and overly complex by some participants.</w:t>
      </w:r>
    </w:p>
    <w:p w:rsidR="00D219D9" w:rsidRPr="005911E2" w:rsidRDefault="00D219D9" w:rsidP="00D219D9">
      <w:pPr>
        <w:pStyle w:val="miniquote"/>
      </w:pPr>
      <w:r w:rsidRPr="005911E2">
        <w:t>Also if you want to go to Harvey Norman to buy something you got to get their quote on how much it costs then back to Centrelink to get the money and then back. It is such a waste of time.</w:t>
      </w:r>
    </w:p>
    <w:p w:rsidR="00D219D9" w:rsidRPr="005911E2" w:rsidRDefault="00686B3D" w:rsidP="00D219D9">
      <w:pPr>
        <w:pStyle w:val="mininame"/>
      </w:pPr>
      <w:r>
        <w:t>N</w:t>
      </w:r>
      <w:r w:rsidR="00D219D9" w:rsidRPr="005911E2">
        <w:t>on-Indigenous</w:t>
      </w:r>
      <w:r>
        <w:t xml:space="preserve"> man</w:t>
      </w:r>
      <w:r w:rsidR="00D219D9" w:rsidRPr="005911E2">
        <w:t>, Darwin</w:t>
      </w:r>
    </w:p>
    <w:p w:rsidR="00D219D9" w:rsidRPr="005911E2" w:rsidRDefault="00D219D9" w:rsidP="00D219D9">
      <w:pPr>
        <w:pStyle w:val="miniquote"/>
      </w:pPr>
      <w:r w:rsidRPr="005911E2">
        <w:t>They told me at Harvey Norman, Good Guys and then JB Hi Fi told me I need to go to Centrelink and get them to make a cheque and then it takes 3 days for that cheque to get to the shop and that is difficult.</w:t>
      </w:r>
    </w:p>
    <w:p w:rsidR="00D219D9" w:rsidRPr="005911E2" w:rsidRDefault="00D219D9" w:rsidP="00D219D9">
      <w:pPr>
        <w:pStyle w:val="mininame"/>
      </w:pPr>
      <w:r w:rsidRPr="005911E2">
        <w:t>Indigenous</w:t>
      </w:r>
      <w:r w:rsidR="00686B3D">
        <w:t xml:space="preserve"> woman</w:t>
      </w:r>
      <w:r w:rsidRPr="005911E2">
        <w:t xml:space="preserve">, Darwin </w:t>
      </w:r>
    </w:p>
    <w:p w:rsidR="00D219D9" w:rsidRPr="005911E2" w:rsidRDefault="00D219D9" w:rsidP="00D219D9">
      <w:pPr>
        <w:pStyle w:val="miniquote"/>
      </w:pPr>
      <w:r w:rsidRPr="005911E2">
        <w:t>I couldn't put on ad in the paper. In order to do so I had to go to Centrelink and dick around waiting in line for them to give me a $25 voucher to pay for the ad, all because they didn't accept BasicsCard. They think this card is a help!</w:t>
      </w:r>
    </w:p>
    <w:p w:rsidR="00D219D9" w:rsidRPr="005911E2" w:rsidRDefault="00686B3D" w:rsidP="00D219D9">
      <w:pPr>
        <w:pStyle w:val="mininame"/>
      </w:pPr>
      <w:r>
        <w:t>N</w:t>
      </w:r>
      <w:r w:rsidR="00D219D9" w:rsidRPr="005911E2">
        <w:t>on-Indigenous</w:t>
      </w:r>
      <w:r>
        <w:t xml:space="preserve"> man</w:t>
      </w:r>
      <w:r w:rsidR="00D219D9" w:rsidRPr="005911E2">
        <w:t>, Darwin</w:t>
      </w:r>
    </w:p>
    <w:p w:rsidR="00D219D9" w:rsidRPr="005911E2" w:rsidRDefault="00D219D9" w:rsidP="00D219D9">
      <w:pPr>
        <w:pStyle w:val="BodyText"/>
      </w:pPr>
      <w:r w:rsidRPr="005911E2">
        <w:t>Another frequently reported concern was the cost of obtaining the balance on the card. For people calling Centrelink from their mobile phone to check their balance, this could be expensive – especially when there were long wait times to speak with a staff member on the telephone</w:t>
      </w:r>
      <w:r w:rsidR="00D451FE">
        <w:t>.</w:t>
      </w:r>
      <w:r w:rsidRPr="005911E2">
        <w:t xml:space="preserve"> </w:t>
      </w:r>
    </w:p>
    <w:p w:rsidR="00D219D9" w:rsidRPr="005911E2" w:rsidRDefault="00D219D9" w:rsidP="00D219D9">
      <w:pPr>
        <w:pStyle w:val="miniquote"/>
      </w:pPr>
      <w:r w:rsidRPr="005911E2">
        <w:t>Waiting times when calling up for income management is a very long time you have to use your own credit up waiting on hold.</w:t>
      </w:r>
    </w:p>
    <w:p w:rsidR="00D219D9" w:rsidRPr="005911E2" w:rsidRDefault="00D219D9" w:rsidP="00D219D9">
      <w:pPr>
        <w:pStyle w:val="mininame"/>
      </w:pPr>
      <w:r w:rsidRPr="005911E2">
        <w:t>Indigenous</w:t>
      </w:r>
      <w:r w:rsidR="00686B3D">
        <w:t xml:space="preserve"> man</w:t>
      </w:r>
      <w:r w:rsidRPr="005911E2">
        <w:t xml:space="preserve">, Darwin </w:t>
      </w:r>
    </w:p>
    <w:p w:rsidR="00D219D9" w:rsidRPr="005911E2" w:rsidRDefault="00D219D9" w:rsidP="00D219D9">
      <w:pPr>
        <w:pStyle w:val="miniquote"/>
      </w:pPr>
      <w:r w:rsidRPr="005911E2">
        <w:t>You don't know what your balance is and you have to call all the time.</w:t>
      </w:r>
    </w:p>
    <w:p w:rsidR="00D219D9" w:rsidRPr="005911E2" w:rsidRDefault="00D219D9" w:rsidP="00D219D9">
      <w:pPr>
        <w:pStyle w:val="mininame"/>
      </w:pPr>
      <w:r w:rsidRPr="005911E2">
        <w:t>Indigenous</w:t>
      </w:r>
      <w:r w:rsidR="00686B3D">
        <w:t xml:space="preserve"> woman</w:t>
      </w:r>
      <w:r w:rsidRPr="005911E2">
        <w:t xml:space="preserve">, Darwin </w:t>
      </w:r>
    </w:p>
    <w:p w:rsidR="00D219D9" w:rsidRPr="005911E2" w:rsidRDefault="00D219D9" w:rsidP="00D219D9">
      <w:pPr>
        <w:pStyle w:val="BodyText"/>
      </w:pPr>
      <w:r w:rsidRPr="005911E2">
        <w:t xml:space="preserve">The processes around accessing money and finding out balances were also seen as overly complex and frustrating. </w:t>
      </w:r>
    </w:p>
    <w:p w:rsidR="00D219D9" w:rsidRPr="005911E2" w:rsidRDefault="00D219D9" w:rsidP="00D219D9">
      <w:pPr>
        <w:pStyle w:val="miniquote"/>
      </w:pPr>
      <w:r w:rsidRPr="005911E2">
        <w:t xml:space="preserve">Difficult to access money in an </w:t>
      </w:r>
      <w:r w:rsidR="00F878E4">
        <w:t>income management</w:t>
      </w:r>
      <w:r w:rsidRPr="005911E2">
        <w:t xml:space="preserve"> account and it is a bad thing. Too time consuming and mind boggling. More secret passwords, more bureaucracy.</w:t>
      </w:r>
    </w:p>
    <w:p w:rsidR="00D219D9" w:rsidRPr="005911E2" w:rsidRDefault="00686B3D" w:rsidP="00D219D9">
      <w:pPr>
        <w:pStyle w:val="mininame"/>
      </w:pPr>
      <w:r>
        <w:t>N</w:t>
      </w:r>
      <w:r w:rsidR="00D219D9" w:rsidRPr="005911E2">
        <w:t>on-Indigenous</w:t>
      </w:r>
      <w:r>
        <w:t xml:space="preserve"> woman</w:t>
      </w:r>
      <w:r w:rsidR="00D219D9" w:rsidRPr="005911E2">
        <w:t>, Alice Springs</w:t>
      </w:r>
    </w:p>
    <w:p w:rsidR="00D219D9" w:rsidRPr="005911E2" w:rsidRDefault="00D219D9" w:rsidP="00D219D9">
      <w:pPr>
        <w:pStyle w:val="BodyText"/>
      </w:pPr>
      <w:r w:rsidRPr="005911E2">
        <w:t xml:space="preserve">Not knowing your BasicsCard </w:t>
      </w:r>
      <w:r w:rsidR="00D451FE">
        <w:t xml:space="preserve">balance </w:t>
      </w:r>
      <w:r w:rsidRPr="005911E2">
        <w:t xml:space="preserve">could also be embarrassing when shopping if you don’t have enough to pay for your </w:t>
      </w:r>
      <w:r w:rsidR="00D451FE">
        <w:t>shopping</w:t>
      </w:r>
      <w:r w:rsidRPr="005911E2">
        <w:t>.</w:t>
      </w:r>
    </w:p>
    <w:p w:rsidR="00D219D9" w:rsidRPr="005911E2" w:rsidRDefault="00D219D9" w:rsidP="00D219D9">
      <w:pPr>
        <w:pStyle w:val="miniquote"/>
      </w:pPr>
      <w:r w:rsidRPr="005911E2">
        <w:t>Makes it easier, but some places don't take BasicsCard. Sometimes the BasicsCard lines go down it is a shame job, especially when I'm food shopping and I can't pay for the food. I don't find it a shame job being on BasicsCard but not knowing what is on your card is shame job when you can’t pay.</w:t>
      </w:r>
    </w:p>
    <w:p w:rsidR="00D219D9" w:rsidRPr="005911E2" w:rsidRDefault="00D219D9" w:rsidP="00D219D9">
      <w:pPr>
        <w:pStyle w:val="mininame"/>
      </w:pPr>
      <w:r w:rsidRPr="005911E2">
        <w:t>Indigenous</w:t>
      </w:r>
      <w:r w:rsidR="00686B3D">
        <w:t xml:space="preserve"> woman</w:t>
      </w:r>
      <w:r w:rsidRPr="005911E2">
        <w:t xml:space="preserve">, Darwin </w:t>
      </w:r>
    </w:p>
    <w:p w:rsidR="00D219D9" w:rsidRPr="005911E2" w:rsidRDefault="00D219D9" w:rsidP="00D219D9">
      <w:pPr>
        <w:pStyle w:val="BodyText"/>
      </w:pPr>
      <w:r w:rsidRPr="005911E2">
        <w:t>There were also a number of references to the system failing or making errors in various ways causing frustrations for the participants</w:t>
      </w:r>
      <w:r w:rsidR="00614538" w:rsidRPr="005911E2">
        <w:t>.</w:t>
      </w:r>
      <w:r w:rsidR="00614538">
        <w:t xml:space="preserve"> </w:t>
      </w:r>
    </w:p>
    <w:p w:rsidR="00D219D9" w:rsidRPr="005911E2" w:rsidRDefault="00D219D9" w:rsidP="00D219D9">
      <w:pPr>
        <w:pStyle w:val="miniquote"/>
      </w:pPr>
      <w:r w:rsidRPr="005911E2">
        <w:t xml:space="preserve">Sometimes the BasicsCard machine breaks down and we can't find out how much we can spend in the shops. Out of </w:t>
      </w:r>
      <w:r w:rsidR="00D451FE">
        <w:t>three</w:t>
      </w:r>
      <w:r w:rsidRPr="005911E2">
        <w:t xml:space="preserve"> shops one is really expensive, but this is the one that takes the BasicsCard.</w:t>
      </w:r>
    </w:p>
    <w:p w:rsidR="00D219D9" w:rsidRPr="005911E2" w:rsidRDefault="00D219D9" w:rsidP="00D219D9">
      <w:pPr>
        <w:pStyle w:val="mininame"/>
      </w:pPr>
      <w:r w:rsidRPr="005911E2">
        <w:t>Indigenous</w:t>
      </w:r>
      <w:r w:rsidR="00686B3D">
        <w:t xml:space="preserve"> man</w:t>
      </w:r>
      <w:r w:rsidRPr="005911E2">
        <w:t xml:space="preserve">, Alice Springs </w:t>
      </w:r>
    </w:p>
    <w:p w:rsidR="00D219D9" w:rsidRPr="005911E2" w:rsidRDefault="00D219D9" w:rsidP="00D219D9">
      <w:pPr>
        <w:pStyle w:val="miniquote"/>
      </w:pPr>
      <w:r w:rsidRPr="005911E2">
        <w:t>When number is worn out the numbers on the card fade, and the machine can't read it makes me shame cause I have to leave my shopping.</w:t>
      </w:r>
    </w:p>
    <w:p w:rsidR="00D219D9" w:rsidRPr="005911E2" w:rsidRDefault="00D219D9" w:rsidP="00D219D9">
      <w:pPr>
        <w:pStyle w:val="mininame"/>
      </w:pPr>
      <w:r w:rsidRPr="005911E2">
        <w:t>Indigenous</w:t>
      </w:r>
      <w:r w:rsidR="00686B3D">
        <w:t xml:space="preserve"> woman</w:t>
      </w:r>
      <w:r w:rsidRPr="005911E2">
        <w:t xml:space="preserve">, Alice Springs </w:t>
      </w:r>
    </w:p>
    <w:p w:rsidR="00D219D9" w:rsidRPr="005911E2" w:rsidRDefault="00D219D9" w:rsidP="00D219D9">
      <w:pPr>
        <w:pStyle w:val="BodyText"/>
      </w:pPr>
      <w:r w:rsidRPr="005911E2">
        <w:t>These frustrations appeared on the whole to be more problematic for non-Indigenous than Indigenous participants. This may be due to the longer period of time that Indigenous people have had to become familiar with the system.</w:t>
      </w:r>
    </w:p>
    <w:p w:rsidR="00D219D9" w:rsidRPr="005911E2" w:rsidRDefault="00D219D9" w:rsidP="00D219D9">
      <w:pPr>
        <w:pStyle w:val="miniquote"/>
      </w:pPr>
      <w:r w:rsidRPr="005911E2">
        <w:t xml:space="preserve">During the last 4 weeks there was a glitch in the BasicsCard system and they couldn't process my payment with my BasicsCard. This was at Woolworths. They did let me take the </w:t>
      </w:r>
      <w:r w:rsidR="00BD10FF" w:rsidRPr="005911E2">
        <w:t>grocer</w:t>
      </w:r>
      <w:r w:rsidR="00BD10FF">
        <w:t>ies</w:t>
      </w:r>
      <w:r w:rsidR="00BD10FF" w:rsidRPr="005911E2">
        <w:t xml:space="preserve"> </w:t>
      </w:r>
      <w:r w:rsidRPr="005911E2">
        <w:t>home but it was frustrating…</w:t>
      </w:r>
    </w:p>
    <w:p w:rsidR="00D219D9" w:rsidRPr="005911E2" w:rsidRDefault="00686B3D" w:rsidP="00D219D9">
      <w:pPr>
        <w:pStyle w:val="mininame"/>
      </w:pPr>
      <w:r>
        <w:t>N</w:t>
      </w:r>
      <w:r w:rsidR="00D219D9" w:rsidRPr="005911E2">
        <w:t>on-Indigenous</w:t>
      </w:r>
      <w:r>
        <w:t xml:space="preserve"> woman</w:t>
      </w:r>
      <w:r w:rsidR="00D219D9" w:rsidRPr="005911E2">
        <w:t xml:space="preserve">, Darwin </w:t>
      </w:r>
    </w:p>
    <w:p w:rsidR="00D219D9" w:rsidRPr="005911E2" w:rsidRDefault="001429AF" w:rsidP="00D219D9">
      <w:pPr>
        <w:pStyle w:val="miniquote"/>
      </w:pPr>
      <w:bookmarkStart w:id="1148" w:name="_Toc255912980"/>
      <w:r w:rsidRPr="005911E2">
        <w:t>When going into Katherine … make Centrelink pay for one day on the</w:t>
      </w:r>
      <w:r>
        <w:t xml:space="preserve"> </w:t>
      </w:r>
      <w:r w:rsidRPr="005911E2">
        <w:t xml:space="preserve">[service], but we sign the paper – then my payment continue being take it out. </w:t>
      </w:r>
      <w:r w:rsidR="00D219D9" w:rsidRPr="005911E2">
        <w:t>Centrelink visits every week</w:t>
      </w:r>
      <w:r w:rsidR="00BD10FF">
        <w:t>.</w:t>
      </w:r>
      <w:r w:rsidR="00D219D9" w:rsidRPr="005911E2">
        <w:t xml:space="preserve"> I see them. I tell them.</w:t>
      </w:r>
    </w:p>
    <w:p w:rsidR="00D219D9" w:rsidRPr="005911E2" w:rsidRDefault="00D219D9" w:rsidP="00D219D9">
      <w:pPr>
        <w:pStyle w:val="mininame"/>
      </w:pPr>
      <w:r w:rsidRPr="005911E2">
        <w:t>Indigenous</w:t>
      </w:r>
      <w:r w:rsidR="00686B3D">
        <w:t xml:space="preserve"> man</w:t>
      </w:r>
      <w:r w:rsidRPr="005911E2">
        <w:t>, Remote NT</w:t>
      </w:r>
    </w:p>
    <w:p w:rsidR="00D219D9" w:rsidRPr="005911E2" w:rsidRDefault="00D219D9" w:rsidP="00D219D9">
      <w:pPr>
        <w:pStyle w:val="miniquote"/>
      </w:pPr>
      <w:r w:rsidRPr="005911E2">
        <w:t xml:space="preserve">Although you can cope with the </w:t>
      </w:r>
      <w:r w:rsidR="009D040F">
        <w:t>BasicsCard</w:t>
      </w:r>
      <w:r w:rsidRPr="005911E2">
        <w:t xml:space="preserve"> it has had its difficulties like having to get mum to sign papers just to get it set up just to pay her rent. Had to get her to sign </w:t>
      </w:r>
      <w:r w:rsidR="002D097C">
        <w:t xml:space="preserve">a </w:t>
      </w:r>
      <w:r w:rsidRPr="005911E2">
        <w:t>s</w:t>
      </w:r>
      <w:r w:rsidR="005911E2">
        <w:t>t</w:t>
      </w:r>
      <w:r w:rsidRPr="005911E2">
        <w:t>at dec because they didn't believe I was paying her rent.</w:t>
      </w:r>
    </w:p>
    <w:bookmarkEnd w:id="1148"/>
    <w:p w:rsidR="00D219D9" w:rsidRPr="005911E2" w:rsidRDefault="00686B3D" w:rsidP="00D219D9">
      <w:pPr>
        <w:pStyle w:val="mininame"/>
      </w:pPr>
      <w:r>
        <w:t>N</w:t>
      </w:r>
      <w:r w:rsidR="00D219D9" w:rsidRPr="005911E2">
        <w:t>on-Indigenous</w:t>
      </w:r>
      <w:r>
        <w:t xml:space="preserve"> man</w:t>
      </w:r>
      <w:r w:rsidR="00D219D9" w:rsidRPr="005911E2">
        <w:t>, Darwin</w:t>
      </w:r>
    </w:p>
    <w:p w:rsidR="00D219D9" w:rsidRPr="005911E2" w:rsidRDefault="00D219D9" w:rsidP="00D219D9">
      <w:pPr>
        <w:pStyle w:val="miniquote"/>
        <w:rPr>
          <w:lang w:eastAsia="en-AU" w:bidi="ar-SA"/>
        </w:rPr>
      </w:pPr>
      <w:r w:rsidRPr="005911E2">
        <w:rPr>
          <w:lang w:eastAsia="en-AU" w:bidi="ar-SA"/>
        </w:rPr>
        <w:t>You have some control but very inconvenient if you forget to transfer your money on the weekend you’re totally stuck.</w:t>
      </w:r>
    </w:p>
    <w:p w:rsidR="00D219D9" w:rsidRPr="005911E2" w:rsidRDefault="00686B3D" w:rsidP="00D219D9">
      <w:pPr>
        <w:pStyle w:val="mininame"/>
        <w:rPr>
          <w:lang w:eastAsia="en-AU" w:bidi="ar-SA"/>
        </w:rPr>
      </w:pPr>
      <w:r>
        <w:rPr>
          <w:lang w:eastAsia="en-AU" w:bidi="ar-SA"/>
        </w:rPr>
        <w:t>N</w:t>
      </w:r>
      <w:r w:rsidR="00D219D9" w:rsidRPr="005911E2">
        <w:rPr>
          <w:lang w:eastAsia="en-AU" w:bidi="ar-SA"/>
        </w:rPr>
        <w:t>on-Indigenous</w:t>
      </w:r>
      <w:r>
        <w:rPr>
          <w:lang w:eastAsia="en-AU" w:bidi="ar-SA"/>
        </w:rPr>
        <w:t xml:space="preserve"> woman</w:t>
      </w:r>
      <w:r w:rsidR="00D219D9" w:rsidRPr="005911E2">
        <w:rPr>
          <w:lang w:eastAsia="en-AU" w:bidi="ar-SA"/>
        </w:rPr>
        <w:t xml:space="preserve">, Darwin </w:t>
      </w:r>
    </w:p>
    <w:p w:rsidR="00D96A58" w:rsidRDefault="00D219D9">
      <w:pPr>
        <w:pStyle w:val="Heading2"/>
      </w:pPr>
      <w:bookmarkStart w:id="1149" w:name="_Toc322084380"/>
      <w:bookmarkStart w:id="1150" w:name="_Toc328601546"/>
      <w:bookmarkStart w:id="1151" w:name="_Toc329870427"/>
      <w:bookmarkStart w:id="1152" w:name="_Toc335915813"/>
      <w:r w:rsidRPr="005911E2">
        <w:t>Comments from comparison participants</w:t>
      </w:r>
      <w:bookmarkEnd w:id="1149"/>
      <w:bookmarkEnd w:id="1150"/>
      <w:bookmarkEnd w:id="1151"/>
      <w:bookmarkEnd w:id="1152"/>
      <w:r w:rsidRPr="005911E2">
        <w:t xml:space="preserve"> </w:t>
      </w:r>
    </w:p>
    <w:p w:rsidR="00D219D9" w:rsidRPr="005911E2" w:rsidRDefault="00D219D9" w:rsidP="00D219D9">
      <w:pPr>
        <w:pStyle w:val="BodyText"/>
      </w:pPr>
      <w:r w:rsidRPr="005911E2">
        <w:t xml:space="preserve">Some participants from the contrast sites made unsolicited comments about income management at the introduction or conclusion of the questionnaire. Generally those participants who made these comments would like </w:t>
      </w:r>
      <w:r w:rsidR="00F878E4">
        <w:t>income management</w:t>
      </w:r>
      <w:r w:rsidRPr="005911E2">
        <w:t xml:space="preserve"> to be introduced into their communities. Some Indigenous participants had relatives in the Northern Territory or in their own state that are on </w:t>
      </w:r>
      <w:r w:rsidR="00F878E4">
        <w:t>income management</w:t>
      </w:r>
      <w:r w:rsidRPr="005911E2">
        <w:t>.</w:t>
      </w:r>
      <w:r w:rsidR="00B62B2D">
        <w:t xml:space="preserve"> </w:t>
      </w:r>
      <w:r w:rsidRPr="005911E2">
        <w:t xml:space="preserve">Similarly some participants in Cairns were aware of the </w:t>
      </w:r>
      <w:r w:rsidR="00F878E4">
        <w:t>income management</w:t>
      </w:r>
      <w:r w:rsidRPr="005911E2">
        <w:t xml:space="preserve"> policies as part of the Cape York Welfare Reform Trial.</w:t>
      </w:r>
    </w:p>
    <w:p w:rsidR="00D219D9" w:rsidRPr="005911E2" w:rsidRDefault="00D219D9" w:rsidP="00D219D9">
      <w:pPr>
        <w:pStyle w:val="miniquote"/>
        <w:rPr>
          <w:rFonts w:eastAsia="Cambria"/>
        </w:rPr>
      </w:pPr>
      <w:r w:rsidRPr="005911E2">
        <w:rPr>
          <w:rFonts w:eastAsia="Cambria"/>
        </w:rPr>
        <w:t>I want BasicsCard because they all gamble here and they come back looking for money and I can’t do that because I’m only young.</w:t>
      </w:r>
    </w:p>
    <w:p w:rsidR="00D219D9" w:rsidRPr="005911E2" w:rsidRDefault="00D219D9" w:rsidP="00D219D9">
      <w:pPr>
        <w:pStyle w:val="mininame"/>
      </w:pPr>
      <w:r w:rsidRPr="005911E2">
        <w:t>Indigenous</w:t>
      </w:r>
      <w:r w:rsidR="00686B3D">
        <w:t xml:space="preserve"> woman</w:t>
      </w:r>
      <w:r w:rsidRPr="005911E2">
        <w:t xml:space="preserve">, Remote Contrast Site </w:t>
      </w:r>
    </w:p>
    <w:p w:rsidR="00D219D9" w:rsidRPr="005911E2" w:rsidRDefault="00D219D9" w:rsidP="00D219D9">
      <w:pPr>
        <w:pStyle w:val="miniquote"/>
        <w:rPr>
          <w:rFonts w:eastAsia="Cambria"/>
        </w:rPr>
      </w:pPr>
      <w:r w:rsidRPr="005911E2">
        <w:rPr>
          <w:rFonts w:eastAsia="Cambria"/>
        </w:rPr>
        <w:t>There are many problems in this community. The kids don’t go to school and there is lots of fighting. I am tired of people asking me for money for food because they gamble. BasicsCard would help people have their food instead of humbug.</w:t>
      </w:r>
    </w:p>
    <w:p w:rsidR="00D219D9" w:rsidRPr="005911E2" w:rsidRDefault="00D219D9" w:rsidP="00D219D9">
      <w:pPr>
        <w:pStyle w:val="mininame"/>
      </w:pPr>
      <w:r w:rsidRPr="005911E2">
        <w:t>Indigenous</w:t>
      </w:r>
      <w:r w:rsidR="00686B3D">
        <w:t xml:space="preserve"> woman</w:t>
      </w:r>
      <w:r w:rsidRPr="005911E2">
        <w:t>, Remote Contrast Site</w:t>
      </w:r>
    </w:p>
    <w:p w:rsidR="00D96A58" w:rsidRDefault="00D219D9">
      <w:pPr>
        <w:pStyle w:val="Heading2"/>
      </w:pPr>
      <w:bookmarkStart w:id="1153" w:name="_Toc328601547"/>
      <w:bookmarkStart w:id="1154" w:name="_Toc329870428"/>
      <w:bookmarkStart w:id="1155" w:name="_Toc335915814"/>
      <w:r w:rsidRPr="005911E2">
        <w:t>Conclusion</w:t>
      </w:r>
      <w:bookmarkEnd w:id="1153"/>
      <w:bookmarkEnd w:id="1154"/>
      <w:bookmarkEnd w:id="1155"/>
    </w:p>
    <w:p w:rsidR="00BD10FF" w:rsidRDefault="00D219D9" w:rsidP="00D219D9">
      <w:pPr>
        <w:pStyle w:val="BodyText"/>
      </w:pPr>
      <w:r w:rsidRPr="005911E2">
        <w:t xml:space="preserve">This chapter has explored in more depth the diversity of views and opinions regarding the effects of </w:t>
      </w:r>
      <w:r w:rsidR="00F878E4">
        <w:t>income management</w:t>
      </w:r>
      <w:r w:rsidRPr="005911E2">
        <w:t xml:space="preserve"> on the research participants. It should be noted that the majority of participants did not think that </w:t>
      </w:r>
      <w:r w:rsidR="00F878E4">
        <w:t>income management</w:t>
      </w:r>
      <w:r w:rsidRPr="005911E2">
        <w:t xml:space="preserve"> had made a significant difference to their lives one way or another, and therefore did not respond to the questions about how </w:t>
      </w:r>
      <w:r w:rsidR="00F878E4">
        <w:t>income management</w:t>
      </w:r>
      <w:r w:rsidRPr="005911E2">
        <w:t xml:space="preserve"> had changed their lives. </w:t>
      </w:r>
    </w:p>
    <w:p w:rsidR="00BD10FF" w:rsidRDefault="00D219D9" w:rsidP="00D219D9">
      <w:pPr>
        <w:pStyle w:val="BodyText"/>
      </w:pPr>
      <w:r w:rsidRPr="005911E2">
        <w:t xml:space="preserve">Of those who did believe that </w:t>
      </w:r>
      <w:r w:rsidR="00F878E4">
        <w:t>income management</w:t>
      </w:r>
      <w:r w:rsidRPr="005911E2">
        <w:t xml:space="preserve"> had made a difference, there were starkly differing views, with some participants believing strongly that </w:t>
      </w:r>
      <w:r w:rsidR="00F878E4">
        <w:t>income management</w:t>
      </w:r>
      <w:r w:rsidRPr="005911E2">
        <w:t xml:space="preserve"> had been positive, not only for them but for their families and communities, ensuring that money was kept ‘safe’ and that it was not spent on gambling, drugs or alcohol. Many of these participants also commented on the reduced financial harassment which was brought about by </w:t>
      </w:r>
      <w:r w:rsidR="00F878E4">
        <w:t>income management</w:t>
      </w:r>
      <w:r w:rsidRPr="005911E2">
        <w:t xml:space="preserve">. </w:t>
      </w:r>
    </w:p>
    <w:p w:rsidR="00D219D9" w:rsidRPr="005911E2" w:rsidRDefault="00D219D9" w:rsidP="00D219D9">
      <w:pPr>
        <w:pStyle w:val="BodyText"/>
      </w:pPr>
      <w:r w:rsidRPr="005911E2">
        <w:t xml:space="preserve">On the other hand there were many participants who strongly believed that </w:t>
      </w:r>
      <w:r w:rsidR="00F878E4">
        <w:t>income management</w:t>
      </w:r>
      <w:r w:rsidRPr="005911E2">
        <w:t xml:space="preserve"> had made their lives harder, restricting their ability to pay for ordinary goods and services and forcing them to buy from relatively expensive outlets. The bureaucracy and complexities of the program were also very frustrating for a number of participants, and their experience of the BasicsCard appeared to indicate that they found many aspects of its operation frustrating and challenging. A particular concern for a number of participants was the feeling of shame and humiliation when using the BasicsCard, especially when it did not work efficiently. Many participants also believed that </w:t>
      </w:r>
      <w:r w:rsidR="00F878E4">
        <w:t>income management</w:t>
      </w:r>
      <w:r w:rsidRPr="005911E2">
        <w:t xml:space="preserve"> itself is discriminatory.</w:t>
      </w:r>
    </w:p>
    <w:p w:rsidR="00D219D9" w:rsidRPr="005911E2" w:rsidRDefault="00D219D9" w:rsidP="00D219D9">
      <w:pPr>
        <w:pStyle w:val="BodyText"/>
      </w:pPr>
      <w:r w:rsidRPr="005911E2">
        <w:t xml:space="preserve">Another group of participants saw </w:t>
      </w:r>
      <w:r w:rsidR="00F878E4">
        <w:t>income management</w:t>
      </w:r>
      <w:r w:rsidRPr="005911E2">
        <w:t xml:space="preserve"> as being inappropriate for them. Generally these were people who believed that they had always managed their money well, and that the imposition of </w:t>
      </w:r>
      <w:r w:rsidR="00F878E4">
        <w:t>income management</w:t>
      </w:r>
      <w:r w:rsidRPr="005911E2">
        <w:t xml:space="preserve"> had made money management more, rather than less difficult. Some of these participants were in favour of the policy as a whole, but believed that it should only be targeted at people with financial or money management difficulties.</w:t>
      </w:r>
    </w:p>
    <w:p w:rsidR="0006274D" w:rsidRPr="005911E2" w:rsidRDefault="0006274D" w:rsidP="000975E8">
      <w:pPr>
        <w:pStyle w:val="chapterend"/>
      </w:pPr>
    </w:p>
    <w:p w:rsidR="00353CE7" w:rsidRPr="005911E2" w:rsidRDefault="00353CE7" w:rsidP="00D2121D">
      <w:pPr>
        <w:spacing w:after="0" w:line="240" w:lineRule="auto"/>
        <w:ind w:left="0"/>
        <w:jc w:val="left"/>
      </w:pPr>
    </w:p>
    <w:p w:rsidR="00353CE7" w:rsidRPr="005911E2" w:rsidRDefault="00353CE7" w:rsidP="00D2121D">
      <w:pPr>
        <w:spacing w:after="0" w:line="240" w:lineRule="auto"/>
        <w:ind w:left="0"/>
        <w:jc w:val="left"/>
        <w:sectPr w:rsidR="00353CE7" w:rsidRPr="005911E2" w:rsidSect="00E15AAB">
          <w:footerReference w:type="default" r:id="rId58"/>
          <w:pgSz w:w="11906" w:h="16838" w:code="9"/>
          <w:pgMar w:top="1418" w:right="1797" w:bottom="1418" w:left="1230" w:header="567" w:footer="284" w:gutter="0"/>
          <w:cols w:space="708"/>
          <w:docGrid w:linePitch="360"/>
        </w:sectPr>
      </w:pPr>
    </w:p>
    <w:p w:rsidR="0006274D" w:rsidRPr="005911E2" w:rsidRDefault="0006274D" w:rsidP="00BD6DFD">
      <w:pPr>
        <w:pStyle w:val="Heading1"/>
      </w:pPr>
      <w:bookmarkStart w:id="1156" w:name="_Toc321225169"/>
      <w:bookmarkStart w:id="1157" w:name="_Toc321254513"/>
      <w:bookmarkStart w:id="1158" w:name="_Toc328601548"/>
      <w:bookmarkStart w:id="1159" w:name="_Toc329870429"/>
      <w:bookmarkStart w:id="1160" w:name="_Toc335915815"/>
      <w:r w:rsidRPr="005911E2">
        <w:t xml:space="preserve">Effects of </w:t>
      </w:r>
      <w:r w:rsidR="00F878E4">
        <w:t>income management</w:t>
      </w:r>
      <w:r w:rsidR="004965D1" w:rsidRPr="005911E2">
        <w:t xml:space="preserve"> on</w:t>
      </w:r>
      <w:r w:rsidRPr="005911E2">
        <w:t xml:space="preserve"> </w:t>
      </w:r>
      <w:r w:rsidR="00BC5232" w:rsidRPr="005911E2">
        <w:t xml:space="preserve">receipt of </w:t>
      </w:r>
      <w:r w:rsidR="00173860">
        <w:t>i</w:t>
      </w:r>
      <w:r w:rsidRPr="005911E2">
        <w:t xml:space="preserve">ncome </w:t>
      </w:r>
      <w:r w:rsidR="00173860">
        <w:t>s</w:t>
      </w:r>
      <w:r w:rsidRPr="005911E2">
        <w:t>upport</w:t>
      </w:r>
      <w:r w:rsidR="00BC5232" w:rsidRPr="005911E2">
        <w:t xml:space="preserve"> </w:t>
      </w:r>
      <w:r w:rsidR="00173860">
        <w:t>p</w:t>
      </w:r>
      <w:r w:rsidR="00BC5232" w:rsidRPr="005911E2">
        <w:t>ayments</w:t>
      </w:r>
      <w:bookmarkEnd w:id="1156"/>
      <w:bookmarkEnd w:id="1157"/>
      <w:bookmarkEnd w:id="1158"/>
      <w:bookmarkEnd w:id="1159"/>
      <w:bookmarkEnd w:id="1160"/>
    </w:p>
    <w:p w:rsidR="0006274D" w:rsidRPr="005911E2" w:rsidRDefault="0006274D" w:rsidP="0006274D">
      <w:pPr>
        <w:pStyle w:val="BodyText"/>
      </w:pPr>
      <w:r w:rsidRPr="005911E2">
        <w:t xml:space="preserve">One of the objectives of income management is that over the long-term it will improve employability and reduce reliance on income support payments (see Chapter 2). While the program logic sees the potential employment effects of income management being long-term, there may also be </w:t>
      </w:r>
      <w:r w:rsidR="00D3222D">
        <w:t>short-term</w:t>
      </w:r>
      <w:r w:rsidRPr="005911E2">
        <w:t xml:space="preserve"> impacts on employment and exit from income support. </w:t>
      </w:r>
      <w:r w:rsidR="004965D1" w:rsidRPr="005911E2">
        <w:t xml:space="preserve">To the extent to which </w:t>
      </w:r>
      <w:r w:rsidRPr="005911E2">
        <w:t xml:space="preserve">income support recipients see </w:t>
      </w:r>
      <w:r w:rsidR="00F878E4">
        <w:t>income management</w:t>
      </w:r>
      <w:r w:rsidRPr="005911E2">
        <w:t xml:space="preserve"> as an undesired restriction on spending or behaviour, the attractiveness of income support will therefore reduce relative to alternatives such as finding employment, relying on other sources of support such as family members, or transferring to a form of income support that is not subject to compulsory income management. These individuals </w:t>
      </w:r>
      <w:r w:rsidR="004965D1" w:rsidRPr="005911E2">
        <w:t xml:space="preserve">might </w:t>
      </w:r>
      <w:r w:rsidRPr="005911E2">
        <w:t>then take steps to move of</w:t>
      </w:r>
      <w:r w:rsidR="00E33FC4" w:rsidRPr="005911E2">
        <w:t>f</w:t>
      </w:r>
      <w:r w:rsidRPr="005911E2">
        <w:t xml:space="preserve"> income support, particularly into paid employment.</w:t>
      </w:r>
    </w:p>
    <w:p w:rsidR="0006274D" w:rsidRPr="005911E2" w:rsidRDefault="0006274D" w:rsidP="0006274D">
      <w:pPr>
        <w:pStyle w:val="BodyText"/>
      </w:pPr>
      <w:r w:rsidRPr="005911E2">
        <w:t xml:space="preserve">This chapter first provides descriptive information on the proportion of the Indigenous and non-Indigenous population in receipt of an income support payment who are subject to </w:t>
      </w:r>
      <w:r w:rsidR="00F878E4">
        <w:t>income management</w:t>
      </w:r>
      <w:r w:rsidRPr="005911E2">
        <w:t xml:space="preserve"> </w:t>
      </w:r>
      <w:r w:rsidR="00F90611" w:rsidRPr="005911E2">
        <w:t xml:space="preserve">and how this </w:t>
      </w:r>
      <w:r w:rsidRPr="005911E2">
        <w:t>varies with the length of time on their current income support payment. The chapter then describes the rates of exit from income support of various groups since 2001 for both the Indigenous and non-Indigenous populations</w:t>
      </w:r>
      <w:r w:rsidR="00B55CA2">
        <w:t>,</w:t>
      </w:r>
      <w:r w:rsidRPr="005911E2">
        <w:t xml:space="preserve"> and explores whether there was a higher rate of exit from income support following the introduction of income management in 2008.</w:t>
      </w:r>
    </w:p>
    <w:p w:rsidR="0006274D" w:rsidRPr="005911E2" w:rsidRDefault="0006274D" w:rsidP="0006274D">
      <w:pPr>
        <w:pStyle w:val="BodyText"/>
      </w:pPr>
      <w:r w:rsidRPr="005911E2">
        <w:t xml:space="preserve">In this chapter the effects of </w:t>
      </w:r>
      <w:r w:rsidR="00F878E4">
        <w:t>income management</w:t>
      </w:r>
      <w:r w:rsidRPr="005911E2">
        <w:t xml:space="preserve"> on rate of exit from income support is estimated by comparing changes in outcome patterns between population groups which experience different patterns of </w:t>
      </w:r>
      <w:r w:rsidR="00F878E4">
        <w:t>income management</w:t>
      </w:r>
      <w:r w:rsidRPr="005911E2">
        <w:t xml:space="preserve"> over time. These outcomes can then be compared using a difference-in-difference approach.</w:t>
      </w:r>
      <w:r w:rsidRPr="005911E2">
        <w:rPr>
          <w:rStyle w:val="FootnoteReference"/>
        </w:rPr>
        <w:footnoteReference w:id="128"/>
      </w:r>
    </w:p>
    <w:p w:rsidR="0006274D" w:rsidRPr="005911E2" w:rsidRDefault="0006274D" w:rsidP="0006274D">
      <w:pPr>
        <w:pStyle w:val="BodyText"/>
      </w:pPr>
      <w:r w:rsidRPr="005911E2">
        <w:t xml:space="preserve">The descriptive analysis of </w:t>
      </w:r>
      <w:r w:rsidR="00B1623D">
        <w:t>income management</w:t>
      </w:r>
      <w:r w:rsidR="00B1623D" w:rsidRPr="005911E2">
        <w:t xml:space="preserve"> </w:t>
      </w:r>
      <w:r w:rsidRPr="005911E2">
        <w:t>rates by duration in receipt of current income support payment and the exit rates are presented for both Indigenous and non-Indigenous people. However</w:t>
      </w:r>
      <w:r w:rsidR="00B55CA2">
        <w:t>,</w:t>
      </w:r>
      <w:r w:rsidRPr="005911E2">
        <w:t xml:space="preserve"> the more formal analysis of whether the introduction of NIM impacted upon income support exit rates is restricted to non-Indigenous income support recipients under </w:t>
      </w:r>
      <w:r w:rsidR="00E47094">
        <w:t>Age P</w:t>
      </w:r>
      <w:r w:rsidRPr="005911E2">
        <w:t xml:space="preserve">ension </w:t>
      </w:r>
      <w:r w:rsidR="00B1623D">
        <w:t>eligibility a</w:t>
      </w:r>
      <w:r w:rsidRPr="005911E2">
        <w:t xml:space="preserve">ge. In this part of the chapter the analysis is restricted to the non-Indigenous population for two reasons. First, very few non-Indigenous people were being income managed prior to 2010, so the difference in their income support experiences before and after this date can be informative about the impact of </w:t>
      </w:r>
      <w:r w:rsidR="00F878E4">
        <w:t>income management</w:t>
      </w:r>
      <w:r w:rsidRPr="005911E2">
        <w:t xml:space="preserve">. Among the workforce age Indigenous population, however, the proportion income managed was roughly constant since September 2008 (see </w:t>
      </w:r>
      <w:r w:rsidR="00C7347D">
        <w:rPr>
          <w:highlight w:val="yellow"/>
        </w:rPr>
        <w:fldChar w:fldCharType="begin"/>
      </w:r>
      <w:r w:rsidR="00C873EB">
        <w:instrText xml:space="preserve"> REF _Ref328149569 \h </w:instrText>
      </w:r>
      <w:r w:rsidR="00C7347D">
        <w:rPr>
          <w:highlight w:val="yellow"/>
        </w:rPr>
      </w:r>
      <w:r w:rsidR="00C7347D">
        <w:rPr>
          <w:highlight w:val="yellow"/>
        </w:rPr>
        <w:fldChar w:fldCharType="separate"/>
      </w:r>
      <w:r w:rsidR="007D7E45" w:rsidRPr="005911E2">
        <w:t xml:space="preserve">Figure </w:t>
      </w:r>
      <w:r w:rsidR="007D7E45">
        <w:rPr>
          <w:noProof/>
        </w:rPr>
        <w:t>4</w:t>
      </w:r>
      <w:r w:rsidR="007D7E45">
        <w:noBreakHyphen/>
      </w:r>
      <w:r w:rsidR="007D7E45">
        <w:rPr>
          <w:noProof/>
        </w:rPr>
        <w:t>3</w:t>
      </w:r>
      <w:r w:rsidR="00C7347D">
        <w:rPr>
          <w:highlight w:val="yellow"/>
        </w:rPr>
        <w:fldChar w:fldCharType="end"/>
      </w:r>
      <w:r w:rsidRPr="005911E2">
        <w:t xml:space="preserve">), so we </w:t>
      </w:r>
      <w:r w:rsidR="00F90611" w:rsidRPr="005911E2">
        <w:t xml:space="preserve">would </w:t>
      </w:r>
      <w:r w:rsidR="00737F23" w:rsidRPr="005911E2">
        <w:t>expect</w:t>
      </w:r>
      <w:r w:rsidR="00F90611" w:rsidRPr="005911E2">
        <w:t xml:space="preserve"> much smaller changes (if at all) associated with </w:t>
      </w:r>
      <w:r w:rsidRPr="005911E2">
        <w:t xml:space="preserve">the introduction of </w:t>
      </w:r>
      <w:r w:rsidR="00BB2A6C">
        <w:t xml:space="preserve">the </w:t>
      </w:r>
      <w:r w:rsidRPr="005911E2">
        <w:t>NIM. Second, the changed administration of C</w:t>
      </w:r>
      <w:r w:rsidR="00BB2A6C">
        <w:t xml:space="preserve">ommunity </w:t>
      </w:r>
      <w:r w:rsidRPr="005911E2">
        <w:t>D</w:t>
      </w:r>
      <w:r w:rsidR="00BB2A6C">
        <w:t xml:space="preserve">evelopment </w:t>
      </w:r>
      <w:r w:rsidRPr="005911E2">
        <w:t>E</w:t>
      </w:r>
      <w:r w:rsidR="00BB2A6C">
        <w:t xml:space="preserve">mployment </w:t>
      </w:r>
      <w:r w:rsidRPr="005911E2">
        <w:t>P</w:t>
      </w:r>
      <w:r w:rsidR="00BB2A6C">
        <w:t>rojects</w:t>
      </w:r>
      <w:r w:rsidRPr="005911E2">
        <w:t xml:space="preserve"> in July 2009 means that Indigenous income support numbers are not comparable before and after this date</w:t>
      </w:r>
      <w:r w:rsidR="00F90611" w:rsidRPr="005911E2">
        <w:t xml:space="preserve"> (new </w:t>
      </w:r>
      <w:r w:rsidR="00BB2A6C">
        <w:t>Project</w:t>
      </w:r>
      <w:r w:rsidR="00F90611" w:rsidRPr="005911E2">
        <w:t xml:space="preserve"> participants were incorporated into the income support system after this date)</w:t>
      </w:r>
      <w:r w:rsidRPr="005911E2">
        <w:t xml:space="preserve">. </w:t>
      </w:r>
    </w:p>
    <w:p w:rsidR="0006274D" w:rsidRPr="005911E2" w:rsidRDefault="0006274D" w:rsidP="0006274D">
      <w:pPr>
        <w:pStyle w:val="BodyText"/>
      </w:pPr>
      <w:r w:rsidRPr="005911E2">
        <w:t xml:space="preserve">The analysis is restricted to those under pension age because most Age Pension recipients are not subject to </w:t>
      </w:r>
      <w:r w:rsidR="00BB2A6C">
        <w:t>c</w:t>
      </w:r>
      <w:r w:rsidR="004808B3">
        <w:t xml:space="preserve">ompulsory </w:t>
      </w:r>
      <w:r w:rsidR="00BB2A6C">
        <w:t>measures of i</w:t>
      </w:r>
      <w:r w:rsidR="004808B3">
        <w:t xml:space="preserve">ncome </w:t>
      </w:r>
      <w:r w:rsidR="00BB2A6C">
        <w:t>m</w:t>
      </w:r>
      <w:r w:rsidR="004808B3">
        <w:t>anagement</w:t>
      </w:r>
      <w:r w:rsidRPr="005911E2">
        <w:t xml:space="preserve"> (except for the small number deemed vulnerable), and also because people </w:t>
      </w:r>
      <w:r w:rsidR="00BB2A6C">
        <w:t xml:space="preserve">of </w:t>
      </w:r>
      <w:r w:rsidR="00BB2A6C" w:rsidRPr="005911E2">
        <w:t xml:space="preserve">work-force age </w:t>
      </w:r>
      <w:r w:rsidRPr="005911E2">
        <w:t>are most likely to find employment and hence leave income support.</w:t>
      </w:r>
    </w:p>
    <w:p w:rsidR="0006274D" w:rsidRPr="005911E2" w:rsidRDefault="0006274D" w:rsidP="00616B0F">
      <w:pPr>
        <w:pStyle w:val="Heading2"/>
      </w:pPr>
      <w:bookmarkStart w:id="1161" w:name="_Toc321225170"/>
      <w:bookmarkStart w:id="1162" w:name="_Toc321254514"/>
      <w:bookmarkStart w:id="1163" w:name="_Toc328601549"/>
      <w:bookmarkStart w:id="1164" w:name="_Toc329870430"/>
      <w:bookmarkStart w:id="1165" w:name="_Toc335915816"/>
      <w:r w:rsidRPr="005911E2">
        <w:t>Numbers of income support recipients</w:t>
      </w:r>
      <w:bookmarkEnd w:id="1161"/>
      <w:bookmarkEnd w:id="1162"/>
      <w:bookmarkEnd w:id="1163"/>
      <w:bookmarkEnd w:id="1164"/>
      <w:bookmarkEnd w:id="1165"/>
    </w:p>
    <w:p w:rsidR="0006274D" w:rsidRPr="005911E2" w:rsidRDefault="0006274D" w:rsidP="0006274D">
      <w:pPr>
        <w:pStyle w:val="BodyText"/>
      </w:pPr>
      <w:r w:rsidRPr="005911E2">
        <w:t>Under NIM</w:t>
      </w:r>
      <w:r w:rsidR="00C873EB">
        <w:t>,</w:t>
      </w:r>
      <w:r w:rsidR="00E33FC4" w:rsidRPr="005911E2">
        <w:t xml:space="preserve"> as discussed previously</w:t>
      </w:r>
      <w:r w:rsidR="00F90611" w:rsidRPr="005911E2">
        <w:t>,</w:t>
      </w:r>
      <w:r w:rsidRPr="005911E2">
        <w:t xml:space="preserve"> people are subject to Compulsory Income Management if:</w:t>
      </w:r>
    </w:p>
    <w:p w:rsidR="0006274D" w:rsidRPr="005911E2" w:rsidRDefault="00BB2A6C" w:rsidP="00051CDC">
      <w:pPr>
        <w:pStyle w:val="ListBullet"/>
      </w:pPr>
      <w:r>
        <w:t>t</w:t>
      </w:r>
      <w:r w:rsidR="0006274D" w:rsidRPr="005911E2">
        <w:t>hey are aged 15</w:t>
      </w:r>
      <w:r w:rsidR="009D040F">
        <w:t xml:space="preserve"> to </w:t>
      </w:r>
      <w:r w:rsidR="0006274D" w:rsidRPr="005911E2">
        <w:t>24</w:t>
      </w:r>
      <w:r w:rsidR="009D040F">
        <w:t xml:space="preserve"> years</w:t>
      </w:r>
      <w:r w:rsidR="0006274D" w:rsidRPr="005911E2">
        <w:t xml:space="preserve"> and have been receiving Youth Allowance, Newstart Allowance, Special Benefit or Parenting Payment for at least 3 of the last 6 months, or</w:t>
      </w:r>
    </w:p>
    <w:p w:rsidR="0006274D" w:rsidRPr="005911E2" w:rsidRDefault="00BB2A6C" w:rsidP="00051CDC">
      <w:pPr>
        <w:pStyle w:val="ListBullet"/>
      </w:pPr>
      <w:r>
        <w:t>t</w:t>
      </w:r>
      <w:r w:rsidR="0006274D" w:rsidRPr="005911E2">
        <w:t>hey are aged 25</w:t>
      </w:r>
      <w:r w:rsidR="00686B3D">
        <w:t xml:space="preserve"> years</w:t>
      </w:r>
      <w:r w:rsidR="0006274D" w:rsidRPr="005911E2">
        <w:t xml:space="preserve"> and above and have been receiving one of these payments for more than 12 months in the last 2 years.</w:t>
      </w:r>
    </w:p>
    <w:p w:rsidR="0006274D" w:rsidRPr="005911E2" w:rsidRDefault="0006274D" w:rsidP="0006274D">
      <w:pPr>
        <w:pStyle w:val="BodyText"/>
      </w:pPr>
      <w:r w:rsidRPr="005911E2">
        <w:t>Corresponding to these categories, we present results separately for those under and over 25</w:t>
      </w:r>
      <w:r w:rsidR="00686B3D">
        <w:t xml:space="preserve"> years</w:t>
      </w:r>
      <w:r w:rsidRPr="005911E2">
        <w:t>, and also for those people receiving these ‘</w:t>
      </w:r>
      <w:r w:rsidR="004808B3">
        <w:t>Compulsory Income Management</w:t>
      </w:r>
      <w:r w:rsidRPr="005911E2">
        <w:t xml:space="preserve"> payments’ compared with other payments (mainly pensions). In order to maintain comparability over time, we define </w:t>
      </w:r>
      <w:r w:rsidR="004808B3">
        <w:t>Compulsory Income Management</w:t>
      </w:r>
      <w:r w:rsidRPr="005911E2">
        <w:t xml:space="preserve"> payments as including the payments listed above (Youth Allowance, Newstart Allowance, Special Benefit and all types of Parenting Payment) plus Austudy</w:t>
      </w:r>
      <w:r w:rsidRPr="005911E2">
        <w:rPr>
          <w:rStyle w:val="FootnoteReference"/>
        </w:rPr>
        <w:footnoteReference w:id="129"/>
      </w:r>
      <w:r w:rsidRPr="005911E2">
        <w:t xml:space="preserve"> and Newstart Mature Age Payment. </w:t>
      </w:r>
    </w:p>
    <w:p w:rsidR="0006274D" w:rsidRPr="005911E2" w:rsidRDefault="0006274D" w:rsidP="0006274D">
      <w:pPr>
        <w:pStyle w:val="BodyText"/>
      </w:pPr>
      <w:r w:rsidRPr="005911E2">
        <w:t xml:space="preserve">In addition, because families with children have available to them a wider range of reasons for exemption, we disaggregate by whether the person’s income unit included any family payment. </w:t>
      </w:r>
    </w:p>
    <w:p w:rsidR="0006274D" w:rsidRPr="005911E2" w:rsidRDefault="0006274D" w:rsidP="0006274D">
      <w:pPr>
        <w:pStyle w:val="BodyText"/>
      </w:pPr>
      <w:r w:rsidRPr="005911E2">
        <w:t xml:space="preserve">The proportion of Indigenous and non-Indigenous </w:t>
      </w:r>
      <w:r w:rsidR="004808B3">
        <w:t>Compulsory Income Management</w:t>
      </w:r>
      <w:r w:rsidRPr="005911E2">
        <w:t xml:space="preserve"> payment recipients who were income managed in September 2011 is shown in </w:t>
      </w:r>
      <w:r w:rsidR="008476E4" w:rsidRPr="005911E2">
        <w:t xml:space="preserve">Table </w:t>
      </w:r>
      <w:r w:rsidR="008476E4" w:rsidRPr="005911E2">
        <w:rPr>
          <w:noProof/>
        </w:rPr>
        <w:t>11</w:t>
      </w:r>
      <w:r w:rsidR="008476E4" w:rsidRPr="005911E2">
        <w:noBreakHyphen/>
      </w:r>
      <w:r w:rsidR="008476E4" w:rsidRPr="005911E2">
        <w:rPr>
          <w:noProof/>
        </w:rPr>
        <w:t>1</w:t>
      </w:r>
      <w:r w:rsidR="00F90611" w:rsidRPr="005911E2">
        <w:t xml:space="preserve"> and </w:t>
      </w:r>
      <w:r w:rsidR="008476E4" w:rsidRPr="005911E2">
        <w:t xml:space="preserve">Table </w:t>
      </w:r>
      <w:r w:rsidR="008476E4" w:rsidRPr="005911E2">
        <w:rPr>
          <w:noProof/>
        </w:rPr>
        <w:t>11</w:t>
      </w:r>
      <w:r w:rsidR="008476E4" w:rsidRPr="005911E2">
        <w:noBreakHyphen/>
      </w:r>
      <w:r w:rsidR="008476E4" w:rsidRPr="005911E2">
        <w:rPr>
          <w:noProof/>
        </w:rPr>
        <w:t>2</w:t>
      </w:r>
      <w:r w:rsidR="00E33FC4" w:rsidRPr="005911E2">
        <w:t xml:space="preserve"> r</w:t>
      </w:r>
      <w:r w:rsidRPr="005911E2">
        <w:t xml:space="preserve">espectively. </w:t>
      </w:r>
    </w:p>
    <w:p w:rsidR="004547CC" w:rsidRPr="005911E2" w:rsidRDefault="0006274D" w:rsidP="004547CC">
      <w:pPr>
        <w:pStyle w:val="tabfighead"/>
      </w:pPr>
      <w:bookmarkStart w:id="1166" w:name="_Ref321154935"/>
      <w:bookmarkStart w:id="1167" w:name="_Toc321430472"/>
      <w:bookmarkStart w:id="1168" w:name="_Toc321254591"/>
      <w:bookmarkStart w:id="1169" w:name="_Toc328601642"/>
      <w:bookmarkStart w:id="1170" w:name="_Toc329051420"/>
      <w:bookmarkStart w:id="1171" w:name="_Toc335915908"/>
      <w:r w:rsidRPr="005911E2">
        <w:t xml:space="preserve">Table </w:t>
      </w:r>
      <w:r w:rsidR="00C7347D" w:rsidRPr="006E287C">
        <w:rPr>
          <w:b w:val="0"/>
        </w:rPr>
        <w:fldChar w:fldCharType="begin"/>
      </w:r>
      <w:r w:rsidR="00EF6BC6" w:rsidRPr="005911E2">
        <w:instrText xml:space="preserve"> STYLEREF 1 \s </w:instrText>
      </w:r>
      <w:r w:rsidR="00C7347D" w:rsidRPr="006E287C">
        <w:rPr>
          <w:b w:val="0"/>
        </w:rPr>
        <w:fldChar w:fldCharType="separate"/>
      </w:r>
      <w:r w:rsidR="007D7E45">
        <w:rPr>
          <w:noProof/>
        </w:rPr>
        <w:t>12</w:t>
      </w:r>
      <w:r w:rsidR="00C7347D" w:rsidRPr="006E287C">
        <w:rPr>
          <w:b w:val="0"/>
        </w:rPr>
        <w:fldChar w:fldCharType="end"/>
      </w:r>
      <w:r w:rsidR="00EF6BC6" w:rsidRPr="005911E2">
        <w:noBreakHyphen/>
      </w:r>
      <w:r w:rsidR="00C7347D" w:rsidRPr="006E287C">
        <w:rPr>
          <w:b w:val="0"/>
        </w:rPr>
        <w:fldChar w:fldCharType="begin"/>
      </w:r>
      <w:r w:rsidR="00EF6BC6" w:rsidRPr="005911E2">
        <w:instrText xml:space="preserve"> SEQ Table \* ARABIC \s 1 </w:instrText>
      </w:r>
      <w:r w:rsidR="00C7347D" w:rsidRPr="006E287C">
        <w:rPr>
          <w:b w:val="0"/>
        </w:rPr>
        <w:fldChar w:fldCharType="separate"/>
      </w:r>
      <w:r w:rsidR="007D7E45">
        <w:rPr>
          <w:noProof/>
        </w:rPr>
        <w:t>1</w:t>
      </w:r>
      <w:r w:rsidR="00C7347D" w:rsidRPr="006E287C">
        <w:rPr>
          <w:b w:val="0"/>
        </w:rPr>
        <w:fldChar w:fldCharType="end"/>
      </w:r>
      <w:bookmarkEnd w:id="1166"/>
      <w:r w:rsidRPr="005911E2">
        <w:tab/>
        <w:t xml:space="preserve">Indigenous </w:t>
      </w:r>
      <w:r w:rsidR="004808B3">
        <w:t>Compulsory Income Management</w:t>
      </w:r>
      <w:r w:rsidRPr="005911E2">
        <w:t xml:space="preserve"> payment recipients below</w:t>
      </w:r>
      <w:r w:rsidR="009B364D">
        <w:t xml:space="preserve"> Age P</w:t>
      </w:r>
      <w:r w:rsidRPr="005911E2">
        <w:t xml:space="preserve">ension </w:t>
      </w:r>
      <w:r w:rsidR="009B364D">
        <w:t xml:space="preserve">eligibility </w:t>
      </w:r>
      <w:r w:rsidRPr="005911E2">
        <w:t xml:space="preserve">age: </w:t>
      </w:r>
      <w:r w:rsidR="00BB552A">
        <w:t>proportion</w:t>
      </w:r>
      <w:r w:rsidR="00BB552A" w:rsidRPr="005911E2">
        <w:t xml:space="preserve"> </w:t>
      </w:r>
      <w:r w:rsidRPr="005911E2">
        <w:t>income managed by age, presence of children and current payment duration, September 2011</w:t>
      </w:r>
      <w:bookmarkEnd w:id="1167"/>
      <w:bookmarkEnd w:id="1168"/>
      <w:bookmarkEnd w:id="1169"/>
      <w:bookmarkEnd w:id="1170"/>
      <w:bookmarkEnd w:id="1171"/>
    </w:p>
    <w:tbl>
      <w:tblPr>
        <w:tblW w:w="0" w:type="auto"/>
        <w:jc w:val="right"/>
        <w:tblInd w:w="-87" w:type="dxa"/>
        <w:tblLayout w:type="fixed"/>
        <w:tblLook w:val="0000" w:firstRow="0" w:lastRow="0" w:firstColumn="0" w:lastColumn="0" w:noHBand="0" w:noVBand="0"/>
      </w:tblPr>
      <w:tblGrid>
        <w:gridCol w:w="2296"/>
        <w:gridCol w:w="903"/>
        <w:gridCol w:w="902"/>
        <w:gridCol w:w="902"/>
        <w:gridCol w:w="903"/>
        <w:gridCol w:w="902"/>
        <w:gridCol w:w="903"/>
      </w:tblGrid>
      <w:tr w:rsidR="004547CC" w:rsidRPr="004547CC" w:rsidTr="00686B3D">
        <w:trPr>
          <w:trHeight w:val="240"/>
          <w:jc w:val="right"/>
        </w:trPr>
        <w:tc>
          <w:tcPr>
            <w:tcW w:w="2296" w:type="dxa"/>
            <w:tcBorders>
              <w:top w:val="single" w:sz="6" w:space="0" w:color="auto"/>
              <w:left w:val="nil"/>
              <w:bottom w:val="nil"/>
              <w:right w:val="nil"/>
            </w:tcBorders>
          </w:tcPr>
          <w:p w:rsidR="004547CC" w:rsidRPr="004547CC" w:rsidRDefault="004547CC" w:rsidP="004547CC">
            <w:pPr>
              <w:pStyle w:val="braytabletext"/>
            </w:pPr>
          </w:p>
        </w:tc>
        <w:tc>
          <w:tcPr>
            <w:tcW w:w="3610" w:type="dxa"/>
            <w:gridSpan w:val="4"/>
            <w:tcBorders>
              <w:top w:val="single" w:sz="6" w:space="0" w:color="auto"/>
              <w:left w:val="nil"/>
              <w:bottom w:val="single" w:sz="6" w:space="0" w:color="auto"/>
              <w:right w:val="nil"/>
            </w:tcBorders>
          </w:tcPr>
          <w:p w:rsidR="004547CC" w:rsidRPr="004547CC" w:rsidRDefault="004547CC" w:rsidP="004547CC">
            <w:pPr>
              <w:pStyle w:val="braytabletext"/>
            </w:pPr>
            <w:r w:rsidRPr="004547CC">
              <w:t>Current payment duration</w:t>
            </w:r>
          </w:p>
        </w:tc>
        <w:tc>
          <w:tcPr>
            <w:tcW w:w="902" w:type="dxa"/>
            <w:tcBorders>
              <w:top w:val="single" w:sz="6" w:space="0" w:color="auto"/>
              <w:left w:val="nil"/>
              <w:bottom w:val="single" w:sz="6" w:space="0" w:color="auto"/>
              <w:right w:val="nil"/>
            </w:tcBorders>
          </w:tcPr>
          <w:p w:rsidR="004547CC" w:rsidRPr="004547CC" w:rsidRDefault="004547CC" w:rsidP="004547CC">
            <w:pPr>
              <w:pStyle w:val="braytabletext"/>
            </w:pPr>
          </w:p>
        </w:tc>
        <w:tc>
          <w:tcPr>
            <w:tcW w:w="903" w:type="dxa"/>
            <w:tcBorders>
              <w:top w:val="single" w:sz="6" w:space="0" w:color="auto"/>
              <w:left w:val="nil"/>
              <w:bottom w:val="single" w:sz="6" w:space="0" w:color="auto"/>
              <w:right w:val="nil"/>
            </w:tcBorders>
          </w:tcPr>
          <w:p w:rsidR="004547CC" w:rsidRPr="004547CC" w:rsidRDefault="004547CC" w:rsidP="004547CC">
            <w:pPr>
              <w:pStyle w:val="braytabletext"/>
            </w:pPr>
          </w:p>
        </w:tc>
      </w:tr>
      <w:tr w:rsidR="004547CC" w:rsidRPr="004547CC" w:rsidTr="00686B3D">
        <w:trPr>
          <w:trHeight w:val="458"/>
          <w:jc w:val="right"/>
        </w:trPr>
        <w:tc>
          <w:tcPr>
            <w:tcW w:w="2296" w:type="dxa"/>
            <w:tcBorders>
              <w:top w:val="nil"/>
              <w:left w:val="nil"/>
              <w:bottom w:val="single" w:sz="6" w:space="0" w:color="auto"/>
              <w:right w:val="nil"/>
            </w:tcBorders>
          </w:tcPr>
          <w:p w:rsidR="004547CC" w:rsidRPr="004547CC" w:rsidRDefault="004547CC" w:rsidP="004547CC">
            <w:pPr>
              <w:pStyle w:val="braytabletext"/>
            </w:pPr>
          </w:p>
        </w:tc>
        <w:tc>
          <w:tcPr>
            <w:tcW w:w="903" w:type="dxa"/>
            <w:tcBorders>
              <w:top w:val="single" w:sz="6" w:space="0" w:color="auto"/>
              <w:left w:val="nil"/>
              <w:bottom w:val="single" w:sz="6" w:space="0" w:color="auto"/>
              <w:right w:val="nil"/>
            </w:tcBorders>
          </w:tcPr>
          <w:p w:rsidR="004547CC" w:rsidRPr="004547CC" w:rsidRDefault="004547CC" w:rsidP="004547CC">
            <w:pPr>
              <w:pStyle w:val="braytabletext"/>
              <w:jc w:val="right"/>
            </w:pPr>
            <w:r w:rsidRPr="004547CC">
              <w:t>0-3 months</w:t>
            </w:r>
          </w:p>
        </w:tc>
        <w:tc>
          <w:tcPr>
            <w:tcW w:w="902" w:type="dxa"/>
            <w:tcBorders>
              <w:top w:val="single" w:sz="6" w:space="0" w:color="auto"/>
              <w:left w:val="nil"/>
              <w:bottom w:val="single" w:sz="6" w:space="0" w:color="auto"/>
              <w:right w:val="nil"/>
            </w:tcBorders>
          </w:tcPr>
          <w:p w:rsidR="004547CC" w:rsidRPr="004547CC" w:rsidRDefault="004547CC" w:rsidP="004547CC">
            <w:pPr>
              <w:pStyle w:val="braytabletext"/>
              <w:jc w:val="right"/>
            </w:pPr>
            <w:r w:rsidRPr="004547CC">
              <w:t>3 &gt;- 6 months</w:t>
            </w:r>
          </w:p>
        </w:tc>
        <w:tc>
          <w:tcPr>
            <w:tcW w:w="902" w:type="dxa"/>
            <w:tcBorders>
              <w:top w:val="single" w:sz="6" w:space="0" w:color="auto"/>
              <w:left w:val="nil"/>
              <w:bottom w:val="single" w:sz="6" w:space="0" w:color="auto"/>
              <w:right w:val="nil"/>
            </w:tcBorders>
          </w:tcPr>
          <w:p w:rsidR="004547CC" w:rsidRPr="004547CC" w:rsidRDefault="004547CC" w:rsidP="004547CC">
            <w:pPr>
              <w:pStyle w:val="braytabletext"/>
              <w:jc w:val="right"/>
            </w:pPr>
            <w:r w:rsidRPr="004547CC">
              <w:t>6 &gt;- 9 months</w:t>
            </w:r>
          </w:p>
        </w:tc>
        <w:tc>
          <w:tcPr>
            <w:tcW w:w="903" w:type="dxa"/>
            <w:tcBorders>
              <w:top w:val="single" w:sz="6" w:space="0" w:color="auto"/>
              <w:left w:val="nil"/>
              <w:bottom w:val="single" w:sz="6" w:space="0" w:color="auto"/>
              <w:right w:val="nil"/>
            </w:tcBorders>
          </w:tcPr>
          <w:p w:rsidR="004547CC" w:rsidRPr="004547CC" w:rsidRDefault="004547CC" w:rsidP="004547CC">
            <w:pPr>
              <w:pStyle w:val="braytabletext"/>
              <w:jc w:val="right"/>
            </w:pPr>
            <w:r w:rsidRPr="004547CC">
              <w:t>9 &gt;- 12 months</w:t>
            </w:r>
          </w:p>
        </w:tc>
        <w:tc>
          <w:tcPr>
            <w:tcW w:w="902" w:type="dxa"/>
            <w:tcBorders>
              <w:top w:val="single" w:sz="6" w:space="0" w:color="auto"/>
              <w:left w:val="nil"/>
              <w:bottom w:val="single" w:sz="6" w:space="0" w:color="auto"/>
              <w:right w:val="nil"/>
            </w:tcBorders>
          </w:tcPr>
          <w:p w:rsidR="004547CC" w:rsidRPr="004547CC" w:rsidRDefault="004547CC" w:rsidP="004547CC">
            <w:pPr>
              <w:pStyle w:val="braytabletext"/>
              <w:jc w:val="right"/>
            </w:pPr>
            <w:r w:rsidRPr="004547CC">
              <w:t>12&gt;-24 months</w:t>
            </w:r>
          </w:p>
        </w:tc>
        <w:tc>
          <w:tcPr>
            <w:tcW w:w="903" w:type="dxa"/>
            <w:tcBorders>
              <w:top w:val="single" w:sz="6" w:space="0" w:color="auto"/>
              <w:left w:val="nil"/>
              <w:bottom w:val="single" w:sz="6" w:space="0" w:color="auto"/>
              <w:right w:val="nil"/>
            </w:tcBorders>
          </w:tcPr>
          <w:p w:rsidR="004547CC" w:rsidRPr="004547CC" w:rsidRDefault="004547CC" w:rsidP="004547CC">
            <w:pPr>
              <w:pStyle w:val="braytabletext"/>
              <w:jc w:val="right"/>
            </w:pPr>
            <w:r w:rsidRPr="004547CC">
              <w:t>Over 24 months</w:t>
            </w:r>
          </w:p>
        </w:tc>
      </w:tr>
      <w:tr w:rsidR="00D5067E" w:rsidRPr="004547CC" w:rsidTr="00686B3D">
        <w:trPr>
          <w:trHeight w:val="240"/>
          <w:jc w:val="right"/>
        </w:trPr>
        <w:tc>
          <w:tcPr>
            <w:tcW w:w="2296" w:type="dxa"/>
            <w:tcBorders>
              <w:top w:val="single" w:sz="6" w:space="0" w:color="auto"/>
              <w:left w:val="nil"/>
              <w:right w:val="nil"/>
            </w:tcBorders>
          </w:tcPr>
          <w:p w:rsidR="00D5067E" w:rsidRPr="004547CC" w:rsidRDefault="00D5067E" w:rsidP="004547CC">
            <w:pPr>
              <w:pStyle w:val="braytabletext"/>
            </w:pPr>
          </w:p>
        </w:tc>
        <w:tc>
          <w:tcPr>
            <w:tcW w:w="5415" w:type="dxa"/>
            <w:gridSpan w:val="6"/>
            <w:tcBorders>
              <w:top w:val="single" w:sz="6" w:space="0" w:color="auto"/>
              <w:left w:val="nil"/>
              <w:right w:val="nil"/>
            </w:tcBorders>
          </w:tcPr>
          <w:p w:rsidR="00BF0F6E" w:rsidRDefault="00D5067E" w:rsidP="00851FBD">
            <w:pPr>
              <w:pStyle w:val="braytabletext"/>
              <w:jc w:val="center"/>
              <w:rPr>
                <w:smallCaps/>
                <w:spacing w:val="5"/>
                <w:lang w:val="en-US"/>
              </w:rPr>
            </w:pPr>
            <w:r>
              <w:t>- % -</w:t>
            </w:r>
          </w:p>
        </w:tc>
      </w:tr>
      <w:tr w:rsidR="004547CC" w:rsidRPr="004547CC" w:rsidTr="00686B3D">
        <w:trPr>
          <w:trHeight w:val="240"/>
          <w:jc w:val="right"/>
        </w:trPr>
        <w:tc>
          <w:tcPr>
            <w:tcW w:w="2296" w:type="dxa"/>
            <w:tcBorders>
              <w:left w:val="nil"/>
              <w:bottom w:val="nil"/>
              <w:right w:val="nil"/>
            </w:tcBorders>
          </w:tcPr>
          <w:p w:rsidR="004547CC" w:rsidRPr="004547CC" w:rsidRDefault="004547CC" w:rsidP="004547CC">
            <w:pPr>
              <w:pStyle w:val="braytabletext"/>
            </w:pPr>
            <w:r w:rsidRPr="004547CC">
              <w:t xml:space="preserve">Under 25 </w:t>
            </w:r>
            <w:r w:rsidR="00686B3D">
              <w:t xml:space="preserve">years </w:t>
            </w:r>
            <w:r w:rsidRPr="004547CC">
              <w:t>with children</w:t>
            </w:r>
          </w:p>
        </w:tc>
        <w:tc>
          <w:tcPr>
            <w:tcW w:w="903" w:type="dxa"/>
            <w:tcBorders>
              <w:left w:val="nil"/>
              <w:bottom w:val="nil"/>
              <w:right w:val="nil"/>
            </w:tcBorders>
          </w:tcPr>
          <w:p w:rsidR="004547CC" w:rsidRPr="004547CC" w:rsidRDefault="004547CC" w:rsidP="004547CC">
            <w:pPr>
              <w:pStyle w:val="braytabletext"/>
              <w:jc w:val="right"/>
            </w:pPr>
            <w:r w:rsidRPr="004547CC">
              <w:t>58</w:t>
            </w:r>
          </w:p>
        </w:tc>
        <w:tc>
          <w:tcPr>
            <w:tcW w:w="902" w:type="dxa"/>
            <w:tcBorders>
              <w:left w:val="nil"/>
              <w:bottom w:val="nil"/>
              <w:right w:val="nil"/>
            </w:tcBorders>
          </w:tcPr>
          <w:p w:rsidR="004547CC" w:rsidRPr="004547CC" w:rsidRDefault="004547CC" w:rsidP="004547CC">
            <w:pPr>
              <w:pStyle w:val="braytabletext"/>
              <w:jc w:val="right"/>
            </w:pPr>
            <w:r w:rsidRPr="004547CC">
              <w:t>67</w:t>
            </w:r>
          </w:p>
        </w:tc>
        <w:tc>
          <w:tcPr>
            <w:tcW w:w="902" w:type="dxa"/>
            <w:tcBorders>
              <w:left w:val="nil"/>
              <w:bottom w:val="nil"/>
              <w:right w:val="nil"/>
            </w:tcBorders>
          </w:tcPr>
          <w:p w:rsidR="004547CC" w:rsidRPr="004547CC" w:rsidRDefault="004547CC" w:rsidP="004547CC">
            <w:pPr>
              <w:pStyle w:val="braytabletext"/>
              <w:jc w:val="right"/>
            </w:pPr>
            <w:r w:rsidRPr="004547CC">
              <w:t>80</w:t>
            </w:r>
          </w:p>
        </w:tc>
        <w:tc>
          <w:tcPr>
            <w:tcW w:w="903" w:type="dxa"/>
            <w:tcBorders>
              <w:left w:val="nil"/>
              <w:bottom w:val="nil"/>
              <w:right w:val="nil"/>
            </w:tcBorders>
          </w:tcPr>
          <w:p w:rsidR="004547CC" w:rsidRPr="004547CC" w:rsidRDefault="004547CC" w:rsidP="004547CC">
            <w:pPr>
              <w:pStyle w:val="braytabletext"/>
              <w:jc w:val="right"/>
            </w:pPr>
            <w:r w:rsidRPr="004547CC">
              <w:t>77</w:t>
            </w:r>
          </w:p>
        </w:tc>
        <w:tc>
          <w:tcPr>
            <w:tcW w:w="902" w:type="dxa"/>
            <w:tcBorders>
              <w:left w:val="nil"/>
              <w:bottom w:val="nil"/>
              <w:right w:val="nil"/>
            </w:tcBorders>
          </w:tcPr>
          <w:p w:rsidR="004547CC" w:rsidRPr="004547CC" w:rsidRDefault="004547CC" w:rsidP="004547CC">
            <w:pPr>
              <w:pStyle w:val="braytabletext"/>
              <w:jc w:val="right"/>
            </w:pPr>
            <w:r w:rsidRPr="004547CC">
              <w:t>82</w:t>
            </w:r>
          </w:p>
        </w:tc>
        <w:tc>
          <w:tcPr>
            <w:tcW w:w="903" w:type="dxa"/>
            <w:tcBorders>
              <w:left w:val="nil"/>
              <w:bottom w:val="nil"/>
              <w:right w:val="nil"/>
            </w:tcBorders>
          </w:tcPr>
          <w:p w:rsidR="004547CC" w:rsidRPr="004547CC" w:rsidRDefault="004547CC" w:rsidP="004547CC">
            <w:pPr>
              <w:pStyle w:val="braytabletext"/>
              <w:jc w:val="right"/>
            </w:pPr>
            <w:r w:rsidRPr="004547CC">
              <w:t>86</w:t>
            </w:r>
          </w:p>
        </w:tc>
      </w:tr>
      <w:tr w:rsidR="004547CC" w:rsidRPr="004547CC" w:rsidTr="00686B3D">
        <w:trPr>
          <w:trHeight w:val="240"/>
          <w:jc w:val="right"/>
        </w:trPr>
        <w:tc>
          <w:tcPr>
            <w:tcW w:w="2296" w:type="dxa"/>
            <w:tcBorders>
              <w:top w:val="nil"/>
              <w:left w:val="nil"/>
              <w:bottom w:val="nil"/>
              <w:right w:val="nil"/>
            </w:tcBorders>
          </w:tcPr>
          <w:p w:rsidR="004547CC" w:rsidRPr="004547CC" w:rsidRDefault="004547CC" w:rsidP="004547CC">
            <w:pPr>
              <w:pStyle w:val="braytabletext"/>
            </w:pPr>
            <w:r w:rsidRPr="004547CC">
              <w:t>Under 25</w:t>
            </w:r>
            <w:r w:rsidR="00686B3D">
              <w:t xml:space="preserve"> years,</w:t>
            </w:r>
            <w:r w:rsidRPr="004547CC">
              <w:t xml:space="preserve"> no children</w:t>
            </w:r>
          </w:p>
        </w:tc>
        <w:tc>
          <w:tcPr>
            <w:tcW w:w="903" w:type="dxa"/>
            <w:tcBorders>
              <w:top w:val="nil"/>
              <w:left w:val="nil"/>
              <w:bottom w:val="nil"/>
              <w:right w:val="nil"/>
            </w:tcBorders>
          </w:tcPr>
          <w:p w:rsidR="004547CC" w:rsidRPr="004547CC" w:rsidRDefault="004547CC" w:rsidP="004547CC">
            <w:pPr>
              <w:pStyle w:val="braytabletext"/>
              <w:jc w:val="right"/>
            </w:pPr>
            <w:r w:rsidRPr="004547CC">
              <w:t>29</w:t>
            </w:r>
          </w:p>
        </w:tc>
        <w:tc>
          <w:tcPr>
            <w:tcW w:w="902" w:type="dxa"/>
            <w:tcBorders>
              <w:top w:val="nil"/>
              <w:left w:val="nil"/>
              <w:bottom w:val="nil"/>
              <w:right w:val="nil"/>
            </w:tcBorders>
          </w:tcPr>
          <w:p w:rsidR="004547CC" w:rsidRPr="004547CC" w:rsidRDefault="004547CC" w:rsidP="004547CC">
            <w:pPr>
              <w:pStyle w:val="braytabletext"/>
              <w:jc w:val="right"/>
            </w:pPr>
            <w:r w:rsidRPr="004547CC">
              <w:t>69</w:t>
            </w:r>
          </w:p>
        </w:tc>
        <w:tc>
          <w:tcPr>
            <w:tcW w:w="902" w:type="dxa"/>
            <w:tcBorders>
              <w:top w:val="nil"/>
              <w:left w:val="nil"/>
              <w:bottom w:val="nil"/>
              <w:right w:val="nil"/>
            </w:tcBorders>
          </w:tcPr>
          <w:p w:rsidR="004547CC" w:rsidRPr="004547CC" w:rsidRDefault="004547CC" w:rsidP="004547CC">
            <w:pPr>
              <w:pStyle w:val="braytabletext"/>
              <w:jc w:val="right"/>
            </w:pPr>
            <w:r w:rsidRPr="004547CC">
              <w:t>87</w:t>
            </w:r>
          </w:p>
        </w:tc>
        <w:tc>
          <w:tcPr>
            <w:tcW w:w="903" w:type="dxa"/>
            <w:tcBorders>
              <w:top w:val="nil"/>
              <w:left w:val="nil"/>
              <w:bottom w:val="nil"/>
              <w:right w:val="nil"/>
            </w:tcBorders>
          </w:tcPr>
          <w:p w:rsidR="004547CC" w:rsidRPr="004547CC" w:rsidRDefault="004547CC" w:rsidP="004547CC">
            <w:pPr>
              <w:pStyle w:val="braytabletext"/>
              <w:jc w:val="right"/>
            </w:pPr>
            <w:r w:rsidRPr="004547CC">
              <w:t>85</w:t>
            </w:r>
          </w:p>
        </w:tc>
        <w:tc>
          <w:tcPr>
            <w:tcW w:w="902" w:type="dxa"/>
            <w:tcBorders>
              <w:top w:val="nil"/>
              <w:left w:val="nil"/>
              <w:bottom w:val="nil"/>
              <w:right w:val="nil"/>
            </w:tcBorders>
          </w:tcPr>
          <w:p w:rsidR="004547CC" w:rsidRPr="004547CC" w:rsidRDefault="004547CC" w:rsidP="004547CC">
            <w:pPr>
              <w:pStyle w:val="braytabletext"/>
              <w:jc w:val="right"/>
            </w:pPr>
            <w:r w:rsidRPr="004547CC">
              <w:t>86</w:t>
            </w:r>
          </w:p>
        </w:tc>
        <w:tc>
          <w:tcPr>
            <w:tcW w:w="903" w:type="dxa"/>
            <w:tcBorders>
              <w:top w:val="nil"/>
              <w:left w:val="nil"/>
              <w:bottom w:val="nil"/>
              <w:right w:val="nil"/>
            </w:tcBorders>
          </w:tcPr>
          <w:p w:rsidR="004547CC" w:rsidRPr="004547CC" w:rsidRDefault="004547CC" w:rsidP="004547CC">
            <w:pPr>
              <w:pStyle w:val="braytabletext"/>
              <w:jc w:val="right"/>
            </w:pPr>
            <w:r w:rsidRPr="004547CC">
              <w:t>78</w:t>
            </w:r>
          </w:p>
        </w:tc>
      </w:tr>
      <w:tr w:rsidR="004547CC" w:rsidRPr="004547CC" w:rsidTr="00686B3D">
        <w:trPr>
          <w:trHeight w:val="240"/>
          <w:jc w:val="right"/>
        </w:trPr>
        <w:tc>
          <w:tcPr>
            <w:tcW w:w="2296" w:type="dxa"/>
            <w:tcBorders>
              <w:top w:val="nil"/>
              <w:left w:val="nil"/>
              <w:bottom w:val="nil"/>
              <w:right w:val="nil"/>
            </w:tcBorders>
          </w:tcPr>
          <w:p w:rsidR="004547CC" w:rsidRPr="004547CC" w:rsidRDefault="00686B3D" w:rsidP="004547CC">
            <w:pPr>
              <w:pStyle w:val="braytabletext"/>
            </w:pPr>
            <w:r>
              <w:t>25-64 year</w:t>
            </w:r>
            <w:r w:rsidR="004547CC" w:rsidRPr="004547CC">
              <w:t>s with children</w:t>
            </w:r>
          </w:p>
        </w:tc>
        <w:tc>
          <w:tcPr>
            <w:tcW w:w="903" w:type="dxa"/>
            <w:tcBorders>
              <w:top w:val="nil"/>
              <w:left w:val="nil"/>
              <w:bottom w:val="nil"/>
              <w:right w:val="nil"/>
            </w:tcBorders>
          </w:tcPr>
          <w:p w:rsidR="004547CC" w:rsidRPr="004547CC" w:rsidRDefault="004547CC" w:rsidP="004547CC">
            <w:pPr>
              <w:pStyle w:val="braytabletext"/>
              <w:jc w:val="right"/>
            </w:pPr>
            <w:r w:rsidRPr="004547CC">
              <w:t>45</w:t>
            </w:r>
          </w:p>
        </w:tc>
        <w:tc>
          <w:tcPr>
            <w:tcW w:w="902" w:type="dxa"/>
            <w:tcBorders>
              <w:top w:val="nil"/>
              <w:left w:val="nil"/>
              <w:bottom w:val="nil"/>
              <w:right w:val="nil"/>
            </w:tcBorders>
          </w:tcPr>
          <w:p w:rsidR="004547CC" w:rsidRPr="004547CC" w:rsidRDefault="004547CC" w:rsidP="004547CC">
            <w:pPr>
              <w:pStyle w:val="braytabletext"/>
              <w:jc w:val="right"/>
            </w:pPr>
            <w:r w:rsidRPr="004547CC">
              <w:t>52</w:t>
            </w:r>
          </w:p>
        </w:tc>
        <w:tc>
          <w:tcPr>
            <w:tcW w:w="902" w:type="dxa"/>
            <w:tcBorders>
              <w:top w:val="nil"/>
              <w:left w:val="nil"/>
              <w:bottom w:val="nil"/>
              <w:right w:val="nil"/>
            </w:tcBorders>
          </w:tcPr>
          <w:p w:rsidR="004547CC" w:rsidRPr="004547CC" w:rsidRDefault="004547CC" w:rsidP="004547CC">
            <w:pPr>
              <w:pStyle w:val="braytabletext"/>
              <w:jc w:val="right"/>
            </w:pPr>
            <w:r w:rsidRPr="004547CC">
              <w:t>54</w:t>
            </w:r>
          </w:p>
        </w:tc>
        <w:tc>
          <w:tcPr>
            <w:tcW w:w="903" w:type="dxa"/>
            <w:tcBorders>
              <w:top w:val="nil"/>
              <w:left w:val="nil"/>
              <w:bottom w:val="nil"/>
              <w:right w:val="nil"/>
            </w:tcBorders>
          </w:tcPr>
          <w:p w:rsidR="004547CC" w:rsidRPr="004547CC" w:rsidRDefault="004547CC" w:rsidP="004547CC">
            <w:pPr>
              <w:pStyle w:val="braytabletext"/>
              <w:jc w:val="right"/>
            </w:pPr>
            <w:r w:rsidRPr="004547CC">
              <w:t>57</w:t>
            </w:r>
          </w:p>
        </w:tc>
        <w:tc>
          <w:tcPr>
            <w:tcW w:w="902" w:type="dxa"/>
            <w:tcBorders>
              <w:top w:val="nil"/>
              <w:left w:val="nil"/>
              <w:bottom w:val="nil"/>
              <w:right w:val="nil"/>
            </w:tcBorders>
          </w:tcPr>
          <w:p w:rsidR="004547CC" w:rsidRPr="004547CC" w:rsidRDefault="004547CC" w:rsidP="004547CC">
            <w:pPr>
              <w:pStyle w:val="braytabletext"/>
              <w:jc w:val="right"/>
            </w:pPr>
            <w:r w:rsidRPr="004547CC">
              <w:t>78</w:t>
            </w:r>
          </w:p>
        </w:tc>
        <w:tc>
          <w:tcPr>
            <w:tcW w:w="903" w:type="dxa"/>
            <w:tcBorders>
              <w:top w:val="nil"/>
              <w:left w:val="nil"/>
              <w:bottom w:val="nil"/>
              <w:right w:val="nil"/>
            </w:tcBorders>
          </w:tcPr>
          <w:p w:rsidR="004547CC" w:rsidRPr="004547CC" w:rsidRDefault="004547CC" w:rsidP="004547CC">
            <w:pPr>
              <w:pStyle w:val="braytabletext"/>
              <w:jc w:val="right"/>
            </w:pPr>
            <w:r w:rsidRPr="004547CC">
              <w:t>77</w:t>
            </w:r>
          </w:p>
        </w:tc>
      </w:tr>
      <w:tr w:rsidR="004547CC" w:rsidRPr="004547CC" w:rsidTr="00686B3D">
        <w:trPr>
          <w:trHeight w:val="240"/>
          <w:jc w:val="right"/>
        </w:trPr>
        <w:tc>
          <w:tcPr>
            <w:tcW w:w="2296" w:type="dxa"/>
            <w:tcBorders>
              <w:top w:val="nil"/>
              <w:left w:val="nil"/>
              <w:bottom w:val="single" w:sz="6" w:space="0" w:color="auto"/>
              <w:right w:val="nil"/>
            </w:tcBorders>
          </w:tcPr>
          <w:p w:rsidR="004547CC" w:rsidRPr="004547CC" w:rsidRDefault="004547CC" w:rsidP="00D5067E">
            <w:pPr>
              <w:pStyle w:val="braytabletext"/>
            </w:pPr>
            <w:r w:rsidRPr="004547CC">
              <w:t>25-64 y</w:t>
            </w:r>
            <w:r w:rsidR="00686B3D">
              <w:t>ea</w:t>
            </w:r>
            <w:r w:rsidRPr="004547CC">
              <w:t>rs</w:t>
            </w:r>
            <w:r w:rsidR="00686B3D">
              <w:t>,</w:t>
            </w:r>
            <w:r w:rsidRPr="004547CC">
              <w:t xml:space="preserve"> no children</w:t>
            </w:r>
          </w:p>
        </w:tc>
        <w:tc>
          <w:tcPr>
            <w:tcW w:w="903" w:type="dxa"/>
            <w:tcBorders>
              <w:top w:val="nil"/>
              <w:left w:val="nil"/>
              <w:bottom w:val="single" w:sz="6" w:space="0" w:color="auto"/>
              <w:right w:val="nil"/>
            </w:tcBorders>
          </w:tcPr>
          <w:p w:rsidR="004547CC" w:rsidRPr="004547CC" w:rsidRDefault="004547CC" w:rsidP="004547CC">
            <w:pPr>
              <w:pStyle w:val="braytabletext"/>
              <w:jc w:val="right"/>
            </w:pPr>
            <w:r w:rsidRPr="004547CC">
              <w:t>40</w:t>
            </w:r>
          </w:p>
        </w:tc>
        <w:tc>
          <w:tcPr>
            <w:tcW w:w="902" w:type="dxa"/>
            <w:tcBorders>
              <w:top w:val="nil"/>
              <w:left w:val="nil"/>
              <w:bottom w:val="single" w:sz="6" w:space="0" w:color="auto"/>
              <w:right w:val="nil"/>
            </w:tcBorders>
          </w:tcPr>
          <w:p w:rsidR="004547CC" w:rsidRPr="004547CC" w:rsidRDefault="004547CC" w:rsidP="004547CC">
            <w:pPr>
              <w:pStyle w:val="braytabletext"/>
              <w:jc w:val="right"/>
            </w:pPr>
            <w:r w:rsidRPr="004547CC">
              <w:t>48</w:t>
            </w:r>
          </w:p>
        </w:tc>
        <w:tc>
          <w:tcPr>
            <w:tcW w:w="902" w:type="dxa"/>
            <w:tcBorders>
              <w:top w:val="nil"/>
              <w:left w:val="nil"/>
              <w:bottom w:val="single" w:sz="6" w:space="0" w:color="auto"/>
              <w:right w:val="nil"/>
            </w:tcBorders>
          </w:tcPr>
          <w:p w:rsidR="004547CC" w:rsidRPr="004547CC" w:rsidRDefault="004547CC" w:rsidP="004547CC">
            <w:pPr>
              <w:pStyle w:val="braytabletext"/>
              <w:jc w:val="right"/>
            </w:pPr>
            <w:r w:rsidRPr="004547CC">
              <w:t>53</w:t>
            </w:r>
          </w:p>
        </w:tc>
        <w:tc>
          <w:tcPr>
            <w:tcW w:w="903" w:type="dxa"/>
            <w:tcBorders>
              <w:top w:val="nil"/>
              <w:left w:val="nil"/>
              <w:bottom w:val="single" w:sz="6" w:space="0" w:color="auto"/>
              <w:right w:val="nil"/>
            </w:tcBorders>
          </w:tcPr>
          <w:p w:rsidR="004547CC" w:rsidRPr="004547CC" w:rsidRDefault="004547CC" w:rsidP="004547CC">
            <w:pPr>
              <w:pStyle w:val="braytabletext"/>
              <w:jc w:val="right"/>
            </w:pPr>
            <w:r w:rsidRPr="004547CC">
              <w:t>58</w:t>
            </w:r>
          </w:p>
        </w:tc>
        <w:tc>
          <w:tcPr>
            <w:tcW w:w="902" w:type="dxa"/>
            <w:tcBorders>
              <w:top w:val="nil"/>
              <w:left w:val="nil"/>
              <w:bottom w:val="single" w:sz="6" w:space="0" w:color="auto"/>
              <w:right w:val="nil"/>
            </w:tcBorders>
          </w:tcPr>
          <w:p w:rsidR="004547CC" w:rsidRPr="004547CC" w:rsidRDefault="004547CC" w:rsidP="004547CC">
            <w:pPr>
              <w:pStyle w:val="braytabletext"/>
              <w:jc w:val="right"/>
            </w:pPr>
            <w:r w:rsidRPr="004547CC">
              <w:t>82</w:t>
            </w:r>
          </w:p>
        </w:tc>
        <w:tc>
          <w:tcPr>
            <w:tcW w:w="903" w:type="dxa"/>
            <w:tcBorders>
              <w:top w:val="nil"/>
              <w:left w:val="nil"/>
              <w:bottom w:val="single" w:sz="6" w:space="0" w:color="auto"/>
              <w:right w:val="nil"/>
            </w:tcBorders>
          </w:tcPr>
          <w:p w:rsidR="004547CC" w:rsidRPr="004547CC" w:rsidRDefault="004547CC" w:rsidP="004547CC">
            <w:pPr>
              <w:pStyle w:val="braytabletext"/>
              <w:jc w:val="right"/>
            </w:pPr>
            <w:r w:rsidRPr="004547CC">
              <w:t>73</w:t>
            </w:r>
          </w:p>
        </w:tc>
      </w:tr>
    </w:tbl>
    <w:p w:rsidR="0006274D" w:rsidRPr="005911E2" w:rsidRDefault="0006274D" w:rsidP="00CF78DB">
      <w:pPr>
        <w:pStyle w:val="tablefootnotes"/>
      </w:pPr>
      <w:r w:rsidRPr="005911E2">
        <w:t>Population:</w:t>
      </w:r>
      <w:r w:rsidR="008A1D49">
        <w:tab/>
      </w:r>
      <w:r w:rsidRPr="005911E2">
        <w:t xml:space="preserve">Indigenous, below </w:t>
      </w:r>
      <w:r w:rsidR="00CD2AFC">
        <w:t>Age P</w:t>
      </w:r>
      <w:r w:rsidRPr="005911E2">
        <w:t xml:space="preserve">ension age, </w:t>
      </w:r>
      <w:r w:rsidR="004808B3">
        <w:t>Compulsory Income Management</w:t>
      </w:r>
      <w:r w:rsidRPr="005911E2">
        <w:t xml:space="preserve"> payment recipients resident in the Northern Territory. </w:t>
      </w:r>
      <w:r w:rsidR="0014242D">
        <w:t>P</w:t>
      </w:r>
      <w:r w:rsidRPr="005911E2">
        <w:t xml:space="preserve">ayments are those subject to </w:t>
      </w:r>
      <w:r w:rsidR="0014242D">
        <w:t>C</w:t>
      </w:r>
      <w:r w:rsidRPr="005911E2">
        <w:t xml:space="preserve">ompulsory </w:t>
      </w:r>
      <w:r w:rsidR="0014242D">
        <w:t>I</w:t>
      </w:r>
      <w:r w:rsidR="00F878E4">
        <w:t xml:space="preserve">ncome </w:t>
      </w:r>
      <w:r w:rsidR="0014242D">
        <w:t>M</w:t>
      </w:r>
      <w:r w:rsidR="00F878E4">
        <w:t>anagement</w:t>
      </w:r>
      <w:r w:rsidRPr="005911E2">
        <w:t xml:space="preserve"> after July 2010, plus Austudy. Children are F</w:t>
      </w:r>
      <w:r w:rsidR="0014242D">
        <w:t xml:space="preserve">amily </w:t>
      </w:r>
      <w:r w:rsidRPr="005911E2">
        <w:t>T</w:t>
      </w:r>
      <w:r w:rsidR="0014242D">
        <w:t xml:space="preserve">ax </w:t>
      </w:r>
      <w:r w:rsidRPr="005911E2">
        <w:t>B</w:t>
      </w:r>
      <w:r w:rsidR="0014242D">
        <w:t>enefit</w:t>
      </w:r>
      <w:r w:rsidRPr="005911E2">
        <w:t xml:space="preserve"> recipient children of either the recipient or their partner.</w:t>
      </w:r>
    </w:p>
    <w:p w:rsidR="0006274D" w:rsidRDefault="0006274D" w:rsidP="00CF78DB">
      <w:pPr>
        <w:pStyle w:val="tablefootnotes"/>
      </w:pPr>
      <w:r w:rsidRPr="005911E2">
        <w:t xml:space="preserve">Source: </w:t>
      </w:r>
      <w:r w:rsidRPr="005911E2">
        <w:tab/>
        <w:t>Derived from the FaHCSIA Housing Dataset.</w:t>
      </w:r>
    </w:p>
    <w:p w:rsidR="00423C90" w:rsidRDefault="00423C90" w:rsidP="00CF78DB">
      <w:pPr>
        <w:pStyle w:val="tablefootnotes"/>
      </w:pPr>
    </w:p>
    <w:p w:rsidR="00AE7648" w:rsidRPr="005911E2" w:rsidRDefault="00AE7648" w:rsidP="00AE7648">
      <w:pPr>
        <w:pStyle w:val="BodyText"/>
      </w:pPr>
      <w:r w:rsidRPr="005911E2">
        <w:t xml:space="preserve">These rates of income management are disaggregated by the person’s duration on their current income support payment. </w:t>
      </w:r>
      <w:r w:rsidRPr="005911E2">
        <w:rPr>
          <w:lang w:eastAsia="en-US"/>
        </w:rPr>
        <w:t xml:space="preserve">This duration measure is not the same as the duration measure used to determine eligibility for </w:t>
      </w:r>
      <w:r>
        <w:rPr>
          <w:lang w:eastAsia="en-US"/>
        </w:rPr>
        <w:t>Compulsory Income Management</w:t>
      </w:r>
      <w:r w:rsidRPr="005911E2">
        <w:rPr>
          <w:lang w:eastAsia="en-US"/>
        </w:rPr>
        <w:t>. The duration measure used to determine eligibility is based on the number of fortnights receiving the income support payments over the previous two years (or six months for those under 25</w:t>
      </w:r>
      <w:r w:rsidR="00686B3D">
        <w:rPr>
          <w:lang w:eastAsia="en-US"/>
        </w:rPr>
        <w:t xml:space="preserve"> years</w:t>
      </w:r>
      <w:r w:rsidRPr="005911E2">
        <w:rPr>
          <w:lang w:eastAsia="en-US"/>
        </w:rPr>
        <w:t xml:space="preserve">). The data provided to the evaluation team only contains information on the duration for which the person has been receiving their current payment. </w:t>
      </w:r>
    </w:p>
    <w:p w:rsidR="00AE7648" w:rsidRPr="005911E2" w:rsidRDefault="00AE7648" w:rsidP="00AE7648">
      <w:pPr>
        <w:pStyle w:val="BodyText"/>
      </w:pPr>
      <w:r w:rsidRPr="005911E2">
        <w:t>Amongst Indigenous people aged under 25</w:t>
      </w:r>
      <w:r>
        <w:t xml:space="preserve"> years</w:t>
      </w:r>
      <w:r w:rsidRPr="005911E2">
        <w:t>, the proportion who are income managed is, as expected, lowest among the short duration recipients. Nonetheless, 58 per cent of those with children and 29 per cent of those with no children in the under three month duration categories are income managed. This suggests that many short-duration income support recipients have previously experienced another spell of income support receipt.</w:t>
      </w:r>
    </w:p>
    <w:p w:rsidR="00AE7648" w:rsidRPr="005911E2" w:rsidRDefault="00AE7648" w:rsidP="00AE7648">
      <w:pPr>
        <w:pStyle w:val="BodyText"/>
      </w:pPr>
      <w:r w:rsidRPr="005911E2">
        <w:t xml:space="preserve">For those aged under 25 years </w:t>
      </w:r>
      <w:r>
        <w:t xml:space="preserve">who have been </w:t>
      </w:r>
      <w:r w:rsidRPr="005911E2">
        <w:t>on their current payment for more than 6 months, the proportion income managed ranges from 77 to 86 per cent. As</w:t>
      </w:r>
      <w:r>
        <w:t xml:space="preserve"> has been </w:t>
      </w:r>
      <w:r w:rsidRPr="005911E2">
        <w:t>discussed in Chapter 8</w:t>
      </w:r>
      <w:r>
        <w:t>,</w:t>
      </w:r>
      <w:r w:rsidRPr="005911E2">
        <w:t xml:space="preserve"> the main reasons for exemptions for this young population are those associated with attending education. </w:t>
      </w:r>
    </w:p>
    <w:p w:rsidR="00AE7648" w:rsidRDefault="00AE7648" w:rsidP="00AE7648">
      <w:pPr>
        <w:pStyle w:val="BodyText"/>
      </w:pPr>
      <w:r w:rsidRPr="005911E2">
        <w:t>The rates of income management are much lower among non-Indigenous income support recipients aged under 25 years. However</w:t>
      </w:r>
      <w:r>
        <w:t>,</w:t>
      </w:r>
      <w:r w:rsidRPr="005911E2">
        <w:t xml:space="preserve"> the general pattern is similar with the proportion income managed lowest among the short duration (13 and 19 per cent income managed). </w:t>
      </w:r>
    </w:p>
    <w:p w:rsidR="00AE7648" w:rsidRPr="005911E2" w:rsidRDefault="00AE7648" w:rsidP="00AE7648">
      <w:pPr>
        <w:pStyle w:val="BodyText"/>
      </w:pPr>
      <w:r w:rsidRPr="005911E2">
        <w:t xml:space="preserve">For the younger Indigenous group who have been on </w:t>
      </w:r>
      <w:r>
        <w:t>income management</w:t>
      </w:r>
      <w:r w:rsidRPr="005911E2">
        <w:t xml:space="preserve"> for less than 3 months, the proportion </w:t>
      </w:r>
      <w:r>
        <w:t>managed</w:t>
      </w:r>
      <w:r w:rsidRPr="005911E2">
        <w:t xml:space="preserve"> is higher for those with children than those with no children. However, for those who have been on their current payment for more than 3 months, the proportion on </w:t>
      </w:r>
      <w:r>
        <w:t>income management</w:t>
      </w:r>
      <w:r w:rsidRPr="005911E2">
        <w:t xml:space="preserve"> is in most cases higher for those with no children.</w:t>
      </w:r>
    </w:p>
    <w:p w:rsidR="00AE7648" w:rsidRPr="005911E2" w:rsidRDefault="00AE7648" w:rsidP="00AE7648">
      <w:pPr>
        <w:pStyle w:val="BodyText"/>
      </w:pPr>
    </w:p>
    <w:p w:rsidR="00AE7648" w:rsidRPr="005911E2" w:rsidRDefault="00AE7648" w:rsidP="00CF78DB">
      <w:pPr>
        <w:pStyle w:val="tablefootnotes"/>
      </w:pPr>
    </w:p>
    <w:p w:rsidR="0006274D" w:rsidRDefault="0006274D" w:rsidP="0006274D">
      <w:pPr>
        <w:pStyle w:val="tabfighead"/>
      </w:pPr>
      <w:bookmarkStart w:id="1172" w:name="_Ref321155147"/>
      <w:bookmarkStart w:id="1173" w:name="_Toc321430473"/>
      <w:bookmarkStart w:id="1174" w:name="_Toc321254592"/>
      <w:bookmarkStart w:id="1175" w:name="_Toc328601643"/>
      <w:bookmarkStart w:id="1176" w:name="_Toc329051421"/>
      <w:bookmarkStart w:id="1177" w:name="_Toc335915909"/>
      <w:r w:rsidRPr="005911E2">
        <w:t xml:space="preserve">Table </w:t>
      </w:r>
      <w:r w:rsidR="00C7347D" w:rsidRPr="005911E2">
        <w:fldChar w:fldCharType="begin"/>
      </w:r>
      <w:r w:rsidR="00EF6BC6" w:rsidRPr="005911E2">
        <w:instrText xml:space="preserve"> STYLEREF 1 \s </w:instrText>
      </w:r>
      <w:r w:rsidR="00C7347D" w:rsidRPr="005911E2">
        <w:fldChar w:fldCharType="separate"/>
      </w:r>
      <w:r w:rsidR="007D7E45">
        <w:rPr>
          <w:noProof/>
        </w:rPr>
        <w:t>12</w:t>
      </w:r>
      <w:r w:rsidR="00C7347D" w:rsidRPr="005911E2">
        <w:fldChar w:fldCharType="end"/>
      </w:r>
      <w:r w:rsidR="00EF6BC6" w:rsidRPr="005911E2">
        <w:noBreakHyphen/>
      </w:r>
      <w:r w:rsidR="00C7347D" w:rsidRPr="005911E2">
        <w:fldChar w:fldCharType="begin"/>
      </w:r>
      <w:r w:rsidR="00EF6BC6" w:rsidRPr="005911E2">
        <w:instrText xml:space="preserve"> SEQ Table \* ARABIC \s 1 </w:instrText>
      </w:r>
      <w:r w:rsidR="00C7347D" w:rsidRPr="005911E2">
        <w:fldChar w:fldCharType="separate"/>
      </w:r>
      <w:r w:rsidR="007D7E45">
        <w:rPr>
          <w:noProof/>
        </w:rPr>
        <w:t>2</w:t>
      </w:r>
      <w:r w:rsidR="00C7347D" w:rsidRPr="005911E2">
        <w:fldChar w:fldCharType="end"/>
      </w:r>
      <w:bookmarkEnd w:id="1172"/>
      <w:r w:rsidRPr="005911E2">
        <w:tab/>
        <w:t xml:space="preserve">Non-Indigenous </w:t>
      </w:r>
      <w:r w:rsidR="004808B3">
        <w:t>Compulsory Income Management</w:t>
      </w:r>
      <w:r w:rsidRPr="005911E2">
        <w:t xml:space="preserve"> payment recipients below </w:t>
      </w:r>
      <w:r w:rsidR="009B364D" w:rsidRPr="009B364D">
        <w:t>Age Pension eligibility age</w:t>
      </w:r>
      <w:r w:rsidRPr="005911E2">
        <w:t xml:space="preserve">: </w:t>
      </w:r>
      <w:r w:rsidR="00BB552A">
        <w:t>proportion</w:t>
      </w:r>
      <w:r w:rsidR="00BB552A" w:rsidRPr="005911E2">
        <w:t xml:space="preserve"> </w:t>
      </w:r>
      <w:r w:rsidRPr="005911E2">
        <w:t>income managed by age, presence of children and current payment duration, September 2011</w:t>
      </w:r>
      <w:bookmarkEnd w:id="1173"/>
      <w:bookmarkEnd w:id="1174"/>
      <w:bookmarkEnd w:id="1175"/>
      <w:bookmarkEnd w:id="1176"/>
      <w:bookmarkEnd w:id="1177"/>
    </w:p>
    <w:tbl>
      <w:tblPr>
        <w:tblW w:w="0" w:type="auto"/>
        <w:jc w:val="right"/>
        <w:tblInd w:w="-229" w:type="dxa"/>
        <w:tblLayout w:type="fixed"/>
        <w:tblLook w:val="0000" w:firstRow="0" w:lastRow="0" w:firstColumn="0" w:lastColumn="0" w:noHBand="0" w:noVBand="0"/>
      </w:tblPr>
      <w:tblGrid>
        <w:gridCol w:w="2438"/>
        <w:gridCol w:w="903"/>
        <w:gridCol w:w="902"/>
        <w:gridCol w:w="902"/>
        <w:gridCol w:w="903"/>
        <w:gridCol w:w="902"/>
        <w:gridCol w:w="903"/>
      </w:tblGrid>
      <w:tr w:rsidR="00D5067E" w:rsidRPr="000468C2" w:rsidTr="00686B3D">
        <w:trPr>
          <w:trHeight w:val="333"/>
          <w:jc w:val="right"/>
        </w:trPr>
        <w:tc>
          <w:tcPr>
            <w:tcW w:w="2438" w:type="dxa"/>
            <w:tcBorders>
              <w:top w:val="single" w:sz="6" w:space="0" w:color="auto"/>
              <w:left w:val="nil"/>
              <w:bottom w:val="nil"/>
              <w:right w:val="nil"/>
            </w:tcBorders>
          </w:tcPr>
          <w:p w:rsidR="00BF0F6E" w:rsidRPr="000468C2" w:rsidRDefault="00BF0F6E" w:rsidP="000468C2">
            <w:pPr>
              <w:pStyle w:val="braytabletext"/>
            </w:pPr>
          </w:p>
        </w:tc>
        <w:tc>
          <w:tcPr>
            <w:tcW w:w="2707" w:type="dxa"/>
            <w:gridSpan w:val="3"/>
            <w:tcBorders>
              <w:top w:val="single" w:sz="6" w:space="0" w:color="auto"/>
              <w:left w:val="nil"/>
              <w:bottom w:val="single" w:sz="6" w:space="0" w:color="auto"/>
              <w:right w:val="nil"/>
            </w:tcBorders>
          </w:tcPr>
          <w:p w:rsidR="00BF0F6E" w:rsidRPr="000468C2" w:rsidRDefault="00D5067E" w:rsidP="000468C2">
            <w:pPr>
              <w:pStyle w:val="braytabletext"/>
            </w:pPr>
            <w:r w:rsidRPr="000468C2">
              <w:t>Current payment duration</w:t>
            </w:r>
            <w:r w:rsidR="008A1D49">
              <w:t>:</w:t>
            </w:r>
          </w:p>
        </w:tc>
        <w:tc>
          <w:tcPr>
            <w:tcW w:w="903" w:type="dxa"/>
            <w:tcBorders>
              <w:top w:val="single" w:sz="6" w:space="0" w:color="auto"/>
              <w:left w:val="nil"/>
              <w:bottom w:val="single" w:sz="6" w:space="0" w:color="auto"/>
              <w:right w:val="nil"/>
            </w:tcBorders>
          </w:tcPr>
          <w:p w:rsidR="00BF0F6E" w:rsidRPr="000468C2" w:rsidRDefault="00BF0F6E" w:rsidP="000468C2">
            <w:pPr>
              <w:pStyle w:val="braytabletext"/>
            </w:pPr>
          </w:p>
        </w:tc>
        <w:tc>
          <w:tcPr>
            <w:tcW w:w="902" w:type="dxa"/>
            <w:tcBorders>
              <w:top w:val="single" w:sz="6" w:space="0" w:color="auto"/>
              <w:left w:val="nil"/>
              <w:bottom w:val="single" w:sz="6" w:space="0" w:color="auto"/>
              <w:right w:val="nil"/>
            </w:tcBorders>
          </w:tcPr>
          <w:p w:rsidR="00BF0F6E" w:rsidRPr="000468C2" w:rsidRDefault="00BF0F6E" w:rsidP="000468C2">
            <w:pPr>
              <w:pStyle w:val="braytabletext"/>
            </w:pPr>
          </w:p>
        </w:tc>
        <w:tc>
          <w:tcPr>
            <w:tcW w:w="903" w:type="dxa"/>
            <w:tcBorders>
              <w:top w:val="single" w:sz="6" w:space="0" w:color="auto"/>
              <w:left w:val="nil"/>
              <w:bottom w:val="single" w:sz="6" w:space="0" w:color="auto"/>
              <w:right w:val="nil"/>
            </w:tcBorders>
          </w:tcPr>
          <w:p w:rsidR="00BF0F6E" w:rsidRPr="000468C2" w:rsidRDefault="00BF0F6E" w:rsidP="000468C2">
            <w:pPr>
              <w:pStyle w:val="braytabletext"/>
            </w:pPr>
          </w:p>
        </w:tc>
      </w:tr>
      <w:tr w:rsidR="00D5067E" w:rsidRPr="000468C2" w:rsidTr="00686B3D">
        <w:trPr>
          <w:trHeight w:val="458"/>
          <w:jc w:val="right"/>
        </w:trPr>
        <w:tc>
          <w:tcPr>
            <w:tcW w:w="2438" w:type="dxa"/>
            <w:tcBorders>
              <w:top w:val="nil"/>
              <w:left w:val="nil"/>
              <w:bottom w:val="single" w:sz="6" w:space="0" w:color="auto"/>
              <w:right w:val="nil"/>
            </w:tcBorders>
          </w:tcPr>
          <w:p w:rsidR="00BF0F6E" w:rsidRPr="000468C2" w:rsidRDefault="00BF0F6E" w:rsidP="000468C2">
            <w:pPr>
              <w:pStyle w:val="braytabletext"/>
            </w:pPr>
          </w:p>
        </w:tc>
        <w:tc>
          <w:tcPr>
            <w:tcW w:w="903" w:type="dxa"/>
            <w:tcBorders>
              <w:top w:val="single" w:sz="6" w:space="0" w:color="auto"/>
              <w:left w:val="nil"/>
              <w:bottom w:val="single" w:sz="6" w:space="0" w:color="auto"/>
              <w:right w:val="nil"/>
            </w:tcBorders>
          </w:tcPr>
          <w:p w:rsidR="00BF0F6E" w:rsidRPr="000468C2" w:rsidRDefault="00D5067E" w:rsidP="000468C2">
            <w:pPr>
              <w:pStyle w:val="braytabletext"/>
              <w:jc w:val="right"/>
              <w:rPr>
                <w:szCs w:val="28"/>
              </w:rPr>
            </w:pPr>
            <w:r w:rsidRPr="000468C2">
              <w:t>0-3 months</w:t>
            </w:r>
          </w:p>
        </w:tc>
        <w:tc>
          <w:tcPr>
            <w:tcW w:w="902" w:type="dxa"/>
            <w:tcBorders>
              <w:top w:val="single" w:sz="6" w:space="0" w:color="auto"/>
              <w:left w:val="nil"/>
              <w:bottom w:val="single" w:sz="6" w:space="0" w:color="auto"/>
              <w:right w:val="nil"/>
            </w:tcBorders>
          </w:tcPr>
          <w:p w:rsidR="00BF0F6E" w:rsidRPr="000468C2" w:rsidRDefault="00D5067E" w:rsidP="000468C2">
            <w:pPr>
              <w:pStyle w:val="braytabletext"/>
              <w:jc w:val="right"/>
              <w:rPr>
                <w:szCs w:val="28"/>
              </w:rPr>
            </w:pPr>
            <w:r w:rsidRPr="000468C2">
              <w:t>3 &gt;- 6 months</w:t>
            </w:r>
          </w:p>
        </w:tc>
        <w:tc>
          <w:tcPr>
            <w:tcW w:w="902" w:type="dxa"/>
            <w:tcBorders>
              <w:top w:val="single" w:sz="6" w:space="0" w:color="auto"/>
              <w:left w:val="nil"/>
              <w:bottom w:val="single" w:sz="6" w:space="0" w:color="auto"/>
              <w:right w:val="nil"/>
            </w:tcBorders>
          </w:tcPr>
          <w:p w:rsidR="00BF0F6E" w:rsidRPr="000468C2" w:rsidRDefault="00D5067E" w:rsidP="000468C2">
            <w:pPr>
              <w:pStyle w:val="braytabletext"/>
              <w:jc w:val="right"/>
              <w:rPr>
                <w:szCs w:val="28"/>
              </w:rPr>
            </w:pPr>
            <w:r w:rsidRPr="000468C2">
              <w:t>6 &gt;- 9 months</w:t>
            </w:r>
          </w:p>
        </w:tc>
        <w:tc>
          <w:tcPr>
            <w:tcW w:w="903" w:type="dxa"/>
            <w:tcBorders>
              <w:top w:val="single" w:sz="6" w:space="0" w:color="auto"/>
              <w:left w:val="nil"/>
              <w:bottom w:val="single" w:sz="6" w:space="0" w:color="auto"/>
              <w:right w:val="nil"/>
            </w:tcBorders>
          </w:tcPr>
          <w:p w:rsidR="00BF0F6E" w:rsidRPr="000468C2" w:rsidRDefault="00D5067E" w:rsidP="000468C2">
            <w:pPr>
              <w:pStyle w:val="braytabletext"/>
              <w:jc w:val="right"/>
              <w:rPr>
                <w:szCs w:val="28"/>
              </w:rPr>
            </w:pPr>
            <w:r w:rsidRPr="000468C2">
              <w:t>9 &gt;- 12 months</w:t>
            </w:r>
          </w:p>
        </w:tc>
        <w:tc>
          <w:tcPr>
            <w:tcW w:w="902" w:type="dxa"/>
            <w:tcBorders>
              <w:top w:val="single" w:sz="6" w:space="0" w:color="auto"/>
              <w:left w:val="nil"/>
              <w:bottom w:val="single" w:sz="6" w:space="0" w:color="auto"/>
              <w:right w:val="nil"/>
            </w:tcBorders>
          </w:tcPr>
          <w:p w:rsidR="00BF0F6E" w:rsidRPr="000468C2" w:rsidRDefault="00D5067E" w:rsidP="000468C2">
            <w:pPr>
              <w:pStyle w:val="braytabletext"/>
              <w:jc w:val="right"/>
              <w:rPr>
                <w:szCs w:val="28"/>
              </w:rPr>
            </w:pPr>
            <w:r w:rsidRPr="000468C2">
              <w:t>12&gt;-24 months</w:t>
            </w:r>
          </w:p>
        </w:tc>
        <w:tc>
          <w:tcPr>
            <w:tcW w:w="903" w:type="dxa"/>
            <w:tcBorders>
              <w:top w:val="single" w:sz="6" w:space="0" w:color="auto"/>
              <w:left w:val="nil"/>
              <w:bottom w:val="single" w:sz="6" w:space="0" w:color="auto"/>
              <w:right w:val="nil"/>
            </w:tcBorders>
          </w:tcPr>
          <w:p w:rsidR="00BF0F6E" w:rsidRPr="000468C2" w:rsidRDefault="00D5067E" w:rsidP="000468C2">
            <w:pPr>
              <w:pStyle w:val="braytabletext"/>
              <w:jc w:val="right"/>
            </w:pPr>
            <w:r w:rsidRPr="000468C2">
              <w:t>Over 24 months</w:t>
            </w:r>
          </w:p>
        </w:tc>
      </w:tr>
      <w:tr w:rsidR="00D5067E" w:rsidRPr="000468C2" w:rsidTr="00686B3D">
        <w:trPr>
          <w:trHeight w:val="290"/>
          <w:jc w:val="right"/>
        </w:trPr>
        <w:tc>
          <w:tcPr>
            <w:tcW w:w="2438" w:type="dxa"/>
            <w:tcBorders>
              <w:top w:val="single" w:sz="6" w:space="0" w:color="auto"/>
              <w:left w:val="nil"/>
              <w:right w:val="nil"/>
            </w:tcBorders>
          </w:tcPr>
          <w:p w:rsidR="00BF0F6E" w:rsidRPr="000468C2" w:rsidRDefault="00BF0F6E" w:rsidP="000468C2">
            <w:pPr>
              <w:pStyle w:val="braytabletext"/>
            </w:pPr>
          </w:p>
        </w:tc>
        <w:tc>
          <w:tcPr>
            <w:tcW w:w="5415" w:type="dxa"/>
            <w:gridSpan w:val="6"/>
            <w:tcBorders>
              <w:top w:val="single" w:sz="6" w:space="0" w:color="auto"/>
              <w:left w:val="nil"/>
              <w:right w:val="nil"/>
            </w:tcBorders>
          </w:tcPr>
          <w:p w:rsidR="00BF0F6E" w:rsidRPr="000468C2" w:rsidRDefault="00D5067E" w:rsidP="000468C2">
            <w:pPr>
              <w:pStyle w:val="braytabletext"/>
              <w:jc w:val="center"/>
              <w:rPr>
                <w:szCs w:val="28"/>
              </w:rPr>
            </w:pPr>
            <w:r w:rsidRPr="000468C2">
              <w:t>- % -</w:t>
            </w:r>
          </w:p>
        </w:tc>
      </w:tr>
      <w:tr w:rsidR="00D5067E" w:rsidRPr="000468C2" w:rsidTr="00686B3D">
        <w:trPr>
          <w:trHeight w:val="290"/>
          <w:jc w:val="right"/>
        </w:trPr>
        <w:tc>
          <w:tcPr>
            <w:tcW w:w="2438" w:type="dxa"/>
            <w:tcBorders>
              <w:left w:val="nil"/>
              <w:bottom w:val="nil"/>
              <w:right w:val="nil"/>
            </w:tcBorders>
          </w:tcPr>
          <w:p w:rsidR="00BF0F6E" w:rsidRPr="000468C2" w:rsidRDefault="00D5067E" w:rsidP="000468C2">
            <w:pPr>
              <w:pStyle w:val="braytabletext"/>
              <w:rPr>
                <w:szCs w:val="28"/>
              </w:rPr>
            </w:pPr>
            <w:r w:rsidRPr="000468C2">
              <w:t xml:space="preserve">Under 25 </w:t>
            </w:r>
            <w:r w:rsidR="00686B3D">
              <w:t xml:space="preserve">years </w:t>
            </w:r>
            <w:r w:rsidRPr="000468C2">
              <w:t>with children</w:t>
            </w:r>
          </w:p>
        </w:tc>
        <w:tc>
          <w:tcPr>
            <w:tcW w:w="903" w:type="dxa"/>
            <w:tcBorders>
              <w:left w:val="nil"/>
              <w:bottom w:val="nil"/>
              <w:right w:val="nil"/>
            </w:tcBorders>
          </w:tcPr>
          <w:p w:rsidR="00BF0F6E" w:rsidRPr="000468C2" w:rsidRDefault="00D5067E" w:rsidP="000468C2">
            <w:pPr>
              <w:pStyle w:val="braytabletext"/>
              <w:jc w:val="right"/>
              <w:rPr>
                <w:szCs w:val="28"/>
              </w:rPr>
            </w:pPr>
            <w:r w:rsidRPr="000468C2">
              <w:t>19</w:t>
            </w:r>
          </w:p>
        </w:tc>
        <w:tc>
          <w:tcPr>
            <w:tcW w:w="902" w:type="dxa"/>
            <w:tcBorders>
              <w:left w:val="nil"/>
              <w:bottom w:val="nil"/>
              <w:right w:val="nil"/>
            </w:tcBorders>
          </w:tcPr>
          <w:p w:rsidR="00BF0F6E" w:rsidRPr="000468C2" w:rsidRDefault="00D5067E" w:rsidP="000468C2">
            <w:pPr>
              <w:pStyle w:val="braytabletext"/>
              <w:jc w:val="right"/>
              <w:rPr>
                <w:szCs w:val="28"/>
              </w:rPr>
            </w:pPr>
            <w:r w:rsidRPr="000468C2">
              <w:t>28</w:t>
            </w:r>
          </w:p>
        </w:tc>
        <w:tc>
          <w:tcPr>
            <w:tcW w:w="902" w:type="dxa"/>
            <w:tcBorders>
              <w:left w:val="nil"/>
              <w:bottom w:val="nil"/>
              <w:right w:val="nil"/>
            </w:tcBorders>
          </w:tcPr>
          <w:p w:rsidR="00BF0F6E" w:rsidRPr="000468C2" w:rsidRDefault="00D5067E" w:rsidP="000468C2">
            <w:pPr>
              <w:pStyle w:val="braytabletext"/>
              <w:jc w:val="right"/>
              <w:rPr>
                <w:szCs w:val="28"/>
              </w:rPr>
            </w:pPr>
            <w:r w:rsidRPr="000468C2">
              <w:t>37</w:t>
            </w:r>
          </w:p>
        </w:tc>
        <w:tc>
          <w:tcPr>
            <w:tcW w:w="903" w:type="dxa"/>
            <w:tcBorders>
              <w:left w:val="nil"/>
              <w:bottom w:val="nil"/>
              <w:right w:val="nil"/>
            </w:tcBorders>
          </w:tcPr>
          <w:p w:rsidR="00BF0F6E" w:rsidRPr="000468C2" w:rsidRDefault="00D5067E" w:rsidP="000468C2">
            <w:pPr>
              <w:pStyle w:val="braytabletext"/>
              <w:jc w:val="right"/>
              <w:rPr>
                <w:szCs w:val="28"/>
              </w:rPr>
            </w:pPr>
            <w:r w:rsidRPr="000468C2">
              <w:t>50</w:t>
            </w:r>
          </w:p>
        </w:tc>
        <w:tc>
          <w:tcPr>
            <w:tcW w:w="902" w:type="dxa"/>
            <w:tcBorders>
              <w:left w:val="nil"/>
              <w:bottom w:val="nil"/>
              <w:right w:val="nil"/>
            </w:tcBorders>
          </w:tcPr>
          <w:p w:rsidR="00BF0F6E" w:rsidRPr="000468C2" w:rsidRDefault="00D5067E" w:rsidP="000468C2">
            <w:pPr>
              <w:pStyle w:val="braytabletext"/>
              <w:jc w:val="right"/>
              <w:rPr>
                <w:szCs w:val="28"/>
              </w:rPr>
            </w:pPr>
            <w:r w:rsidRPr="000468C2">
              <w:t>40</w:t>
            </w:r>
          </w:p>
        </w:tc>
        <w:tc>
          <w:tcPr>
            <w:tcW w:w="903" w:type="dxa"/>
            <w:tcBorders>
              <w:left w:val="nil"/>
              <w:bottom w:val="nil"/>
              <w:right w:val="nil"/>
            </w:tcBorders>
          </w:tcPr>
          <w:p w:rsidR="00BF0F6E" w:rsidRPr="000468C2" w:rsidRDefault="00D5067E" w:rsidP="000468C2">
            <w:pPr>
              <w:pStyle w:val="braytabletext"/>
              <w:jc w:val="right"/>
              <w:rPr>
                <w:szCs w:val="28"/>
              </w:rPr>
            </w:pPr>
            <w:r w:rsidRPr="000468C2">
              <w:t>33</w:t>
            </w:r>
          </w:p>
        </w:tc>
      </w:tr>
      <w:tr w:rsidR="00D5067E" w:rsidRPr="000468C2" w:rsidTr="00686B3D">
        <w:trPr>
          <w:trHeight w:val="290"/>
          <w:jc w:val="right"/>
        </w:trPr>
        <w:tc>
          <w:tcPr>
            <w:tcW w:w="2438" w:type="dxa"/>
            <w:tcBorders>
              <w:top w:val="nil"/>
              <w:left w:val="nil"/>
              <w:bottom w:val="nil"/>
              <w:right w:val="nil"/>
            </w:tcBorders>
          </w:tcPr>
          <w:p w:rsidR="00BF0F6E" w:rsidRPr="000468C2" w:rsidRDefault="00D5067E" w:rsidP="000468C2">
            <w:pPr>
              <w:pStyle w:val="braytabletext"/>
            </w:pPr>
            <w:r w:rsidRPr="000468C2">
              <w:t xml:space="preserve">Under 25 </w:t>
            </w:r>
            <w:r w:rsidR="00686B3D">
              <w:t xml:space="preserve">years, </w:t>
            </w:r>
            <w:r w:rsidRPr="000468C2">
              <w:t>no children</w:t>
            </w:r>
          </w:p>
        </w:tc>
        <w:tc>
          <w:tcPr>
            <w:tcW w:w="903" w:type="dxa"/>
            <w:tcBorders>
              <w:top w:val="nil"/>
              <w:left w:val="nil"/>
              <w:bottom w:val="nil"/>
              <w:right w:val="nil"/>
            </w:tcBorders>
          </w:tcPr>
          <w:p w:rsidR="00BF0F6E" w:rsidRPr="000468C2" w:rsidRDefault="00D5067E" w:rsidP="000468C2">
            <w:pPr>
              <w:pStyle w:val="braytabletext"/>
              <w:jc w:val="right"/>
              <w:rPr>
                <w:szCs w:val="28"/>
              </w:rPr>
            </w:pPr>
            <w:r w:rsidRPr="000468C2">
              <w:t>13</w:t>
            </w:r>
          </w:p>
        </w:tc>
        <w:tc>
          <w:tcPr>
            <w:tcW w:w="902" w:type="dxa"/>
            <w:tcBorders>
              <w:top w:val="nil"/>
              <w:left w:val="nil"/>
              <w:bottom w:val="nil"/>
              <w:right w:val="nil"/>
            </w:tcBorders>
          </w:tcPr>
          <w:p w:rsidR="00BF0F6E" w:rsidRPr="000468C2" w:rsidRDefault="00D5067E" w:rsidP="000468C2">
            <w:pPr>
              <w:pStyle w:val="braytabletext"/>
              <w:jc w:val="right"/>
              <w:rPr>
                <w:szCs w:val="28"/>
              </w:rPr>
            </w:pPr>
            <w:r w:rsidRPr="000468C2">
              <w:t>32</w:t>
            </w:r>
          </w:p>
        </w:tc>
        <w:tc>
          <w:tcPr>
            <w:tcW w:w="902" w:type="dxa"/>
            <w:tcBorders>
              <w:top w:val="nil"/>
              <w:left w:val="nil"/>
              <w:bottom w:val="nil"/>
              <w:right w:val="nil"/>
            </w:tcBorders>
          </w:tcPr>
          <w:p w:rsidR="00BF0F6E" w:rsidRPr="000468C2" w:rsidRDefault="00D5067E" w:rsidP="000468C2">
            <w:pPr>
              <w:pStyle w:val="braytabletext"/>
              <w:jc w:val="right"/>
              <w:rPr>
                <w:szCs w:val="28"/>
              </w:rPr>
            </w:pPr>
            <w:r w:rsidRPr="000468C2">
              <w:t>31</w:t>
            </w:r>
          </w:p>
        </w:tc>
        <w:tc>
          <w:tcPr>
            <w:tcW w:w="903" w:type="dxa"/>
            <w:tcBorders>
              <w:top w:val="nil"/>
              <w:left w:val="nil"/>
              <w:bottom w:val="nil"/>
              <w:right w:val="nil"/>
            </w:tcBorders>
          </w:tcPr>
          <w:p w:rsidR="00BF0F6E" w:rsidRPr="000468C2" w:rsidRDefault="00D5067E" w:rsidP="000468C2">
            <w:pPr>
              <w:pStyle w:val="braytabletext"/>
              <w:jc w:val="right"/>
              <w:rPr>
                <w:szCs w:val="28"/>
              </w:rPr>
            </w:pPr>
            <w:r w:rsidRPr="000468C2">
              <w:t>38</w:t>
            </w:r>
          </w:p>
        </w:tc>
        <w:tc>
          <w:tcPr>
            <w:tcW w:w="902" w:type="dxa"/>
            <w:tcBorders>
              <w:top w:val="nil"/>
              <w:left w:val="nil"/>
              <w:bottom w:val="nil"/>
              <w:right w:val="nil"/>
            </w:tcBorders>
          </w:tcPr>
          <w:p w:rsidR="00BF0F6E" w:rsidRPr="000468C2" w:rsidRDefault="00D5067E" w:rsidP="000468C2">
            <w:pPr>
              <w:pStyle w:val="braytabletext"/>
              <w:jc w:val="right"/>
              <w:rPr>
                <w:szCs w:val="28"/>
              </w:rPr>
            </w:pPr>
            <w:r w:rsidRPr="000468C2">
              <w:t>22</w:t>
            </w:r>
          </w:p>
        </w:tc>
        <w:tc>
          <w:tcPr>
            <w:tcW w:w="903" w:type="dxa"/>
            <w:tcBorders>
              <w:top w:val="nil"/>
              <w:left w:val="nil"/>
              <w:bottom w:val="nil"/>
              <w:right w:val="nil"/>
            </w:tcBorders>
          </w:tcPr>
          <w:p w:rsidR="00BF0F6E" w:rsidRPr="000468C2" w:rsidRDefault="00D5067E" w:rsidP="000468C2">
            <w:pPr>
              <w:pStyle w:val="braytabletext"/>
              <w:jc w:val="right"/>
              <w:rPr>
                <w:szCs w:val="28"/>
              </w:rPr>
            </w:pPr>
            <w:r w:rsidRPr="000468C2">
              <w:t>25</w:t>
            </w:r>
          </w:p>
        </w:tc>
      </w:tr>
      <w:tr w:rsidR="00D5067E" w:rsidRPr="000468C2" w:rsidTr="00686B3D">
        <w:trPr>
          <w:trHeight w:val="290"/>
          <w:jc w:val="right"/>
        </w:trPr>
        <w:tc>
          <w:tcPr>
            <w:tcW w:w="2438" w:type="dxa"/>
            <w:tcBorders>
              <w:top w:val="nil"/>
              <w:left w:val="nil"/>
              <w:bottom w:val="nil"/>
              <w:right w:val="nil"/>
            </w:tcBorders>
          </w:tcPr>
          <w:p w:rsidR="00BF0F6E" w:rsidRPr="000468C2" w:rsidRDefault="00D5067E" w:rsidP="00686B3D">
            <w:pPr>
              <w:pStyle w:val="braytabletext"/>
            </w:pPr>
            <w:r w:rsidRPr="000468C2">
              <w:t>25-64 y</w:t>
            </w:r>
            <w:r w:rsidR="00686B3D">
              <w:t>ears</w:t>
            </w:r>
            <w:r w:rsidRPr="000468C2">
              <w:t xml:space="preserve"> with children</w:t>
            </w:r>
          </w:p>
        </w:tc>
        <w:tc>
          <w:tcPr>
            <w:tcW w:w="903" w:type="dxa"/>
            <w:tcBorders>
              <w:top w:val="nil"/>
              <w:left w:val="nil"/>
              <w:bottom w:val="nil"/>
              <w:right w:val="nil"/>
            </w:tcBorders>
          </w:tcPr>
          <w:p w:rsidR="00BF0F6E" w:rsidRPr="000468C2" w:rsidRDefault="00D5067E" w:rsidP="000468C2">
            <w:pPr>
              <w:pStyle w:val="braytabletext"/>
              <w:jc w:val="right"/>
              <w:rPr>
                <w:szCs w:val="28"/>
              </w:rPr>
            </w:pPr>
            <w:r w:rsidRPr="000468C2">
              <w:t>20</w:t>
            </w:r>
          </w:p>
        </w:tc>
        <w:tc>
          <w:tcPr>
            <w:tcW w:w="902" w:type="dxa"/>
            <w:tcBorders>
              <w:top w:val="nil"/>
              <w:left w:val="nil"/>
              <w:bottom w:val="nil"/>
              <w:right w:val="nil"/>
            </w:tcBorders>
          </w:tcPr>
          <w:p w:rsidR="00BF0F6E" w:rsidRPr="000468C2" w:rsidRDefault="00D5067E" w:rsidP="000468C2">
            <w:pPr>
              <w:pStyle w:val="braytabletext"/>
              <w:jc w:val="right"/>
              <w:rPr>
                <w:szCs w:val="28"/>
              </w:rPr>
            </w:pPr>
            <w:r w:rsidRPr="000468C2">
              <w:t>20</w:t>
            </w:r>
          </w:p>
        </w:tc>
        <w:tc>
          <w:tcPr>
            <w:tcW w:w="902" w:type="dxa"/>
            <w:tcBorders>
              <w:top w:val="nil"/>
              <w:left w:val="nil"/>
              <w:bottom w:val="nil"/>
              <w:right w:val="nil"/>
            </w:tcBorders>
          </w:tcPr>
          <w:p w:rsidR="00BF0F6E" w:rsidRPr="000468C2" w:rsidRDefault="00D5067E" w:rsidP="000468C2">
            <w:pPr>
              <w:pStyle w:val="braytabletext"/>
              <w:jc w:val="right"/>
              <w:rPr>
                <w:szCs w:val="28"/>
              </w:rPr>
            </w:pPr>
            <w:r w:rsidRPr="000468C2">
              <w:t>17</w:t>
            </w:r>
          </w:p>
        </w:tc>
        <w:tc>
          <w:tcPr>
            <w:tcW w:w="903" w:type="dxa"/>
            <w:tcBorders>
              <w:top w:val="nil"/>
              <w:left w:val="nil"/>
              <w:bottom w:val="nil"/>
              <w:right w:val="nil"/>
            </w:tcBorders>
          </w:tcPr>
          <w:p w:rsidR="00BF0F6E" w:rsidRPr="000468C2" w:rsidRDefault="00D5067E" w:rsidP="000468C2">
            <w:pPr>
              <w:pStyle w:val="braytabletext"/>
              <w:jc w:val="right"/>
              <w:rPr>
                <w:szCs w:val="28"/>
              </w:rPr>
            </w:pPr>
            <w:r w:rsidRPr="000468C2">
              <w:t>17</w:t>
            </w:r>
          </w:p>
        </w:tc>
        <w:tc>
          <w:tcPr>
            <w:tcW w:w="902" w:type="dxa"/>
            <w:tcBorders>
              <w:top w:val="nil"/>
              <w:left w:val="nil"/>
              <w:bottom w:val="nil"/>
              <w:right w:val="nil"/>
            </w:tcBorders>
          </w:tcPr>
          <w:p w:rsidR="00BF0F6E" w:rsidRPr="000468C2" w:rsidRDefault="00D5067E" w:rsidP="000468C2">
            <w:pPr>
              <w:pStyle w:val="braytabletext"/>
              <w:jc w:val="right"/>
              <w:rPr>
                <w:szCs w:val="28"/>
              </w:rPr>
            </w:pPr>
            <w:r w:rsidRPr="000468C2">
              <w:t>31</w:t>
            </w:r>
          </w:p>
        </w:tc>
        <w:tc>
          <w:tcPr>
            <w:tcW w:w="903" w:type="dxa"/>
            <w:tcBorders>
              <w:top w:val="nil"/>
              <w:left w:val="nil"/>
              <w:bottom w:val="nil"/>
              <w:right w:val="nil"/>
            </w:tcBorders>
          </w:tcPr>
          <w:p w:rsidR="00BF0F6E" w:rsidRPr="000468C2" w:rsidRDefault="00D5067E" w:rsidP="000468C2">
            <w:pPr>
              <w:pStyle w:val="braytabletext"/>
              <w:jc w:val="right"/>
              <w:rPr>
                <w:szCs w:val="28"/>
              </w:rPr>
            </w:pPr>
            <w:r w:rsidRPr="000468C2">
              <w:t>30</w:t>
            </w:r>
          </w:p>
        </w:tc>
      </w:tr>
      <w:tr w:rsidR="00D5067E" w:rsidRPr="000468C2" w:rsidTr="00686B3D">
        <w:trPr>
          <w:trHeight w:val="290"/>
          <w:jc w:val="right"/>
        </w:trPr>
        <w:tc>
          <w:tcPr>
            <w:tcW w:w="2438" w:type="dxa"/>
            <w:tcBorders>
              <w:top w:val="nil"/>
              <w:left w:val="nil"/>
              <w:bottom w:val="single" w:sz="6" w:space="0" w:color="auto"/>
              <w:right w:val="nil"/>
            </w:tcBorders>
          </w:tcPr>
          <w:p w:rsidR="00BF0F6E" w:rsidRPr="000468C2" w:rsidRDefault="00686B3D" w:rsidP="00686B3D">
            <w:pPr>
              <w:pStyle w:val="braytabletext"/>
            </w:pPr>
            <w:r>
              <w:t>25-64 years,</w:t>
            </w:r>
            <w:r w:rsidR="00D5067E" w:rsidRPr="000468C2">
              <w:t xml:space="preserve"> no children</w:t>
            </w:r>
          </w:p>
        </w:tc>
        <w:tc>
          <w:tcPr>
            <w:tcW w:w="903" w:type="dxa"/>
            <w:tcBorders>
              <w:top w:val="nil"/>
              <w:left w:val="nil"/>
              <w:bottom w:val="single" w:sz="6" w:space="0" w:color="auto"/>
              <w:right w:val="nil"/>
            </w:tcBorders>
          </w:tcPr>
          <w:p w:rsidR="00BF0F6E" w:rsidRPr="000468C2" w:rsidRDefault="00D5067E" w:rsidP="000468C2">
            <w:pPr>
              <w:pStyle w:val="braytabletext"/>
              <w:jc w:val="right"/>
              <w:rPr>
                <w:szCs w:val="28"/>
              </w:rPr>
            </w:pPr>
            <w:r w:rsidRPr="000468C2">
              <w:t>13</w:t>
            </w:r>
          </w:p>
        </w:tc>
        <w:tc>
          <w:tcPr>
            <w:tcW w:w="902" w:type="dxa"/>
            <w:tcBorders>
              <w:top w:val="nil"/>
              <w:left w:val="nil"/>
              <w:bottom w:val="single" w:sz="6" w:space="0" w:color="auto"/>
              <w:right w:val="nil"/>
            </w:tcBorders>
          </w:tcPr>
          <w:p w:rsidR="00BF0F6E" w:rsidRPr="000468C2" w:rsidRDefault="00D5067E" w:rsidP="000468C2">
            <w:pPr>
              <w:pStyle w:val="braytabletext"/>
              <w:jc w:val="right"/>
              <w:rPr>
                <w:szCs w:val="28"/>
              </w:rPr>
            </w:pPr>
            <w:r w:rsidRPr="000468C2">
              <w:t>19</w:t>
            </w:r>
          </w:p>
        </w:tc>
        <w:tc>
          <w:tcPr>
            <w:tcW w:w="902" w:type="dxa"/>
            <w:tcBorders>
              <w:top w:val="nil"/>
              <w:left w:val="nil"/>
              <w:bottom w:val="single" w:sz="6" w:space="0" w:color="auto"/>
              <w:right w:val="nil"/>
            </w:tcBorders>
          </w:tcPr>
          <w:p w:rsidR="00BF0F6E" w:rsidRPr="000468C2" w:rsidRDefault="00D5067E" w:rsidP="000468C2">
            <w:pPr>
              <w:pStyle w:val="braytabletext"/>
              <w:jc w:val="right"/>
              <w:rPr>
                <w:szCs w:val="28"/>
              </w:rPr>
            </w:pPr>
            <w:r w:rsidRPr="000468C2">
              <w:t>29</w:t>
            </w:r>
          </w:p>
        </w:tc>
        <w:tc>
          <w:tcPr>
            <w:tcW w:w="903" w:type="dxa"/>
            <w:tcBorders>
              <w:top w:val="nil"/>
              <w:left w:val="nil"/>
              <w:bottom w:val="single" w:sz="6" w:space="0" w:color="auto"/>
              <w:right w:val="nil"/>
            </w:tcBorders>
          </w:tcPr>
          <w:p w:rsidR="00BF0F6E" w:rsidRPr="000468C2" w:rsidRDefault="00D5067E" w:rsidP="000468C2">
            <w:pPr>
              <w:pStyle w:val="braytabletext"/>
              <w:jc w:val="right"/>
              <w:rPr>
                <w:szCs w:val="28"/>
              </w:rPr>
            </w:pPr>
            <w:r w:rsidRPr="000468C2">
              <w:t>36</w:t>
            </w:r>
          </w:p>
        </w:tc>
        <w:tc>
          <w:tcPr>
            <w:tcW w:w="902" w:type="dxa"/>
            <w:tcBorders>
              <w:top w:val="nil"/>
              <w:left w:val="nil"/>
              <w:bottom w:val="single" w:sz="6" w:space="0" w:color="auto"/>
              <w:right w:val="nil"/>
            </w:tcBorders>
          </w:tcPr>
          <w:p w:rsidR="00BF0F6E" w:rsidRPr="000468C2" w:rsidRDefault="00D5067E" w:rsidP="000468C2">
            <w:pPr>
              <w:pStyle w:val="braytabletext"/>
              <w:jc w:val="right"/>
              <w:rPr>
                <w:szCs w:val="28"/>
              </w:rPr>
            </w:pPr>
            <w:r w:rsidRPr="000468C2">
              <w:t>77</w:t>
            </w:r>
          </w:p>
        </w:tc>
        <w:tc>
          <w:tcPr>
            <w:tcW w:w="903" w:type="dxa"/>
            <w:tcBorders>
              <w:top w:val="nil"/>
              <w:left w:val="nil"/>
              <w:bottom w:val="single" w:sz="6" w:space="0" w:color="auto"/>
              <w:right w:val="nil"/>
            </w:tcBorders>
          </w:tcPr>
          <w:p w:rsidR="00BF0F6E" w:rsidRPr="000468C2" w:rsidRDefault="00D5067E" w:rsidP="000468C2">
            <w:pPr>
              <w:pStyle w:val="braytabletext"/>
              <w:jc w:val="right"/>
              <w:rPr>
                <w:szCs w:val="28"/>
              </w:rPr>
            </w:pPr>
            <w:r w:rsidRPr="000468C2">
              <w:t>77</w:t>
            </w:r>
          </w:p>
        </w:tc>
      </w:tr>
    </w:tbl>
    <w:p w:rsidR="00BF0F6E" w:rsidRDefault="00BF0F6E" w:rsidP="002955BA">
      <w:pPr>
        <w:pStyle w:val="tablefootnotes"/>
      </w:pPr>
    </w:p>
    <w:p w:rsidR="00D96A58" w:rsidRPr="002955BA" w:rsidRDefault="008A1D49" w:rsidP="00614538">
      <w:pPr>
        <w:pStyle w:val="tablefootnotes"/>
      </w:pPr>
      <w:bookmarkStart w:id="1178" w:name="_MON_1393760932"/>
      <w:bookmarkEnd w:id="1178"/>
      <w:r>
        <w:t>Population:</w:t>
      </w:r>
      <w:r>
        <w:tab/>
      </w:r>
      <w:r w:rsidR="003B3BD2" w:rsidRPr="002955BA">
        <w:t xml:space="preserve">Non-Indigenous, below </w:t>
      </w:r>
      <w:r w:rsidR="00CD2AFC">
        <w:t>Age P</w:t>
      </w:r>
      <w:r w:rsidR="003B3BD2" w:rsidRPr="002955BA">
        <w:t xml:space="preserve">ension age, Compulsory Income Management payment recipients resident in the Northern Territory. </w:t>
      </w:r>
      <w:r w:rsidR="0014242D" w:rsidRPr="002955BA">
        <w:t>P</w:t>
      </w:r>
      <w:r w:rsidR="003B3BD2" w:rsidRPr="002955BA">
        <w:t xml:space="preserve">ayments are those subject to </w:t>
      </w:r>
      <w:r w:rsidR="0014242D" w:rsidRPr="002955BA">
        <w:t>C</w:t>
      </w:r>
      <w:r w:rsidR="003B3BD2" w:rsidRPr="002955BA">
        <w:t xml:space="preserve">ompulsory </w:t>
      </w:r>
      <w:r w:rsidR="000468C2" w:rsidRPr="002955BA">
        <w:t>I</w:t>
      </w:r>
      <w:r w:rsidR="003B3BD2" w:rsidRPr="002955BA">
        <w:t>ncome</w:t>
      </w:r>
      <w:r w:rsidR="0014242D" w:rsidRPr="002955BA">
        <w:t xml:space="preserve"> Ma</w:t>
      </w:r>
      <w:r w:rsidR="003B3BD2" w:rsidRPr="002955BA">
        <w:t>nagement after July 2010, plus Austudy. Children are F</w:t>
      </w:r>
      <w:r w:rsidR="0014242D" w:rsidRPr="002955BA">
        <w:t xml:space="preserve">amily </w:t>
      </w:r>
      <w:r w:rsidR="003B3BD2" w:rsidRPr="002955BA">
        <w:t>T</w:t>
      </w:r>
      <w:r w:rsidR="0014242D" w:rsidRPr="002955BA">
        <w:t xml:space="preserve">ax </w:t>
      </w:r>
      <w:r w:rsidR="003B3BD2" w:rsidRPr="002955BA">
        <w:t>B</w:t>
      </w:r>
      <w:r w:rsidR="0014242D" w:rsidRPr="002955BA">
        <w:t>enefit</w:t>
      </w:r>
      <w:r w:rsidR="003B3BD2" w:rsidRPr="002955BA">
        <w:t xml:space="preserve"> recipient children of either the recipient or their partner. </w:t>
      </w:r>
    </w:p>
    <w:p w:rsidR="0006274D" w:rsidRPr="00CF518E" w:rsidRDefault="0006274D" w:rsidP="00AE7648">
      <w:pPr>
        <w:pStyle w:val="tablefootnoteslastline"/>
      </w:pPr>
      <w:r w:rsidRPr="00FF16A3">
        <w:t xml:space="preserve">Source: </w:t>
      </w:r>
      <w:r w:rsidRPr="00FF16A3">
        <w:tab/>
      </w:r>
      <w:r w:rsidR="003C6901" w:rsidRPr="00B54E7C">
        <w:t>Derived from</w:t>
      </w:r>
      <w:r w:rsidRPr="00CF518E">
        <w:t xml:space="preserve"> the FaHCSIA Housing Dataset.</w:t>
      </w:r>
    </w:p>
    <w:p w:rsidR="0006274D" w:rsidRPr="005911E2" w:rsidRDefault="0006274D" w:rsidP="00AE7648">
      <w:pPr>
        <w:pStyle w:val="tablefootnoteslastline"/>
      </w:pPr>
    </w:p>
    <w:p w:rsidR="0006274D" w:rsidRPr="005911E2" w:rsidRDefault="0006274D" w:rsidP="0006274D">
      <w:pPr>
        <w:pStyle w:val="BodyText"/>
      </w:pPr>
      <w:r w:rsidRPr="005911E2">
        <w:t>For the young non-Indigenous group</w:t>
      </w:r>
      <w:r w:rsidR="0014242D">
        <w:t>,</w:t>
      </w:r>
      <w:r w:rsidRPr="005911E2">
        <w:t xml:space="preserve"> the </w:t>
      </w:r>
      <w:r w:rsidR="00F878E4">
        <w:t>income management</w:t>
      </w:r>
      <w:r w:rsidRPr="005911E2">
        <w:t xml:space="preserve"> </w:t>
      </w:r>
      <w:r w:rsidR="00BD10FF">
        <w:t>proportion of the population subject to income management</w:t>
      </w:r>
      <w:r w:rsidR="00BD10FF" w:rsidRPr="005911E2">
        <w:t xml:space="preserve"> </w:t>
      </w:r>
      <w:r w:rsidRPr="005911E2">
        <w:t>tends to be higher among those with children because they are less likely to be in education. The reverse applies to those aged over 25</w:t>
      </w:r>
      <w:r w:rsidR="009D040F">
        <w:t xml:space="preserve"> years</w:t>
      </w:r>
      <w:r w:rsidRPr="005911E2">
        <w:t xml:space="preserve">. Here (except for the under 6 month groups) the </w:t>
      </w:r>
      <w:r w:rsidR="00F878E4">
        <w:t>income management</w:t>
      </w:r>
      <w:r w:rsidRPr="005911E2">
        <w:t xml:space="preserve"> rate is lowest for those with children since they are able to claim exe</w:t>
      </w:r>
      <w:r w:rsidR="00BD10FF">
        <w:t>m</w:t>
      </w:r>
      <w:r w:rsidRPr="005911E2">
        <w:t>ptions based on their children’s health and education activities.</w:t>
      </w:r>
    </w:p>
    <w:p w:rsidR="0006274D" w:rsidRPr="005911E2" w:rsidRDefault="0006274D" w:rsidP="0006274D">
      <w:pPr>
        <w:pStyle w:val="BodyText"/>
      </w:pPr>
      <w:r w:rsidRPr="005911E2">
        <w:t>For the non-Indigenous</w:t>
      </w:r>
      <w:r w:rsidR="00DE6EAA" w:rsidRPr="005911E2">
        <w:t>,</w:t>
      </w:r>
      <w:r w:rsidRPr="005911E2">
        <w:t xml:space="preserve"> the demographic group with the greatest variation in </w:t>
      </w:r>
      <w:r w:rsidR="00F878E4">
        <w:t>income management</w:t>
      </w:r>
      <w:r w:rsidRPr="005911E2">
        <w:t xml:space="preserve"> rates across duration categories are those aged 25</w:t>
      </w:r>
      <w:r w:rsidR="009D040F">
        <w:t xml:space="preserve"> to </w:t>
      </w:r>
      <w:r w:rsidRPr="005911E2">
        <w:t xml:space="preserve">64 </w:t>
      </w:r>
      <w:r w:rsidR="00E33FC4" w:rsidRPr="005911E2">
        <w:t xml:space="preserve">years </w:t>
      </w:r>
      <w:r w:rsidRPr="005911E2">
        <w:t xml:space="preserve">who do not have children. For this group, </w:t>
      </w:r>
      <w:r w:rsidR="00F878E4">
        <w:t>income management</w:t>
      </w:r>
      <w:r w:rsidRPr="005911E2">
        <w:t xml:space="preserve"> rates range from only 13 per cent for those just </w:t>
      </w:r>
      <w:r w:rsidR="00115E49">
        <w:t>starting to be income managed</w:t>
      </w:r>
      <w:r w:rsidRPr="005911E2">
        <w:t xml:space="preserve">, to 77 per cent for those on </w:t>
      </w:r>
      <w:r w:rsidR="00115E49">
        <w:t xml:space="preserve">income management for </w:t>
      </w:r>
      <w:r w:rsidRPr="005911E2">
        <w:t>more than 12 months. For the older Indigenous group (</w:t>
      </w:r>
      <w:r w:rsidR="00E33FC4" w:rsidRPr="005911E2">
        <w:t xml:space="preserve">aged </w:t>
      </w:r>
      <w:r w:rsidRPr="005911E2">
        <w:t>25</w:t>
      </w:r>
      <w:r w:rsidR="009D040F">
        <w:t xml:space="preserve"> to </w:t>
      </w:r>
      <w:r w:rsidRPr="005911E2">
        <w:t xml:space="preserve">64 years) there is relatively little variation between demographic groups. </w:t>
      </w:r>
      <w:r w:rsidR="00115E49">
        <w:t>As</w:t>
      </w:r>
      <w:r w:rsidR="00DE6EAA" w:rsidRPr="005911E2">
        <w:t xml:space="preserve"> negligible numbers of non-Indigenous people were income managed </w:t>
      </w:r>
      <w:r w:rsidR="000E1E89" w:rsidRPr="005911E2">
        <w:t>prior to mid-2010 (Chapter 4</w:t>
      </w:r>
      <w:r w:rsidR="00DE6EAA" w:rsidRPr="005911E2">
        <w:t>), these high rates of income management also imply a large change in the income management status of th</w:t>
      </w:r>
      <w:r w:rsidR="000E1E89" w:rsidRPr="005911E2">
        <w:t>i</w:t>
      </w:r>
      <w:r w:rsidR="00DE6EAA" w:rsidRPr="005911E2">
        <w:t>s demographic group. We thus now examine whether this was associated with any corresponding changes in income support receipt.</w:t>
      </w:r>
      <w:r w:rsidRPr="005911E2">
        <w:t xml:space="preserve"> </w:t>
      </w:r>
    </w:p>
    <w:p w:rsidR="0006274D" w:rsidRPr="005911E2" w:rsidRDefault="008476E4" w:rsidP="0006274D">
      <w:pPr>
        <w:pStyle w:val="BodyText"/>
      </w:pPr>
      <w:r w:rsidRPr="005911E2">
        <w:t xml:space="preserve">Figure </w:t>
      </w:r>
      <w:r w:rsidRPr="005911E2">
        <w:rPr>
          <w:noProof/>
        </w:rPr>
        <w:t>1</w:t>
      </w:r>
      <w:r w:rsidR="00A55E1E">
        <w:rPr>
          <w:noProof/>
        </w:rPr>
        <w:t>2</w:t>
      </w:r>
      <w:r w:rsidRPr="005911E2">
        <w:noBreakHyphen/>
      </w:r>
      <w:r w:rsidRPr="005911E2">
        <w:rPr>
          <w:noProof/>
        </w:rPr>
        <w:t>1</w:t>
      </w:r>
      <w:r w:rsidR="00FA2836" w:rsidRPr="005911E2">
        <w:t xml:space="preserve"> </w:t>
      </w:r>
      <w:r w:rsidR="0006274D" w:rsidRPr="005911E2">
        <w:t xml:space="preserve">shows the number of Indigenous income support recipients in these demographic categories over the period 2001 to 2011 (as well as </w:t>
      </w:r>
      <w:r w:rsidR="00DE6EAA" w:rsidRPr="005911E2">
        <w:t xml:space="preserve">providing information </w:t>
      </w:r>
      <w:r w:rsidR="0006274D" w:rsidRPr="005911E2">
        <w:t xml:space="preserve">for those not on </w:t>
      </w:r>
      <w:r w:rsidR="004808B3">
        <w:t>Compulsory Income Management</w:t>
      </w:r>
      <w:r w:rsidR="0006274D" w:rsidRPr="005911E2">
        <w:t xml:space="preserve"> payments). </w:t>
      </w:r>
      <w:r w:rsidRPr="005911E2">
        <w:t xml:space="preserve">Figure </w:t>
      </w:r>
      <w:r w:rsidR="00A55E1E" w:rsidRPr="005911E2">
        <w:rPr>
          <w:noProof/>
        </w:rPr>
        <w:t>1</w:t>
      </w:r>
      <w:r w:rsidR="00A55E1E">
        <w:rPr>
          <w:noProof/>
        </w:rPr>
        <w:t>2</w:t>
      </w:r>
      <w:r w:rsidRPr="005911E2">
        <w:noBreakHyphen/>
      </w:r>
      <w:r w:rsidRPr="005911E2">
        <w:rPr>
          <w:noProof/>
        </w:rPr>
        <w:t>2</w:t>
      </w:r>
      <w:r w:rsidR="00FA2836" w:rsidRPr="005911E2">
        <w:t xml:space="preserve"> </w:t>
      </w:r>
      <w:r w:rsidR="0006274D" w:rsidRPr="005911E2">
        <w:t xml:space="preserve">provides the equivalent information for </w:t>
      </w:r>
      <w:r w:rsidR="00115E49">
        <w:t>non-</w:t>
      </w:r>
      <w:r w:rsidR="0006274D" w:rsidRPr="005911E2">
        <w:t>Indigenous</w:t>
      </w:r>
      <w:r w:rsidR="00E33FC4" w:rsidRPr="005911E2">
        <w:t xml:space="preserve"> people</w:t>
      </w:r>
      <w:r w:rsidR="0006274D" w:rsidRPr="005911E2">
        <w:t xml:space="preserve">. For reference, </w:t>
      </w:r>
      <w:r w:rsidR="00DE6EAA" w:rsidRPr="005911E2">
        <w:t>both</w:t>
      </w:r>
      <w:r w:rsidR="0006274D" w:rsidRPr="005911E2">
        <w:t xml:space="preserve"> figure</w:t>
      </w:r>
      <w:r w:rsidR="00DE6EAA" w:rsidRPr="005911E2">
        <w:t>s</w:t>
      </w:r>
      <w:r w:rsidR="0006274D" w:rsidRPr="005911E2">
        <w:t xml:space="preserve"> also show the ABS trend estimates of the total number of unemployed people in the Northern Territory (dotted line</w:t>
      </w:r>
      <w:r w:rsidR="00DE6EAA" w:rsidRPr="005911E2">
        <w:t>, Indigenous and non-Indigenous combined</w:t>
      </w:r>
      <w:r w:rsidR="0006274D" w:rsidRPr="005911E2">
        <w:t xml:space="preserve">). Due to the small sample size, there is considerable year-to-year variation in unemployed numbers, but nonetheless </w:t>
      </w:r>
      <w:r w:rsidR="00115E49">
        <w:t xml:space="preserve">this shows </w:t>
      </w:r>
      <w:r w:rsidR="0006274D" w:rsidRPr="005911E2">
        <w:t xml:space="preserve">a clear trend of unemployment falling steadily over the period. There is a possible increase in unemployment during 2011, but this also might reflect sampling variability. </w:t>
      </w:r>
    </w:p>
    <w:p w:rsidR="0006274D" w:rsidRPr="005911E2" w:rsidRDefault="0006274D" w:rsidP="0006274D">
      <w:pPr>
        <w:pStyle w:val="BodyText"/>
      </w:pPr>
      <w:r w:rsidRPr="005911E2">
        <w:t>Note that the vertical ax</w:t>
      </w:r>
      <w:r w:rsidR="00DE6EAA" w:rsidRPr="005911E2">
        <w:t xml:space="preserve">es </w:t>
      </w:r>
      <w:r w:rsidRPr="005911E2">
        <w:t xml:space="preserve">in these figures are log-scaled so as to simultaneously present the sub-populations with very different population sizes. This also means that lines with the same slopes have the same proportionate change over time. </w:t>
      </w:r>
    </w:p>
    <w:p w:rsidR="0006274D" w:rsidRPr="005911E2" w:rsidRDefault="0006274D" w:rsidP="0006274D">
      <w:pPr>
        <w:pStyle w:val="BodyText"/>
      </w:pPr>
      <w:r w:rsidRPr="005911E2">
        <w:t xml:space="preserve">Focusing first on the period after the implementation of NIM (mid 2010), for both Indigenous </w:t>
      </w:r>
      <w:r w:rsidR="00DE6EAA" w:rsidRPr="005911E2">
        <w:t>(</w:t>
      </w:r>
      <w:r w:rsidR="008476E4" w:rsidRPr="005911E2">
        <w:t xml:space="preserve">Figure </w:t>
      </w:r>
      <w:r w:rsidR="008476E4" w:rsidRPr="005911E2">
        <w:rPr>
          <w:noProof/>
        </w:rPr>
        <w:t>1</w:t>
      </w:r>
      <w:r w:rsidR="00A55E1E">
        <w:rPr>
          <w:noProof/>
        </w:rPr>
        <w:t>2</w:t>
      </w:r>
      <w:r w:rsidR="008476E4" w:rsidRPr="005911E2">
        <w:noBreakHyphen/>
      </w:r>
      <w:r w:rsidR="008476E4" w:rsidRPr="005911E2">
        <w:rPr>
          <w:noProof/>
        </w:rPr>
        <w:t>1</w:t>
      </w:r>
      <w:r w:rsidR="00DE6EAA" w:rsidRPr="005911E2">
        <w:t>)</w:t>
      </w:r>
      <w:r w:rsidR="00E33FC4" w:rsidRPr="005911E2">
        <w:t xml:space="preserve"> </w:t>
      </w:r>
      <w:r w:rsidRPr="005911E2">
        <w:t xml:space="preserve">and non-Indigenous </w:t>
      </w:r>
      <w:r w:rsidR="00FA2836" w:rsidRPr="005911E2">
        <w:t>(</w:t>
      </w:r>
      <w:r w:rsidR="008476E4" w:rsidRPr="005911E2">
        <w:t xml:space="preserve">Figure </w:t>
      </w:r>
      <w:r w:rsidR="00A55E1E" w:rsidRPr="005911E2">
        <w:rPr>
          <w:noProof/>
        </w:rPr>
        <w:t>1</w:t>
      </w:r>
      <w:r w:rsidR="00A55E1E">
        <w:rPr>
          <w:noProof/>
        </w:rPr>
        <w:t>2</w:t>
      </w:r>
      <w:r w:rsidR="008476E4" w:rsidRPr="005911E2">
        <w:noBreakHyphen/>
      </w:r>
      <w:r w:rsidR="008476E4" w:rsidRPr="005911E2">
        <w:rPr>
          <w:noProof/>
        </w:rPr>
        <w:t>2</w:t>
      </w:r>
      <w:r w:rsidR="00FA2836" w:rsidRPr="005911E2">
        <w:t>)</w:t>
      </w:r>
      <w:r w:rsidR="00115E49">
        <w:t>,</w:t>
      </w:r>
      <w:r w:rsidR="00E33FC4" w:rsidRPr="005911E2">
        <w:t xml:space="preserve"> </w:t>
      </w:r>
      <w:r w:rsidR="004808B3">
        <w:t>Compulsory Income Management</w:t>
      </w:r>
      <w:r w:rsidRPr="005911E2">
        <w:t xml:space="preserve"> eligibility </w:t>
      </w:r>
      <w:r w:rsidRPr="005911E2">
        <w:rPr>
          <w:i/>
        </w:rPr>
        <w:t>is</w:t>
      </w:r>
      <w:r w:rsidRPr="005911E2">
        <w:t xml:space="preserve"> associated with a drop in income support receipt. </w:t>
      </w:r>
      <w:r w:rsidR="005510A6" w:rsidRPr="005510A6">
        <w:t>Those groups receiving income support payments which are not subject to Compulsory Income Management (mainly pensions)</w:t>
      </w:r>
      <w:r w:rsidRPr="005911E2">
        <w:t xml:space="preserve"> had steady or increasing numbers, while the remaining groups </w:t>
      </w:r>
      <w:r w:rsidR="005A58C3">
        <w:t>subject to</w:t>
      </w:r>
      <w:r w:rsidRPr="005911E2">
        <w:t xml:space="preserve"> </w:t>
      </w:r>
      <w:r w:rsidR="00115E49">
        <w:t>C</w:t>
      </w:r>
      <w:r w:rsidRPr="005911E2">
        <w:t xml:space="preserve">ompulsory </w:t>
      </w:r>
      <w:r w:rsidR="00115E49">
        <w:t>I</w:t>
      </w:r>
      <w:r w:rsidRPr="005911E2">
        <w:t xml:space="preserve">ncome </w:t>
      </w:r>
      <w:r w:rsidR="00115E49">
        <w:t>M</w:t>
      </w:r>
      <w:r w:rsidRPr="005911E2">
        <w:t xml:space="preserve">anagement generally had falling numbers. </w:t>
      </w:r>
    </w:p>
    <w:p w:rsidR="0006274D" w:rsidRPr="005911E2" w:rsidRDefault="0006274D" w:rsidP="0006274D">
      <w:pPr>
        <w:pStyle w:val="BodyText"/>
      </w:pPr>
      <w:r w:rsidRPr="005911E2">
        <w:t xml:space="preserve">However, when these patterns are placed in the context of longer-term trends in income support numbers, such a simple interpretation disappears. For both the Indigenous and non-Indigenous, the trends post-July 2010 are generally quite consistent with those prior to that date. </w:t>
      </w:r>
    </w:p>
    <w:p w:rsidR="00FA2836" w:rsidRDefault="00FA2836" w:rsidP="00C53710">
      <w:pPr>
        <w:pStyle w:val="tabfighead"/>
        <w:spacing w:after="0"/>
      </w:pPr>
      <w:bookmarkStart w:id="1179" w:name="_Ref321156893"/>
      <w:bookmarkStart w:id="1180" w:name="_Toc321254618"/>
      <w:bookmarkStart w:id="1181" w:name="_Toc328601676"/>
      <w:bookmarkStart w:id="1182" w:name="_Toc335915942"/>
      <w:r w:rsidRPr="005911E2">
        <w:t xml:space="preserve">Figure </w:t>
      </w:r>
      <w:r w:rsidR="00C7347D">
        <w:fldChar w:fldCharType="begin"/>
      </w:r>
      <w:r w:rsidR="00E74851">
        <w:instrText xml:space="preserve"> STYLEREF 1 \s </w:instrText>
      </w:r>
      <w:r w:rsidR="00C7347D">
        <w:fldChar w:fldCharType="separate"/>
      </w:r>
      <w:r w:rsidR="007D7E45">
        <w:rPr>
          <w:noProof/>
        </w:rPr>
        <w:t>12</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1</w:t>
      </w:r>
      <w:r w:rsidR="00C7347D">
        <w:fldChar w:fldCharType="end"/>
      </w:r>
      <w:bookmarkEnd w:id="1179"/>
      <w:r w:rsidRPr="005911E2">
        <w:tab/>
        <w:t>Number of Indigenous</w:t>
      </w:r>
      <w:r w:rsidR="006435C8">
        <w:t xml:space="preserve"> Northern Territory </w:t>
      </w:r>
      <w:r w:rsidRPr="005911E2">
        <w:t xml:space="preserve">income support recipients under </w:t>
      </w:r>
      <w:r w:rsidR="009B364D" w:rsidRPr="009B364D">
        <w:t xml:space="preserve">Age Pension eligibility age </w:t>
      </w:r>
      <w:r w:rsidRPr="005911E2">
        <w:t>by payment category and age, 2001-2011</w:t>
      </w:r>
      <w:bookmarkEnd w:id="1180"/>
      <w:bookmarkEnd w:id="1181"/>
      <w:bookmarkEnd w:id="118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12-1 Number of Indigenous Northern Territory income support recipients under Age Pension eligibility age by payment category and age, 2001-2011"/>
        <w:tblDescription w:val="Figure 12-1 Number of Indigenous Northern Territory income support recipients under Age Pension eligibility age by payment category and age, 2001-2011"/>
      </w:tblPr>
      <w:tblGrid>
        <w:gridCol w:w="8987"/>
      </w:tblGrid>
      <w:tr w:rsidR="00C53710" w:rsidTr="009D15E2">
        <w:trPr>
          <w:tblHeader/>
        </w:trPr>
        <w:tc>
          <w:tcPr>
            <w:tcW w:w="8987" w:type="dxa"/>
          </w:tcPr>
          <w:p w:rsidR="00C53710" w:rsidRDefault="00C53710" w:rsidP="00C53710">
            <w:pPr>
              <w:pStyle w:val="tablefootnotes"/>
              <w:ind w:left="0" w:firstLine="0"/>
              <w:jc w:val="right"/>
            </w:pPr>
            <w:r>
              <w:rPr>
                <w:noProof/>
                <w:lang w:eastAsia="en-AU" w:bidi="ar-SA"/>
              </w:rPr>
              <w:drawing>
                <wp:inline distT="0" distB="0" distL="0" distR="0" wp14:anchorId="5B29719E" wp14:editId="5FF895BC">
                  <wp:extent cx="5041265" cy="3418840"/>
                  <wp:effectExtent l="0" t="0" r="6985" b="0"/>
                  <wp:docPr id="25" name="Picture 25" descr="Figure 12-1 Number of Indigenous Northern Territory income support recipients under Age Pension eligibility age by payment category and age, 2001-2011" title="Figure 12-1 Number of Indigenous Northern Territory income support recipients under Age Pension eligibility age by payment category and age,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41265" cy="3418840"/>
                          </a:xfrm>
                          <a:prstGeom prst="rect">
                            <a:avLst/>
                          </a:prstGeom>
                          <a:noFill/>
                          <a:ln>
                            <a:noFill/>
                          </a:ln>
                        </pic:spPr>
                      </pic:pic>
                    </a:graphicData>
                  </a:graphic>
                </wp:inline>
              </w:drawing>
            </w:r>
          </w:p>
        </w:tc>
      </w:tr>
      <w:tr w:rsidR="008B3D48" w:rsidTr="008B3D48">
        <w:tc>
          <w:tcPr>
            <w:tcW w:w="8987" w:type="dxa"/>
          </w:tcPr>
          <w:p w:rsidR="008B3D48" w:rsidRDefault="008B3D48" w:rsidP="00C53710">
            <w:pPr>
              <w:pStyle w:val="tablefootnotes"/>
              <w:ind w:left="0" w:firstLine="0"/>
              <w:jc w:val="right"/>
              <w:rPr>
                <w:noProof/>
                <w:lang w:eastAsia="en-AU" w:bidi="ar-SA"/>
              </w:rPr>
            </w:pPr>
          </w:p>
        </w:tc>
      </w:tr>
    </w:tbl>
    <w:p w:rsidR="00B54E7C" w:rsidRPr="005911E2" w:rsidRDefault="00B54E7C" w:rsidP="00C53710">
      <w:pPr>
        <w:pStyle w:val="tablefootnotes"/>
      </w:pPr>
      <w:r w:rsidRPr="005911E2">
        <w:t>Note</w:t>
      </w:r>
      <w:r w:rsidR="008A1D49">
        <w:t>s</w:t>
      </w:r>
      <w:r w:rsidRPr="005911E2">
        <w:t>:</w:t>
      </w:r>
      <w:r>
        <w:tab/>
      </w:r>
      <w:r w:rsidRPr="005911E2">
        <w:t xml:space="preserve">The </w:t>
      </w:r>
      <w:r>
        <w:t>u</w:t>
      </w:r>
      <w:r w:rsidRPr="005911E2">
        <w:t>nemployment rate is the A</w:t>
      </w:r>
      <w:r>
        <w:t xml:space="preserve">ustralian </w:t>
      </w:r>
      <w:r w:rsidRPr="005911E2">
        <w:t>B</w:t>
      </w:r>
      <w:r>
        <w:t xml:space="preserve">ureau of </w:t>
      </w:r>
      <w:r w:rsidRPr="005911E2">
        <w:t>S</w:t>
      </w:r>
      <w:r>
        <w:t>tatistics</w:t>
      </w:r>
      <w:r w:rsidRPr="005911E2">
        <w:t xml:space="preserve"> trend estimate for all</w:t>
      </w:r>
      <w:r w:rsidR="006435C8">
        <w:t xml:space="preserve"> Northern Territory </w:t>
      </w:r>
      <w:r w:rsidRPr="005911E2">
        <w:t>residents (including both Indigenous and non-Indigenous).</w:t>
      </w:r>
    </w:p>
    <w:p w:rsidR="00B54E7C" w:rsidRDefault="00B54E7C" w:rsidP="00C53710">
      <w:pPr>
        <w:pStyle w:val="tablefootnotes"/>
      </w:pPr>
      <w:r>
        <w:tab/>
      </w:r>
      <w:r w:rsidRPr="005911E2">
        <w:t>Vertical axis is log scaled (so that equal slopes imply equal proportional changes).</w:t>
      </w:r>
    </w:p>
    <w:p w:rsidR="00B54E7C" w:rsidRDefault="00B54E7C" w:rsidP="00C53710">
      <w:pPr>
        <w:pStyle w:val="tablefootnotes"/>
      </w:pPr>
      <w:r w:rsidRPr="005911E2">
        <w:t>Population:</w:t>
      </w:r>
      <w:r>
        <w:tab/>
      </w:r>
      <w:r w:rsidRPr="005911E2">
        <w:t xml:space="preserve">Indigenous income support recipients resident in the Northern Territory under </w:t>
      </w:r>
      <w:r w:rsidR="008A1D49">
        <w:t>Age P</w:t>
      </w:r>
      <w:r w:rsidRPr="005911E2">
        <w:t xml:space="preserve">ension age. </w:t>
      </w:r>
      <w:r>
        <w:t>Compulsory Income Management</w:t>
      </w:r>
      <w:r w:rsidRPr="005911E2">
        <w:t xml:space="preserve"> payments are those subject to </w:t>
      </w:r>
      <w:r>
        <w:t>C</w:t>
      </w:r>
      <w:r w:rsidRPr="005911E2">
        <w:t xml:space="preserve">ompulsory </w:t>
      </w:r>
      <w:r>
        <w:t>Income Management</w:t>
      </w:r>
      <w:r w:rsidRPr="005911E2">
        <w:t xml:space="preserve"> after July 2010, plus some payments that were equivalent in prior periods.</w:t>
      </w:r>
    </w:p>
    <w:p w:rsidR="00B54E7C" w:rsidRPr="005911E2" w:rsidRDefault="00B54E7C" w:rsidP="00C53710">
      <w:pPr>
        <w:pStyle w:val="tablefootnoteslastline"/>
        <w:keepLines w:val="0"/>
      </w:pPr>
      <w:r w:rsidRPr="005911E2">
        <w:t xml:space="preserve"> Source: </w:t>
      </w:r>
      <w:r w:rsidRPr="005911E2">
        <w:tab/>
        <w:t>Derived from the FaHCSIA Housing Dataset, Labour Force Survey (ABS</w:t>
      </w:r>
      <w:r>
        <w:t>,</w:t>
      </w:r>
      <w:r w:rsidRPr="005911E2">
        <w:t xml:space="preserve"> 2012).</w:t>
      </w:r>
    </w:p>
    <w:p w:rsidR="00A55E1E" w:rsidRDefault="00A55E1E" w:rsidP="00C53710">
      <w:pPr>
        <w:pStyle w:val="tablefootnoteslastline"/>
        <w:keepLines w:val="0"/>
      </w:pPr>
    </w:p>
    <w:p w:rsidR="00A55E1E" w:rsidRPr="005911E2" w:rsidRDefault="00A55E1E" w:rsidP="00A55E1E">
      <w:pPr>
        <w:pStyle w:val="BodyText"/>
      </w:pPr>
      <w:r w:rsidRPr="005911E2">
        <w:t xml:space="preserve">For the two non-Indigenous </w:t>
      </w:r>
      <w:r>
        <w:t>Compulsory Income Management</w:t>
      </w:r>
      <w:r w:rsidRPr="005911E2">
        <w:t xml:space="preserve"> groups with children, there has been a steady fall in numbers since 2001, generally in line with the overall fall in numbers of unemployed people. For the two </w:t>
      </w:r>
      <w:r>
        <w:t>Compulsory Income Management</w:t>
      </w:r>
      <w:r w:rsidRPr="005911E2">
        <w:t xml:space="preserve"> groups without children, there was an increase in numbers in 2009. This presumably reflects the impact of the brief economic slowdown in that period, even though there is no clear mirror to be found in the unemployment numbers (possibly because the latter are subject to significant sampling error). </w:t>
      </w:r>
    </w:p>
    <w:p w:rsidR="00A55E1E" w:rsidRPr="005911E2" w:rsidRDefault="00A55E1E" w:rsidP="00A55E1E">
      <w:pPr>
        <w:pStyle w:val="BodyText"/>
      </w:pPr>
      <w:r w:rsidRPr="005911E2">
        <w:t xml:space="preserve">For the two Indigenous </w:t>
      </w:r>
      <w:r>
        <w:t>Compulsory Income Management</w:t>
      </w:r>
      <w:r w:rsidRPr="005911E2">
        <w:t xml:space="preserve"> groups with children, there has also been </w:t>
      </w:r>
      <w:r>
        <w:t xml:space="preserve">a </w:t>
      </w:r>
      <w:r w:rsidRPr="005911E2">
        <w:t xml:space="preserve">fall in numbers, but for this group the fall started in about 2006 and has been smaller than for </w:t>
      </w:r>
      <w:r>
        <w:t xml:space="preserve">the </w:t>
      </w:r>
      <w:r w:rsidRPr="005911E2">
        <w:t>non-Indigenous</w:t>
      </w:r>
      <w:r>
        <w:t xml:space="preserve"> group</w:t>
      </w:r>
      <w:r w:rsidRPr="005911E2">
        <w:t>.</w:t>
      </w:r>
      <w:r w:rsidRPr="005911E2">
        <w:rPr>
          <w:rStyle w:val="FootnoteReference"/>
        </w:rPr>
        <w:footnoteReference w:id="130"/>
      </w:r>
    </w:p>
    <w:p w:rsidR="0006274D" w:rsidRPr="005911E2" w:rsidRDefault="0006274D" w:rsidP="00A227C2">
      <w:pPr>
        <w:pStyle w:val="tabfighead"/>
      </w:pPr>
      <w:bookmarkStart w:id="1183" w:name="_Ref310437636"/>
      <w:bookmarkStart w:id="1184" w:name="F_Ref310437636"/>
      <w:bookmarkStart w:id="1185" w:name="_Ref321142499"/>
      <w:bookmarkStart w:id="1186" w:name="_Toc311123786"/>
      <w:bookmarkStart w:id="1187" w:name="_Toc311843086"/>
      <w:bookmarkStart w:id="1188" w:name="_Toc312064828"/>
      <w:bookmarkStart w:id="1189" w:name="_Toc321254619"/>
      <w:bookmarkStart w:id="1190" w:name="_Toc328601677"/>
      <w:bookmarkStart w:id="1191" w:name="_Toc335915943"/>
      <w:r w:rsidRPr="005911E2">
        <w:t xml:space="preserve">Figure </w:t>
      </w:r>
      <w:r w:rsidR="00C7347D">
        <w:fldChar w:fldCharType="begin"/>
      </w:r>
      <w:r w:rsidR="00E74851">
        <w:instrText xml:space="preserve"> STYLEREF 1 \s </w:instrText>
      </w:r>
      <w:r w:rsidR="00C7347D">
        <w:fldChar w:fldCharType="separate"/>
      </w:r>
      <w:r w:rsidR="007D7E45">
        <w:rPr>
          <w:noProof/>
        </w:rPr>
        <w:t>12</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2</w:t>
      </w:r>
      <w:r w:rsidR="00C7347D">
        <w:fldChar w:fldCharType="end"/>
      </w:r>
      <w:bookmarkEnd w:id="1183"/>
      <w:bookmarkEnd w:id="1184"/>
      <w:bookmarkEnd w:id="1185"/>
      <w:r w:rsidRPr="005911E2">
        <w:tab/>
        <w:t>Number of non-Indigenous</w:t>
      </w:r>
      <w:r w:rsidR="006435C8">
        <w:t xml:space="preserve"> Northern Territory </w:t>
      </w:r>
      <w:r w:rsidRPr="005911E2">
        <w:t xml:space="preserve">income support recipients under </w:t>
      </w:r>
      <w:bookmarkEnd w:id="1186"/>
      <w:bookmarkEnd w:id="1187"/>
      <w:bookmarkEnd w:id="1188"/>
      <w:r w:rsidR="009B364D" w:rsidRPr="009B364D">
        <w:t xml:space="preserve">Age Pension eligibility age </w:t>
      </w:r>
      <w:r w:rsidRPr="005911E2">
        <w:t>by payment category and age, 2001-2011</w:t>
      </w:r>
      <w:bookmarkEnd w:id="1189"/>
      <w:bookmarkEnd w:id="1190"/>
      <w:bookmarkEnd w:id="1191"/>
    </w:p>
    <w:tbl>
      <w:tblPr>
        <w:tblStyle w:val="TableGrid"/>
        <w:tblW w:w="0" w:type="auto"/>
        <w:tblInd w:w="392" w:type="dxa"/>
        <w:tblLook w:val="04A0" w:firstRow="1" w:lastRow="0" w:firstColumn="1" w:lastColumn="0" w:noHBand="0" w:noVBand="1"/>
        <w:tblCaption w:val="Figure 12-2 Number of non-Indigenous Northern Territory income support recipients under Age Pension eligibility age by payment category and age, 2001-2011"/>
        <w:tblDescription w:val="Figure 12-2 Number of non-Indigenous Northern Territory income support recipients under Age Pension eligibility age by payment category and age, 2001-2011"/>
      </w:tblPr>
      <w:tblGrid>
        <w:gridCol w:w="8703"/>
      </w:tblGrid>
      <w:tr w:rsidR="008B3D48" w:rsidTr="009D15E2">
        <w:trPr>
          <w:tblHeader/>
        </w:trPr>
        <w:tc>
          <w:tcPr>
            <w:tcW w:w="8703" w:type="dxa"/>
            <w:tcBorders>
              <w:top w:val="nil"/>
              <w:left w:val="nil"/>
              <w:bottom w:val="nil"/>
              <w:right w:val="nil"/>
            </w:tcBorders>
          </w:tcPr>
          <w:p w:rsidR="008B3D48" w:rsidRDefault="008B3D48" w:rsidP="008B3D48">
            <w:pPr>
              <w:pStyle w:val="tablefootnotes"/>
              <w:ind w:left="0" w:firstLine="0"/>
              <w:jc w:val="right"/>
            </w:pPr>
            <w:r>
              <w:rPr>
                <w:noProof/>
                <w:lang w:eastAsia="en-AU" w:bidi="ar-SA"/>
              </w:rPr>
              <w:drawing>
                <wp:inline distT="0" distB="0" distL="0" distR="0" wp14:anchorId="36150CD9" wp14:editId="609AB2E0">
                  <wp:extent cx="5041265" cy="3474720"/>
                  <wp:effectExtent l="0" t="0" r="6985" b="0"/>
                  <wp:docPr id="26" name="Picture 26" descr="Figure 12-2 Number of non-Indigenous Northern Territory income support recipients under Age Pension eligibility age by payment category and age, 2001-2011" title="Figure 12-2 Number of non-Indigenous Northern Territory income support recipients under Age Pension eligibility age by payment category and age,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41265" cy="3474720"/>
                          </a:xfrm>
                          <a:prstGeom prst="rect">
                            <a:avLst/>
                          </a:prstGeom>
                          <a:noFill/>
                          <a:ln>
                            <a:noFill/>
                          </a:ln>
                        </pic:spPr>
                      </pic:pic>
                    </a:graphicData>
                  </a:graphic>
                </wp:inline>
              </w:drawing>
            </w:r>
          </w:p>
        </w:tc>
      </w:tr>
    </w:tbl>
    <w:p w:rsidR="0006274D" w:rsidRPr="005911E2" w:rsidRDefault="0006274D" w:rsidP="002955BA">
      <w:pPr>
        <w:pStyle w:val="tablefootnotes"/>
      </w:pPr>
    </w:p>
    <w:p w:rsidR="009F0DD0" w:rsidRPr="005911E2" w:rsidRDefault="009F0DD0" w:rsidP="009F0DD0">
      <w:pPr>
        <w:pStyle w:val="tablefootnotes"/>
      </w:pPr>
      <w:r w:rsidRPr="005911E2">
        <w:t>Note</w:t>
      </w:r>
      <w:r w:rsidR="008A1D49">
        <w:t>s</w:t>
      </w:r>
      <w:r w:rsidRPr="005911E2">
        <w:t>:</w:t>
      </w:r>
      <w:r>
        <w:tab/>
      </w:r>
      <w:r w:rsidRPr="005911E2">
        <w:t xml:space="preserve">The </w:t>
      </w:r>
      <w:r>
        <w:t>u</w:t>
      </w:r>
      <w:r w:rsidRPr="005911E2">
        <w:t>nemployment rate is the A</w:t>
      </w:r>
      <w:r>
        <w:t xml:space="preserve">ustralian </w:t>
      </w:r>
      <w:r w:rsidRPr="005911E2">
        <w:t>B</w:t>
      </w:r>
      <w:r>
        <w:t xml:space="preserve">ureau of </w:t>
      </w:r>
      <w:r w:rsidRPr="005911E2">
        <w:t>S</w:t>
      </w:r>
      <w:r>
        <w:t>tatistics</w:t>
      </w:r>
      <w:r w:rsidRPr="005911E2">
        <w:t xml:space="preserve"> trend estimate for all</w:t>
      </w:r>
      <w:r w:rsidR="006435C8">
        <w:t xml:space="preserve"> Northern Territory </w:t>
      </w:r>
      <w:r w:rsidRPr="005911E2">
        <w:t>residents (including both Indigenous and non-Indigenous).</w:t>
      </w:r>
    </w:p>
    <w:p w:rsidR="009F0DD0" w:rsidRDefault="009F0DD0" w:rsidP="00CF78DB">
      <w:pPr>
        <w:pStyle w:val="tablefootnotes"/>
      </w:pPr>
      <w:r>
        <w:tab/>
      </w:r>
      <w:r w:rsidR="0006274D" w:rsidRPr="005911E2">
        <w:t>Vertical axis is log scaled (so that equal slopes imply equal proportional changes).</w:t>
      </w:r>
    </w:p>
    <w:p w:rsidR="009F0DD0" w:rsidRDefault="0006274D" w:rsidP="00CF78DB">
      <w:pPr>
        <w:pStyle w:val="tablefootnotes"/>
      </w:pPr>
      <w:r w:rsidRPr="005911E2">
        <w:t>Population:</w:t>
      </w:r>
      <w:r w:rsidR="009F0DD0">
        <w:tab/>
      </w:r>
      <w:r w:rsidRPr="005911E2">
        <w:t xml:space="preserve">Non-Indigenous income support recipients resident in the Northern Territory under </w:t>
      </w:r>
      <w:r w:rsidR="00CD2AFC">
        <w:t>Age P</w:t>
      </w:r>
      <w:r w:rsidRPr="005911E2">
        <w:t xml:space="preserve">ension age. </w:t>
      </w:r>
      <w:r w:rsidR="004808B3">
        <w:t>Compulsory Income Management</w:t>
      </w:r>
      <w:r w:rsidRPr="005911E2">
        <w:t xml:space="preserve"> payments are those subject to </w:t>
      </w:r>
      <w:r w:rsidR="0089436F">
        <w:t>C</w:t>
      </w:r>
      <w:r w:rsidRPr="005911E2">
        <w:t xml:space="preserve">ompulsory </w:t>
      </w:r>
      <w:r w:rsidR="0089436F">
        <w:t>I</w:t>
      </w:r>
      <w:r w:rsidR="00F878E4">
        <w:t xml:space="preserve">ncome </w:t>
      </w:r>
      <w:r w:rsidR="0089436F">
        <w:t>M</w:t>
      </w:r>
      <w:r w:rsidR="00F878E4">
        <w:t>anagement</w:t>
      </w:r>
      <w:r w:rsidRPr="005911E2">
        <w:t xml:space="preserve"> after July 2010, plus some payments that were equivalent in prior periods.</w:t>
      </w:r>
    </w:p>
    <w:p w:rsidR="0006274D" w:rsidRPr="005911E2" w:rsidRDefault="0006274D" w:rsidP="00CF78DB">
      <w:pPr>
        <w:pStyle w:val="tablefootnotes"/>
      </w:pPr>
      <w:r w:rsidRPr="005911E2">
        <w:t xml:space="preserve"> Source: </w:t>
      </w:r>
      <w:r w:rsidRPr="005911E2">
        <w:tab/>
      </w:r>
      <w:r w:rsidR="003C6901" w:rsidRPr="005911E2">
        <w:t>Derived from</w:t>
      </w:r>
      <w:r w:rsidRPr="005911E2">
        <w:t xml:space="preserve"> the FaHCSIA Housing Dataset, </w:t>
      </w:r>
      <w:r w:rsidR="003C6901" w:rsidRPr="005911E2">
        <w:t>ABS Labour Force Survey (ABS</w:t>
      </w:r>
      <w:r w:rsidR="0089436F">
        <w:t>,</w:t>
      </w:r>
      <w:r w:rsidR="003C6901" w:rsidRPr="005911E2">
        <w:t xml:space="preserve"> 2012)</w:t>
      </w:r>
      <w:r w:rsidRPr="005911E2">
        <w:t>.</w:t>
      </w:r>
    </w:p>
    <w:p w:rsidR="00A55E1E" w:rsidRDefault="00A55E1E" w:rsidP="00A55E1E">
      <w:pPr>
        <w:pStyle w:val="tablefootnotes"/>
      </w:pPr>
    </w:p>
    <w:p w:rsidR="00A55E1E" w:rsidRPr="005911E2" w:rsidRDefault="00A55E1E" w:rsidP="00A55E1E">
      <w:pPr>
        <w:pStyle w:val="BodyText"/>
      </w:pPr>
      <w:r w:rsidRPr="005911E2">
        <w:t xml:space="preserve">Given the combination of a long-term trend of falling income support numbers, combined with the cyclical patterns for some groups associated with the economic slow-down, it is thus difficult to discern any impact of </w:t>
      </w:r>
      <w:r>
        <w:t>income management</w:t>
      </w:r>
      <w:r w:rsidRPr="005911E2">
        <w:t xml:space="preserve"> on aggregate income support numbers.</w:t>
      </w:r>
    </w:p>
    <w:p w:rsidR="00A55E1E" w:rsidRPr="005911E2" w:rsidRDefault="00A55E1E" w:rsidP="00A55E1E">
      <w:pPr>
        <w:pStyle w:val="BodyText"/>
      </w:pPr>
      <w:r w:rsidRPr="005911E2">
        <w:t xml:space="preserve">However, this simple trend analysis is relatively insensitive to the introduction of NIM in several respects. First, the proportion of non-Indigenous income support recipients under pension age who were income managed was only around 18 per cent at the end of this period (See Chapter 4). As discussed above, this is because </w:t>
      </w:r>
      <w:r>
        <w:t>Compulsory Income Management</w:t>
      </w:r>
      <w:r w:rsidRPr="005911E2">
        <w:t xml:space="preserve"> requirements are only relevant to those who have been receiving income support payments for extended periods together with the opportunities for exemptions. Many Youth Allowance recipients are exempt because of their attendance in education, and many families with children are able to satisfy the infant health and school attendance requirements. </w:t>
      </w:r>
    </w:p>
    <w:p w:rsidR="00A55E1E" w:rsidRPr="005911E2" w:rsidRDefault="00A55E1E" w:rsidP="00A55E1E">
      <w:pPr>
        <w:pStyle w:val="BodyText"/>
      </w:pPr>
      <w:r w:rsidRPr="005911E2">
        <w:t xml:space="preserve">The above analysis disaggregates by age (relevant to education status) and the presence of children, but not by duration on income support. The most straightforward way to do the latter is to focus on exit rates from </w:t>
      </w:r>
      <w:r w:rsidR="00CD2C3D">
        <w:t>income support</w:t>
      </w:r>
      <w:r w:rsidR="00CD2C3D" w:rsidRPr="005911E2">
        <w:t xml:space="preserve"> </w:t>
      </w:r>
      <w:r w:rsidRPr="005911E2">
        <w:t xml:space="preserve">rather than </w:t>
      </w:r>
      <w:r w:rsidR="00CD2C3D">
        <w:t>income support</w:t>
      </w:r>
      <w:r w:rsidR="00CD2C3D" w:rsidRPr="005911E2">
        <w:t xml:space="preserve"> </w:t>
      </w:r>
      <w:r w:rsidRPr="005911E2">
        <w:t xml:space="preserve">numbers. Indeed, since it is long duration recipients who are most likely to be subject to </w:t>
      </w:r>
      <w:r>
        <w:t>Compulsory Income Management</w:t>
      </w:r>
      <w:r w:rsidRPr="005911E2">
        <w:t>, exit rates are more likely to be affected than entry rates onto</w:t>
      </w:r>
      <w:r w:rsidR="00CD2C3D">
        <w:t xml:space="preserve"> income support</w:t>
      </w:r>
      <w:r w:rsidRPr="005911E2">
        <w:t xml:space="preserve">. </w:t>
      </w:r>
    </w:p>
    <w:p w:rsidR="0006274D" w:rsidRPr="005911E2" w:rsidRDefault="0006274D" w:rsidP="00616B0F">
      <w:pPr>
        <w:pStyle w:val="Heading2"/>
      </w:pPr>
      <w:bookmarkStart w:id="1192" w:name="_Toc321225171"/>
      <w:bookmarkStart w:id="1193" w:name="_Toc321254515"/>
      <w:bookmarkStart w:id="1194" w:name="_Toc328601550"/>
      <w:bookmarkStart w:id="1195" w:name="_Toc329870431"/>
      <w:bookmarkStart w:id="1196" w:name="_Toc335915817"/>
      <w:r w:rsidRPr="005911E2">
        <w:t>Exit rates from income support</w:t>
      </w:r>
      <w:bookmarkEnd w:id="1192"/>
      <w:bookmarkEnd w:id="1193"/>
      <w:bookmarkEnd w:id="1194"/>
      <w:bookmarkEnd w:id="1195"/>
      <w:bookmarkEnd w:id="1196"/>
    </w:p>
    <w:p w:rsidR="0006274D" w:rsidRPr="005911E2" w:rsidRDefault="0006274D" w:rsidP="0006274D">
      <w:pPr>
        <w:pStyle w:val="BodyText"/>
        <w:rPr>
          <w:lang w:eastAsia="en-US"/>
        </w:rPr>
      </w:pPr>
      <w:r w:rsidRPr="005911E2">
        <w:rPr>
          <w:lang w:eastAsia="en-US"/>
        </w:rPr>
        <w:t xml:space="preserve">We </w:t>
      </w:r>
      <w:r w:rsidR="00E33FC4" w:rsidRPr="005911E2">
        <w:rPr>
          <w:lang w:eastAsia="en-US"/>
        </w:rPr>
        <w:t>now</w:t>
      </w:r>
      <w:r w:rsidRPr="005911E2">
        <w:rPr>
          <w:lang w:eastAsia="en-US"/>
        </w:rPr>
        <w:t xml:space="preserve"> examine exit rates from income support for the groups on </w:t>
      </w:r>
      <w:r w:rsidR="004808B3">
        <w:rPr>
          <w:lang w:eastAsia="en-US"/>
        </w:rPr>
        <w:t>Compulsory Income Management</w:t>
      </w:r>
      <w:r w:rsidRPr="005911E2">
        <w:rPr>
          <w:lang w:eastAsia="en-US"/>
        </w:rPr>
        <w:t xml:space="preserve"> payments described above, disaggregated by their current duration on income support. For the reasons outlined above, this analysis is restricted to the non-Indigenous population.</w:t>
      </w:r>
    </w:p>
    <w:p w:rsidR="0006274D" w:rsidRPr="005911E2" w:rsidRDefault="008476E4" w:rsidP="0006274D">
      <w:pPr>
        <w:pStyle w:val="BodyText"/>
      </w:pPr>
      <w:r w:rsidRPr="005911E2">
        <w:t xml:space="preserve">Figure </w:t>
      </w:r>
      <w:r w:rsidRPr="005911E2">
        <w:rPr>
          <w:noProof/>
        </w:rPr>
        <w:t>1</w:t>
      </w:r>
      <w:r w:rsidR="009F0DD0">
        <w:rPr>
          <w:noProof/>
        </w:rPr>
        <w:t>2</w:t>
      </w:r>
      <w:r w:rsidRPr="005911E2">
        <w:noBreakHyphen/>
      </w:r>
      <w:r w:rsidRPr="005911E2">
        <w:rPr>
          <w:noProof/>
        </w:rPr>
        <w:t>3</w:t>
      </w:r>
      <w:r w:rsidR="00FA2836" w:rsidRPr="005911E2">
        <w:t xml:space="preserve">, </w:t>
      </w:r>
      <w:r w:rsidRPr="005911E2">
        <w:t xml:space="preserve">Figure </w:t>
      </w:r>
      <w:r w:rsidRPr="005911E2">
        <w:rPr>
          <w:noProof/>
        </w:rPr>
        <w:t>1</w:t>
      </w:r>
      <w:r w:rsidR="009F0DD0">
        <w:rPr>
          <w:noProof/>
        </w:rPr>
        <w:t>2</w:t>
      </w:r>
      <w:r w:rsidRPr="005911E2">
        <w:noBreakHyphen/>
      </w:r>
      <w:r w:rsidRPr="005911E2">
        <w:rPr>
          <w:noProof/>
        </w:rPr>
        <w:t>4</w:t>
      </w:r>
      <w:r w:rsidR="00FA2836" w:rsidRPr="005911E2">
        <w:t xml:space="preserve"> and </w:t>
      </w:r>
      <w:r w:rsidRPr="005911E2">
        <w:t xml:space="preserve">Figure </w:t>
      </w:r>
      <w:r w:rsidRPr="005911E2">
        <w:rPr>
          <w:noProof/>
        </w:rPr>
        <w:t>1</w:t>
      </w:r>
      <w:r w:rsidR="009F0DD0">
        <w:rPr>
          <w:noProof/>
        </w:rPr>
        <w:t>2</w:t>
      </w:r>
      <w:r w:rsidRPr="005911E2">
        <w:noBreakHyphen/>
      </w:r>
      <w:r w:rsidRPr="005911E2">
        <w:rPr>
          <w:noProof/>
        </w:rPr>
        <w:t>5</w:t>
      </w:r>
      <w:r w:rsidR="00FA2836" w:rsidRPr="005911E2">
        <w:t xml:space="preserve"> </w:t>
      </w:r>
      <w:r w:rsidR="0006274D" w:rsidRPr="005911E2">
        <w:t xml:space="preserve">show the trends in income support exit rates for people with different durations of </w:t>
      </w:r>
      <w:r w:rsidR="00CD2C3D">
        <w:t>income support</w:t>
      </w:r>
      <w:r w:rsidR="00CD2C3D" w:rsidRPr="005911E2">
        <w:t xml:space="preserve"> </w:t>
      </w:r>
      <w:r w:rsidR="0006274D" w:rsidRPr="005911E2">
        <w:t xml:space="preserve">for the non-Indigenous population. We show results for the period June 2007 onwards – this is the period for which we have quarterly data on income support receipt. The populations are people receiving </w:t>
      </w:r>
      <w:r w:rsidR="004808B3">
        <w:t>Compulsory Income Management</w:t>
      </w:r>
      <w:r w:rsidR="0006274D" w:rsidRPr="005911E2">
        <w:t xml:space="preserve"> payments at each date. The figures present results for the different family types disaggregated by age and presence of children. </w:t>
      </w:r>
    </w:p>
    <w:p w:rsidR="0006274D" w:rsidRPr="005911E2" w:rsidRDefault="0006274D" w:rsidP="0006274D">
      <w:pPr>
        <w:pStyle w:val="BodyText"/>
      </w:pPr>
      <w:r w:rsidRPr="005911E2">
        <w:t xml:space="preserve">The figures show the </w:t>
      </w:r>
      <w:r w:rsidR="00BD10FF">
        <w:t>proportion</w:t>
      </w:r>
      <w:r w:rsidR="00BD10FF" w:rsidRPr="005911E2">
        <w:t xml:space="preserve"> </w:t>
      </w:r>
      <w:r w:rsidRPr="005911E2">
        <w:t xml:space="preserve">of people receiving a </w:t>
      </w:r>
      <w:r w:rsidR="004808B3">
        <w:t>Compulsory Income Management</w:t>
      </w:r>
      <w:r w:rsidRPr="005911E2">
        <w:t xml:space="preserve"> payment at the indicated date who were not receiving a </w:t>
      </w:r>
      <w:r w:rsidR="004808B3">
        <w:t>Compulsory Income Management</w:t>
      </w:r>
      <w:r w:rsidRPr="005911E2">
        <w:t xml:space="preserve"> payment three months later. Rates are expressed as percentage exiting per day. This includes exits to other income support payments (e</w:t>
      </w:r>
      <w:r w:rsidR="00FA2836" w:rsidRPr="005911E2">
        <w:t>.</w:t>
      </w:r>
      <w:r w:rsidRPr="005911E2">
        <w:t>g</w:t>
      </w:r>
      <w:r w:rsidR="00FA2836" w:rsidRPr="005911E2">
        <w:t>.</w:t>
      </w:r>
      <w:r w:rsidRPr="005911E2">
        <w:t xml:space="preserve"> </w:t>
      </w:r>
      <w:r w:rsidR="00FA2836" w:rsidRPr="005911E2">
        <w:t>D</w:t>
      </w:r>
      <w:r w:rsidRPr="005911E2">
        <w:t>isability</w:t>
      </w:r>
      <w:r w:rsidR="00FA2836" w:rsidRPr="005911E2">
        <w:t xml:space="preserve"> Support</w:t>
      </w:r>
      <w:r w:rsidRPr="005911E2">
        <w:t xml:space="preserve"> </w:t>
      </w:r>
      <w:r w:rsidR="00FA2836" w:rsidRPr="005911E2">
        <w:t>P</w:t>
      </w:r>
      <w:r w:rsidRPr="005911E2">
        <w:t>ension) as well as exits due to finding employment, choosing to not receive payment, their spouse finding employment, the person leaving Australia, and death. We have also disaggregated these exits into exits to other income support payments</w:t>
      </w:r>
      <w:r w:rsidR="0089436F">
        <w:t>,</w:t>
      </w:r>
      <w:r w:rsidRPr="005911E2">
        <w:t xml:space="preserve"> compared with no income support payment</w:t>
      </w:r>
      <w:r w:rsidR="0089436F">
        <w:t>,</w:t>
      </w:r>
      <w:r w:rsidRPr="005911E2">
        <w:t xml:space="preserve"> and comment on this disaggregation where we find substantive patterns. </w:t>
      </w:r>
    </w:p>
    <w:p w:rsidR="0006274D" w:rsidRPr="005911E2" w:rsidRDefault="0006274D" w:rsidP="0006274D">
      <w:pPr>
        <w:pStyle w:val="BodyText"/>
      </w:pPr>
      <w:r w:rsidRPr="005911E2">
        <w:t xml:space="preserve">Exit rates are disaggregated according to the person’s duration of payment as at the indicated date. For the older population, we identify those people who have been on income support </w:t>
      </w:r>
      <w:r w:rsidR="009E295E">
        <w:t xml:space="preserve">for </w:t>
      </w:r>
      <w:r w:rsidRPr="005911E2">
        <w:t xml:space="preserve">more than 12 months (who would be subject to </w:t>
      </w:r>
      <w:r w:rsidR="004808B3">
        <w:t>Compulsory Income Management</w:t>
      </w:r>
      <w:r w:rsidRPr="005911E2">
        <w:t xml:space="preserve">), and those on income support for less than 9 months (who would be unlikely to be </w:t>
      </w:r>
      <w:r w:rsidR="005A58C3">
        <w:t>subject to</w:t>
      </w:r>
      <w:r w:rsidRPr="005911E2">
        <w:t xml:space="preserve"> </w:t>
      </w:r>
      <w:r w:rsidR="004808B3">
        <w:t>Compulsory Income Management</w:t>
      </w:r>
      <w:r w:rsidRPr="005911E2">
        <w:t xml:space="preserve"> within the next quarter).</w:t>
      </w:r>
      <w:r w:rsidRPr="005911E2">
        <w:rPr>
          <w:rStyle w:val="FootnoteReference"/>
        </w:rPr>
        <w:footnoteReference w:id="131"/>
      </w:r>
      <w:r w:rsidRPr="005911E2">
        <w:t xml:space="preserve"> The intermediate group (9-12 months) are shown as </w:t>
      </w:r>
      <w:r w:rsidR="009E295E">
        <w:t xml:space="preserve">a </w:t>
      </w:r>
      <w:r w:rsidRPr="005911E2">
        <w:t xml:space="preserve">dotted </w:t>
      </w:r>
      <w:r w:rsidR="009E295E">
        <w:t xml:space="preserve">line </w:t>
      </w:r>
      <w:r w:rsidRPr="005911E2">
        <w:t xml:space="preserve">in the figure. </w:t>
      </w:r>
    </w:p>
    <w:p w:rsidR="0006274D" w:rsidRPr="005911E2" w:rsidRDefault="008476E4" w:rsidP="0006274D">
      <w:pPr>
        <w:pStyle w:val="BodyText"/>
      </w:pPr>
      <w:r w:rsidRPr="005911E2">
        <w:t xml:space="preserve">Figure </w:t>
      </w:r>
      <w:r w:rsidRPr="005911E2">
        <w:rPr>
          <w:noProof/>
        </w:rPr>
        <w:t>1</w:t>
      </w:r>
      <w:r w:rsidR="009F0DD0">
        <w:rPr>
          <w:noProof/>
        </w:rPr>
        <w:t>2</w:t>
      </w:r>
      <w:r w:rsidRPr="005911E2">
        <w:noBreakHyphen/>
      </w:r>
      <w:r w:rsidRPr="005911E2">
        <w:rPr>
          <w:noProof/>
        </w:rPr>
        <w:t>3</w:t>
      </w:r>
      <w:r w:rsidR="006B0B1A" w:rsidRPr="005911E2">
        <w:t xml:space="preserve"> </w:t>
      </w:r>
      <w:r w:rsidR="0006274D" w:rsidRPr="005911E2">
        <w:t>shows the exit rates over time for people aged 25</w:t>
      </w:r>
      <w:r w:rsidR="009D040F">
        <w:t xml:space="preserve"> to </w:t>
      </w:r>
      <w:r w:rsidR="0006274D" w:rsidRPr="005911E2">
        <w:t xml:space="preserve">64 </w:t>
      </w:r>
      <w:r w:rsidR="00E33FC4" w:rsidRPr="005911E2">
        <w:t xml:space="preserve">years </w:t>
      </w:r>
      <w:r w:rsidR="0006274D" w:rsidRPr="005911E2">
        <w:t xml:space="preserve">without children. As noted above, this is the demographic group for which the </w:t>
      </w:r>
      <w:r w:rsidR="00F878E4">
        <w:t>income management</w:t>
      </w:r>
      <w:r w:rsidR="0006274D" w:rsidRPr="005911E2">
        <w:t xml:space="preserve"> experience of the short and long duration recipients is most different. However, in general, it is difficult to find any association between exit rates, duration on </w:t>
      </w:r>
      <w:r w:rsidR="00CD2C3D">
        <w:t>income support</w:t>
      </w:r>
      <w:r w:rsidR="009E295E">
        <w:t>,</w:t>
      </w:r>
      <w:r w:rsidR="0006274D" w:rsidRPr="005911E2">
        <w:t xml:space="preserve"> and the introduction of NIM.</w:t>
      </w:r>
    </w:p>
    <w:p w:rsidR="0006274D" w:rsidRPr="005911E2" w:rsidRDefault="0006274D" w:rsidP="00A227C2">
      <w:pPr>
        <w:pStyle w:val="tabfighead"/>
      </w:pPr>
      <w:bookmarkStart w:id="1197" w:name="_Ref320003469"/>
      <w:bookmarkStart w:id="1198" w:name="_Toc321254620"/>
      <w:bookmarkStart w:id="1199" w:name="_Toc328601678"/>
      <w:bookmarkStart w:id="1200" w:name="_Toc335915944"/>
      <w:r w:rsidRPr="005911E2">
        <w:t xml:space="preserve">Figure </w:t>
      </w:r>
      <w:r w:rsidR="00C7347D">
        <w:fldChar w:fldCharType="begin"/>
      </w:r>
      <w:r w:rsidR="00E74851">
        <w:instrText xml:space="preserve"> STYLEREF 1 \s </w:instrText>
      </w:r>
      <w:r w:rsidR="00C7347D">
        <w:fldChar w:fldCharType="separate"/>
      </w:r>
      <w:r w:rsidR="007D7E45">
        <w:rPr>
          <w:noProof/>
        </w:rPr>
        <w:t>12</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3</w:t>
      </w:r>
      <w:r w:rsidR="00C7347D">
        <w:fldChar w:fldCharType="end"/>
      </w:r>
      <w:bookmarkEnd w:id="1197"/>
      <w:r w:rsidRPr="005911E2">
        <w:tab/>
        <w:t xml:space="preserve">Exit rates from </w:t>
      </w:r>
      <w:r w:rsidR="004808B3">
        <w:t>Compulsory Income Management</w:t>
      </w:r>
      <w:r w:rsidRPr="005911E2">
        <w:t xml:space="preserve"> payments by duration on </w:t>
      </w:r>
      <w:r w:rsidR="00CD2C3D">
        <w:t>income support</w:t>
      </w:r>
      <w:r w:rsidRPr="005911E2">
        <w:t>: Non-Indigenous people aged 25-64</w:t>
      </w:r>
      <w:r w:rsidR="009B364D">
        <w:t xml:space="preserve"> years</w:t>
      </w:r>
      <w:r w:rsidRPr="005911E2">
        <w:t>, without children</w:t>
      </w:r>
      <w:bookmarkEnd w:id="1198"/>
      <w:bookmarkEnd w:id="1199"/>
      <w:bookmarkEnd w:id="120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12-3 Exit rates from Compulsory Income Management payments by duration on income support: Non-Indigenous people aged 25-64 years, without children"/>
        <w:tblDescription w:val="Figure 12-3 Exit rates from Compulsory Income Management payments by duration on income support: Non-Indigenous people aged 25-64 years, without children"/>
      </w:tblPr>
      <w:tblGrid>
        <w:gridCol w:w="8987"/>
      </w:tblGrid>
      <w:tr w:rsidR="008B3D48" w:rsidTr="009D15E2">
        <w:trPr>
          <w:tblHeader/>
        </w:trPr>
        <w:tc>
          <w:tcPr>
            <w:tcW w:w="8987" w:type="dxa"/>
          </w:tcPr>
          <w:p w:rsidR="008B3D48" w:rsidRDefault="0095563C" w:rsidP="008B3D48">
            <w:pPr>
              <w:pStyle w:val="tablefootnotes"/>
              <w:ind w:left="0" w:firstLine="0"/>
              <w:jc w:val="right"/>
            </w:pPr>
            <w:bookmarkStart w:id="1201" w:name="_MON_1393700574"/>
            <w:bookmarkEnd w:id="1201"/>
            <w:r>
              <w:rPr>
                <w:noProof/>
                <w:lang w:eastAsia="en-AU" w:bidi="ar-SA"/>
              </w:rPr>
              <w:drawing>
                <wp:inline distT="0" distB="0" distL="0" distR="0" wp14:anchorId="2FCCABE0" wp14:editId="59EA6ABE">
                  <wp:extent cx="4572000" cy="2743200"/>
                  <wp:effectExtent l="0" t="0" r="0" b="0"/>
                  <wp:docPr id="33" name="Picture 33" descr="Figure 12-3 Exit rates from Compulsory Income Management payments by duration on income support: Non-Indigenous people aged 25-64 years, without children" title="Figure 12-3 Exit rates from Compulsory Income Management payments by duration on income support: Non-Indigenous people aged 25-64 years, without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tc>
      </w:tr>
    </w:tbl>
    <w:p w:rsidR="00DD707C" w:rsidRDefault="00DD707C" w:rsidP="00AE7648">
      <w:pPr>
        <w:pStyle w:val="tablefootnotes"/>
        <w:jc w:val="center"/>
      </w:pPr>
    </w:p>
    <w:p w:rsidR="008A1D49" w:rsidRDefault="008A1D49" w:rsidP="008A1D49">
      <w:pPr>
        <w:pStyle w:val="tablefootnotes"/>
      </w:pPr>
      <w:r>
        <w:t>Notes:</w:t>
      </w:r>
      <w:r>
        <w:tab/>
      </w:r>
      <w:r w:rsidR="0006274D" w:rsidRPr="005911E2">
        <w:t xml:space="preserve">The figure shows the </w:t>
      </w:r>
      <w:r w:rsidR="00BD10FF">
        <w:t>proportion</w:t>
      </w:r>
      <w:r w:rsidR="00BD10FF" w:rsidRPr="005911E2">
        <w:t xml:space="preserve"> </w:t>
      </w:r>
      <w:r w:rsidR="0006274D" w:rsidRPr="005911E2">
        <w:t xml:space="preserve">who were not receiving </w:t>
      </w:r>
      <w:r w:rsidR="004808B3">
        <w:t>Compulsory Income Management</w:t>
      </w:r>
      <w:r w:rsidR="0006274D" w:rsidRPr="005911E2">
        <w:t xml:space="preserve"> payments three months later (expressed as an exit percentage per day).</w:t>
      </w:r>
      <w:r w:rsidRPr="008A1D49">
        <w:t xml:space="preserve"> </w:t>
      </w:r>
    </w:p>
    <w:p w:rsidR="008A1D49" w:rsidRDefault="008A1D49" w:rsidP="008A1D49">
      <w:pPr>
        <w:pStyle w:val="tablefootnotes"/>
      </w:pPr>
      <w:r>
        <w:t>Population</w:t>
      </w:r>
      <w:r w:rsidRPr="005911E2">
        <w:t xml:space="preserve">: </w:t>
      </w:r>
      <w:r w:rsidRPr="005911E2">
        <w:tab/>
        <w:t xml:space="preserve">The population is people under </w:t>
      </w:r>
      <w:r>
        <w:t>Age P</w:t>
      </w:r>
      <w:r w:rsidRPr="005911E2">
        <w:t>ension age receiving a</w:t>
      </w:r>
      <w:r>
        <w:t xml:space="preserve"> </w:t>
      </w:r>
      <w:r w:rsidRPr="005911E2">
        <w:t>payment</w:t>
      </w:r>
      <w:r>
        <w:t xml:space="preserve"> subject to</w:t>
      </w:r>
      <w:r w:rsidRPr="005911E2">
        <w:t xml:space="preserve"> </w:t>
      </w:r>
      <w:r>
        <w:t>Compulsory Income Management</w:t>
      </w:r>
      <w:r w:rsidRPr="005911E2">
        <w:t xml:space="preserve"> as at the indicated date. </w:t>
      </w:r>
    </w:p>
    <w:p w:rsidR="0006274D" w:rsidRDefault="0006274D" w:rsidP="009F0DD0">
      <w:pPr>
        <w:pStyle w:val="tablefootnotes"/>
      </w:pPr>
      <w:r w:rsidRPr="005911E2">
        <w:t xml:space="preserve">Source: </w:t>
      </w:r>
      <w:r w:rsidRPr="005911E2">
        <w:tab/>
      </w:r>
      <w:r w:rsidR="003C6901" w:rsidRPr="005911E2">
        <w:t xml:space="preserve">Derived </w:t>
      </w:r>
      <w:r w:rsidRPr="005911E2">
        <w:t>from the FaHCSIA Housing Dataset.</w:t>
      </w:r>
    </w:p>
    <w:p w:rsidR="009F0DD0" w:rsidRDefault="009F0DD0" w:rsidP="009F0DD0">
      <w:pPr>
        <w:pStyle w:val="tablefootnotes"/>
      </w:pPr>
    </w:p>
    <w:p w:rsidR="009F0DD0" w:rsidRPr="005911E2" w:rsidRDefault="009F0DD0" w:rsidP="009F0DD0">
      <w:pPr>
        <w:pStyle w:val="BodyText"/>
      </w:pPr>
      <w:r w:rsidRPr="005911E2">
        <w:t>For the long duration population, there is a brief spike upwards in the exit rate in September 2010 (that is, over September-December period).</w:t>
      </w:r>
      <w:r w:rsidRPr="005911E2">
        <w:rPr>
          <w:rStyle w:val="FootnoteReference"/>
        </w:rPr>
        <w:footnoteReference w:id="132"/>
      </w:r>
      <w:r w:rsidRPr="005911E2">
        <w:t xml:space="preserve"> However, this subsequently declines and indeed the upwards spike is not out of keeping with the general pattern of exit rate volatility over time</w:t>
      </w:r>
      <w:r w:rsidR="00614538">
        <w:t xml:space="preserve">; </w:t>
      </w:r>
      <w:r w:rsidRPr="005911E2">
        <w:t xml:space="preserve">the high exit rate in September 2008 can be noted in the </w:t>
      </w:r>
      <w:r>
        <w:t>figure</w:t>
      </w:r>
      <w:r w:rsidRPr="005911E2">
        <w:t xml:space="preserve">. </w:t>
      </w:r>
      <w:r>
        <w:t xml:space="preserve">Therefore </w:t>
      </w:r>
      <w:r w:rsidRPr="005911E2">
        <w:t>we cannot conclude that the introduction of NIM led to an increase in exit rates for this group.</w:t>
      </w:r>
    </w:p>
    <w:p w:rsidR="009F0DD0" w:rsidRPr="005911E2" w:rsidRDefault="009F0DD0" w:rsidP="009F0DD0">
      <w:pPr>
        <w:pStyle w:val="BodyText"/>
      </w:pPr>
      <w:r w:rsidRPr="005911E2">
        <w:t xml:space="preserve">Figure </w:t>
      </w:r>
      <w:r>
        <w:rPr>
          <w:noProof/>
        </w:rPr>
        <w:t>12</w:t>
      </w:r>
      <w:r w:rsidRPr="005911E2">
        <w:noBreakHyphen/>
      </w:r>
      <w:r w:rsidRPr="005911E2">
        <w:rPr>
          <w:noProof/>
        </w:rPr>
        <w:t>4</w:t>
      </w:r>
      <w:r w:rsidRPr="005911E2">
        <w:t xml:space="preserve"> shows the corresponding exit rates for those aged 25</w:t>
      </w:r>
      <w:r w:rsidR="009D040F">
        <w:t xml:space="preserve"> to </w:t>
      </w:r>
      <w:r w:rsidRPr="005911E2">
        <w:t xml:space="preserve">64 years who did have children living with them. Here, there is perhaps more evidence of an increase in exit rates for the population who had been on income support for over 12 months at around the time the NIM </w:t>
      </w:r>
      <w:r>
        <w:t>was introduced</w:t>
      </w:r>
      <w:r w:rsidRPr="005911E2">
        <w:t xml:space="preserve"> (starting in the quarter before). Between March 2010 and December 2010, the daily exit rate was around 0.03 percentage points higher than over the previous two years.</w:t>
      </w:r>
      <w:r w:rsidRPr="005911E2">
        <w:rPr>
          <w:rStyle w:val="FootnoteReference"/>
        </w:rPr>
        <w:footnoteReference w:id="133"/>
      </w:r>
      <w:r w:rsidRPr="005911E2">
        <w:t xml:space="preserve"> Over this 9 month period this amounts to an additional exit of around 8 per cent of the long duration population. However, it should be noted that the exit rates for the short duration income support recipients (fewer of whom were subject to </w:t>
      </w:r>
      <w:r>
        <w:t>Compulsory Income Management</w:t>
      </w:r>
      <w:r w:rsidRPr="005911E2">
        <w:t xml:space="preserve">) were also high over this period, and that the increase was short-lived. </w:t>
      </w:r>
    </w:p>
    <w:p w:rsidR="0006274D" w:rsidRPr="005911E2" w:rsidRDefault="00A227C2" w:rsidP="00A227C2">
      <w:pPr>
        <w:pStyle w:val="tabfighead"/>
      </w:pPr>
      <w:bookmarkStart w:id="1202" w:name="_Ref321157070"/>
      <w:bookmarkStart w:id="1203" w:name="_Toc321254621"/>
      <w:bookmarkStart w:id="1204" w:name="_Toc328601679"/>
      <w:bookmarkStart w:id="1205" w:name="_Toc335915945"/>
      <w:r w:rsidRPr="005911E2">
        <w:t xml:space="preserve">Figure </w:t>
      </w:r>
      <w:r w:rsidR="00C7347D">
        <w:fldChar w:fldCharType="begin"/>
      </w:r>
      <w:r w:rsidR="00E74851">
        <w:instrText xml:space="preserve"> STYLEREF 1 \s </w:instrText>
      </w:r>
      <w:r w:rsidR="00C7347D">
        <w:fldChar w:fldCharType="separate"/>
      </w:r>
      <w:r w:rsidR="007D7E45">
        <w:rPr>
          <w:noProof/>
        </w:rPr>
        <w:t>12</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4</w:t>
      </w:r>
      <w:r w:rsidR="00C7347D">
        <w:fldChar w:fldCharType="end"/>
      </w:r>
      <w:bookmarkEnd w:id="1202"/>
      <w:r w:rsidR="0006274D" w:rsidRPr="005911E2">
        <w:tab/>
        <w:t xml:space="preserve">Exit rates from </w:t>
      </w:r>
      <w:r w:rsidR="004808B3">
        <w:t>Compulsory Income Management</w:t>
      </w:r>
      <w:r w:rsidR="0006274D" w:rsidRPr="005911E2">
        <w:t xml:space="preserve"> payments by duration on </w:t>
      </w:r>
      <w:r w:rsidR="00CD2C3D">
        <w:t>income support</w:t>
      </w:r>
      <w:r w:rsidR="0006274D" w:rsidRPr="005911E2">
        <w:t xml:space="preserve">: Non-Indigenous aged 25-64 </w:t>
      </w:r>
      <w:r w:rsidR="009B364D">
        <w:t xml:space="preserve">years </w:t>
      </w:r>
      <w:r w:rsidR="0006274D" w:rsidRPr="005911E2">
        <w:t>with children</w:t>
      </w:r>
      <w:bookmarkEnd w:id="1203"/>
      <w:bookmarkEnd w:id="1204"/>
      <w:bookmarkEnd w:id="1205"/>
    </w:p>
    <w:tbl>
      <w:tblPr>
        <w:tblStyle w:val="TableGrid"/>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12-4 Exit rates from Compulsory Income Management payments by duration on income support: Non-Indigenous aged 25-64 years with children"/>
        <w:tblDescription w:val="Figure 12-4 Exit rates from Compulsory Income Management payments by duration on income support: Non-Indigenous aged 25-64 years with children"/>
      </w:tblPr>
      <w:tblGrid>
        <w:gridCol w:w="7569"/>
      </w:tblGrid>
      <w:tr w:rsidR="00AE7648" w:rsidTr="009D15E2">
        <w:trPr>
          <w:tblHeader/>
        </w:trPr>
        <w:tc>
          <w:tcPr>
            <w:tcW w:w="7569" w:type="dxa"/>
          </w:tcPr>
          <w:p w:rsidR="00AE7648" w:rsidRDefault="0095563C" w:rsidP="008B3D48">
            <w:pPr>
              <w:pStyle w:val="tablefootnotes"/>
              <w:ind w:left="0" w:firstLine="0"/>
              <w:jc w:val="right"/>
            </w:pPr>
            <w:bookmarkStart w:id="1206" w:name="_MON_1393701116"/>
            <w:bookmarkEnd w:id="1206"/>
            <w:r>
              <w:rPr>
                <w:noProof/>
                <w:lang w:eastAsia="en-AU" w:bidi="ar-SA"/>
              </w:rPr>
              <w:drawing>
                <wp:inline distT="0" distB="0" distL="0" distR="0" wp14:anchorId="69DE5183" wp14:editId="10E9EFA0">
                  <wp:extent cx="4572000" cy="2743200"/>
                  <wp:effectExtent l="0" t="0" r="0" b="0"/>
                  <wp:docPr id="31" name="Picture 31" descr="Figure 12-4 Exit rates from Compulsory Income Management payments by duration on income support: Non-Indigenous aged 25-64 years with children" title="Figure 12-4 Exit rates from Compulsory Income Management payments by duration on income support: Non-Indigenous aged 25-64 years with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tc>
      </w:tr>
    </w:tbl>
    <w:p w:rsidR="0006274D" w:rsidRDefault="00DD707C" w:rsidP="00DD707C">
      <w:pPr>
        <w:pStyle w:val="tablefootnotes"/>
      </w:pPr>
      <w:r w:rsidRPr="00DD707C">
        <w:t>N</w:t>
      </w:r>
      <w:r w:rsidR="0006274D" w:rsidRPr="00DD707C">
        <w:t xml:space="preserve">ote: </w:t>
      </w:r>
      <w:r w:rsidR="0006274D" w:rsidRPr="00DD707C">
        <w:tab/>
        <w:t xml:space="preserve">The figure shows the </w:t>
      </w:r>
      <w:r w:rsidR="00BB552A">
        <w:t>proportion</w:t>
      </w:r>
      <w:r w:rsidR="00BB552A" w:rsidRPr="00DD707C">
        <w:t xml:space="preserve"> </w:t>
      </w:r>
      <w:r w:rsidR="0006274D" w:rsidRPr="00DD707C">
        <w:t xml:space="preserve">who were not receiving </w:t>
      </w:r>
      <w:r w:rsidR="004808B3" w:rsidRPr="00DD707C">
        <w:t>Compulsory Income Management</w:t>
      </w:r>
      <w:r w:rsidR="0006274D" w:rsidRPr="00DD707C">
        <w:t xml:space="preserve"> payments three months later (expressed as an exit percentage per day).</w:t>
      </w:r>
    </w:p>
    <w:p w:rsidR="008A1D49" w:rsidRPr="00DD707C" w:rsidRDefault="008A1D49" w:rsidP="00DD707C">
      <w:pPr>
        <w:pStyle w:val="tablefootnotes"/>
      </w:pPr>
      <w:r>
        <w:t>Population:</w:t>
      </w:r>
      <w:r>
        <w:tab/>
      </w:r>
      <w:r w:rsidRPr="00DD707C">
        <w:t xml:space="preserve">The population is people under </w:t>
      </w:r>
      <w:r>
        <w:t>Age P</w:t>
      </w:r>
      <w:r w:rsidRPr="00DD707C">
        <w:t>ension age receiving a</w:t>
      </w:r>
      <w:r>
        <w:t xml:space="preserve"> payment subject to</w:t>
      </w:r>
      <w:r w:rsidRPr="00DD707C">
        <w:t xml:space="preserve"> Compulsory Income Management as at the indicated date.</w:t>
      </w:r>
    </w:p>
    <w:p w:rsidR="0006274D" w:rsidRPr="00DD707C" w:rsidRDefault="0006274D" w:rsidP="00DD707C">
      <w:pPr>
        <w:pStyle w:val="tablefootnotes"/>
      </w:pPr>
      <w:r w:rsidRPr="00DD707C">
        <w:t xml:space="preserve">Source: </w:t>
      </w:r>
      <w:r w:rsidRPr="00DD707C">
        <w:tab/>
      </w:r>
      <w:r w:rsidR="003C6901" w:rsidRPr="00DD707C">
        <w:t>Derived</w:t>
      </w:r>
      <w:r w:rsidRPr="00DD707C">
        <w:t xml:space="preserve"> from the FaHCSIA Housing Dataset.</w:t>
      </w:r>
    </w:p>
    <w:p w:rsidR="00DD707C" w:rsidRDefault="00DD707C" w:rsidP="00DD707C">
      <w:pPr>
        <w:pStyle w:val="tablefootnotes"/>
      </w:pPr>
    </w:p>
    <w:p w:rsidR="00DD707C" w:rsidRPr="005911E2" w:rsidRDefault="00DD707C" w:rsidP="00DD707C">
      <w:pPr>
        <w:pStyle w:val="BodyText"/>
      </w:pPr>
      <w:r>
        <w:t>T</w:t>
      </w:r>
      <w:r w:rsidRPr="005911E2">
        <w:t>he most we can conclude is that there is tentative evidence that for the older population with children, exit rates for the long duration population may have increased around the time of the introduction of NIM</w:t>
      </w:r>
      <w:r>
        <w:t>;</w:t>
      </w:r>
      <w:r w:rsidRPr="005911E2">
        <w:t xml:space="preserve"> however, this evidence is far from conclusive</w:t>
      </w:r>
      <w:r w:rsidR="00BD10FF">
        <w:t>,</w:t>
      </w:r>
      <w:r w:rsidRPr="005911E2">
        <w:t xml:space="preserve"> given the natural volatility in exit rates.</w:t>
      </w:r>
    </w:p>
    <w:p w:rsidR="00DD707C" w:rsidRPr="005911E2" w:rsidRDefault="00DD707C" w:rsidP="00DD707C">
      <w:pPr>
        <w:pStyle w:val="BodyText"/>
      </w:pPr>
      <w:r w:rsidRPr="005911E2">
        <w:t xml:space="preserve">Figure </w:t>
      </w:r>
      <w:r w:rsidRPr="005911E2">
        <w:rPr>
          <w:noProof/>
        </w:rPr>
        <w:t>1</w:t>
      </w:r>
      <w:r>
        <w:rPr>
          <w:noProof/>
        </w:rPr>
        <w:t>2</w:t>
      </w:r>
      <w:r w:rsidRPr="005911E2">
        <w:noBreakHyphen/>
      </w:r>
      <w:r w:rsidRPr="005911E2">
        <w:rPr>
          <w:noProof/>
        </w:rPr>
        <w:t>5</w:t>
      </w:r>
      <w:r w:rsidRPr="005911E2">
        <w:t xml:space="preserve"> shows the corresponding exit rates for non-Indigenous people aged under 25</w:t>
      </w:r>
      <w:r w:rsidR="009D040F">
        <w:t xml:space="preserve"> years</w:t>
      </w:r>
      <w:r w:rsidRPr="005911E2">
        <w:t xml:space="preserve">. </w:t>
      </w:r>
      <w:r>
        <w:t>Due to</w:t>
      </w:r>
      <w:r w:rsidRPr="005911E2">
        <w:t xml:space="preserve"> the smaller population size, we do not distinguish </w:t>
      </w:r>
      <w:r>
        <w:t xml:space="preserve">between </w:t>
      </w:r>
      <w:r w:rsidRPr="005911E2">
        <w:t xml:space="preserve">those with and without children. The duration disaggregation is also different because of the different </w:t>
      </w:r>
      <w:r>
        <w:t>Compulsory Income Management</w:t>
      </w:r>
      <w:r w:rsidRPr="005911E2">
        <w:t xml:space="preserve"> rules faced by younger income support recipients. Here we distinguish those with durations </w:t>
      </w:r>
      <w:r w:rsidR="00BD10FF">
        <w:t xml:space="preserve">of </w:t>
      </w:r>
      <w:r w:rsidRPr="005911E2">
        <w:t>up to 3 months</w:t>
      </w:r>
      <w:r>
        <w:t xml:space="preserve">, </w:t>
      </w:r>
      <w:r w:rsidRPr="005911E2">
        <w:t xml:space="preserve">who would only be </w:t>
      </w:r>
      <w:r w:rsidR="005A58C3">
        <w:t>subject to</w:t>
      </w:r>
      <w:r w:rsidRPr="005911E2">
        <w:t xml:space="preserve"> </w:t>
      </w:r>
      <w:r>
        <w:t>Compulsory Income Management</w:t>
      </w:r>
      <w:r w:rsidRPr="005911E2">
        <w:t xml:space="preserve"> if they had </w:t>
      </w:r>
      <w:r>
        <w:t xml:space="preserve">a </w:t>
      </w:r>
      <w:r w:rsidRPr="005911E2">
        <w:t>previous recent spell of income support</w:t>
      </w:r>
      <w:r>
        <w:t>;</w:t>
      </w:r>
      <w:r w:rsidRPr="005911E2">
        <w:t xml:space="preserve"> those with at least 6 months of income support who would be subject to </w:t>
      </w:r>
      <w:r>
        <w:t>Compulsory Income Management;</w:t>
      </w:r>
      <w:r w:rsidRPr="005911E2">
        <w:t xml:space="preserve"> and those of intermediate duration who might become subject to </w:t>
      </w:r>
      <w:r>
        <w:t>Compulsory Income Management</w:t>
      </w:r>
      <w:r w:rsidRPr="005911E2">
        <w:t xml:space="preserve"> during the following quarter. </w:t>
      </w:r>
    </w:p>
    <w:p w:rsidR="0006274D" w:rsidRPr="005911E2" w:rsidRDefault="0006274D" w:rsidP="0095563C">
      <w:pPr>
        <w:pStyle w:val="tabfighead"/>
      </w:pPr>
      <w:bookmarkStart w:id="1207" w:name="_Ref320006467"/>
      <w:bookmarkStart w:id="1208" w:name="_Toc321254622"/>
      <w:bookmarkStart w:id="1209" w:name="_Toc328601680"/>
      <w:bookmarkStart w:id="1210" w:name="_Toc335915946"/>
      <w:r w:rsidRPr="005911E2">
        <w:t xml:space="preserve">Figure </w:t>
      </w:r>
      <w:r w:rsidR="00C7347D">
        <w:fldChar w:fldCharType="begin"/>
      </w:r>
      <w:r w:rsidR="00E74851">
        <w:instrText xml:space="preserve"> STYLEREF 1 \s </w:instrText>
      </w:r>
      <w:r w:rsidR="00C7347D">
        <w:fldChar w:fldCharType="separate"/>
      </w:r>
      <w:r w:rsidR="007D7E45">
        <w:rPr>
          <w:noProof/>
        </w:rPr>
        <w:t>12</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5</w:t>
      </w:r>
      <w:r w:rsidR="00C7347D">
        <w:fldChar w:fldCharType="end"/>
      </w:r>
      <w:bookmarkEnd w:id="1207"/>
      <w:r w:rsidRPr="005911E2">
        <w:tab/>
        <w:t xml:space="preserve">Exit rates from </w:t>
      </w:r>
      <w:r w:rsidR="004808B3">
        <w:t>Compulsory Income Management</w:t>
      </w:r>
      <w:r w:rsidRPr="005911E2">
        <w:t xml:space="preserve"> payments by duration on </w:t>
      </w:r>
      <w:r w:rsidR="00CD2C3D">
        <w:t>income support</w:t>
      </w:r>
      <w:r w:rsidRPr="005911E2">
        <w:t>: Non-Indigenous people aged under 25</w:t>
      </w:r>
      <w:bookmarkEnd w:id="1208"/>
      <w:bookmarkEnd w:id="1209"/>
      <w:r w:rsidR="009B364D">
        <w:t xml:space="preserve"> years</w:t>
      </w:r>
      <w:bookmarkEnd w:id="1210"/>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12-5 Exit rates from Compulsory Income Management payments by duration on income support: Non-Indigenous people aged under 25 years"/>
        <w:tblDescription w:val="Figure 12-5 Exit rates from Compulsory Income Management payments by duration on income support: Non-Indigenous people aged under 25 years"/>
      </w:tblPr>
      <w:tblGrid>
        <w:gridCol w:w="8561"/>
      </w:tblGrid>
      <w:tr w:rsidR="0095563C" w:rsidTr="009D15E2">
        <w:trPr>
          <w:tblHeader/>
        </w:trPr>
        <w:tc>
          <w:tcPr>
            <w:tcW w:w="8561" w:type="dxa"/>
          </w:tcPr>
          <w:p w:rsidR="0095563C" w:rsidRDefault="0095563C" w:rsidP="0095563C">
            <w:pPr>
              <w:pStyle w:val="Leftpara"/>
              <w:keepNext/>
              <w:ind w:left="0"/>
              <w:jc w:val="right"/>
            </w:pPr>
            <w:bookmarkStart w:id="1211" w:name="_MON_1393685122"/>
            <w:bookmarkEnd w:id="1211"/>
            <w:r>
              <w:rPr>
                <w:lang w:bidi="ar-SA"/>
              </w:rPr>
              <w:drawing>
                <wp:inline distT="0" distB="0" distL="0" distR="0" wp14:anchorId="5F9CC94A" wp14:editId="1CE2F5CD">
                  <wp:extent cx="4572000" cy="2743200"/>
                  <wp:effectExtent l="0" t="0" r="0" b="0"/>
                  <wp:docPr id="36" name="Picture 36" descr="Figure 12-5 Exit rates from Compulsory Income Management payments by duration on income support: Non-Indigenous people aged under 25 years" title="Figure 12-5 Exit rates from Compulsory Income Management payments by duration on income support: Non-Indigenous people aged under 2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tc>
      </w:tr>
    </w:tbl>
    <w:p w:rsidR="0006274D" w:rsidRDefault="0006274D" w:rsidP="0095563C">
      <w:pPr>
        <w:pStyle w:val="tablefootnotes"/>
      </w:pPr>
      <w:r w:rsidRPr="005911E2">
        <w:t xml:space="preserve">Note: </w:t>
      </w:r>
      <w:r w:rsidRPr="005911E2">
        <w:tab/>
        <w:t xml:space="preserve">The figure shows the </w:t>
      </w:r>
      <w:r w:rsidR="00BD10FF" w:rsidRPr="005911E2">
        <w:t>p</w:t>
      </w:r>
      <w:r w:rsidR="00BD10FF">
        <w:t>roportion</w:t>
      </w:r>
      <w:r w:rsidR="00BD10FF" w:rsidRPr="005911E2">
        <w:t xml:space="preserve"> </w:t>
      </w:r>
      <w:r w:rsidRPr="005911E2">
        <w:t xml:space="preserve">who were not receiving </w:t>
      </w:r>
      <w:r w:rsidR="004808B3">
        <w:t>Compulsory Income Management</w:t>
      </w:r>
      <w:r w:rsidRPr="005911E2">
        <w:t xml:space="preserve"> payments three months later (expressed as an exit percentage per day).</w:t>
      </w:r>
    </w:p>
    <w:p w:rsidR="008A1D49" w:rsidRPr="005911E2" w:rsidRDefault="008A1D49" w:rsidP="0095563C">
      <w:pPr>
        <w:pStyle w:val="tablefootnotes"/>
      </w:pPr>
      <w:r>
        <w:t>Population:</w:t>
      </w:r>
      <w:r>
        <w:tab/>
      </w:r>
      <w:r w:rsidRPr="005911E2">
        <w:t xml:space="preserve">The population is people under </w:t>
      </w:r>
      <w:r>
        <w:t>Age P</w:t>
      </w:r>
      <w:r w:rsidRPr="005911E2">
        <w:t xml:space="preserve">ension age receiving a </w:t>
      </w:r>
      <w:r>
        <w:t>Compulsory Income Management</w:t>
      </w:r>
      <w:r w:rsidRPr="005911E2">
        <w:t xml:space="preserve"> payment as at the indicated date.</w:t>
      </w:r>
    </w:p>
    <w:p w:rsidR="0006274D" w:rsidRPr="005911E2" w:rsidRDefault="0006274D" w:rsidP="00CF78DB">
      <w:pPr>
        <w:pStyle w:val="tablefootnotes"/>
      </w:pPr>
      <w:r w:rsidRPr="005911E2">
        <w:t xml:space="preserve">Source: </w:t>
      </w:r>
      <w:r w:rsidRPr="005911E2">
        <w:tab/>
      </w:r>
      <w:r w:rsidR="003C6901" w:rsidRPr="005911E2">
        <w:t>Derived from</w:t>
      </w:r>
      <w:r w:rsidRPr="005911E2">
        <w:t xml:space="preserve"> the FaHCSIA Housing Dataset.</w:t>
      </w:r>
    </w:p>
    <w:p w:rsidR="0006274D" w:rsidRPr="005911E2" w:rsidRDefault="0006274D" w:rsidP="00CF78DB">
      <w:pPr>
        <w:pStyle w:val="tablefootnotes"/>
      </w:pPr>
    </w:p>
    <w:p w:rsidR="00DD707C" w:rsidRPr="005911E2" w:rsidRDefault="00DD707C" w:rsidP="00DD707C">
      <w:pPr>
        <w:pStyle w:val="BodyText"/>
      </w:pPr>
      <w:r w:rsidRPr="005911E2">
        <w:t xml:space="preserve">As for the older population with children, there is some indication that exit rates for the long duration category were higher than average in the second half of 2010, but this is even harder to distinguish from the background volatility – and exit rates for the short duration also increased over this period. </w:t>
      </w:r>
    </w:p>
    <w:p w:rsidR="00DD707C" w:rsidRPr="005911E2" w:rsidRDefault="00DD707C" w:rsidP="00DD707C">
      <w:pPr>
        <w:pStyle w:val="BodyText"/>
      </w:pPr>
      <w:r w:rsidRPr="005911E2">
        <w:t xml:space="preserve">In summary, </w:t>
      </w:r>
      <w:r>
        <w:t xml:space="preserve">whilst </w:t>
      </w:r>
      <w:r w:rsidRPr="005911E2">
        <w:t xml:space="preserve">there are some weak indications that exit rates for the population groups subject to NIM might have increased around the time of </w:t>
      </w:r>
      <w:r>
        <w:t>its</w:t>
      </w:r>
      <w:r w:rsidRPr="005911E2">
        <w:t xml:space="preserve"> introduction, this increase could well be due to the natural volatility in exit rates over time. We cannot clearly conclude that the introduction of NIM led to an increase in exit rates from those payments subject to </w:t>
      </w:r>
      <w:r>
        <w:t>C</w:t>
      </w:r>
      <w:r w:rsidRPr="005911E2">
        <w:t xml:space="preserve">ompulsory </w:t>
      </w:r>
      <w:r>
        <w:t>I</w:t>
      </w:r>
      <w:r w:rsidRPr="005911E2">
        <w:t xml:space="preserve">ncome </w:t>
      </w:r>
      <w:r>
        <w:t>M</w:t>
      </w:r>
      <w:r w:rsidRPr="005911E2">
        <w:t>anagement.</w:t>
      </w:r>
    </w:p>
    <w:p w:rsidR="0006274D" w:rsidRPr="005911E2" w:rsidRDefault="008476E4" w:rsidP="0006274D">
      <w:pPr>
        <w:pStyle w:val="BodyText"/>
        <w:rPr>
          <w:lang w:eastAsia="en-US"/>
        </w:rPr>
      </w:pPr>
      <w:r w:rsidRPr="005911E2">
        <w:t xml:space="preserve">Figure </w:t>
      </w:r>
      <w:r w:rsidRPr="005911E2">
        <w:rPr>
          <w:noProof/>
        </w:rPr>
        <w:t>1</w:t>
      </w:r>
      <w:r w:rsidR="00DD707C">
        <w:rPr>
          <w:noProof/>
        </w:rPr>
        <w:t>2</w:t>
      </w:r>
      <w:r w:rsidRPr="005911E2">
        <w:noBreakHyphen/>
      </w:r>
      <w:r w:rsidRPr="005911E2">
        <w:rPr>
          <w:noProof/>
        </w:rPr>
        <w:t>6</w:t>
      </w:r>
      <w:r w:rsidR="006B0B1A" w:rsidRPr="005911E2">
        <w:rPr>
          <w:lang w:eastAsia="en-US"/>
        </w:rPr>
        <w:t xml:space="preserve"> </w:t>
      </w:r>
      <w:r w:rsidR="0006274D" w:rsidRPr="005911E2">
        <w:rPr>
          <w:lang w:eastAsia="en-US"/>
        </w:rPr>
        <w:t xml:space="preserve">shows, as a point of comparison, the </w:t>
      </w:r>
      <w:r w:rsidR="0006274D" w:rsidRPr="005911E2">
        <w:t xml:space="preserve">corresponding exit rates for the Indigenous population in receipt of </w:t>
      </w:r>
      <w:r w:rsidR="004808B3">
        <w:t>Compulsory Income Management</w:t>
      </w:r>
      <w:r w:rsidR="0006274D" w:rsidRPr="005911E2">
        <w:t xml:space="preserve"> income support payments aged 25</w:t>
      </w:r>
      <w:r w:rsidR="009D040F">
        <w:t xml:space="preserve"> to </w:t>
      </w:r>
      <w:r w:rsidR="0006274D" w:rsidRPr="005911E2">
        <w:t xml:space="preserve">64 </w:t>
      </w:r>
      <w:r w:rsidR="009D040F">
        <w:t xml:space="preserve">years </w:t>
      </w:r>
      <w:r w:rsidR="0006274D" w:rsidRPr="005911E2">
        <w:t xml:space="preserve">who </w:t>
      </w:r>
      <w:r w:rsidR="00BD10FF">
        <w:t xml:space="preserve">had </w:t>
      </w:r>
      <w:r w:rsidR="0006274D" w:rsidRPr="005911E2">
        <w:t>children living with them. For this group there is little evidence of an increase in the exit rate following the introduction of NIM in mid-2010. It is noteworthy that the Indigenous people who have been in receipt of their current income support payment for less than 9</w:t>
      </w:r>
      <w:r w:rsidR="00A573E6" w:rsidRPr="005911E2">
        <w:t xml:space="preserve"> month</w:t>
      </w:r>
      <w:r w:rsidR="0006274D" w:rsidRPr="005911E2">
        <w:t xml:space="preserve">s have a lower exit rate than non-Indigenous in this situation. However, for those </w:t>
      </w:r>
      <w:r w:rsidR="0015416E">
        <w:t>who have received income support for longer,</w:t>
      </w:r>
      <w:r w:rsidR="0006274D" w:rsidRPr="005911E2">
        <w:t xml:space="preserve"> the exit rates of </w:t>
      </w:r>
      <w:r w:rsidR="005911E2" w:rsidRPr="005911E2">
        <w:t>Indigenous</w:t>
      </w:r>
      <w:r w:rsidR="0006274D" w:rsidRPr="005911E2">
        <w:t xml:space="preserve"> and non-Indigenous with children are quite similar.</w:t>
      </w:r>
    </w:p>
    <w:p w:rsidR="0006274D" w:rsidRPr="005911E2" w:rsidRDefault="0006274D" w:rsidP="0095563C">
      <w:pPr>
        <w:pStyle w:val="tabfighead"/>
      </w:pPr>
      <w:bookmarkStart w:id="1212" w:name="_Ref321142645"/>
      <w:bookmarkStart w:id="1213" w:name="_Toc321254623"/>
      <w:bookmarkStart w:id="1214" w:name="_Toc328601681"/>
      <w:bookmarkStart w:id="1215" w:name="_Toc335915947"/>
      <w:r w:rsidRPr="005911E2">
        <w:t xml:space="preserve">Figure </w:t>
      </w:r>
      <w:r w:rsidR="00C7347D">
        <w:fldChar w:fldCharType="begin"/>
      </w:r>
      <w:r w:rsidR="00E74851">
        <w:instrText xml:space="preserve"> STYLEREF 1 \s </w:instrText>
      </w:r>
      <w:r w:rsidR="00C7347D">
        <w:fldChar w:fldCharType="separate"/>
      </w:r>
      <w:r w:rsidR="007D7E45">
        <w:rPr>
          <w:noProof/>
        </w:rPr>
        <w:t>12</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6</w:t>
      </w:r>
      <w:r w:rsidR="00C7347D">
        <w:fldChar w:fldCharType="end"/>
      </w:r>
      <w:bookmarkEnd w:id="1212"/>
      <w:r w:rsidRPr="005911E2">
        <w:tab/>
        <w:t xml:space="preserve">Exit rates from </w:t>
      </w:r>
      <w:r w:rsidR="004808B3">
        <w:t>Compulsory Income Management</w:t>
      </w:r>
      <w:r w:rsidRPr="005911E2">
        <w:t xml:space="preserve"> payments by duration on </w:t>
      </w:r>
      <w:r w:rsidR="00CD2C3D">
        <w:t>income support</w:t>
      </w:r>
      <w:r w:rsidRPr="005911E2">
        <w:t xml:space="preserve">: Indigenous aged 25-64 </w:t>
      </w:r>
      <w:r w:rsidR="009B364D">
        <w:t xml:space="preserve">years </w:t>
      </w:r>
      <w:r w:rsidRPr="005911E2">
        <w:t>with children</w:t>
      </w:r>
      <w:bookmarkEnd w:id="1213"/>
      <w:bookmarkEnd w:id="1214"/>
      <w:bookmarkEnd w:id="1215"/>
    </w:p>
    <w:tbl>
      <w:tblPr>
        <w:tblStyle w:val="TableGrid"/>
        <w:tblW w:w="0" w:type="auto"/>
        <w:tblInd w:w="675" w:type="dxa"/>
        <w:tblLook w:val="04A0" w:firstRow="1" w:lastRow="0" w:firstColumn="1" w:lastColumn="0" w:noHBand="0" w:noVBand="1"/>
        <w:tblCaption w:val="Figure 12-6 Exit rates from Compulsory Income Management payments by duration on income support: Indigenous aged 25-64 years with children"/>
        <w:tblDescription w:val="Figure 12-6 Exit rates from Compulsory Income Management payments by duration on income support: Indigenous aged 25-64 years with children"/>
      </w:tblPr>
      <w:tblGrid>
        <w:gridCol w:w="8420"/>
      </w:tblGrid>
      <w:tr w:rsidR="0095563C" w:rsidTr="009D15E2">
        <w:trPr>
          <w:tblHeader/>
        </w:trPr>
        <w:tc>
          <w:tcPr>
            <w:tcW w:w="8420" w:type="dxa"/>
            <w:tcBorders>
              <w:top w:val="nil"/>
              <w:left w:val="nil"/>
              <w:bottom w:val="nil"/>
              <w:right w:val="nil"/>
            </w:tcBorders>
          </w:tcPr>
          <w:p w:rsidR="0095563C" w:rsidRDefault="0095563C" w:rsidP="0095563C">
            <w:pPr>
              <w:pStyle w:val="Leftpara"/>
              <w:keepNext/>
              <w:ind w:left="0"/>
              <w:jc w:val="right"/>
            </w:pPr>
            <w:r>
              <w:rPr>
                <w:lang w:bidi="ar-SA"/>
              </w:rPr>
              <w:drawing>
                <wp:inline distT="0" distB="0" distL="0" distR="0" wp14:anchorId="6D5BE06A" wp14:editId="78BD312C">
                  <wp:extent cx="4572000" cy="2743200"/>
                  <wp:effectExtent l="0" t="0" r="0" b="0"/>
                  <wp:docPr id="38" name="Picture 38" descr="Figure 12-6 Exit rates from Compulsory Income Management payments by duration on income support: Indigenous aged 25-64 years with children" title="Figure 12-6 Exit rates from Compulsory Income Management payments by duration on income support: Indigenous aged 25-64 years with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tc>
      </w:tr>
    </w:tbl>
    <w:p w:rsidR="0006274D" w:rsidRPr="005911E2" w:rsidRDefault="0006274D" w:rsidP="0095563C">
      <w:pPr>
        <w:pStyle w:val="Leftpara"/>
        <w:keepNext/>
      </w:pPr>
    </w:p>
    <w:p w:rsidR="0006274D" w:rsidRDefault="0006274D" w:rsidP="0095563C">
      <w:pPr>
        <w:pStyle w:val="tablefootnotes"/>
      </w:pPr>
      <w:r w:rsidRPr="005911E2">
        <w:t xml:space="preserve">Note: </w:t>
      </w:r>
      <w:r w:rsidRPr="005911E2">
        <w:tab/>
        <w:t xml:space="preserve">The figure shows the </w:t>
      </w:r>
      <w:r w:rsidR="00BD10FF" w:rsidRPr="005911E2">
        <w:t>p</w:t>
      </w:r>
      <w:r w:rsidR="00BD10FF">
        <w:t xml:space="preserve">roportion </w:t>
      </w:r>
      <w:r w:rsidRPr="005911E2">
        <w:t xml:space="preserve">who were not receiving </w:t>
      </w:r>
      <w:r w:rsidR="004808B3">
        <w:t>Compulsory Income Management</w:t>
      </w:r>
      <w:r w:rsidRPr="005911E2">
        <w:t xml:space="preserve"> payments three months later (expressed as an exit percentage per day).</w:t>
      </w:r>
    </w:p>
    <w:p w:rsidR="00CD2AFC" w:rsidRPr="005911E2" w:rsidRDefault="00CD2AFC" w:rsidP="0095563C">
      <w:pPr>
        <w:pStyle w:val="tablefootnotes"/>
      </w:pPr>
      <w:r>
        <w:t>Population:</w:t>
      </w:r>
      <w:r>
        <w:tab/>
      </w:r>
      <w:r w:rsidRPr="005911E2">
        <w:t xml:space="preserve">The population is people under </w:t>
      </w:r>
      <w:r>
        <w:t>Age P</w:t>
      </w:r>
      <w:r w:rsidRPr="005911E2">
        <w:t xml:space="preserve">ension age receiving a </w:t>
      </w:r>
      <w:r>
        <w:t>Compulsory Income Management</w:t>
      </w:r>
      <w:r w:rsidRPr="005911E2">
        <w:t xml:space="preserve"> payment as at the indicated date.</w:t>
      </w:r>
    </w:p>
    <w:p w:rsidR="0006274D" w:rsidRPr="005911E2" w:rsidRDefault="0006274D" w:rsidP="00CF78DB">
      <w:pPr>
        <w:pStyle w:val="tablefootnotes"/>
      </w:pPr>
      <w:r w:rsidRPr="005911E2">
        <w:t xml:space="preserve">Source: </w:t>
      </w:r>
      <w:r w:rsidRPr="005911E2">
        <w:tab/>
      </w:r>
      <w:r w:rsidR="003C6901" w:rsidRPr="005911E2">
        <w:t>Derived</w:t>
      </w:r>
      <w:r w:rsidRPr="005911E2">
        <w:t xml:space="preserve"> from the FaHCSIA Housing Dataset.</w:t>
      </w:r>
    </w:p>
    <w:p w:rsidR="0006274D" w:rsidRPr="005911E2" w:rsidRDefault="0006274D" w:rsidP="00616B0F">
      <w:pPr>
        <w:pStyle w:val="Heading2"/>
      </w:pPr>
      <w:bookmarkStart w:id="1216" w:name="_Toc321225172"/>
      <w:bookmarkStart w:id="1217" w:name="_Toc321254516"/>
      <w:bookmarkStart w:id="1218" w:name="_Toc328601551"/>
      <w:bookmarkStart w:id="1219" w:name="_Toc329870432"/>
      <w:bookmarkStart w:id="1220" w:name="_Toc335915818"/>
      <w:r w:rsidRPr="005911E2">
        <w:t>Conclusion</w:t>
      </w:r>
      <w:bookmarkEnd w:id="1216"/>
      <w:bookmarkEnd w:id="1217"/>
      <w:bookmarkEnd w:id="1218"/>
      <w:bookmarkEnd w:id="1219"/>
      <w:bookmarkEnd w:id="1220"/>
    </w:p>
    <w:p w:rsidR="0006274D" w:rsidRDefault="0006274D" w:rsidP="0006274D">
      <w:pPr>
        <w:pStyle w:val="BodyText"/>
        <w:rPr>
          <w:lang w:eastAsia="en-US"/>
        </w:rPr>
      </w:pPr>
      <w:r w:rsidRPr="005911E2">
        <w:rPr>
          <w:lang w:eastAsia="en-US"/>
        </w:rPr>
        <w:t xml:space="preserve">Although the program logic predicts that the move off welfare and into work will be a </w:t>
      </w:r>
      <w:r w:rsidR="00D3222D">
        <w:rPr>
          <w:lang w:eastAsia="en-US"/>
        </w:rPr>
        <w:t>long-term</w:t>
      </w:r>
      <w:r w:rsidRPr="005911E2">
        <w:rPr>
          <w:lang w:eastAsia="en-US"/>
        </w:rPr>
        <w:t xml:space="preserve"> effect of </w:t>
      </w:r>
      <w:r w:rsidR="00F878E4">
        <w:rPr>
          <w:lang w:eastAsia="en-US"/>
        </w:rPr>
        <w:t>income management</w:t>
      </w:r>
      <w:r w:rsidRPr="005911E2">
        <w:rPr>
          <w:lang w:eastAsia="en-US"/>
        </w:rPr>
        <w:t xml:space="preserve">, the introduction of the program may </w:t>
      </w:r>
      <w:r w:rsidR="00013206" w:rsidRPr="005911E2">
        <w:rPr>
          <w:lang w:eastAsia="en-US"/>
        </w:rPr>
        <w:t xml:space="preserve">also </w:t>
      </w:r>
      <w:r w:rsidRPr="005911E2">
        <w:rPr>
          <w:lang w:eastAsia="en-US"/>
        </w:rPr>
        <w:t xml:space="preserve">have </w:t>
      </w:r>
      <w:r w:rsidR="00013206" w:rsidRPr="005911E2">
        <w:rPr>
          <w:lang w:eastAsia="en-US"/>
        </w:rPr>
        <w:t xml:space="preserve">had a </w:t>
      </w:r>
      <w:r w:rsidR="00D3222D">
        <w:rPr>
          <w:lang w:eastAsia="en-US"/>
        </w:rPr>
        <w:t>short-term</w:t>
      </w:r>
      <w:r w:rsidR="00013206" w:rsidRPr="005911E2">
        <w:rPr>
          <w:lang w:eastAsia="en-US"/>
        </w:rPr>
        <w:t xml:space="preserve"> impact of encouraging some </w:t>
      </w:r>
      <w:r w:rsidRPr="005911E2">
        <w:rPr>
          <w:lang w:eastAsia="en-US"/>
        </w:rPr>
        <w:t>income support recipients to move of</w:t>
      </w:r>
      <w:r w:rsidR="0015416E">
        <w:rPr>
          <w:lang w:eastAsia="en-US"/>
        </w:rPr>
        <w:t>f</w:t>
      </w:r>
      <w:r w:rsidRPr="005911E2">
        <w:rPr>
          <w:lang w:eastAsia="en-US"/>
        </w:rPr>
        <w:t xml:space="preserve"> income support into work</w:t>
      </w:r>
      <w:r w:rsidR="00013206" w:rsidRPr="005911E2">
        <w:rPr>
          <w:lang w:eastAsia="en-US"/>
        </w:rPr>
        <w:t xml:space="preserve"> (or off </w:t>
      </w:r>
      <w:r w:rsidR="00BD10FF">
        <w:rPr>
          <w:lang w:eastAsia="en-US"/>
        </w:rPr>
        <w:t>income support</w:t>
      </w:r>
      <w:r w:rsidR="00BD10FF" w:rsidRPr="005911E2">
        <w:rPr>
          <w:lang w:eastAsia="en-US"/>
        </w:rPr>
        <w:t xml:space="preserve"> </w:t>
      </w:r>
      <w:r w:rsidR="00013206" w:rsidRPr="005911E2">
        <w:rPr>
          <w:lang w:eastAsia="en-US"/>
        </w:rPr>
        <w:t>through other means)</w:t>
      </w:r>
      <w:r w:rsidRPr="005911E2">
        <w:rPr>
          <w:lang w:eastAsia="en-US"/>
        </w:rPr>
        <w:t>.</w:t>
      </w:r>
    </w:p>
    <w:p w:rsidR="0006274D" w:rsidRDefault="0006274D" w:rsidP="0006274D">
      <w:pPr>
        <w:pStyle w:val="BodyText"/>
      </w:pPr>
      <w:r w:rsidRPr="005911E2">
        <w:rPr>
          <w:lang w:eastAsia="en-US"/>
        </w:rPr>
        <w:t xml:space="preserve">However, the analysis of administrative data suggests that </w:t>
      </w:r>
      <w:r w:rsidRPr="005911E2">
        <w:t>although there are some weak indications that exit rates for the population groups subject to NIM might have increased around the time of the introduction of NIM, this increase could well be due to the natural volatility in exit rates over time. We cannot clearly conclude that the introduction of NIM led to an increase in exit rates from those payments subject to compulsory income management.</w:t>
      </w:r>
    </w:p>
    <w:p w:rsidR="0006274D" w:rsidRDefault="0006274D" w:rsidP="00BA02DF">
      <w:pPr>
        <w:pStyle w:val="BodyText"/>
        <w:rPr>
          <w:lang w:eastAsia="en-US"/>
        </w:rPr>
      </w:pPr>
      <w:r w:rsidRPr="005911E2">
        <w:rPr>
          <w:lang w:eastAsia="en-US"/>
        </w:rPr>
        <w:t xml:space="preserve">Future evaluation reports will track the duration of income support receipt for different groups over time to identify whether there is a </w:t>
      </w:r>
      <w:r w:rsidR="00D3222D">
        <w:rPr>
          <w:lang w:eastAsia="en-US"/>
        </w:rPr>
        <w:t>long-term</w:t>
      </w:r>
      <w:r w:rsidRPr="005911E2">
        <w:rPr>
          <w:lang w:eastAsia="en-US"/>
        </w:rPr>
        <w:t xml:space="preserve"> effect. </w:t>
      </w:r>
    </w:p>
    <w:p w:rsidR="00C0582B" w:rsidRPr="005911E2" w:rsidRDefault="00C0582B" w:rsidP="00C0582B">
      <w:pPr>
        <w:pStyle w:val="chapterend"/>
      </w:pPr>
    </w:p>
    <w:p w:rsidR="00D2121D" w:rsidRPr="005911E2" w:rsidRDefault="00D2121D" w:rsidP="00D2121D">
      <w:pPr>
        <w:spacing w:after="0" w:line="240" w:lineRule="auto"/>
        <w:ind w:left="0"/>
        <w:jc w:val="left"/>
        <w:sectPr w:rsidR="00D2121D" w:rsidRPr="005911E2" w:rsidSect="00F357A2">
          <w:pgSz w:w="11906" w:h="16838" w:code="9"/>
          <w:pgMar w:top="1418" w:right="1797" w:bottom="1418" w:left="1230" w:header="567" w:footer="284" w:gutter="0"/>
          <w:cols w:space="708"/>
          <w:docGrid w:linePitch="360"/>
        </w:sectPr>
      </w:pPr>
    </w:p>
    <w:p w:rsidR="00220531" w:rsidRPr="005911E2" w:rsidRDefault="00220531" w:rsidP="00220531">
      <w:pPr>
        <w:pStyle w:val="Heading1"/>
      </w:pPr>
      <w:bookmarkStart w:id="1221" w:name="_Toc328601552"/>
      <w:bookmarkStart w:id="1222" w:name="_Toc329870433"/>
      <w:bookmarkStart w:id="1223" w:name="_Toc335915819"/>
      <w:r w:rsidRPr="005911E2">
        <w:rPr>
          <w:noProof/>
        </w:rPr>
        <w:t>Conclusion</w:t>
      </w:r>
      <w:bookmarkEnd w:id="1221"/>
      <w:bookmarkEnd w:id="1222"/>
      <w:bookmarkEnd w:id="1223"/>
    </w:p>
    <w:p w:rsidR="00D96A58" w:rsidRDefault="00220531" w:rsidP="00F841DA">
      <w:pPr>
        <w:pStyle w:val="Heading2"/>
      </w:pPr>
      <w:bookmarkStart w:id="1224" w:name="_Toc321225174"/>
      <w:bookmarkStart w:id="1225" w:name="_Toc321254518"/>
      <w:bookmarkStart w:id="1226" w:name="_Toc321761660"/>
      <w:bookmarkStart w:id="1227" w:name="_Toc328601553"/>
      <w:bookmarkStart w:id="1228" w:name="_Toc329870434"/>
      <w:bookmarkStart w:id="1229" w:name="_Toc335915820"/>
      <w:r w:rsidRPr="005911E2">
        <w:t>Introduction</w:t>
      </w:r>
      <w:bookmarkEnd w:id="1224"/>
      <w:bookmarkEnd w:id="1225"/>
      <w:bookmarkEnd w:id="1226"/>
      <w:bookmarkEnd w:id="1227"/>
      <w:bookmarkEnd w:id="1228"/>
      <w:bookmarkEnd w:id="1229"/>
    </w:p>
    <w:p w:rsidR="00220531" w:rsidRPr="005911E2" w:rsidRDefault="00220531" w:rsidP="00220531">
      <w:pPr>
        <w:pStyle w:val="BodyText"/>
      </w:pPr>
      <w:r w:rsidRPr="005911E2">
        <w:t>This chapter brings together the findings from the different components of the evaluation. These findings are based upon a study of over 800 people in the</w:t>
      </w:r>
      <w:r w:rsidR="006435C8">
        <w:t xml:space="preserve"> Northern Territory </w:t>
      </w:r>
      <w:r w:rsidRPr="005911E2">
        <w:t xml:space="preserve">who are </w:t>
      </w:r>
      <w:r w:rsidR="00051CDC">
        <w:t>subject to</w:t>
      </w:r>
      <w:r w:rsidR="00051CDC" w:rsidRPr="005911E2">
        <w:t xml:space="preserve"> </w:t>
      </w:r>
      <w:r w:rsidR="00F878E4">
        <w:t>income management</w:t>
      </w:r>
      <w:r w:rsidR="0015416E">
        <w:t>;</w:t>
      </w:r>
      <w:r w:rsidRPr="005911E2">
        <w:t xml:space="preserve"> a comparison group </w:t>
      </w:r>
      <w:r w:rsidR="0015416E">
        <w:t xml:space="preserve">of </w:t>
      </w:r>
      <w:r w:rsidRPr="005911E2">
        <w:t xml:space="preserve">income support recipients outside of the </w:t>
      </w:r>
      <w:r w:rsidR="00691035">
        <w:t>Northern Territory;</w:t>
      </w:r>
      <w:r w:rsidRPr="005911E2">
        <w:t xml:space="preserve"> detailed analysis of Centrelink administrative data on income support recipients</w:t>
      </w:r>
      <w:r w:rsidR="0015416E">
        <w:t>;</w:t>
      </w:r>
      <w:r w:rsidRPr="005911E2">
        <w:t xml:space="preserve"> and interviews with Centrelink staff, those involved in providing </w:t>
      </w:r>
      <w:r w:rsidR="0015416E">
        <w:t>m</w:t>
      </w:r>
      <w:r w:rsidRPr="005911E2">
        <w:t xml:space="preserve">oney </w:t>
      </w:r>
      <w:r w:rsidR="0015416E">
        <w:t>m</w:t>
      </w:r>
      <w:r w:rsidRPr="005911E2">
        <w:t xml:space="preserve">anagement and financial counselling services, child protection workers and merchants in the </w:t>
      </w:r>
      <w:r w:rsidR="006435C8">
        <w:t>Northern Territory.</w:t>
      </w:r>
      <w:r w:rsidRPr="005911E2">
        <w:t xml:space="preserve"> The evaluation has a greater breadth and depth of data available to it than any of the previous evaluations of </w:t>
      </w:r>
      <w:r w:rsidR="00F878E4">
        <w:t>income management</w:t>
      </w:r>
      <w:r w:rsidRPr="005911E2">
        <w:t xml:space="preserve"> in the </w:t>
      </w:r>
      <w:r w:rsidR="006435C8">
        <w:t>Northern Territory.</w:t>
      </w:r>
      <w:r w:rsidRPr="005911E2">
        <w:t xml:space="preserve"> This has allowed a number of findings to be made about the impact of NIM and how it has operated in the first 12-15 months after its implementation. The findings primarily relate to short-run and early implementation effects</w:t>
      </w:r>
      <w:r w:rsidR="0015416E">
        <w:t xml:space="preserve">; however, </w:t>
      </w:r>
      <w:r w:rsidRPr="005911E2">
        <w:t>because many of those on NIM were previously on the NTER IM, the outcomes for a significant proportion effectively represent medium-term effects.</w:t>
      </w:r>
    </w:p>
    <w:p w:rsidR="00220531" w:rsidRPr="005911E2" w:rsidRDefault="00220531" w:rsidP="00220531">
      <w:pPr>
        <w:pStyle w:val="BodyText"/>
      </w:pPr>
      <w:r w:rsidRPr="005911E2">
        <w:t>Th</w:t>
      </w:r>
      <w:r w:rsidR="0015416E">
        <w:t>is</w:t>
      </w:r>
      <w:r w:rsidRPr="005911E2">
        <w:t xml:space="preserve"> chapter begins by addressing the implications of the findings for the evaluation questions which were set out in the 2010 </w:t>
      </w:r>
      <w:r w:rsidRPr="005911E2">
        <w:rPr>
          <w:i/>
        </w:rPr>
        <w:t xml:space="preserve">Evaluation Framework for New Income Management </w:t>
      </w:r>
      <w:r w:rsidR="0015416E">
        <w:t xml:space="preserve">that </w:t>
      </w:r>
      <w:r w:rsidRPr="005911E2">
        <w:t>are guiding the evaluation</w:t>
      </w:r>
      <w:r w:rsidR="00BD5C93">
        <w:t xml:space="preserve"> </w:t>
      </w:r>
      <w:r w:rsidR="00BD5C93" w:rsidRPr="00F841DA">
        <w:t>(SPRC &amp; AIFS, 2010)</w:t>
      </w:r>
      <w:r w:rsidRPr="005911E2">
        <w:rPr>
          <w:i/>
        </w:rPr>
        <w:t xml:space="preserve">. </w:t>
      </w:r>
      <w:r w:rsidRPr="005911E2">
        <w:t xml:space="preserve">These findings are drawn together to form an initial evaluation of the program. In doing so the multiple sources of data have been used to cross-validate the key findings. </w:t>
      </w:r>
    </w:p>
    <w:p w:rsidR="00220531" w:rsidRPr="005911E2" w:rsidRDefault="00220531" w:rsidP="00220531">
      <w:pPr>
        <w:pStyle w:val="BodyText"/>
      </w:pPr>
      <w:r w:rsidRPr="005911E2">
        <w:t>A strong theme which emerges from the evaluation is that there is a wide range of views about</w:t>
      </w:r>
      <w:r w:rsidR="00051CDC">
        <w:t>,</w:t>
      </w:r>
      <w:r w:rsidRPr="005911E2">
        <w:t xml:space="preserve"> and experiences of</w:t>
      </w:r>
      <w:r w:rsidR="00051CDC">
        <w:t>,</w:t>
      </w:r>
      <w:r w:rsidRPr="005911E2">
        <w:t xml:space="preserve"> </w:t>
      </w:r>
      <w:r w:rsidR="00F878E4">
        <w:t>income management</w:t>
      </w:r>
      <w:r w:rsidRPr="005911E2">
        <w:t>. This means that it is not possible to draw simple overarching conclusions about the impact of NIM</w:t>
      </w:r>
      <w:r w:rsidR="00BD5C93">
        <w:t>.</w:t>
      </w:r>
      <w:r w:rsidRPr="005911E2">
        <w:t xml:space="preserve"> </w:t>
      </w:r>
      <w:r w:rsidR="00BD5C93">
        <w:t>B</w:t>
      </w:r>
      <w:r w:rsidRPr="005911E2">
        <w:t xml:space="preserve">oth the positive and negative </w:t>
      </w:r>
      <w:r w:rsidR="00BD5C93">
        <w:t>aspects</w:t>
      </w:r>
      <w:r w:rsidRPr="005911E2">
        <w:t xml:space="preserve"> need to be considered in order to mak</w:t>
      </w:r>
      <w:r w:rsidR="007F10DA">
        <w:t>e an overall assessment of</w:t>
      </w:r>
      <w:r w:rsidRPr="005911E2">
        <w:t xml:space="preserve"> the effectiveness of NIM in achieving the objectives set for it. Ultimately these judgements need to take into account the program costs. </w:t>
      </w:r>
    </w:p>
    <w:p w:rsidR="00D96A58" w:rsidRDefault="00220531" w:rsidP="00226A3E">
      <w:pPr>
        <w:pStyle w:val="Heading2"/>
      </w:pPr>
      <w:bookmarkStart w:id="1230" w:name="_Toc321225175"/>
      <w:bookmarkStart w:id="1231" w:name="_Toc321254519"/>
      <w:bookmarkStart w:id="1232" w:name="_Toc321761661"/>
      <w:bookmarkStart w:id="1233" w:name="_Toc328601554"/>
      <w:bookmarkStart w:id="1234" w:name="_Toc329870435"/>
      <w:bookmarkStart w:id="1235" w:name="_Toc335915821"/>
      <w:r w:rsidRPr="005911E2">
        <w:t>Implications of findings for the evaluation questions</w:t>
      </w:r>
      <w:bookmarkEnd w:id="1230"/>
      <w:bookmarkEnd w:id="1231"/>
      <w:bookmarkEnd w:id="1232"/>
      <w:bookmarkEnd w:id="1233"/>
      <w:bookmarkEnd w:id="1234"/>
      <w:bookmarkEnd w:id="1235"/>
    </w:p>
    <w:p w:rsidR="00220531" w:rsidRPr="005911E2" w:rsidRDefault="00220531" w:rsidP="00220531">
      <w:pPr>
        <w:pStyle w:val="BodyText1"/>
        <w:rPr>
          <w:lang w:bidi="ar-SA"/>
        </w:rPr>
      </w:pPr>
      <w:r w:rsidRPr="005911E2">
        <w:t xml:space="preserve">The </w:t>
      </w:r>
      <w:r w:rsidR="003165F0" w:rsidRPr="005911E2">
        <w:rPr>
          <w:i/>
        </w:rPr>
        <w:t>Evaluation Framework for New Income Management</w:t>
      </w:r>
      <w:r w:rsidRPr="005911E2">
        <w:t xml:space="preserve"> identified a number of specific questions to be considered in the evaluation. These are individually considered in this section. </w:t>
      </w:r>
    </w:p>
    <w:p w:rsidR="00220531" w:rsidRPr="005911E2" w:rsidRDefault="00220531" w:rsidP="00220531">
      <w:pPr>
        <w:pStyle w:val="Heading3"/>
      </w:pPr>
      <w:r w:rsidRPr="005911E2">
        <w:t>Broad overarching questions across all four streams of NIM</w:t>
      </w:r>
    </w:p>
    <w:p w:rsidR="00220531" w:rsidRPr="005911E2" w:rsidRDefault="00220531" w:rsidP="00220531">
      <w:pPr>
        <w:pStyle w:val="Heading7"/>
      </w:pPr>
      <w:r w:rsidRPr="005911E2">
        <w:t xml:space="preserve">Process evaluation </w:t>
      </w:r>
    </w:p>
    <w:p w:rsidR="00220531" w:rsidRPr="005911E2" w:rsidRDefault="00220531" w:rsidP="00220531">
      <w:pPr>
        <w:pStyle w:val="evalq"/>
      </w:pPr>
      <w:r w:rsidRPr="005911E2">
        <w:t>1.</w:t>
      </w:r>
      <w:r w:rsidRPr="005911E2">
        <w:tab/>
        <w:t xml:space="preserve">How effectively has NIM been administered and implemented? </w:t>
      </w:r>
    </w:p>
    <w:p w:rsidR="00220531" w:rsidRPr="005911E2" w:rsidRDefault="00220531" w:rsidP="00220531">
      <w:pPr>
        <w:pStyle w:val="BodyText1"/>
      </w:pPr>
      <w:r w:rsidRPr="005911E2">
        <w:t>Concern was expressed by some intermediaries</w:t>
      </w:r>
      <w:r w:rsidR="00E27F0E" w:rsidRPr="005911E2">
        <w:t xml:space="preserve"> who were directly involved in implementing N</w:t>
      </w:r>
      <w:r w:rsidR="004204F3" w:rsidRPr="005911E2">
        <w:t>I</w:t>
      </w:r>
      <w:r w:rsidR="00E27F0E" w:rsidRPr="005911E2">
        <w:t>M</w:t>
      </w:r>
      <w:r w:rsidR="0015416E">
        <w:t>,</w:t>
      </w:r>
      <w:r w:rsidR="00E27F0E" w:rsidRPr="005911E2">
        <w:t xml:space="preserve"> </w:t>
      </w:r>
      <w:r w:rsidRPr="005911E2">
        <w:t>as well as other stakeholders</w:t>
      </w:r>
      <w:r w:rsidR="0015416E">
        <w:t>,</w:t>
      </w:r>
      <w:r w:rsidRPr="005911E2">
        <w:t xml:space="preserve"> that services were not </w:t>
      </w:r>
      <w:r w:rsidR="00E27F0E" w:rsidRPr="005911E2">
        <w:t xml:space="preserve">well </w:t>
      </w:r>
      <w:r w:rsidRPr="005911E2">
        <w:t>prepared for the introduction of NIM</w:t>
      </w:r>
      <w:r w:rsidR="0015416E">
        <w:t xml:space="preserve">. This included </w:t>
      </w:r>
      <w:r w:rsidRPr="005911E2">
        <w:t xml:space="preserve">a lack of consultation with NGOs and other services </w:t>
      </w:r>
      <w:r w:rsidR="00B5351D" w:rsidRPr="005911E2">
        <w:t>that</w:t>
      </w:r>
      <w:r w:rsidRPr="005911E2">
        <w:t xml:space="preserve"> were likely to be impacted by the introduction of NIM. </w:t>
      </w:r>
    </w:p>
    <w:p w:rsidR="00220531" w:rsidRPr="005911E2" w:rsidRDefault="00220531" w:rsidP="00220531">
      <w:pPr>
        <w:pStyle w:val="BodyText1"/>
      </w:pPr>
      <w:r w:rsidRPr="005911E2">
        <w:t xml:space="preserve">Centrelink staff who responded to the intermediaries’ survey thought that the information provided to people subject to </w:t>
      </w:r>
      <w:r w:rsidR="00F878E4">
        <w:t>income management</w:t>
      </w:r>
      <w:r w:rsidRPr="005911E2">
        <w:t xml:space="preserve"> was sufficient to inform them of how it works and their rights</w:t>
      </w:r>
      <w:r w:rsidR="00E27F0E" w:rsidRPr="005911E2">
        <w:t>. However,</w:t>
      </w:r>
      <w:r w:rsidRPr="005911E2">
        <w:t xml:space="preserve"> many people subject to </w:t>
      </w:r>
      <w:r w:rsidR="00F878E4">
        <w:t>income management</w:t>
      </w:r>
      <w:r w:rsidRPr="005911E2">
        <w:t xml:space="preserve"> reported a lack understanding of the measure, how it operates and why they have been placed on </w:t>
      </w:r>
      <w:r w:rsidR="0015416E">
        <w:t>it</w:t>
      </w:r>
      <w:r w:rsidRPr="005911E2">
        <w:t xml:space="preserve">. </w:t>
      </w:r>
    </w:p>
    <w:p w:rsidR="00220531" w:rsidRPr="005911E2" w:rsidRDefault="00220531" w:rsidP="00220531">
      <w:pPr>
        <w:pStyle w:val="BodyText1"/>
      </w:pPr>
      <w:r w:rsidRPr="005911E2">
        <w:t xml:space="preserve">Intermediaries asserted that the introduction of the BasicsCard has made living with </w:t>
      </w:r>
      <w:r w:rsidR="00F878E4">
        <w:t>income management</w:t>
      </w:r>
      <w:r w:rsidRPr="005911E2">
        <w:t xml:space="preserve"> a lot easier. However, they were also aware of the frustrations of many of those subject to </w:t>
      </w:r>
      <w:r w:rsidR="00F878E4">
        <w:t>income management</w:t>
      </w:r>
      <w:r w:rsidRPr="005911E2">
        <w:t xml:space="preserve">, about the card and its administration. Those subject to </w:t>
      </w:r>
      <w:r w:rsidR="00F878E4">
        <w:t>income management</w:t>
      </w:r>
      <w:r w:rsidRPr="005911E2">
        <w:t xml:space="preserve"> also had mixed views on the benefits of the BasicsCard.</w:t>
      </w:r>
    </w:p>
    <w:p w:rsidR="00051CDC" w:rsidRDefault="00220531" w:rsidP="00051CDC">
      <w:pPr>
        <w:pStyle w:val="BodyText1"/>
      </w:pPr>
      <w:r w:rsidRPr="005911E2">
        <w:t xml:space="preserve">There also appear to be some significant issues around the implementation of </w:t>
      </w:r>
      <w:r w:rsidR="0015416E">
        <w:t>m</w:t>
      </w:r>
      <w:r w:rsidRPr="005911E2">
        <w:t xml:space="preserve">oney </w:t>
      </w:r>
      <w:r w:rsidR="0015416E">
        <w:t>m</w:t>
      </w:r>
      <w:r w:rsidRPr="005911E2">
        <w:t xml:space="preserve">anagement and </w:t>
      </w:r>
      <w:r w:rsidR="00336C66">
        <w:t>the Matched</w:t>
      </w:r>
      <w:r w:rsidR="00F57BEF">
        <w:t xml:space="preserve"> Savings Payment</w:t>
      </w:r>
      <w:r w:rsidR="0015416E">
        <w:t xml:space="preserve"> </w:t>
      </w:r>
      <w:r w:rsidRPr="005911E2">
        <w:t xml:space="preserve">aspects of NIM. </w:t>
      </w:r>
    </w:p>
    <w:p w:rsidR="00051CDC" w:rsidRPr="005911E2" w:rsidRDefault="00051CDC" w:rsidP="00051CDC">
      <w:pPr>
        <w:pStyle w:val="BodyText1"/>
      </w:pPr>
      <w:r>
        <w:t>Overall</w:t>
      </w:r>
      <w:r w:rsidR="0015416E">
        <w:t>,</w:t>
      </w:r>
      <w:r w:rsidRPr="005911E2">
        <w:t xml:space="preserve"> the implementation of NIM, the rollout progressed relatively smoothly with no major challenges or impediments from an administrative point of view. </w:t>
      </w:r>
    </w:p>
    <w:p w:rsidR="00220531" w:rsidRPr="005911E2" w:rsidRDefault="00220531" w:rsidP="00220531">
      <w:pPr>
        <w:pStyle w:val="evalq"/>
      </w:pPr>
      <w:r w:rsidRPr="005911E2">
        <w:t>(a)</w:t>
      </w:r>
      <w:r w:rsidRPr="005911E2">
        <w:tab/>
        <w:t xml:space="preserve">What have been the resource implications of implementing the program? </w:t>
      </w:r>
    </w:p>
    <w:p w:rsidR="00220531" w:rsidRPr="005911E2" w:rsidRDefault="00220531" w:rsidP="00220531">
      <w:pPr>
        <w:pStyle w:val="BodyText1"/>
      </w:pPr>
      <w:r w:rsidRPr="005911E2">
        <w:t xml:space="preserve">This question cannot be answered in a substantive way at this stage. However, it is clear from interviews with Centrelink staff in particular that </w:t>
      </w:r>
      <w:r w:rsidR="00F878E4">
        <w:t>income management</w:t>
      </w:r>
      <w:r w:rsidRPr="005911E2">
        <w:t xml:space="preserve"> is a resource intensive program requiring sophisticated infrastructure and set up costs as well as a higher level of engagement between Centrelink and clients subject to </w:t>
      </w:r>
      <w:r w:rsidR="00F878E4">
        <w:t>income management</w:t>
      </w:r>
      <w:r w:rsidR="0015416E">
        <w:t>;</w:t>
      </w:r>
      <w:r w:rsidRPr="005911E2">
        <w:t xml:space="preserve"> and the provision of a range of other services and advice. </w:t>
      </w:r>
      <w:r w:rsidR="00E27F0E" w:rsidRPr="005911E2">
        <w:t>Even so there appear to be gaps in the level and coordination of resources, in particular in relation to support services for vulnerable clients</w:t>
      </w:r>
      <w:r w:rsidR="009F2FEF" w:rsidRPr="005911E2">
        <w:t xml:space="preserve"> and in relation to obtaining exemptions</w:t>
      </w:r>
      <w:r w:rsidR="00E27F0E" w:rsidRPr="005911E2">
        <w:t xml:space="preserve">. </w:t>
      </w:r>
    </w:p>
    <w:p w:rsidR="00220531" w:rsidRPr="005911E2" w:rsidRDefault="00220531" w:rsidP="00220531">
      <w:pPr>
        <w:pStyle w:val="BodyText1"/>
      </w:pPr>
      <w:r w:rsidRPr="005911E2">
        <w:t xml:space="preserve">The reverse burden of proof associated with exemptions under NIM has also </w:t>
      </w:r>
      <w:r w:rsidR="00D41615" w:rsidRPr="005911E2">
        <w:t>place</w:t>
      </w:r>
      <w:r w:rsidR="00D41615">
        <w:t>s</w:t>
      </w:r>
      <w:r w:rsidR="00D41615" w:rsidRPr="005911E2">
        <w:t xml:space="preserve"> </w:t>
      </w:r>
      <w:r w:rsidRPr="005911E2">
        <w:t xml:space="preserve">demands on </w:t>
      </w:r>
      <w:r w:rsidR="00D41615">
        <w:t>the skills and</w:t>
      </w:r>
      <w:r w:rsidR="00D41615" w:rsidRPr="005911E2">
        <w:t xml:space="preserve"> </w:t>
      </w:r>
      <w:r w:rsidRPr="005911E2">
        <w:t xml:space="preserve">resources of people who wish to gain an exemption from </w:t>
      </w:r>
      <w:r w:rsidR="00BD5C93">
        <w:t>being subject to income management</w:t>
      </w:r>
      <w:r w:rsidRPr="005911E2">
        <w:t>.</w:t>
      </w:r>
    </w:p>
    <w:p w:rsidR="00220531" w:rsidRPr="005911E2" w:rsidRDefault="00220531" w:rsidP="00220531">
      <w:pPr>
        <w:pStyle w:val="evalq"/>
      </w:pPr>
      <w:r w:rsidRPr="005911E2">
        <w:t>(b)</w:t>
      </w:r>
      <w:r w:rsidRPr="005911E2">
        <w:tab/>
        <w:t xml:space="preserve">Have suitable individuals and groups been targeted by NIM? </w:t>
      </w:r>
    </w:p>
    <w:p w:rsidR="00220531" w:rsidRPr="005911E2" w:rsidRDefault="00220531" w:rsidP="00220531">
      <w:pPr>
        <w:pStyle w:val="BodyText1"/>
      </w:pPr>
      <w:r w:rsidRPr="005911E2">
        <w:t xml:space="preserve">A substantial proportion of people who are subject to </w:t>
      </w:r>
      <w:r w:rsidR="004808B3">
        <w:t>Compulsory Income Management</w:t>
      </w:r>
      <w:r w:rsidRPr="005911E2">
        <w:t xml:space="preserve"> appear to be competent in managing their </w:t>
      </w:r>
      <w:r w:rsidR="00365DF1" w:rsidRPr="005911E2">
        <w:t>finances</w:t>
      </w:r>
      <w:r w:rsidRPr="005911E2">
        <w:t>, are not subject to financial harassment</w:t>
      </w:r>
      <w:r w:rsidR="00602985">
        <w:t>,</w:t>
      </w:r>
      <w:r w:rsidRPr="005911E2">
        <w:t xml:space="preserve"> and live in families where alcohol, drugs and gambling are not seen as major problems. </w:t>
      </w:r>
      <w:r w:rsidR="004808B3">
        <w:t>Compulsory Income Management</w:t>
      </w:r>
      <w:r w:rsidRPr="005911E2">
        <w:t xml:space="preserve"> is a blanket measure which applies irrespective of the circumstances of the individual, and exemptions are difficult to obtain, particularly for Indigenous people. Thus there appear</w:t>
      </w:r>
      <w:r w:rsidR="00602985">
        <w:t>s</w:t>
      </w:r>
      <w:r w:rsidRPr="005911E2">
        <w:t xml:space="preserve"> to be a large number of people subject to </w:t>
      </w:r>
      <w:r w:rsidR="004808B3">
        <w:t>Compulsory Income Management</w:t>
      </w:r>
      <w:r w:rsidRPr="005911E2">
        <w:t xml:space="preserve"> who are unlikely to benefit from this measure, and for whom the restrictions of </w:t>
      </w:r>
      <w:r w:rsidR="00F878E4">
        <w:t>income management</w:t>
      </w:r>
      <w:r w:rsidRPr="005911E2">
        <w:t xml:space="preserve"> can create unnecessary frustrations and challenges.</w:t>
      </w:r>
      <w:r w:rsidR="00F76024">
        <w:t xml:space="preserve"> </w:t>
      </w:r>
      <w:r w:rsidR="00A12D89">
        <w:t>Just</w:t>
      </w:r>
      <w:r w:rsidR="00F76024">
        <w:t xml:space="preserve"> </w:t>
      </w:r>
      <w:r w:rsidR="00A12D89">
        <w:t>over a third</w:t>
      </w:r>
      <w:r w:rsidR="00F76024">
        <w:t xml:space="preserve"> of </w:t>
      </w:r>
      <w:r w:rsidR="00A12D89">
        <w:t xml:space="preserve">Indigenous and around a quarter of non-Indigenous people subject to </w:t>
      </w:r>
      <w:r w:rsidR="004808B3">
        <w:t>Compulsory Income Management</w:t>
      </w:r>
      <w:r w:rsidR="00A12D89">
        <w:t xml:space="preserve"> </w:t>
      </w:r>
      <w:r w:rsidR="00F76024">
        <w:t xml:space="preserve">report that </w:t>
      </w:r>
      <w:r w:rsidR="00A12D89">
        <w:t xml:space="preserve">they wish to stay on </w:t>
      </w:r>
      <w:r w:rsidR="00F878E4">
        <w:t>income management</w:t>
      </w:r>
      <w:r w:rsidR="00A12D89">
        <w:t>.</w:t>
      </w:r>
      <w:r w:rsidR="00F76024">
        <w:t xml:space="preserve"> </w:t>
      </w:r>
    </w:p>
    <w:p w:rsidR="00220531" w:rsidRPr="005911E2" w:rsidRDefault="00220531" w:rsidP="00220531">
      <w:pPr>
        <w:pStyle w:val="BodyText1"/>
      </w:pPr>
      <w:r w:rsidRPr="005911E2">
        <w:t xml:space="preserve">We do not have enough information about </w:t>
      </w:r>
      <w:r w:rsidR="00E146B5">
        <w:t>Child Protection Income Management</w:t>
      </w:r>
      <w:r w:rsidRPr="005911E2">
        <w:t xml:space="preserve"> to make any judgement </w:t>
      </w:r>
      <w:r w:rsidR="00E700FC">
        <w:t xml:space="preserve">about whether suitable individuals and groups have been </w:t>
      </w:r>
      <w:r w:rsidR="00336C66">
        <w:t>targeted at</w:t>
      </w:r>
      <w:r w:rsidRPr="005911E2">
        <w:t xml:space="preserve"> this point in the evaluation. </w:t>
      </w:r>
    </w:p>
    <w:p w:rsidR="00220531" w:rsidRPr="005911E2" w:rsidRDefault="00852F3B" w:rsidP="00220531">
      <w:pPr>
        <w:pStyle w:val="BodyText1"/>
      </w:pPr>
      <w:r w:rsidRPr="005911E2">
        <w:t xml:space="preserve">Similarly, we have little information about </w:t>
      </w:r>
      <w:r w:rsidR="00E2340D">
        <w:t>Vulnerable Income Management</w:t>
      </w:r>
      <w:r w:rsidRPr="005911E2">
        <w:t>. Centrelink data show</w:t>
      </w:r>
      <w:r w:rsidR="00D41615">
        <w:t>s</w:t>
      </w:r>
      <w:r w:rsidRPr="005911E2">
        <w:t xml:space="preserve"> that </w:t>
      </w:r>
      <w:r w:rsidR="00220531" w:rsidRPr="005911E2">
        <w:t xml:space="preserve">there are only a handful of non-Indigenous people subject to </w:t>
      </w:r>
      <w:r w:rsidR="00E2340D">
        <w:t>Vulnerable Income Management</w:t>
      </w:r>
      <w:r w:rsidR="00220531" w:rsidRPr="005911E2">
        <w:t>, although it is likely that there are a number of vulnerable non-Indigenous income support recipients in the</w:t>
      </w:r>
      <w:r w:rsidR="006435C8">
        <w:t xml:space="preserve"> Northern Territory </w:t>
      </w:r>
      <w:r w:rsidR="00220531" w:rsidRPr="005911E2">
        <w:t xml:space="preserve">who have not been placed on </w:t>
      </w:r>
      <w:r w:rsidR="00E2340D">
        <w:t>Vulnerable Income Management</w:t>
      </w:r>
      <w:r w:rsidR="00220531" w:rsidRPr="005911E2">
        <w:t xml:space="preserve"> and may benefit from this measure. </w:t>
      </w:r>
    </w:p>
    <w:p w:rsidR="00220531" w:rsidRPr="005911E2" w:rsidRDefault="00220531" w:rsidP="00220531">
      <w:pPr>
        <w:pStyle w:val="BodyText1"/>
      </w:pPr>
      <w:r w:rsidRPr="005911E2">
        <w:t xml:space="preserve">Findings on </w:t>
      </w:r>
      <w:r w:rsidR="002B5A5C">
        <w:t>Voluntary Income Management</w:t>
      </w:r>
      <w:r w:rsidRPr="005911E2">
        <w:t xml:space="preserve"> are reported separately below and are generally positive.</w:t>
      </w:r>
    </w:p>
    <w:p w:rsidR="00220531" w:rsidRPr="005911E2" w:rsidRDefault="00220531" w:rsidP="00220531">
      <w:pPr>
        <w:pStyle w:val="evalq"/>
      </w:pPr>
      <w:r w:rsidRPr="005911E2">
        <w:t>(c)</w:t>
      </w:r>
      <w:r w:rsidRPr="005911E2">
        <w:tab/>
        <w:t xml:space="preserve">Have people been able to transfer into and out of NIM appropriately (e.g. choosing to transfer from income management under NTER </w:t>
      </w:r>
      <w:r w:rsidR="00602985">
        <w:t xml:space="preserve">IM </w:t>
      </w:r>
      <w:r w:rsidRPr="005911E2">
        <w:t xml:space="preserve">to </w:t>
      </w:r>
      <w:r w:rsidR="002B5A5C">
        <w:t>Voluntary Income Management</w:t>
      </w:r>
      <w:r w:rsidRPr="005911E2">
        <w:t xml:space="preserve">)? </w:t>
      </w:r>
    </w:p>
    <w:p w:rsidR="00220531" w:rsidRPr="005911E2" w:rsidRDefault="00220531" w:rsidP="00220531">
      <w:pPr>
        <w:pStyle w:val="BodyText1"/>
      </w:pPr>
      <w:r w:rsidRPr="005911E2">
        <w:t xml:space="preserve">There are two aspects to this evaluation question. The first concerns movements such as the transition from NTER IM to NIM. The second relates to the capacity of people </w:t>
      </w:r>
      <w:r w:rsidR="00602985">
        <w:t xml:space="preserve">to </w:t>
      </w:r>
      <w:r w:rsidRPr="005911E2">
        <w:t>gain exemptions.</w:t>
      </w:r>
    </w:p>
    <w:p w:rsidR="00220531" w:rsidRPr="005911E2" w:rsidRDefault="00220531" w:rsidP="007B4471">
      <w:pPr>
        <w:pStyle w:val="Heading4"/>
      </w:pPr>
      <w:r w:rsidRPr="005911E2">
        <w:t>Transition from NTER IM</w:t>
      </w:r>
    </w:p>
    <w:p w:rsidR="00365DF1" w:rsidRPr="005911E2" w:rsidRDefault="00365DF1" w:rsidP="00220531">
      <w:pPr>
        <w:pStyle w:val="BodyText"/>
      </w:pPr>
      <w:r w:rsidRPr="005911E2">
        <w:t xml:space="preserve">Implementation of NIM commenced on 9 August 2010 and was progressively rolled out geographically from the south to the north of the </w:t>
      </w:r>
      <w:r w:rsidR="006435C8">
        <w:t>Northern Territory.</w:t>
      </w:r>
      <w:r w:rsidRPr="005911E2">
        <w:t xml:space="preserve"> The transition from NTER IM to NIM was virtually complete by February 2011</w:t>
      </w:r>
      <w:r w:rsidR="00602985">
        <w:t>,</w:t>
      </w:r>
      <w:r w:rsidRPr="005911E2">
        <w:t xml:space="preserve"> with just 118 people still on NTER IM. </w:t>
      </w:r>
    </w:p>
    <w:p w:rsidR="00220531" w:rsidRPr="005911E2" w:rsidRDefault="00220531" w:rsidP="00220531">
      <w:pPr>
        <w:pStyle w:val="BodyText"/>
      </w:pPr>
      <w:r w:rsidRPr="005911E2">
        <w:t xml:space="preserve">Of those on NTER IM in July 2010, by October 2011, 44 per cent were on </w:t>
      </w:r>
      <w:r w:rsidR="004808B3">
        <w:t>Compulsory Income Management</w:t>
      </w:r>
      <w:r w:rsidRPr="005911E2">
        <w:t xml:space="preserve">, 0.2 per cent on </w:t>
      </w:r>
      <w:r w:rsidR="00E146B5">
        <w:t>Child Protection Income Management</w:t>
      </w:r>
      <w:r w:rsidRPr="005911E2">
        <w:t xml:space="preserve">, 24 per cent on </w:t>
      </w:r>
      <w:r w:rsidR="002B5A5C">
        <w:t>Voluntary Income Management</w:t>
      </w:r>
      <w:r w:rsidRPr="005911E2">
        <w:t xml:space="preserve"> and 1 per cent on </w:t>
      </w:r>
      <w:r w:rsidR="00E2340D">
        <w:t>Vulnerable Income Management</w:t>
      </w:r>
      <w:r w:rsidRPr="005911E2">
        <w:t xml:space="preserve">. Of the remainder, 16 per cent were in receipt of an income support payment but were not subject to </w:t>
      </w:r>
      <w:r w:rsidR="00F878E4">
        <w:t>income management</w:t>
      </w:r>
      <w:r w:rsidRPr="005911E2">
        <w:t xml:space="preserve"> and 16 </w:t>
      </w:r>
      <w:r w:rsidR="00CF545F" w:rsidRPr="005911E2">
        <w:t>per cent</w:t>
      </w:r>
      <w:r w:rsidRPr="005911E2">
        <w:t xml:space="preserve"> were no longer in receipt of an income support payment.</w:t>
      </w:r>
      <w:r w:rsidR="00365DF1" w:rsidRPr="005911E2">
        <w:t xml:space="preserve"> </w:t>
      </w:r>
    </w:p>
    <w:p w:rsidR="00220531" w:rsidRPr="005911E2" w:rsidRDefault="00220531" w:rsidP="007B4471">
      <w:pPr>
        <w:pStyle w:val="Heading4"/>
      </w:pPr>
      <w:r w:rsidRPr="005911E2">
        <w:t>Exemptions</w:t>
      </w:r>
    </w:p>
    <w:p w:rsidR="006562CB" w:rsidRDefault="00220531" w:rsidP="001B2735">
      <w:pPr>
        <w:pStyle w:val="BodyText"/>
      </w:pPr>
      <w:r w:rsidRPr="005911E2">
        <w:t>Exemptions have been sought by 19</w:t>
      </w:r>
      <w:r w:rsidR="00A862C3" w:rsidRPr="005911E2">
        <w:t>.6</w:t>
      </w:r>
      <w:r w:rsidRPr="005911E2">
        <w:t xml:space="preserve"> per cent of people subject to </w:t>
      </w:r>
      <w:r w:rsidR="004808B3">
        <w:t>Compulsory Income Management</w:t>
      </w:r>
      <w:r w:rsidRPr="005911E2">
        <w:t xml:space="preserve"> and granted to just over half of those. In October 2011</w:t>
      </w:r>
      <w:r w:rsidR="00602985">
        <w:t>,</w:t>
      </w:r>
      <w:r w:rsidRPr="005911E2">
        <w:t xml:space="preserve"> 1</w:t>
      </w:r>
      <w:r w:rsidR="00A862C3" w:rsidRPr="005911E2">
        <w:t>0.9</w:t>
      </w:r>
      <w:r w:rsidRPr="005911E2">
        <w:t xml:space="preserve"> per cent of people who would have been subject to </w:t>
      </w:r>
      <w:r w:rsidR="004808B3">
        <w:t>Compulsory Income Management</w:t>
      </w:r>
      <w:r w:rsidRPr="005911E2">
        <w:t xml:space="preserve"> </w:t>
      </w:r>
      <w:r w:rsidR="00A12D89">
        <w:t>were</w:t>
      </w:r>
      <w:r w:rsidR="00A12D89" w:rsidRPr="005911E2">
        <w:t xml:space="preserve"> </w:t>
      </w:r>
      <w:r w:rsidRPr="005911E2">
        <w:t xml:space="preserve">exempt from </w:t>
      </w:r>
      <w:r w:rsidR="00F878E4">
        <w:t>income management</w:t>
      </w:r>
      <w:r w:rsidRPr="005911E2">
        <w:t>.</w:t>
      </w:r>
      <w:r w:rsidR="00576705">
        <w:t xml:space="preserve"> </w:t>
      </w:r>
      <w:r w:rsidR="00A12D89" w:rsidRPr="005911E2">
        <w:t xml:space="preserve">The rate at which exemptions are sought and granted is much higher for non-Indigenous people. For Indigenous people on </w:t>
      </w:r>
      <w:r w:rsidR="004808B3">
        <w:t>Compulsory Income Management</w:t>
      </w:r>
      <w:r w:rsidR="00A12D89" w:rsidRPr="005911E2">
        <w:t>, 13.2 per cent applied for an exemption</w:t>
      </w:r>
      <w:r w:rsidR="00D41615">
        <w:t>, with a success rate of 36.5 per cent,</w:t>
      </w:r>
      <w:r w:rsidR="00A12D89" w:rsidRPr="005911E2">
        <w:t xml:space="preserve"> </w:t>
      </w:r>
      <w:r w:rsidR="00D41615">
        <w:t xml:space="preserve">resulting in </w:t>
      </w:r>
      <w:r w:rsidR="00A12D89" w:rsidRPr="005911E2">
        <w:t xml:space="preserve">4.8 per cent </w:t>
      </w:r>
      <w:r w:rsidR="00D41615">
        <w:t>gaining an exemption</w:t>
      </w:r>
      <w:r w:rsidR="00A12D89" w:rsidRPr="005911E2">
        <w:t xml:space="preserve">. </w:t>
      </w:r>
      <w:r w:rsidR="00602985">
        <w:t xml:space="preserve">For </w:t>
      </w:r>
      <w:r w:rsidR="00A12D89" w:rsidRPr="005911E2">
        <w:t xml:space="preserve">non-Indigenous people subject to </w:t>
      </w:r>
      <w:r w:rsidR="00F878E4">
        <w:t>income management</w:t>
      </w:r>
      <w:r w:rsidR="00602985">
        <w:t xml:space="preserve">, </w:t>
      </w:r>
      <w:r w:rsidR="00226A3E">
        <w:t>48.7</w:t>
      </w:r>
      <w:r w:rsidR="00602985">
        <w:t xml:space="preserve"> per cent</w:t>
      </w:r>
      <w:r w:rsidR="00A12D89" w:rsidRPr="005911E2">
        <w:t xml:space="preserve"> applied for an exemption and 79.</w:t>
      </w:r>
      <w:r w:rsidR="00226A3E">
        <w:t>6</w:t>
      </w:r>
      <w:r w:rsidR="00226A3E" w:rsidRPr="005911E2">
        <w:t xml:space="preserve"> </w:t>
      </w:r>
      <w:r w:rsidRPr="005911E2">
        <w:t>per cent of those succeeded</w:t>
      </w:r>
      <w:r w:rsidR="00BD5C93">
        <w:t>,</w:t>
      </w:r>
      <w:r w:rsidR="00A862C3" w:rsidRPr="005911E2">
        <w:t xml:space="preserve"> result</w:t>
      </w:r>
      <w:r w:rsidR="00BD5C93">
        <w:t>ing in an</w:t>
      </w:r>
      <w:r w:rsidR="00A862C3" w:rsidRPr="005911E2">
        <w:t xml:space="preserve"> exemption rate of 38.8 per cent</w:t>
      </w:r>
      <w:r w:rsidRPr="005911E2">
        <w:t xml:space="preserve">. </w:t>
      </w:r>
    </w:p>
    <w:p w:rsidR="00BF0F6E" w:rsidRDefault="00220531" w:rsidP="00851FBD">
      <w:pPr>
        <w:pStyle w:val="BodyText"/>
      </w:pPr>
      <w:r w:rsidRPr="00321196">
        <w:t>Some</w:t>
      </w:r>
      <w:r w:rsidRPr="005911E2">
        <w:t xml:space="preserve"> groups have very</w:t>
      </w:r>
      <w:r w:rsidR="00A12D89" w:rsidRPr="005911E2">
        <w:t xml:space="preserve"> </w:t>
      </w:r>
      <w:r w:rsidRPr="005911E2">
        <w:t>low exemption rates:</w:t>
      </w:r>
    </w:p>
    <w:p w:rsidR="00220531" w:rsidRPr="005911E2" w:rsidRDefault="00220531" w:rsidP="00051CDC">
      <w:pPr>
        <w:pStyle w:val="ListBullet"/>
      </w:pPr>
      <w:r w:rsidRPr="005911E2">
        <w:t xml:space="preserve">Indigenous people, especially those living in </w:t>
      </w:r>
      <w:r w:rsidR="00602985">
        <w:t>NTER</w:t>
      </w:r>
      <w:r w:rsidR="00226A3E">
        <w:t xml:space="preserve"> </w:t>
      </w:r>
      <w:r w:rsidR="00CF545F">
        <w:t>prescribed</w:t>
      </w:r>
      <w:r w:rsidR="00602985">
        <w:t xml:space="preserve"> </w:t>
      </w:r>
      <w:r w:rsidRPr="005911E2">
        <w:t>areas (1.</w:t>
      </w:r>
      <w:r w:rsidR="00F8413B">
        <w:t>5 </w:t>
      </w:r>
      <w:r w:rsidRPr="005911E2">
        <w:t>per cent)</w:t>
      </w:r>
    </w:p>
    <w:p w:rsidR="00220531" w:rsidRPr="005911E2" w:rsidRDefault="00220531" w:rsidP="00051CDC">
      <w:pPr>
        <w:pStyle w:val="ListBullet"/>
      </w:pPr>
      <w:r w:rsidRPr="005911E2">
        <w:t>people without children (1.</w:t>
      </w:r>
      <w:r w:rsidR="00B42CC8" w:rsidRPr="005911E2">
        <w:t>0</w:t>
      </w:r>
      <w:r w:rsidRPr="005911E2">
        <w:t xml:space="preserve"> per cent)</w:t>
      </w:r>
    </w:p>
    <w:p w:rsidR="00220531" w:rsidRPr="005911E2" w:rsidRDefault="00220531" w:rsidP="00051CDC">
      <w:pPr>
        <w:pStyle w:val="ListBullet"/>
      </w:pPr>
      <w:r w:rsidRPr="005911E2">
        <w:t>larger families and families with older</w:t>
      </w:r>
      <w:r w:rsidR="00D41615">
        <w:t>, rather than younger,</w:t>
      </w:r>
      <w:r w:rsidRPr="005911E2">
        <w:t xml:space="preserve"> </w:t>
      </w:r>
      <w:r w:rsidR="00CF545F" w:rsidRPr="005911E2">
        <w:t>children.</w:t>
      </w:r>
    </w:p>
    <w:p w:rsidR="00220531" w:rsidRPr="005911E2" w:rsidRDefault="00220531" w:rsidP="00220531">
      <w:pPr>
        <w:pStyle w:val="BodyText1"/>
      </w:pPr>
      <w:r w:rsidRPr="005911E2">
        <w:t>There seemed to be little support available to assist people in developing and presenting their case for exemption</w:t>
      </w:r>
      <w:r w:rsidR="00602985">
        <w:t>;</w:t>
      </w:r>
      <w:r w:rsidRPr="005911E2">
        <w:t xml:space="preserve"> gathering the supporting documentation was too demanding for many people. The centralisation of the exemption process in Darwin was also a barrier for people in other locations who prefer dealing face to face rather than over the telephone. The process for obtaining exemptions was seen by many stakeholders as imposing a heavy reverse burden of proof on people subject to IM to prove they meet the exemption criteria. Furthermore there is only a limited connection between the underlying role of </w:t>
      </w:r>
      <w:r w:rsidR="00F878E4">
        <w:t>income management</w:t>
      </w:r>
      <w:r w:rsidRPr="005911E2">
        <w:t xml:space="preserve">, which is to ensure the responsible allocation of funds to meet basic needs, and the exemption criteria. </w:t>
      </w:r>
      <w:r w:rsidR="001B61E2">
        <w:t>That is</w:t>
      </w:r>
      <w:r w:rsidR="00D41615">
        <w:t>,</w:t>
      </w:r>
      <w:r w:rsidR="001B61E2">
        <w:t xml:space="preserve"> </w:t>
      </w:r>
      <w:r w:rsidRPr="005911E2">
        <w:t>responsible money management is not of itself sufficient ground</w:t>
      </w:r>
      <w:r w:rsidR="00602985">
        <w:t>s</w:t>
      </w:r>
      <w:r w:rsidRPr="005911E2">
        <w:t xml:space="preserve"> for exemption.</w:t>
      </w:r>
    </w:p>
    <w:p w:rsidR="00220531" w:rsidRPr="005911E2" w:rsidRDefault="00BD5C93" w:rsidP="00220531">
      <w:pPr>
        <w:pStyle w:val="BodyText1"/>
      </w:pPr>
      <w:r>
        <w:t>There is a higher rate of</w:t>
      </w:r>
      <w:r w:rsidR="00220531" w:rsidRPr="005911E2">
        <w:t xml:space="preserve"> exemptions for people with young children</w:t>
      </w:r>
      <w:r w:rsidR="00602985">
        <w:t>,</w:t>
      </w:r>
      <w:r w:rsidR="00220531" w:rsidRPr="005911E2">
        <w:t xml:space="preserve"> when compared with families that have older children</w:t>
      </w:r>
      <w:r w:rsidR="00602985">
        <w:t>,</w:t>
      </w:r>
      <w:r w:rsidR="00220531" w:rsidRPr="005911E2">
        <w:t xml:space="preserve"> is potentially at odds with the higher vulnerability of younger children.</w:t>
      </w:r>
    </w:p>
    <w:p w:rsidR="00860965" w:rsidRPr="005911E2" w:rsidRDefault="00E700FC" w:rsidP="00860965">
      <w:r>
        <w:t xml:space="preserve">The </w:t>
      </w:r>
      <w:r w:rsidR="00BD5C93">
        <w:t>information</w:t>
      </w:r>
      <w:r>
        <w:t xml:space="preserve"> collected from people who </w:t>
      </w:r>
      <w:r w:rsidR="00A12D89">
        <w:t xml:space="preserve">were subject to </w:t>
      </w:r>
      <w:r w:rsidR="00F878E4">
        <w:t>income management</w:t>
      </w:r>
      <w:r w:rsidR="00BD5C93">
        <w:t xml:space="preserve"> and from intermediaries and other stakeholders</w:t>
      </w:r>
      <w:r w:rsidR="004845C5">
        <w:t>,</w:t>
      </w:r>
      <w:r>
        <w:t xml:space="preserve"> the major differences in the rates of exemption betwee</w:t>
      </w:r>
      <w:r w:rsidR="00BD5C93">
        <w:t>n Indigenous and non-Indigenous and</w:t>
      </w:r>
      <w:r>
        <w:t xml:space="preserve"> the very low rates of exemptions for some groups such as people without children and Indigenous people in NTER areas</w:t>
      </w:r>
      <w:r w:rsidR="00602985">
        <w:t>,</w:t>
      </w:r>
      <w:r>
        <w:t xml:space="preserve"> </w:t>
      </w:r>
      <w:r w:rsidR="00220531" w:rsidRPr="005911E2">
        <w:t xml:space="preserve">raises substantive questions about the ways in which the exemptions policy and processes operate. These include the way in which decisions are made, the problems of reverse onus of proof </w:t>
      </w:r>
      <w:r w:rsidR="00A12D89">
        <w:t>(i</w:t>
      </w:r>
      <w:r>
        <w:t>.</w:t>
      </w:r>
      <w:r w:rsidR="00A12D89">
        <w:t>e</w:t>
      </w:r>
      <w:r>
        <w:t>.</w:t>
      </w:r>
      <w:r w:rsidR="00A12D89">
        <w:t xml:space="preserve"> that people are assumed to have problems unless they can prove otherwise)</w:t>
      </w:r>
      <w:r w:rsidR="00602985">
        <w:t>,</w:t>
      </w:r>
      <w:r w:rsidR="00A12D89">
        <w:t xml:space="preserve"> </w:t>
      </w:r>
      <w:r w:rsidR="00220531" w:rsidRPr="005911E2">
        <w:t xml:space="preserve">and the need for people to assemble appropriate documentation. The high failure rate </w:t>
      </w:r>
      <w:r w:rsidR="00D41615">
        <w:t>of</w:t>
      </w:r>
      <w:r w:rsidR="00D41615" w:rsidRPr="005911E2">
        <w:t xml:space="preserve"> </w:t>
      </w:r>
      <w:r w:rsidR="00220531" w:rsidRPr="005911E2">
        <w:t xml:space="preserve">applications for exemptions from Indigenous </w:t>
      </w:r>
      <w:r w:rsidR="00860965" w:rsidRPr="005911E2">
        <w:t xml:space="preserve">people on </w:t>
      </w:r>
      <w:r w:rsidR="004808B3">
        <w:t>Compulsory Income Management</w:t>
      </w:r>
      <w:r w:rsidR="00860965" w:rsidRPr="005911E2">
        <w:t xml:space="preserve"> </w:t>
      </w:r>
      <w:r w:rsidR="00D923FE">
        <w:t xml:space="preserve">and the interviews with </w:t>
      </w:r>
      <w:r w:rsidR="006D4341" w:rsidRPr="005911E2">
        <w:t>Centrelink</w:t>
      </w:r>
      <w:r w:rsidR="00D923FE">
        <w:t xml:space="preserve"> staff indicates that</w:t>
      </w:r>
      <w:r w:rsidR="006D4341" w:rsidRPr="005911E2">
        <w:t xml:space="preserve"> </w:t>
      </w:r>
      <w:r w:rsidR="00860965" w:rsidRPr="005911E2">
        <w:t xml:space="preserve">many of these clients </w:t>
      </w:r>
      <w:r w:rsidR="004845C5">
        <w:t xml:space="preserve">are not adequately supported or informed about </w:t>
      </w:r>
      <w:r w:rsidR="006D4341" w:rsidRPr="005911E2">
        <w:t>what is required in order</w:t>
      </w:r>
      <w:r w:rsidR="009F2FEF" w:rsidRPr="005911E2">
        <w:t xml:space="preserve"> to obtain an exemption.</w:t>
      </w:r>
    </w:p>
    <w:p w:rsidR="00220531" w:rsidRPr="005911E2" w:rsidRDefault="00220531" w:rsidP="00C34821">
      <w:pPr>
        <w:pStyle w:val="evalq"/>
      </w:pPr>
      <w:r w:rsidRPr="005911E2">
        <w:t>(d)</w:t>
      </w:r>
      <w:r w:rsidRPr="005911E2">
        <w:tab/>
        <w:t>What has been the effect of the introduction of NIM on service providers?</w:t>
      </w:r>
    </w:p>
    <w:p w:rsidR="00220531" w:rsidRPr="005911E2" w:rsidRDefault="00220531" w:rsidP="00220531">
      <w:pPr>
        <w:pStyle w:val="BodyText1"/>
      </w:pPr>
      <w:r w:rsidRPr="005911E2">
        <w:t xml:space="preserve">The evaluation does not have enough data to quantify the effect of NIM on service providers other than </w:t>
      </w:r>
      <w:r w:rsidR="00602985" w:rsidRPr="005911E2">
        <w:t xml:space="preserve">money management </w:t>
      </w:r>
      <w:r w:rsidR="00602985">
        <w:t xml:space="preserve">and </w:t>
      </w:r>
      <w:r w:rsidRPr="005911E2">
        <w:t>financial counselling services and merchants.</w:t>
      </w:r>
    </w:p>
    <w:p w:rsidR="00220531" w:rsidRPr="005911E2" w:rsidRDefault="00220531" w:rsidP="00220531">
      <w:pPr>
        <w:pStyle w:val="BodyText1"/>
      </w:pPr>
      <w:r w:rsidRPr="005911E2">
        <w:t xml:space="preserve">As stated above there was some concern expressed by stakeholders that a number of service providers had not been adequately prepared for the introduction of </w:t>
      </w:r>
      <w:r w:rsidR="00F878E4">
        <w:t>income management</w:t>
      </w:r>
      <w:r w:rsidRPr="005911E2">
        <w:t xml:space="preserve">, but there is not sufficient information to make a definitive conclusion about this issue. </w:t>
      </w:r>
    </w:p>
    <w:p w:rsidR="00220531" w:rsidRPr="005911E2" w:rsidRDefault="00220531" w:rsidP="00220531">
      <w:pPr>
        <w:pStyle w:val="BodyText1"/>
      </w:pPr>
      <w:r w:rsidRPr="005911E2">
        <w:t xml:space="preserve">Administrative data suggests the </w:t>
      </w:r>
      <w:r w:rsidR="00C8259B">
        <w:t>m</w:t>
      </w:r>
      <w:r w:rsidRPr="005911E2">
        <w:t xml:space="preserve">oney </w:t>
      </w:r>
      <w:r w:rsidR="00C8259B">
        <w:t>m</w:t>
      </w:r>
      <w:r w:rsidRPr="005911E2">
        <w:t xml:space="preserve">anagement services have had contact with a large number of people on </w:t>
      </w:r>
      <w:r w:rsidR="00F878E4">
        <w:t>income management</w:t>
      </w:r>
      <w:r w:rsidRPr="005911E2">
        <w:t xml:space="preserve">, but very few people subject to </w:t>
      </w:r>
      <w:r w:rsidR="00F878E4">
        <w:t>income management</w:t>
      </w:r>
      <w:r w:rsidRPr="005911E2">
        <w:t xml:space="preserve"> have attended </w:t>
      </w:r>
      <w:r w:rsidR="00C8259B">
        <w:t>a</w:t>
      </w:r>
      <w:r w:rsidRPr="005911E2">
        <w:t xml:space="preserve">pproved </w:t>
      </w:r>
      <w:r w:rsidR="00C8259B">
        <w:t>m</w:t>
      </w:r>
      <w:r w:rsidRPr="005911E2">
        <w:t xml:space="preserve">oney </w:t>
      </w:r>
      <w:r w:rsidR="00C8259B">
        <w:t>m</w:t>
      </w:r>
      <w:r w:rsidRPr="005911E2">
        <w:t xml:space="preserve">anagement courses and even fewer have completed courses. </w:t>
      </w:r>
    </w:p>
    <w:p w:rsidR="00220531" w:rsidRPr="005911E2" w:rsidRDefault="00220531" w:rsidP="00220531">
      <w:pPr>
        <w:pStyle w:val="BodyText1"/>
      </w:pPr>
      <w:r w:rsidRPr="005911E2">
        <w:t xml:space="preserve">Very few people have received </w:t>
      </w:r>
      <w:r w:rsidR="00226A3E" w:rsidRPr="005911E2">
        <w:t xml:space="preserve">a </w:t>
      </w:r>
      <w:r w:rsidR="00226A3E">
        <w:t>Matched</w:t>
      </w:r>
      <w:r w:rsidR="00F57BEF">
        <w:t xml:space="preserve"> Savings Payment</w:t>
      </w:r>
      <w:r w:rsidR="00C8259B">
        <w:t xml:space="preserve"> </w:t>
      </w:r>
      <w:r w:rsidRPr="005911E2">
        <w:t xml:space="preserve">(15 in total) and the majority of these are non-Indigenous. </w:t>
      </w:r>
    </w:p>
    <w:p w:rsidR="00220531" w:rsidRPr="005911E2" w:rsidRDefault="00220531" w:rsidP="00220531">
      <w:pPr>
        <w:pStyle w:val="BodyText1"/>
      </w:pPr>
      <w:r w:rsidRPr="005911E2">
        <w:t xml:space="preserve">Interviews with money management service providers revealed significant concerns with how </w:t>
      </w:r>
      <w:r w:rsidR="00614538" w:rsidRPr="005911E2">
        <w:t>the</w:t>
      </w:r>
      <w:r w:rsidR="00614538">
        <w:t xml:space="preserve"> </w:t>
      </w:r>
      <w:r w:rsidR="00F57BEF">
        <w:t>Matched Savings Payment</w:t>
      </w:r>
      <w:r w:rsidR="00C8259B">
        <w:t xml:space="preserve"> </w:t>
      </w:r>
      <w:r w:rsidRPr="005911E2">
        <w:t xml:space="preserve">was being administered and with the content of the </w:t>
      </w:r>
      <w:r w:rsidR="00C8259B">
        <w:t>a</w:t>
      </w:r>
      <w:r w:rsidRPr="005911E2">
        <w:t xml:space="preserve">pproved </w:t>
      </w:r>
      <w:r w:rsidR="00C8259B">
        <w:t>m</w:t>
      </w:r>
      <w:r w:rsidRPr="005911E2">
        <w:t xml:space="preserve">oney </w:t>
      </w:r>
      <w:r w:rsidR="00C8259B">
        <w:t>m</w:t>
      </w:r>
      <w:r w:rsidRPr="005911E2">
        <w:t xml:space="preserve">anagement courses they were expected to deliver. Many saw a mismatch between what they were required to provide and what their </w:t>
      </w:r>
      <w:r w:rsidR="00F878E4">
        <w:t>income manage</w:t>
      </w:r>
      <w:r w:rsidR="00C8259B">
        <w:t>d</w:t>
      </w:r>
      <w:r w:rsidRPr="005911E2">
        <w:t xml:space="preserve"> clients needed. Concerns included the referral process, the inappropriate nature of the course material (too high level for some and not appropriate for others), and the structure of</w:t>
      </w:r>
      <w:r w:rsidR="00D41615">
        <w:t>,</w:t>
      </w:r>
      <w:r w:rsidRPr="005911E2">
        <w:t xml:space="preserve"> and expectations around</w:t>
      </w:r>
      <w:r w:rsidR="00D41615">
        <w:t>,</w:t>
      </w:r>
      <w:r w:rsidRPr="005911E2">
        <w:t xml:space="preserve"> </w:t>
      </w:r>
      <w:r w:rsidR="00614538" w:rsidRPr="005911E2">
        <w:t>the</w:t>
      </w:r>
      <w:r w:rsidR="00614538">
        <w:t xml:space="preserve"> </w:t>
      </w:r>
      <w:r w:rsidR="00F57BEF">
        <w:t>Matched Savings Payment</w:t>
      </w:r>
      <w:r w:rsidRPr="005911E2">
        <w:t>. These service providers reported that</w:t>
      </w:r>
      <w:r w:rsidR="00D41615">
        <w:t>,</w:t>
      </w:r>
      <w:r w:rsidRPr="005911E2">
        <w:t xml:space="preserve"> while the </w:t>
      </w:r>
      <w:r w:rsidR="00C8259B">
        <w:t>a</w:t>
      </w:r>
      <w:r w:rsidRPr="005911E2">
        <w:t xml:space="preserve">pproved </w:t>
      </w:r>
      <w:r w:rsidR="00C8259B">
        <w:t>m</w:t>
      </w:r>
      <w:r w:rsidRPr="005911E2">
        <w:t xml:space="preserve">oney </w:t>
      </w:r>
      <w:r w:rsidR="00C8259B">
        <w:t>m</w:t>
      </w:r>
      <w:r w:rsidRPr="005911E2">
        <w:t>anagement course is tailored to Indigenous people</w:t>
      </w:r>
      <w:r w:rsidR="00D41615">
        <w:t>,</w:t>
      </w:r>
      <w:r w:rsidRPr="005911E2">
        <w:t xml:space="preserve"> it was generally not providing the information needed, particularly in remote communities and for people with very limited financial literacy. It was also not seen as relevant to</w:t>
      </w:r>
      <w:r w:rsidR="00D41615">
        <w:t>,</w:t>
      </w:r>
      <w:r w:rsidRPr="005911E2">
        <w:t xml:space="preserve"> or suitable for</w:t>
      </w:r>
      <w:r w:rsidR="00D41615">
        <w:t>,</w:t>
      </w:r>
      <w:r w:rsidRPr="005911E2">
        <w:t xml:space="preserve"> some non-Indigenous people. Furthermore, </w:t>
      </w:r>
      <w:r w:rsidR="00C8259B">
        <w:t xml:space="preserve">the fact </w:t>
      </w:r>
      <w:r w:rsidRPr="005911E2">
        <w:t xml:space="preserve">that </w:t>
      </w:r>
      <w:r w:rsidR="00C8259B">
        <w:t>the M</w:t>
      </w:r>
      <w:r w:rsidRPr="005911E2">
        <w:t xml:space="preserve">atched </w:t>
      </w:r>
      <w:r w:rsidR="00C8259B">
        <w:t>S</w:t>
      </w:r>
      <w:r w:rsidRPr="005911E2">
        <w:t xml:space="preserve">avings </w:t>
      </w:r>
      <w:r w:rsidR="00C8259B">
        <w:t xml:space="preserve">Payment is </w:t>
      </w:r>
      <w:r w:rsidRPr="005911E2">
        <w:t xml:space="preserve">income managed is considered an insult by </w:t>
      </w:r>
      <w:r w:rsidR="0081477A">
        <w:t>many</w:t>
      </w:r>
      <w:r w:rsidR="0081477A" w:rsidRPr="005911E2">
        <w:t xml:space="preserve"> </w:t>
      </w:r>
      <w:r w:rsidRPr="005911E2">
        <w:t xml:space="preserve">service providers and people subject to </w:t>
      </w:r>
      <w:r w:rsidR="00F878E4">
        <w:t>income management</w:t>
      </w:r>
      <w:r w:rsidRPr="005911E2">
        <w:t xml:space="preserve">. </w:t>
      </w:r>
    </w:p>
    <w:p w:rsidR="00220531" w:rsidRPr="005911E2" w:rsidRDefault="00220531" w:rsidP="00220531">
      <w:pPr>
        <w:pStyle w:val="evalq"/>
      </w:pPr>
      <w:r w:rsidRPr="005911E2">
        <w:t xml:space="preserve">2. </w:t>
      </w:r>
      <w:r w:rsidRPr="005911E2">
        <w:tab/>
        <w:t xml:space="preserve">What is the profile of people on the different income management streams? </w:t>
      </w:r>
    </w:p>
    <w:p w:rsidR="00220531" w:rsidRPr="005911E2" w:rsidRDefault="00220531" w:rsidP="00220531">
      <w:pPr>
        <w:pStyle w:val="BodyText1"/>
      </w:pPr>
      <w:r w:rsidRPr="005911E2">
        <w:t>This has been extensively documented in the main body of the report (Chapter 4). Some of the key characteristics are:</w:t>
      </w:r>
    </w:p>
    <w:p w:rsidR="00220531" w:rsidRPr="005911E2" w:rsidRDefault="00220531" w:rsidP="00051CDC">
      <w:pPr>
        <w:pStyle w:val="ListBullet"/>
      </w:pPr>
      <w:r w:rsidRPr="005911E2">
        <w:t>91 per cent are Indigenous</w:t>
      </w:r>
    </w:p>
    <w:p w:rsidR="00220531" w:rsidRPr="005911E2" w:rsidRDefault="00220531" w:rsidP="00051CDC">
      <w:pPr>
        <w:pStyle w:val="ListBullet"/>
      </w:pPr>
      <w:r w:rsidRPr="005911E2">
        <w:t>61 per cent are women</w:t>
      </w:r>
    </w:p>
    <w:p w:rsidR="00220531" w:rsidRPr="005911E2" w:rsidRDefault="00220531" w:rsidP="00051CDC">
      <w:pPr>
        <w:pStyle w:val="ListBullet"/>
      </w:pPr>
      <w:r w:rsidRPr="005911E2">
        <w:t>38 per cent are parents with children (19 per cent couples with dependent children and 19 per cent are single parents)</w:t>
      </w:r>
      <w:r w:rsidR="00D923FE">
        <w:t>.</w:t>
      </w:r>
    </w:p>
    <w:p w:rsidR="00220531" w:rsidRPr="005911E2" w:rsidRDefault="00220531" w:rsidP="00220531">
      <w:pPr>
        <w:pStyle w:val="evalq"/>
      </w:pPr>
      <w:r w:rsidRPr="005911E2">
        <w:t xml:space="preserve">3. </w:t>
      </w:r>
      <w:r w:rsidRPr="005911E2">
        <w:tab/>
        <w:t xml:space="preserve">Have there been any initial process ‘teething issues’ that need to be addressed? </w:t>
      </w:r>
    </w:p>
    <w:p w:rsidR="00220531" w:rsidRPr="005911E2" w:rsidRDefault="00220531" w:rsidP="00220531">
      <w:pPr>
        <w:pStyle w:val="BodyText1"/>
        <w:rPr>
          <w:rFonts w:cs="Arial"/>
        </w:rPr>
      </w:pPr>
      <w:r w:rsidRPr="005911E2">
        <w:rPr>
          <w:rFonts w:cs="Arial"/>
        </w:rPr>
        <w:t xml:space="preserve">Several initial process ‘teething issues’ were identified. Examples relate to the coverage of BasicsCard merchants, referrals to </w:t>
      </w:r>
      <w:r w:rsidR="00C8259B">
        <w:rPr>
          <w:rFonts w:cs="Arial"/>
        </w:rPr>
        <w:t xml:space="preserve">money management and </w:t>
      </w:r>
      <w:r w:rsidRPr="005911E2">
        <w:rPr>
          <w:rFonts w:cs="Arial"/>
        </w:rPr>
        <w:t xml:space="preserve">financial counselling </w:t>
      </w:r>
      <w:r w:rsidR="00C8259B">
        <w:rPr>
          <w:rFonts w:cs="Arial"/>
        </w:rPr>
        <w:t>s</w:t>
      </w:r>
      <w:r w:rsidRPr="005911E2">
        <w:rPr>
          <w:rFonts w:cs="Arial"/>
        </w:rPr>
        <w:t>ervices, and information on children’s school attendance. FaHCSIA and DHS are aware of these issues and changes have been made to address them. Subsequent stages of the evaluation will examine whether these issues remain a concern for those affected by the program.</w:t>
      </w:r>
    </w:p>
    <w:p w:rsidR="00220531" w:rsidRPr="005911E2" w:rsidRDefault="00220531" w:rsidP="00220531">
      <w:pPr>
        <w:pStyle w:val="BodyText1"/>
        <w:rPr>
          <w:rFonts w:cs="Arial"/>
        </w:rPr>
      </w:pPr>
      <w:r w:rsidRPr="005911E2">
        <w:rPr>
          <w:rFonts w:cs="Arial"/>
        </w:rPr>
        <w:t>It is clear that the operation of the BasicsCard has improved over time. There remain however, some issues regarding obtaining information on balances in a cost effective manner. Again, some program responses have been put in place including the printing of account balances on receipts by some merchants.</w:t>
      </w:r>
    </w:p>
    <w:p w:rsidR="00220531" w:rsidRPr="005911E2" w:rsidRDefault="00220531" w:rsidP="00220531">
      <w:pPr>
        <w:pStyle w:val="BodyText1"/>
        <w:rPr>
          <w:rFonts w:cs="Arial"/>
        </w:rPr>
      </w:pPr>
      <w:r w:rsidRPr="005911E2">
        <w:rPr>
          <w:rFonts w:cs="Arial"/>
        </w:rPr>
        <w:t>The terms of reference for this evaluation do not include a detailed evaluation of the administration of NIM.</w:t>
      </w:r>
    </w:p>
    <w:p w:rsidR="00220531" w:rsidRPr="005911E2" w:rsidRDefault="00220531" w:rsidP="00220531">
      <w:pPr>
        <w:pStyle w:val="evalq"/>
      </w:pPr>
      <w:r w:rsidRPr="005911E2">
        <w:t xml:space="preserve">4. </w:t>
      </w:r>
      <w:r w:rsidRPr="005911E2">
        <w:tab/>
        <w:t>What are the views of participants in the NIM model and their families on the implementation of the program</w:t>
      </w:r>
      <w:r w:rsidR="00614538" w:rsidRPr="005911E2">
        <w:t>?</w:t>
      </w:r>
      <w:r w:rsidR="00BB14C5">
        <w:t xml:space="preserve"> </w:t>
      </w:r>
    </w:p>
    <w:p w:rsidR="00220531" w:rsidRPr="005911E2" w:rsidRDefault="00220531" w:rsidP="00220531">
      <w:pPr>
        <w:pStyle w:val="BodyText1"/>
      </w:pPr>
      <w:r w:rsidRPr="005911E2">
        <w:t xml:space="preserve">There is some evidence that a proportion of people subject to </w:t>
      </w:r>
      <w:r w:rsidR="00F878E4">
        <w:t>income management</w:t>
      </w:r>
      <w:r w:rsidRPr="005911E2">
        <w:t xml:space="preserve"> do not have a clear understanding of the program, the processes by which they were placed on it and their options for exiting fr</w:t>
      </w:r>
      <w:r w:rsidR="00C8259B">
        <w:t>o</w:t>
      </w:r>
      <w:r w:rsidRPr="005911E2">
        <w:t xml:space="preserve">m the program. </w:t>
      </w:r>
    </w:p>
    <w:p w:rsidR="00220531" w:rsidRPr="005911E2" w:rsidRDefault="00220531" w:rsidP="00220531">
      <w:pPr>
        <w:pStyle w:val="BodyText1"/>
      </w:pPr>
      <w:r w:rsidRPr="005911E2">
        <w:t xml:space="preserve">A number of people voiced strong concerns </w:t>
      </w:r>
      <w:r w:rsidR="00D41615">
        <w:t>about</w:t>
      </w:r>
      <w:r w:rsidRPr="005911E2">
        <w:t xml:space="preserve"> the extent </w:t>
      </w:r>
      <w:r w:rsidR="00D41615">
        <w:t>to which</w:t>
      </w:r>
      <w:r w:rsidR="00D41615" w:rsidRPr="005911E2">
        <w:t xml:space="preserve"> </w:t>
      </w:r>
      <w:r w:rsidRPr="005911E2">
        <w:t>income management involves Centrelink staff in their personal financial affairs.</w:t>
      </w:r>
    </w:p>
    <w:p w:rsidR="00220531" w:rsidRPr="005911E2" w:rsidRDefault="00220531" w:rsidP="00C34821">
      <w:pPr>
        <w:pStyle w:val="evalq"/>
      </w:pPr>
      <w:r w:rsidRPr="005911E2">
        <w:t xml:space="preserve">5. </w:t>
      </w:r>
      <w:r w:rsidRPr="005911E2">
        <w:tab/>
        <w:t>Has the measure been implemented in a non-discriminatory manner?</w:t>
      </w:r>
    </w:p>
    <w:p w:rsidR="00220531" w:rsidRPr="005911E2" w:rsidRDefault="00220531" w:rsidP="00220531">
      <w:pPr>
        <w:pStyle w:val="BodyText1"/>
      </w:pPr>
      <w:r w:rsidRPr="005911E2">
        <w:t xml:space="preserve">The evaluation did not identify any active and overt discrimination in the implementation of NIM in the </w:t>
      </w:r>
      <w:r w:rsidR="006435C8">
        <w:t>Northern Territory,</w:t>
      </w:r>
      <w:r w:rsidRPr="005911E2">
        <w:t xml:space="preserve"> and there was no evidence produced that Centrelink staff tend to be prejudiced or discriminatory.</w:t>
      </w:r>
    </w:p>
    <w:p w:rsidR="004845C5" w:rsidRPr="005911E2" w:rsidRDefault="00D923FE" w:rsidP="004845C5">
      <w:pPr>
        <w:pStyle w:val="BodyText1"/>
      </w:pPr>
      <w:r>
        <w:t>I</w:t>
      </w:r>
      <w:r w:rsidR="00F878E4">
        <w:t>ncome management</w:t>
      </w:r>
      <w:r w:rsidR="004845C5" w:rsidRPr="005911E2">
        <w:t xml:space="preserve"> has a much greater effect on the Indigenous </w:t>
      </w:r>
      <w:r>
        <w:t xml:space="preserve">than the non-Indigenous </w:t>
      </w:r>
      <w:r w:rsidR="004845C5" w:rsidRPr="005911E2">
        <w:t xml:space="preserve">population in the </w:t>
      </w:r>
      <w:r w:rsidR="006435C8">
        <w:t>Northern Territory.</w:t>
      </w:r>
      <w:r w:rsidR="004845C5" w:rsidRPr="005911E2">
        <w:t xml:space="preserve"> Its impact on the non-Indigenous population as a whole is marginal</w:t>
      </w:r>
      <w:r w:rsidR="00C8259B">
        <w:t>,</w:t>
      </w:r>
      <w:r w:rsidR="004845C5" w:rsidRPr="005911E2">
        <w:t xml:space="preserve"> whereas a substantial proportion of Indigenous people in the</w:t>
      </w:r>
      <w:r w:rsidR="006435C8">
        <w:t xml:space="preserve"> Northern Territory </w:t>
      </w:r>
      <w:r w:rsidR="004845C5" w:rsidRPr="005911E2">
        <w:t xml:space="preserve">are affected by </w:t>
      </w:r>
      <w:r w:rsidR="00F878E4">
        <w:t>income management</w:t>
      </w:r>
      <w:r w:rsidR="004845C5" w:rsidRPr="005911E2">
        <w:t>.</w:t>
      </w:r>
    </w:p>
    <w:p w:rsidR="004845C5" w:rsidRDefault="004845C5" w:rsidP="00220531">
      <w:pPr>
        <w:pStyle w:val="BodyText1"/>
      </w:pPr>
      <w:r>
        <w:t>About</w:t>
      </w:r>
      <w:r w:rsidR="00220531" w:rsidRPr="005911E2">
        <w:t xml:space="preserve"> 90 per cent of people subject to </w:t>
      </w:r>
      <w:r w:rsidR="00F878E4">
        <w:t>income management</w:t>
      </w:r>
      <w:r w:rsidR="00220531" w:rsidRPr="005911E2">
        <w:t xml:space="preserve"> are Indigenous (virtually every person on </w:t>
      </w:r>
      <w:r w:rsidR="002B5A5C">
        <w:t>Voluntary Income Management</w:t>
      </w:r>
      <w:r w:rsidR="00220531" w:rsidRPr="005911E2">
        <w:t xml:space="preserve">, </w:t>
      </w:r>
      <w:r w:rsidR="00E2340D">
        <w:t>Vulnerable Income Management</w:t>
      </w:r>
      <w:r w:rsidR="00220531" w:rsidRPr="005911E2">
        <w:t xml:space="preserve"> and </w:t>
      </w:r>
      <w:r w:rsidR="00E146B5">
        <w:t>Child Protection Income Management</w:t>
      </w:r>
      <w:r w:rsidR="00220531" w:rsidRPr="005911E2">
        <w:t xml:space="preserve"> is Indigenous) and Indigenous people are much less likely to apply for</w:t>
      </w:r>
      <w:r w:rsidR="00D41615">
        <w:t>,</w:t>
      </w:r>
      <w:r w:rsidR="00220531" w:rsidRPr="005911E2">
        <w:t xml:space="preserve"> or be granted</w:t>
      </w:r>
      <w:r w:rsidR="00D41615">
        <w:t>,</w:t>
      </w:r>
      <w:r w:rsidR="00220531" w:rsidRPr="005911E2">
        <w:t xml:space="preserve"> an exemption. In addition, as noted earlier, there seems to be little substantive support available to people who need to prepare cases to prove their applications for exemptions. Thus the parameters set for exemptions appear to effectively exclude a substantial proportion of Indigenous people from being granted an exemption from </w:t>
      </w:r>
      <w:r w:rsidR="00F878E4">
        <w:t>income management</w:t>
      </w:r>
      <w:r w:rsidR="00220531" w:rsidRPr="005911E2">
        <w:t>.</w:t>
      </w:r>
      <w:r w:rsidR="00220531" w:rsidRPr="005911E2" w:rsidDel="00DB484A">
        <w:t xml:space="preserve"> </w:t>
      </w:r>
    </w:p>
    <w:p w:rsidR="00220531" w:rsidRPr="005911E2" w:rsidRDefault="00220531" w:rsidP="00220531">
      <w:pPr>
        <w:pStyle w:val="BodyText1"/>
      </w:pPr>
      <w:r w:rsidRPr="005911E2">
        <w:t xml:space="preserve">An overwhelming majority of </w:t>
      </w:r>
      <w:r w:rsidR="008904E2">
        <w:t xml:space="preserve">both Indigenous and non-Indigenous </w:t>
      </w:r>
      <w:r w:rsidRPr="005911E2">
        <w:t xml:space="preserve">people on </w:t>
      </w:r>
      <w:r w:rsidR="00F878E4">
        <w:t>income management</w:t>
      </w:r>
      <w:r w:rsidRPr="005911E2">
        <w:t xml:space="preserve"> had a sense, at some time or another, of being treated unfairly by being income managed</w:t>
      </w:r>
      <w:r w:rsidR="00D41615">
        <w:t>,</w:t>
      </w:r>
      <w:r w:rsidRPr="005911E2">
        <w:t xml:space="preserve"> with many of these describing the program as being discriminatory. In particular</w:t>
      </w:r>
      <w:r w:rsidR="00C8259B">
        <w:t>,</w:t>
      </w:r>
      <w:r w:rsidRPr="005911E2">
        <w:t xml:space="preserve"> many Indigenous people subject to </w:t>
      </w:r>
      <w:r w:rsidR="00F878E4">
        <w:t>income management</w:t>
      </w:r>
      <w:r w:rsidRPr="005911E2">
        <w:t xml:space="preserve"> described the policy as being racist.</w:t>
      </w:r>
    </w:p>
    <w:p w:rsidR="00220531" w:rsidRPr="005911E2" w:rsidRDefault="00220531" w:rsidP="00220531">
      <w:pPr>
        <w:pStyle w:val="BodyText1"/>
      </w:pPr>
      <w:r w:rsidRPr="005911E2">
        <w:t xml:space="preserve">Indigenous people, especially those in NTER areas, were more likely to be positive about aspects of </w:t>
      </w:r>
      <w:r w:rsidR="00F878E4">
        <w:t>income management</w:t>
      </w:r>
      <w:r w:rsidRPr="005911E2">
        <w:t xml:space="preserve"> than their non-Indigenous counterparts. </w:t>
      </w:r>
    </w:p>
    <w:p w:rsidR="00220531" w:rsidRPr="005911E2" w:rsidRDefault="00220531" w:rsidP="00220531">
      <w:pPr>
        <w:pStyle w:val="BodyText1"/>
      </w:pPr>
      <w:r w:rsidRPr="005911E2">
        <w:t xml:space="preserve">There do not appear to be significant gender differences in perceptions of </w:t>
      </w:r>
      <w:r w:rsidR="00F878E4">
        <w:t>income management</w:t>
      </w:r>
      <w:r w:rsidR="00C8259B">
        <w:t>,</w:t>
      </w:r>
      <w:r w:rsidRPr="005911E2">
        <w:t xml:space="preserve"> although women are perhaps somewhat more positive about the measure than men.</w:t>
      </w:r>
    </w:p>
    <w:p w:rsidR="00220531" w:rsidRPr="005911E2" w:rsidRDefault="00220531" w:rsidP="00220531">
      <w:pPr>
        <w:pStyle w:val="Heading7"/>
      </w:pPr>
      <w:r w:rsidRPr="005911E2">
        <w:t xml:space="preserve">Outcome evaluation </w:t>
      </w:r>
    </w:p>
    <w:p w:rsidR="00C34821" w:rsidRPr="005911E2" w:rsidRDefault="00C34821" w:rsidP="00007FB2">
      <w:pPr>
        <w:pStyle w:val="tablefootnotes"/>
      </w:pPr>
    </w:p>
    <w:p w:rsidR="00220531" w:rsidRPr="005911E2" w:rsidRDefault="00220531" w:rsidP="00220531">
      <w:pPr>
        <w:pStyle w:val="evalq"/>
      </w:pPr>
      <w:r w:rsidRPr="005911E2">
        <w:t xml:space="preserve">1. What are the short, medium and longer-term impacts of income management on individuals, their families and communities? </w:t>
      </w:r>
    </w:p>
    <w:p w:rsidR="00220531" w:rsidRPr="005911E2" w:rsidRDefault="00220531" w:rsidP="00220531">
      <w:pPr>
        <w:pStyle w:val="BodyText1"/>
      </w:pPr>
      <w:r w:rsidRPr="005911E2">
        <w:t>Given that this evaluation report relates to NIM around 12</w:t>
      </w:r>
      <w:r w:rsidR="007F10DA">
        <w:t xml:space="preserve"> month</w:t>
      </w:r>
      <w:r w:rsidRPr="005911E2">
        <w:t xml:space="preserve">s after it </w:t>
      </w:r>
      <w:r w:rsidR="005F67C5">
        <w:t>was</w:t>
      </w:r>
      <w:r w:rsidRPr="005911E2">
        <w:t xml:space="preserve"> rolled</w:t>
      </w:r>
      <w:r w:rsidR="008712B0">
        <w:t xml:space="preserve"> </w:t>
      </w:r>
      <w:r w:rsidRPr="005911E2">
        <w:t xml:space="preserve">out across the </w:t>
      </w:r>
      <w:r w:rsidR="006435C8">
        <w:t>Northern Territory,</w:t>
      </w:r>
      <w:r w:rsidRPr="005911E2">
        <w:t xml:space="preserve"> the focus at this stage is on relatively </w:t>
      </w:r>
      <w:r w:rsidR="00D3222D">
        <w:t>short-term</w:t>
      </w:r>
      <w:r w:rsidRPr="005911E2">
        <w:t xml:space="preserve"> impacts of NIM and for those subject </w:t>
      </w:r>
      <w:r w:rsidR="00614538" w:rsidRPr="005911E2">
        <w:t>to</w:t>
      </w:r>
      <w:r w:rsidR="00614538">
        <w:t xml:space="preserve"> </w:t>
      </w:r>
      <w:r w:rsidRPr="005911E2">
        <w:t>NTER</w:t>
      </w:r>
      <w:r w:rsidR="005F67C5">
        <w:t xml:space="preserve"> IM</w:t>
      </w:r>
      <w:r w:rsidRPr="005911E2">
        <w:t>, the</w:t>
      </w:r>
      <w:r w:rsidR="004845C5">
        <w:t xml:space="preserve"> </w:t>
      </w:r>
      <w:r w:rsidRPr="005911E2">
        <w:t>medium-term impacts.</w:t>
      </w:r>
      <w:r w:rsidR="00355421">
        <w:t xml:space="preserve"> </w:t>
      </w:r>
      <w:r w:rsidRPr="005911E2">
        <w:t xml:space="preserve">In addition, it should be noted that for a minority the experience of </w:t>
      </w:r>
      <w:r w:rsidR="00F878E4">
        <w:t>income management</w:t>
      </w:r>
      <w:r w:rsidRPr="005911E2">
        <w:t xml:space="preserve"> is essentially only </w:t>
      </w:r>
      <w:r w:rsidR="00D3222D">
        <w:t>short-term</w:t>
      </w:r>
      <w:r w:rsidR="008712B0">
        <w:t xml:space="preserve"> with </w:t>
      </w:r>
      <w:r w:rsidR="009633D1">
        <w:t xml:space="preserve">at least </w:t>
      </w:r>
      <w:r w:rsidR="008712B0">
        <w:t>a quarter exiting before spending more than 12 months on income management.</w:t>
      </w:r>
      <w:r w:rsidRPr="005911E2">
        <w:t xml:space="preserve"> </w:t>
      </w:r>
      <w:r w:rsidR="008712B0">
        <w:t xml:space="preserve">Two-thirds of those exiting Voluntary Income Management remain on income support this </w:t>
      </w:r>
      <w:r w:rsidRPr="005911E2">
        <w:t>The majority (</w:t>
      </w:r>
      <w:r w:rsidR="008712B0">
        <w:t>56</w:t>
      </w:r>
      <w:r w:rsidR="008712B0" w:rsidRPr="005911E2">
        <w:t xml:space="preserve"> </w:t>
      </w:r>
      <w:r w:rsidRPr="005911E2">
        <w:t xml:space="preserve">per cent) of those who </w:t>
      </w:r>
      <w:r w:rsidR="004845C5">
        <w:t xml:space="preserve">exited from </w:t>
      </w:r>
      <w:r w:rsidR="008712B0">
        <w:t xml:space="preserve">compulsory streams of </w:t>
      </w:r>
      <w:r w:rsidR="00F878E4">
        <w:t>income management</w:t>
      </w:r>
      <w:r w:rsidRPr="005911E2">
        <w:t xml:space="preserve"> did so because they were no longer receiving an income support payment.</w:t>
      </w:r>
    </w:p>
    <w:p w:rsidR="00220531" w:rsidRPr="005911E2" w:rsidRDefault="00220531" w:rsidP="00220531">
      <w:pPr>
        <w:pStyle w:val="BodyText1"/>
      </w:pPr>
      <w:r w:rsidRPr="005911E2">
        <w:t xml:space="preserve">The data collected from those subject to </w:t>
      </w:r>
      <w:r w:rsidR="00F878E4">
        <w:t>income management</w:t>
      </w:r>
      <w:r w:rsidRPr="005911E2">
        <w:t xml:space="preserve"> provides clear evidence that for some people </w:t>
      </w:r>
      <w:r w:rsidR="00F878E4">
        <w:t>income management</w:t>
      </w:r>
      <w:r w:rsidRPr="005911E2">
        <w:t xml:space="preserve"> is perceived as having a positive impact on their lives. There is evidence that income management has reduced adverse outcomes from financial harassment </w:t>
      </w:r>
      <w:r w:rsidR="00DE631A" w:rsidRPr="005911E2">
        <w:t xml:space="preserve">amongst </w:t>
      </w:r>
      <w:r w:rsidRPr="005911E2">
        <w:t xml:space="preserve">some groups. For example, across all Indigenous people on </w:t>
      </w:r>
      <w:r w:rsidR="00F878E4">
        <w:t>income management</w:t>
      </w:r>
      <w:r w:rsidRPr="005911E2">
        <w:t xml:space="preserve"> who were surveyed</w:t>
      </w:r>
      <w:r w:rsidR="00D41615">
        <w:t>,</w:t>
      </w:r>
      <w:r w:rsidRPr="005911E2">
        <w:t xml:space="preserve"> the incidence of </w:t>
      </w:r>
      <w:r w:rsidR="00D41615">
        <w:t>having financial problems as a consequence of giving money to others</w:t>
      </w:r>
      <w:r w:rsidRPr="005911E2">
        <w:t xml:space="preserve"> declined from around 50 per cent to 38 per cent. More detailed analysis suggests that this effect was much more concentrated in some subgroups than others. This perception of lower levels of harassment was supported by the data collected from intermediaries, particularly Centrelink staff</w:t>
      </w:r>
      <w:r w:rsidR="00DE631A" w:rsidRPr="005911E2">
        <w:t>.</w:t>
      </w:r>
    </w:p>
    <w:p w:rsidR="00220531" w:rsidRPr="005911E2" w:rsidRDefault="00DE631A" w:rsidP="00220531">
      <w:pPr>
        <w:pStyle w:val="BodyText1"/>
      </w:pPr>
      <w:r w:rsidRPr="005911E2">
        <w:t>Many</w:t>
      </w:r>
      <w:r w:rsidR="00220531" w:rsidRPr="005911E2">
        <w:t xml:space="preserve"> survey participants subject to </w:t>
      </w:r>
      <w:r w:rsidR="00F878E4">
        <w:t>income management</w:t>
      </w:r>
      <w:r w:rsidR="00220531" w:rsidRPr="005911E2">
        <w:t xml:space="preserve"> </w:t>
      </w:r>
      <w:r w:rsidRPr="005911E2">
        <w:t xml:space="preserve">considered </w:t>
      </w:r>
      <w:r w:rsidR="00220531" w:rsidRPr="005911E2">
        <w:t xml:space="preserve">that </w:t>
      </w:r>
      <w:r w:rsidR="00F878E4">
        <w:t>income management</w:t>
      </w:r>
      <w:r w:rsidR="00220531" w:rsidRPr="005911E2">
        <w:t xml:space="preserve"> is not making much difference to their own wellbeing or that of their families.</w:t>
      </w:r>
      <w:r w:rsidR="00B92C07" w:rsidRPr="005911E2">
        <w:t xml:space="preserve"> </w:t>
      </w:r>
    </w:p>
    <w:p w:rsidR="009419A0" w:rsidRPr="005911E2" w:rsidRDefault="009419A0" w:rsidP="009419A0">
      <w:pPr>
        <w:pStyle w:val="BodyText1"/>
      </w:pPr>
      <w:r w:rsidRPr="005911E2">
        <w:t xml:space="preserve">In some cases people subject to </w:t>
      </w:r>
      <w:r w:rsidR="00F878E4">
        <w:t>income management</w:t>
      </w:r>
      <w:r w:rsidRPr="005911E2">
        <w:t xml:space="preserve"> have mixed views about the program, for example valuing the BasicsCard but resenting the associated loss of autonomy.</w:t>
      </w:r>
    </w:p>
    <w:p w:rsidR="00220531" w:rsidRPr="005911E2" w:rsidRDefault="00220531" w:rsidP="00220531">
      <w:pPr>
        <w:pStyle w:val="BodyText1"/>
      </w:pPr>
      <w:r w:rsidRPr="005911E2">
        <w:t xml:space="preserve">There is also a group who perceive </w:t>
      </w:r>
      <w:r w:rsidR="00F878E4">
        <w:t>income management</w:t>
      </w:r>
      <w:r w:rsidRPr="005911E2">
        <w:t xml:space="preserve"> as having had a negative impact on their lives</w:t>
      </w:r>
      <w:r w:rsidR="005F67C5">
        <w:t>;</w:t>
      </w:r>
      <w:r w:rsidRPr="005911E2">
        <w:t xml:space="preserve"> although</w:t>
      </w:r>
      <w:r w:rsidR="00DE631A" w:rsidRPr="005911E2">
        <w:t xml:space="preserve"> on balance</w:t>
      </w:r>
      <w:r w:rsidR="005F67C5">
        <w:t>,</w:t>
      </w:r>
      <w:r w:rsidRPr="005911E2">
        <w:t xml:space="preserve"> for most </w:t>
      </w:r>
      <w:r w:rsidR="005F67C5">
        <w:t>aspects</w:t>
      </w:r>
      <w:r w:rsidR="005F67C5" w:rsidRPr="005911E2">
        <w:t xml:space="preserve"> </w:t>
      </w:r>
      <w:r w:rsidR="009624F6" w:rsidRPr="005911E2">
        <w:t>of wellbeing</w:t>
      </w:r>
      <w:r w:rsidR="005F67C5">
        <w:t>,</w:t>
      </w:r>
      <w:r w:rsidR="009624F6" w:rsidRPr="005911E2">
        <w:t xml:space="preserve"> </w:t>
      </w:r>
      <w:r w:rsidRPr="005911E2">
        <w:t xml:space="preserve">more people report positive effects than those who report negative effects. </w:t>
      </w:r>
    </w:p>
    <w:p w:rsidR="00220531" w:rsidRPr="005911E2" w:rsidRDefault="00220531" w:rsidP="00220531">
      <w:pPr>
        <w:pStyle w:val="BodyText1"/>
      </w:pPr>
      <w:r w:rsidRPr="005911E2">
        <w:t xml:space="preserve">The perceptions of those subject to </w:t>
      </w:r>
      <w:r w:rsidR="00F878E4">
        <w:t>income management</w:t>
      </w:r>
      <w:r w:rsidRPr="005911E2">
        <w:t xml:space="preserve"> about the impact of </w:t>
      </w:r>
      <w:r w:rsidR="00F878E4">
        <w:t>income management</w:t>
      </w:r>
      <w:r w:rsidRPr="005911E2">
        <w:t xml:space="preserve"> on the wellbeing of themselves and their families’ needs to be compared to the reports of income support recipients outside of the</w:t>
      </w:r>
      <w:r w:rsidR="006435C8">
        <w:t xml:space="preserve"> Northern Territory </w:t>
      </w:r>
      <w:r w:rsidRPr="005911E2">
        <w:t xml:space="preserve">and who are not subject to </w:t>
      </w:r>
      <w:r w:rsidR="00F878E4">
        <w:t>income management</w:t>
      </w:r>
      <w:r w:rsidRPr="005911E2">
        <w:t>. In many cases the people interviewed in the contrast sites outside of the</w:t>
      </w:r>
      <w:r w:rsidR="006435C8">
        <w:t xml:space="preserve"> Northern Territory </w:t>
      </w:r>
      <w:r w:rsidRPr="005911E2">
        <w:t xml:space="preserve">had similar perceptions of improvement, and therefore the reported improvements cannot necessarily be attributed to </w:t>
      </w:r>
      <w:r w:rsidR="00F878E4">
        <w:t>income management</w:t>
      </w:r>
      <w:r w:rsidRPr="005911E2">
        <w:t xml:space="preserve">. </w:t>
      </w:r>
    </w:p>
    <w:p w:rsidR="00220531" w:rsidRPr="005911E2" w:rsidRDefault="00220531" w:rsidP="00220531">
      <w:pPr>
        <w:pStyle w:val="BodyText1"/>
      </w:pPr>
      <w:r w:rsidRPr="005911E2">
        <w:t xml:space="preserve">Indigenous people subject to </w:t>
      </w:r>
      <w:r w:rsidR="00F878E4">
        <w:t>income management</w:t>
      </w:r>
      <w:r w:rsidR="004845C5">
        <w:t>, particularly those living in NTER prescribed communities,</w:t>
      </w:r>
      <w:r w:rsidRPr="005911E2">
        <w:t xml:space="preserve"> reported strong perceptions of improvements in child wellbeing in their community. </w:t>
      </w:r>
      <w:r w:rsidR="004845C5">
        <w:t>T</w:t>
      </w:r>
      <w:r w:rsidRPr="005911E2">
        <w:t>wo cautions need to be exercised in interpreting these findings</w:t>
      </w:r>
      <w:r w:rsidR="00614538" w:rsidRPr="005911E2">
        <w:t>.</w:t>
      </w:r>
      <w:r w:rsidR="00614538">
        <w:t xml:space="preserve"> </w:t>
      </w:r>
    </w:p>
    <w:p w:rsidR="00220531" w:rsidRPr="005911E2" w:rsidRDefault="00220531" w:rsidP="00051CDC">
      <w:pPr>
        <w:pStyle w:val="ListBullet"/>
      </w:pPr>
      <w:r w:rsidRPr="005911E2">
        <w:t xml:space="preserve">The first is the extent to which such perceptions </w:t>
      </w:r>
      <w:r w:rsidR="00B87905" w:rsidRPr="005911E2">
        <w:t xml:space="preserve">are </w:t>
      </w:r>
      <w:r w:rsidRPr="005911E2">
        <w:t xml:space="preserve">not </w:t>
      </w:r>
      <w:r w:rsidR="00B87905" w:rsidRPr="005911E2">
        <w:t>confirmed by</w:t>
      </w:r>
      <w:r w:rsidRPr="005911E2">
        <w:t xml:space="preserve"> objective data where it is possible to test this. </w:t>
      </w:r>
      <w:r w:rsidR="004845C5">
        <w:t>For example</w:t>
      </w:r>
      <w:r w:rsidR="00D41615">
        <w:t>,</w:t>
      </w:r>
      <w:r w:rsidR="004845C5">
        <w:t xml:space="preserve"> school attendance has not</w:t>
      </w:r>
      <w:r w:rsidR="00A16258" w:rsidRPr="001B2735">
        <w:t>, on average,</w:t>
      </w:r>
      <w:r w:rsidR="004845C5">
        <w:t xml:space="preserve"> improved in these communities.</w:t>
      </w:r>
      <w:r w:rsidR="009419A0">
        <w:t xml:space="preserve"> </w:t>
      </w:r>
      <w:r w:rsidRPr="005911E2">
        <w:t>This is also the case with some of the other responses to questions on the impact of IM</w:t>
      </w:r>
      <w:r w:rsidR="00614538" w:rsidRPr="005911E2">
        <w:t>.</w:t>
      </w:r>
      <w:r w:rsidR="00614538">
        <w:t xml:space="preserve"> </w:t>
      </w:r>
      <w:r w:rsidRPr="005911E2">
        <w:t xml:space="preserve">For example amongst Indigenous people on </w:t>
      </w:r>
      <w:r w:rsidR="00F878E4">
        <w:t>income management</w:t>
      </w:r>
      <w:r w:rsidRPr="005911E2">
        <w:t xml:space="preserve">, there was a statistically significant perception of an improvement in their ability to afford food but this was not matched by the extent to which they reported running out of money for food. </w:t>
      </w:r>
    </w:p>
    <w:p w:rsidR="00220531" w:rsidRPr="005911E2" w:rsidRDefault="00220531" w:rsidP="00051CDC">
      <w:pPr>
        <w:pStyle w:val="ListBullet"/>
      </w:pPr>
      <w:r w:rsidRPr="005911E2">
        <w:t xml:space="preserve">The second is attributing these perceived improvements specifically to </w:t>
      </w:r>
      <w:r w:rsidR="00F878E4">
        <w:t>income management</w:t>
      </w:r>
      <w:r w:rsidR="00D41615">
        <w:t>,</w:t>
      </w:r>
      <w:r w:rsidRPr="005911E2">
        <w:t xml:space="preserve"> given the major policy changes associated with the NTER and the substantial additional resources spent in the</w:t>
      </w:r>
      <w:r w:rsidR="006435C8">
        <w:t xml:space="preserve"> Northern Territory </w:t>
      </w:r>
      <w:r w:rsidRPr="005911E2">
        <w:t xml:space="preserve">since </w:t>
      </w:r>
      <w:r w:rsidR="00590292">
        <w:t>it</w:t>
      </w:r>
      <w:r w:rsidRPr="005911E2">
        <w:t xml:space="preserve"> commenced. In identifying this</w:t>
      </w:r>
      <w:r w:rsidR="00D41615">
        <w:t>,</w:t>
      </w:r>
      <w:r w:rsidRPr="005911E2">
        <w:t xml:space="preserve"> the analysis </w:t>
      </w:r>
      <w:r w:rsidR="009633D1">
        <w:t xml:space="preserve">also </w:t>
      </w:r>
      <w:r w:rsidRPr="005911E2">
        <w:t>specifically considered whether th</w:t>
      </w:r>
      <w:r w:rsidR="00295191" w:rsidRPr="005911E2">
        <w:t xml:space="preserve">ese findings were </w:t>
      </w:r>
      <w:r w:rsidRPr="005911E2">
        <w:t>potentially indicator</w:t>
      </w:r>
      <w:r w:rsidR="00295191" w:rsidRPr="005911E2">
        <w:t>s</w:t>
      </w:r>
      <w:r w:rsidRPr="005911E2">
        <w:t xml:space="preserve"> of the longer term effects of </w:t>
      </w:r>
      <w:r w:rsidR="00F878E4">
        <w:t>income management</w:t>
      </w:r>
      <w:r w:rsidR="00295191" w:rsidRPr="005911E2">
        <w:t xml:space="preserve">, as </w:t>
      </w:r>
      <w:r w:rsidRPr="005911E2">
        <w:t xml:space="preserve">many people in these areas had been subject to </w:t>
      </w:r>
      <w:r w:rsidR="00F878E4">
        <w:t>income management</w:t>
      </w:r>
      <w:r w:rsidRPr="005911E2">
        <w:t xml:space="preserve"> under the NTER. </w:t>
      </w:r>
      <w:r w:rsidR="00DE631A" w:rsidRPr="005911E2">
        <w:t xml:space="preserve">The </w:t>
      </w:r>
      <w:r w:rsidRPr="005911E2">
        <w:t xml:space="preserve">analysis did not find consistent evidence to suggest that exposure to NTER </w:t>
      </w:r>
      <w:r w:rsidR="00EB0A86">
        <w:t>income management</w:t>
      </w:r>
      <w:r w:rsidR="00EB0A86" w:rsidRPr="005911E2">
        <w:t xml:space="preserve"> </w:t>
      </w:r>
      <w:r w:rsidRPr="005911E2">
        <w:t xml:space="preserve">per se was associated with more positive </w:t>
      </w:r>
      <w:r w:rsidR="00DE631A" w:rsidRPr="005911E2">
        <w:t>outcomes o</w:t>
      </w:r>
      <w:r w:rsidR="009419A0">
        <w:t>r</w:t>
      </w:r>
      <w:r w:rsidR="00DE631A" w:rsidRPr="005911E2">
        <w:t xml:space="preserve"> </w:t>
      </w:r>
      <w:r w:rsidRPr="005911E2">
        <w:t xml:space="preserve">perceptions of wellbeing. </w:t>
      </w:r>
    </w:p>
    <w:p w:rsidR="00220531" w:rsidRPr="005911E2" w:rsidDel="00B92C07" w:rsidRDefault="00220531" w:rsidP="00220531">
      <w:pPr>
        <w:pStyle w:val="BodyText1"/>
      </w:pPr>
      <w:r w:rsidRPr="005911E2" w:rsidDel="00B92C07">
        <w:t xml:space="preserve">Many of the people subject to </w:t>
      </w:r>
      <w:r w:rsidR="00F878E4">
        <w:t>income management</w:t>
      </w:r>
      <w:r w:rsidRPr="005911E2" w:rsidDel="00B92C07">
        <w:t xml:space="preserve"> who reported that it makes little material difference to their lives also reported being left with a sense of having been treated unfairly and being disempowered. </w:t>
      </w:r>
    </w:p>
    <w:p w:rsidR="00220531" w:rsidRPr="005911E2" w:rsidRDefault="00220531" w:rsidP="00220531">
      <w:pPr>
        <w:pStyle w:val="BodyText1"/>
      </w:pPr>
      <w:r w:rsidRPr="005911E2">
        <w:t xml:space="preserve">For others being subject to </w:t>
      </w:r>
      <w:r w:rsidR="00F878E4">
        <w:t>income management</w:t>
      </w:r>
      <w:r w:rsidRPr="005911E2">
        <w:t xml:space="preserve"> is experienced as restrictive and frustrating, making their lives more difficult and complicated</w:t>
      </w:r>
      <w:r w:rsidR="00590292">
        <w:t>,</w:t>
      </w:r>
      <w:r w:rsidRPr="005911E2">
        <w:t xml:space="preserve"> and in some cases limiting their ability to fully engage in community life. Many in this group also find </w:t>
      </w:r>
      <w:r w:rsidR="00F878E4">
        <w:t>income management</w:t>
      </w:r>
      <w:r w:rsidRPr="005911E2">
        <w:t xml:space="preserve"> disempowering.</w:t>
      </w:r>
    </w:p>
    <w:p w:rsidR="00220531" w:rsidRPr="005911E2" w:rsidRDefault="00220531" w:rsidP="00220531">
      <w:pPr>
        <w:pStyle w:val="BodyText1"/>
      </w:pPr>
      <w:r w:rsidRPr="005911E2">
        <w:t xml:space="preserve">Overall, there is a strong sense of unfairness amongst many of those subject to </w:t>
      </w:r>
      <w:r w:rsidR="00F878E4">
        <w:t>income management</w:t>
      </w:r>
      <w:r w:rsidRPr="005911E2">
        <w:t>, with only a quarter feeling that it is never unfair.</w:t>
      </w:r>
      <w:r w:rsidR="009419A0" w:rsidRPr="009419A0">
        <w:t xml:space="preserve"> </w:t>
      </w:r>
      <w:r w:rsidR="00590292">
        <w:t>Income</w:t>
      </w:r>
      <w:r w:rsidR="00F878E4">
        <w:t xml:space="preserve"> management</w:t>
      </w:r>
      <w:r w:rsidR="009419A0">
        <w:t xml:space="preserve"> and the BasicsCard are strongly associated with the NTER and this may have exacerbated these feelings</w:t>
      </w:r>
      <w:r w:rsidR="001B2735">
        <w:t xml:space="preserve"> </w:t>
      </w:r>
      <w:r w:rsidR="009419A0">
        <w:t>for many people.</w:t>
      </w:r>
    </w:p>
    <w:p w:rsidR="00220531" w:rsidRPr="005911E2" w:rsidRDefault="00D923FE" w:rsidP="00220531">
      <w:pPr>
        <w:pStyle w:val="BodyText1"/>
      </w:pPr>
      <w:r>
        <w:t>Overall</w:t>
      </w:r>
      <w:r w:rsidR="00220531" w:rsidRPr="005911E2">
        <w:t xml:space="preserve"> non-Indigenous people subject to </w:t>
      </w:r>
      <w:r w:rsidR="00F878E4">
        <w:t>income management</w:t>
      </w:r>
      <w:r w:rsidR="00220531" w:rsidRPr="005911E2">
        <w:t xml:space="preserve"> are more negative about the program than Indigenous people</w:t>
      </w:r>
      <w:r w:rsidR="00590292">
        <w:t>,</w:t>
      </w:r>
      <w:r w:rsidR="00220531" w:rsidRPr="005911E2">
        <w:t xml:space="preserve"> and a higher proportion </w:t>
      </w:r>
      <w:r w:rsidR="00287B55">
        <w:t xml:space="preserve">of this group </w:t>
      </w:r>
      <w:r w:rsidR="00220531" w:rsidRPr="005911E2">
        <w:t xml:space="preserve">believe that </w:t>
      </w:r>
      <w:r w:rsidR="00F878E4">
        <w:t>income management</w:t>
      </w:r>
      <w:r w:rsidR="00220531" w:rsidRPr="005911E2">
        <w:t xml:space="preserve"> has made no difference or has been harmful to them and their families. </w:t>
      </w:r>
    </w:p>
    <w:p w:rsidR="00220531" w:rsidRPr="005911E2" w:rsidRDefault="00220531" w:rsidP="00220531">
      <w:pPr>
        <w:pStyle w:val="BodyText1"/>
      </w:pPr>
      <w:r w:rsidRPr="005911E2">
        <w:t xml:space="preserve">Two-thirds of those subject to </w:t>
      </w:r>
      <w:r w:rsidR="00F878E4">
        <w:t>income management</w:t>
      </w:r>
      <w:r w:rsidRPr="005911E2">
        <w:t xml:space="preserve"> report that their family does not have problems with alcohol, drugs or gambling. </w:t>
      </w:r>
      <w:r w:rsidR="005A1D47">
        <w:t>T</w:t>
      </w:r>
      <w:r w:rsidR="007C5443">
        <w:t xml:space="preserve">he </w:t>
      </w:r>
      <w:r w:rsidR="00A16258">
        <w:t xml:space="preserve">experience of </w:t>
      </w:r>
      <w:r w:rsidR="007C5443">
        <w:t xml:space="preserve">other studies </w:t>
      </w:r>
      <w:r w:rsidR="001B2735">
        <w:t>indicates</w:t>
      </w:r>
      <w:r w:rsidR="007C5443">
        <w:t xml:space="preserve"> that t</w:t>
      </w:r>
      <w:r w:rsidR="009419A0">
        <w:t xml:space="preserve">hese problems </w:t>
      </w:r>
      <w:r w:rsidR="007C5443">
        <w:t>tend</w:t>
      </w:r>
      <w:r w:rsidR="009419A0">
        <w:t xml:space="preserve"> to be</w:t>
      </w:r>
      <w:r w:rsidRPr="005911E2">
        <w:t xml:space="preserve"> </w:t>
      </w:r>
      <w:r w:rsidR="00EB0A86">
        <w:t xml:space="preserve">considerably </w:t>
      </w:r>
      <w:r w:rsidRPr="005911E2">
        <w:t>under-reported in survey</w:t>
      </w:r>
      <w:r w:rsidR="00A16258">
        <w:t>s</w:t>
      </w:r>
      <w:r w:rsidR="00590292">
        <w:t>.</w:t>
      </w:r>
      <w:r w:rsidR="007C5443">
        <w:t xml:space="preserve"> </w:t>
      </w:r>
      <w:r w:rsidR="005A1D47">
        <w:t>Nevertheless</w:t>
      </w:r>
      <w:r w:rsidR="00590292">
        <w:t>,</w:t>
      </w:r>
      <w:r w:rsidR="005A1D47">
        <w:t xml:space="preserve"> </w:t>
      </w:r>
      <w:r w:rsidRPr="005911E2">
        <w:t xml:space="preserve">the </w:t>
      </w:r>
      <w:r w:rsidR="00A16258">
        <w:t xml:space="preserve">evaluation </w:t>
      </w:r>
      <w:r w:rsidR="007C5443">
        <w:t xml:space="preserve">evidence </w:t>
      </w:r>
      <w:r w:rsidR="005A7F05">
        <w:t xml:space="preserve">appears to </w:t>
      </w:r>
      <w:r w:rsidR="005A1D47">
        <w:t>indicate</w:t>
      </w:r>
      <w:r w:rsidRPr="005911E2">
        <w:t xml:space="preserve"> that a </w:t>
      </w:r>
      <w:r w:rsidR="00EB0A86" w:rsidRPr="005911E2">
        <w:t>substantial</w:t>
      </w:r>
      <w:r w:rsidRPr="005911E2">
        <w:t xml:space="preserve"> proportion of those subject to </w:t>
      </w:r>
      <w:r w:rsidR="00F878E4">
        <w:t>income management</w:t>
      </w:r>
      <w:r w:rsidRPr="005911E2">
        <w:t xml:space="preserve"> do not have these types of problems. This raises questions about the targeting of </w:t>
      </w:r>
      <w:r w:rsidR="004808B3">
        <w:t>Compulsory Income Management</w:t>
      </w:r>
      <w:r w:rsidRPr="005911E2">
        <w:t>.</w:t>
      </w:r>
    </w:p>
    <w:p w:rsidR="00220531" w:rsidRPr="005911E2" w:rsidRDefault="00220531" w:rsidP="00220531">
      <w:pPr>
        <w:pStyle w:val="BodyText1"/>
      </w:pPr>
      <w:r w:rsidRPr="005911E2">
        <w:t xml:space="preserve">The ways in which the exemptions policy and procedures have been applied do not appear to be effective in providing a link between financial management and exiting the program, as described below. </w:t>
      </w:r>
    </w:p>
    <w:p w:rsidR="00220531" w:rsidRPr="005911E2" w:rsidRDefault="00220531" w:rsidP="00220531">
      <w:pPr>
        <w:pStyle w:val="BodyText1"/>
      </w:pPr>
      <w:r w:rsidRPr="005911E2">
        <w:t xml:space="preserve">People subject to NIM expressed a diversity of views about the measure. When asked whether the program had made things better for them, 36 per cent of Indigenous people on </w:t>
      </w:r>
      <w:r w:rsidR="00287B55">
        <w:t xml:space="preserve">compulsory forms of income management </w:t>
      </w:r>
      <w:r w:rsidRPr="005911E2">
        <w:t xml:space="preserve">reported it was better, 26 per cent that there was no difference, and 27 per cent that it had made things worse. The </w:t>
      </w:r>
      <w:r w:rsidR="005A7F05" w:rsidRPr="005911E2">
        <w:t>balance was</w:t>
      </w:r>
      <w:r w:rsidRPr="005911E2">
        <w:t xml:space="preserve"> uncertain as to the impact of </w:t>
      </w:r>
      <w:r w:rsidR="00F878E4">
        <w:t>income management</w:t>
      </w:r>
      <w:r w:rsidRPr="005911E2">
        <w:t xml:space="preserve">. Amongst Indigenous people on </w:t>
      </w:r>
      <w:r w:rsidR="002B5A5C">
        <w:t>Voluntary Income Management</w:t>
      </w:r>
      <w:r w:rsidR="00590292">
        <w:t>,</w:t>
      </w:r>
      <w:r w:rsidRPr="005911E2">
        <w:t xml:space="preserve"> around 61 per cent said it had made things better</w:t>
      </w:r>
      <w:r w:rsidR="00590292">
        <w:t>;</w:t>
      </w:r>
      <w:r w:rsidRPr="005911E2">
        <w:t xml:space="preserve"> amongst non-Indigenous people on </w:t>
      </w:r>
      <w:r w:rsidR="00287B55">
        <w:t>compulsory streams of income management</w:t>
      </w:r>
      <w:r w:rsidRPr="005911E2">
        <w:t xml:space="preserve"> 51 per cent said it had made things worse. Around 60 per cent of Indigenous people on </w:t>
      </w:r>
      <w:r w:rsidR="00287B55">
        <w:t>compulsory streams of income management</w:t>
      </w:r>
      <w:r w:rsidRPr="005911E2">
        <w:t xml:space="preserve"> and 65 per cent of non-Indigenous people would not recommend the program to others, </w:t>
      </w:r>
      <w:r w:rsidR="00D41615">
        <w:t>nor</w:t>
      </w:r>
      <w:r w:rsidR="00D41615" w:rsidRPr="005911E2">
        <w:t xml:space="preserve"> </w:t>
      </w:r>
      <w:r w:rsidRPr="005911E2">
        <w:t xml:space="preserve">would 40 per cent of Indigenous people on </w:t>
      </w:r>
      <w:r w:rsidR="002B5A5C">
        <w:t>Voluntary Income Management</w:t>
      </w:r>
      <w:r w:rsidRPr="005911E2">
        <w:t xml:space="preserve">. Non-Indigenous people and Indigenous people living in areas outside NTER prescribed areas on </w:t>
      </w:r>
      <w:r w:rsidR="00287B55">
        <w:t>compulsory forms of income management</w:t>
      </w:r>
      <w:r w:rsidRPr="005911E2">
        <w:t xml:space="preserve"> are most negative. Those on </w:t>
      </w:r>
      <w:r w:rsidR="002B5A5C">
        <w:t>Voluntary Income Management</w:t>
      </w:r>
      <w:r w:rsidRPr="005911E2">
        <w:t xml:space="preserve"> and Indigenous people on </w:t>
      </w:r>
      <w:r w:rsidR="00287B55">
        <w:t>compulsory forms of income management</w:t>
      </w:r>
      <w:r w:rsidRPr="005911E2">
        <w:t xml:space="preserve"> living in NTER prescribed communities are most positive. Women have a slight tendency to be more positive about </w:t>
      </w:r>
      <w:r w:rsidR="00F878E4">
        <w:t>income management</w:t>
      </w:r>
      <w:r w:rsidRPr="005911E2">
        <w:t>, although the differences in perception between women and men are not great. Most of the variation in perception was within each of these groups</w:t>
      </w:r>
      <w:r w:rsidR="002A53BE">
        <w:t>.</w:t>
      </w:r>
      <w:r w:rsidRPr="005911E2">
        <w:t xml:space="preserve"> </w:t>
      </w:r>
    </w:p>
    <w:p w:rsidR="009419A0" w:rsidRPr="005911E2" w:rsidRDefault="009419A0" w:rsidP="009419A0">
      <w:pPr>
        <w:pStyle w:val="BodyText1"/>
      </w:pPr>
      <w:r w:rsidRPr="005911E2">
        <w:t xml:space="preserve">The emerging picture from this initial evaluation is that </w:t>
      </w:r>
      <w:r w:rsidR="00F878E4">
        <w:t>income management</w:t>
      </w:r>
      <w:r w:rsidRPr="005911E2">
        <w:t xml:space="preserve"> is impacting different groups of people in different ways. There is evidence that </w:t>
      </w:r>
      <w:r w:rsidR="00F878E4">
        <w:t>income management</w:t>
      </w:r>
      <w:r w:rsidRPr="005911E2">
        <w:t xml:space="preserve"> can be an effective intervention for some people, either as a form of self-management through </w:t>
      </w:r>
      <w:r w:rsidR="002B5A5C">
        <w:t>Voluntary Income Management</w:t>
      </w:r>
      <w:r w:rsidRPr="005911E2">
        <w:t xml:space="preserve"> or for individuals with demonstrated problems managing their finances, being subject to harassment or misusing substances. There is support for the measure in these contexts from most Centrelink staff and </w:t>
      </w:r>
      <w:r w:rsidR="009025CC">
        <w:t>m</w:t>
      </w:r>
      <w:r w:rsidRPr="005911E2">
        <w:t xml:space="preserve">oney </w:t>
      </w:r>
      <w:r w:rsidR="009025CC">
        <w:t>m</w:t>
      </w:r>
      <w:r w:rsidRPr="005911E2">
        <w:t>anagement and financial counselling service providers as well as many of those on income support. On the other hand</w:t>
      </w:r>
      <w:r w:rsidR="009025CC">
        <w:t>,</w:t>
      </w:r>
      <w:r w:rsidRPr="005911E2">
        <w:t xml:space="preserve"> as a general measure applied to large portions of income support recipients</w:t>
      </w:r>
      <w:r w:rsidR="009025CC">
        <w:t>,</w:t>
      </w:r>
      <w:r w:rsidRPr="005911E2">
        <w:t xml:space="preserve"> it appears to have far fewer positives and involves a number of potential downsides. These include provoking a sense of disempowerment and resentment, with no clear path between managing money responsibly and exiting </w:t>
      </w:r>
      <w:r w:rsidR="00F878E4">
        <w:t>income management</w:t>
      </w:r>
      <w:r w:rsidRPr="005911E2">
        <w:t xml:space="preserve">. This issue of a lack of a clear exit strategy for people subject to </w:t>
      </w:r>
      <w:r w:rsidR="004808B3">
        <w:t>Compulsory Income Management</w:t>
      </w:r>
      <w:r w:rsidRPr="005911E2">
        <w:t xml:space="preserve"> was a prominent theme amongst intermediaries, with Centrelink staff in particular noting concerns.</w:t>
      </w:r>
    </w:p>
    <w:p w:rsidR="0093347F" w:rsidRDefault="00E172FE">
      <w:pPr>
        <w:pStyle w:val="BodyText"/>
      </w:pPr>
      <w:r>
        <w:t>This issue is also relevant in the case of exemption</w:t>
      </w:r>
      <w:r w:rsidR="003773A9">
        <w:t>s.</w:t>
      </w:r>
      <w:r>
        <w:t xml:space="preserve"> </w:t>
      </w:r>
      <w:r w:rsidR="003773A9">
        <w:t>R</w:t>
      </w:r>
      <w:r>
        <w:t>esponsible financial management is not of itself sufficient grounds for gaining an exemption. Rather</w:t>
      </w:r>
      <w:r w:rsidR="00D41615">
        <w:t>,</w:t>
      </w:r>
      <w:r>
        <w:t xml:space="preserve"> there is </w:t>
      </w:r>
      <w:r w:rsidR="00D41615">
        <w:t xml:space="preserve">a </w:t>
      </w:r>
      <w:r>
        <w:t xml:space="preserve">requirement to demonstrate ‘socially responsible behaviour’ </w:t>
      </w:r>
      <w:r w:rsidR="00B5351D">
        <w:t xml:space="preserve">either </w:t>
      </w:r>
      <w:r>
        <w:t>with regard to education and other activities for children, or employment.</w:t>
      </w:r>
    </w:p>
    <w:p w:rsidR="0093347F" w:rsidRDefault="00E172FE">
      <w:pPr>
        <w:pStyle w:val="BodyText"/>
      </w:pPr>
      <w:r>
        <w:t>The mixed results identified in the evaluation reflect</w:t>
      </w:r>
      <w:r w:rsidR="00220531" w:rsidRPr="005911E2">
        <w:t xml:space="preserve"> several factors. Firstly, </w:t>
      </w:r>
      <w:r w:rsidR="00C61382" w:rsidRPr="005911E2">
        <w:t xml:space="preserve">there was a strong sentiment that </w:t>
      </w:r>
      <w:r w:rsidR="00F878E4">
        <w:t>income management</w:t>
      </w:r>
      <w:r w:rsidR="00220531" w:rsidRPr="005911E2">
        <w:t xml:space="preserve"> is an appropriate measure for some people, but</w:t>
      </w:r>
      <w:r w:rsidR="00C61382" w:rsidRPr="005911E2">
        <w:t xml:space="preserve"> is </w:t>
      </w:r>
      <w:r w:rsidR="00220531" w:rsidRPr="005911E2">
        <w:t xml:space="preserve">seen as unnecessary for many. Secondly, some aspects of the program are viewed more positively than others. For example, for some people </w:t>
      </w:r>
      <w:r w:rsidR="00F878E4">
        <w:t>income management</w:t>
      </w:r>
      <w:r w:rsidR="00220531" w:rsidRPr="005911E2">
        <w:t xml:space="preserve"> is stigmatising and unfairly limits where they can shop and what they can buy, whereas for others the reduction in harassment considerably improved their wellbeing.</w:t>
      </w:r>
    </w:p>
    <w:p w:rsidR="00220531" w:rsidRPr="005911E2" w:rsidRDefault="00220531" w:rsidP="00220531">
      <w:pPr>
        <w:pStyle w:val="evalq"/>
      </w:pPr>
      <w:r w:rsidRPr="005911E2">
        <w:t>(a)</w:t>
      </w:r>
      <w:r w:rsidRPr="005911E2">
        <w:tab/>
        <w:t>How do these effects differ for the various streams of the program (mainstream, voluntary, child protection, vulnerable)?</w:t>
      </w:r>
    </w:p>
    <w:p w:rsidR="00220531" w:rsidRPr="005911E2" w:rsidRDefault="00220531" w:rsidP="00220531">
      <w:pPr>
        <w:pStyle w:val="BodyText1"/>
      </w:pPr>
      <w:r w:rsidRPr="005911E2">
        <w:t>Voluntary Income Management is generally viewed positively by those who have chosen to be income managed. However, amongst some intermediaries and stakeholders there remains a degree of uncertainty about the extent to which all people on the measure made fully informed choices to be income managed. In the LSNIM survey there is evidence</w:t>
      </w:r>
      <w:r w:rsidR="005920A3" w:rsidRPr="005911E2">
        <w:t xml:space="preserve"> that some </w:t>
      </w:r>
      <w:r w:rsidRPr="005911E2">
        <w:t xml:space="preserve">people on </w:t>
      </w:r>
      <w:r w:rsidR="002B5A5C">
        <w:t>Voluntary Income Management</w:t>
      </w:r>
      <w:r w:rsidR="005920A3" w:rsidRPr="005911E2">
        <w:t xml:space="preserve"> were confused about whether </w:t>
      </w:r>
      <w:r w:rsidRPr="005911E2">
        <w:t xml:space="preserve">they chose to be </w:t>
      </w:r>
      <w:r w:rsidR="00B05FDD">
        <w:t>on</w:t>
      </w:r>
      <w:r w:rsidRPr="005911E2">
        <w:t xml:space="preserve"> </w:t>
      </w:r>
      <w:r w:rsidR="00F878E4">
        <w:t>income management</w:t>
      </w:r>
      <w:r w:rsidRPr="005911E2">
        <w:t xml:space="preserve">. After the initial implementation period the numbers on </w:t>
      </w:r>
      <w:r w:rsidR="002B5A5C">
        <w:t>Voluntary Income Management</w:t>
      </w:r>
      <w:r w:rsidRPr="005911E2">
        <w:t xml:space="preserve"> have been relatively stable, although there are some signs that the number may be drifting down</w:t>
      </w:r>
      <w:r w:rsidR="009025CC">
        <w:t>;</w:t>
      </w:r>
      <w:r w:rsidRPr="005911E2">
        <w:t xml:space="preserve"> this is more marked amongst the small group who had not been subject to </w:t>
      </w:r>
      <w:r w:rsidR="00F878E4">
        <w:t>income management</w:t>
      </w:r>
      <w:r w:rsidRPr="005911E2">
        <w:t xml:space="preserve"> under the NTER. On the whole, people on </w:t>
      </w:r>
      <w:r w:rsidR="002B5A5C">
        <w:t>Voluntary Income Management</w:t>
      </w:r>
      <w:r w:rsidRPr="005911E2">
        <w:t xml:space="preserve"> are more positive about the measure and its effects than people subject to </w:t>
      </w:r>
      <w:r w:rsidR="00287B55">
        <w:t>c</w:t>
      </w:r>
      <w:r w:rsidR="004808B3">
        <w:t xml:space="preserve">ompulsory </w:t>
      </w:r>
      <w:r w:rsidR="00287B55">
        <w:t>forms of i</w:t>
      </w:r>
      <w:r w:rsidR="004808B3">
        <w:t xml:space="preserve">ncome </w:t>
      </w:r>
      <w:r w:rsidR="00287B55">
        <w:t>m</w:t>
      </w:r>
      <w:r w:rsidR="004808B3">
        <w:t>anagement</w:t>
      </w:r>
      <w:r w:rsidRPr="005911E2">
        <w:t xml:space="preserve">. </w:t>
      </w:r>
      <w:r w:rsidR="005920A3" w:rsidRPr="005911E2">
        <w:t>A</w:t>
      </w:r>
      <w:r w:rsidRPr="005911E2">
        <w:t xml:space="preserve">t this stage of the evaluation, </w:t>
      </w:r>
      <w:r w:rsidR="005920A3" w:rsidRPr="005911E2">
        <w:t xml:space="preserve">it is unclear to what </w:t>
      </w:r>
      <w:r w:rsidRPr="005911E2">
        <w:t>extent the incentive payment has a role to play in these findings.</w:t>
      </w:r>
    </w:p>
    <w:p w:rsidR="00220531" w:rsidRPr="005911E2" w:rsidRDefault="00220531" w:rsidP="00220531">
      <w:pPr>
        <w:pStyle w:val="BodyText1"/>
      </w:pPr>
      <w:r w:rsidRPr="005911E2">
        <w:t>The numbers of people on Vulnerable Income Management and Child Protection Income Management are small</w:t>
      </w:r>
      <w:r w:rsidR="008904E2">
        <w:t xml:space="preserve"> – </w:t>
      </w:r>
      <w:r w:rsidRPr="005911E2">
        <w:t>4</w:t>
      </w:r>
      <w:r w:rsidR="00007FB2">
        <w:t>5</w:t>
      </w:r>
      <w:r w:rsidRPr="005911E2">
        <w:t xml:space="preserve"> on </w:t>
      </w:r>
      <w:r w:rsidR="00E146B5">
        <w:t>Child Protection Income Management</w:t>
      </w:r>
      <w:r w:rsidRPr="005911E2">
        <w:t xml:space="preserve"> and 19</w:t>
      </w:r>
      <w:r w:rsidR="00007FB2">
        <w:t>8</w:t>
      </w:r>
      <w:r w:rsidRPr="005911E2">
        <w:t xml:space="preserve"> on </w:t>
      </w:r>
      <w:r w:rsidR="00E2340D">
        <w:t>Vulnerable Income Management</w:t>
      </w:r>
      <w:r w:rsidRPr="005911E2">
        <w:t xml:space="preserve"> in October 2011. These small numbers mean that we do not have enough data in the first wave of </w:t>
      </w:r>
      <w:r w:rsidR="009025CC">
        <w:t xml:space="preserve">the </w:t>
      </w:r>
      <w:r w:rsidR="005B4122">
        <w:t>longitudinal survey</w:t>
      </w:r>
      <w:r w:rsidRPr="005911E2">
        <w:t xml:space="preserve"> to enable the evaluation to report separately on the impacts of these measures on the wellbeing of individuals. Centrelink staff and some money management and financial counselling service providers were of the view that </w:t>
      </w:r>
      <w:r w:rsidR="00E2340D">
        <w:t>Vulnerable Income Management</w:t>
      </w:r>
      <w:r w:rsidRPr="005911E2">
        <w:t xml:space="preserve"> could assist and was a useful tool for a small number of people in specific circumstances who do not volunteer for their income to be managed. Even so, most of these staff expressed a preference for people whose circumstances would be appropriate for these two compulsory </w:t>
      </w:r>
      <w:r w:rsidR="009025CC">
        <w:t xml:space="preserve">measures </w:t>
      </w:r>
      <w:r w:rsidRPr="005911E2">
        <w:t xml:space="preserve">to go onto </w:t>
      </w:r>
      <w:r w:rsidR="002B5A5C">
        <w:t>Voluntary Income Management</w:t>
      </w:r>
      <w:r w:rsidRPr="005911E2">
        <w:t xml:space="preserve">. </w:t>
      </w:r>
    </w:p>
    <w:p w:rsidR="00220531" w:rsidRPr="005911E2" w:rsidRDefault="00220531" w:rsidP="00220531">
      <w:pPr>
        <w:pStyle w:val="BodyText1"/>
      </w:pPr>
      <w:r w:rsidRPr="005911E2">
        <w:t xml:space="preserve">Compulsory Income Management (CIM) appears to provide benefits to some people. The program appears to have potential benefits for those who are in acute or chronic financial difficulties or who are subject to financial harassment. </w:t>
      </w:r>
      <w:r w:rsidR="00B301CD">
        <w:t>For</w:t>
      </w:r>
      <w:r w:rsidR="002D3B35" w:rsidRPr="005911E2">
        <w:t xml:space="preserve"> many other</w:t>
      </w:r>
      <w:r w:rsidR="00D41615">
        <w:t>s</w:t>
      </w:r>
      <w:r w:rsidR="002D3B35" w:rsidRPr="005911E2">
        <w:t xml:space="preserve"> there are few, if any, gains, and often a sense of loss of control, shame and unfairness.</w:t>
      </w:r>
    </w:p>
    <w:p w:rsidR="00220531" w:rsidRDefault="00220531" w:rsidP="00220531">
      <w:pPr>
        <w:pStyle w:val="BodyText1"/>
      </w:pPr>
      <w:r w:rsidRPr="005911E2">
        <w:t xml:space="preserve">From the evidence we have collected it appears that </w:t>
      </w:r>
      <w:r w:rsidR="00F878E4">
        <w:t>income management</w:t>
      </w:r>
      <w:r w:rsidRPr="005911E2">
        <w:t xml:space="preserve"> seldom in itself motivate</w:t>
      </w:r>
      <w:r w:rsidR="00B301CD">
        <w:t>s</w:t>
      </w:r>
      <w:r w:rsidRPr="005911E2">
        <w:t xml:space="preserve"> people to develop the skills to manage their finances (where these are lacking), obtain paid employment or parent more adequately. There is little evidence that it is bringing about the behavioural change necessary to generate the intended </w:t>
      </w:r>
      <w:r w:rsidR="00D3222D">
        <w:t>long-term</w:t>
      </w:r>
      <w:r w:rsidRPr="005911E2">
        <w:t xml:space="preserve"> effects. </w:t>
      </w:r>
      <w:r w:rsidR="00B301CD">
        <w:t>The</w:t>
      </w:r>
      <w:r w:rsidRPr="005911E2">
        <w:t xml:space="preserve"> program logic for NIM indicate</w:t>
      </w:r>
      <w:r w:rsidR="00B301CD">
        <w:t>s</w:t>
      </w:r>
      <w:r w:rsidRPr="005911E2">
        <w:t xml:space="preserve"> that </w:t>
      </w:r>
      <w:r w:rsidR="00F878E4">
        <w:t>income management</w:t>
      </w:r>
      <w:r w:rsidRPr="005911E2">
        <w:t xml:space="preserve"> is only one of a range of interventions which are necessary to change behaviour, and the evaluation has found that many of those subject to </w:t>
      </w:r>
      <w:r w:rsidR="00F878E4">
        <w:t>income management</w:t>
      </w:r>
      <w:r w:rsidRPr="005911E2">
        <w:t xml:space="preserve"> have not accessed appropriate services or interventions which</w:t>
      </w:r>
      <w:r w:rsidR="009419A0">
        <w:t>, according to the program logic</w:t>
      </w:r>
      <w:r w:rsidR="00B301CD">
        <w:t>,</w:t>
      </w:r>
      <w:r w:rsidRPr="005911E2">
        <w:t xml:space="preserve"> </w:t>
      </w:r>
      <w:r w:rsidR="00B301CD">
        <w:t>are necessary to</w:t>
      </w:r>
      <w:r w:rsidRPr="005911E2">
        <w:t xml:space="preserve"> facilitate longer term change.</w:t>
      </w:r>
      <w:r w:rsidR="00BB14C5">
        <w:t xml:space="preserve"> </w:t>
      </w:r>
    </w:p>
    <w:p w:rsidR="00220531" w:rsidRPr="005911E2" w:rsidRDefault="00596375" w:rsidP="00220531">
      <w:pPr>
        <w:pStyle w:val="BodyText1"/>
      </w:pPr>
      <w:r>
        <w:t>T</w:t>
      </w:r>
      <w:r w:rsidR="00220531" w:rsidRPr="005911E2">
        <w:t xml:space="preserve">aken as a whole, the data collected for the evaluation to date indicates that </w:t>
      </w:r>
      <w:r w:rsidR="00F878E4">
        <w:t>income management</w:t>
      </w:r>
      <w:r w:rsidR="00220531" w:rsidRPr="005911E2">
        <w:t xml:space="preserve"> can reduce control over financial management for some people and provides some indications </w:t>
      </w:r>
      <w:r>
        <w:t xml:space="preserve">of the possibility </w:t>
      </w:r>
      <w:r w:rsidR="00220531" w:rsidRPr="005911E2">
        <w:t xml:space="preserve">that it may encourage passivity and a loss of self-reliance </w:t>
      </w:r>
      <w:r w:rsidR="00957834">
        <w:t xml:space="preserve">in the longer term </w:t>
      </w:r>
      <w:r w:rsidR="00220531" w:rsidRPr="005911E2">
        <w:t>for a proportion of income support recipients.</w:t>
      </w:r>
      <w:r w:rsidR="004947B2">
        <w:t xml:space="preserve"> </w:t>
      </w:r>
      <w:r w:rsidR="004947B2" w:rsidRPr="004947B2">
        <w:t>The data suggests that the majority of those subject to income management will continue being income managed for an extended period of time.</w:t>
      </w:r>
    </w:p>
    <w:p w:rsidR="00220531" w:rsidRPr="005911E2" w:rsidRDefault="00220531" w:rsidP="00220531">
      <w:pPr>
        <w:pStyle w:val="BodyText1"/>
      </w:pPr>
      <w:r w:rsidRPr="005911E2">
        <w:t xml:space="preserve">This mix of findings was broadly echoed in interviews with a range of intermediaries who expressed concerns about the purpose of </w:t>
      </w:r>
      <w:r w:rsidR="004808B3">
        <w:t>Compulsory Income Management</w:t>
      </w:r>
      <w:r w:rsidRPr="005911E2">
        <w:t xml:space="preserve"> and its impacts on long-term </w:t>
      </w:r>
      <w:r w:rsidR="00BB552A">
        <w:t xml:space="preserve">income support </w:t>
      </w:r>
      <w:r w:rsidR="00021FA7">
        <w:t>payment</w:t>
      </w:r>
      <w:r w:rsidRPr="005911E2">
        <w:t xml:space="preserve"> recipients in particular. The respondents tended to argue for a more targeted approach that went beyond unemployment, even long</w:t>
      </w:r>
      <w:r w:rsidR="00D41615">
        <w:t>-</w:t>
      </w:r>
      <w:r w:rsidRPr="005911E2">
        <w:t xml:space="preserve">term unemployment as a reason for being subject to </w:t>
      </w:r>
      <w:r w:rsidR="00F878E4">
        <w:t>income management</w:t>
      </w:r>
      <w:r w:rsidRPr="005911E2">
        <w:t xml:space="preserve">. Similarly many of the survey participants who were subject to </w:t>
      </w:r>
      <w:r w:rsidR="00F878E4">
        <w:t>income management</w:t>
      </w:r>
      <w:r w:rsidRPr="005911E2">
        <w:t xml:space="preserve"> felt that this measure was suitable for them but not others, and vice versa – that it was suitable for others but inappropriate for them because they had been managing their finances adequately before being subject to IM.</w:t>
      </w:r>
    </w:p>
    <w:p w:rsidR="00220531" w:rsidRPr="005911E2" w:rsidRDefault="00220531" w:rsidP="00220531">
      <w:pPr>
        <w:pStyle w:val="BodyText1"/>
      </w:pPr>
      <w:r w:rsidRPr="005911E2">
        <w:t xml:space="preserve">As we report below, </w:t>
      </w:r>
      <w:r w:rsidR="00163350">
        <w:t xml:space="preserve">the </w:t>
      </w:r>
      <w:r w:rsidRPr="005911E2">
        <w:t xml:space="preserve">associated components of </w:t>
      </w:r>
      <w:r w:rsidR="004808B3">
        <w:t>Compulsory Income Management</w:t>
      </w:r>
      <w:r w:rsidR="00D41615">
        <w:t>:</w:t>
      </w:r>
      <w:r w:rsidRPr="005911E2">
        <w:t xml:space="preserve"> </w:t>
      </w:r>
      <w:r w:rsidR="00163350">
        <w:t>M</w:t>
      </w:r>
      <w:r w:rsidRPr="005911E2">
        <w:t xml:space="preserve">atched </w:t>
      </w:r>
      <w:r w:rsidR="00163350">
        <w:t>S</w:t>
      </w:r>
      <w:r w:rsidRPr="005911E2">
        <w:t>avings</w:t>
      </w:r>
      <w:r w:rsidR="00163350">
        <w:t xml:space="preserve"> Payment</w:t>
      </w:r>
      <w:r w:rsidRPr="005911E2">
        <w:t>, exemptions</w:t>
      </w:r>
      <w:r w:rsidR="00163350">
        <w:t>,</w:t>
      </w:r>
      <w:r w:rsidRPr="005911E2">
        <w:t xml:space="preserve"> and completion of </w:t>
      </w:r>
      <w:r w:rsidR="00F12F22">
        <w:t xml:space="preserve">approved </w:t>
      </w:r>
      <w:r w:rsidRPr="005911E2">
        <w:t>money management courses, appear to have had a marginal impact and are not taken up by many</w:t>
      </w:r>
      <w:r w:rsidR="00163350">
        <w:t xml:space="preserve"> people</w:t>
      </w:r>
      <w:r w:rsidRPr="005911E2">
        <w:t xml:space="preserve">, especially Indigenous people. The </w:t>
      </w:r>
      <w:r w:rsidR="00163350">
        <w:t>m</w:t>
      </w:r>
      <w:r w:rsidRPr="005911E2">
        <w:t xml:space="preserve">oney </w:t>
      </w:r>
      <w:r w:rsidR="00163350">
        <w:t>m</w:t>
      </w:r>
      <w:r w:rsidRPr="005911E2">
        <w:t xml:space="preserve">anagement and financial counselling services provide assistance to a large number of people on </w:t>
      </w:r>
      <w:r w:rsidR="00F878E4">
        <w:t>income management</w:t>
      </w:r>
      <w:r w:rsidRPr="005911E2">
        <w:t xml:space="preserve">, but it appears that much of this is </w:t>
      </w:r>
      <w:r w:rsidR="00D3222D">
        <w:t>short-term</w:t>
      </w:r>
      <w:r w:rsidR="008904E2" w:rsidRPr="005911E2">
        <w:t xml:space="preserve"> </w:t>
      </w:r>
      <w:r w:rsidRPr="005911E2">
        <w:t>assistance rather than</w:t>
      </w:r>
      <w:r w:rsidR="00F12F22">
        <w:t xml:space="preserve"> directly</w:t>
      </w:r>
      <w:r w:rsidRPr="005911E2">
        <w:t xml:space="preserve"> building budgeting and financial management skills</w:t>
      </w:r>
      <w:r w:rsidR="00614538" w:rsidRPr="005911E2">
        <w:t>.</w:t>
      </w:r>
      <w:r w:rsidR="00614538">
        <w:t xml:space="preserve"> </w:t>
      </w:r>
    </w:p>
    <w:p w:rsidR="00220531" w:rsidRPr="005911E2" w:rsidRDefault="00220531" w:rsidP="00220531">
      <w:pPr>
        <w:pStyle w:val="BodyText1"/>
      </w:pPr>
      <w:r w:rsidRPr="005911E2">
        <w:t xml:space="preserve">The further waves of </w:t>
      </w:r>
      <w:r w:rsidR="00163350">
        <w:t xml:space="preserve">the longitudinal survey </w:t>
      </w:r>
      <w:r w:rsidRPr="005911E2">
        <w:t xml:space="preserve">data collection in this evaluation, which will track the </w:t>
      </w:r>
      <w:r w:rsidR="009633D1">
        <w:t>experience</w:t>
      </w:r>
      <w:r w:rsidR="001D1838" w:rsidRPr="005911E2">
        <w:t xml:space="preserve"> </w:t>
      </w:r>
      <w:r w:rsidRPr="005911E2">
        <w:t xml:space="preserve">of people subject to </w:t>
      </w:r>
      <w:r w:rsidR="00F878E4">
        <w:t>income management</w:t>
      </w:r>
      <w:r w:rsidRPr="005911E2">
        <w:t xml:space="preserve">, will provide much more definitive insights into the longer term effects of </w:t>
      </w:r>
      <w:r w:rsidR="00F878E4">
        <w:t>income management</w:t>
      </w:r>
      <w:r w:rsidRPr="005911E2">
        <w:t xml:space="preserve"> on income support recipients, their families and communities.</w:t>
      </w:r>
    </w:p>
    <w:p w:rsidR="00220531" w:rsidRPr="005911E2" w:rsidRDefault="00220531" w:rsidP="00220531">
      <w:pPr>
        <w:pStyle w:val="evalq"/>
      </w:pPr>
      <w:r w:rsidRPr="005911E2">
        <w:t>(b)</w:t>
      </w:r>
      <w:r w:rsidRPr="005911E2">
        <w:tab/>
        <w:t xml:space="preserve">Have there been changes in spending patterns, food and alcohol consumption, school attendance and harassment? </w:t>
      </w:r>
    </w:p>
    <w:p w:rsidR="00220531" w:rsidRPr="005911E2" w:rsidRDefault="00220531" w:rsidP="00220531">
      <w:pPr>
        <w:pStyle w:val="BodyText1"/>
      </w:pPr>
      <w:r w:rsidRPr="005911E2">
        <w:t xml:space="preserve">As outlined in the Evaluation Framework (and Chapter 3), the most important data for answering this question will be the population level data, especially for the Indigenous population who are most affected by </w:t>
      </w:r>
      <w:r w:rsidR="00F878E4">
        <w:t>income management</w:t>
      </w:r>
      <w:r w:rsidRPr="005911E2">
        <w:t xml:space="preserve">. In general, </w:t>
      </w:r>
      <w:r w:rsidR="00D41615" w:rsidRPr="005911E2">
        <w:t>th</w:t>
      </w:r>
      <w:r w:rsidR="00D41615">
        <w:t>is</w:t>
      </w:r>
      <w:r w:rsidR="00D41615" w:rsidRPr="005911E2">
        <w:t xml:space="preserve"> </w:t>
      </w:r>
      <w:r w:rsidRPr="005911E2">
        <w:t xml:space="preserve">data </w:t>
      </w:r>
      <w:r w:rsidR="00D41615">
        <w:t>is</w:t>
      </w:r>
      <w:r w:rsidR="00D41615" w:rsidRPr="005911E2">
        <w:t xml:space="preserve"> </w:t>
      </w:r>
      <w:r w:rsidRPr="005911E2">
        <w:t>not yet available for 2011 and so it is not possible to answer this question at a population level as yet</w:t>
      </w:r>
      <w:r w:rsidR="00614538" w:rsidRPr="005911E2">
        <w:t>.</w:t>
      </w:r>
      <w:r w:rsidR="00614538">
        <w:t xml:space="preserve"> </w:t>
      </w:r>
    </w:p>
    <w:p w:rsidR="00220531" w:rsidRPr="005911E2" w:rsidRDefault="00220531" w:rsidP="00220531">
      <w:pPr>
        <w:pStyle w:val="BodyText1"/>
      </w:pPr>
      <w:r w:rsidRPr="005911E2">
        <w:t xml:space="preserve">Data on spending of income managed funds is not available in a form which allows actual patterns of expenditure to be examined. Only data that relates to the proportion of income which is managed </w:t>
      </w:r>
      <w:r w:rsidR="00D41615">
        <w:t>is</w:t>
      </w:r>
      <w:r w:rsidR="00D41615" w:rsidRPr="005911E2">
        <w:t xml:space="preserve"> </w:t>
      </w:r>
      <w:r w:rsidRPr="005911E2">
        <w:t xml:space="preserve">available. </w:t>
      </w:r>
    </w:p>
    <w:p w:rsidR="00220531" w:rsidRPr="005911E2" w:rsidRDefault="00220531" w:rsidP="00220531">
      <w:pPr>
        <w:pStyle w:val="BodyText1"/>
      </w:pPr>
      <w:r w:rsidRPr="005911E2">
        <w:t xml:space="preserve">The specific effects of </w:t>
      </w:r>
      <w:r w:rsidR="00F878E4">
        <w:t>income management</w:t>
      </w:r>
      <w:r w:rsidRPr="005911E2">
        <w:t xml:space="preserve"> on school attendance are difficult to measure as we do not have data that links school attendance and </w:t>
      </w:r>
      <w:r w:rsidR="00F878E4">
        <w:t>income management</w:t>
      </w:r>
      <w:r w:rsidRPr="005911E2">
        <w:t>. However</w:t>
      </w:r>
      <w:r w:rsidR="00163350">
        <w:t>,</w:t>
      </w:r>
      <w:r w:rsidRPr="005911E2">
        <w:t xml:space="preserve"> the effects appear to be rather limited. If school attendance outcomes are assessed by the number of exemptions granted as a result of meeting the school attendance criteria</w:t>
      </w:r>
      <w:r w:rsidR="00D41615">
        <w:t>,</w:t>
      </w:r>
      <w:r w:rsidRPr="005911E2">
        <w:t xml:space="preserve"> then the impact has been marginal, as only a relatively small proportion of those with children have been granted such exemptions. This is particularly the case for the Indigenous population. </w:t>
      </w:r>
    </w:p>
    <w:p w:rsidR="00220531" w:rsidRPr="005911E2" w:rsidRDefault="00220531" w:rsidP="00220531">
      <w:pPr>
        <w:pStyle w:val="BodyText1"/>
      </w:pPr>
      <w:r w:rsidRPr="005911E2">
        <w:t xml:space="preserve">While in the survey, as noted earlier, a large proportion of Indigenous participants reported higher levels of school attendance in their community since the inception of </w:t>
      </w:r>
      <w:r w:rsidR="00F878E4">
        <w:t>income management</w:t>
      </w:r>
      <w:r w:rsidR="00163350">
        <w:t>, t</w:t>
      </w:r>
      <w:r w:rsidRPr="005911E2">
        <w:t>here is no clear evidence of such a change in attendance to the end of 2011. This finding is in line with the NTER evaluation which found similar positive perceptions but no overall increase in the level of school attendance reported in the administrative data</w:t>
      </w:r>
      <w:r w:rsidR="00FA5A6B">
        <w:t>.</w:t>
      </w:r>
      <w:r w:rsidRPr="005911E2">
        <w:rPr>
          <w:rStyle w:val="FootnoteReference"/>
        </w:rPr>
        <w:footnoteReference w:id="134"/>
      </w:r>
    </w:p>
    <w:p w:rsidR="00220531" w:rsidRPr="005911E2" w:rsidRDefault="00220531" w:rsidP="00220531">
      <w:pPr>
        <w:pStyle w:val="BodyText1"/>
      </w:pPr>
      <w:r w:rsidRPr="005911E2">
        <w:t>The LSNIM provides some evidence of a reduction in financial problems as a result of giving money to others. However the problem remains significant</w:t>
      </w:r>
      <w:r w:rsidR="00D41615">
        <w:t>,</w:t>
      </w:r>
      <w:r w:rsidRPr="005911E2">
        <w:t xml:space="preserve"> including for people who have been on </w:t>
      </w:r>
      <w:r w:rsidR="00F878E4">
        <w:t>income management</w:t>
      </w:r>
      <w:r w:rsidRPr="005911E2">
        <w:t xml:space="preserve"> for an extended period under the NTER. The survey of intermediaries and others confirm</w:t>
      </w:r>
      <w:r w:rsidR="00596375">
        <w:t>s</w:t>
      </w:r>
      <w:r w:rsidRPr="005911E2">
        <w:t xml:space="preserve"> the perception that </w:t>
      </w:r>
      <w:r w:rsidR="00F878E4">
        <w:t>income management</w:t>
      </w:r>
      <w:r w:rsidRPr="005911E2">
        <w:t xml:space="preserve"> has been effective in somewhat reducing </w:t>
      </w:r>
      <w:r w:rsidR="005E57B7">
        <w:t xml:space="preserve">the adverse consequences of </w:t>
      </w:r>
      <w:r w:rsidRPr="005911E2">
        <w:t>financial harassment</w:t>
      </w:r>
      <w:r w:rsidR="00163350">
        <w:t>,</w:t>
      </w:r>
      <w:r w:rsidRPr="005911E2">
        <w:t xml:space="preserve"> although there </w:t>
      </w:r>
      <w:r w:rsidR="00D41615">
        <w:t>is</w:t>
      </w:r>
      <w:r w:rsidR="00D41615" w:rsidRPr="005911E2">
        <w:t xml:space="preserve"> </w:t>
      </w:r>
      <w:r w:rsidRPr="005911E2">
        <w:t xml:space="preserve">no data on </w:t>
      </w:r>
      <w:r w:rsidR="00596375">
        <w:t xml:space="preserve">its </w:t>
      </w:r>
      <w:r w:rsidRPr="005911E2">
        <w:t xml:space="preserve">actual prevalence. </w:t>
      </w:r>
    </w:p>
    <w:p w:rsidR="00220531" w:rsidRPr="005911E2" w:rsidRDefault="00220531" w:rsidP="00220531">
      <w:pPr>
        <w:pStyle w:val="evalq"/>
      </w:pPr>
      <w:r w:rsidRPr="005911E2">
        <w:t>(c)</w:t>
      </w:r>
      <w:r w:rsidRPr="005911E2">
        <w:tab/>
        <w:t>What impact does NIM have on movement in and out of</w:t>
      </w:r>
      <w:r w:rsidR="006435C8">
        <w:t xml:space="preserve"> Northern Territory </w:t>
      </w:r>
      <w:r w:rsidRPr="005911E2">
        <w:t xml:space="preserve">among people on the measure? </w:t>
      </w:r>
    </w:p>
    <w:p w:rsidR="00220531" w:rsidRDefault="00220531" w:rsidP="00220531">
      <w:pPr>
        <w:pStyle w:val="BodyText1"/>
        <w:rPr>
          <w:lang w:eastAsia="en-US"/>
        </w:rPr>
      </w:pPr>
      <w:r w:rsidRPr="005911E2">
        <w:t>There is no evidence of any change in the level of movement in and out of</w:t>
      </w:r>
      <w:r w:rsidR="006435C8">
        <w:t xml:space="preserve"> Northern Territory </w:t>
      </w:r>
      <w:r w:rsidRPr="005911E2">
        <w:t xml:space="preserve">among people on the measure. </w:t>
      </w:r>
      <w:r w:rsidRPr="005911E2">
        <w:rPr>
          <w:lang w:eastAsia="en-US"/>
        </w:rPr>
        <w:t>Future evaluation reports will track movements into and out of the</w:t>
      </w:r>
      <w:r w:rsidR="006435C8">
        <w:rPr>
          <w:lang w:eastAsia="en-US"/>
        </w:rPr>
        <w:t xml:space="preserve"> Northern Territory </w:t>
      </w:r>
      <w:r w:rsidRPr="005911E2">
        <w:rPr>
          <w:lang w:eastAsia="en-US"/>
        </w:rPr>
        <w:t xml:space="preserve">for different groups over time to identify whether there is a </w:t>
      </w:r>
      <w:r w:rsidR="00D3222D">
        <w:rPr>
          <w:lang w:eastAsia="en-US"/>
        </w:rPr>
        <w:t>long-term</w:t>
      </w:r>
      <w:r w:rsidRPr="005911E2">
        <w:rPr>
          <w:lang w:eastAsia="en-US"/>
        </w:rPr>
        <w:t xml:space="preserve"> effect. </w:t>
      </w:r>
    </w:p>
    <w:p w:rsidR="00B440B3" w:rsidRPr="005911E2" w:rsidRDefault="00F15172" w:rsidP="00220531">
      <w:pPr>
        <w:pStyle w:val="BodyText1"/>
        <w:rPr>
          <w:lang w:eastAsia="en-US"/>
        </w:rPr>
      </w:pPr>
      <w:r>
        <w:rPr>
          <w:lang w:eastAsia="en-US"/>
        </w:rPr>
        <w:t>While a number of the people identified as exiting income management are recorded as continuing to receive income support in locations outside the Northern Territory the extent to which this occurs is not inconsistent with other indicators of mobility.</w:t>
      </w:r>
    </w:p>
    <w:p w:rsidR="00220531" w:rsidRPr="005911E2" w:rsidRDefault="00220531" w:rsidP="00220531">
      <w:pPr>
        <w:pStyle w:val="evalq"/>
      </w:pPr>
      <w:r w:rsidRPr="005911E2">
        <w:t>(d)</w:t>
      </w:r>
      <w:r w:rsidRPr="005911E2">
        <w:tab/>
        <w:t>Has NIM contributed to changes in financial management, child health, alcohol abuse, violence and parenting (i</w:t>
      </w:r>
      <w:r w:rsidR="00163350">
        <w:t>.</w:t>
      </w:r>
      <w:r w:rsidRPr="005911E2">
        <w:t>e</w:t>
      </w:r>
      <w:r w:rsidR="00163350">
        <w:t>.</w:t>
      </w:r>
      <w:r w:rsidRPr="005911E2">
        <w:t xml:space="preserve"> reduced neglect)? </w:t>
      </w:r>
    </w:p>
    <w:p w:rsidR="00220531" w:rsidRPr="005911E2" w:rsidRDefault="00220531" w:rsidP="00220531">
      <w:pPr>
        <w:pStyle w:val="BodyText1"/>
      </w:pPr>
      <w:r w:rsidRPr="005911E2">
        <w:t xml:space="preserve">There has been insufficient time for any long-term impacts from NIM to have occurred. However, as noted above, in prescribed NTER areas where a form of income management has been operating since 2008, medium-term impacts may have occurred. There is some indication from the first wave of LSNIM that in NTER communities there are perceived improvements in many of these outcomes, particularly in relation to children’s wellbeing. However, as noted above, these perceptions are not always reflected in other more objective measures such as school attendance. Given the multiple interventions and areas of improvement it may be difficult for community members to identify the specific causes or particular areas of improvement. Similarly this evaluation </w:t>
      </w:r>
      <w:r w:rsidR="008904E2">
        <w:t>could not identify any direct</w:t>
      </w:r>
      <w:r w:rsidRPr="005911E2">
        <w:t xml:space="preserve"> contribution of </w:t>
      </w:r>
      <w:r w:rsidR="00F878E4">
        <w:t>income management</w:t>
      </w:r>
      <w:r w:rsidRPr="005911E2">
        <w:t xml:space="preserve"> to these perceived improvements. </w:t>
      </w:r>
    </w:p>
    <w:p w:rsidR="00220531" w:rsidRPr="005911E2" w:rsidRDefault="00220531" w:rsidP="00220531">
      <w:pPr>
        <w:pStyle w:val="BodyText1"/>
      </w:pPr>
      <w:r w:rsidRPr="005911E2">
        <w:t xml:space="preserve">With regard to alcohol consumption it is very difficult to disaggregate the effects of </w:t>
      </w:r>
      <w:r w:rsidR="00F878E4">
        <w:t>income management</w:t>
      </w:r>
      <w:r w:rsidRPr="005911E2">
        <w:t xml:space="preserve"> from the many other initiatives in the </w:t>
      </w:r>
      <w:r w:rsidR="006435C8">
        <w:t>Northern Territory,</w:t>
      </w:r>
      <w:r w:rsidRPr="005911E2">
        <w:t xml:space="preserve"> and improved policing of alcohol restrictions was cited by some survey participants as a positive. Survey participants report low levels of alcohol, gambling and drug misuse in their families</w:t>
      </w:r>
      <w:r w:rsidR="002E3B2C">
        <w:t>,</w:t>
      </w:r>
      <w:r w:rsidRPr="005911E2">
        <w:t xml:space="preserve"> but also </w:t>
      </w:r>
      <w:r w:rsidR="002E3B2C">
        <w:t xml:space="preserve">report </w:t>
      </w:r>
      <w:r w:rsidRPr="005911E2">
        <w:t xml:space="preserve">improvements since </w:t>
      </w:r>
      <w:r w:rsidR="00F878E4">
        <w:t>income management</w:t>
      </w:r>
      <w:r w:rsidRPr="005911E2">
        <w:t xml:space="preserve"> especially in NTER communities. </w:t>
      </w:r>
      <w:r w:rsidR="00596375">
        <w:t>W</w:t>
      </w:r>
      <w:r w:rsidRPr="005911E2">
        <w:t>ith the exception of children</w:t>
      </w:r>
      <w:r w:rsidR="00D923FE">
        <w:t>’</w:t>
      </w:r>
      <w:r w:rsidRPr="005911E2">
        <w:t xml:space="preserve">s wellbeing and financial harassment mentioned above, the levels of change perceived by survey participants subject to </w:t>
      </w:r>
      <w:r w:rsidR="00F878E4">
        <w:t>income management</w:t>
      </w:r>
      <w:r w:rsidRPr="005911E2">
        <w:t xml:space="preserve"> in the</w:t>
      </w:r>
      <w:r w:rsidR="006435C8">
        <w:t xml:space="preserve"> Northern Territory </w:t>
      </w:r>
      <w:r w:rsidRPr="005911E2">
        <w:t>were, in general, similar to those of people on income support in the contrast sites who were not subject to IM.</w:t>
      </w:r>
    </w:p>
    <w:p w:rsidR="00220531" w:rsidRPr="005911E2" w:rsidRDefault="00220531" w:rsidP="00220531">
      <w:pPr>
        <w:pStyle w:val="BodyText1"/>
      </w:pPr>
      <w:r w:rsidRPr="005911E2">
        <w:t xml:space="preserve">We do not have sufficient data at this time to tell whether </w:t>
      </w:r>
      <w:r w:rsidR="00F878E4">
        <w:t>income management</w:t>
      </w:r>
      <w:r w:rsidRPr="005911E2">
        <w:t xml:space="preserve"> has had a significant impact on gambling. </w:t>
      </w:r>
      <w:r w:rsidR="00596375">
        <w:t>D</w:t>
      </w:r>
      <w:r w:rsidRPr="005911E2">
        <w:t xml:space="preserve">ata from the qualitative interviews with people subject to </w:t>
      </w:r>
      <w:r w:rsidR="00F878E4">
        <w:t>income management</w:t>
      </w:r>
      <w:r w:rsidRPr="005911E2">
        <w:t>, intermediaries</w:t>
      </w:r>
      <w:r w:rsidR="002E3B2C">
        <w:t>,</w:t>
      </w:r>
      <w:r w:rsidRPr="005911E2">
        <w:t xml:space="preserve"> and other stakeholders</w:t>
      </w:r>
      <w:r w:rsidR="002E3B2C">
        <w:t>,</w:t>
      </w:r>
      <w:r w:rsidRPr="005911E2">
        <w:t xml:space="preserve"> suggests that there has probably been a reduction</w:t>
      </w:r>
      <w:r w:rsidR="00F57967" w:rsidRPr="005911E2">
        <w:t xml:space="preserve">, but mechanisms such as the BasicsCard have not been able to fully protect the use of </w:t>
      </w:r>
      <w:r w:rsidR="00F878E4">
        <w:t>income manage</w:t>
      </w:r>
      <w:r w:rsidR="002E3B2C">
        <w:t>d</w:t>
      </w:r>
      <w:r w:rsidR="00F57967" w:rsidRPr="005911E2">
        <w:t xml:space="preserve"> funds from this.</w:t>
      </w:r>
    </w:p>
    <w:p w:rsidR="00220531" w:rsidRPr="005911E2" w:rsidRDefault="00220531" w:rsidP="00C34821">
      <w:pPr>
        <w:pStyle w:val="evalq"/>
      </w:pPr>
      <w:r w:rsidRPr="005911E2">
        <w:t>(e)</w:t>
      </w:r>
      <w:r w:rsidRPr="005911E2">
        <w:tab/>
        <w:t xml:space="preserve">Do the four streams achieve appropriate outcomes for their participants? </w:t>
      </w:r>
    </w:p>
    <w:p w:rsidR="00220531" w:rsidRPr="005911E2" w:rsidRDefault="00220531" w:rsidP="00220531">
      <w:pPr>
        <w:pStyle w:val="BodyText1"/>
      </w:pPr>
      <w:r w:rsidRPr="005911E2">
        <w:t xml:space="preserve">Full exploration of this is a longer term question and the subject of future evaluation reports. Moreover, as noted above, the vast majority of </w:t>
      </w:r>
      <w:r w:rsidR="008C254E">
        <w:t>people</w:t>
      </w:r>
      <w:r w:rsidR="008C254E" w:rsidRPr="005911E2">
        <w:t xml:space="preserve"> </w:t>
      </w:r>
      <w:r w:rsidRPr="005911E2">
        <w:t xml:space="preserve">are subject to </w:t>
      </w:r>
      <w:r w:rsidR="004808B3">
        <w:t>Compulsory Income Management</w:t>
      </w:r>
      <w:r w:rsidRPr="005911E2">
        <w:t xml:space="preserve"> and </w:t>
      </w:r>
      <w:r w:rsidR="002B5A5C">
        <w:t>Voluntary Income Management</w:t>
      </w:r>
      <w:r w:rsidR="002E3B2C">
        <w:t>;</w:t>
      </w:r>
      <w:r w:rsidRPr="005911E2">
        <w:t xml:space="preserve"> because </w:t>
      </w:r>
      <w:r w:rsidR="00E2340D">
        <w:t>Vulnerable Income Management</w:t>
      </w:r>
      <w:r w:rsidRPr="005911E2">
        <w:t xml:space="preserve"> is restricted to a small number of people, and </w:t>
      </w:r>
      <w:r w:rsidR="00E146B5">
        <w:t>Child Protection Income Management</w:t>
      </w:r>
      <w:r w:rsidRPr="005911E2">
        <w:t xml:space="preserve"> is rarely used, we are unable to separately assess the outcomes for these two measures. The sections below provide some findings on the outcomes for people on </w:t>
      </w:r>
      <w:r w:rsidR="004808B3">
        <w:t>Compulsory Income Management</w:t>
      </w:r>
      <w:r w:rsidRPr="005911E2">
        <w:t xml:space="preserve"> and </w:t>
      </w:r>
      <w:r w:rsidR="002B5A5C">
        <w:t>Voluntary Income Management</w:t>
      </w:r>
      <w:r w:rsidRPr="005911E2">
        <w:t xml:space="preserve">. </w:t>
      </w:r>
    </w:p>
    <w:p w:rsidR="00220531" w:rsidRPr="005911E2" w:rsidRDefault="00220531" w:rsidP="00220531">
      <w:pPr>
        <w:pStyle w:val="evalq"/>
      </w:pPr>
      <w:r w:rsidRPr="005911E2">
        <w:t>(f)</w:t>
      </w:r>
      <w:r w:rsidRPr="005911E2">
        <w:tab/>
        <w:t xml:space="preserve">Has NIM had any unintended consequences (positive or negative)? </w:t>
      </w:r>
    </w:p>
    <w:p w:rsidR="00220531" w:rsidRDefault="00220531" w:rsidP="00220531">
      <w:pPr>
        <w:pStyle w:val="BodyText1"/>
      </w:pPr>
      <w:r w:rsidRPr="005911E2">
        <w:t>The main positive unintended consequence has been the use of the BasicsCard by some people as a cheap banking service. This is especially true in remote communities where normal banking services can frequently be very expensive</w:t>
      </w:r>
      <w:r w:rsidR="00B11D6F" w:rsidRPr="005911E2">
        <w:t>.</w:t>
      </w:r>
      <w:r w:rsidRPr="005911E2">
        <w:t xml:space="preserve"> </w:t>
      </w:r>
    </w:p>
    <w:p w:rsidR="00220531" w:rsidRPr="005911E2" w:rsidRDefault="00220531" w:rsidP="00220531">
      <w:pPr>
        <w:pStyle w:val="BodyText1"/>
      </w:pPr>
      <w:r w:rsidRPr="005911E2">
        <w:t xml:space="preserve">The main negative unintended consequence is that some people appear to have become </w:t>
      </w:r>
      <w:r w:rsidR="008C254E">
        <w:t xml:space="preserve">passive in the management of their finances and </w:t>
      </w:r>
      <w:r w:rsidRPr="005911E2">
        <w:t xml:space="preserve">dependent on </w:t>
      </w:r>
      <w:r w:rsidR="00F878E4">
        <w:t>income management</w:t>
      </w:r>
      <w:r w:rsidR="00614538" w:rsidRPr="005911E2">
        <w:t>.</w:t>
      </w:r>
      <w:r w:rsidR="00614538">
        <w:t xml:space="preserve"> </w:t>
      </w:r>
    </w:p>
    <w:p w:rsidR="00220531" w:rsidRPr="005911E2" w:rsidRDefault="00220531" w:rsidP="00220531">
      <w:pPr>
        <w:pStyle w:val="BodyText1"/>
      </w:pPr>
      <w:r w:rsidRPr="005911E2">
        <w:t>Another unintended negative consequence is that the reduction in cash in communities has reduced financial harassment for many, but has</w:t>
      </w:r>
      <w:r w:rsidR="00135279" w:rsidRPr="005911E2">
        <w:t xml:space="preserve"> in some cases</w:t>
      </w:r>
      <w:r w:rsidRPr="005911E2">
        <w:t xml:space="preserve"> increased harassment for others</w:t>
      </w:r>
      <w:r w:rsidR="00135279" w:rsidRPr="005911E2">
        <w:t xml:space="preserve">. </w:t>
      </w:r>
      <w:r w:rsidR="003A464B">
        <w:t>There were reports that f</w:t>
      </w:r>
      <w:r w:rsidR="005911E2" w:rsidRPr="005911E2">
        <w:t>or</w:t>
      </w:r>
      <w:r w:rsidRPr="005911E2">
        <w:t xml:space="preserve"> some people </w:t>
      </w:r>
      <w:r w:rsidR="00135279" w:rsidRPr="005911E2">
        <w:t xml:space="preserve">this </w:t>
      </w:r>
      <w:r w:rsidRPr="005911E2">
        <w:t>has acted as a disincentive to seek employment for fear of being harassed for cash.</w:t>
      </w:r>
    </w:p>
    <w:p w:rsidR="00220531" w:rsidRPr="005911E2" w:rsidRDefault="00220531" w:rsidP="00C34821">
      <w:pPr>
        <w:pStyle w:val="evalq"/>
      </w:pPr>
      <w:r w:rsidRPr="005911E2">
        <w:t>(g)</w:t>
      </w:r>
      <w:r w:rsidRPr="005911E2">
        <w:tab/>
        <w:t>Are there differential effects for different groups?</w:t>
      </w:r>
    </w:p>
    <w:p w:rsidR="00220531" w:rsidRPr="005911E2" w:rsidRDefault="00220531" w:rsidP="00220531">
      <w:pPr>
        <w:pStyle w:val="BodyText1"/>
        <w:rPr>
          <w:rFonts w:cs="Arial"/>
        </w:rPr>
      </w:pPr>
      <w:r w:rsidRPr="005911E2">
        <w:t xml:space="preserve">The question of differential impacts is addressed in several of the other evaluation questions. </w:t>
      </w:r>
    </w:p>
    <w:p w:rsidR="00220531" w:rsidRPr="005911E2" w:rsidRDefault="00220531" w:rsidP="00C34821">
      <w:pPr>
        <w:pStyle w:val="evalq"/>
      </w:pPr>
      <w:r w:rsidRPr="005911E2">
        <w:t>(h)</w:t>
      </w:r>
      <w:r w:rsidRPr="005911E2">
        <w:tab/>
        <w:t xml:space="preserve">Does </w:t>
      </w:r>
      <w:r w:rsidR="00F878E4">
        <w:t>income management</w:t>
      </w:r>
      <w:r w:rsidRPr="005911E2">
        <w:t xml:space="preserve"> provide value for money by comparison with other interventions? </w:t>
      </w:r>
    </w:p>
    <w:p w:rsidR="00220531" w:rsidRPr="005911E2" w:rsidRDefault="00220531" w:rsidP="00220531">
      <w:pPr>
        <w:pStyle w:val="BodyText1"/>
      </w:pPr>
      <w:r w:rsidRPr="005911E2">
        <w:t xml:space="preserve">The one dimension of the evaluation which has not been considered at this stage is the economic evaluation of the program. FaHCSIA have </w:t>
      </w:r>
      <w:r w:rsidR="00D923FE">
        <w:t>sought to have this</w:t>
      </w:r>
      <w:r w:rsidRPr="005911E2">
        <w:t xml:space="preserve"> undertaken in the later stages of the evaluation when </w:t>
      </w:r>
      <w:r w:rsidR="00D923FE">
        <w:t xml:space="preserve">they consider </w:t>
      </w:r>
      <w:r w:rsidRPr="005911E2">
        <w:t>there will be a better appreciation of the full costs of program implementation</w:t>
      </w:r>
      <w:r w:rsidR="002E3B2C">
        <w:t xml:space="preserve"> as well as</w:t>
      </w:r>
      <w:r w:rsidRPr="005911E2">
        <w:t xml:space="preserve"> the </w:t>
      </w:r>
      <w:r w:rsidR="002E3B2C">
        <w:t xml:space="preserve">breakdown of </w:t>
      </w:r>
      <w:r w:rsidRPr="005911E2">
        <w:t>cost</w:t>
      </w:r>
      <w:r w:rsidR="00D41615">
        <w:t>s</w:t>
      </w:r>
      <w:r w:rsidRPr="005911E2">
        <w:t xml:space="preserve"> </w:t>
      </w:r>
      <w:r w:rsidR="002E3B2C">
        <w:t xml:space="preserve">between </w:t>
      </w:r>
      <w:r w:rsidRPr="005911E2">
        <w:t>establishment and operation.</w:t>
      </w:r>
    </w:p>
    <w:p w:rsidR="00220531" w:rsidRPr="005911E2" w:rsidRDefault="00220531" w:rsidP="00220531">
      <w:pPr>
        <w:pStyle w:val="evalq"/>
      </w:pPr>
      <w:r w:rsidRPr="005911E2">
        <w:t>(i)</w:t>
      </w:r>
      <w:r w:rsidRPr="005911E2">
        <w:tab/>
        <w:t>Does NIM provide any benefits over and above targeted service provision</w:t>
      </w:r>
      <w:r w:rsidR="00614538" w:rsidRPr="005911E2">
        <w:t>?</w:t>
      </w:r>
      <w:r w:rsidR="00BB14C5">
        <w:t xml:space="preserve"> </w:t>
      </w:r>
    </w:p>
    <w:p w:rsidR="00220531" w:rsidRPr="005911E2" w:rsidRDefault="0015648C" w:rsidP="00220531">
      <w:pPr>
        <w:pStyle w:val="BodyText1"/>
      </w:pPr>
      <w:r>
        <w:t>This question concerns whether or not the broad application of income management provides benefit over and above a more targeted model. At this stage t</w:t>
      </w:r>
      <w:r w:rsidR="00220531" w:rsidRPr="005911E2">
        <w:t>he evaluation find</w:t>
      </w:r>
      <w:r>
        <w:t>ing is</w:t>
      </w:r>
      <w:r w:rsidR="00220531" w:rsidRPr="005911E2">
        <w:t xml:space="preserve"> that </w:t>
      </w:r>
      <w:r w:rsidR="004808B3">
        <w:t>Compulsory Income Management</w:t>
      </w:r>
      <w:r w:rsidR="00220531" w:rsidRPr="005911E2">
        <w:t xml:space="preserve"> is applied to a substantial number of people who </w:t>
      </w:r>
      <w:r w:rsidR="003773A9">
        <w:t xml:space="preserve">appear </w:t>
      </w:r>
      <w:r w:rsidR="00220531" w:rsidRPr="005911E2">
        <w:t xml:space="preserve">neither </w:t>
      </w:r>
      <w:r w:rsidR="0006153C">
        <w:t xml:space="preserve">to </w:t>
      </w:r>
      <w:r w:rsidR="00220531" w:rsidRPr="005911E2">
        <w:t>require</w:t>
      </w:r>
      <w:r w:rsidR="0006153C">
        <w:t>,</w:t>
      </w:r>
      <w:r w:rsidR="00220531" w:rsidRPr="005911E2">
        <w:t xml:space="preserve"> nor to gain any benefit from</w:t>
      </w:r>
      <w:r w:rsidR="0006153C">
        <w:t>,</w:t>
      </w:r>
      <w:r w:rsidR="00220531" w:rsidRPr="005911E2">
        <w:t xml:space="preserve"> the program. This is not without cost, both to the individual and to government. In many cases those subject to </w:t>
      </w:r>
      <w:r w:rsidR="00F878E4">
        <w:t>income management</w:t>
      </w:r>
      <w:r w:rsidR="00220531" w:rsidRPr="005911E2">
        <w:t xml:space="preserve"> have a sense of unfairness at being subject to </w:t>
      </w:r>
      <w:r w:rsidR="00F878E4">
        <w:t>income management</w:t>
      </w:r>
      <w:r w:rsidR="00220531" w:rsidRPr="005911E2">
        <w:t xml:space="preserve"> and find it embarrassing, humiliating and in some cases de-motivating. </w:t>
      </w:r>
    </w:p>
    <w:p w:rsidR="00220531" w:rsidRDefault="00220531" w:rsidP="00220531">
      <w:pPr>
        <w:pStyle w:val="BodyText1"/>
      </w:pPr>
      <w:r w:rsidRPr="005911E2">
        <w:t xml:space="preserve">The data collected from Centrelink staff and those subject to </w:t>
      </w:r>
      <w:r w:rsidR="00F878E4">
        <w:t>income management</w:t>
      </w:r>
      <w:r w:rsidRPr="005911E2">
        <w:t xml:space="preserve"> reveals that here was a common view that the compulsory application of </w:t>
      </w:r>
      <w:r w:rsidR="00F878E4">
        <w:t>income management</w:t>
      </w:r>
      <w:r w:rsidRPr="005911E2">
        <w:t xml:space="preserve"> was not necessary and in many cases poorly targeted.</w:t>
      </w:r>
    </w:p>
    <w:p w:rsidR="00220531" w:rsidRPr="005911E2" w:rsidRDefault="00220531" w:rsidP="00547362">
      <w:pPr>
        <w:pStyle w:val="Heading3"/>
      </w:pPr>
      <w:r w:rsidRPr="005911E2">
        <w:t>Research questions for specific streams of the NIM model</w:t>
      </w:r>
    </w:p>
    <w:p w:rsidR="00220531" w:rsidRPr="005911E2" w:rsidRDefault="00220531" w:rsidP="00220531">
      <w:pPr>
        <w:pStyle w:val="Heading7"/>
      </w:pPr>
      <w:r w:rsidRPr="005911E2">
        <w:t>Questions specific to the participation/parenting stream (</w:t>
      </w:r>
      <w:r w:rsidR="004808B3">
        <w:t>Compulsory Income Management</w:t>
      </w:r>
      <w:r w:rsidRPr="005911E2">
        <w:t>)</w:t>
      </w:r>
    </w:p>
    <w:p w:rsidR="00220531" w:rsidRPr="005911E2" w:rsidRDefault="00220531" w:rsidP="00220531">
      <w:pPr>
        <w:pStyle w:val="evalq"/>
      </w:pPr>
      <w:r w:rsidRPr="005911E2">
        <w:t>1.</w:t>
      </w:r>
      <w:r w:rsidRPr="005911E2">
        <w:tab/>
        <w:t xml:space="preserve">Has NIM helped to facilitate better management of finances in the short, medium and </w:t>
      </w:r>
      <w:r w:rsidR="00D3222D">
        <w:t>long-term</w:t>
      </w:r>
      <w:r w:rsidRPr="005911E2">
        <w:t xml:space="preserve"> for people on income management and their families?</w:t>
      </w:r>
    </w:p>
    <w:p w:rsidR="00220531" w:rsidRPr="005911E2" w:rsidRDefault="00220531" w:rsidP="00220531">
      <w:pPr>
        <w:pStyle w:val="BodyText1"/>
      </w:pPr>
      <w:r w:rsidRPr="005911E2">
        <w:t xml:space="preserve">As outlined above, </w:t>
      </w:r>
      <w:r w:rsidR="004808B3">
        <w:t>Compulsory Income Management</w:t>
      </w:r>
      <w:r w:rsidRPr="005911E2">
        <w:t xml:space="preserve"> appears to assist some people to manage their finances</w:t>
      </w:r>
      <w:r w:rsidR="002E3B2C">
        <w:t xml:space="preserve"> </w:t>
      </w:r>
      <w:r w:rsidRPr="005911E2">
        <w:t>–</w:t>
      </w:r>
      <w:r w:rsidR="002E3B2C">
        <w:t xml:space="preserve"> </w:t>
      </w:r>
      <w:r w:rsidRPr="005911E2">
        <w:t>particularly those who are in acute or chronic financial difficulties or those who are subject to financial harassment. However</w:t>
      </w:r>
      <w:r w:rsidR="002E3B2C">
        <w:t>,</w:t>
      </w:r>
      <w:r w:rsidRPr="005911E2">
        <w:t xml:space="preserve"> this does not in itself motivate or assist people to develop the skills to manage their finances</w:t>
      </w:r>
      <w:r w:rsidR="00C36513">
        <w:t xml:space="preserve"> in the longer term</w:t>
      </w:r>
      <w:r w:rsidRPr="005911E2">
        <w:t xml:space="preserve">. </w:t>
      </w:r>
      <w:r w:rsidR="00336C66" w:rsidRPr="005911E2">
        <w:t xml:space="preserve">The </w:t>
      </w:r>
      <w:r w:rsidR="00336C66">
        <w:t>Matched</w:t>
      </w:r>
      <w:r w:rsidR="00F57BEF">
        <w:t xml:space="preserve"> Savings Payment</w:t>
      </w:r>
      <w:r w:rsidR="002E3B2C">
        <w:t xml:space="preserve"> </w:t>
      </w:r>
      <w:r w:rsidRPr="005911E2">
        <w:t xml:space="preserve">component has had </w:t>
      </w:r>
      <w:r w:rsidR="002E3B2C">
        <w:t xml:space="preserve">a </w:t>
      </w:r>
      <w:r w:rsidRPr="005911E2">
        <w:t xml:space="preserve">very low uptake as has participation in the </w:t>
      </w:r>
      <w:r w:rsidR="002E3B2C">
        <w:t>a</w:t>
      </w:r>
      <w:r w:rsidRPr="005911E2">
        <w:t xml:space="preserve">pproved </w:t>
      </w:r>
      <w:r w:rsidR="002E3B2C">
        <w:t>m</w:t>
      </w:r>
      <w:r w:rsidRPr="005911E2">
        <w:t xml:space="preserve">oney </w:t>
      </w:r>
      <w:r w:rsidR="002E3B2C">
        <w:t>m</w:t>
      </w:r>
      <w:r w:rsidRPr="005911E2">
        <w:t xml:space="preserve">anagement courses. </w:t>
      </w:r>
    </w:p>
    <w:p w:rsidR="00220531" w:rsidRPr="005911E2" w:rsidRDefault="00220531" w:rsidP="00220531">
      <w:pPr>
        <w:pStyle w:val="BodyText1"/>
      </w:pPr>
      <w:r w:rsidRPr="005911E2">
        <w:t xml:space="preserve">A specific issue which emerged in our analysis was that many of those subject to </w:t>
      </w:r>
      <w:r w:rsidR="00F878E4">
        <w:t>income management</w:t>
      </w:r>
      <w:r w:rsidRPr="005911E2">
        <w:t xml:space="preserve"> reported that</w:t>
      </w:r>
      <w:r w:rsidR="00D41615">
        <w:t>,</w:t>
      </w:r>
      <w:r w:rsidRPr="005911E2">
        <w:t xml:space="preserve"> while they did not necessarily have a greater level of control over their money</w:t>
      </w:r>
      <w:r w:rsidR="002E3B2C">
        <w:t>,</w:t>
      </w:r>
      <w:r w:rsidRPr="005911E2">
        <w:t xml:space="preserve"> they had a greater sense of ease about managing their money. This, along with responses to the qualitative interviews with intermediaries</w:t>
      </w:r>
      <w:r w:rsidR="00D41615">
        <w:t>,</w:t>
      </w:r>
      <w:r w:rsidRPr="005911E2">
        <w:t xml:space="preserve"> appears to indicate that </w:t>
      </w:r>
      <w:r w:rsidR="00C36513">
        <w:t>a</w:t>
      </w:r>
      <w:r w:rsidR="00C36513" w:rsidRPr="005911E2">
        <w:t xml:space="preserve"> </w:t>
      </w:r>
      <w:r w:rsidRPr="005911E2">
        <w:t xml:space="preserve">potential consequence of </w:t>
      </w:r>
      <w:r w:rsidR="008C254E">
        <w:t xml:space="preserve">income management </w:t>
      </w:r>
      <w:r w:rsidR="00C36513">
        <w:t>for some people</w:t>
      </w:r>
      <w:r w:rsidRPr="005911E2">
        <w:t xml:space="preserve"> may be that of encouraging passivity and a sense of ease, rather than building a sense of control. This will be further explored in subsequent evaluation reports.</w:t>
      </w:r>
    </w:p>
    <w:p w:rsidR="00220531" w:rsidRPr="005911E2" w:rsidRDefault="00220531" w:rsidP="00220531">
      <w:pPr>
        <w:pStyle w:val="evalq"/>
      </w:pPr>
      <w:r w:rsidRPr="005911E2">
        <w:t>2.</w:t>
      </w:r>
      <w:r w:rsidRPr="005911E2">
        <w:tab/>
        <w:t xml:space="preserve">Has access to services or interventions improved for those families? </w:t>
      </w:r>
    </w:p>
    <w:p w:rsidR="00220531" w:rsidRPr="005911E2" w:rsidRDefault="00220531" w:rsidP="00220531">
      <w:pPr>
        <w:pStyle w:val="BodyText1"/>
      </w:pPr>
      <w:r w:rsidRPr="005911E2">
        <w:t>The evaluation has not been able to quantify changes in access to services, nor to assess the quality of service provision in the</w:t>
      </w:r>
      <w:r w:rsidR="006435C8">
        <w:t xml:space="preserve"> Northern Territory </w:t>
      </w:r>
      <w:r w:rsidRPr="005911E2">
        <w:t>and how this has changed over time. However</w:t>
      </w:r>
      <w:r w:rsidR="00781B3F">
        <w:t>,</w:t>
      </w:r>
      <w:r w:rsidRPr="005911E2">
        <w:t xml:space="preserve"> there are many new service initiatives instigated in the</w:t>
      </w:r>
      <w:r w:rsidR="006435C8">
        <w:t xml:space="preserve"> Northern Territory </w:t>
      </w:r>
      <w:r w:rsidRPr="005911E2">
        <w:t xml:space="preserve">since the announcement of the </w:t>
      </w:r>
      <w:r w:rsidR="00576705" w:rsidRPr="005911E2">
        <w:t>NTER</w:t>
      </w:r>
      <w:r w:rsidRPr="005911E2">
        <w:t xml:space="preserve"> and services continue to be implemented. While Centrelink staff were generally positive about being able to refer people subject to </w:t>
      </w:r>
      <w:r w:rsidR="00F878E4">
        <w:t>income management</w:t>
      </w:r>
      <w:r w:rsidRPr="005911E2">
        <w:t xml:space="preserve"> to a range of different services, some stakeholders reported that considerable service gaps continue to exist. In particular there </w:t>
      </w:r>
      <w:r w:rsidR="00336C66" w:rsidRPr="005911E2">
        <w:t>continue</w:t>
      </w:r>
      <w:r w:rsidR="00336C66">
        <w:t>s</w:t>
      </w:r>
      <w:r w:rsidR="00336C66" w:rsidRPr="005911E2">
        <w:t xml:space="preserve"> </w:t>
      </w:r>
      <w:r w:rsidRPr="005911E2">
        <w:t xml:space="preserve">to be a lack of coordination in service delivery responses for people experiencing multiple and complex forms of disadvantage that would assist them in addressing the issues that had led them to be subject to </w:t>
      </w:r>
      <w:r w:rsidR="00F878E4">
        <w:t>income management</w:t>
      </w:r>
      <w:r w:rsidRPr="005911E2">
        <w:t xml:space="preserve">. </w:t>
      </w:r>
      <w:r w:rsidR="00781B3F">
        <w:t>Further data will be collected and t</w:t>
      </w:r>
      <w:r w:rsidRPr="005911E2">
        <w:t>his question will be more comprehensively addressed in subsequent evaluation reports.</w:t>
      </w:r>
    </w:p>
    <w:p w:rsidR="00220531" w:rsidRPr="005911E2" w:rsidRDefault="00220531" w:rsidP="00220531">
      <w:pPr>
        <w:pStyle w:val="evalq"/>
      </w:pPr>
      <w:r w:rsidRPr="005911E2">
        <w:t>3.</w:t>
      </w:r>
      <w:r w:rsidRPr="005911E2">
        <w:tab/>
        <w:t>Have other changes in the wellbeing and capabilities of the individuals and families occurred?</w:t>
      </w:r>
    </w:p>
    <w:p w:rsidR="00220531" w:rsidRPr="005911E2" w:rsidRDefault="00220531" w:rsidP="00220531">
      <w:pPr>
        <w:pStyle w:val="BodyText1"/>
      </w:pPr>
      <w:r w:rsidRPr="005911E2">
        <w:t xml:space="preserve">As discussed above, the small numbers on </w:t>
      </w:r>
      <w:r w:rsidR="00E146B5">
        <w:t>Child Protection Income Management</w:t>
      </w:r>
      <w:r w:rsidRPr="005911E2">
        <w:t xml:space="preserve"> and </w:t>
      </w:r>
      <w:r w:rsidR="00E2340D">
        <w:t>Vulnerable Income Management</w:t>
      </w:r>
      <w:r w:rsidRPr="005911E2">
        <w:t xml:space="preserve"> mean that the impact of </w:t>
      </w:r>
      <w:r w:rsidR="00F878E4">
        <w:t>income management</w:t>
      </w:r>
      <w:r w:rsidRPr="005911E2">
        <w:t xml:space="preserve"> for people on these forms of compulsory </w:t>
      </w:r>
      <w:r w:rsidR="00F878E4">
        <w:t>income management</w:t>
      </w:r>
      <w:r w:rsidRPr="005911E2">
        <w:t xml:space="preserve"> cannot be examined separately from the impact of </w:t>
      </w:r>
      <w:r w:rsidR="00F878E4">
        <w:t>income management</w:t>
      </w:r>
      <w:r w:rsidRPr="005911E2">
        <w:t xml:space="preserve"> on those on the participation/parenting stream (</w:t>
      </w:r>
      <w:r w:rsidR="004808B3">
        <w:t>Compulsory Income Management</w:t>
      </w:r>
      <w:r w:rsidRPr="005911E2">
        <w:t xml:space="preserve">). </w:t>
      </w:r>
    </w:p>
    <w:p w:rsidR="00220531" w:rsidRPr="005911E2" w:rsidRDefault="00220531" w:rsidP="00220531">
      <w:pPr>
        <w:pStyle w:val="BodyText1"/>
      </w:pPr>
      <w:r w:rsidRPr="005911E2">
        <w:t xml:space="preserve">The impact of </w:t>
      </w:r>
      <w:r w:rsidR="00F878E4">
        <w:t>income management</w:t>
      </w:r>
      <w:r w:rsidRPr="005911E2">
        <w:t xml:space="preserve"> on the wellbeing and capabilities of the individuals and their families has been discussed in the overarching outcome evaluation questions.</w:t>
      </w:r>
    </w:p>
    <w:p w:rsidR="00220531" w:rsidRPr="005911E2" w:rsidRDefault="00220531" w:rsidP="00220531">
      <w:pPr>
        <w:pStyle w:val="Heading7"/>
      </w:pPr>
      <w:r w:rsidRPr="005911E2">
        <w:t>Questions specific to the child protection stream (</w:t>
      </w:r>
      <w:r w:rsidR="00E146B5">
        <w:t>Child Protection Income Management</w:t>
      </w:r>
      <w:r w:rsidRPr="005911E2">
        <w:t>)</w:t>
      </w:r>
    </w:p>
    <w:p w:rsidR="00220531" w:rsidRPr="005911E2" w:rsidRDefault="00220531" w:rsidP="00220531">
      <w:pPr>
        <w:pStyle w:val="evalq"/>
      </w:pPr>
      <w:r w:rsidRPr="005911E2">
        <w:t xml:space="preserve">1. </w:t>
      </w:r>
      <w:r w:rsidRPr="005911E2">
        <w:tab/>
        <w:t xml:space="preserve">What has been the impact of income management on child neglect? </w:t>
      </w:r>
    </w:p>
    <w:p w:rsidR="00220531" w:rsidRPr="005911E2" w:rsidRDefault="00220531" w:rsidP="00220531">
      <w:pPr>
        <w:pStyle w:val="evalq"/>
      </w:pPr>
      <w:r w:rsidRPr="005911E2">
        <w:t xml:space="preserve">2. </w:t>
      </w:r>
      <w:r w:rsidRPr="005911E2">
        <w:tab/>
        <w:t>What has been the impact on child wellbeing in those families referred to the child protection measure (</w:t>
      </w:r>
      <w:r w:rsidR="00E146B5">
        <w:t>Child Protection Income Management</w:t>
      </w:r>
      <w:r w:rsidRPr="005911E2">
        <w:t xml:space="preserve">)? </w:t>
      </w:r>
    </w:p>
    <w:p w:rsidR="00220531" w:rsidRPr="005911E2" w:rsidRDefault="00220531" w:rsidP="00220531">
      <w:pPr>
        <w:pStyle w:val="BodyText1"/>
      </w:pPr>
      <w:r w:rsidRPr="005911E2">
        <w:t>As reported above, there are too few people subject to this measure to assess outcomes in relation to parental behaviour or child wellbeing.</w:t>
      </w:r>
    </w:p>
    <w:p w:rsidR="00220531" w:rsidRPr="005911E2" w:rsidRDefault="00220531" w:rsidP="00C34821">
      <w:pPr>
        <w:pStyle w:val="evalq"/>
      </w:pPr>
      <w:r w:rsidRPr="005911E2">
        <w:t xml:space="preserve">3. </w:t>
      </w:r>
      <w:r w:rsidRPr="005911E2">
        <w:tab/>
        <w:t xml:space="preserve">What are the barriers and facilitating factors for child protection workers to use income management as a casework tool? </w:t>
      </w:r>
    </w:p>
    <w:p w:rsidR="00220531" w:rsidRPr="005911E2" w:rsidRDefault="00220531" w:rsidP="00220531">
      <w:pPr>
        <w:pStyle w:val="BodyText1"/>
      </w:pPr>
      <w:r w:rsidRPr="005911E2">
        <w:t xml:space="preserve">Some child protection workers interviewed for the evaluation see </w:t>
      </w:r>
      <w:r w:rsidR="00F878E4">
        <w:t>income management</w:t>
      </w:r>
      <w:r w:rsidRPr="005911E2">
        <w:t xml:space="preserve"> as a valid intervention </w:t>
      </w:r>
      <w:r w:rsidR="00781B3F">
        <w:t xml:space="preserve">tool </w:t>
      </w:r>
      <w:r w:rsidRPr="005911E2">
        <w:t>to be used when families are unable or unwilling to provide adequate resources to their children. However</w:t>
      </w:r>
      <w:r w:rsidR="00781B3F">
        <w:t>,</w:t>
      </w:r>
      <w:r w:rsidRPr="005911E2">
        <w:t xml:space="preserve"> they identified several barriers to the implementation of </w:t>
      </w:r>
      <w:r w:rsidR="00E146B5">
        <w:t>Child Protection Income Management</w:t>
      </w:r>
      <w:r w:rsidRPr="005911E2">
        <w:t>:</w:t>
      </w:r>
    </w:p>
    <w:p w:rsidR="00220531" w:rsidRPr="005911E2" w:rsidRDefault="00220531" w:rsidP="00051CDC">
      <w:pPr>
        <w:pStyle w:val="ListBullet"/>
      </w:pPr>
      <w:r w:rsidRPr="005911E2">
        <w:t xml:space="preserve">Most clients in the child protection system are already income managed and the extra burden of placing them on </w:t>
      </w:r>
      <w:r w:rsidR="00E146B5">
        <w:t>Child Protection Income Management</w:t>
      </w:r>
      <w:r w:rsidRPr="005911E2">
        <w:t xml:space="preserve"> to raise the proportion of managed funds from 50 to 70 per cent was not seen as cost effective for practitioners</w:t>
      </w:r>
      <w:r w:rsidR="00007FB2">
        <w:t>.</w:t>
      </w:r>
    </w:p>
    <w:p w:rsidR="00220531" w:rsidRPr="005911E2" w:rsidRDefault="00E146B5" w:rsidP="00051CDC">
      <w:pPr>
        <w:pStyle w:val="ListBullet"/>
      </w:pPr>
      <w:r>
        <w:t>Child Protection Income Management</w:t>
      </w:r>
      <w:r w:rsidR="00220531" w:rsidRPr="005911E2">
        <w:t xml:space="preserve"> requires keeping cases </w:t>
      </w:r>
      <w:r w:rsidR="00781B3F" w:rsidRPr="005911E2">
        <w:t xml:space="preserve">open </w:t>
      </w:r>
      <w:r w:rsidR="00220531" w:rsidRPr="005911E2">
        <w:t>which would otherwise be low priority and closed</w:t>
      </w:r>
      <w:r w:rsidR="00007FB2">
        <w:t>.</w:t>
      </w:r>
    </w:p>
    <w:p w:rsidR="00220531" w:rsidRPr="005911E2" w:rsidRDefault="00220531" w:rsidP="00051CDC">
      <w:pPr>
        <w:pStyle w:val="ListBullet"/>
      </w:pPr>
      <w:r w:rsidRPr="005911E2">
        <w:t xml:space="preserve">Some caseworkers do not see financial management as appropriate for their clients and this function is seen as the remit of Centrelink rather than </w:t>
      </w:r>
      <w:r w:rsidR="003F017F">
        <w:t>child protection workers</w:t>
      </w:r>
      <w:r w:rsidR="00007FB2">
        <w:t>.</w:t>
      </w:r>
    </w:p>
    <w:p w:rsidR="00220531" w:rsidRPr="005911E2" w:rsidRDefault="00220531" w:rsidP="00051CDC">
      <w:pPr>
        <w:pStyle w:val="ListBullet"/>
      </w:pPr>
      <w:r w:rsidRPr="005911E2">
        <w:t>Financial management is not always an important feature of families where children are neglected. Other issues such as substance misuse and domestic v</w:t>
      </w:r>
      <w:r w:rsidR="00D923FE">
        <w:t>iolence are often more pressing</w:t>
      </w:r>
      <w:r w:rsidR="00007FB2">
        <w:t>.</w:t>
      </w:r>
    </w:p>
    <w:p w:rsidR="00BF0F6E" w:rsidRDefault="00220531" w:rsidP="00851FBD">
      <w:pPr>
        <w:pStyle w:val="ListBullet"/>
      </w:pPr>
      <w:r w:rsidRPr="005911E2">
        <w:t xml:space="preserve">Most of the child protection workers interviewed expressed a preference for people to choose </w:t>
      </w:r>
      <w:r w:rsidR="002B5A5C">
        <w:t>Voluntary Income Management</w:t>
      </w:r>
      <w:r w:rsidRPr="005911E2">
        <w:t xml:space="preserve"> in cases where financial management issues are impacting on their ability to care for children. </w:t>
      </w:r>
    </w:p>
    <w:p w:rsidR="00220531" w:rsidRPr="005911E2" w:rsidRDefault="00220531" w:rsidP="00547362">
      <w:pPr>
        <w:pStyle w:val="evalq"/>
      </w:pPr>
      <w:r w:rsidRPr="005911E2">
        <w:t xml:space="preserve">4. </w:t>
      </w:r>
      <w:r w:rsidRPr="005911E2">
        <w:tab/>
        <w:t xml:space="preserve">What (if any) service delivery gaps have impacted on the usefulness of the </w:t>
      </w:r>
      <w:r w:rsidR="00E146B5">
        <w:t>Child Protection Income Management</w:t>
      </w:r>
      <w:r w:rsidRPr="005911E2">
        <w:t>?</w:t>
      </w:r>
    </w:p>
    <w:p w:rsidR="00220531" w:rsidRPr="005911E2" w:rsidRDefault="00220531" w:rsidP="00220531">
      <w:pPr>
        <w:pStyle w:val="BodyText1"/>
      </w:pPr>
      <w:r w:rsidRPr="005911E2">
        <w:t xml:space="preserve">As noted above, service delivery gaps were not identified as a barrier to the use of </w:t>
      </w:r>
      <w:r w:rsidR="00E146B5">
        <w:t>Child Protection Income Management</w:t>
      </w:r>
      <w:r w:rsidRPr="005911E2">
        <w:t xml:space="preserve"> and the small number on </w:t>
      </w:r>
      <w:r w:rsidR="003F017F">
        <w:t>this measure</w:t>
      </w:r>
      <w:r w:rsidRPr="005911E2">
        <w:t xml:space="preserve"> means that it has not been possible to evaluate the extent to which there are service delivery gaps for this group. </w:t>
      </w:r>
    </w:p>
    <w:p w:rsidR="00220531" w:rsidRPr="005911E2" w:rsidRDefault="00220531" w:rsidP="00220531">
      <w:pPr>
        <w:pStyle w:val="Heading7"/>
      </w:pPr>
      <w:r w:rsidRPr="005911E2">
        <w:t>Questions specific to the vulnerable stream (</w:t>
      </w:r>
      <w:r w:rsidR="00E2340D">
        <w:t>Vulnerable Income Management</w:t>
      </w:r>
      <w:r w:rsidRPr="005911E2">
        <w:t>)</w:t>
      </w:r>
    </w:p>
    <w:p w:rsidR="00220531" w:rsidRPr="005911E2" w:rsidRDefault="00220531" w:rsidP="00C34821">
      <w:pPr>
        <w:pStyle w:val="evalq"/>
      </w:pPr>
      <w:r w:rsidRPr="005911E2">
        <w:t xml:space="preserve">1. </w:t>
      </w:r>
      <w:r w:rsidRPr="005911E2">
        <w:tab/>
        <w:t xml:space="preserve">Are vulnerable people appropriately targeted by this measure? </w:t>
      </w:r>
    </w:p>
    <w:p w:rsidR="00220531" w:rsidRPr="005911E2" w:rsidRDefault="00E2340D" w:rsidP="00220531">
      <w:pPr>
        <w:pStyle w:val="BodyText1"/>
        <w:rPr>
          <w:szCs w:val="20"/>
        </w:rPr>
      </w:pPr>
      <w:r>
        <w:t>Vulnerable Income Management</w:t>
      </w:r>
      <w:r w:rsidR="00220531" w:rsidRPr="005911E2">
        <w:t xml:space="preserve"> is used in a very small number of cases. It is </w:t>
      </w:r>
      <w:r w:rsidR="00220531" w:rsidRPr="005911E2">
        <w:rPr>
          <w:szCs w:val="20"/>
        </w:rPr>
        <w:t xml:space="preserve">possibly ‘crowded out’ by </w:t>
      </w:r>
      <w:r w:rsidR="004808B3">
        <w:rPr>
          <w:szCs w:val="20"/>
        </w:rPr>
        <w:t>Compulsory Income Management</w:t>
      </w:r>
      <w:r w:rsidR="00220531" w:rsidRPr="005911E2">
        <w:rPr>
          <w:szCs w:val="20"/>
        </w:rPr>
        <w:t xml:space="preserve"> and </w:t>
      </w:r>
      <w:r w:rsidR="002B5A5C">
        <w:rPr>
          <w:szCs w:val="20"/>
        </w:rPr>
        <w:t>Voluntary Income Management</w:t>
      </w:r>
      <w:r w:rsidR="00220531" w:rsidRPr="005911E2">
        <w:rPr>
          <w:szCs w:val="20"/>
        </w:rPr>
        <w:t>. That is</w:t>
      </w:r>
      <w:r w:rsidR="003F017F">
        <w:rPr>
          <w:szCs w:val="20"/>
        </w:rPr>
        <w:t>,</w:t>
      </w:r>
      <w:r w:rsidR="00220531" w:rsidRPr="005911E2">
        <w:rPr>
          <w:szCs w:val="20"/>
        </w:rPr>
        <w:t xml:space="preserve"> those vulnerable people who are on Newstart</w:t>
      </w:r>
      <w:r w:rsidR="00E45792">
        <w:rPr>
          <w:szCs w:val="20"/>
        </w:rPr>
        <w:t xml:space="preserve"> Allowance</w:t>
      </w:r>
      <w:r w:rsidR="00220531" w:rsidRPr="005911E2">
        <w:rPr>
          <w:szCs w:val="20"/>
        </w:rPr>
        <w:t xml:space="preserve"> and parenting payments are in most cases</w:t>
      </w:r>
      <w:r w:rsidR="003F017F">
        <w:rPr>
          <w:szCs w:val="20"/>
        </w:rPr>
        <w:t xml:space="preserve"> already income managed</w:t>
      </w:r>
      <w:r w:rsidR="00220531" w:rsidRPr="005911E2">
        <w:rPr>
          <w:szCs w:val="20"/>
        </w:rPr>
        <w:t xml:space="preserve"> because of the duration of time they have been on income </w:t>
      </w:r>
      <w:r w:rsidR="00CF545F" w:rsidRPr="005911E2">
        <w:rPr>
          <w:szCs w:val="20"/>
        </w:rPr>
        <w:t xml:space="preserve">support. </w:t>
      </w:r>
      <w:r w:rsidR="00220531" w:rsidRPr="005911E2">
        <w:rPr>
          <w:szCs w:val="20"/>
        </w:rPr>
        <w:t xml:space="preserve">For those on other payments the evidence we collected suggests that, to a large degree, Centrelink staff prefer their clients to choose a less restrictive option, and hence may suggest to people that they go onto </w:t>
      </w:r>
      <w:r w:rsidR="002B5A5C">
        <w:rPr>
          <w:szCs w:val="20"/>
        </w:rPr>
        <w:t>Voluntary Income Management</w:t>
      </w:r>
      <w:r w:rsidR="00220531" w:rsidRPr="005911E2">
        <w:rPr>
          <w:szCs w:val="20"/>
        </w:rPr>
        <w:t xml:space="preserve"> rather than placing them on </w:t>
      </w:r>
      <w:r>
        <w:rPr>
          <w:szCs w:val="20"/>
        </w:rPr>
        <w:t>Vulnerable Income Management</w:t>
      </w:r>
      <w:r w:rsidR="00220531" w:rsidRPr="005911E2">
        <w:rPr>
          <w:szCs w:val="20"/>
        </w:rPr>
        <w:t xml:space="preserve">. The preference for this strategy is further enhanced by the fact that </w:t>
      </w:r>
      <w:r w:rsidR="002B5A5C">
        <w:rPr>
          <w:szCs w:val="20"/>
        </w:rPr>
        <w:t>Voluntary Income Management</w:t>
      </w:r>
      <w:r w:rsidR="00220531" w:rsidRPr="005911E2">
        <w:rPr>
          <w:szCs w:val="20"/>
        </w:rPr>
        <w:t xml:space="preserve"> includes an incentive payment which is not paid under </w:t>
      </w:r>
      <w:r>
        <w:rPr>
          <w:szCs w:val="20"/>
        </w:rPr>
        <w:t>Vulnerable Income Management</w:t>
      </w:r>
      <w:r w:rsidR="00220531" w:rsidRPr="005911E2">
        <w:rPr>
          <w:szCs w:val="20"/>
        </w:rPr>
        <w:t xml:space="preserve">. However, evidence </w:t>
      </w:r>
      <w:r w:rsidR="003F017F">
        <w:rPr>
          <w:szCs w:val="20"/>
        </w:rPr>
        <w:t xml:space="preserve">showed </w:t>
      </w:r>
      <w:r w:rsidR="00220531" w:rsidRPr="005911E2">
        <w:rPr>
          <w:szCs w:val="20"/>
        </w:rPr>
        <w:t xml:space="preserve">that access to this </w:t>
      </w:r>
      <w:r w:rsidR="00220531" w:rsidRPr="005911E2">
        <w:t>measure is valued by Centrelink staff – especially as an option for vulnerable clients without seeking legal guardianship or similar measures.</w:t>
      </w:r>
      <w:r w:rsidR="00CF4C1B" w:rsidRPr="005911E2">
        <w:t xml:space="preserve"> Most of those on </w:t>
      </w:r>
      <w:r>
        <w:t>Vulnerable Income Management</w:t>
      </w:r>
      <w:r w:rsidR="00CF4C1B" w:rsidRPr="005911E2">
        <w:t xml:space="preserve"> were on </w:t>
      </w:r>
      <w:r w:rsidR="003F017F">
        <w:t xml:space="preserve">a </w:t>
      </w:r>
      <w:r w:rsidR="00CF4C1B" w:rsidRPr="005911E2">
        <w:t>Disability Support Pension (77 per cent).</w:t>
      </w:r>
    </w:p>
    <w:p w:rsidR="00220531" w:rsidRPr="005911E2" w:rsidRDefault="00220531" w:rsidP="00220531">
      <w:pPr>
        <w:pStyle w:val="BodyText1"/>
      </w:pPr>
      <w:r w:rsidRPr="005911E2">
        <w:t>Ninety</w:t>
      </w:r>
      <w:r w:rsidR="00EA1B30">
        <w:t>-</w:t>
      </w:r>
      <w:r w:rsidRPr="005911E2">
        <w:t xml:space="preserve">six per cent of those on </w:t>
      </w:r>
      <w:r w:rsidR="00E2340D">
        <w:t>Vulnerable Income Management</w:t>
      </w:r>
      <w:r w:rsidRPr="005911E2">
        <w:t xml:space="preserve"> are Indigenous and it is not clear why so few non-Indigenous Centrelink clients are deemed to be suitable for this measure despite the fact that there are likely to be many non-Indigenous income support recipients who are equally vulnerable.</w:t>
      </w:r>
    </w:p>
    <w:p w:rsidR="00220531" w:rsidRPr="005911E2" w:rsidRDefault="00220531" w:rsidP="00220531">
      <w:pPr>
        <w:pStyle w:val="evalq"/>
      </w:pPr>
      <w:r w:rsidRPr="005911E2">
        <w:t>2.</w:t>
      </w:r>
      <w:r w:rsidRPr="005911E2">
        <w:tab/>
        <w:t xml:space="preserve">How does income management impact on the vulnerability of individuals? </w:t>
      </w:r>
    </w:p>
    <w:p w:rsidR="00220531" w:rsidRPr="005911E2" w:rsidRDefault="00220531" w:rsidP="00220531">
      <w:pPr>
        <w:pStyle w:val="evalq"/>
      </w:pPr>
      <w:r w:rsidRPr="005911E2">
        <w:t>3.</w:t>
      </w:r>
      <w:r w:rsidRPr="005911E2">
        <w:tab/>
        <w:t>Have people on this stream experienced changes in the level of harassment (e.g. humbugging)?</w:t>
      </w:r>
    </w:p>
    <w:p w:rsidR="00220531" w:rsidRPr="005911E2" w:rsidRDefault="00E2340D" w:rsidP="00007FB2">
      <w:pPr>
        <w:pStyle w:val="BodyText1"/>
      </w:pPr>
      <w:r>
        <w:t>Vulnerable Income Management</w:t>
      </w:r>
      <w:r w:rsidR="00220531" w:rsidRPr="005911E2">
        <w:t xml:space="preserve"> appears to be an appropriate measure for a small number of vulnerable people in specific circumstances who do not consent to </w:t>
      </w:r>
      <w:r w:rsidR="002B5A5C">
        <w:t>Voluntary Income Management</w:t>
      </w:r>
      <w:r w:rsidR="003F017F">
        <w:t xml:space="preserve">, either </w:t>
      </w:r>
      <w:r w:rsidR="00220531" w:rsidRPr="005911E2">
        <w:t xml:space="preserve">because they are harassed by family members or </w:t>
      </w:r>
      <w:r w:rsidR="003F017F">
        <w:t xml:space="preserve">they </w:t>
      </w:r>
      <w:r w:rsidR="00220531" w:rsidRPr="005911E2">
        <w:t>have great difficulty in managing their affairs. However</w:t>
      </w:r>
      <w:r w:rsidR="003F017F">
        <w:t>,</w:t>
      </w:r>
      <w:r w:rsidR="00220531" w:rsidRPr="005911E2">
        <w:t xml:space="preserve"> we have little information about</w:t>
      </w:r>
      <w:r w:rsidR="00C96922">
        <w:t xml:space="preserve"> the characteristics of those on the program or </w:t>
      </w:r>
      <w:r w:rsidR="00220531" w:rsidRPr="005911E2">
        <w:t>its effects.</w:t>
      </w:r>
      <w:r w:rsidR="00C96922">
        <w:t xml:space="preserve"> From discussions it would appear that the nature of the underlying cause of much of the vulnerability means many are likely to remain on income management for a long period of time. For these the program effectively will operate as a long term management tool, not as an intervention that will build their capacity and change their behaviour</w:t>
      </w:r>
      <w:r w:rsidR="00220531" w:rsidRPr="005911E2">
        <w:t>.</w:t>
      </w:r>
    </w:p>
    <w:p w:rsidR="00220531" w:rsidRPr="005911E2" w:rsidRDefault="00220531" w:rsidP="00220531">
      <w:pPr>
        <w:pStyle w:val="Heading7"/>
      </w:pPr>
      <w:r w:rsidRPr="005911E2">
        <w:t>Questions specific to the voluntary stream (</w:t>
      </w:r>
      <w:r w:rsidR="002B5A5C">
        <w:t>Voluntary Income Management</w:t>
      </w:r>
      <w:r w:rsidRPr="005911E2">
        <w:t>)</w:t>
      </w:r>
    </w:p>
    <w:p w:rsidR="00220531" w:rsidRPr="005911E2" w:rsidRDefault="00220531" w:rsidP="00220531">
      <w:pPr>
        <w:pStyle w:val="evalq"/>
      </w:pPr>
      <w:r w:rsidRPr="005911E2">
        <w:t>1.</w:t>
      </w:r>
      <w:r w:rsidRPr="005911E2">
        <w:tab/>
        <w:t xml:space="preserve">Have people who volunteered for income management been able to make an informed choice? </w:t>
      </w:r>
    </w:p>
    <w:p w:rsidR="00220531" w:rsidRPr="005911E2" w:rsidRDefault="00220531" w:rsidP="00220531">
      <w:pPr>
        <w:pStyle w:val="BodyText1"/>
      </w:pPr>
      <w:r w:rsidRPr="005911E2">
        <w:t>There is some evidence that Centrelink ‘pushed’ individuals from NTER</w:t>
      </w:r>
      <w:r w:rsidR="003F017F">
        <w:t xml:space="preserve"> IM</w:t>
      </w:r>
      <w:r w:rsidRPr="005911E2">
        <w:t xml:space="preserve"> into </w:t>
      </w:r>
      <w:r w:rsidR="002B5A5C">
        <w:t>Voluntary Income Management</w:t>
      </w:r>
      <w:r w:rsidR="003F017F">
        <w:t>. W</w:t>
      </w:r>
      <w:r w:rsidRPr="005911E2">
        <w:t xml:space="preserve">hile there was considerable lack of clarity in the responses to the first wave of the </w:t>
      </w:r>
      <w:r w:rsidR="005B4122">
        <w:t>longitudinal survey</w:t>
      </w:r>
      <w:r w:rsidRPr="005911E2">
        <w:t xml:space="preserve"> as to whether people felt that they had chosen to go on this program, around 72 per cent of Indigenous people </w:t>
      </w:r>
      <w:r w:rsidR="00AE4E6E" w:rsidRPr="005911E2">
        <w:t>on</w:t>
      </w:r>
      <w:r w:rsidRPr="005911E2">
        <w:t xml:space="preserve"> </w:t>
      </w:r>
      <w:r w:rsidR="002B5A5C">
        <w:t>Voluntary Income Management</w:t>
      </w:r>
      <w:r w:rsidRPr="005911E2">
        <w:t xml:space="preserve"> report that they wished to stay on </w:t>
      </w:r>
      <w:r w:rsidR="00F878E4">
        <w:t>income management</w:t>
      </w:r>
      <w:r w:rsidRPr="005911E2">
        <w:t>. Nevertheless there is some evidence to suggest that numbers on the program are declining slowly, and qualitative interviews confirmed that there is confusion</w:t>
      </w:r>
      <w:r w:rsidR="00AE4E6E" w:rsidRPr="005911E2">
        <w:t xml:space="preserve"> for some</w:t>
      </w:r>
      <w:r w:rsidRPr="005911E2">
        <w:t xml:space="preserve"> about their status and their right to opt out of </w:t>
      </w:r>
      <w:r w:rsidR="00F878E4">
        <w:t>income management</w:t>
      </w:r>
      <w:r w:rsidRPr="005911E2">
        <w:t xml:space="preserve">. </w:t>
      </w:r>
    </w:p>
    <w:p w:rsidR="00220531" w:rsidRPr="005911E2" w:rsidRDefault="00220531" w:rsidP="00220531">
      <w:pPr>
        <w:pStyle w:val="evalq"/>
      </w:pPr>
      <w:r w:rsidRPr="005911E2">
        <w:t>2.</w:t>
      </w:r>
      <w:r w:rsidRPr="005911E2">
        <w:tab/>
        <w:t xml:space="preserve">How long do voluntary income management recipients stay on the measure? </w:t>
      </w:r>
    </w:p>
    <w:p w:rsidR="00220531" w:rsidRPr="005911E2" w:rsidRDefault="00220531" w:rsidP="00220531">
      <w:pPr>
        <w:pStyle w:val="BodyText1"/>
      </w:pPr>
      <w:r w:rsidRPr="005911E2">
        <w:t xml:space="preserve">The early indications </w:t>
      </w:r>
      <w:r w:rsidR="00425884" w:rsidRPr="005911E2">
        <w:t xml:space="preserve">are </w:t>
      </w:r>
      <w:r w:rsidRPr="005911E2">
        <w:t xml:space="preserve">that the durations of people on </w:t>
      </w:r>
      <w:r w:rsidR="002B5A5C">
        <w:t>Voluntary Income Management</w:t>
      </w:r>
      <w:r w:rsidRPr="005911E2">
        <w:t xml:space="preserve"> </w:t>
      </w:r>
      <w:r w:rsidR="00D923FE">
        <w:t>are likely to be substantial</w:t>
      </w:r>
      <w:r w:rsidRPr="005911E2">
        <w:t xml:space="preserve">. A longer time period will be needed to fully answer this question. </w:t>
      </w:r>
    </w:p>
    <w:p w:rsidR="00220531" w:rsidRPr="005911E2" w:rsidRDefault="00220531" w:rsidP="00220531">
      <w:pPr>
        <w:pStyle w:val="evalq"/>
      </w:pPr>
      <w:r w:rsidRPr="005911E2">
        <w:t xml:space="preserve">3. </w:t>
      </w:r>
      <w:r w:rsidRPr="005911E2">
        <w:tab/>
        <w:t>What are the key motivations for people who voluntarily access income management, and why do they stop?</w:t>
      </w:r>
    </w:p>
    <w:p w:rsidR="00220531" w:rsidRPr="005911E2" w:rsidRDefault="002B5A5C" w:rsidP="00220531">
      <w:pPr>
        <w:pStyle w:val="BodyText1"/>
      </w:pPr>
      <w:r>
        <w:t>Voluntary Income Management</w:t>
      </w:r>
      <w:r w:rsidR="00220531" w:rsidRPr="005911E2">
        <w:t xml:space="preserve"> appears to be valued by those who choose it. The main motivations reported to us were to reduce financial harassment and </w:t>
      </w:r>
      <w:r w:rsidR="003F017F">
        <w:t xml:space="preserve">to </w:t>
      </w:r>
      <w:r w:rsidR="00220531" w:rsidRPr="005911E2">
        <w:t>ensure that their money is safeguarded.</w:t>
      </w:r>
    </w:p>
    <w:p w:rsidR="00220531" w:rsidRPr="005911E2" w:rsidRDefault="00220531" w:rsidP="00220531">
      <w:pPr>
        <w:pStyle w:val="BodyText1"/>
      </w:pPr>
      <w:r w:rsidRPr="005911E2">
        <w:t xml:space="preserve">Many people appear to value the incentive payment, </w:t>
      </w:r>
      <w:r w:rsidR="00F878E4">
        <w:t>income management</w:t>
      </w:r>
      <w:r w:rsidRPr="005911E2">
        <w:t xml:space="preserve"> itself and the free banking offered by BasicsCard, but it is not clear which of these factors is the major drawcard for remaining on </w:t>
      </w:r>
      <w:r w:rsidR="002B5A5C">
        <w:t>Voluntary Income Management</w:t>
      </w:r>
      <w:r w:rsidRPr="005911E2">
        <w:t>.</w:t>
      </w:r>
    </w:p>
    <w:p w:rsidR="00220531" w:rsidRPr="005911E2" w:rsidRDefault="00220531" w:rsidP="00220531">
      <w:pPr>
        <w:pStyle w:val="BodyText1"/>
      </w:pPr>
      <w:r w:rsidRPr="005911E2">
        <w:t xml:space="preserve">Centrelink staff tended to be positive about </w:t>
      </w:r>
      <w:r w:rsidR="002B5A5C">
        <w:t>Voluntary Income Management</w:t>
      </w:r>
      <w:r w:rsidRPr="005911E2">
        <w:t xml:space="preserve"> and favour </w:t>
      </w:r>
      <w:r w:rsidR="003F017F">
        <w:t>this</w:t>
      </w:r>
      <w:r w:rsidRPr="005911E2">
        <w:t xml:space="preserve"> over compulsory measures. </w:t>
      </w:r>
    </w:p>
    <w:p w:rsidR="00220531" w:rsidRPr="005911E2" w:rsidRDefault="00220531" w:rsidP="00220531">
      <w:pPr>
        <w:pStyle w:val="BodyText1"/>
      </w:pPr>
      <w:r w:rsidRPr="005911E2">
        <w:t xml:space="preserve">Like </w:t>
      </w:r>
      <w:r w:rsidR="004808B3">
        <w:t>Compulsory Income Management</w:t>
      </w:r>
      <w:r w:rsidRPr="005911E2">
        <w:t xml:space="preserve">, </w:t>
      </w:r>
      <w:r w:rsidR="002B5A5C">
        <w:t>Voluntary Income Management</w:t>
      </w:r>
      <w:r w:rsidRPr="005911E2">
        <w:t xml:space="preserve">’s main advantages appear to be that people can have a proportion of their funds securely allocated to </w:t>
      </w:r>
      <w:r w:rsidR="00D923FE">
        <w:t>items such as food and</w:t>
      </w:r>
      <w:r w:rsidRPr="005911E2">
        <w:t xml:space="preserve"> rent</w:t>
      </w:r>
      <w:r w:rsidR="00D923FE">
        <w:t>, and that financial harassment can be</w:t>
      </w:r>
      <w:r w:rsidRPr="005911E2">
        <w:t xml:space="preserve"> reduced. </w:t>
      </w:r>
    </w:p>
    <w:p w:rsidR="00220531" w:rsidRPr="005911E2" w:rsidRDefault="00220531" w:rsidP="00220531">
      <w:pPr>
        <w:pStyle w:val="Heading3"/>
        <w:ind w:left="505" w:hanging="505"/>
      </w:pPr>
      <w:r w:rsidRPr="005911E2">
        <w:t xml:space="preserve">BasicsCard and the mechanics of </w:t>
      </w:r>
      <w:r w:rsidR="00F878E4">
        <w:t>income management</w:t>
      </w:r>
    </w:p>
    <w:p w:rsidR="00220531" w:rsidRPr="005911E2" w:rsidRDefault="00220531" w:rsidP="00220531">
      <w:pPr>
        <w:pStyle w:val="BodyText"/>
        <w:rPr>
          <w:lang w:eastAsia="en-US"/>
        </w:rPr>
      </w:pPr>
      <w:r w:rsidRPr="005911E2">
        <w:rPr>
          <w:lang w:eastAsia="en-US"/>
        </w:rPr>
        <w:t xml:space="preserve">The Evaluation Framework did not contain a question specifically about the BasicsCard. </w:t>
      </w:r>
      <w:r w:rsidR="003F017F">
        <w:rPr>
          <w:lang w:eastAsia="en-US"/>
        </w:rPr>
        <w:t>However, the BasicsCard</w:t>
      </w:r>
      <w:r w:rsidRPr="005911E2">
        <w:rPr>
          <w:lang w:eastAsia="en-US"/>
        </w:rPr>
        <w:t xml:space="preserve"> has emerged as a very important issue</w:t>
      </w:r>
      <w:r w:rsidR="00614538" w:rsidRPr="005911E2">
        <w:rPr>
          <w:lang w:eastAsia="en-US"/>
        </w:rPr>
        <w:t>.</w:t>
      </w:r>
      <w:r w:rsidR="00614538">
        <w:rPr>
          <w:lang w:eastAsia="en-US"/>
        </w:rPr>
        <w:t xml:space="preserve"> </w:t>
      </w:r>
    </w:p>
    <w:p w:rsidR="00220531" w:rsidRPr="005911E2" w:rsidRDefault="00220531" w:rsidP="00220531">
      <w:pPr>
        <w:pStyle w:val="BodyText1"/>
      </w:pPr>
      <w:r w:rsidRPr="005911E2">
        <w:t xml:space="preserve">There are mixed views about the BasicsCard. On the whole many people subject to </w:t>
      </w:r>
      <w:r w:rsidR="00F878E4">
        <w:t>income management</w:t>
      </w:r>
      <w:r w:rsidRPr="005911E2">
        <w:t xml:space="preserve"> were positive and Centrelink staff were, on the whole, quite positive about its introduction</w:t>
      </w:r>
      <w:r w:rsidR="003F017F">
        <w:t>. M</w:t>
      </w:r>
      <w:r w:rsidRPr="005911E2">
        <w:t xml:space="preserve">any people subject to </w:t>
      </w:r>
      <w:r w:rsidR="00F878E4">
        <w:t>income management</w:t>
      </w:r>
      <w:r w:rsidRPr="005911E2">
        <w:t xml:space="preserve"> were also positive, with evidence that for some it serves as an incentive for people to remain income managed even if they qualify for an exemption. The positives include fee free banking and</w:t>
      </w:r>
      <w:r w:rsidR="005E51D8">
        <w:t>,</w:t>
      </w:r>
      <w:r w:rsidRPr="005911E2">
        <w:t xml:space="preserve"> for some</w:t>
      </w:r>
      <w:r w:rsidR="005E51D8">
        <w:t>,</w:t>
      </w:r>
      <w:r w:rsidRPr="005911E2">
        <w:t xml:space="preserve"> </w:t>
      </w:r>
      <w:r w:rsidR="003F017F" w:rsidRPr="005911E2">
        <w:t xml:space="preserve">reductions </w:t>
      </w:r>
      <w:r w:rsidRPr="005911E2">
        <w:t xml:space="preserve">in financial harassment and abuse. </w:t>
      </w:r>
    </w:p>
    <w:p w:rsidR="00220531" w:rsidRPr="005911E2" w:rsidRDefault="00220531" w:rsidP="00220531">
      <w:pPr>
        <w:pStyle w:val="BodyText1"/>
      </w:pPr>
      <w:r w:rsidRPr="005911E2">
        <w:t>However</w:t>
      </w:r>
      <w:r w:rsidR="003F017F">
        <w:t>,</w:t>
      </w:r>
      <w:r w:rsidRPr="005911E2">
        <w:t xml:space="preserve"> many other people expressed very negative views about the BasicsCard</w:t>
      </w:r>
      <w:r w:rsidR="003F017F">
        <w:t>,</w:t>
      </w:r>
      <w:r w:rsidRPr="005911E2">
        <w:t xml:space="preserve"> including embarrassment and practical problems using the card principally that:</w:t>
      </w:r>
    </w:p>
    <w:p w:rsidR="00220531" w:rsidRPr="005911E2" w:rsidRDefault="000F1625" w:rsidP="00051CDC">
      <w:pPr>
        <w:pStyle w:val="ListBullet"/>
      </w:pPr>
      <w:r>
        <w:t>b</w:t>
      </w:r>
      <w:r w:rsidR="00220531" w:rsidRPr="005911E2">
        <w:t>alance checking can still be difficult, and at times costly, especially for those in remote areas</w:t>
      </w:r>
    </w:p>
    <w:p w:rsidR="00220531" w:rsidRPr="005911E2" w:rsidRDefault="000F1625" w:rsidP="00051CDC">
      <w:pPr>
        <w:pStyle w:val="ListBullet"/>
      </w:pPr>
      <w:r>
        <w:t>i</w:t>
      </w:r>
      <w:r w:rsidR="00220531" w:rsidRPr="005911E2">
        <w:t xml:space="preserve">t is still not </w:t>
      </w:r>
      <w:r>
        <w:t>accepted</w:t>
      </w:r>
      <w:r w:rsidRPr="005911E2">
        <w:t xml:space="preserve"> </w:t>
      </w:r>
      <w:r w:rsidR="00220531" w:rsidRPr="005911E2">
        <w:t>in enough outlets</w:t>
      </w:r>
    </w:p>
    <w:p w:rsidR="00220531" w:rsidRPr="005911E2" w:rsidRDefault="000F1625" w:rsidP="00051CDC">
      <w:pPr>
        <w:pStyle w:val="ListBullet"/>
      </w:pPr>
      <w:r>
        <w:t>t</w:t>
      </w:r>
      <w:r w:rsidR="00220531" w:rsidRPr="005911E2">
        <w:t>he helpline is difficult to access with long waiting times which, if calling from a mobile phone, can be expensive</w:t>
      </w:r>
    </w:p>
    <w:p w:rsidR="00220531" w:rsidRPr="005911E2" w:rsidRDefault="000F1625" w:rsidP="00051CDC">
      <w:pPr>
        <w:pStyle w:val="ListBullet"/>
      </w:pPr>
      <w:r>
        <w:t>t</w:t>
      </w:r>
      <w:r w:rsidR="00220531" w:rsidRPr="005911E2">
        <w:t>here are occasions when the BasicsCard system ‘goes down’ resulting in people being unable to pay at cash registers</w:t>
      </w:r>
    </w:p>
    <w:p w:rsidR="00BF0F6E" w:rsidRDefault="000F1625" w:rsidP="00851FBD">
      <w:pPr>
        <w:pStyle w:val="ListBullet"/>
      </w:pPr>
      <w:r>
        <w:t>w</w:t>
      </w:r>
      <w:r w:rsidR="003C23C7" w:rsidRPr="005911E2">
        <w:t>hile not directly related to the BasicsCard, t</w:t>
      </w:r>
      <w:r w:rsidR="00220531" w:rsidRPr="005911E2">
        <w:t>he mechanics of obtaining approval from Centrelink to spend money on goods such as TVs and fridges can be cumbersome.</w:t>
      </w:r>
    </w:p>
    <w:p w:rsidR="00220531" w:rsidRPr="005911E2" w:rsidRDefault="00220531" w:rsidP="00220531">
      <w:pPr>
        <w:pStyle w:val="BodyText"/>
      </w:pPr>
      <w:r w:rsidRPr="005911E2">
        <w:t xml:space="preserve">The BasicsCard has become a symbol for </w:t>
      </w:r>
      <w:r w:rsidR="00F878E4">
        <w:t>income management</w:t>
      </w:r>
      <w:r w:rsidR="00C36513" w:rsidRPr="00C36513">
        <w:rPr>
          <w:lang w:eastAsia="en-US"/>
        </w:rPr>
        <w:t xml:space="preserve"> </w:t>
      </w:r>
      <w:r w:rsidRPr="005911E2">
        <w:t xml:space="preserve">as a whole </w:t>
      </w:r>
      <w:r w:rsidR="00C36513">
        <w:rPr>
          <w:lang w:eastAsia="en-US"/>
        </w:rPr>
        <w:t>and</w:t>
      </w:r>
      <w:r w:rsidR="00E85FD2">
        <w:rPr>
          <w:lang w:eastAsia="en-US"/>
        </w:rPr>
        <w:t xml:space="preserve"> </w:t>
      </w:r>
      <w:r w:rsidR="00C36513">
        <w:rPr>
          <w:lang w:eastAsia="en-US"/>
        </w:rPr>
        <w:t>for the NTER</w:t>
      </w:r>
      <w:r w:rsidR="00C36513" w:rsidRPr="005911E2">
        <w:t xml:space="preserve"> </w:t>
      </w:r>
      <w:r w:rsidRPr="005911E2">
        <w:t>since it is the most visible public sign that people are being income managed</w:t>
      </w:r>
      <w:r w:rsidR="000F1625">
        <w:t>;</w:t>
      </w:r>
      <w:r w:rsidRPr="005911E2">
        <w:t xml:space="preserve"> therefore some of the feelings expressed about the BasicsCard are indicative of more general perceptions of </w:t>
      </w:r>
      <w:r w:rsidR="00F878E4">
        <w:t>income management</w:t>
      </w:r>
      <w:r w:rsidRPr="005911E2">
        <w:t xml:space="preserve"> itself. </w:t>
      </w:r>
    </w:p>
    <w:p w:rsidR="00D96A58" w:rsidRDefault="00220531" w:rsidP="005E51D8">
      <w:pPr>
        <w:pStyle w:val="Heading2"/>
      </w:pPr>
      <w:bookmarkStart w:id="1236" w:name="_Toc321225176"/>
      <w:bookmarkStart w:id="1237" w:name="_Toc321254520"/>
      <w:bookmarkStart w:id="1238" w:name="_Toc328601555"/>
      <w:bookmarkStart w:id="1239" w:name="_Toc329870436"/>
      <w:bookmarkStart w:id="1240" w:name="_Toc335915822"/>
      <w:r w:rsidRPr="005911E2">
        <w:t>Conclusion</w:t>
      </w:r>
      <w:bookmarkEnd w:id="1236"/>
      <w:bookmarkEnd w:id="1237"/>
      <w:bookmarkEnd w:id="1238"/>
      <w:bookmarkEnd w:id="1239"/>
      <w:bookmarkEnd w:id="1240"/>
    </w:p>
    <w:p w:rsidR="00220531" w:rsidRPr="005911E2" w:rsidRDefault="00220531" w:rsidP="00220531">
      <w:pPr>
        <w:pStyle w:val="BodyText"/>
        <w:rPr>
          <w:lang w:eastAsia="en-US"/>
        </w:rPr>
      </w:pPr>
      <w:r w:rsidRPr="005911E2">
        <w:rPr>
          <w:lang w:eastAsia="en-US"/>
        </w:rPr>
        <w:t xml:space="preserve">The evidence gathered to date for this evaluation suggests that NIM has had a diverse set of impacts. For some it has been positive, for others negative and for others it has had little effect. Taken as a whole there is not strong evidence that, at this stage, the program has had a major impact on improving outcomes overall, </w:t>
      </w:r>
      <w:r w:rsidR="00D41615">
        <w:rPr>
          <w:lang w:eastAsia="en-US"/>
        </w:rPr>
        <w:t>but</w:t>
      </w:r>
      <w:r w:rsidR="00D41615" w:rsidRPr="005911E2">
        <w:rPr>
          <w:lang w:eastAsia="en-US"/>
        </w:rPr>
        <w:t xml:space="preserve"> </w:t>
      </w:r>
      <w:r w:rsidRPr="005911E2">
        <w:rPr>
          <w:lang w:eastAsia="en-US"/>
        </w:rPr>
        <w:t>many individuals report some gains, while others report more negative effects.</w:t>
      </w:r>
    </w:p>
    <w:p w:rsidR="00220531" w:rsidRPr="005911E2" w:rsidRDefault="00220531" w:rsidP="00220531">
      <w:pPr>
        <w:pStyle w:val="BodyText"/>
        <w:rPr>
          <w:lang w:eastAsia="en-US"/>
        </w:rPr>
      </w:pPr>
      <w:r w:rsidRPr="005911E2">
        <w:rPr>
          <w:lang w:eastAsia="en-US"/>
        </w:rPr>
        <w:t>For some</w:t>
      </w:r>
      <w:r w:rsidR="000F1625">
        <w:rPr>
          <w:lang w:eastAsia="en-US"/>
        </w:rPr>
        <w:t>,</w:t>
      </w:r>
      <w:r w:rsidRPr="005911E2">
        <w:rPr>
          <w:lang w:eastAsia="en-US"/>
        </w:rPr>
        <w:t xml:space="preserve"> the evidence is that the program can make a substantial contribution to improving the wellbeing for a group of people on income support who are in a financial crisis and need their expenditure stabilised</w:t>
      </w:r>
      <w:r w:rsidR="000F1625">
        <w:rPr>
          <w:lang w:eastAsia="en-US"/>
        </w:rPr>
        <w:t>;</w:t>
      </w:r>
      <w:r w:rsidRPr="005911E2">
        <w:rPr>
          <w:lang w:eastAsia="en-US"/>
        </w:rPr>
        <w:t xml:space="preserve"> are chronically unable to manage their finances</w:t>
      </w:r>
      <w:r w:rsidR="000F1625">
        <w:rPr>
          <w:lang w:eastAsia="en-US"/>
        </w:rPr>
        <w:t>;</w:t>
      </w:r>
      <w:r w:rsidRPr="005911E2">
        <w:rPr>
          <w:lang w:eastAsia="en-US"/>
        </w:rPr>
        <w:t xml:space="preserve"> or are subject to serious financial harassment.</w:t>
      </w:r>
    </w:p>
    <w:p w:rsidR="00220531" w:rsidRPr="005911E2" w:rsidRDefault="00EB17F5" w:rsidP="00220531">
      <w:pPr>
        <w:pStyle w:val="BodyText"/>
      </w:pPr>
      <w:r>
        <w:t>The evaluation</w:t>
      </w:r>
      <w:r w:rsidR="00220531" w:rsidRPr="005911E2">
        <w:t xml:space="preserve"> evidence </w:t>
      </w:r>
      <w:r>
        <w:t xml:space="preserve">is </w:t>
      </w:r>
      <w:r w:rsidR="00220531" w:rsidRPr="005911E2">
        <w:t xml:space="preserve">that </w:t>
      </w:r>
      <w:r w:rsidR="00355421" w:rsidRPr="005911E2">
        <w:t xml:space="preserve">there </w:t>
      </w:r>
      <w:r w:rsidR="00576705">
        <w:t>are</w:t>
      </w:r>
      <w:r w:rsidR="00355421" w:rsidRPr="005911E2">
        <w:t xml:space="preserve"> a large number</w:t>
      </w:r>
      <w:r w:rsidR="00220531" w:rsidRPr="005911E2">
        <w:t xml:space="preserve"> of people </w:t>
      </w:r>
      <w:r w:rsidR="00355421" w:rsidRPr="005911E2">
        <w:t xml:space="preserve">subject to </w:t>
      </w:r>
      <w:r w:rsidR="004808B3">
        <w:t>Compulsory Income Management</w:t>
      </w:r>
      <w:r w:rsidR="00355421" w:rsidRPr="005911E2">
        <w:t xml:space="preserve"> who appear to be competent in managing their finances, are not subject to financial harassment</w:t>
      </w:r>
      <w:r w:rsidR="000F1625">
        <w:t>,</w:t>
      </w:r>
      <w:r w:rsidR="00355421" w:rsidRPr="005911E2">
        <w:t xml:space="preserve"> and live in families where </w:t>
      </w:r>
      <w:r w:rsidR="00220531" w:rsidRPr="005911E2">
        <w:t>alcohol, drugs and gambling</w:t>
      </w:r>
      <w:r w:rsidR="00355421" w:rsidRPr="005911E2">
        <w:t xml:space="preserve"> are not seen as major</w:t>
      </w:r>
      <w:r w:rsidR="00220531" w:rsidRPr="005911E2">
        <w:t xml:space="preserve"> problems</w:t>
      </w:r>
      <w:r w:rsidR="00707C01">
        <w:t xml:space="preserve">. </w:t>
      </w:r>
      <w:r w:rsidR="00355421" w:rsidRPr="005911E2">
        <w:t>Thus there appear</w:t>
      </w:r>
      <w:r w:rsidR="000F1625">
        <w:t>s</w:t>
      </w:r>
      <w:r w:rsidR="00355421" w:rsidRPr="005911E2">
        <w:t xml:space="preserve"> to be a large number of people subject to </w:t>
      </w:r>
      <w:r w:rsidR="004808B3">
        <w:t>Compulsory Income Management</w:t>
      </w:r>
      <w:r w:rsidR="00355421" w:rsidRPr="005911E2">
        <w:t xml:space="preserve"> who are unlikely to benefit from </w:t>
      </w:r>
      <w:r w:rsidR="00220531" w:rsidRPr="005911E2">
        <w:t xml:space="preserve">this </w:t>
      </w:r>
      <w:r w:rsidR="00355421" w:rsidRPr="005911E2">
        <w:t xml:space="preserve">measure, and for whom the restrictions of </w:t>
      </w:r>
      <w:r w:rsidR="00F878E4">
        <w:t>income management</w:t>
      </w:r>
      <w:r w:rsidR="00355421" w:rsidRPr="005911E2">
        <w:t xml:space="preserve"> can create frustrations and challenges.</w:t>
      </w:r>
      <w:r w:rsidR="00220531" w:rsidRPr="005911E2">
        <w:t xml:space="preserve"> This raises questions about </w:t>
      </w:r>
      <w:r w:rsidR="00D41615">
        <w:t xml:space="preserve">the </w:t>
      </w:r>
      <w:r w:rsidR="00E85FD2">
        <w:t>application</w:t>
      </w:r>
      <w:r w:rsidR="00220531" w:rsidRPr="005911E2">
        <w:t xml:space="preserve"> of </w:t>
      </w:r>
      <w:r w:rsidR="00F878E4">
        <w:t>income management</w:t>
      </w:r>
      <w:r w:rsidR="00220531" w:rsidRPr="005911E2">
        <w:t xml:space="preserve"> to people who do not need it. </w:t>
      </w:r>
    </w:p>
    <w:p w:rsidR="00220531" w:rsidRPr="005911E2" w:rsidRDefault="00707C01" w:rsidP="00220531">
      <w:pPr>
        <w:pStyle w:val="BodyText"/>
      </w:pPr>
      <w:r>
        <w:t>M</w:t>
      </w:r>
      <w:r w:rsidR="00220531" w:rsidRPr="005911E2">
        <w:t>any of those who do not report any of these problems in their family still have one or more financial problems</w:t>
      </w:r>
      <w:r>
        <w:t>.</w:t>
      </w:r>
      <w:r w:rsidR="00220531" w:rsidRPr="005911E2">
        <w:t xml:space="preserve"> </w:t>
      </w:r>
      <w:r>
        <w:t xml:space="preserve">There </w:t>
      </w:r>
      <w:r w:rsidR="00220531" w:rsidRPr="005911E2">
        <w:t xml:space="preserve">are very mixed findings as to the extent to which being subject to </w:t>
      </w:r>
      <w:r w:rsidR="00F878E4">
        <w:t>income management</w:t>
      </w:r>
      <w:r w:rsidR="00220531" w:rsidRPr="005911E2">
        <w:t xml:space="preserve"> has led to greater control over money.</w:t>
      </w:r>
    </w:p>
    <w:p w:rsidR="00220531" w:rsidRPr="005911E2" w:rsidRDefault="000F1625" w:rsidP="00220531">
      <w:pPr>
        <w:pStyle w:val="BodyText"/>
      </w:pPr>
      <w:r>
        <w:t>I</w:t>
      </w:r>
      <w:r w:rsidR="00F878E4">
        <w:t>ncome management</w:t>
      </w:r>
      <w:r w:rsidR="00220531" w:rsidRPr="005911E2">
        <w:t xml:space="preserve"> incurs costs to the individuals, who in many cases find it embarrassing and humiliating and in some cases de-motivating. Examples of direct financial costs </w:t>
      </w:r>
      <w:r w:rsidR="00E85FD2">
        <w:t xml:space="preserve">resulting </w:t>
      </w:r>
      <w:r w:rsidR="00220531" w:rsidRPr="005911E2">
        <w:t xml:space="preserve">from </w:t>
      </w:r>
      <w:r w:rsidR="00F878E4">
        <w:t>income management</w:t>
      </w:r>
      <w:r w:rsidR="00220531" w:rsidRPr="005911E2">
        <w:t xml:space="preserve"> </w:t>
      </w:r>
      <w:r w:rsidR="00707C01">
        <w:t>include</w:t>
      </w:r>
      <w:r w:rsidR="00220531" w:rsidRPr="005911E2">
        <w:t xml:space="preserve"> the costs of seeking to make applications for exemption, the fact that some cheap shopping </w:t>
      </w:r>
      <w:r w:rsidR="005A1D47">
        <w:t>outlets</w:t>
      </w:r>
      <w:r w:rsidR="00220531" w:rsidRPr="005911E2">
        <w:t xml:space="preserve"> are not approved merchants, and the cost of accessing approved stores. There are also the costs to the government of running </w:t>
      </w:r>
      <w:r w:rsidR="00F878E4">
        <w:t>income management</w:t>
      </w:r>
      <w:r w:rsidR="00220531" w:rsidRPr="005911E2">
        <w:t>.</w:t>
      </w:r>
    </w:p>
    <w:p w:rsidR="00220531" w:rsidRPr="005911E2" w:rsidRDefault="00220531" w:rsidP="00220531">
      <w:pPr>
        <w:pStyle w:val="BodyText"/>
      </w:pPr>
      <w:r w:rsidRPr="005911E2">
        <w:t xml:space="preserve">There are </w:t>
      </w:r>
      <w:r w:rsidR="00707C01">
        <w:t>s</w:t>
      </w:r>
      <w:r w:rsidR="00E85FD2">
        <w:t>ubstantial</w:t>
      </w:r>
      <w:r w:rsidRPr="005911E2">
        <w:t xml:space="preserve"> differences in the rates of exemption between Indigenous and non-Indigenous people and between those with and without children. The rate of exemptions being granted is very low in NTER prescribed areas where many people have been on a form of </w:t>
      </w:r>
      <w:r w:rsidR="00F878E4">
        <w:t>income management</w:t>
      </w:r>
      <w:r w:rsidRPr="005911E2">
        <w:t xml:space="preserve"> (NTER IM) since 2008. </w:t>
      </w:r>
      <w:r w:rsidR="00E85FD2">
        <w:t>A further issue</w:t>
      </w:r>
      <w:r w:rsidRPr="005911E2">
        <w:t xml:space="preserve"> is the </w:t>
      </w:r>
      <w:r w:rsidR="00E85FD2">
        <w:t xml:space="preserve">lack of </w:t>
      </w:r>
      <w:r w:rsidR="000F1625">
        <w:t xml:space="preserve">a </w:t>
      </w:r>
      <w:r w:rsidR="00E85FD2">
        <w:t xml:space="preserve">direct relationship between </w:t>
      </w:r>
      <w:r w:rsidRPr="005911E2">
        <w:t xml:space="preserve">how responsibly money </w:t>
      </w:r>
      <w:r w:rsidR="000F1625">
        <w:t>i</w:t>
      </w:r>
      <w:r w:rsidR="00E85FD2">
        <w:t>s</w:t>
      </w:r>
      <w:r w:rsidRPr="005911E2">
        <w:t xml:space="preserve"> spent or managed</w:t>
      </w:r>
      <w:r w:rsidR="00E85FD2">
        <w:t xml:space="preserve"> and the specific </w:t>
      </w:r>
      <w:r w:rsidR="005E51D8">
        <w:t xml:space="preserve">primary </w:t>
      </w:r>
      <w:r w:rsidR="00E85FD2">
        <w:t>criteria for exemption</w:t>
      </w:r>
      <w:r w:rsidR="000F1625">
        <w:t>s</w:t>
      </w:r>
      <w:r w:rsidR="00E85FD2">
        <w:t xml:space="preserve"> </w:t>
      </w:r>
      <w:r w:rsidR="000F1625">
        <w:t>(</w:t>
      </w:r>
      <w:r w:rsidR="00E85FD2">
        <w:t>which do not relate to this</w:t>
      </w:r>
      <w:r w:rsidR="000F1625">
        <w:t>)</w:t>
      </w:r>
      <w:r w:rsidR="00E85FD2">
        <w:t>.</w:t>
      </w:r>
      <w:r w:rsidRPr="005911E2">
        <w:t xml:space="preserve"> </w:t>
      </w:r>
    </w:p>
    <w:p w:rsidR="00220531" w:rsidRPr="005911E2" w:rsidRDefault="00220531" w:rsidP="00220531">
      <w:pPr>
        <w:pStyle w:val="BodyText"/>
      </w:pPr>
      <w:r w:rsidRPr="005911E2">
        <w:t xml:space="preserve">The large-scale survey of those subject to </w:t>
      </w:r>
      <w:r w:rsidR="00F878E4">
        <w:t>income management</w:t>
      </w:r>
      <w:r w:rsidRPr="005911E2">
        <w:t xml:space="preserve"> (LSNIM Wave 1) reveals that for a range of outcomes the majority of participants reported little change. A significant minority reported improvements as a result of </w:t>
      </w:r>
      <w:r w:rsidR="00F878E4">
        <w:t>income management</w:t>
      </w:r>
      <w:r w:rsidRPr="005911E2">
        <w:t xml:space="preserve">, in most domains more than those who reported deterioration, and in some cases this difference was significant. </w:t>
      </w:r>
      <w:r w:rsidR="00707C01">
        <w:t>I</w:t>
      </w:r>
      <w:r w:rsidRPr="005911E2">
        <w:t>n many cases the contrast population of income support recipients outside the</w:t>
      </w:r>
      <w:r w:rsidR="006435C8">
        <w:t xml:space="preserve"> Northern Territory </w:t>
      </w:r>
      <w:r w:rsidRPr="005911E2">
        <w:t>ha</w:t>
      </w:r>
      <w:r w:rsidR="000F1625">
        <w:t>d</w:t>
      </w:r>
      <w:r w:rsidRPr="005911E2">
        <w:t xml:space="preserve"> similar perceptions of improvement.</w:t>
      </w:r>
    </w:p>
    <w:p w:rsidR="00220531" w:rsidRPr="005911E2" w:rsidRDefault="00220531" w:rsidP="00220531">
      <w:pPr>
        <w:pStyle w:val="BodyText"/>
      </w:pPr>
      <w:r w:rsidRPr="005911E2">
        <w:t>It is anticipated that the question of the robustness of these perceptions will be able to be better tested once data from the second wave of the participant survey is available and</w:t>
      </w:r>
      <w:r w:rsidR="000F1625">
        <w:t>,</w:t>
      </w:r>
      <w:r w:rsidRPr="005911E2">
        <w:t xml:space="preserve"> importantly</w:t>
      </w:r>
      <w:r w:rsidR="000F1625">
        <w:t>,</w:t>
      </w:r>
      <w:r w:rsidRPr="005911E2">
        <w:t xml:space="preserve"> population level outcome data from 2011 and 2012 is released.</w:t>
      </w:r>
    </w:p>
    <w:p w:rsidR="00220531" w:rsidRPr="005911E2" w:rsidRDefault="008904E2" w:rsidP="00220531">
      <w:pPr>
        <w:pStyle w:val="BodyText"/>
      </w:pPr>
      <w:r>
        <w:t>In a number of cases</w:t>
      </w:r>
      <w:r w:rsidR="00220531" w:rsidRPr="005911E2">
        <w:t xml:space="preserve"> </w:t>
      </w:r>
      <w:r>
        <w:t>it appeared that more</w:t>
      </w:r>
      <w:r w:rsidR="00220531" w:rsidRPr="005911E2">
        <w:t xml:space="preserve"> positive outcomes</w:t>
      </w:r>
      <w:r w:rsidR="00CD6407">
        <w:t>,</w:t>
      </w:r>
      <w:r w:rsidR="00220531" w:rsidRPr="005911E2">
        <w:t xml:space="preserve"> or perceptions of </w:t>
      </w:r>
      <w:r w:rsidR="00B5351D" w:rsidRPr="005911E2">
        <w:t>change</w:t>
      </w:r>
      <w:r w:rsidR="00CD6407">
        <w:t>,</w:t>
      </w:r>
      <w:r w:rsidR="001429AF">
        <w:t xml:space="preserve"> were</w:t>
      </w:r>
      <w:r>
        <w:t xml:space="preserve"> identified for</w:t>
      </w:r>
      <w:r w:rsidR="00220531" w:rsidRPr="005911E2">
        <w:t xml:space="preserve"> NTER communities than in non-NTER communities.</w:t>
      </w:r>
      <w:r w:rsidR="00BB14C5">
        <w:t xml:space="preserve"> </w:t>
      </w:r>
      <w:r>
        <w:t>This</w:t>
      </w:r>
      <w:r w:rsidR="00D41615">
        <w:t>,</w:t>
      </w:r>
      <w:r>
        <w:t xml:space="preserve"> however</w:t>
      </w:r>
      <w:r w:rsidR="00D41615">
        <w:t>,</w:t>
      </w:r>
      <w:r>
        <w:t xml:space="preserve"> was not consistent across all questions or subgroups.</w:t>
      </w:r>
      <w:r w:rsidR="00BB14C5">
        <w:t xml:space="preserve"> </w:t>
      </w:r>
      <w:r>
        <w:t xml:space="preserve">Our analysis suggests where this is the case it is </w:t>
      </w:r>
      <w:r w:rsidR="00355421">
        <w:t>more</w:t>
      </w:r>
      <w:r w:rsidR="00220531" w:rsidRPr="005911E2">
        <w:t xml:space="preserve"> likely to reflect the impact of other interventions under the NTER rather than specifically attributable to </w:t>
      </w:r>
      <w:r w:rsidR="00F878E4">
        <w:t>income management</w:t>
      </w:r>
      <w:r w:rsidR="00355421">
        <w:t xml:space="preserve"> in</w:t>
      </w:r>
      <w:r w:rsidR="00220531" w:rsidRPr="005911E2">
        <w:t xml:space="preserve"> the longer</w:t>
      </w:r>
      <w:r w:rsidR="00D41615">
        <w:t>-</w:t>
      </w:r>
      <w:r w:rsidR="00220531" w:rsidRPr="005911E2">
        <w:t>term</w:t>
      </w:r>
      <w:r w:rsidR="00614538" w:rsidRPr="005911E2">
        <w:t>.</w:t>
      </w:r>
      <w:r w:rsidR="00614538">
        <w:t xml:space="preserve"> </w:t>
      </w:r>
    </w:p>
    <w:p w:rsidR="00220531" w:rsidRPr="005911E2" w:rsidRDefault="00220531" w:rsidP="00220531">
      <w:pPr>
        <w:pStyle w:val="BodyText"/>
      </w:pPr>
      <w:r w:rsidRPr="005911E2">
        <w:t xml:space="preserve">It is difficult in the evaluation to fully differentiate views about the BasicsCard from </w:t>
      </w:r>
      <w:r w:rsidR="00F878E4">
        <w:t>income management</w:t>
      </w:r>
      <w:r w:rsidRPr="005911E2">
        <w:t xml:space="preserve"> itself. There is</w:t>
      </w:r>
      <w:r w:rsidR="00D41615">
        <w:t>,</w:t>
      </w:r>
      <w:r w:rsidRPr="005911E2">
        <w:t xml:space="preserve"> however</w:t>
      </w:r>
      <w:r w:rsidR="00D41615">
        <w:t>,</w:t>
      </w:r>
      <w:r w:rsidRPr="005911E2">
        <w:t xml:space="preserve"> some evidence that the card</w:t>
      </w:r>
      <w:r w:rsidR="000F1625">
        <w:t>,</w:t>
      </w:r>
      <w:r w:rsidRPr="005911E2">
        <w:t xml:space="preserve"> while being seen negatively by some</w:t>
      </w:r>
      <w:r w:rsidR="000F1625">
        <w:t>,</w:t>
      </w:r>
      <w:r w:rsidRPr="005911E2">
        <w:t xml:space="preserve"> is viewed positively by others. This latter seems driven by the safety the card provides and the absence of costs (other than phone calls to check balances) on its use</w:t>
      </w:r>
      <w:r w:rsidR="00614538" w:rsidRPr="005911E2">
        <w:t>.</w:t>
      </w:r>
      <w:r w:rsidR="00614538">
        <w:t xml:space="preserve"> </w:t>
      </w:r>
    </w:p>
    <w:p w:rsidR="00220531" w:rsidRPr="005911E2" w:rsidRDefault="00220531" w:rsidP="00220531">
      <w:pPr>
        <w:pStyle w:val="BodyText"/>
      </w:pPr>
      <w:r w:rsidRPr="005911E2">
        <w:t xml:space="preserve">At this point our view is that the evidence most clearly highlights a diversity of outcomes from NIM which are positive for some and negative for others. This suggests two central questions: whether, to the extent that there are gains under the existing arrangements, the value of these outweigh the costs; and whether or not alternative arrangements would permit the gains to be achieved without the negative outcomes. </w:t>
      </w:r>
    </w:p>
    <w:p w:rsidR="00177518" w:rsidRDefault="00220531" w:rsidP="006D4341">
      <w:pPr>
        <w:pStyle w:val="BodyText"/>
      </w:pPr>
      <w:r w:rsidRPr="005911E2">
        <w:t>Our view is that these</w:t>
      </w:r>
      <w:r w:rsidR="00707C01" w:rsidRPr="005911E2">
        <w:t xml:space="preserve"> </w:t>
      </w:r>
      <w:r w:rsidRPr="005911E2">
        <w:t xml:space="preserve">findings point towards the conclusion that </w:t>
      </w:r>
      <w:r w:rsidR="00F878E4">
        <w:t>income management</w:t>
      </w:r>
      <w:r w:rsidRPr="005911E2">
        <w:t xml:space="preserve"> can be an effective measure to deal with particular issues faced by a proportion of those subject to </w:t>
      </w:r>
      <w:r w:rsidR="00F878E4">
        <w:t>income management</w:t>
      </w:r>
      <w:r w:rsidRPr="005911E2">
        <w:t xml:space="preserve">, and that for a small number of vulnerable people there may be longer term benefits in </w:t>
      </w:r>
      <w:r w:rsidR="00DF0982" w:rsidRPr="005911E2">
        <w:t>having</w:t>
      </w:r>
      <w:r w:rsidRPr="005911E2">
        <w:t xml:space="preserve"> their income managed</w:t>
      </w:r>
      <w:r w:rsidR="00DF0982" w:rsidRPr="005911E2">
        <w:t xml:space="preserve"> on a voluntary or compulsory basis</w:t>
      </w:r>
      <w:r w:rsidRPr="005911E2">
        <w:t xml:space="preserve">. </w:t>
      </w:r>
      <w:r w:rsidR="004204F3" w:rsidRPr="005911E2">
        <w:t>Similarly</w:t>
      </w:r>
      <w:r w:rsidR="000F1625">
        <w:t>,</w:t>
      </w:r>
      <w:r w:rsidR="00DF0982" w:rsidRPr="005911E2">
        <w:t xml:space="preserve"> the BasicsCard appears to provide a number of benefits to some </w:t>
      </w:r>
      <w:r w:rsidR="00554869">
        <w:t xml:space="preserve">people </w:t>
      </w:r>
      <w:r w:rsidR="00DF0982" w:rsidRPr="005911E2">
        <w:t xml:space="preserve">which go beyond its value in </w:t>
      </w:r>
      <w:r w:rsidR="00F878E4">
        <w:t>income management</w:t>
      </w:r>
      <w:r w:rsidR="00DF0982" w:rsidRPr="005911E2">
        <w:t xml:space="preserve">. </w:t>
      </w:r>
      <w:r w:rsidRPr="005911E2">
        <w:t>However</w:t>
      </w:r>
      <w:r w:rsidR="000F1625">
        <w:t>,</w:t>
      </w:r>
      <w:r w:rsidRPr="005911E2">
        <w:t xml:space="preserve"> at this stage there is </w:t>
      </w:r>
      <w:r w:rsidR="00554869">
        <w:t>little</w:t>
      </w:r>
      <w:r w:rsidRPr="005911E2">
        <w:t xml:space="preserve"> indication that </w:t>
      </w:r>
      <w:r w:rsidR="00F878E4">
        <w:t>income management</w:t>
      </w:r>
      <w:r w:rsidRPr="005911E2">
        <w:t xml:space="preserve"> </w:t>
      </w:r>
      <w:r w:rsidR="00355421">
        <w:t xml:space="preserve">is </w:t>
      </w:r>
      <w:r w:rsidRPr="005911E2">
        <w:t>itself effective in changing parenting behaviour</w:t>
      </w:r>
      <w:r w:rsidR="00554869">
        <w:t>, reduc</w:t>
      </w:r>
      <w:r w:rsidR="00D41615">
        <w:t>ing</w:t>
      </w:r>
      <w:r w:rsidR="00554869">
        <w:t xml:space="preserve"> addiction</w:t>
      </w:r>
      <w:r w:rsidRPr="005911E2">
        <w:t xml:space="preserve"> or </w:t>
      </w:r>
      <w:r w:rsidR="00D41615">
        <w:t xml:space="preserve">improving </w:t>
      </w:r>
      <w:r w:rsidRPr="005911E2">
        <w:t xml:space="preserve">capacity to manage finances. </w:t>
      </w:r>
    </w:p>
    <w:p w:rsidR="007F38C2" w:rsidRDefault="007F38C2" w:rsidP="007F38C2">
      <w:pPr>
        <w:pStyle w:val="BodyText"/>
      </w:pPr>
      <w:r>
        <w:t xml:space="preserve">The low numbers of people who have engaged with the incentives (matched savings and exemptions) and with the supportive services which are intended to complement </w:t>
      </w:r>
      <w:r w:rsidR="00F878E4">
        <w:t>income management</w:t>
      </w:r>
      <w:r w:rsidR="00D41615">
        <w:t>,</w:t>
      </w:r>
      <w:r>
        <w:t xml:space="preserve"> may have </w:t>
      </w:r>
      <w:r w:rsidR="001D0406">
        <w:t xml:space="preserve">impacted on </w:t>
      </w:r>
      <w:r>
        <w:t>the extent of changes</w:t>
      </w:r>
      <w:r w:rsidR="00E172FE">
        <w:t>. Underlying the program logic</w:t>
      </w:r>
      <w:r w:rsidR="00554869">
        <w:t xml:space="preserve"> it </w:t>
      </w:r>
      <w:r>
        <w:t xml:space="preserve">is the combination of all three components which </w:t>
      </w:r>
      <w:r w:rsidR="00E172FE">
        <w:t xml:space="preserve">was </w:t>
      </w:r>
      <w:r>
        <w:t xml:space="preserve">expected to lead to </w:t>
      </w:r>
      <w:r w:rsidR="00D3222D">
        <w:t>long-term</w:t>
      </w:r>
      <w:r>
        <w:t xml:space="preserve"> behaviour changes and improvements in wellbeing.</w:t>
      </w:r>
      <w:r w:rsidR="00E172FE">
        <w:t xml:space="preserve"> </w:t>
      </w:r>
    </w:p>
    <w:p w:rsidR="00707C01" w:rsidRDefault="007F38C2" w:rsidP="00B06CAF">
      <w:pPr>
        <w:pStyle w:val="BodyText"/>
      </w:pPr>
      <w:r>
        <w:t xml:space="preserve">The next stage of this evaluation will clearly identify the medium and longer term impacts of </w:t>
      </w:r>
      <w:r w:rsidR="00F878E4">
        <w:t>income management</w:t>
      </w:r>
      <w:r>
        <w:t xml:space="preserve"> and whether access to exemptions and services improves over the course of the next period.</w:t>
      </w:r>
    </w:p>
    <w:p w:rsidR="00C0582B" w:rsidRDefault="00C0582B" w:rsidP="00C0582B">
      <w:pPr>
        <w:pStyle w:val="chapterend"/>
      </w:pPr>
    </w:p>
    <w:p w:rsidR="00707C01" w:rsidRPr="005911E2" w:rsidRDefault="00707C01" w:rsidP="006D4341">
      <w:pPr>
        <w:pStyle w:val="BodyText"/>
        <w:sectPr w:rsidR="00707C01" w:rsidRPr="005911E2" w:rsidSect="00E24340">
          <w:pgSz w:w="11906" w:h="16838" w:code="9"/>
          <w:pgMar w:top="1418" w:right="1797" w:bottom="1418" w:left="1230" w:header="567" w:footer="284" w:gutter="0"/>
          <w:cols w:space="708"/>
          <w:docGrid w:linePitch="360"/>
        </w:sectPr>
      </w:pPr>
    </w:p>
    <w:p w:rsidR="00177518" w:rsidRPr="005911E2" w:rsidRDefault="00177518" w:rsidP="00BD6DFD">
      <w:pPr>
        <w:pStyle w:val="Heading0"/>
      </w:pPr>
      <w:bookmarkStart w:id="1241" w:name="_Toc328601556"/>
      <w:bookmarkStart w:id="1242" w:name="_Toc329870437"/>
      <w:bookmarkStart w:id="1243" w:name="_Toc335915823"/>
      <w:r w:rsidRPr="005911E2">
        <w:t>References</w:t>
      </w:r>
      <w:bookmarkEnd w:id="1241"/>
      <w:bookmarkEnd w:id="1242"/>
      <w:bookmarkEnd w:id="1243"/>
    </w:p>
    <w:p w:rsidR="0044237F" w:rsidRDefault="0044237F" w:rsidP="0044237F">
      <w:pPr>
        <w:pStyle w:val="ReferenceList"/>
        <w:keepLines/>
        <w:jc w:val="left"/>
        <w:rPr>
          <w:szCs w:val="20"/>
        </w:rPr>
      </w:pPr>
      <w:r w:rsidRPr="005911E2">
        <w:rPr>
          <w:szCs w:val="20"/>
        </w:rPr>
        <w:t>Australian Bureau of Statistics (ABS) (2009-10)</w:t>
      </w:r>
      <w:r>
        <w:rPr>
          <w:szCs w:val="20"/>
        </w:rPr>
        <w:t>,</w:t>
      </w:r>
      <w:r w:rsidRPr="005911E2">
        <w:rPr>
          <w:szCs w:val="20"/>
        </w:rPr>
        <w:t xml:space="preserve"> </w:t>
      </w:r>
      <w:r w:rsidRPr="001D0406">
        <w:rPr>
          <w:i/>
          <w:szCs w:val="20"/>
        </w:rPr>
        <w:t>2009-10</w:t>
      </w:r>
      <w:r w:rsidRPr="005911E2">
        <w:rPr>
          <w:szCs w:val="20"/>
        </w:rPr>
        <w:t xml:space="preserve"> </w:t>
      </w:r>
      <w:r w:rsidRPr="005911E2">
        <w:rPr>
          <w:i/>
          <w:szCs w:val="20"/>
        </w:rPr>
        <w:t>Household Expenditure Survey, Confidentialised Unit Record File</w:t>
      </w:r>
      <w:r>
        <w:rPr>
          <w:szCs w:val="20"/>
        </w:rPr>
        <w:t xml:space="preserve">. </w:t>
      </w:r>
      <w:r w:rsidRPr="005911E2">
        <w:rPr>
          <w:szCs w:val="20"/>
        </w:rPr>
        <w:t>Australian Bureau of Statistics</w:t>
      </w:r>
      <w:r>
        <w:rPr>
          <w:szCs w:val="20"/>
        </w:rPr>
        <w:t>,</w:t>
      </w:r>
      <w:r w:rsidRPr="005911E2">
        <w:rPr>
          <w:szCs w:val="20"/>
        </w:rPr>
        <w:t xml:space="preserve"> Canberra</w:t>
      </w:r>
      <w:r>
        <w:rPr>
          <w:szCs w:val="20"/>
        </w:rPr>
        <w:t>.</w:t>
      </w:r>
    </w:p>
    <w:p w:rsidR="004F6769" w:rsidRPr="005911E2" w:rsidRDefault="004F6769" w:rsidP="0044237F">
      <w:pPr>
        <w:pStyle w:val="ReferenceList"/>
        <w:keepLines/>
        <w:jc w:val="left"/>
        <w:rPr>
          <w:szCs w:val="20"/>
        </w:rPr>
      </w:pPr>
      <w:r w:rsidRPr="005911E2">
        <w:rPr>
          <w:szCs w:val="20"/>
        </w:rPr>
        <w:t xml:space="preserve">Australian Bureau of Statistics (ABS) </w:t>
      </w:r>
      <w:r>
        <w:rPr>
          <w:szCs w:val="20"/>
        </w:rPr>
        <w:t>(201</w:t>
      </w:r>
      <w:r w:rsidR="00DE245F">
        <w:rPr>
          <w:szCs w:val="20"/>
        </w:rPr>
        <w:t>1</w:t>
      </w:r>
      <w:r>
        <w:rPr>
          <w:szCs w:val="20"/>
        </w:rPr>
        <w:t>)</w:t>
      </w:r>
      <w:r w:rsidR="00DE245F">
        <w:rPr>
          <w:szCs w:val="20"/>
        </w:rPr>
        <w:t>,</w:t>
      </w:r>
      <w:r>
        <w:rPr>
          <w:szCs w:val="20"/>
        </w:rPr>
        <w:t xml:space="preserve"> </w:t>
      </w:r>
      <w:r w:rsidRPr="004F6769">
        <w:rPr>
          <w:i/>
          <w:szCs w:val="20"/>
        </w:rPr>
        <w:t>The Health and Welfare of Australia's Aboriginal and Torres Strait Islander Peoples, Oct 2010</w:t>
      </w:r>
      <w:r>
        <w:rPr>
          <w:szCs w:val="20"/>
        </w:rPr>
        <w:t xml:space="preserve">. </w:t>
      </w:r>
      <w:r w:rsidRPr="004F6769">
        <w:rPr>
          <w:szCs w:val="20"/>
        </w:rPr>
        <w:t xml:space="preserve">Australian Bureau of Statistics, </w:t>
      </w:r>
      <w:r>
        <w:rPr>
          <w:szCs w:val="20"/>
        </w:rPr>
        <w:t xml:space="preserve">Cat. No. </w:t>
      </w:r>
      <w:r w:rsidRPr="004F6769">
        <w:rPr>
          <w:szCs w:val="20"/>
        </w:rPr>
        <w:t>4704.0</w:t>
      </w:r>
      <w:r>
        <w:rPr>
          <w:szCs w:val="20"/>
        </w:rPr>
        <w:t>, Canberra</w:t>
      </w:r>
      <w:r w:rsidRPr="004F6769">
        <w:rPr>
          <w:szCs w:val="20"/>
        </w:rPr>
        <w:t xml:space="preserve"> </w:t>
      </w:r>
    </w:p>
    <w:p w:rsidR="0044237F" w:rsidRPr="005911E2" w:rsidRDefault="0044237F" w:rsidP="0044237F">
      <w:pPr>
        <w:pStyle w:val="ReferenceList"/>
        <w:keepLines/>
        <w:jc w:val="left"/>
        <w:rPr>
          <w:szCs w:val="20"/>
        </w:rPr>
      </w:pPr>
      <w:r w:rsidRPr="005911E2">
        <w:rPr>
          <w:szCs w:val="20"/>
        </w:rPr>
        <w:t xml:space="preserve">Australian Bureau of Statistics (ABS) (2012), </w:t>
      </w:r>
      <w:r w:rsidRPr="005911E2">
        <w:rPr>
          <w:i/>
          <w:szCs w:val="20"/>
        </w:rPr>
        <w:t>Labour Force</w:t>
      </w:r>
      <w:r>
        <w:rPr>
          <w:i/>
          <w:szCs w:val="20"/>
        </w:rPr>
        <w:t>, Australia, February 2012</w:t>
      </w:r>
      <w:r>
        <w:rPr>
          <w:szCs w:val="20"/>
        </w:rPr>
        <w:t>.</w:t>
      </w:r>
      <w:r w:rsidRPr="005911E2">
        <w:rPr>
          <w:szCs w:val="20"/>
        </w:rPr>
        <w:t xml:space="preserve"> Australian Bureau of Statistics</w:t>
      </w:r>
      <w:r>
        <w:rPr>
          <w:szCs w:val="20"/>
        </w:rPr>
        <w:t xml:space="preserve">, Cat. No. 6202.0, Canberra. </w:t>
      </w:r>
      <w:hyperlink r:id="rId65" w:history="1">
        <w:r w:rsidRPr="00275B16">
          <w:rPr>
            <w:rStyle w:val="Hyperlink"/>
            <w:szCs w:val="20"/>
          </w:rPr>
          <w:t>http://www.abs.gov.au/AUSSTATS/abs@.nsf/DetailsPage/6202.0Feb%202012?OpenDocument</w:t>
        </w:r>
      </w:hyperlink>
      <w:r>
        <w:rPr>
          <w:szCs w:val="20"/>
        </w:rPr>
        <w:t xml:space="preserve"> (last accessed </w:t>
      </w:r>
      <w:r w:rsidRPr="001D0406">
        <w:rPr>
          <w:szCs w:val="20"/>
        </w:rPr>
        <w:t>11 March 2012</w:t>
      </w:r>
      <w:r>
        <w:rPr>
          <w:szCs w:val="20"/>
        </w:rPr>
        <w:t>)</w:t>
      </w:r>
      <w:r w:rsidRPr="001D0406">
        <w:rPr>
          <w:szCs w:val="20"/>
        </w:rPr>
        <w:t>.</w:t>
      </w:r>
    </w:p>
    <w:p w:rsidR="0044237F" w:rsidRPr="005911E2" w:rsidRDefault="0044237F" w:rsidP="0044237F">
      <w:pPr>
        <w:pStyle w:val="ReferenceList"/>
        <w:keepLines/>
        <w:jc w:val="left"/>
        <w:rPr>
          <w:szCs w:val="20"/>
        </w:rPr>
      </w:pPr>
      <w:r w:rsidRPr="005911E2">
        <w:rPr>
          <w:szCs w:val="20"/>
        </w:rPr>
        <w:t xml:space="preserve">Australian Financial Counselling and Credit Reform Association (2010), </w:t>
      </w:r>
      <w:r w:rsidRPr="005911E2">
        <w:rPr>
          <w:i/>
          <w:szCs w:val="20"/>
        </w:rPr>
        <w:t>ATM Fees in Indigenous Communitie</w:t>
      </w:r>
      <w:r w:rsidRPr="005911E2">
        <w:rPr>
          <w:szCs w:val="20"/>
        </w:rPr>
        <w:t>s</w:t>
      </w:r>
      <w:r>
        <w:rPr>
          <w:szCs w:val="20"/>
        </w:rPr>
        <w:t>.</w:t>
      </w:r>
      <w:r w:rsidRPr="005911E2">
        <w:rPr>
          <w:szCs w:val="20"/>
        </w:rPr>
        <w:t xml:space="preserve"> Australian Financial Counselling and Credit Reform Association, Brisbane.</w:t>
      </w:r>
    </w:p>
    <w:p w:rsidR="0044237F" w:rsidRPr="005911E2" w:rsidRDefault="0044237F" w:rsidP="0044237F">
      <w:pPr>
        <w:pStyle w:val="ReferenceList"/>
        <w:keepLines/>
        <w:jc w:val="left"/>
        <w:rPr>
          <w:szCs w:val="20"/>
        </w:rPr>
      </w:pPr>
      <w:r w:rsidRPr="005911E2">
        <w:rPr>
          <w:szCs w:val="20"/>
        </w:rPr>
        <w:t xml:space="preserve">Australian Government (2009), </w:t>
      </w:r>
      <w:r w:rsidRPr="001D0406">
        <w:rPr>
          <w:i/>
          <w:szCs w:val="20"/>
        </w:rPr>
        <w:t>P</w:t>
      </w:r>
      <w:r w:rsidRPr="005911E2">
        <w:rPr>
          <w:i/>
          <w:szCs w:val="20"/>
        </w:rPr>
        <w:t>olicy Statement</w:t>
      </w:r>
      <w:r>
        <w:rPr>
          <w:i/>
          <w:szCs w:val="20"/>
        </w:rPr>
        <w:t xml:space="preserve"> - </w:t>
      </w:r>
      <w:r w:rsidRPr="001D0406">
        <w:rPr>
          <w:i/>
          <w:szCs w:val="20"/>
        </w:rPr>
        <w:t>Landmark Reform to the Welfare System, Reinstatement of the Racial Discrimination Act and Strengthening of the Northern Territory Emergency Response</w:t>
      </w:r>
      <w:r>
        <w:rPr>
          <w:szCs w:val="20"/>
        </w:rPr>
        <w:t xml:space="preserve">, Australian Government Canberra. </w:t>
      </w:r>
      <w:hyperlink r:id="rId66" w:history="1">
        <w:r w:rsidRPr="00F3044E">
          <w:rPr>
            <w:rStyle w:val="Hyperlink"/>
            <w:szCs w:val="20"/>
          </w:rPr>
          <w:t>http://www.facsia.gov.au/sa/indigenous/pubs/nter_reports/policy_statement_nter/Documents/landmark_reform_welfare_system.pdf</w:t>
        </w:r>
      </w:hyperlink>
      <w:r w:rsidRPr="005911E2">
        <w:rPr>
          <w:szCs w:val="20"/>
        </w:rPr>
        <w:t xml:space="preserve"> </w:t>
      </w:r>
      <w:r>
        <w:rPr>
          <w:szCs w:val="20"/>
        </w:rPr>
        <w:t>(last accessed 23 June 2012).</w:t>
      </w:r>
    </w:p>
    <w:p w:rsidR="0044237F" w:rsidRPr="005911E2" w:rsidRDefault="0044237F" w:rsidP="0044237F">
      <w:pPr>
        <w:pStyle w:val="ReferenceList"/>
        <w:keepLines/>
        <w:jc w:val="left"/>
        <w:rPr>
          <w:noProof/>
          <w:szCs w:val="20"/>
        </w:rPr>
      </w:pPr>
      <w:r w:rsidRPr="005911E2">
        <w:rPr>
          <w:noProof/>
          <w:szCs w:val="20"/>
        </w:rPr>
        <w:t>Australian Government (2012)</w:t>
      </w:r>
      <w:r>
        <w:rPr>
          <w:noProof/>
          <w:szCs w:val="20"/>
        </w:rPr>
        <w:t>,</w:t>
      </w:r>
      <w:r w:rsidRPr="005911E2">
        <w:rPr>
          <w:noProof/>
          <w:szCs w:val="20"/>
        </w:rPr>
        <w:t xml:space="preserve"> </w:t>
      </w:r>
      <w:r w:rsidRPr="001D0406">
        <w:rPr>
          <w:i/>
          <w:noProof/>
          <w:szCs w:val="20"/>
        </w:rPr>
        <w:t xml:space="preserve">Guide </w:t>
      </w:r>
      <w:r w:rsidRPr="001D0406">
        <w:rPr>
          <w:i/>
          <w:szCs w:val="20"/>
        </w:rPr>
        <w:t>to</w:t>
      </w:r>
      <w:r w:rsidRPr="001D0406">
        <w:rPr>
          <w:i/>
          <w:noProof/>
          <w:szCs w:val="20"/>
        </w:rPr>
        <w:t xml:space="preserve"> Social Security Law V</w:t>
      </w:r>
      <w:r w:rsidRPr="0008044A">
        <w:rPr>
          <w:i/>
          <w:noProof/>
          <w:szCs w:val="20"/>
        </w:rPr>
        <w:t>ersion 1.184, Released 9 February 2012</w:t>
      </w:r>
      <w:r>
        <w:rPr>
          <w:noProof/>
          <w:szCs w:val="20"/>
        </w:rPr>
        <w:t>. Retrieved from</w:t>
      </w:r>
      <w:r w:rsidRPr="005911E2">
        <w:rPr>
          <w:noProof/>
          <w:szCs w:val="20"/>
        </w:rPr>
        <w:t xml:space="preserve"> </w:t>
      </w:r>
      <w:hyperlink r:id="rId67" w:history="1">
        <w:r w:rsidRPr="005911E2">
          <w:rPr>
            <w:noProof/>
            <w:color w:val="0000FF"/>
            <w:szCs w:val="20"/>
            <w:u w:val="single"/>
          </w:rPr>
          <w:t>http://www.fahcsia.gov.au/guides_acts/homeint.html</w:t>
        </w:r>
      </w:hyperlink>
      <w:r w:rsidRPr="005911E2">
        <w:rPr>
          <w:noProof/>
          <w:szCs w:val="20"/>
        </w:rPr>
        <w:t xml:space="preserve"> </w:t>
      </w:r>
      <w:r>
        <w:rPr>
          <w:noProof/>
          <w:szCs w:val="20"/>
        </w:rPr>
        <w:t>(</w:t>
      </w:r>
      <w:r w:rsidRPr="005911E2">
        <w:rPr>
          <w:noProof/>
          <w:szCs w:val="20"/>
        </w:rPr>
        <w:t>last accessed 11 March 2012</w:t>
      </w:r>
      <w:r>
        <w:rPr>
          <w:noProof/>
          <w:szCs w:val="20"/>
        </w:rPr>
        <w:t>)</w:t>
      </w:r>
      <w:r w:rsidRPr="005911E2">
        <w:rPr>
          <w:noProof/>
          <w:szCs w:val="20"/>
        </w:rPr>
        <w:t>.</w:t>
      </w:r>
    </w:p>
    <w:p w:rsidR="0044237F" w:rsidRPr="005911E2" w:rsidRDefault="0044237F" w:rsidP="0044237F">
      <w:pPr>
        <w:pStyle w:val="ReferenceList"/>
        <w:keepLines/>
        <w:jc w:val="left"/>
        <w:rPr>
          <w:szCs w:val="20"/>
        </w:rPr>
      </w:pPr>
      <w:r w:rsidRPr="005911E2">
        <w:rPr>
          <w:szCs w:val="20"/>
        </w:rPr>
        <w:t xml:space="preserve">Australian Institute of Health and Welfare (AIHW) (2010), </w:t>
      </w:r>
      <w:r w:rsidRPr="001D0406">
        <w:rPr>
          <w:i/>
          <w:szCs w:val="20"/>
        </w:rPr>
        <w:t>Evaluation of income management in the Northern Territor</w:t>
      </w:r>
      <w:r>
        <w:rPr>
          <w:i/>
          <w:szCs w:val="20"/>
        </w:rPr>
        <w:t>y.</w:t>
      </w:r>
      <w:r w:rsidRPr="005911E2">
        <w:rPr>
          <w:szCs w:val="20"/>
        </w:rPr>
        <w:t xml:space="preserve"> Occasional Paper No. 34, Department of Families, Housing, Community Services and Indigenous Affairs, Canberra.</w:t>
      </w:r>
      <w:r>
        <w:rPr>
          <w:szCs w:val="20"/>
        </w:rPr>
        <w:t xml:space="preserve"> </w:t>
      </w:r>
      <w:hyperlink r:id="rId68" w:history="1">
        <w:r w:rsidRPr="00B766C3">
          <w:rPr>
            <w:rStyle w:val="Hyperlink"/>
            <w:szCs w:val="20"/>
          </w:rPr>
          <w:t>http://www.fahcsia.gov.au/about/publicationsarticles/research/occasional/Documents/op34/OP34.pdf</w:t>
        </w:r>
      </w:hyperlink>
      <w:r>
        <w:rPr>
          <w:szCs w:val="20"/>
        </w:rPr>
        <w:t xml:space="preserve"> (last accessed 24 June 2012).</w:t>
      </w:r>
    </w:p>
    <w:p w:rsidR="0044237F" w:rsidRPr="005911E2" w:rsidRDefault="0044237F" w:rsidP="0044237F">
      <w:pPr>
        <w:pStyle w:val="ReferenceList"/>
        <w:keepLines/>
        <w:jc w:val="left"/>
        <w:rPr>
          <w:szCs w:val="20"/>
        </w:rPr>
      </w:pPr>
      <w:r w:rsidRPr="005911E2">
        <w:rPr>
          <w:szCs w:val="20"/>
        </w:rPr>
        <w:t>Australian Law Reform Commission (ALRC) (2012)</w:t>
      </w:r>
      <w:r>
        <w:rPr>
          <w:szCs w:val="20"/>
        </w:rPr>
        <w:t>,</w:t>
      </w:r>
      <w:r w:rsidRPr="005911E2">
        <w:rPr>
          <w:szCs w:val="20"/>
        </w:rPr>
        <w:t xml:space="preserve"> </w:t>
      </w:r>
      <w:r w:rsidRPr="001D0406">
        <w:rPr>
          <w:i/>
          <w:szCs w:val="20"/>
        </w:rPr>
        <w:t>Income Management—Social Security Law</w:t>
      </w:r>
      <w:r>
        <w:rPr>
          <w:i/>
          <w:szCs w:val="20"/>
        </w:rPr>
        <w:t xml:space="preserve">. </w:t>
      </w:r>
      <w:r w:rsidRPr="0008044A">
        <w:rPr>
          <w:szCs w:val="20"/>
        </w:rPr>
        <w:t xml:space="preserve">Retrieved from </w:t>
      </w:r>
      <w:hyperlink r:id="rId69" w:history="1">
        <w:r w:rsidRPr="005911E2">
          <w:rPr>
            <w:rStyle w:val="Hyperlink"/>
            <w:szCs w:val="20"/>
          </w:rPr>
          <w:t>http://www.alrc.gov.au/publications/13-income-management%E2%80%94social-security-law/operation-income-management</w:t>
        </w:r>
      </w:hyperlink>
      <w:r w:rsidRPr="005911E2">
        <w:rPr>
          <w:szCs w:val="20"/>
        </w:rPr>
        <w:t xml:space="preserve"> </w:t>
      </w:r>
      <w:r>
        <w:rPr>
          <w:szCs w:val="20"/>
        </w:rPr>
        <w:t>(</w:t>
      </w:r>
      <w:r w:rsidRPr="005911E2">
        <w:rPr>
          <w:szCs w:val="20"/>
        </w:rPr>
        <w:t>last accessed 5 April 2012</w:t>
      </w:r>
      <w:r>
        <w:rPr>
          <w:szCs w:val="20"/>
        </w:rPr>
        <w:t>).</w:t>
      </w:r>
    </w:p>
    <w:p w:rsidR="0044237F" w:rsidRPr="005911E2" w:rsidRDefault="0044237F" w:rsidP="0044237F">
      <w:pPr>
        <w:pStyle w:val="ReferenceList"/>
        <w:keepLines/>
        <w:jc w:val="left"/>
        <w:rPr>
          <w:szCs w:val="20"/>
        </w:rPr>
      </w:pPr>
      <w:r w:rsidRPr="005911E2">
        <w:rPr>
          <w:szCs w:val="20"/>
          <w:lang w:eastAsia="en-AU" w:bidi="ar-SA"/>
        </w:rPr>
        <w:t>Bodsworth, E. (2011</w:t>
      </w:r>
      <w:r w:rsidRPr="005911E2">
        <w:rPr>
          <w:i/>
          <w:szCs w:val="20"/>
          <w:lang w:eastAsia="en-AU" w:bidi="ar-SA"/>
        </w:rPr>
        <w:t>)</w:t>
      </w:r>
      <w:r w:rsidRPr="005911E2">
        <w:rPr>
          <w:rFonts w:ascii="MyriadPro-Regular" w:hAnsi="MyriadPro-Regular" w:cs="MyriadPro-Regular"/>
          <w:i/>
          <w:szCs w:val="20"/>
          <w:lang w:eastAsia="en-AU" w:bidi="ar-SA"/>
        </w:rPr>
        <w:t xml:space="preserve">, </w:t>
      </w:r>
      <w:r w:rsidRPr="005911E2">
        <w:rPr>
          <w:i/>
          <w:szCs w:val="20"/>
          <w:lang w:eastAsia="en-AU" w:bidi="ar-SA"/>
        </w:rPr>
        <w:t>Many Faces of Saving: The Social Dimensions of Saver Plu</w:t>
      </w:r>
      <w:r w:rsidRPr="005911E2">
        <w:rPr>
          <w:szCs w:val="20"/>
          <w:lang w:eastAsia="en-AU" w:bidi="ar-SA"/>
        </w:rPr>
        <w:t>s</w:t>
      </w:r>
      <w:r>
        <w:rPr>
          <w:rFonts w:ascii="MyriadPro-It" w:hAnsi="MyriadPro-It" w:cs="MyriadPro-It"/>
          <w:i/>
          <w:iCs/>
          <w:color w:val="4A5C68"/>
          <w:szCs w:val="20"/>
          <w:lang w:eastAsia="en-AU" w:bidi="ar-SA"/>
        </w:rPr>
        <w:t xml:space="preserve">. </w:t>
      </w:r>
      <w:r w:rsidRPr="005911E2">
        <w:rPr>
          <w:szCs w:val="20"/>
          <w:lang w:eastAsia="en-AU" w:bidi="ar-SA"/>
        </w:rPr>
        <w:t>ANZ and Brotherhood of St. Laurence, Melbourne.</w:t>
      </w:r>
    </w:p>
    <w:p w:rsidR="0044237F" w:rsidRPr="005911E2" w:rsidRDefault="0044237F" w:rsidP="0044237F">
      <w:pPr>
        <w:pStyle w:val="ReferenceList"/>
        <w:keepLines/>
        <w:tabs>
          <w:tab w:val="left" w:pos="4820"/>
        </w:tabs>
        <w:jc w:val="left"/>
        <w:rPr>
          <w:szCs w:val="20"/>
        </w:rPr>
      </w:pPr>
      <w:r w:rsidRPr="005911E2">
        <w:rPr>
          <w:szCs w:val="20"/>
        </w:rPr>
        <w:t>Brimblecombe, J.</w:t>
      </w:r>
      <w:r>
        <w:rPr>
          <w:szCs w:val="20"/>
        </w:rPr>
        <w:t>,</w:t>
      </w:r>
      <w:r w:rsidRPr="005911E2">
        <w:rPr>
          <w:szCs w:val="20"/>
        </w:rPr>
        <w:t xml:space="preserve"> McDonnell, J., Barnes, A., Garnggulkpuy Dhurrkay, J., Thomas, D. and Bailie, R. (2010), </w:t>
      </w:r>
      <w:r>
        <w:rPr>
          <w:szCs w:val="20"/>
        </w:rPr>
        <w:t>‘</w:t>
      </w:r>
      <w:r w:rsidRPr="00C01C11">
        <w:rPr>
          <w:szCs w:val="20"/>
        </w:rPr>
        <w:t>Impact of income management on store sales in the Northern Territory</w:t>
      </w:r>
      <w:r>
        <w:rPr>
          <w:szCs w:val="20"/>
        </w:rPr>
        <w:t>’,</w:t>
      </w:r>
      <w:r w:rsidRPr="000B494E">
        <w:rPr>
          <w:szCs w:val="20"/>
        </w:rPr>
        <w:t xml:space="preserve"> </w:t>
      </w:r>
      <w:r w:rsidRPr="00C01C11">
        <w:rPr>
          <w:i/>
          <w:szCs w:val="20"/>
        </w:rPr>
        <w:t>Medical Journal of Australia</w:t>
      </w:r>
      <w:r w:rsidRPr="005911E2">
        <w:rPr>
          <w:i/>
          <w:szCs w:val="20"/>
        </w:rPr>
        <w:t xml:space="preserve">, </w:t>
      </w:r>
      <w:r w:rsidRPr="005911E2">
        <w:rPr>
          <w:szCs w:val="20"/>
        </w:rPr>
        <w:t>192(10), 549-554.</w:t>
      </w:r>
    </w:p>
    <w:p w:rsidR="0044237F" w:rsidRPr="005911E2" w:rsidRDefault="0044237F" w:rsidP="0044237F">
      <w:pPr>
        <w:pStyle w:val="ReferenceList"/>
        <w:keepLines/>
        <w:jc w:val="left"/>
        <w:rPr>
          <w:szCs w:val="20"/>
        </w:rPr>
      </w:pPr>
      <w:r w:rsidRPr="005911E2">
        <w:rPr>
          <w:szCs w:val="20"/>
        </w:rPr>
        <w:t xml:space="preserve">Brotherhood of St. Laurence and ANZ (2011), </w:t>
      </w:r>
      <w:r w:rsidRPr="005911E2">
        <w:rPr>
          <w:i/>
          <w:szCs w:val="20"/>
        </w:rPr>
        <w:t>Saver Plus Summary Report 2011</w:t>
      </w:r>
      <w:r>
        <w:rPr>
          <w:szCs w:val="20"/>
        </w:rPr>
        <w:t>.</w:t>
      </w:r>
      <w:r w:rsidRPr="005911E2">
        <w:rPr>
          <w:szCs w:val="20"/>
        </w:rPr>
        <w:t xml:space="preserve"> Brotherhood of St. Laurence and ANZ, Melbourne.</w:t>
      </w:r>
    </w:p>
    <w:p w:rsidR="0044237F" w:rsidRPr="005911E2" w:rsidRDefault="0044237F" w:rsidP="0044237F">
      <w:pPr>
        <w:pStyle w:val="ReferenceList"/>
        <w:keepLines/>
        <w:jc w:val="left"/>
        <w:rPr>
          <w:szCs w:val="20"/>
        </w:rPr>
      </w:pPr>
      <w:r w:rsidRPr="005911E2">
        <w:rPr>
          <w:szCs w:val="20"/>
        </w:rPr>
        <w:t xml:space="preserve">Central Land Council (CLC) (2008), </w:t>
      </w:r>
      <w:r w:rsidRPr="005911E2">
        <w:rPr>
          <w:i/>
          <w:szCs w:val="20"/>
        </w:rPr>
        <w:t>Reviewing the Northern Territory Emergency Response: Perspectives from six communities</w:t>
      </w:r>
      <w:r>
        <w:rPr>
          <w:szCs w:val="20"/>
        </w:rPr>
        <w:t>.</w:t>
      </w:r>
      <w:r w:rsidRPr="005911E2">
        <w:rPr>
          <w:szCs w:val="20"/>
        </w:rPr>
        <w:t xml:space="preserve"> CLC, Alice Springs. </w:t>
      </w:r>
      <w:hyperlink r:id="rId70" w:history="1">
        <w:r w:rsidRPr="00B766C3">
          <w:rPr>
            <w:rStyle w:val="Hyperlink"/>
            <w:szCs w:val="20"/>
          </w:rPr>
          <w:t>http://www.clc.org.au/files/pdf/CLC_NTER_Community_Perspectives_survey_July_2008.pdf</w:t>
        </w:r>
      </w:hyperlink>
      <w:r>
        <w:rPr>
          <w:szCs w:val="20"/>
        </w:rPr>
        <w:t xml:space="preserve"> (last accessed 24 June 2012).</w:t>
      </w:r>
    </w:p>
    <w:p w:rsidR="0044237F" w:rsidRDefault="0044237F" w:rsidP="0044237F">
      <w:pPr>
        <w:pStyle w:val="ReferenceList"/>
        <w:keepLines/>
        <w:jc w:val="left"/>
        <w:rPr>
          <w:noProof/>
          <w:szCs w:val="20"/>
        </w:rPr>
      </w:pPr>
      <w:r w:rsidRPr="005911E2">
        <w:rPr>
          <w:noProof/>
          <w:szCs w:val="20"/>
        </w:rPr>
        <w:t>Centrelink (2012</w:t>
      </w:r>
      <w:r>
        <w:rPr>
          <w:noProof/>
          <w:szCs w:val="20"/>
        </w:rPr>
        <w:t>a</w:t>
      </w:r>
      <w:r w:rsidRPr="005911E2">
        <w:rPr>
          <w:noProof/>
          <w:szCs w:val="20"/>
        </w:rPr>
        <w:t xml:space="preserve">), </w:t>
      </w:r>
      <w:r w:rsidRPr="005911E2">
        <w:rPr>
          <w:i/>
          <w:noProof/>
          <w:szCs w:val="20"/>
        </w:rPr>
        <w:t>Income Management Exemptions</w:t>
      </w:r>
      <w:r>
        <w:rPr>
          <w:noProof/>
          <w:szCs w:val="20"/>
        </w:rPr>
        <w:t>.</w:t>
      </w:r>
      <w:r w:rsidRPr="005911E2">
        <w:rPr>
          <w:noProof/>
          <w:szCs w:val="20"/>
        </w:rPr>
        <w:t xml:space="preserve"> </w:t>
      </w:r>
      <w:r>
        <w:rPr>
          <w:noProof/>
          <w:szCs w:val="20"/>
        </w:rPr>
        <w:t xml:space="preserve">Centrelink, Canberra. </w:t>
      </w:r>
      <w:hyperlink r:id="rId71" w:history="1">
        <w:r w:rsidRPr="00E24E33">
          <w:rPr>
            <w:rStyle w:val="Hyperlink"/>
            <w:noProof/>
            <w:szCs w:val="20"/>
          </w:rPr>
          <w:t>http://www.centrelink.gov.au/internet/internet.nsf/filestores/co769_1012/$file/co769_1012en.pdf</w:t>
        </w:r>
      </w:hyperlink>
      <w:r>
        <w:rPr>
          <w:noProof/>
          <w:szCs w:val="20"/>
        </w:rPr>
        <w:t xml:space="preserve"> (</w:t>
      </w:r>
      <w:r w:rsidRPr="005911E2">
        <w:rPr>
          <w:noProof/>
          <w:szCs w:val="20"/>
        </w:rPr>
        <w:t>last accessed 11 March 2012</w:t>
      </w:r>
      <w:r>
        <w:rPr>
          <w:noProof/>
          <w:szCs w:val="20"/>
        </w:rPr>
        <w:t>)</w:t>
      </w:r>
      <w:r w:rsidRPr="005911E2">
        <w:rPr>
          <w:noProof/>
          <w:szCs w:val="20"/>
        </w:rPr>
        <w:t>.</w:t>
      </w:r>
      <w:r w:rsidRPr="00E74851">
        <w:t xml:space="preserve"> </w:t>
      </w:r>
    </w:p>
    <w:p w:rsidR="0044237F" w:rsidRDefault="0044237F" w:rsidP="0044237F">
      <w:pPr>
        <w:pStyle w:val="ReferenceList"/>
        <w:keepLines/>
        <w:jc w:val="left"/>
        <w:rPr>
          <w:noProof/>
          <w:szCs w:val="20"/>
        </w:rPr>
      </w:pPr>
      <w:r>
        <w:rPr>
          <w:noProof/>
          <w:szCs w:val="20"/>
        </w:rPr>
        <w:t xml:space="preserve">Centrelink (2012b), </w:t>
      </w:r>
      <w:r w:rsidRPr="0072333B">
        <w:rPr>
          <w:i/>
          <w:noProof/>
          <w:szCs w:val="20"/>
        </w:rPr>
        <w:t>BasicsCard Merchant List</w:t>
      </w:r>
      <w:r>
        <w:rPr>
          <w:noProof/>
          <w:szCs w:val="20"/>
        </w:rPr>
        <w:t xml:space="preserve">. Centrelink, Canberra. </w:t>
      </w:r>
      <w:hyperlink r:id="rId72" w:history="1">
        <w:r w:rsidRPr="00610FF3">
          <w:rPr>
            <w:rStyle w:val="Hyperlink"/>
            <w:noProof/>
            <w:szCs w:val="20"/>
          </w:rPr>
          <w:t>http://www.centrelink.gov.au/internet/internet.nsf/filestores/basicscard_merchant_130412-2/$file/basicscard-merchant-list-130412.xlsx</w:t>
        </w:r>
      </w:hyperlink>
      <w:r>
        <w:rPr>
          <w:noProof/>
          <w:szCs w:val="20"/>
        </w:rPr>
        <w:t xml:space="preserve"> (last accessed 21 June 2012).</w:t>
      </w:r>
    </w:p>
    <w:p w:rsidR="0044237F" w:rsidRDefault="0044237F" w:rsidP="0044237F">
      <w:pPr>
        <w:pStyle w:val="ReferenceList"/>
        <w:keepLines/>
        <w:jc w:val="left"/>
        <w:rPr>
          <w:noProof/>
          <w:szCs w:val="20"/>
        </w:rPr>
      </w:pPr>
      <w:r>
        <w:rPr>
          <w:noProof/>
          <w:szCs w:val="20"/>
        </w:rPr>
        <w:t xml:space="preserve">Centrelink (2012c), </w:t>
      </w:r>
      <w:r w:rsidRPr="002955BA">
        <w:rPr>
          <w:i/>
          <w:noProof/>
          <w:szCs w:val="20"/>
        </w:rPr>
        <w:t>BasicsCard</w:t>
      </w:r>
      <w:r>
        <w:rPr>
          <w:noProof/>
          <w:szCs w:val="20"/>
        </w:rPr>
        <w:t xml:space="preserve">. Retrieved from </w:t>
      </w:r>
      <w:hyperlink r:id="rId73" w:history="1">
        <w:r w:rsidRPr="00610FF3">
          <w:rPr>
            <w:rStyle w:val="Hyperlink"/>
            <w:noProof/>
            <w:szCs w:val="20"/>
          </w:rPr>
          <w:t>http://www.centrelink.gov.au/internet/internet.nsf/individuals/basics_card.htm</w:t>
        </w:r>
      </w:hyperlink>
      <w:r>
        <w:rPr>
          <w:noProof/>
          <w:szCs w:val="20"/>
        </w:rPr>
        <w:t xml:space="preserve"> (last accessed 21 June 2006).</w:t>
      </w:r>
    </w:p>
    <w:p w:rsidR="0044237F" w:rsidRDefault="0044237F" w:rsidP="0044237F">
      <w:pPr>
        <w:pStyle w:val="ReferenceList"/>
        <w:keepLines/>
        <w:jc w:val="left"/>
        <w:rPr>
          <w:noProof/>
          <w:szCs w:val="20"/>
        </w:rPr>
      </w:pPr>
      <w:r>
        <w:rPr>
          <w:noProof/>
          <w:szCs w:val="20"/>
        </w:rPr>
        <w:t xml:space="preserve">Commonwealth Ombudsman (2012a), </w:t>
      </w:r>
      <w:r w:rsidRPr="00580DF3">
        <w:rPr>
          <w:i/>
          <w:noProof/>
          <w:szCs w:val="20"/>
        </w:rPr>
        <w:t>Review of Centrelink Income Management Decisions in the Northern Territory: Financial Vulnerability Exemption and Vulnerable Welfare Payment Recipient Decisions</w:t>
      </w:r>
      <w:r>
        <w:rPr>
          <w:noProof/>
          <w:szCs w:val="20"/>
        </w:rPr>
        <w:t xml:space="preserve">. Report No. 04|2012, Commonwelath Ombudsman, Canberra. </w:t>
      </w:r>
      <w:hyperlink r:id="rId74" w:history="1">
        <w:r w:rsidRPr="00DF5ADE">
          <w:rPr>
            <w:rStyle w:val="Hyperlink"/>
            <w:noProof/>
            <w:szCs w:val="20"/>
          </w:rPr>
          <w:t>http://www.ombudsman.gov.au/files/review_of_centrelink_income_management_decisions_nt.pdf</w:t>
        </w:r>
      </w:hyperlink>
      <w:r>
        <w:rPr>
          <w:noProof/>
          <w:szCs w:val="20"/>
        </w:rPr>
        <w:t xml:space="preserve"> (last accessed 26 June 2012).</w:t>
      </w:r>
    </w:p>
    <w:p w:rsidR="0044237F" w:rsidRDefault="0044237F" w:rsidP="0044237F">
      <w:pPr>
        <w:pStyle w:val="ReferenceList"/>
        <w:keepLines/>
        <w:jc w:val="left"/>
        <w:rPr>
          <w:noProof/>
          <w:szCs w:val="20"/>
        </w:rPr>
      </w:pPr>
      <w:r>
        <w:rPr>
          <w:noProof/>
          <w:szCs w:val="20"/>
        </w:rPr>
        <w:t>Commonwelath Ombudsman (2012b),</w:t>
      </w:r>
      <w:r w:rsidRPr="0072333B">
        <w:rPr>
          <w:i/>
          <w:noProof/>
          <w:szCs w:val="20"/>
        </w:rPr>
        <w:t xml:space="preserve"> Ombudsman review leads to an overhaul of Income Management decision making</w:t>
      </w:r>
      <w:r>
        <w:rPr>
          <w:i/>
          <w:noProof/>
          <w:szCs w:val="20"/>
        </w:rPr>
        <w:t>.</w:t>
      </w:r>
      <w:r>
        <w:rPr>
          <w:noProof/>
          <w:szCs w:val="20"/>
        </w:rPr>
        <w:t xml:space="preserve"> Media Release 7 June 2012, Commonwelath Ombudsman, Canberra. </w:t>
      </w:r>
      <w:hyperlink r:id="rId75" w:history="1">
        <w:r w:rsidRPr="001E04E9">
          <w:rPr>
            <w:rStyle w:val="Hyperlink"/>
            <w:noProof/>
            <w:szCs w:val="20"/>
          </w:rPr>
          <w:t>http://www.ombudsman.gov.au/media-releases/show/206</w:t>
        </w:r>
      </w:hyperlink>
      <w:r>
        <w:rPr>
          <w:noProof/>
          <w:szCs w:val="20"/>
        </w:rPr>
        <w:t xml:space="preserve"> (last accessed 26 June 2012).</w:t>
      </w:r>
    </w:p>
    <w:p w:rsidR="0044237F" w:rsidRDefault="0044237F" w:rsidP="0044237F">
      <w:pPr>
        <w:pStyle w:val="ReferenceList"/>
        <w:keepLines/>
        <w:jc w:val="left"/>
        <w:rPr>
          <w:noProof/>
          <w:szCs w:val="20"/>
        </w:rPr>
      </w:pPr>
      <w:r>
        <w:rPr>
          <w:noProof/>
          <w:szCs w:val="20"/>
        </w:rPr>
        <w:t xml:space="preserve">Cultural and Indigenous Research Centre Australia (CIRCA) (2008), </w:t>
      </w:r>
      <w:r w:rsidRPr="0072333B">
        <w:rPr>
          <w:i/>
          <w:noProof/>
          <w:szCs w:val="20"/>
        </w:rPr>
        <w:t>Community Feedback on the Northern Territory Emergency Response</w:t>
      </w:r>
      <w:r>
        <w:rPr>
          <w:noProof/>
          <w:szCs w:val="20"/>
        </w:rPr>
        <w:t xml:space="preserve">. Research Report, </w:t>
      </w:r>
      <w:r w:rsidRPr="005911E2">
        <w:rPr>
          <w:szCs w:val="20"/>
        </w:rPr>
        <w:t>Department of Families, Housing, Community Services and Indigenous Affairs</w:t>
      </w:r>
      <w:r>
        <w:rPr>
          <w:noProof/>
          <w:szCs w:val="20"/>
        </w:rPr>
        <w:t xml:space="preserve">, Canberra. </w:t>
      </w:r>
      <w:hyperlink r:id="rId76" w:history="1">
        <w:r w:rsidRPr="00B766C3">
          <w:rPr>
            <w:rStyle w:val="Hyperlink"/>
            <w:noProof/>
            <w:szCs w:val="20"/>
          </w:rPr>
          <w:t>http://www.fahcsia.gov.au/sa/indigenous/pubs/nter_reports/community_feedback/Documents/NTER_community_feedback_research_report_sep08.pdf</w:t>
        </w:r>
      </w:hyperlink>
      <w:r>
        <w:rPr>
          <w:noProof/>
          <w:szCs w:val="20"/>
        </w:rPr>
        <w:t xml:space="preserve"> (last accessed 24 June 2012).</w:t>
      </w:r>
    </w:p>
    <w:p w:rsidR="0044237F" w:rsidRPr="005911E2" w:rsidRDefault="0044237F" w:rsidP="0044237F">
      <w:pPr>
        <w:pStyle w:val="ReferenceList"/>
        <w:keepLines/>
        <w:jc w:val="left"/>
        <w:rPr>
          <w:noProof/>
          <w:szCs w:val="20"/>
        </w:rPr>
      </w:pPr>
      <w:r>
        <w:rPr>
          <w:noProof/>
          <w:szCs w:val="20"/>
        </w:rPr>
        <w:t>DEEWR</w:t>
      </w:r>
      <w:r w:rsidRPr="005911E2">
        <w:rPr>
          <w:noProof/>
          <w:szCs w:val="20"/>
        </w:rPr>
        <w:t xml:space="preserve"> (2012</w:t>
      </w:r>
      <w:r>
        <w:rPr>
          <w:noProof/>
          <w:szCs w:val="20"/>
        </w:rPr>
        <w:t>a</w:t>
      </w:r>
      <w:r w:rsidRPr="005911E2">
        <w:rPr>
          <w:noProof/>
          <w:szCs w:val="20"/>
        </w:rPr>
        <w:t xml:space="preserve">), </w:t>
      </w:r>
      <w:r w:rsidRPr="005911E2">
        <w:rPr>
          <w:i/>
          <w:noProof/>
          <w:szCs w:val="20"/>
        </w:rPr>
        <w:t>ABSTUDY Policy Manual 2012</w:t>
      </w:r>
      <w:r>
        <w:rPr>
          <w:noProof/>
          <w:szCs w:val="20"/>
        </w:rPr>
        <w:t>.</w:t>
      </w:r>
      <w:r w:rsidRPr="005911E2">
        <w:rPr>
          <w:noProof/>
          <w:szCs w:val="20"/>
        </w:rPr>
        <w:t xml:space="preserve"> </w:t>
      </w:r>
      <w:r w:rsidRPr="0044237F">
        <w:rPr>
          <w:noProof/>
          <w:szCs w:val="20"/>
        </w:rPr>
        <w:t>Department of Education, Employment and Workplace Relations</w:t>
      </w:r>
      <w:r>
        <w:rPr>
          <w:noProof/>
          <w:szCs w:val="20"/>
        </w:rPr>
        <w:t xml:space="preserve">. Retrieved from </w:t>
      </w:r>
      <w:hyperlink r:id="rId77" w:history="1">
        <w:r w:rsidRPr="005911E2">
          <w:rPr>
            <w:noProof/>
            <w:color w:val="0000FF"/>
            <w:szCs w:val="20"/>
            <w:u w:val="single"/>
          </w:rPr>
          <w:t>http://www.deewr.gov.au/Indigenous/Schooling/Programs/ABSTUDY/2012/Pages/ABSTUDYPolicyManual2012.aspx</w:t>
        </w:r>
      </w:hyperlink>
      <w:r w:rsidRPr="005911E2">
        <w:rPr>
          <w:noProof/>
          <w:szCs w:val="20"/>
        </w:rPr>
        <w:t xml:space="preserve"> </w:t>
      </w:r>
      <w:r>
        <w:rPr>
          <w:noProof/>
          <w:szCs w:val="20"/>
        </w:rPr>
        <w:t>(</w:t>
      </w:r>
      <w:r w:rsidRPr="005911E2">
        <w:rPr>
          <w:noProof/>
          <w:szCs w:val="20"/>
        </w:rPr>
        <w:t>last accessed 11 March 2012</w:t>
      </w:r>
      <w:r>
        <w:rPr>
          <w:noProof/>
          <w:szCs w:val="20"/>
        </w:rPr>
        <w:t>)</w:t>
      </w:r>
      <w:r w:rsidRPr="005911E2">
        <w:rPr>
          <w:noProof/>
          <w:szCs w:val="20"/>
        </w:rPr>
        <w:t>.</w:t>
      </w:r>
    </w:p>
    <w:p w:rsidR="0044237F" w:rsidRPr="005911E2" w:rsidRDefault="0044237F" w:rsidP="0044237F">
      <w:pPr>
        <w:pStyle w:val="ReferenceList"/>
        <w:keepLines/>
        <w:jc w:val="left"/>
        <w:rPr>
          <w:szCs w:val="20"/>
        </w:rPr>
      </w:pPr>
      <w:r w:rsidRPr="005911E2">
        <w:rPr>
          <w:szCs w:val="20"/>
        </w:rPr>
        <w:t>DEEWR (2012</w:t>
      </w:r>
      <w:r>
        <w:rPr>
          <w:szCs w:val="20"/>
        </w:rPr>
        <w:t>b</w:t>
      </w:r>
      <w:r w:rsidRPr="005911E2">
        <w:rPr>
          <w:szCs w:val="20"/>
        </w:rPr>
        <w:t>)</w:t>
      </w:r>
      <w:r>
        <w:rPr>
          <w:szCs w:val="20"/>
        </w:rPr>
        <w:t>,</w:t>
      </w:r>
      <w:r w:rsidRPr="005911E2">
        <w:rPr>
          <w:szCs w:val="20"/>
        </w:rPr>
        <w:t xml:space="preserve"> </w:t>
      </w:r>
      <w:r w:rsidRPr="001D0406">
        <w:rPr>
          <w:i/>
          <w:szCs w:val="20"/>
        </w:rPr>
        <w:t>Improving School Enrolment and Attendance</w:t>
      </w:r>
      <w:r>
        <w:rPr>
          <w:i/>
          <w:szCs w:val="20"/>
        </w:rPr>
        <w:t xml:space="preserve">, </w:t>
      </w:r>
      <w:r w:rsidRPr="005911E2">
        <w:rPr>
          <w:noProof/>
          <w:szCs w:val="20"/>
        </w:rPr>
        <w:t>Department of Education, Employment and Workplace Relations</w:t>
      </w:r>
      <w:r>
        <w:rPr>
          <w:noProof/>
          <w:szCs w:val="20"/>
        </w:rPr>
        <w:t xml:space="preserve">, </w:t>
      </w:r>
      <w:r>
        <w:rPr>
          <w:i/>
          <w:szCs w:val="20"/>
        </w:rPr>
        <w:t xml:space="preserve"> </w:t>
      </w:r>
      <w:r w:rsidRPr="00E02051">
        <w:rPr>
          <w:szCs w:val="20"/>
        </w:rPr>
        <w:t xml:space="preserve">Retrieved from </w:t>
      </w:r>
      <w:hyperlink r:id="rId78" w:history="1">
        <w:r w:rsidRPr="005911E2">
          <w:rPr>
            <w:rStyle w:val="Hyperlink"/>
            <w:szCs w:val="20"/>
          </w:rPr>
          <w:t>http://www.deewr.gov.au/schooling/programs/pages/seam.aspx</w:t>
        </w:r>
      </w:hyperlink>
      <w:r w:rsidRPr="005911E2">
        <w:rPr>
          <w:szCs w:val="20"/>
        </w:rPr>
        <w:t xml:space="preserve"> </w:t>
      </w:r>
      <w:r>
        <w:rPr>
          <w:szCs w:val="20"/>
        </w:rPr>
        <w:t>(</w:t>
      </w:r>
      <w:r w:rsidRPr="005911E2">
        <w:rPr>
          <w:szCs w:val="20"/>
        </w:rPr>
        <w:t>last accessed 10 May 2012</w:t>
      </w:r>
      <w:r>
        <w:rPr>
          <w:szCs w:val="20"/>
        </w:rPr>
        <w:t>).</w:t>
      </w:r>
    </w:p>
    <w:p w:rsidR="0044237F" w:rsidRPr="005911E2" w:rsidRDefault="0044237F" w:rsidP="0044237F">
      <w:pPr>
        <w:pStyle w:val="ReferenceList"/>
        <w:keepLines/>
        <w:jc w:val="left"/>
        <w:rPr>
          <w:szCs w:val="20"/>
        </w:rPr>
      </w:pPr>
      <w:r w:rsidRPr="005911E2">
        <w:rPr>
          <w:szCs w:val="20"/>
        </w:rPr>
        <w:t>Department of Education and Training (2012)</w:t>
      </w:r>
      <w:r>
        <w:rPr>
          <w:szCs w:val="20"/>
        </w:rPr>
        <w:t>,</w:t>
      </w:r>
      <w:r w:rsidRPr="001D0406">
        <w:rPr>
          <w:i/>
          <w:szCs w:val="20"/>
        </w:rPr>
        <w:t xml:space="preserve"> Enr</w:t>
      </w:r>
      <w:r>
        <w:rPr>
          <w:i/>
          <w:szCs w:val="20"/>
        </w:rPr>
        <w:t>olment and attendance statistics.</w:t>
      </w:r>
      <w:r w:rsidRPr="005911E2">
        <w:rPr>
          <w:szCs w:val="20"/>
        </w:rPr>
        <w:t xml:space="preserve"> </w:t>
      </w:r>
      <w:r>
        <w:rPr>
          <w:szCs w:val="20"/>
        </w:rPr>
        <w:t xml:space="preserve">Retrieved from </w:t>
      </w:r>
      <w:hyperlink r:id="rId79" w:history="1">
        <w:r w:rsidRPr="005911E2">
          <w:rPr>
            <w:rStyle w:val="Hyperlink"/>
            <w:szCs w:val="20"/>
          </w:rPr>
          <w:t>http://www.det.nt.gov.au/students/at-school/enrolment-attendance/enrolment-attendance-statistics</w:t>
        </w:r>
      </w:hyperlink>
      <w:r w:rsidRPr="005911E2">
        <w:rPr>
          <w:szCs w:val="20"/>
        </w:rPr>
        <w:t xml:space="preserve"> </w:t>
      </w:r>
      <w:r>
        <w:rPr>
          <w:szCs w:val="20"/>
        </w:rPr>
        <w:t>(</w:t>
      </w:r>
      <w:r w:rsidRPr="005911E2">
        <w:rPr>
          <w:szCs w:val="20"/>
        </w:rPr>
        <w:t>last accessed 28 March 2012</w:t>
      </w:r>
      <w:r>
        <w:rPr>
          <w:szCs w:val="20"/>
        </w:rPr>
        <w:t>).</w:t>
      </w:r>
    </w:p>
    <w:p w:rsidR="0044237F" w:rsidRPr="005911E2" w:rsidRDefault="0044237F" w:rsidP="0044237F">
      <w:pPr>
        <w:pStyle w:val="ReferenceList"/>
        <w:keepLines/>
        <w:jc w:val="left"/>
        <w:rPr>
          <w:noProof/>
          <w:szCs w:val="20"/>
        </w:rPr>
      </w:pPr>
      <w:r w:rsidRPr="005911E2">
        <w:rPr>
          <w:noProof/>
          <w:szCs w:val="20"/>
        </w:rPr>
        <w:t>Department of Immigration and Multicultural and Indigenous Affairs (DIM</w:t>
      </w:r>
      <w:r>
        <w:rPr>
          <w:noProof/>
          <w:szCs w:val="20"/>
        </w:rPr>
        <w:t>I</w:t>
      </w:r>
      <w:r w:rsidRPr="005911E2">
        <w:rPr>
          <w:noProof/>
          <w:szCs w:val="20"/>
        </w:rPr>
        <w:t xml:space="preserve">A) </w:t>
      </w:r>
      <w:r>
        <w:rPr>
          <w:noProof/>
          <w:szCs w:val="20"/>
        </w:rPr>
        <w:t>(</w:t>
      </w:r>
      <w:r w:rsidRPr="005911E2">
        <w:rPr>
          <w:noProof/>
          <w:szCs w:val="20"/>
        </w:rPr>
        <w:t>2003</w:t>
      </w:r>
      <w:r>
        <w:rPr>
          <w:noProof/>
          <w:szCs w:val="20"/>
        </w:rPr>
        <w:t>)</w:t>
      </w:r>
      <w:r w:rsidRPr="005911E2">
        <w:rPr>
          <w:noProof/>
          <w:szCs w:val="20"/>
        </w:rPr>
        <w:t xml:space="preserve">, </w:t>
      </w:r>
      <w:r w:rsidRPr="001D0406">
        <w:rPr>
          <w:i/>
          <w:noProof/>
          <w:szCs w:val="20"/>
        </w:rPr>
        <w:t xml:space="preserve">2001 Classification of Countries into English Proficiency Groups, </w:t>
      </w:r>
      <w:r w:rsidRPr="00E02051">
        <w:rPr>
          <w:noProof/>
          <w:szCs w:val="20"/>
        </w:rPr>
        <w:t>Statistical Focus, C01.2.0,</w:t>
      </w:r>
      <w:r w:rsidRPr="005911E2">
        <w:rPr>
          <w:noProof/>
          <w:szCs w:val="20"/>
        </w:rPr>
        <w:t xml:space="preserve"> July 2003</w:t>
      </w:r>
      <w:r>
        <w:rPr>
          <w:noProof/>
          <w:szCs w:val="20"/>
        </w:rPr>
        <w:t xml:space="preserve">, </w:t>
      </w:r>
      <w:r w:rsidRPr="005911E2">
        <w:rPr>
          <w:noProof/>
          <w:szCs w:val="20"/>
        </w:rPr>
        <w:t>Department of Immigration and Multicultural and Indigenous Affairs</w:t>
      </w:r>
      <w:r>
        <w:rPr>
          <w:noProof/>
          <w:szCs w:val="20"/>
        </w:rPr>
        <w:t>, Canberra</w:t>
      </w:r>
      <w:r w:rsidRPr="005911E2">
        <w:rPr>
          <w:noProof/>
          <w:szCs w:val="20"/>
        </w:rPr>
        <w:t>.</w:t>
      </w:r>
      <w:r w:rsidRPr="00E02051">
        <w:t xml:space="preserve"> </w:t>
      </w:r>
      <w:hyperlink r:id="rId80" w:history="1">
        <w:r w:rsidRPr="00F3044E">
          <w:rPr>
            <w:rStyle w:val="Hyperlink"/>
            <w:noProof/>
            <w:szCs w:val="20"/>
          </w:rPr>
          <w:t>http://www.immi.gov.au/media/publications/statistics/ep-groups/ep.pdf</w:t>
        </w:r>
      </w:hyperlink>
      <w:r>
        <w:rPr>
          <w:noProof/>
          <w:szCs w:val="20"/>
        </w:rPr>
        <w:t xml:space="preserve"> (last accessed 10 July 2012).</w:t>
      </w:r>
    </w:p>
    <w:p w:rsidR="0044237F" w:rsidRDefault="0044237F" w:rsidP="0044237F">
      <w:pPr>
        <w:pStyle w:val="ReferenceList"/>
        <w:keepLines/>
        <w:jc w:val="left"/>
        <w:rPr>
          <w:szCs w:val="20"/>
        </w:rPr>
      </w:pPr>
      <w:r w:rsidRPr="005911E2">
        <w:rPr>
          <w:szCs w:val="20"/>
        </w:rPr>
        <w:t xml:space="preserve">Equality Rights Alliance (2011), </w:t>
      </w:r>
      <w:r w:rsidRPr="005911E2">
        <w:rPr>
          <w:i/>
          <w:szCs w:val="20"/>
        </w:rPr>
        <w:t>Women’s Experience of Income Management in the Northern Territory</w:t>
      </w:r>
      <w:r>
        <w:rPr>
          <w:i/>
          <w:szCs w:val="20"/>
        </w:rPr>
        <w:t>.</w:t>
      </w:r>
      <w:r w:rsidRPr="005911E2">
        <w:rPr>
          <w:i/>
          <w:szCs w:val="20"/>
        </w:rPr>
        <w:t xml:space="preserve"> </w:t>
      </w:r>
      <w:r w:rsidRPr="005911E2">
        <w:rPr>
          <w:szCs w:val="20"/>
        </w:rPr>
        <w:t xml:space="preserve">Equality Rights Alliance, Canberra. </w:t>
      </w:r>
      <w:hyperlink r:id="rId81" w:history="1">
        <w:r w:rsidRPr="005911E2">
          <w:rPr>
            <w:rStyle w:val="Hyperlink"/>
            <w:szCs w:val="20"/>
          </w:rPr>
          <w:t>http://www.equalityrightsalliance.org.au/projects/womens-experience-income-management-northern-territory</w:t>
        </w:r>
      </w:hyperlink>
      <w:r w:rsidRPr="005911E2">
        <w:rPr>
          <w:szCs w:val="20"/>
        </w:rPr>
        <w:t xml:space="preserve"> </w:t>
      </w:r>
      <w:r>
        <w:rPr>
          <w:szCs w:val="20"/>
        </w:rPr>
        <w:t>(last accessed 23 June 2012).</w:t>
      </w:r>
    </w:p>
    <w:p w:rsidR="0044237F" w:rsidRPr="00234C32" w:rsidRDefault="0044237F" w:rsidP="0044237F">
      <w:pPr>
        <w:pStyle w:val="ReferenceList"/>
        <w:keepLines/>
        <w:jc w:val="left"/>
        <w:rPr>
          <w:i/>
          <w:szCs w:val="20"/>
        </w:rPr>
      </w:pPr>
      <w:r>
        <w:rPr>
          <w:szCs w:val="20"/>
        </w:rPr>
        <w:t xml:space="preserve">FaHCSIA (2009), </w:t>
      </w:r>
      <w:r>
        <w:rPr>
          <w:i/>
          <w:szCs w:val="20"/>
        </w:rPr>
        <w:t>Final Stores Post Licensing Monitoring Report.</w:t>
      </w:r>
      <w:r>
        <w:rPr>
          <w:szCs w:val="20"/>
        </w:rPr>
        <w:t xml:space="preserve"> </w:t>
      </w:r>
      <w:r w:rsidRPr="005911E2">
        <w:rPr>
          <w:szCs w:val="20"/>
        </w:rPr>
        <w:t>Department of Families, Housing, Community Services and Indigenous Affairs, Canberra</w:t>
      </w:r>
      <w:r>
        <w:rPr>
          <w:szCs w:val="20"/>
        </w:rPr>
        <w:t>.</w:t>
      </w:r>
      <w:r w:rsidRPr="00E02051">
        <w:t xml:space="preserve"> </w:t>
      </w:r>
      <w:hyperlink r:id="rId82" w:history="1">
        <w:r w:rsidRPr="00F3044E">
          <w:rPr>
            <w:rStyle w:val="Hyperlink"/>
            <w:szCs w:val="20"/>
          </w:rPr>
          <w:t>http://www.fahcsia.gov.au/sites/default/files/documents/05_2012/final_monitoring_report.pdf</w:t>
        </w:r>
      </w:hyperlink>
      <w:r>
        <w:rPr>
          <w:szCs w:val="20"/>
        </w:rPr>
        <w:t xml:space="preserve"> (last accessed 23 June 2012).</w:t>
      </w:r>
    </w:p>
    <w:p w:rsidR="0044237F" w:rsidRPr="005911E2" w:rsidRDefault="0044237F" w:rsidP="0044237F">
      <w:pPr>
        <w:pStyle w:val="ReferenceList"/>
        <w:keepLines/>
        <w:jc w:val="left"/>
        <w:rPr>
          <w:szCs w:val="20"/>
        </w:rPr>
      </w:pPr>
      <w:r w:rsidRPr="005911E2">
        <w:rPr>
          <w:szCs w:val="20"/>
        </w:rPr>
        <w:t>FaHCSIA (2010)</w:t>
      </w:r>
      <w:r>
        <w:rPr>
          <w:szCs w:val="20"/>
        </w:rPr>
        <w:t xml:space="preserve">, </w:t>
      </w:r>
      <w:r w:rsidRPr="001D0406">
        <w:rPr>
          <w:i/>
          <w:szCs w:val="20"/>
        </w:rPr>
        <w:t>Answer by Department of Human Services to Supplementary Estimates 21 October 2010 Question on Notice. Question Reference Number HS 16</w:t>
      </w:r>
      <w:r w:rsidRPr="005911E2">
        <w:rPr>
          <w:szCs w:val="20"/>
        </w:rPr>
        <w:t>.</w:t>
      </w:r>
      <w:r w:rsidRPr="005F0737">
        <w:rPr>
          <w:szCs w:val="20"/>
        </w:rPr>
        <w:t xml:space="preserve"> </w:t>
      </w:r>
      <w:r w:rsidRPr="005911E2">
        <w:rPr>
          <w:szCs w:val="20"/>
        </w:rPr>
        <w:t>Department of Families, Housing, Community Services and Indigenous Affairs, Canberra</w:t>
      </w:r>
      <w:r>
        <w:rPr>
          <w:szCs w:val="20"/>
        </w:rPr>
        <w:t xml:space="preserve">. </w:t>
      </w:r>
      <w:hyperlink r:id="rId83" w:history="1">
        <w:r w:rsidRPr="00F3044E">
          <w:rPr>
            <w:rStyle w:val="Hyperlink"/>
            <w:szCs w:val="20"/>
          </w:rPr>
          <w:t>http://www.aph.gov.au/Parliamentary_Business/Committees/Senate_Committees?url=clac_ctte/estimates/sup_1011/dhs/hs16.pdf</w:t>
        </w:r>
      </w:hyperlink>
      <w:r>
        <w:rPr>
          <w:szCs w:val="20"/>
        </w:rPr>
        <w:t xml:space="preserve"> (last accessed 11 July 2012).</w:t>
      </w:r>
    </w:p>
    <w:p w:rsidR="0044237F" w:rsidRDefault="0044237F" w:rsidP="0044237F">
      <w:pPr>
        <w:pStyle w:val="ReferenceList"/>
        <w:keepLines/>
        <w:jc w:val="left"/>
        <w:rPr>
          <w:szCs w:val="20"/>
        </w:rPr>
      </w:pPr>
      <w:r w:rsidRPr="005911E2">
        <w:rPr>
          <w:szCs w:val="20"/>
        </w:rPr>
        <w:t>FaHCSIA (2011a)</w:t>
      </w:r>
      <w:r>
        <w:rPr>
          <w:szCs w:val="20"/>
        </w:rPr>
        <w:t>,</w:t>
      </w:r>
      <w:r w:rsidRPr="005911E2">
        <w:rPr>
          <w:szCs w:val="20"/>
        </w:rPr>
        <w:t xml:space="preserve"> </w:t>
      </w:r>
      <w:r w:rsidRPr="001D0406">
        <w:rPr>
          <w:i/>
          <w:szCs w:val="20"/>
        </w:rPr>
        <w:t>Answers to Estimates Questions on Notice, Families, Housing, Community Services and Indigenous Affairs Portfolio, 2011-12 Budget Estimates Hearing. Question No. 76.</w:t>
      </w:r>
      <w:r>
        <w:rPr>
          <w:szCs w:val="20"/>
        </w:rPr>
        <w:t xml:space="preserve"> </w:t>
      </w:r>
      <w:r w:rsidRPr="005911E2">
        <w:rPr>
          <w:szCs w:val="20"/>
        </w:rPr>
        <w:t xml:space="preserve">Department of Families, Housing, Community Services </w:t>
      </w:r>
      <w:r>
        <w:rPr>
          <w:szCs w:val="20"/>
        </w:rPr>
        <w:t>and Indigenous Affairs, Canberra</w:t>
      </w:r>
      <w:r w:rsidDel="00D41615">
        <w:rPr>
          <w:szCs w:val="20"/>
        </w:rPr>
        <w:t xml:space="preserve">. </w:t>
      </w:r>
      <w:hyperlink r:id="rId84" w:history="1">
        <w:r w:rsidRPr="00F86413">
          <w:rPr>
            <w:rStyle w:val="Hyperlink"/>
            <w:szCs w:val="20"/>
          </w:rPr>
          <w:t>http://www.aph.gov.au/Parliamentary_Business/Committees/Senate_Committees?url=clac_ctte/estimates/bud_1112/fahcsia/076.pdf</w:t>
        </w:r>
      </w:hyperlink>
      <w:r>
        <w:rPr>
          <w:szCs w:val="20"/>
        </w:rPr>
        <w:t xml:space="preserve"> (last accessed 27 June 2012).</w:t>
      </w:r>
    </w:p>
    <w:p w:rsidR="0044237F" w:rsidRPr="005911E2" w:rsidRDefault="0044237F" w:rsidP="0044237F">
      <w:pPr>
        <w:pStyle w:val="ReferenceList"/>
        <w:keepLines/>
        <w:jc w:val="left"/>
        <w:rPr>
          <w:szCs w:val="20"/>
        </w:rPr>
      </w:pPr>
      <w:r>
        <w:rPr>
          <w:szCs w:val="20"/>
        </w:rPr>
        <w:t xml:space="preserve">FaHCSIA </w:t>
      </w:r>
      <w:r w:rsidRPr="005911E2">
        <w:rPr>
          <w:szCs w:val="20"/>
        </w:rPr>
        <w:t>(2011</w:t>
      </w:r>
      <w:r>
        <w:rPr>
          <w:szCs w:val="20"/>
        </w:rPr>
        <w:t>b</w:t>
      </w:r>
      <w:r w:rsidRPr="005911E2">
        <w:rPr>
          <w:szCs w:val="20"/>
        </w:rPr>
        <w:t xml:space="preserve">), </w:t>
      </w:r>
      <w:r w:rsidRPr="005911E2">
        <w:rPr>
          <w:i/>
          <w:szCs w:val="20"/>
        </w:rPr>
        <w:t xml:space="preserve">Northern Territory Emergency Response Evaluation Report 2011, </w:t>
      </w:r>
      <w:r w:rsidRPr="005911E2">
        <w:rPr>
          <w:szCs w:val="20"/>
        </w:rPr>
        <w:t>Department of Families, Housing, Community Services and Indigenous Affairs, Canberra</w:t>
      </w:r>
      <w:r>
        <w:rPr>
          <w:szCs w:val="20"/>
        </w:rPr>
        <w:t xml:space="preserve">. </w:t>
      </w:r>
      <w:hyperlink r:id="rId85" w:history="1">
        <w:r w:rsidRPr="00F86413">
          <w:rPr>
            <w:rStyle w:val="Hyperlink"/>
            <w:szCs w:val="20"/>
          </w:rPr>
          <w:t>http://www.fahcsia.gov.au/sites/default/files/documents/05_2012/nter_evaluation_report_2011.pdf</w:t>
        </w:r>
      </w:hyperlink>
      <w:r>
        <w:rPr>
          <w:szCs w:val="20"/>
        </w:rPr>
        <w:t xml:space="preserve"> (last accessed 27 June 2012).</w:t>
      </w:r>
    </w:p>
    <w:p w:rsidR="0044237F" w:rsidRPr="005911E2" w:rsidRDefault="0044237F" w:rsidP="0044237F">
      <w:pPr>
        <w:pStyle w:val="ReferenceList"/>
        <w:keepLines/>
        <w:jc w:val="left"/>
        <w:rPr>
          <w:szCs w:val="20"/>
        </w:rPr>
      </w:pPr>
      <w:r w:rsidRPr="005911E2">
        <w:rPr>
          <w:szCs w:val="20"/>
        </w:rPr>
        <w:t>FaHCSIA (2012a)</w:t>
      </w:r>
      <w:r>
        <w:rPr>
          <w:szCs w:val="20"/>
        </w:rPr>
        <w:t>,</w:t>
      </w:r>
      <w:r w:rsidRPr="005911E2">
        <w:rPr>
          <w:szCs w:val="20"/>
        </w:rPr>
        <w:t xml:space="preserve"> </w:t>
      </w:r>
      <w:r w:rsidRPr="001D0406">
        <w:rPr>
          <w:i/>
          <w:szCs w:val="20"/>
        </w:rPr>
        <w:t>Money Management Information &amp; Education</w:t>
      </w:r>
      <w:r>
        <w:rPr>
          <w:szCs w:val="20"/>
        </w:rPr>
        <w:t xml:space="preserve">. </w:t>
      </w:r>
      <w:r w:rsidRPr="005911E2">
        <w:rPr>
          <w:szCs w:val="20"/>
        </w:rPr>
        <w:t>Department of Families, Housing, Community Services and Indigenous Affairs</w:t>
      </w:r>
      <w:r>
        <w:rPr>
          <w:szCs w:val="20"/>
        </w:rPr>
        <w:t xml:space="preserve">. Retrieved from </w:t>
      </w:r>
      <w:hyperlink r:id="rId86" w:history="1">
        <w:r w:rsidRPr="005911E2">
          <w:rPr>
            <w:rStyle w:val="Hyperlink"/>
            <w:szCs w:val="20"/>
          </w:rPr>
          <w:t>http://www.fahcsia.gov.au/sa/indigenous/progserv/money/Pages/IndigenousMoneyMgmt.aspx</w:t>
        </w:r>
      </w:hyperlink>
      <w:r w:rsidRPr="005911E2">
        <w:rPr>
          <w:szCs w:val="20"/>
        </w:rPr>
        <w:t xml:space="preserve"> </w:t>
      </w:r>
      <w:r>
        <w:rPr>
          <w:szCs w:val="20"/>
        </w:rPr>
        <w:t>(</w:t>
      </w:r>
      <w:r w:rsidRPr="005911E2">
        <w:rPr>
          <w:szCs w:val="20"/>
        </w:rPr>
        <w:t>last accessed 5 April 2012</w:t>
      </w:r>
      <w:r>
        <w:rPr>
          <w:szCs w:val="20"/>
        </w:rPr>
        <w:t>).</w:t>
      </w:r>
    </w:p>
    <w:p w:rsidR="0044237F" w:rsidRDefault="0044237F" w:rsidP="0044237F">
      <w:pPr>
        <w:pStyle w:val="ReferenceList"/>
        <w:keepLines/>
        <w:jc w:val="left"/>
        <w:rPr>
          <w:szCs w:val="20"/>
        </w:rPr>
      </w:pPr>
      <w:r w:rsidRPr="005911E2">
        <w:rPr>
          <w:szCs w:val="20"/>
        </w:rPr>
        <w:t>FaHCSIA (2012b)</w:t>
      </w:r>
      <w:r>
        <w:rPr>
          <w:szCs w:val="20"/>
        </w:rPr>
        <w:t>,</w:t>
      </w:r>
      <w:r w:rsidRPr="005911E2">
        <w:rPr>
          <w:szCs w:val="20"/>
        </w:rPr>
        <w:t xml:space="preserve"> </w:t>
      </w:r>
      <w:r w:rsidRPr="001D0406">
        <w:rPr>
          <w:i/>
          <w:szCs w:val="20"/>
        </w:rPr>
        <w:t>Commonwealth Financial Counselling (CFC)</w:t>
      </w:r>
      <w:r>
        <w:rPr>
          <w:i/>
          <w:szCs w:val="20"/>
        </w:rPr>
        <w:t>.</w:t>
      </w:r>
      <w:r w:rsidRPr="005911E2">
        <w:rPr>
          <w:szCs w:val="20"/>
        </w:rPr>
        <w:t xml:space="preserve"> Department of Families, Housing, Community Services and Indigenous Affairs</w:t>
      </w:r>
      <w:r>
        <w:rPr>
          <w:szCs w:val="20"/>
        </w:rPr>
        <w:t xml:space="preserve">. Retrieved from </w:t>
      </w:r>
      <w:hyperlink r:id="rId87" w:history="1">
        <w:r w:rsidRPr="00475461">
          <w:rPr>
            <w:rStyle w:val="Hyperlink"/>
            <w:szCs w:val="20"/>
          </w:rPr>
          <w:t>http://www.fahcsia.gov.au/sa/families/progserv/Pages/cfcp-commonwealth_financial_counselling_program.aspx last</w:t>
        </w:r>
      </w:hyperlink>
      <w:r w:rsidRPr="005911E2">
        <w:rPr>
          <w:szCs w:val="20"/>
        </w:rPr>
        <w:t xml:space="preserve"> </w:t>
      </w:r>
      <w:r>
        <w:rPr>
          <w:szCs w:val="20"/>
        </w:rPr>
        <w:t xml:space="preserve">(last </w:t>
      </w:r>
      <w:r w:rsidRPr="005911E2">
        <w:rPr>
          <w:szCs w:val="20"/>
        </w:rPr>
        <w:t>accessed 5 April 2012</w:t>
      </w:r>
      <w:r>
        <w:rPr>
          <w:szCs w:val="20"/>
        </w:rPr>
        <w:t>).</w:t>
      </w:r>
    </w:p>
    <w:p w:rsidR="0044237F" w:rsidRPr="005911E2" w:rsidRDefault="0044237F" w:rsidP="0044237F">
      <w:pPr>
        <w:pStyle w:val="ReferenceList"/>
        <w:keepLines/>
        <w:jc w:val="left"/>
        <w:rPr>
          <w:szCs w:val="20"/>
        </w:rPr>
      </w:pPr>
      <w:r>
        <w:rPr>
          <w:szCs w:val="20"/>
        </w:rPr>
        <w:t xml:space="preserve">FaHCSIA (2012c), </w:t>
      </w:r>
      <w:r w:rsidRPr="007511CE">
        <w:rPr>
          <w:i/>
          <w:szCs w:val="20"/>
        </w:rPr>
        <w:t>Answers to Estimates Questions on Notice Families, Housing, Community Services and Indigenous Affairs Portfolio, 2011-12 Additional Estimates Hearings, Question No: 99</w:t>
      </w:r>
      <w:r>
        <w:rPr>
          <w:szCs w:val="20"/>
        </w:rPr>
        <w:t xml:space="preserve">, </w:t>
      </w:r>
      <w:r w:rsidRPr="00194AE5">
        <w:rPr>
          <w:szCs w:val="20"/>
        </w:rPr>
        <w:t>Senate Community Affairs Committee</w:t>
      </w:r>
      <w:r>
        <w:rPr>
          <w:szCs w:val="20"/>
        </w:rPr>
        <w:t xml:space="preserve">. </w:t>
      </w:r>
      <w:r w:rsidRPr="005911E2">
        <w:rPr>
          <w:szCs w:val="20"/>
        </w:rPr>
        <w:t>Department of Families, Housing, Community Services and Indigenous Affairs</w:t>
      </w:r>
      <w:r>
        <w:t>.</w:t>
      </w:r>
      <w:hyperlink r:id="rId88" w:history="1">
        <w:r w:rsidRPr="00B949E1">
          <w:rPr>
            <w:rStyle w:val="Hyperlink"/>
            <w:szCs w:val="20"/>
          </w:rPr>
          <w:t>http://www.aph.gov.au/Parliamentary_Business/Committees/Senate_Committees?url=clac_ctte/estimates/add_1112/fahcsia/Answers/099.pdf</w:t>
        </w:r>
      </w:hyperlink>
      <w:r>
        <w:rPr>
          <w:szCs w:val="20"/>
        </w:rPr>
        <w:t xml:space="preserve"> (last accessed 12 July 2012).</w:t>
      </w:r>
    </w:p>
    <w:p w:rsidR="0044237F" w:rsidRDefault="0044237F" w:rsidP="0044237F">
      <w:pPr>
        <w:pStyle w:val="ReferenceList"/>
        <w:keepLines/>
        <w:jc w:val="left"/>
        <w:rPr>
          <w:rStyle w:val="HTMLCite"/>
        </w:rPr>
      </w:pPr>
      <w:r>
        <w:rPr>
          <w:szCs w:val="20"/>
        </w:rPr>
        <w:t xml:space="preserve">House of Representatives </w:t>
      </w:r>
      <w:r w:rsidRPr="00417E68">
        <w:rPr>
          <w:szCs w:val="20"/>
        </w:rPr>
        <w:t xml:space="preserve">Standing Committee </w:t>
      </w:r>
      <w:r>
        <w:rPr>
          <w:szCs w:val="20"/>
        </w:rPr>
        <w:t>o</w:t>
      </w:r>
      <w:r w:rsidRPr="00417E68">
        <w:rPr>
          <w:szCs w:val="20"/>
        </w:rPr>
        <w:t xml:space="preserve">n Aboriginal </w:t>
      </w:r>
      <w:r>
        <w:rPr>
          <w:szCs w:val="20"/>
        </w:rPr>
        <w:t>a</w:t>
      </w:r>
      <w:r w:rsidRPr="00417E68">
        <w:rPr>
          <w:szCs w:val="20"/>
        </w:rPr>
        <w:t>nd Torres</w:t>
      </w:r>
      <w:r>
        <w:rPr>
          <w:szCs w:val="20"/>
        </w:rPr>
        <w:t xml:space="preserve"> </w:t>
      </w:r>
      <w:r w:rsidRPr="00417E68">
        <w:rPr>
          <w:szCs w:val="20"/>
        </w:rPr>
        <w:t>Strait Islander Affairs</w:t>
      </w:r>
      <w:r>
        <w:rPr>
          <w:szCs w:val="20"/>
        </w:rPr>
        <w:t xml:space="preserve"> (HOR ATSIA) (2009a), </w:t>
      </w:r>
      <w:r>
        <w:rPr>
          <w:i/>
          <w:szCs w:val="20"/>
        </w:rPr>
        <w:t>Reference: Community Stores in R</w:t>
      </w:r>
      <w:r w:rsidRPr="00475461">
        <w:rPr>
          <w:i/>
          <w:szCs w:val="20"/>
        </w:rPr>
        <w:t xml:space="preserve">emote Aboriginal and Torres Strait Islander </w:t>
      </w:r>
      <w:r>
        <w:rPr>
          <w:i/>
          <w:szCs w:val="20"/>
        </w:rPr>
        <w:t>C</w:t>
      </w:r>
      <w:r w:rsidRPr="00475461">
        <w:rPr>
          <w:i/>
          <w:szCs w:val="20"/>
        </w:rPr>
        <w:t>ommunities</w:t>
      </w:r>
      <w:r>
        <w:rPr>
          <w:i/>
          <w:szCs w:val="20"/>
        </w:rPr>
        <w:t>.</w:t>
      </w:r>
      <w:r>
        <w:rPr>
          <w:szCs w:val="20"/>
        </w:rPr>
        <w:t xml:space="preserve"> </w:t>
      </w:r>
      <w:r w:rsidRPr="00417E68">
        <w:rPr>
          <w:szCs w:val="20"/>
        </w:rPr>
        <w:t>Official Committee Hansard</w:t>
      </w:r>
      <w:r>
        <w:rPr>
          <w:szCs w:val="20"/>
        </w:rPr>
        <w:t>, House o</w:t>
      </w:r>
      <w:r w:rsidRPr="00417E68">
        <w:rPr>
          <w:szCs w:val="20"/>
        </w:rPr>
        <w:t>f</w:t>
      </w:r>
      <w:r>
        <w:rPr>
          <w:szCs w:val="20"/>
        </w:rPr>
        <w:t xml:space="preserve"> </w:t>
      </w:r>
      <w:r w:rsidRPr="00417E68">
        <w:rPr>
          <w:szCs w:val="20"/>
        </w:rPr>
        <w:t>Representatives</w:t>
      </w:r>
      <w:r>
        <w:rPr>
          <w:szCs w:val="20"/>
        </w:rPr>
        <w:t xml:space="preserve">, </w:t>
      </w:r>
      <w:r w:rsidRPr="00417E68">
        <w:rPr>
          <w:szCs w:val="20"/>
        </w:rPr>
        <w:t>Wednesday, 29 April 2009</w:t>
      </w:r>
      <w:r>
        <w:rPr>
          <w:szCs w:val="20"/>
        </w:rPr>
        <w:t xml:space="preserve">. </w:t>
      </w:r>
      <w:hyperlink r:id="rId89" w:history="1">
        <w:r w:rsidRPr="006D4C77">
          <w:rPr>
            <w:rStyle w:val="Hyperlink"/>
            <w:szCs w:val="20"/>
          </w:rPr>
          <w:t>http://www.aph.gov.au/binaries/hansard/reps/commttee/r11999.pdf</w:t>
        </w:r>
      </w:hyperlink>
      <w:r>
        <w:rPr>
          <w:szCs w:val="20"/>
        </w:rPr>
        <w:t xml:space="preserve"> (last accessed</w:t>
      </w:r>
      <w:r w:rsidRPr="00417E68" w:rsidDel="00F357A2">
        <w:rPr>
          <w:rStyle w:val="HTMLCite"/>
          <w:i w:val="0"/>
        </w:rPr>
        <w:t xml:space="preserve"> </w:t>
      </w:r>
      <w:r>
        <w:rPr>
          <w:rStyle w:val="HTMLCite"/>
          <w:i w:val="0"/>
        </w:rPr>
        <w:t>11 July 2012).</w:t>
      </w:r>
    </w:p>
    <w:p w:rsidR="0044237F" w:rsidRPr="005911E2" w:rsidRDefault="0044237F" w:rsidP="0044237F">
      <w:pPr>
        <w:pStyle w:val="ReferenceList"/>
        <w:keepLines/>
        <w:jc w:val="left"/>
        <w:rPr>
          <w:szCs w:val="20"/>
        </w:rPr>
      </w:pPr>
      <w:r>
        <w:rPr>
          <w:szCs w:val="20"/>
        </w:rPr>
        <w:t xml:space="preserve">House of Representatives </w:t>
      </w:r>
      <w:r w:rsidRPr="00417E68">
        <w:rPr>
          <w:szCs w:val="20"/>
        </w:rPr>
        <w:t>Standing Committee on Aboriginal and Torres</w:t>
      </w:r>
      <w:r>
        <w:rPr>
          <w:szCs w:val="20"/>
        </w:rPr>
        <w:t xml:space="preserve"> </w:t>
      </w:r>
      <w:r w:rsidRPr="00417E68">
        <w:rPr>
          <w:szCs w:val="20"/>
        </w:rPr>
        <w:t>Strait Islander Affairs</w:t>
      </w:r>
      <w:r>
        <w:rPr>
          <w:szCs w:val="20"/>
        </w:rPr>
        <w:t xml:space="preserve"> (HOR ATSIA) (2009b), </w:t>
      </w:r>
      <w:r w:rsidRPr="003B3BD2">
        <w:rPr>
          <w:i/>
          <w:szCs w:val="20"/>
        </w:rPr>
        <w:t>Everybody’s Business Remote Aboriginal and Torres Strait Community Stores</w:t>
      </w:r>
      <w:r>
        <w:rPr>
          <w:i/>
          <w:szCs w:val="20"/>
        </w:rPr>
        <w:t xml:space="preserve">. </w:t>
      </w:r>
      <w:r w:rsidRPr="0031684F">
        <w:rPr>
          <w:szCs w:val="20"/>
        </w:rPr>
        <w:t>Commonwealth of Australia</w:t>
      </w:r>
      <w:r>
        <w:rPr>
          <w:szCs w:val="20"/>
        </w:rPr>
        <w:t>,</w:t>
      </w:r>
      <w:r w:rsidRPr="0031684F">
        <w:rPr>
          <w:szCs w:val="20"/>
        </w:rPr>
        <w:t xml:space="preserve"> Canberra</w:t>
      </w:r>
      <w:r>
        <w:rPr>
          <w:szCs w:val="20"/>
        </w:rPr>
        <w:t>.</w:t>
      </w:r>
      <w:r w:rsidRPr="0031684F">
        <w:rPr>
          <w:szCs w:val="20"/>
        </w:rPr>
        <w:t xml:space="preserve"> </w:t>
      </w:r>
      <w:hyperlink r:id="rId90" w:history="1">
        <w:r w:rsidRPr="00F3044E">
          <w:rPr>
            <w:rStyle w:val="Hyperlink"/>
          </w:rPr>
          <w:t>http://www.aph.gov.au/binaries/house/committee/atsia/communitystores/report/everybody%27s%20business%20report.pdf</w:t>
        </w:r>
      </w:hyperlink>
      <w:r>
        <w:t xml:space="preserve"> (last accessed 11 July 2012)</w:t>
      </w:r>
      <w:r>
        <w:rPr>
          <w:i/>
          <w:szCs w:val="20"/>
        </w:rPr>
        <w:t>.</w:t>
      </w:r>
    </w:p>
    <w:p w:rsidR="0044237F" w:rsidRPr="005911E2" w:rsidRDefault="0044237F" w:rsidP="0044237F">
      <w:pPr>
        <w:pStyle w:val="ReferenceList"/>
        <w:keepLines/>
        <w:jc w:val="left"/>
        <w:rPr>
          <w:szCs w:val="20"/>
        </w:rPr>
      </w:pPr>
      <w:r w:rsidRPr="00E74851">
        <w:rPr>
          <w:szCs w:val="20"/>
        </w:rPr>
        <w:t>Lister, R</w:t>
      </w:r>
      <w:r>
        <w:rPr>
          <w:szCs w:val="20"/>
        </w:rPr>
        <w:t>.</w:t>
      </w:r>
      <w:r w:rsidRPr="00E74851">
        <w:rPr>
          <w:szCs w:val="20"/>
        </w:rPr>
        <w:t xml:space="preserve"> </w:t>
      </w:r>
      <w:r>
        <w:rPr>
          <w:szCs w:val="20"/>
        </w:rPr>
        <w:t>(</w:t>
      </w:r>
      <w:r w:rsidRPr="00E74851">
        <w:rPr>
          <w:szCs w:val="20"/>
        </w:rPr>
        <w:t>2006</w:t>
      </w:r>
      <w:r>
        <w:rPr>
          <w:szCs w:val="20"/>
        </w:rPr>
        <w:t>),</w:t>
      </w:r>
      <w:r w:rsidRPr="00E74851">
        <w:rPr>
          <w:szCs w:val="20"/>
        </w:rPr>
        <w:t xml:space="preserve"> ‘Poverty, material</w:t>
      </w:r>
      <w:r>
        <w:rPr>
          <w:szCs w:val="20"/>
        </w:rPr>
        <w:t xml:space="preserve"> </w:t>
      </w:r>
      <w:r w:rsidRPr="00E74851">
        <w:rPr>
          <w:szCs w:val="20"/>
        </w:rPr>
        <w:t>insecurity and income</w:t>
      </w:r>
      <w:r>
        <w:rPr>
          <w:szCs w:val="20"/>
        </w:rPr>
        <w:t xml:space="preserve"> </w:t>
      </w:r>
      <w:r w:rsidRPr="00E74851">
        <w:rPr>
          <w:szCs w:val="20"/>
        </w:rPr>
        <w:t>vulnerability: the role of</w:t>
      </w:r>
      <w:r>
        <w:rPr>
          <w:szCs w:val="20"/>
        </w:rPr>
        <w:t xml:space="preserve"> </w:t>
      </w:r>
      <w:r w:rsidRPr="00E74851">
        <w:rPr>
          <w:szCs w:val="20"/>
        </w:rPr>
        <w:t>savings’, in S Sodha &amp; R Lister</w:t>
      </w:r>
      <w:r>
        <w:rPr>
          <w:szCs w:val="20"/>
        </w:rPr>
        <w:t xml:space="preserve"> </w:t>
      </w:r>
      <w:r w:rsidRPr="00E74851">
        <w:rPr>
          <w:szCs w:val="20"/>
        </w:rPr>
        <w:t xml:space="preserve">(eds), </w:t>
      </w:r>
      <w:r w:rsidRPr="003B3BD2">
        <w:rPr>
          <w:i/>
          <w:szCs w:val="20"/>
        </w:rPr>
        <w:t>The Saving Gateway: from principles to practice</w:t>
      </w:r>
      <w:r>
        <w:rPr>
          <w:szCs w:val="20"/>
        </w:rPr>
        <w:t xml:space="preserve">. </w:t>
      </w:r>
      <w:r w:rsidRPr="00E74851">
        <w:rPr>
          <w:szCs w:val="20"/>
        </w:rPr>
        <w:t>Institute for Public Policy</w:t>
      </w:r>
      <w:r>
        <w:rPr>
          <w:szCs w:val="20"/>
        </w:rPr>
        <w:t xml:space="preserve"> </w:t>
      </w:r>
      <w:r w:rsidRPr="00E74851">
        <w:rPr>
          <w:szCs w:val="20"/>
        </w:rPr>
        <w:t>Research, London.</w:t>
      </w:r>
    </w:p>
    <w:p w:rsidR="0044237F" w:rsidRPr="005911E2" w:rsidRDefault="0044237F" w:rsidP="0044237F">
      <w:pPr>
        <w:pStyle w:val="ReferenceList"/>
        <w:keepLines/>
        <w:jc w:val="left"/>
        <w:rPr>
          <w:szCs w:val="20"/>
        </w:rPr>
      </w:pPr>
      <w:r w:rsidRPr="005911E2">
        <w:rPr>
          <w:szCs w:val="20"/>
        </w:rPr>
        <w:t>Macklin, J</w:t>
      </w:r>
      <w:r>
        <w:rPr>
          <w:szCs w:val="20"/>
        </w:rPr>
        <w:t>.</w:t>
      </w:r>
      <w:r w:rsidRPr="005911E2">
        <w:rPr>
          <w:szCs w:val="20"/>
        </w:rPr>
        <w:t xml:space="preserve"> (2010</w:t>
      </w:r>
      <w:r>
        <w:rPr>
          <w:szCs w:val="20"/>
        </w:rPr>
        <w:t>a</w:t>
      </w:r>
      <w:r w:rsidRPr="005911E2">
        <w:rPr>
          <w:szCs w:val="20"/>
        </w:rPr>
        <w:t>)</w:t>
      </w:r>
      <w:r>
        <w:rPr>
          <w:szCs w:val="20"/>
        </w:rPr>
        <w:t>,</w:t>
      </w:r>
      <w:r w:rsidRPr="005911E2">
        <w:rPr>
          <w:szCs w:val="20"/>
        </w:rPr>
        <w:t xml:space="preserve"> </w:t>
      </w:r>
      <w:r w:rsidRPr="0098343F">
        <w:rPr>
          <w:i/>
          <w:szCs w:val="20"/>
        </w:rPr>
        <w:t>Rolling out income management in the Northern Territory</w:t>
      </w:r>
      <w:r w:rsidRPr="005911E2">
        <w:rPr>
          <w:szCs w:val="20"/>
        </w:rPr>
        <w:t>, Media Release from The Hon Jenny Macklin MP,</w:t>
      </w:r>
      <w:r>
        <w:rPr>
          <w:szCs w:val="20"/>
        </w:rPr>
        <w:t xml:space="preserve"> 8 October </w:t>
      </w:r>
      <w:r w:rsidRPr="005911E2">
        <w:rPr>
          <w:szCs w:val="20"/>
        </w:rPr>
        <w:t>2010</w:t>
      </w:r>
      <w:r>
        <w:rPr>
          <w:szCs w:val="20"/>
        </w:rPr>
        <w:t xml:space="preserve">. </w:t>
      </w:r>
      <w:hyperlink r:id="rId91" w:history="1">
        <w:r w:rsidRPr="005911E2">
          <w:rPr>
            <w:rStyle w:val="Hyperlink"/>
            <w:szCs w:val="20"/>
          </w:rPr>
          <w:t>http://www.jennymacklin.fahcsia.gov.au/mediareleases/2010/pages/income_management_nt_8oct10.aspx</w:t>
        </w:r>
      </w:hyperlink>
      <w:r w:rsidRPr="005911E2">
        <w:rPr>
          <w:szCs w:val="20"/>
        </w:rPr>
        <w:t xml:space="preserve"> </w:t>
      </w:r>
      <w:r>
        <w:rPr>
          <w:szCs w:val="20"/>
        </w:rPr>
        <w:t>(</w:t>
      </w:r>
      <w:r w:rsidRPr="005911E2">
        <w:rPr>
          <w:szCs w:val="20"/>
        </w:rPr>
        <w:t>last accessed 8 April 2012</w:t>
      </w:r>
      <w:r>
        <w:rPr>
          <w:szCs w:val="20"/>
        </w:rPr>
        <w:t>).</w:t>
      </w:r>
    </w:p>
    <w:p w:rsidR="0044237F" w:rsidRPr="005911E2" w:rsidRDefault="0044237F" w:rsidP="0044237F">
      <w:pPr>
        <w:pStyle w:val="ReferenceList"/>
        <w:keepLines/>
        <w:jc w:val="left"/>
        <w:rPr>
          <w:szCs w:val="20"/>
        </w:rPr>
      </w:pPr>
      <w:r w:rsidRPr="005911E2">
        <w:rPr>
          <w:szCs w:val="20"/>
        </w:rPr>
        <w:t>Macklin, J</w:t>
      </w:r>
      <w:r>
        <w:rPr>
          <w:szCs w:val="20"/>
        </w:rPr>
        <w:t>.</w:t>
      </w:r>
      <w:r w:rsidRPr="005911E2">
        <w:rPr>
          <w:szCs w:val="20"/>
        </w:rPr>
        <w:t xml:space="preserve"> (2010</w:t>
      </w:r>
      <w:r>
        <w:rPr>
          <w:szCs w:val="20"/>
        </w:rPr>
        <w:t>b</w:t>
      </w:r>
      <w:r w:rsidRPr="005911E2">
        <w:rPr>
          <w:szCs w:val="20"/>
        </w:rPr>
        <w:t>)</w:t>
      </w:r>
      <w:r>
        <w:rPr>
          <w:szCs w:val="20"/>
        </w:rPr>
        <w:t>,</w:t>
      </w:r>
      <w:r w:rsidRPr="005911E2">
        <w:rPr>
          <w:szCs w:val="20"/>
        </w:rPr>
        <w:t xml:space="preserve"> </w:t>
      </w:r>
      <w:r w:rsidRPr="0098343F">
        <w:rPr>
          <w:i/>
          <w:szCs w:val="20"/>
        </w:rPr>
        <w:t>Second reading speech: Social Security and Other Legislation Amendment (Welfare Reform and Reinstatement of Racial Discrimination Act) Bill 2009</w:t>
      </w:r>
      <w:r w:rsidRPr="005911E2">
        <w:rPr>
          <w:szCs w:val="20"/>
        </w:rPr>
        <w:t>, House of Representatives, Debates, 25 N</w:t>
      </w:r>
      <w:r>
        <w:rPr>
          <w:szCs w:val="20"/>
        </w:rPr>
        <w:t>ovember 2009, pp. 12 783–12 787.</w:t>
      </w:r>
      <w:r w:rsidRPr="005911E2">
        <w:rPr>
          <w:szCs w:val="20"/>
        </w:rPr>
        <w:t xml:space="preserve"> </w:t>
      </w:r>
      <w:hyperlink r:id="rId92" w:history="1">
        <w:r w:rsidRPr="005911E2">
          <w:rPr>
            <w:rStyle w:val="Hyperlink"/>
            <w:szCs w:val="20"/>
          </w:rPr>
          <w:t>http://parlinfo.aph.gov.au/parlInfo/search/display/display.w3p;query=Id%3A%22chamber%2Fhansardr%2F2009-11-25%2F0046%22</w:t>
        </w:r>
      </w:hyperlink>
      <w:r>
        <w:t xml:space="preserve"> (</w:t>
      </w:r>
      <w:r w:rsidRPr="0098343F">
        <w:rPr>
          <w:szCs w:val="20"/>
        </w:rPr>
        <w:t>last accessed 14 January 201</w:t>
      </w:r>
      <w:r>
        <w:rPr>
          <w:szCs w:val="20"/>
        </w:rPr>
        <w:t>2)</w:t>
      </w:r>
      <w:r w:rsidRPr="0098343F">
        <w:rPr>
          <w:szCs w:val="20"/>
        </w:rPr>
        <w:t>.</w:t>
      </w:r>
    </w:p>
    <w:p w:rsidR="0044237F" w:rsidRPr="005911E2" w:rsidRDefault="0044237F" w:rsidP="0044237F">
      <w:pPr>
        <w:pStyle w:val="ReferenceList"/>
        <w:keepLines/>
        <w:jc w:val="left"/>
        <w:rPr>
          <w:szCs w:val="20"/>
        </w:rPr>
      </w:pPr>
      <w:r w:rsidRPr="005911E2">
        <w:rPr>
          <w:szCs w:val="20"/>
        </w:rPr>
        <w:t>Macklin, J</w:t>
      </w:r>
      <w:r>
        <w:rPr>
          <w:szCs w:val="20"/>
        </w:rPr>
        <w:t>.</w:t>
      </w:r>
      <w:r w:rsidRPr="005911E2">
        <w:rPr>
          <w:szCs w:val="20"/>
        </w:rPr>
        <w:t xml:space="preserve"> and Snowden, W</w:t>
      </w:r>
      <w:r>
        <w:rPr>
          <w:szCs w:val="20"/>
        </w:rPr>
        <w:t>.</w:t>
      </w:r>
      <w:r w:rsidRPr="005911E2">
        <w:rPr>
          <w:szCs w:val="20"/>
        </w:rPr>
        <w:t xml:space="preserve"> (2010)</w:t>
      </w:r>
      <w:r>
        <w:rPr>
          <w:szCs w:val="20"/>
        </w:rPr>
        <w:t>,</w:t>
      </w:r>
      <w:r w:rsidRPr="005911E2">
        <w:rPr>
          <w:szCs w:val="20"/>
        </w:rPr>
        <w:t xml:space="preserve"> </w:t>
      </w:r>
      <w:r w:rsidRPr="0098343F">
        <w:rPr>
          <w:i/>
          <w:szCs w:val="20"/>
        </w:rPr>
        <w:t>Racial Discrimination Act to be restored in the Northern Territory</w:t>
      </w:r>
      <w:r w:rsidRPr="005911E2">
        <w:rPr>
          <w:szCs w:val="20"/>
        </w:rPr>
        <w:t xml:space="preserve">, Joint Press Release from </w:t>
      </w:r>
      <w:r w:rsidRPr="005911E2" w:rsidDel="00F357A2">
        <w:rPr>
          <w:szCs w:val="20"/>
        </w:rPr>
        <w:t>T</w:t>
      </w:r>
      <w:r w:rsidRPr="005911E2">
        <w:rPr>
          <w:szCs w:val="20"/>
        </w:rPr>
        <w:t xml:space="preserve">he Hon Jenny Macklin MP and </w:t>
      </w:r>
      <w:r>
        <w:rPr>
          <w:szCs w:val="20"/>
        </w:rPr>
        <w:t>t</w:t>
      </w:r>
      <w:r w:rsidRPr="005911E2">
        <w:rPr>
          <w:szCs w:val="20"/>
        </w:rPr>
        <w:t>he Hon Warren Snowden MP, 22</w:t>
      </w:r>
      <w:r>
        <w:rPr>
          <w:szCs w:val="20"/>
        </w:rPr>
        <w:t xml:space="preserve"> June </w:t>
      </w:r>
      <w:r w:rsidRPr="005911E2">
        <w:rPr>
          <w:szCs w:val="20"/>
        </w:rPr>
        <w:t xml:space="preserve">2010. </w:t>
      </w:r>
      <w:hyperlink r:id="rId93" w:history="1">
        <w:r w:rsidRPr="00C531D6">
          <w:rPr>
            <w:rStyle w:val="Hyperlink"/>
          </w:rPr>
          <w:t>http://www.jennymacklin.fahcsia.gov.au/node/829</w:t>
        </w:r>
      </w:hyperlink>
      <w:r w:rsidRPr="005911E2">
        <w:rPr>
          <w:szCs w:val="20"/>
        </w:rPr>
        <w:t xml:space="preserve"> </w:t>
      </w:r>
      <w:r>
        <w:rPr>
          <w:szCs w:val="20"/>
        </w:rPr>
        <w:t>(</w:t>
      </w:r>
      <w:r w:rsidRPr="005911E2">
        <w:rPr>
          <w:szCs w:val="20"/>
        </w:rPr>
        <w:t xml:space="preserve">last accessed </w:t>
      </w:r>
      <w:r>
        <w:rPr>
          <w:szCs w:val="20"/>
        </w:rPr>
        <w:t>11 July</w:t>
      </w:r>
      <w:r w:rsidRPr="005911E2">
        <w:rPr>
          <w:szCs w:val="20"/>
        </w:rPr>
        <w:t xml:space="preserve"> 2012</w:t>
      </w:r>
      <w:r>
        <w:rPr>
          <w:szCs w:val="20"/>
        </w:rPr>
        <w:t>).</w:t>
      </w:r>
    </w:p>
    <w:p w:rsidR="0044237F" w:rsidRPr="005911E2" w:rsidRDefault="0044237F" w:rsidP="0044237F">
      <w:pPr>
        <w:pStyle w:val="ReferenceList"/>
        <w:keepLines/>
        <w:jc w:val="left"/>
        <w:rPr>
          <w:szCs w:val="20"/>
        </w:rPr>
      </w:pPr>
      <w:r w:rsidRPr="005911E2">
        <w:rPr>
          <w:szCs w:val="20"/>
        </w:rPr>
        <w:t xml:space="preserve">McDonnell, S. (2003), </w:t>
      </w:r>
      <w:r w:rsidRPr="0098343F">
        <w:rPr>
          <w:i/>
          <w:szCs w:val="20"/>
        </w:rPr>
        <w:t>Chasing the money story: An evaluation of the Tangentyere Bank Pilot Project and its relevance to Indigenous communities in Central Australia</w:t>
      </w:r>
      <w:r>
        <w:rPr>
          <w:i/>
          <w:szCs w:val="20"/>
        </w:rPr>
        <w:t xml:space="preserve">. </w:t>
      </w:r>
      <w:r w:rsidRPr="00F6309B">
        <w:rPr>
          <w:szCs w:val="20"/>
        </w:rPr>
        <w:t xml:space="preserve">Working Paper No. 21, </w:t>
      </w:r>
      <w:r w:rsidRPr="005911E2">
        <w:rPr>
          <w:szCs w:val="20"/>
        </w:rPr>
        <w:t>Centre for Aboriginal Economic Policy Research, The Australian National University Canberra.</w:t>
      </w:r>
    </w:p>
    <w:p w:rsidR="0044237F" w:rsidRPr="005911E2" w:rsidRDefault="0044237F" w:rsidP="0044237F">
      <w:pPr>
        <w:pStyle w:val="ReferenceList"/>
        <w:keepLines/>
        <w:jc w:val="left"/>
        <w:rPr>
          <w:szCs w:val="20"/>
        </w:rPr>
      </w:pPr>
      <w:r w:rsidRPr="005911E2">
        <w:rPr>
          <w:szCs w:val="20"/>
        </w:rPr>
        <w:t xml:space="preserve">Northern Territory </w:t>
      </w:r>
      <w:r>
        <w:rPr>
          <w:szCs w:val="20"/>
        </w:rPr>
        <w:t xml:space="preserve">Government (2007), </w:t>
      </w:r>
      <w:r w:rsidRPr="0098343F">
        <w:rPr>
          <w:i/>
          <w:szCs w:val="20"/>
        </w:rPr>
        <w:t xml:space="preserve">Northern Territory Government Board of Inquiry into the Protection of Aboriginal Children from Sexual Abuse, Ampe </w:t>
      </w:r>
      <w:r>
        <w:rPr>
          <w:i/>
          <w:szCs w:val="20"/>
        </w:rPr>
        <w:t>Akelyernemane Meke Mekarle ‘Little Children are Sacred’.</w:t>
      </w:r>
      <w:r w:rsidRPr="005911E2">
        <w:rPr>
          <w:szCs w:val="20"/>
        </w:rPr>
        <w:t xml:space="preserve"> N</w:t>
      </w:r>
      <w:r>
        <w:rPr>
          <w:szCs w:val="20"/>
        </w:rPr>
        <w:t xml:space="preserve">orthern </w:t>
      </w:r>
      <w:r w:rsidRPr="005911E2">
        <w:rPr>
          <w:szCs w:val="20"/>
        </w:rPr>
        <w:t>T</w:t>
      </w:r>
      <w:r>
        <w:rPr>
          <w:szCs w:val="20"/>
        </w:rPr>
        <w:t>erritory</w:t>
      </w:r>
      <w:r w:rsidRPr="005911E2">
        <w:rPr>
          <w:szCs w:val="20"/>
        </w:rPr>
        <w:t xml:space="preserve"> Government, Darwin</w:t>
      </w:r>
      <w:r>
        <w:rPr>
          <w:szCs w:val="20"/>
        </w:rPr>
        <w:t xml:space="preserve">. </w:t>
      </w:r>
      <w:hyperlink r:id="rId94" w:history="1">
        <w:r w:rsidRPr="005911E2">
          <w:rPr>
            <w:rStyle w:val="Hyperlink"/>
            <w:szCs w:val="20"/>
          </w:rPr>
          <w:t>http://www.inquirysaac.nt.gov.au/pdf/bipacsa_final_report.pdf</w:t>
        </w:r>
      </w:hyperlink>
      <w:r>
        <w:t xml:space="preserve"> (</w:t>
      </w:r>
      <w:r w:rsidRPr="0098343F">
        <w:rPr>
          <w:szCs w:val="20"/>
        </w:rPr>
        <w:t>last accessed</w:t>
      </w:r>
      <w:r>
        <w:rPr>
          <w:szCs w:val="20"/>
        </w:rPr>
        <w:t xml:space="preserve"> 23 June 2012).</w:t>
      </w:r>
    </w:p>
    <w:p w:rsidR="0044237F" w:rsidRPr="005911E2" w:rsidRDefault="0044237F" w:rsidP="0044237F">
      <w:pPr>
        <w:pStyle w:val="ReferenceList"/>
        <w:keepLines/>
        <w:jc w:val="left"/>
        <w:rPr>
          <w:szCs w:val="20"/>
          <w:shd w:val="clear" w:color="auto" w:fill="FFFFFF"/>
        </w:rPr>
      </w:pPr>
      <w:r w:rsidRPr="005911E2">
        <w:rPr>
          <w:szCs w:val="20"/>
          <w:lang w:eastAsia="en-AU" w:bidi="ar-SA"/>
        </w:rPr>
        <w:t>Russell, R., Wall, L. and Doan, M.P</w:t>
      </w:r>
      <w:r>
        <w:rPr>
          <w:szCs w:val="20"/>
          <w:lang w:eastAsia="en-AU" w:bidi="ar-SA"/>
        </w:rPr>
        <w:t>.</w:t>
      </w:r>
      <w:r w:rsidRPr="005911E2">
        <w:rPr>
          <w:szCs w:val="20"/>
          <w:lang w:eastAsia="en-AU" w:bidi="ar-SA"/>
        </w:rPr>
        <w:t xml:space="preserve"> (20</w:t>
      </w:r>
      <w:r>
        <w:rPr>
          <w:szCs w:val="20"/>
          <w:lang w:eastAsia="en-AU" w:bidi="ar-SA"/>
        </w:rPr>
        <w:t>1</w:t>
      </w:r>
      <w:r w:rsidRPr="005911E2">
        <w:rPr>
          <w:szCs w:val="20"/>
          <w:lang w:eastAsia="en-AU" w:bidi="ar-SA"/>
        </w:rPr>
        <w:t xml:space="preserve">1), </w:t>
      </w:r>
      <w:r w:rsidRPr="005911E2">
        <w:rPr>
          <w:i/>
          <w:szCs w:val="20"/>
          <w:lang w:eastAsia="en-AU" w:bidi="ar-SA"/>
        </w:rPr>
        <w:t xml:space="preserve">Evaluation of Saver Plus </w:t>
      </w:r>
      <w:r>
        <w:rPr>
          <w:i/>
          <w:szCs w:val="20"/>
          <w:lang w:eastAsia="en-AU" w:bidi="ar-SA"/>
        </w:rPr>
        <w:t>p</w:t>
      </w:r>
      <w:r w:rsidRPr="005911E2">
        <w:rPr>
          <w:i/>
          <w:szCs w:val="20"/>
          <w:lang w:eastAsia="en-AU" w:bidi="ar-SA"/>
        </w:rPr>
        <w:t xml:space="preserve">ast </w:t>
      </w:r>
      <w:r>
        <w:rPr>
          <w:i/>
          <w:szCs w:val="20"/>
          <w:lang w:eastAsia="en-AU" w:bidi="ar-SA"/>
        </w:rPr>
        <w:t>p</w:t>
      </w:r>
      <w:r w:rsidRPr="005911E2">
        <w:rPr>
          <w:i/>
          <w:szCs w:val="20"/>
          <w:lang w:eastAsia="en-AU" w:bidi="ar-SA"/>
        </w:rPr>
        <w:t>articipants</w:t>
      </w:r>
      <w:r>
        <w:rPr>
          <w:szCs w:val="20"/>
          <w:lang w:eastAsia="en-AU" w:bidi="ar-SA"/>
        </w:rPr>
        <w:t>.</w:t>
      </w:r>
      <w:r w:rsidRPr="005911E2">
        <w:rPr>
          <w:szCs w:val="20"/>
          <w:lang w:eastAsia="en-AU" w:bidi="ar-SA"/>
        </w:rPr>
        <w:t xml:space="preserve"> ANZ and Brotherhood of St. Laurence, Melbourne. </w:t>
      </w:r>
    </w:p>
    <w:p w:rsidR="0044237F" w:rsidRDefault="0044237F" w:rsidP="0044237F">
      <w:pPr>
        <w:pStyle w:val="ReferenceList"/>
        <w:keepLines/>
        <w:jc w:val="left"/>
        <w:rPr>
          <w:szCs w:val="20"/>
        </w:rPr>
      </w:pPr>
      <w:r w:rsidRPr="005911E2">
        <w:rPr>
          <w:szCs w:val="20"/>
        </w:rPr>
        <w:t xml:space="preserve">Shaw, G. </w:t>
      </w:r>
      <w:r>
        <w:rPr>
          <w:szCs w:val="20"/>
        </w:rPr>
        <w:t>a</w:t>
      </w:r>
      <w:r w:rsidRPr="005911E2">
        <w:rPr>
          <w:szCs w:val="20"/>
        </w:rPr>
        <w:t xml:space="preserve">nd d’Abbs, P. (2011), </w:t>
      </w:r>
      <w:r w:rsidRPr="0098343F">
        <w:rPr>
          <w:i/>
          <w:szCs w:val="20"/>
        </w:rPr>
        <w:t xml:space="preserve">Community </w:t>
      </w:r>
      <w:r>
        <w:rPr>
          <w:i/>
          <w:szCs w:val="20"/>
        </w:rPr>
        <w:t>S</w:t>
      </w:r>
      <w:r w:rsidRPr="0098343F">
        <w:rPr>
          <w:i/>
          <w:szCs w:val="20"/>
        </w:rPr>
        <w:t xml:space="preserve">afety and </w:t>
      </w:r>
      <w:r>
        <w:rPr>
          <w:i/>
          <w:szCs w:val="20"/>
        </w:rPr>
        <w:t>W</w:t>
      </w:r>
      <w:r w:rsidRPr="0098343F">
        <w:rPr>
          <w:i/>
          <w:szCs w:val="20"/>
        </w:rPr>
        <w:t xml:space="preserve">ellbeing </w:t>
      </w:r>
      <w:r>
        <w:rPr>
          <w:i/>
          <w:szCs w:val="20"/>
        </w:rPr>
        <w:t>R</w:t>
      </w:r>
      <w:r w:rsidRPr="0098343F">
        <w:rPr>
          <w:i/>
          <w:szCs w:val="20"/>
        </w:rPr>
        <w:t xml:space="preserve">esearch </w:t>
      </w:r>
      <w:r>
        <w:rPr>
          <w:i/>
          <w:szCs w:val="20"/>
        </w:rPr>
        <w:t>S</w:t>
      </w:r>
      <w:r w:rsidRPr="0098343F">
        <w:rPr>
          <w:i/>
          <w:szCs w:val="20"/>
        </w:rPr>
        <w:t xml:space="preserve">tudy </w:t>
      </w:r>
      <w:r>
        <w:rPr>
          <w:i/>
          <w:szCs w:val="20"/>
        </w:rPr>
        <w:t>- Consolidated R</w:t>
      </w:r>
      <w:r w:rsidRPr="0098343F">
        <w:rPr>
          <w:i/>
          <w:szCs w:val="20"/>
        </w:rPr>
        <w:t>eport</w:t>
      </w:r>
      <w:r>
        <w:rPr>
          <w:i/>
          <w:szCs w:val="20"/>
        </w:rPr>
        <w:t xml:space="preserve">. </w:t>
      </w:r>
      <w:r w:rsidRPr="005911E2">
        <w:rPr>
          <w:szCs w:val="20"/>
        </w:rPr>
        <w:t xml:space="preserve"> Bowchung</w:t>
      </w:r>
      <w:r>
        <w:rPr>
          <w:szCs w:val="20"/>
        </w:rPr>
        <w:t xml:space="preserve"> Consulting</w:t>
      </w:r>
      <w:r w:rsidRPr="005911E2">
        <w:rPr>
          <w:szCs w:val="20"/>
        </w:rPr>
        <w:t xml:space="preserve"> for FaHCS</w:t>
      </w:r>
      <w:r>
        <w:rPr>
          <w:szCs w:val="20"/>
        </w:rPr>
        <w:t>I</w:t>
      </w:r>
      <w:r w:rsidRPr="005911E2">
        <w:rPr>
          <w:szCs w:val="20"/>
        </w:rPr>
        <w:t>A, Canberra.</w:t>
      </w:r>
      <w:r>
        <w:rPr>
          <w:szCs w:val="20"/>
        </w:rPr>
        <w:t xml:space="preserve"> </w:t>
      </w:r>
      <w:hyperlink r:id="rId95" w:history="1">
        <w:r w:rsidRPr="00F3044E">
          <w:rPr>
            <w:rStyle w:val="Hyperlink"/>
            <w:szCs w:val="20"/>
          </w:rPr>
          <w:t>http://www.fahcsia.gov.au/sites/default/files/documents/05_2012/cswrs_bowchung.pdf</w:t>
        </w:r>
      </w:hyperlink>
      <w:r>
        <w:rPr>
          <w:szCs w:val="20"/>
        </w:rPr>
        <w:t xml:space="preserve"> (last accessed 11 July 2012).</w:t>
      </w:r>
    </w:p>
    <w:p w:rsidR="0044237F" w:rsidRDefault="0044237F" w:rsidP="0044237F">
      <w:pPr>
        <w:pStyle w:val="ReferenceList"/>
        <w:keepLines/>
        <w:jc w:val="left"/>
        <w:rPr>
          <w:szCs w:val="20"/>
        </w:rPr>
      </w:pPr>
      <w:r w:rsidRPr="00E74851">
        <w:rPr>
          <w:szCs w:val="20"/>
        </w:rPr>
        <w:t>Shreiner</w:t>
      </w:r>
      <w:r>
        <w:rPr>
          <w:szCs w:val="20"/>
        </w:rPr>
        <w:t>,</w:t>
      </w:r>
      <w:r w:rsidRPr="00E74851">
        <w:rPr>
          <w:szCs w:val="20"/>
        </w:rPr>
        <w:t xml:space="preserve"> M</w:t>
      </w:r>
      <w:r>
        <w:rPr>
          <w:szCs w:val="20"/>
        </w:rPr>
        <w:t>. and</w:t>
      </w:r>
      <w:r w:rsidRPr="00E74851">
        <w:rPr>
          <w:szCs w:val="20"/>
        </w:rPr>
        <w:t xml:space="preserve"> Sher</w:t>
      </w:r>
      <w:r>
        <w:rPr>
          <w:szCs w:val="20"/>
        </w:rPr>
        <w:t xml:space="preserve">raden, </w:t>
      </w:r>
      <w:r w:rsidRPr="00E74851">
        <w:rPr>
          <w:szCs w:val="20"/>
        </w:rPr>
        <w:t>M</w:t>
      </w:r>
      <w:r>
        <w:rPr>
          <w:szCs w:val="20"/>
        </w:rPr>
        <w:t>.</w:t>
      </w:r>
      <w:r w:rsidRPr="00E74851">
        <w:rPr>
          <w:szCs w:val="20"/>
        </w:rPr>
        <w:t xml:space="preserve"> </w:t>
      </w:r>
      <w:r>
        <w:rPr>
          <w:szCs w:val="20"/>
        </w:rPr>
        <w:t>(</w:t>
      </w:r>
      <w:r w:rsidRPr="00E74851">
        <w:rPr>
          <w:szCs w:val="20"/>
        </w:rPr>
        <w:t>2007</w:t>
      </w:r>
      <w:r>
        <w:rPr>
          <w:szCs w:val="20"/>
        </w:rPr>
        <w:t>),</w:t>
      </w:r>
      <w:r w:rsidRPr="00E74851">
        <w:rPr>
          <w:szCs w:val="20"/>
        </w:rPr>
        <w:t xml:space="preserve"> </w:t>
      </w:r>
      <w:r w:rsidRPr="00F6309B">
        <w:rPr>
          <w:i/>
          <w:szCs w:val="20"/>
        </w:rPr>
        <w:t>Ca</w:t>
      </w:r>
      <w:r w:rsidRPr="003B3BD2">
        <w:rPr>
          <w:i/>
          <w:szCs w:val="20"/>
        </w:rPr>
        <w:t xml:space="preserve">n the poor save? Saving and asset building in </w:t>
      </w:r>
      <w:r>
        <w:rPr>
          <w:i/>
          <w:szCs w:val="20"/>
        </w:rPr>
        <w:t>individual development accounts.</w:t>
      </w:r>
      <w:r w:rsidRPr="003B3BD2">
        <w:rPr>
          <w:i/>
          <w:szCs w:val="20"/>
        </w:rPr>
        <w:t xml:space="preserve"> </w:t>
      </w:r>
      <w:r w:rsidRPr="00E74851">
        <w:rPr>
          <w:szCs w:val="20"/>
        </w:rPr>
        <w:t>Transaction</w:t>
      </w:r>
      <w:r>
        <w:rPr>
          <w:szCs w:val="20"/>
        </w:rPr>
        <w:t xml:space="preserve"> </w:t>
      </w:r>
      <w:r w:rsidRPr="00E74851">
        <w:rPr>
          <w:szCs w:val="20"/>
        </w:rPr>
        <w:t>Publishers, New Brunswick,</w:t>
      </w:r>
      <w:r>
        <w:rPr>
          <w:szCs w:val="20"/>
        </w:rPr>
        <w:t xml:space="preserve"> </w:t>
      </w:r>
      <w:r w:rsidRPr="00E74851">
        <w:rPr>
          <w:szCs w:val="20"/>
        </w:rPr>
        <w:t>New Jersey.</w:t>
      </w:r>
    </w:p>
    <w:p w:rsidR="0044237F" w:rsidRPr="005911E2" w:rsidRDefault="0044237F" w:rsidP="0044237F">
      <w:pPr>
        <w:pStyle w:val="ReferenceList"/>
        <w:keepLines/>
        <w:jc w:val="left"/>
        <w:rPr>
          <w:szCs w:val="20"/>
        </w:rPr>
      </w:pPr>
      <w:r w:rsidRPr="005911E2">
        <w:rPr>
          <w:szCs w:val="20"/>
        </w:rPr>
        <w:t xml:space="preserve">Smith, R. and Jorna, P. (2011), </w:t>
      </w:r>
      <w:r>
        <w:rPr>
          <w:szCs w:val="20"/>
        </w:rPr>
        <w:t>‘Fraud in the “outback”</w:t>
      </w:r>
      <w:r w:rsidRPr="005911E2">
        <w:rPr>
          <w:szCs w:val="20"/>
        </w:rPr>
        <w:t xml:space="preserve">: Capable guardianship in preventing financial crime in regional and remote communities’, </w:t>
      </w:r>
      <w:r w:rsidRPr="005911E2">
        <w:rPr>
          <w:i/>
          <w:szCs w:val="20"/>
        </w:rPr>
        <w:t>Trends and Issues in Crime and Criminal Justice</w:t>
      </w:r>
      <w:r>
        <w:rPr>
          <w:i/>
          <w:szCs w:val="20"/>
        </w:rPr>
        <w:t>,</w:t>
      </w:r>
      <w:r w:rsidRPr="00C01C11">
        <w:rPr>
          <w:szCs w:val="20"/>
        </w:rPr>
        <w:t xml:space="preserve"> No. 413, June 2011</w:t>
      </w:r>
      <w:r>
        <w:rPr>
          <w:i/>
          <w:szCs w:val="20"/>
        </w:rPr>
        <w:t>.</w:t>
      </w:r>
      <w:r w:rsidRPr="005911E2">
        <w:rPr>
          <w:szCs w:val="20"/>
        </w:rPr>
        <w:t xml:space="preserve"> Australian Institute of Criminology, Canberra.</w:t>
      </w:r>
      <w:r>
        <w:rPr>
          <w:szCs w:val="20"/>
        </w:rPr>
        <w:t xml:space="preserve"> </w:t>
      </w:r>
      <w:hyperlink r:id="rId96" w:history="1">
        <w:r w:rsidRPr="00F3044E">
          <w:rPr>
            <w:rStyle w:val="Hyperlink"/>
            <w:szCs w:val="20"/>
          </w:rPr>
          <w:t>http://www.aic.gov.au/documents/1/6/7/%7B167998BB-D3E8-4F2E-9E3A-F6CE673CE0D6%7Dtandi413_001.pdf</w:t>
        </w:r>
      </w:hyperlink>
      <w:r>
        <w:rPr>
          <w:szCs w:val="20"/>
        </w:rPr>
        <w:t xml:space="preserve"> (last accessed 11 July 2012).</w:t>
      </w:r>
    </w:p>
    <w:p w:rsidR="0044237F" w:rsidRDefault="0044237F" w:rsidP="0044237F">
      <w:pPr>
        <w:pStyle w:val="ReferenceList"/>
        <w:keepLines/>
        <w:jc w:val="left"/>
        <w:rPr>
          <w:szCs w:val="20"/>
        </w:rPr>
      </w:pPr>
      <w:r w:rsidRPr="005911E2">
        <w:rPr>
          <w:szCs w:val="20"/>
        </w:rPr>
        <w:t xml:space="preserve">Social Policy Research Centre and Australian Institute of Family Studies (SPRC and AIFS) (2010), </w:t>
      </w:r>
      <w:r w:rsidRPr="0098343F">
        <w:rPr>
          <w:i/>
          <w:szCs w:val="20"/>
        </w:rPr>
        <w:t>Evaluation framework for New Income Management</w:t>
      </w:r>
      <w:r>
        <w:rPr>
          <w:szCs w:val="20"/>
        </w:rPr>
        <w:t>.</w:t>
      </w:r>
      <w:r w:rsidRPr="005911E2">
        <w:rPr>
          <w:szCs w:val="20"/>
        </w:rPr>
        <w:t xml:space="preserve"> Department of Families, Housing, Community Services and Indigenous Affairs, Canberra.</w:t>
      </w:r>
      <w:r>
        <w:rPr>
          <w:szCs w:val="20"/>
        </w:rPr>
        <w:t xml:space="preserve"> </w:t>
      </w:r>
      <w:hyperlink r:id="rId97" w:history="1">
        <w:r w:rsidRPr="00101F83">
          <w:rPr>
            <w:rStyle w:val="Hyperlink"/>
            <w:szCs w:val="20"/>
          </w:rPr>
          <w:t>http://families.fahcsia.gov.au/sites/default/files/documents/evaluation_framework_nim.pdf</w:t>
        </w:r>
      </w:hyperlink>
      <w:r>
        <w:rPr>
          <w:szCs w:val="20"/>
        </w:rPr>
        <w:t xml:space="preserve"> (last accessed 19 June 2012).</w:t>
      </w:r>
    </w:p>
    <w:p w:rsidR="0044237F" w:rsidRDefault="0044237F" w:rsidP="0044237F">
      <w:pPr>
        <w:pStyle w:val="ReferenceList"/>
        <w:keepLines/>
        <w:jc w:val="left"/>
        <w:rPr>
          <w:szCs w:val="20"/>
        </w:rPr>
      </w:pPr>
      <w:r>
        <w:rPr>
          <w:szCs w:val="20"/>
        </w:rPr>
        <w:t xml:space="preserve">Swan, W. and Macklin, J. (2012), </w:t>
      </w:r>
      <w:r w:rsidRPr="00580DF3">
        <w:rPr>
          <w:i/>
          <w:szCs w:val="20"/>
        </w:rPr>
        <w:t>Fairer deal on ATMs for remote Indigenous Communities</w:t>
      </w:r>
      <w:r>
        <w:rPr>
          <w:i/>
          <w:szCs w:val="20"/>
        </w:rPr>
        <w:t>.</w:t>
      </w:r>
      <w:r>
        <w:rPr>
          <w:szCs w:val="20"/>
        </w:rPr>
        <w:t xml:space="preserve"> Joint Media Release, The Hon Wayne Swan MP and the Hon Jenny Macklin MP, 25 May 2012. </w:t>
      </w:r>
      <w:hyperlink r:id="rId98" w:history="1">
        <w:r w:rsidRPr="001E04E9">
          <w:rPr>
            <w:rStyle w:val="Hyperlink"/>
            <w:szCs w:val="20"/>
          </w:rPr>
          <w:t>http://www.treasurer.gov.au/wmsDisplayDocs.aspx?doc=pressreleases/2012/040.htm&amp;pageID=003&amp;min=wms&amp;Year=&amp;DocType=0</w:t>
        </w:r>
      </w:hyperlink>
      <w:r>
        <w:t xml:space="preserve"> (</w:t>
      </w:r>
      <w:r>
        <w:rPr>
          <w:szCs w:val="20"/>
        </w:rPr>
        <w:t>last accessed 27 June 2012).</w:t>
      </w:r>
    </w:p>
    <w:p w:rsidR="0044237F" w:rsidRDefault="0044237F" w:rsidP="0044237F">
      <w:pPr>
        <w:pStyle w:val="ReferenceList"/>
        <w:keepLines/>
        <w:jc w:val="left"/>
        <w:rPr>
          <w:szCs w:val="20"/>
        </w:rPr>
      </w:pPr>
      <w:r>
        <w:rPr>
          <w:szCs w:val="20"/>
        </w:rPr>
        <w:t xml:space="preserve">Treasury and Reserve Bank of Australia (2012), </w:t>
      </w:r>
      <w:r w:rsidRPr="00580DF3">
        <w:rPr>
          <w:i/>
          <w:szCs w:val="20"/>
        </w:rPr>
        <w:t>ATM Taskforce –</w:t>
      </w:r>
      <w:r>
        <w:rPr>
          <w:i/>
          <w:szCs w:val="20"/>
        </w:rPr>
        <w:t xml:space="preserve"> Report on Indigenous ATM Issues. </w:t>
      </w:r>
      <w:r w:rsidRPr="00580DF3">
        <w:rPr>
          <w:szCs w:val="20"/>
        </w:rPr>
        <w:t>The Treasury, Canberra</w:t>
      </w:r>
      <w:r>
        <w:rPr>
          <w:szCs w:val="20"/>
        </w:rPr>
        <w:t xml:space="preserve">. </w:t>
      </w:r>
      <w:hyperlink r:id="rId99" w:history="1">
        <w:r w:rsidRPr="001E04E9">
          <w:rPr>
            <w:rStyle w:val="Hyperlink"/>
            <w:szCs w:val="20"/>
          </w:rPr>
          <w:t>http://archive.treasury.gov.au//banking/content/reports/atm_indigenous/downloads/atm_indigenous.pdf</w:t>
        </w:r>
      </w:hyperlink>
      <w:r>
        <w:rPr>
          <w:szCs w:val="20"/>
        </w:rPr>
        <w:t xml:space="preserve"> (last accessed 26 June 2012).</w:t>
      </w:r>
    </w:p>
    <w:p w:rsidR="0044237F" w:rsidRDefault="0044237F" w:rsidP="0044237F">
      <w:pPr>
        <w:pStyle w:val="ReferenceList"/>
        <w:keepLines/>
        <w:jc w:val="left"/>
        <w:rPr>
          <w:noProof/>
          <w:szCs w:val="20"/>
        </w:rPr>
      </w:pPr>
      <w:r w:rsidRPr="005911E2">
        <w:rPr>
          <w:noProof/>
          <w:szCs w:val="20"/>
        </w:rPr>
        <w:t>Yu, P., Duncan, E., and Gray, B. (2008</w:t>
      </w:r>
      <w:r w:rsidRPr="005911E2">
        <w:rPr>
          <w:i/>
          <w:noProof/>
          <w:szCs w:val="20"/>
        </w:rPr>
        <w:t>), Report of the NTER Review Board</w:t>
      </w:r>
      <w:r>
        <w:rPr>
          <w:noProof/>
          <w:szCs w:val="20"/>
        </w:rPr>
        <w:t>.</w:t>
      </w:r>
      <w:r w:rsidRPr="005911E2">
        <w:rPr>
          <w:noProof/>
          <w:szCs w:val="20"/>
        </w:rPr>
        <w:t xml:space="preserve"> Commonwealth of Australia, Canberra.</w:t>
      </w:r>
      <w:r>
        <w:rPr>
          <w:noProof/>
          <w:szCs w:val="20"/>
        </w:rPr>
        <w:t xml:space="preserve"> </w:t>
      </w:r>
      <w:hyperlink r:id="rId100" w:history="1">
        <w:r w:rsidRPr="00F3044E">
          <w:rPr>
            <w:rStyle w:val="Hyperlink"/>
            <w:noProof/>
            <w:szCs w:val="20"/>
          </w:rPr>
          <w:t>http://www.nterreview.gov.au/docs/report_nter_review.PDF</w:t>
        </w:r>
      </w:hyperlink>
      <w:r>
        <w:rPr>
          <w:noProof/>
          <w:szCs w:val="20"/>
        </w:rPr>
        <w:t xml:space="preserve"> (last accessed 11 July 2012).</w:t>
      </w:r>
    </w:p>
    <w:p w:rsidR="00097F61" w:rsidRPr="005911E2" w:rsidRDefault="00097F61" w:rsidP="00C0582B">
      <w:pPr>
        <w:pStyle w:val="chapterend"/>
      </w:pPr>
    </w:p>
    <w:p w:rsidR="00DC2F4F" w:rsidRPr="005911E2" w:rsidRDefault="00DC2F4F">
      <w:pPr>
        <w:spacing w:after="0" w:line="240" w:lineRule="auto"/>
        <w:ind w:left="0"/>
        <w:jc w:val="left"/>
        <w:sectPr w:rsidR="00DC2F4F" w:rsidRPr="005911E2" w:rsidSect="00F357A2">
          <w:headerReference w:type="default" r:id="rId101"/>
          <w:pgSz w:w="11906" w:h="16838" w:code="9"/>
          <w:pgMar w:top="1418" w:right="1797" w:bottom="1418" w:left="1230" w:header="567" w:footer="284" w:gutter="0"/>
          <w:cols w:space="708"/>
          <w:docGrid w:linePitch="360"/>
        </w:sectPr>
      </w:pPr>
    </w:p>
    <w:p w:rsidR="00C65125" w:rsidRPr="005911E2" w:rsidRDefault="00C65125" w:rsidP="00C65125">
      <w:pPr>
        <w:pStyle w:val="Heading0"/>
      </w:pPr>
      <w:bookmarkStart w:id="1244" w:name="_Toc328601557"/>
      <w:bookmarkStart w:id="1245" w:name="_Toc329870438"/>
      <w:bookmarkStart w:id="1246" w:name="_Toc335915824"/>
      <w:r w:rsidRPr="005911E2">
        <w:t>Appendices</w:t>
      </w:r>
      <w:bookmarkEnd w:id="1244"/>
      <w:bookmarkEnd w:id="1245"/>
      <w:bookmarkEnd w:id="1246"/>
    </w:p>
    <w:p w:rsidR="00D96A58" w:rsidRDefault="00C65125" w:rsidP="00AE7648">
      <w:pPr>
        <w:pStyle w:val="BodyText"/>
        <w:ind w:left="3544" w:hanging="1559"/>
      </w:pPr>
      <w:r w:rsidRPr="005911E2">
        <w:t xml:space="preserve">Appendix A: </w:t>
      </w:r>
      <w:r w:rsidR="005D5AC9">
        <w:tab/>
      </w:r>
      <w:r w:rsidRPr="005911E2">
        <w:t>Letters sent to Centrelink customers about income management</w:t>
      </w:r>
    </w:p>
    <w:p w:rsidR="00C65125" w:rsidRPr="005911E2" w:rsidRDefault="00C65125" w:rsidP="00AE7648">
      <w:pPr>
        <w:pStyle w:val="BodyText"/>
        <w:ind w:left="3544" w:hanging="1559"/>
      </w:pPr>
      <w:r w:rsidRPr="005911E2">
        <w:t xml:space="preserve">Appendix </w:t>
      </w:r>
      <w:r w:rsidR="00F357A2">
        <w:t>B:</w:t>
      </w:r>
      <w:r w:rsidRPr="005911E2">
        <w:tab/>
      </w:r>
      <w:r w:rsidR="00CF545F" w:rsidRPr="005911E2">
        <w:t>LS</w:t>
      </w:r>
      <w:r w:rsidR="00CF545F">
        <w:t>N</w:t>
      </w:r>
      <w:r w:rsidR="00CF545F" w:rsidRPr="005911E2">
        <w:t>IM</w:t>
      </w:r>
      <w:r w:rsidRPr="005911E2">
        <w:t xml:space="preserve"> Wave 1: Summary Report</w:t>
      </w:r>
    </w:p>
    <w:p w:rsidR="00C65125" w:rsidRPr="005911E2" w:rsidRDefault="00C65125" w:rsidP="00AE7648">
      <w:pPr>
        <w:pStyle w:val="BodyText"/>
        <w:ind w:left="3544" w:hanging="1559"/>
      </w:pPr>
      <w:r w:rsidRPr="005911E2">
        <w:t xml:space="preserve">Appendix </w:t>
      </w:r>
      <w:r w:rsidR="00F357A2">
        <w:t>C</w:t>
      </w:r>
      <w:r w:rsidRPr="005911E2">
        <w:t>.</w:t>
      </w:r>
      <w:r w:rsidRPr="005911E2">
        <w:tab/>
        <w:t>LSNIM Survey form</w:t>
      </w:r>
    </w:p>
    <w:p w:rsidR="00D219D9" w:rsidRPr="005911E2" w:rsidRDefault="00D219D9" w:rsidP="00AE7648">
      <w:pPr>
        <w:pStyle w:val="BodyText"/>
        <w:ind w:left="3544" w:hanging="1559"/>
      </w:pPr>
      <w:r w:rsidRPr="005911E2">
        <w:t xml:space="preserve">Appendix </w:t>
      </w:r>
      <w:r w:rsidR="00F357A2">
        <w:t>D</w:t>
      </w:r>
      <w:r w:rsidR="005D5AC9">
        <w:t>:</w:t>
      </w:r>
      <w:r w:rsidRPr="005911E2">
        <w:tab/>
        <w:t>Qualitative methodology</w:t>
      </w:r>
    </w:p>
    <w:p w:rsidR="00D96A58" w:rsidRDefault="00C65125" w:rsidP="00AE7648">
      <w:pPr>
        <w:pStyle w:val="BodyText"/>
        <w:ind w:left="3544" w:hanging="1559"/>
      </w:pPr>
      <w:r w:rsidRPr="005911E2">
        <w:t xml:space="preserve">Appendix </w:t>
      </w:r>
      <w:r w:rsidR="00F357A2">
        <w:t>E</w:t>
      </w:r>
      <w:r w:rsidR="005D5AC9">
        <w:t>:</w:t>
      </w:r>
      <w:r w:rsidRPr="005911E2">
        <w:tab/>
        <w:t>Centrelink datasets used for the analysis of exemptions</w:t>
      </w:r>
    </w:p>
    <w:p w:rsidR="00C65125" w:rsidRPr="005911E2" w:rsidRDefault="00D219D9" w:rsidP="00AE7648">
      <w:pPr>
        <w:pStyle w:val="BodyText"/>
        <w:ind w:left="3544" w:hanging="1559"/>
      </w:pPr>
      <w:r w:rsidRPr="005911E2">
        <w:t xml:space="preserve">Appendix </w:t>
      </w:r>
      <w:r w:rsidR="00F357A2">
        <w:t>F</w:t>
      </w:r>
      <w:r w:rsidR="005D5AC9">
        <w:t>:</w:t>
      </w:r>
      <w:r w:rsidR="00C65125" w:rsidRPr="005911E2">
        <w:tab/>
        <w:t>Financial Vulnerability Test</w:t>
      </w:r>
    </w:p>
    <w:p w:rsidR="00C65125" w:rsidRPr="005911E2" w:rsidRDefault="00D219D9" w:rsidP="00AE7648">
      <w:pPr>
        <w:pStyle w:val="BodyText"/>
        <w:ind w:left="3544" w:hanging="1559"/>
      </w:pPr>
      <w:r w:rsidRPr="005911E2">
        <w:t xml:space="preserve">Appendix </w:t>
      </w:r>
      <w:r w:rsidR="00F357A2">
        <w:t>G</w:t>
      </w:r>
      <w:r w:rsidR="005D5AC9">
        <w:t>:</w:t>
      </w:r>
      <w:r w:rsidR="00C65125" w:rsidRPr="005911E2">
        <w:tab/>
        <w:t>Terms and Conditions for BasicsCard</w:t>
      </w:r>
    </w:p>
    <w:p w:rsidR="00C65125" w:rsidRPr="005911E2" w:rsidRDefault="00D219D9" w:rsidP="00AE7648">
      <w:pPr>
        <w:pStyle w:val="BodyText"/>
        <w:ind w:left="3544" w:hanging="1559"/>
      </w:pPr>
      <w:r w:rsidRPr="005911E2">
        <w:t xml:space="preserve">Appendix </w:t>
      </w:r>
      <w:r w:rsidR="00F357A2">
        <w:t>H</w:t>
      </w:r>
      <w:r w:rsidR="005D5AC9">
        <w:t>:</w:t>
      </w:r>
      <w:r w:rsidR="00C65125" w:rsidRPr="005911E2">
        <w:tab/>
        <w:t>Attitudes to Centrelink</w:t>
      </w:r>
      <w:r w:rsidR="00C65125" w:rsidRPr="005911E2">
        <w:br w:type="page"/>
      </w:r>
    </w:p>
    <w:p w:rsidR="00557394" w:rsidRPr="005911E2" w:rsidRDefault="00557394" w:rsidP="003E2B11">
      <w:pPr>
        <w:pStyle w:val="attachtitle"/>
      </w:pPr>
      <w:bookmarkStart w:id="1247" w:name="_Ref321684866"/>
      <w:bookmarkStart w:id="1248" w:name="_Ref321684876"/>
      <w:bookmarkStart w:id="1249" w:name="_Toc328601558"/>
      <w:bookmarkStart w:id="1250" w:name="_Toc329870439"/>
      <w:bookmarkStart w:id="1251" w:name="_Toc335915825"/>
      <w:r w:rsidRPr="005911E2">
        <w:t>Letters sent to Centrelink customers about income management</w:t>
      </w:r>
      <w:bookmarkEnd w:id="1247"/>
      <w:bookmarkEnd w:id="1248"/>
      <w:bookmarkEnd w:id="1249"/>
      <w:bookmarkEnd w:id="1250"/>
      <w:bookmarkEnd w:id="1251"/>
      <w:r w:rsidRPr="005911E2">
        <w:t xml:space="preserve"> </w:t>
      </w:r>
    </w:p>
    <w:p w:rsidR="00557394" w:rsidRPr="002955BA" w:rsidRDefault="003B3BD2" w:rsidP="00557394">
      <w:pPr>
        <w:pStyle w:val="attachtext"/>
        <w:rPr>
          <w:i/>
        </w:rPr>
      </w:pPr>
      <w:r w:rsidRPr="002955BA">
        <w:rPr>
          <w:i/>
        </w:rPr>
        <w:t>Letter in December 2010 sent by Centrelink to customers on NTER and not eligible for NIM</w:t>
      </w:r>
    </w:p>
    <w:p w:rsidR="00557394" w:rsidRPr="00AE7648" w:rsidRDefault="00CF545F" w:rsidP="00AE7648">
      <w:pPr>
        <w:pStyle w:val="attachtext"/>
        <w:pBdr>
          <w:top w:val="single" w:sz="4" w:space="1" w:color="auto"/>
          <w:left w:val="single" w:sz="4" w:space="4" w:color="auto"/>
          <w:bottom w:val="single" w:sz="4" w:space="1" w:color="auto"/>
          <w:right w:val="single" w:sz="4" w:space="4" w:color="auto"/>
        </w:pBdr>
        <w:spacing w:line="264" w:lineRule="auto"/>
        <w:rPr>
          <w:b/>
          <w:sz w:val="18"/>
          <w:szCs w:val="18"/>
        </w:rPr>
      </w:pPr>
      <w:r w:rsidRPr="00AE7648">
        <w:rPr>
          <w:b/>
          <w:sz w:val="18"/>
          <w:szCs w:val="18"/>
        </w:rPr>
        <w:t>You are no longer eligible to be income managed</w:t>
      </w:r>
    </w:p>
    <w:p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sz w:val="18"/>
          <w:szCs w:val="18"/>
        </w:rPr>
      </w:pPr>
      <w:r w:rsidRPr="00AE7648">
        <w:rPr>
          <w:sz w:val="18"/>
          <w:szCs w:val="18"/>
        </w:rPr>
        <w:t xml:space="preserve">The Northern Territory Emergency Response initiative, under which you have been income managed, is ending in your area. You are no longer eligible to be Income Managed under a compulsory measure. </w:t>
      </w:r>
    </w:p>
    <w:p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sz w:val="18"/>
          <w:szCs w:val="18"/>
        </w:rPr>
      </w:pPr>
      <w:r w:rsidRPr="00AE7648">
        <w:rPr>
          <w:sz w:val="18"/>
          <w:szCs w:val="18"/>
        </w:rPr>
        <w:t>This means Centrelink will no longer be paying for rent, food and other things you have told us about from your payments. Instead, all of your payments will be paid to you.</w:t>
      </w:r>
    </w:p>
    <w:p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sz w:val="18"/>
          <w:szCs w:val="18"/>
        </w:rPr>
      </w:pPr>
      <w:r w:rsidRPr="00AE7648">
        <w:rPr>
          <w:sz w:val="18"/>
          <w:szCs w:val="18"/>
        </w:rPr>
        <w:t>You will need to contact Centrelink to have your Income Management period stopped. If you have not contacted us by 30</w:t>
      </w:r>
      <w:r w:rsidRPr="00AE7648">
        <w:rPr>
          <w:sz w:val="18"/>
          <w:szCs w:val="18"/>
          <w:vertAlign w:val="superscript"/>
        </w:rPr>
        <w:t>th</w:t>
      </w:r>
      <w:r w:rsidRPr="00AE7648">
        <w:rPr>
          <w:sz w:val="18"/>
          <w:szCs w:val="18"/>
        </w:rPr>
        <w:t xml:space="preserve"> June 2011, we will automatically stop paying your expenses, and any money left in your Income Management account will be paid to you. </w:t>
      </w:r>
    </w:p>
    <w:p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b/>
          <w:sz w:val="18"/>
          <w:szCs w:val="18"/>
        </w:rPr>
      </w:pPr>
      <w:r w:rsidRPr="00AE7648">
        <w:rPr>
          <w:b/>
          <w:sz w:val="18"/>
          <w:szCs w:val="18"/>
        </w:rPr>
        <w:t>What this means for you</w:t>
      </w:r>
    </w:p>
    <w:p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b/>
          <w:sz w:val="18"/>
          <w:szCs w:val="18"/>
        </w:rPr>
      </w:pPr>
      <w:r w:rsidRPr="00AE7648">
        <w:rPr>
          <w:sz w:val="18"/>
          <w:szCs w:val="18"/>
        </w:rPr>
        <w:t>Centrelink would like to discuss with you what will happen when income management ends. We can also talk to you about the options that are available to you to assist you to pay for some of your regular expenses</w:t>
      </w:r>
      <w:r w:rsidRPr="00AE7648">
        <w:rPr>
          <w:b/>
          <w:sz w:val="18"/>
          <w:szCs w:val="18"/>
        </w:rPr>
        <w:t>.</w:t>
      </w:r>
    </w:p>
    <w:p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i/>
          <w:sz w:val="18"/>
          <w:szCs w:val="18"/>
        </w:rPr>
      </w:pPr>
      <w:r w:rsidRPr="00AE7648">
        <w:rPr>
          <w:i/>
          <w:sz w:val="18"/>
          <w:szCs w:val="18"/>
        </w:rPr>
        <w:t>** Option: If &lt;amount.1&gt; does not exist then print:</w:t>
      </w:r>
    </w:p>
    <w:p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sz w:val="18"/>
          <w:szCs w:val="18"/>
        </w:rPr>
      </w:pPr>
      <w:r w:rsidRPr="00AE7648">
        <w:rPr>
          <w:sz w:val="18"/>
          <w:szCs w:val="18"/>
        </w:rPr>
        <w:t>Please contact Centrelink to discuss how any money left in your Income Management Account will be paid to you.</w:t>
      </w:r>
    </w:p>
    <w:p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i/>
          <w:sz w:val="18"/>
          <w:szCs w:val="18"/>
        </w:rPr>
      </w:pPr>
      <w:r w:rsidRPr="00AE7648">
        <w:rPr>
          <w:i/>
          <w:sz w:val="18"/>
          <w:szCs w:val="18"/>
        </w:rPr>
        <w:t>Option end</w:t>
      </w:r>
    </w:p>
    <w:p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i/>
          <w:sz w:val="18"/>
          <w:szCs w:val="18"/>
        </w:rPr>
      </w:pPr>
      <w:r w:rsidRPr="00AE7648">
        <w:rPr>
          <w:i/>
          <w:sz w:val="18"/>
          <w:szCs w:val="18"/>
        </w:rPr>
        <w:t>** Option: If &lt;amount.1&gt; exists then print:</w:t>
      </w:r>
    </w:p>
    <w:p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sz w:val="18"/>
          <w:szCs w:val="18"/>
        </w:rPr>
      </w:pPr>
      <w:r w:rsidRPr="00AE7648">
        <w:rPr>
          <w:sz w:val="18"/>
          <w:szCs w:val="18"/>
        </w:rPr>
        <w:t>Your current Income Management Account balance is $</w:t>
      </w:r>
      <w:r w:rsidRPr="00AE7648">
        <w:rPr>
          <w:b/>
          <w:sz w:val="18"/>
          <w:szCs w:val="18"/>
        </w:rPr>
        <w:t>{amount.1}</w:t>
      </w:r>
      <w:r w:rsidRPr="00AE7648">
        <w:rPr>
          <w:sz w:val="18"/>
          <w:szCs w:val="18"/>
        </w:rPr>
        <w:t>.</w:t>
      </w:r>
    </w:p>
    <w:p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i/>
          <w:sz w:val="18"/>
          <w:szCs w:val="18"/>
        </w:rPr>
      </w:pPr>
      <w:r w:rsidRPr="00AE7648">
        <w:rPr>
          <w:i/>
          <w:sz w:val="18"/>
          <w:szCs w:val="18"/>
        </w:rPr>
        <w:t>Please note: Your balance may change because of any regular expenses that still need to be paid.</w:t>
      </w:r>
    </w:p>
    <w:p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sz w:val="18"/>
          <w:szCs w:val="18"/>
        </w:rPr>
      </w:pPr>
      <w:r w:rsidRPr="00AE7648">
        <w:rPr>
          <w:sz w:val="18"/>
          <w:szCs w:val="18"/>
        </w:rPr>
        <w:t>Option end</w:t>
      </w:r>
    </w:p>
    <w:p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rFonts w:ascii="Times New Roman" w:hAnsi="Times New Roman"/>
          <w:i/>
          <w:iCs/>
          <w:sz w:val="18"/>
          <w:szCs w:val="18"/>
        </w:rPr>
      </w:pPr>
      <w:r w:rsidRPr="00AE7648">
        <w:rPr>
          <w:rFonts w:ascii="Times New Roman" w:hAnsi="Times New Roman"/>
          <w:i/>
          <w:iCs/>
          <w:sz w:val="18"/>
          <w:szCs w:val="18"/>
        </w:rPr>
        <w:tab/>
        <w:t>** Option: If &lt;amount.2&gt; exists then print:</w:t>
      </w:r>
    </w:p>
    <w:p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rFonts w:ascii="Times New Roman" w:hAnsi="Times New Roman"/>
          <w:sz w:val="18"/>
          <w:szCs w:val="18"/>
        </w:rPr>
      </w:pPr>
      <w:r w:rsidRPr="00AE7648">
        <w:rPr>
          <w:rFonts w:ascii="Times New Roman" w:hAnsi="Times New Roman"/>
          <w:sz w:val="18"/>
          <w:szCs w:val="18"/>
        </w:rPr>
        <w:t>The money in your account will be paid to you in fortnightly instalments of $</w:t>
      </w:r>
      <w:r w:rsidRPr="00AE7648">
        <w:rPr>
          <w:rFonts w:ascii="Times New Roman" w:hAnsi="Times New Roman"/>
          <w:b/>
          <w:sz w:val="18"/>
          <w:szCs w:val="18"/>
        </w:rPr>
        <w:t>{amount.2}</w:t>
      </w:r>
      <w:r w:rsidRPr="00AE7648">
        <w:rPr>
          <w:rFonts w:ascii="Times New Roman" w:hAnsi="Times New Roman"/>
          <w:sz w:val="18"/>
          <w:szCs w:val="18"/>
        </w:rPr>
        <w:t>.</w:t>
      </w:r>
    </w:p>
    <w:p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rFonts w:ascii="Times New Roman" w:hAnsi="Times New Roman"/>
          <w:i/>
          <w:iCs/>
          <w:sz w:val="18"/>
          <w:szCs w:val="18"/>
        </w:rPr>
      </w:pPr>
      <w:r w:rsidRPr="00AE7648">
        <w:rPr>
          <w:rFonts w:ascii="Times New Roman" w:hAnsi="Times New Roman"/>
          <w:i/>
          <w:iCs/>
          <w:sz w:val="18"/>
          <w:szCs w:val="18"/>
        </w:rPr>
        <w:tab/>
        <w:t>Option end</w:t>
      </w:r>
    </w:p>
    <w:p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rFonts w:ascii="Times New Roman" w:hAnsi="Times New Roman"/>
          <w:i/>
          <w:iCs/>
          <w:sz w:val="18"/>
          <w:szCs w:val="18"/>
        </w:rPr>
      </w:pPr>
      <w:r w:rsidRPr="00AE7648">
        <w:rPr>
          <w:rFonts w:ascii="Times New Roman" w:hAnsi="Times New Roman"/>
          <w:i/>
          <w:iCs/>
          <w:sz w:val="18"/>
          <w:szCs w:val="18"/>
        </w:rPr>
        <w:tab/>
        <w:t>** Option: If &lt;amount.2&gt; does not exist and If &lt;date.2&gt; exists then print:</w:t>
      </w:r>
    </w:p>
    <w:p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sz w:val="18"/>
          <w:szCs w:val="18"/>
        </w:rPr>
      </w:pPr>
      <w:r w:rsidRPr="00AE7648">
        <w:rPr>
          <w:sz w:val="18"/>
          <w:szCs w:val="18"/>
        </w:rPr>
        <w:t>The money left in your account will be paid to you on {date.2}.</w:t>
      </w:r>
    </w:p>
    <w:p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rFonts w:ascii="Times New Roman" w:hAnsi="Times New Roman"/>
          <w:i/>
          <w:iCs/>
          <w:sz w:val="18"/>
          <w:szCs w:val="18"/>
        </w:rPr>
      </w:pPr>
      <w:r w:rsidRPr="00AE7648">
        <w:rPr>
          <w:rFonts w:ascii="Times New Roman" w:hAnsi="Times New Roman"/>
          <w:iCs/>
          <w:sz w:val="18"/>
          <w:szCs w:val="18"/>
        </w:rPr>
        <w:tab/>
      </w:r>
      <w:r w:rsidRPr="00AE7648">
        <w:rPr>
          <w:rFonts w:ascii="Times New Roman" w:hAnsi="Times New Roman"/>
          <w:i/>
          <w:iCs/>
          <w:sz w:val="18"/>
          <w:szCs w:val="18"/>
        </w:rPr>
        <w:t>Option end</w:t>
      </w:r>
    </w:p>
    <w:p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rFonts w:ascii="Times New Roman" w:hAnsi="Times New Roman"/>
          <w:i/>
          <w:iCs/>
          <w:sz w:val="18"/>
          <w:szCs w:val="18"/>
        </w:rPr>
      </w:pPr>
      <w:r w:rsidRPr="00AE7648">
        <w:rPr>
          <w:rFonts w:ascii="Times New Roman" w:hAnsi="Times New Roman"/>
          <w:i/>
          <w:iCs/>
          <w:sz w:val="18"/>
          <w:szCs w:val="18"/>
        </w:rPr>
        <w:tab/>
        <w:t>Option end</w:t>
      </w:r>
    </w:p>
    <w:p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sz w:val="18"/>
          <w:szCs w:val="18"/>
        </w:rPr>
      </w:pPr>
      <w:r w:rsidRPr="00AE7648">
        <w:rPr>
          <w:sz w:val="18"/>
          <w:szCs w:val="18"/>
        </w:rPr>
        <w:t>This letter is a notice of decision. It is also, including the back of this letter, an information notice given under social security law.</w:t>
      </w:r>
    </w:p>
    <w:p w:rsidR="00557394" w:rsidRPr="00AE7648" w:rsidRDefault="00557394" w:rsidP="00AE7648">
      <w:pPr>
        <w:pBdr>
          <w:top w:val="single" w:sz="4" w:space="1" w:color="auto"/>
          <w:left w:val="single" w:sz="4" w:space="4" w:color="auto"/>
          <w:bottom w:val="single" w:sz="4" w:space="1" w:color="auto"/>
          <w:right w:val="single" w:sz="4" w:space="4" w:color="auto"/>
        </w:pBdr>
        <w:spacing w:after="120" w:line="264" w:lineRule="auto"/>
        <w:ind w:left="0"/>
        <w:rPr>
          <w:rFonts w:ascii="Times New Roman" w:hAnsi="Times New Roman"/>
          <w:b/>
          <w:bCs/>
          <w:color w:val="000000"/>
          <w:sz w:val="18"/>
          <w:szCs w:val="18"/>
        </w:rPr>
      </w:pPr>
    </w:p>
    <w:p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sz w:val="18"/>
          <w:szCs w:val="18"/>
        </w:rPr>
      </w:pPr>
      <w:r w:rsidRPr="00AE7648">
        <w:rPr>
          <w:sz w:val="18"/>
          <w:szCs w:val="18"/>
        </w:rPr>
        <w:t>Voluntary Income Management</w:t>
      </w:r>
    </w:p>
    <w:p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sz w:val="18"/>
          <w:szCs w:val="18"/>
        </w:rPr>
      </w:pPr>
      <w:r w:rsidRPr="00AE7648">
        <w:rPr>
          <w:sz w:val="18"/>
          <w:szCs w:val="18"/>
        </w:rPr>
        <w:t>If you wish to continue with income management under the Voluntary Income Management initiative, you may contact Centrelink to</w:t>
      </w:r>
      <w:r w:rsidRPr="00AE7648">
        <w:rPr>
          <w:i/>
          <w:iCs/>
          <w:sz w:val="18"/>
          <w:szCs w:val="18"/>
        </w:rPr>
        <w:t xml:space="preserve"> </w:t>
      </w:r>
      <w:r w:rsidRPr="00AE7648">
        <w:rPr>
          <w:sz w:val="18"/>
          <w:szCs w:val="18"/>
        </w:rPr>
        <w:t>commence a new agreement. As part of this initiative, a $250 incentive payment may be paid for every consecutive 26 week period that you are voluntarily income managed.</w:t>
      </w:r>
    </w:p>
    <w:p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sz w:val="18"/>
          <w:szCs w:val="18"/>
        </w:rPr>
      </w:pPr>
      <w:r w:rsidRPr="00AE7648">
        <w:rPr>
          <w:sz w:val="18"/>
          <w:szCs w:val="18"/>
        </w:rPr>
        <w:t>Information you should know</w:t>
      </w:r>
    </w:p>
    <w:p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sz w:val="18"/>
          <w:szCs w:val="18"/>
        </w:rPr>
      </w:pPr>
      <w:r w:rsidRPr="00AE7648">
        <w:rPr>
          <w:sz w:val="18"/>
          <w:szCs w:val="18"/>
        </w:rPr>
        <w:t>There is important information on the back of this letter about your rights, privacy and how to comment on our service. This information sometimes changes so it is important to read it.</w:t>
      </w:r>
    </w:p>
    <w:p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sz w:val="18"/>
          <w:szCs w:val="18"/>
        </w:rPr>
      </w:pPr>
      <w:r w:rsidRPr="00AE7648">
        <w:rPr>
          <w:sz w:val="18"/>
          <w:szCs w:val="18"/>
        </w:rPr>
        <w:t>If you have any questions or would like more information, please call</w:t>
      </w:r>
      <w:r w:rsidR="003C23C7" w:rsidRPr="00AE7648">
        <w:rPr>
          <w:sz w:val="18"/>
          <w:szCs w:val="18"/>
        </w:rPr>
        <w:t xml:space="preserve"> ***</w:t>
      </w:r>
      <w:r w:rsidRPr="00AE7648">
        <w:rPr>
          <w:sz w:val="18"/>
          <w:szCs w:val="18"/>
        </w:rPr>
        <w:t xml:space="preserve">on </w:t>
      </w:r>
      <w:r w:rsidR="003C23C7" w:rsidRPr="00AE7648">
        <w:rPr>
          <w:sz w:val="18"/>
          <w:szCs w:val="18"/>
        </w:rPr>
        <w:t>****</w:t>
      </w:r>
      <w:r w:rsidRPr="00AE7648">
        <w:rPr>
          <w:sz w:val="18"/>
          <w:szCs w:val="18"/>
        </w:rPr>
        <w:t>.</w:t>
      </w:r>
    </w:p>
    <w:p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sz w:val="18"/>
          <w:szCs w:val="18"/>
        </w:rPr>
      </w:pPr>
      <w:r w:rsidRPr="00AE7648">
        <w:rPr>
          <w:sz w:val="18"/>
          <w:szCs w:val="18"/>
        </w:rPr>
        <w:t>Yours sincerely</w:t>
      </w:r>
    </w:p>
    <w:p w:rsidR="00557394" w:rsidRPr="005911E2" w:rsidRDefault="00557394" w:rsidP="009D6644">
      <w:pPr>
        <w:jc w:val="right"/>
        <w:rPr>
          <w:rFonts w:ascii="Times New Roman" w:hAnsi="Times New Roman"/>
          <w:b/>
          <w:sz w:val="24"/>
          <w:szCs w:val="24"/>
        </w:rPr>
      </w:pPr>
      <w:r w:rsidRPr="005911E2">
        <w:rPr>
          <w:rFonts w:ascii="Times New Roman" w:hAnsi="Times New Roman"/>
          <w:b/>
          <w:noProof/>
          <w:sz w:val="24"/>
          <w:szCs w:val="24"/>
          <w:lang w:eastAsia="en-AU" w:bidi="ar-SA"/>
        </w:rPr>
        <w:drawing>
          <wp:anchor distT="0" distB="0" distL="114300" distR="114300" simplePos="0" relativeHeight="251754496" behindDoc="0" locked="0" layoutInCell="1" allowOverlap="1">
            <wp:simplePos x="2170579" y="896471"/>
            <wp:positionH relativeFrom="margin">
              <wp:align>center</wp:align>
            </wp:positionH>
            <wp:positionV relativeFrom="margin">
              <wp:align>top</wp:align>
            </wp:positionV>
            <wp:extent cx="5028080" cy="7100047"/>
            <wp:effectExtent l="0" t="0" r="1270" b="5715"/>
            <wp:wrapSquare wrapText="bothSides"/>
            <wp:docPr id="15" name="Picture 4" descr="Appendix A. LETTERS SENT TO CENTRELINK CUSTOMERS ABOUT INCOME MANAGEMENT &#10;&#10;Letter in 2011 sent by Centrelink to customers on NTER and not eligible for NIM&#10;" title="Appendix A. LETTERS SENT TO CENTRELINK CUSTOMERS ABOUT INCOME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srcRect/>
                    <a:stretch>
                      <a:fillRect/>
                    </a:stretch>
                  </pic:blipFill>
                  <pic:spPr bwMode="auto">
                    <a:xfrm>
                      <a:off x="0" y="0"/>
                      <a:ext cx="5028080" cy="7100047"/>
                    </a:xfrm>
                    <a:prstGeom prst="rect">
                      <a:avLst/>
                    </a:prstGeom>
                    <a:noFill/>
                    <a:ln w="9525">
                      <a:noFill/>
                      <a:miter lim="800000"/>
                      <a:headEnd/>
                      <a:tailEnd/>
                    </a:ln>
                  </pic:spPr>
                </pic:pic>
              </a:graphicData>
            </a:graphic>
          </wp:anchor>
        </w:drawing>
      </w:r>
    </w:p>
    <w:p w:rsidR="00557394" w:rsidRPr="005911E2" w:rsidRDefault="00557394" w:rsidP="00557394">
      <w:pPr>
        <w:ind w:left="0"/>
        <w:rPr>
          <w:rFonts w:ascii="Times New Roman" w:hAnsi="Times New Roman"/>
          <w:b/>
          <w:sz w:val="24"/>
          <w:szCs w:val="24"/>
        </w:rPr>
      </w:pPr>
      <w:r w:rsidRPr="005911E2">
        <w:rPr>
          <w:rFonts w:ascii="Times New Roman" w:hAnsi="Times New Roman"/>
          <w:b/>
          <w:noProof/>
          <w:sz w:val="24"/>
          <w:szCs w:val="24"/>
          <w:lang w:eastAsia="en-AU" w:bidi="ar-SA"/>
        </w:rPr>
        <w:drawing>
          <wp:inline distT="0" distB="0" distL="0" distR="0">
            <wp:extent cx="5731510" cy="7870798"/>
            <wp:effectExtent l="0" t="0" r="2540" b="0"/>
            <wp:docPr id="16" name="Picture 1" descr="Appendix A. LETTERS SENT TO CENTRELINK CUSTOMERS ABOUT INCOME MANAGEMENT &#10;&#10;Letter from 2012 sent to customer advising that they have been assessed as a Long Term Welfare Payment Recipient and thier payment will now be subject to income management under a compulsory measure." title="Appendix A. LETTERS SENT TO CENTRELINK CUSTOMERS ABOUT INCOME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srcRect/>
                    <a:stretch>
                      <a:fillRect/>
                    </a:stretch>
                  </pic:blipFill>
                  <pic:spPr bwMode="auto">
                    <a:xfrm>
                      <a:off x="0" y="0"/>
                      <a:ext cx="5731510" cy="7870798"/>
                    </a:xfrm>
                    <a:prstGeom prst="rect">
                      <a:avLst/>
                    </a:prstGeom>
                    <a:noFill/>
                    <a:ln w="9525">
                      <a:noFill/>
                      <a:miter lim="800000"/>
                      <a:headEnd/>
                      <a:tailEnd/>
                    </a:ln>
                  </pic:spPr>
                </pic:pic>
              </a:graphicData>
            </a:graphic>
          </wp:inline>
        </w:drawing>
      </w:r>
      <w:r w:rsidRPr="005911E2">
        <w:rPr>
          <w:rFonts w:ascii="Times New Roman" w:hAnsi="Times New Roman"/>
          <w:b/>
          <w:noProof/>
          <w:sz w:val="24"/>
          <w:szCs w:val="24"/>
          <w:lang w:eastAsia="en-AU" w:bidi="ar-SA"/>
        </w:rPr>
        <w:drawing>
          <wp:inline distT="0" distB="0" distL="0" distR="0">
            <wp:extent cx="5731510" cy="5223136"/>
            <wp:effectExtent l="0" t="0" r="2540" b="0"/>
            <wp:docPr id="17" name="Picture 2" descr="Appendix A. LETTERS SENT TO CENTRELINK CUSTOMERS ABOUT INCOME MANAGEMENT &#10;&#10;Letter from 2012 sent to customer advising that they have been assessed as a Long Term Welfare Payment Recipient and thier payment will now be subject to income management under a compulsory measure." title="Appendix A. LETTERS SENT TO CENTRELINK CUSTOMERS ABOUT INCOME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srcRect/>
                    <a:stretch>
                      <a:fillRect/>
                    </a:stretch>
                  </pic:blipFill>
                  <pic:spPr bwMode="auto">
                    <a:xfrm>
                      <a:off x="0" y="0"/>
                      <a:ext cx="5731510" cy="5223136"/>
                    </a:xfrm>
                    <a:prstGeom prst="rect">
                      <a:avLst/>
                    </a:prstGeom>
                    <a:noFill/>
                    <a:ln w="9525">
                      <a:noFill/>
                      <a:miter lim="800000"/>
                      <a:headEnd/>
                      <a:tailEnd/>
                    </a:ln>
                  </pic:spPr>
                </pic:pic>
              </a:graphicData>
            </a:graphic>
          </wp:inline>
        </w:drawing>
      </w:r>
      <w:r w:rsidRPr="005911E2">
        <w:rPr>
          <w:rFonts w:ascii="Times New Roman" w:hAnsi="Times New Roman"/>
          <w:b/>
          <w:noProof/>
          <w:sz w:val="24"/>
          <w:szCs w:val="24"/>
          <w:lang w:eastAsia="en-AU" w:bidi="ar-SA"/>
        </w:rPr>
        <w:drawing>
          <wp:inline distT="0" distB="0" distL="0" distR="0">
            <wp:extent cx="5731510" cy="7093993"/>
            <wp:effectExtent l="0" t="0" r="2540" b="0"/>
            <wp:docPr id="18" name="Picture 3" descr="Appendix A. LETTERS SENT TO CENTRELINK CUSTOMERS ABOUT INCOME MANAGEMENT &#10;&#10;Letter from 2011 advising customer that they have been assessed as a Vulnerable Welfare Payment Recipient." title="Appendix A. LETTERS SENT TO CENTRELINK CUSTOMERS ABOUT INCOME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print"/>
                    <a:srcRect/>
                    <a:stretch>
                      <a:fillRect/>
                    </a:stretch>
                  </pic:blipFill>
                  <pic:spPr bwMode="auto">
                    <a:xfrm>
                      <a:off x="0" y="0"/>
                      <a:ext cx="5731510" cy="7093993"/>
                    </a:xfrm>
                    <a:prstGeom prst="rect">
                      <a:avLst/>
                    </a:prstGeom>
                    <a:noFill/>
                    <a:ln w="9525">
                      <a:noFill/>
                      <a:miter lim="800000"/>
                      <a:headEnd/>
                      <a:tailEnd/>
                    </a:ln>
                  </pic:spPr>
                </pic:pic>
              </a:graphicData>
            </a:graphic>
          </wp:inline>
        </w:drawing>
      </w:r>
      <w:r w:rsidRPr="005911E2">
        <w:rPr>
          <w:rFonts w:ascii="Times New Roman" w:hAnsi="Times New Roman"/>
          <w:b/>
          <w:noProof/>
          <w:sz w:val="24"/>
          <w:szCs w:val="24"/>
          <w:lang w:eastAsia="en-AU" w:bidi="ar-SA"/>
        </w:rPr>
        <w:drawing>
          <wp:inline distT="0" distB="0" distL="0" distR="0">
            <wp:extent cx="5731510" cy="7963003"/>
            <wp:effectExtent l="0" t="0" r="2540" b="0"/>
            <wp:docPr id="19" name="Picture 4" descr="Appendix A. LETTERS SENT TO CENTRELINK CUSTOMERS ABOUT INCOME MANAGEMENT &#10;&#10;Letter from 2012 sent to customer advising that they have been assessed as a Vulnerable Welfare Payment Recipient and thier payment will now be subject to income management under a compulsory measure." title="Appendix A. LETTERS SENT TO CENTRELINK CUSTOMERS ABOUT INCOME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cstate="print"/>
                    <a:srcRect/>
                    <a:stretch>
                      <a:fillRect/>
                    </a:stretch>
                  </pic:blipFill>
                  <pic:spPr bwMode="auto">
                    <a:xfrm>
                      <a:off x="0" y="0"/>
                      <a:ext cx="5731510" cy="7963003"/>
                    </a:xfrm>
                    <a:prstGeom prst="rect">
                      <a:avLst/>
                    </a:prstGeom>
                    <a:noFill/>
                    <a:ln w="9525">
                      <a:noFill/>
                      <a:miter lim="800000"/>
                      <a:headEnd/>
                      <a:tailEnd/>
                    </a:ln>
                  </pic:spPr>
                </pic:pic>
              </a:graphicData>
            </a:graphic>
          </wp:inline>
        </w:drawing>
      </w:r>
      <w:r w:rsidRPr="005911E2">
        <w:rPr>
          <w:rFonts w:ascii="Times New Roman" w:hAnsi="Times New Roman"/>
          <w:b/>
          <w:noProof/>
          <w:sz w:val="24"/>
          <w:szCs w:val="24"/>
          <w:lang w:eastAsia="en-AU" w:bidi="ar-SA"/>
        </w:rPr>
        <w:drawing>
          <wp:inline distT="0" distB="0" distL="0" distR="0">
            <wp:extent cx="5622120" cy="3911040"/>
            <wp:effectExtent l="0" t="0" r="0" b="0"/>
            <wp:docPr id="20" name="Picture 5" descr="Appendix A. LETTERS SENT TO CENTRELINK CUSTOMERS ABOUT INCOME MANAGEMENT &#10;&#10;Letter from 2012 sent to customer advising that they have been assessed as a Vulnerable Welfare Payment Recipient and thier payment will now be subject to income management under a compulsory measure." title="Appendix A. LETTERS SENT TO CENTRELINK CUSTOMERS ABOUT INCOME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cstate="print"/>
                    <a:srcRect/>
                    <a:stretch>
                      <a:fillRect/>
                    </a:stretch>
                  </pic:blipFill>
                  <pic:spPr bwMode="auto">
                    <a:xfrm>
                      <a:off x="0" y="0"/>
                      <a:ext cx="5622120" cy="3911040"/>
                    </a:xfrm>
                    <a:prstGeom prst="rect">
                      <a:avLst/>
                    </a:prstGeom>
                    <a:noFill/>
                    <a:ln w="9525">
                      <a:noFill/>
                      <a:miter lim="800000"/>
                      <a:headEnd/>
                      <a:tailEnd/>
                    </a:ln>
                  </pic:spPr>
                </pic:pic>
              </a:graphicData>
            </a:graphic>
          </wp:inline>
        </w:drawing>
      </w:r>
      <w:r w:rsidR="00D5352E">
        <w:rPr>
          <w:rFonts w:ascii="Times New Roman" w:hAnsi="Times New Roman"/>
          <w:b/>
          <w:noProof/>
          <w:sz w:val="24"/>
          <w:szCs w:val="24"/>
          <w:lang w:eastAsia="en-AU" w:bidi="ar-SA"/>
        </w:rPr>
        <w:drawing>
          <wp:inline distT="0" distB="0" distL="0" distR="0">
            <wp:extent cx="5738400" cy="6602400"/>
            <wp:effectExtent l="0" t="0" r="0" b="8255"/>
            <wp:docPr id="2" name="Picture 2" descr="Appendix A. LETTERS SENT TO CENTRELINK CUSTOMERS ABOUT INCOME MANAGEMENT &#10;&#10;Letter from 2012 sent to customer advising that they have been assessed as a Long Term Welfare Payment Recipient and thier payment will now be subject to income management under a compulsory measure." title="Appendix A. Letters sent to Centrelink customers about incom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pendix A. LETTERS SENT TO CENTRELINK CUSTOMERS ABOUT INCOME MANAGEMENT &#10;&#10;Letter from 2012 sent to customer advising that they have been assessed as a Long Term Welfare Payment Recipient and thier payment will now be subject to income management under a compulsory measur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38400" cy="6602400"/>
                    </a:xfrm>
                    <a:prstGeom prst="rect">
                      <a:avLst/>
                    </a:prstGeom>
                    <a:noFill/>
                  </pic:spPr>
                </pic:pic>
              </a:graphicData>
            </a:graphic>
          </wp:inline>
        </w:drawing>
      </w:r>
      <w:r w:rsidRPr="005911E2">
        <w:rPr>
          <w:rFonts w:ascii="Times New Roman" w:hAnsi="Times New Roman"/>
          <w:b/>
          <w:noProof/>
          <w:sz w:val="24"/>
          <w:szCs w:val="24"/>
          <w:lang w:eastAsia="en-AU" w:bidi="ar-SA"/>
        </w:rPr>
        <w:drawing>
          <wp:inline distT="0" distB="0" distL="0" distR="0" wp14:anchorId="4FCD3043" wp14:editId="0DC15994">
            <wp:extent cx="5731510" cy="6083677"/>
            <wp:effectExtent l="0" t="0" r="2540" b="0"/>
            <wp:docPr id="22" name="Picture 7" descr="Appendix A. LETTERS SENT TO CENTRELINK CUSTOMERS ABOUT INCOME MANAGEMENT &#10;&#10;Letter from 2012 sent to customer advising that they have been assessed as a Long Term Welfare Payment Recipient and thier payment will now be subject to income management under a compulsory measure." title="Appendix A. LETTERS SENT TO CENTRELINK CUSTOMERS ABOUT INCOME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cstate="print"/>
                    <a:srcRect/>
                    <a:stretch>
                      <a:fillRect/>
                    </a:stretch>
                  </pic:blipFill>
                  <pic:spPr bwMode="auto">
                    <a:xfrm>
                      <a:off x="0" y="0"/>
                      <a:ext cx="5731510" cy="6083677"/>
                    </a:xfrm>
                    <a:prstGeom prst="rect">
                      <a:avLst/>
                    </a:prstGeom>
                    <a:noFill/>
                    <a:ln w="9525">
                      <a:noFill/>
                      <a:miter lim="800000"/>
                      <a:headEnd/>
                      <a:tailEnd/>
                    </a:ln>
                  </pic:spPr>
                </pic:pic>
              </a:graphicData>
            </a:graphic>
          </wp:inline>
        </w:drawing>
      </w:r>
    </w:p>
    <w:p w:rsidR="003B1A35" w:rsidRPr="005911E2" w:rsidRDefault="003B1A35" w:rsidP="00606AD5">
      <w:pPr>
        <w:pStyle w:val="BodyText"/>
        <w:rPr>
          <w:lang w:eastAsia="en-US"/>
        </w:rPr>
        <w:sectPr w:rsidR="003B1A35" w:rsidRPr="005911E2" w:rsidSect="00E24340">
          <w:pgSz w:w="11906" w:h="16838" w:code="9"/>
          <w:pgMar w:top="1418" w:right="1797" w:bottom="1418" w:left="1230" w:header="567" w:footer="284" w:gutter="0"/>
          <w:cols w:space="708"/>
          <w:docGrid w:linePitch="360"/>
        </w:sectPr>
      </w:pPr>
    </w:p>
    <w:p w:rsidR="0042319F" w:rsidRPr="005911E2" w:rsidRDefault="00CF545F" w:rsidP="003E2B11">
      <w:pPr>
        <w:pStyle w:val="attachtitle"/>
      </w:pPr>
      <w:bookmarkStart w:id="1252" w:name="_Ref321240797"/>
      <w:bookmarkStart w:id="1253" w:name="_Toc328601560"/>
      <w:bookmarkStart w:id="1254" w:name="_Toc329870440"/>
      <w:bookmarkStart w:id="1255" w:name="_Toc335915826"/>
      <w:r w:rsidRPr="005911E2">
        <w:t>LSNIM</w:t>
      </w:r>
      <w:r w:rsidR="0042319F" w:rsidRPr="005911E2">
        <w:t xml:space="preserve"> Wave 1: Summary Report</w:t>
      </w:r>
      <w:bookmarkEnd w:id="1252"/>
      <w:bookmarkEnd w:id="1253"/>
      <w:bookmarkEnd w:id="1254"/>
      <w:bookmarkEnd w:id="1255"/>
    </w:p>
    <w:p w:rsidR="0042319F" w:rsidRPr="005911E2" w:rsidRDefault="008D5001" w:rsidP="0042319F">
      <w:pPr>
        <w:pStyle w:val="attachtext"/>
      </w:pPr>
      <w:r>
        <w:t>See separate document.</w:t>
      </w:r>
    </w:p>
    <w:p w:rsidR="00541D4E" w:rsidRDefault="00541D4E">
      <w:pPr>
        <w:spacing w:after="0" w:line="240" w:lineRule="auto"/>
        <w:ind w:left="0"/>
        <w:jc w:val="left"/>
      </w:pPr>
      <w:r>
        <w:br w:type="page"/>
      </w:r>
    </w:p>
    <w:p w:rsidR="00541D4E" w:rsidRDefault="008D5001">
      <w:pPr>
        <w:spacing w:after="0" w:line="240" w:lineRule="auto"/>
        <w:ind w:left="0"/>
        <w:jc w:val="left"/>
      </w:pPr>
      <w:r>
        <w:t>Page intentionally left blank</w:t>
      </w:r>
      <w:r w:rsidR="00896BB0">
        <w:t xml:space="preserve"> </w:t>
      </w:r>
      <w:r w:rsidR="00541D4E">
        <w:br w:type="page"/>
      </w:r>
    </w:p>
    <w:p w:rsidR="008A04EB" w:rsidRPr="005911E2" w:rsidRDefault="008D5001">
      <w:pPr>
        <w:spacing w:after="0" w:line="240" w:lineRule="auto"/>
        <w:ind w:left="0"/>
        <w:jc w:val="left"/>
        <w:rPr>
          <w:bCs/>
          <w:color w:val="000000"/>
          <w:szCs w:val="24"/>
        </w:rPr>
      </w:pPr>
      <w:r>
        <w:t xml:space="preserve">Page intentionally left blank </w:t>
      </w:r>
      <w:r w:rsidR="008A04EB" w:rsidRPr="005911E2">
        <w:br w:type="page"/>
      </w:r>
    </w:p>
    <w:p w:rsidR="008A04EB" w:rsidRPr="005911E2" w:rsidRDefault="008D5001">
      <w:pPr>
        <w:spacing w:after="0" w:line="240" w:lineRule="auto"/>
        <w:ind w:left="0"/>
        <w:jc w:val="left"/>
        <w:rPr>
          <w:bCs/>
          <w:color w:val="000000"/>
          <w:szCs w:val="24"/>
        </w:rPr>
      </w:pPr>
      <w:r>
        <w:t xml:space="preserve">Page intentionally left blank </w:t>
      </w:r>
      <w:r w:rsidR="008A04EB" w:rsidRPr="005911E2">
        <w:br w:type="page"/>
      </w:r>
    </w:p>
    <w:p w:rsidR="008A04EB" w:rsidRPr="005911E2" w:rsidRDefault="008D5001">
      <w:pPr>
        <w:spacing w:after="0" w:line="240" w:lineRule="auto"/>
        <w:ind w:left="0"/>
        <w:jc w:val="left"/>
        <w:rPr>
          <w:bCs/>
          <w:color w:val="000000"/>
          <w:szCs w:val="24"/>
        </w:rPr>
      </w:pPr>
      <w:r>
        <w:t xml:space="preserve">Page intentionally left blank </w:t>
      </w:r>
      <w:r w:rsidR="008A04EB" w:rsidRPr="005911E2">
        <w:br w:type="page"/>
      </w:r>
    </w:p>
    <w:p w:rsidR="008A04EB" w:rsidRPr="005911E2" w:rsidRDefault="008D5001">
      <w:pPr>
        <w:spacing w:after="0" w:line="240" w:lineRule="auto"/>
        <w:ind w:left="0"/>
        <w:jc w:val="left"/>
        <w:rPr>
          <w:bCs/>
          <w:color w:val="000000"/>
          <w:szCs w:val="24"/>
        </w:rPr>
      </w:pPr>
      <w:r>
        <w:t xml:space="preserve">Page intentionally left blank </w:t>
      </w:r>
      <w:r w:rsidR="008A04EB" w:rsidRPr="005911E2">
        <w:br w:type="page"/>
      </w:r>
    </w:p>
    <w:p w:rsidR="008A04EB" w:rsidRPr="005911E2" w:rsidRDefault="008D5001">
      <w:pPr>
        <w:spacing w:after="0" w:line="240" w:lineRule="auto"/>
        <w:ind w:left="0"/>
        <w:jc w:val="left"/>
        <w:rPr>
          <w:bCs/>
          <w:color w:val="000000"/>
          <w:szCs w:val="24"/>
        </w:rPr>
      </w:pPr>
      <w:r>
        <w:t xml:space="preserve">Page intentionally left blank </w:t>
      </w:r>
      <w:r w:rsidR="008A04EB" w:rsidRPr="005911E2">
        <w:br w:type="page"/>
      </w:r>
    </w:p>
    <w:p w:rsidR="008A04EB" w:rsidRPr="005911E2" w:rsidRDefault="008D5001">
      <w:pPr>
        <w:spacing w:after="0" w:line="240" w:lineRule="auto"/>
        <w:ind w:left="0"/>
        <w:jc w:val="left"/>
        <w:rPr>
          <w:bCs/>
          <w:color w:val="000000"/>
          <w:szCs w:val="24"/>
        </w:rPr>
      </w:pPr>
      <w:r>
        <w:t xml:space="preserve">Page intentionally left blank </w:t>
      </w:r>
      <w:r w:rsidR="008A04EB" w:rsidRPr="005911E2">
        <w:br w:type="page"/>
      </w:r>
    </w:p>
    <w:p w:rsidR="008A04EB" w:rsidRPr="005911E2" w:rsidRDefault="008D5001">
      <w:pPr>
        <w:spacing w:after="0" w:line="240" w:lineRule="auto"/>
        <w:ind w:left="0"/>
        <w:jc w:val="left"/>
        <w:rPr>
          <w:bCs/>
          <w:color w:val="000000"/>
          <w:szCs w:val="24"/>
        </w:rPr>
      </w:pPr>
      <w:r>
        <w:t xml:space="preserve">Page intentionally left blank </w:t>
      </w:r>
      <w:r w:rsidR="008A04EB" w:rsidRPr="005911E2">
        <w:br w:type="page"/>
      </w:r>
    </w:p>
    <w:p w:rsidR="008A04EB" w:rsidRPr="005911E2" w:rsidRDefault="008D5001">
      <w:pPr>
        <w:spacing w:after="0" w:line="240" w:lineRule="auto"/>
        <w:ind w:left="0"/>
        <w:jc w:val="left"/>
        <w:rPr>
          <w:bCs/>
          <w:color w:val="000000"/>
          <w:szCs w:val="24"/>
        </w:rPr>
      </w:pPr>
      <w:r>
        <w:t xml:space="preserve">Page intentionally left blank </w:t>
      </w:r>
      <w:r w:rsidR="008A04EB" w:rsidRPr="005911E2">
        <w:br w:type="page"/>
      </w:r>
    </w:p>
    <w:p w:rsidR="008A04EB" w:rsidRPr="005911E2" w:rsidRDefault="008D5001">
      <w:pPr>
        <w:spacing w:after="0" w:line="240" w:lineRule="auto"/>
        <w:ind w:left="0"/>
        <w:jc w:val="left"/>
        <w:rPr>
          <w:bCs/>
          <w:color w:val="000000"/>
          <w:szCs w:val="24"/>
        </w:rPr>
      </w:pPr>
      <w:r>
        <w:t xml:space="preserve">Page intentionally left blank </w:t>
      </w:r>
      <w:r w:rsidR="008A04EB" w:rsidRPr="005911E2">
        <w:br w:type="page"/>
      </w:r>
    </w:p>
    <w:p w:rsidR="008A04EB" w:rsidRPr="005911E2" w:rsidRDefault="008D5001">
      <w:pPr>
        <w:spacing w:after="0" w:line="240" w:lineRule="auto"/>
        <w:ind w:left="0"/>
        <w:jc w:val="left"/>
        <w:rPr>
          <w:bCs/>
          <w:color w:val="000000"/>
          <w:szCs w:val="24"/>
        </w:rPr>
      </w:pPr>
      <w:r>
        <w:t xml:space="preserve">Page intentionally left blank </w:t>
      </w:r>
      <w:r w:rsidR="008A04EB" w:rsidRPr="005911E2">
        <w:br w:type="page"/>
      </w:r>
    </w:p>
    <w:p w:rsidR="008A04EB" w:rsidRPr="005911E2" w:rsidRDefault="008D5001">
      <w:pPr>
        <w:spacing w:after="0" w:line="240" w:lineRule="auto"/>
        <w:ind w:left="0"/>
        <w:jc w:val="left"/>
        <w:rPr>
          <w:bCs/>
          <w:color w:val="000000"/>
          <w:szCs w:val="24"/>
        </w:rPr>
      </w:pPr>
      <w:r>
        <w:t>Page intentionally left blank</w:t>
      </w:r>
    </w:p>
    <w:p w:rsidR="0042319F" w:rsidRPr="005911E2" w:rsidRDefault="0042319F" w:rsidP="0042319F">
      <w:pPr>
        <w:pStyle w:val="attachtext"/>
        <w:sectPr w:rsidR="0042319F" w:rsidRPr="005911E2" w:rsidSect="00E24340">
          <w:footerReference w:type="default" r:id="rId110"/>
          <w:pgSz w:w="11906" w:h="16838" w:code="9"/>
          <w:pgMar w:top="1440" w:right="1797" w:bottom="1418" w:left="1230" w:header="567" w:footer="284" w:gutter="0"/>
          <w:cols w:space="708"/>
          <w:docGrid w:linePitch="360"/>
        </w:sectPr>
      </w:pPr>
    </w:p>
    <w:p w:rsidR="0042319F" w:rsidRPr="005911E2" w:rsidRDefault="00CD2AFC" w:rsidP="003E2B11">
      <w:pPr>
        <w:pStyle w:val="attachtitle"/>
      </w:pPr>
      <w:bookmarkStart w:id="1256" w:name="_Ref321240665"/>
      <w:bookmarkStart w:id="1257" w:name="_Toc328601561"/>
      <w:bookmarkStart w:id="1258" w:name="_Toc329870441"/>
      <w:bookmarkStart w:id="1259" w:name="_Toc335915827"/>
      <w:r>
        <w:t xml:space="preserve">LSNIM Survey </w:t>
      </w:r>
      <w:bookmarkEnd w:id="1256"/>
      <w:bookmarkEnd w:id="1257"/>
      <w:bookmarkEnd w:id="1258"/>
      <w:r>
        <w:t>Instrument</w:t>
      </w:r>
      <w:bookmarkEnd w:id="1259"/>
    </w:p>
    <w:p w:rsidR="00C34821" w:rsidRPr="005911E2" w:rsidRDefault="00C34821" w:rsidP="008D5001">
      <w:pPr>
        <w:pStyle w:val="BodyText"/>
        <w:rPr>
          <w:color w:val="000000"/>
          <w:szCs w:val="24"/>
        </w:rPr>
      </w:pPr>
      <w:r w:rsidRPr="005911E2">
        <w:br w:type="page"/>
      </w:r>
    </w:p>
    <w:p w:rsidR="008D5001" w:rsidRPr="005911E2" w:rsidRDefault="008D5001" w:rsidP="008D5001">
      <w:pPr>
        <w:pStyle w:val="attachtext"/>
      </w:pPr>
      <w:r>
        <w:t>See separate document.</w:t>
      </w:r>
    </w:p>
    <w:p w:rsidR="00C34821" w:rsidRPr="005911E2" w:rsidRDefault="00C34821">
      <w:pPr>
        <w:spacing w:after="0" w:line="240" w:lineRule="auto"/>
        <w:ind w:left="0"/>
        <w:jc w:val="left"/>
        <w:rPr>
          <w:bCs/>
          <w:color w:val="000000"/>
          <w:szCs w:val="24"/>
        </w:rPr>
      </w:pPr>
      <w:r w:rsidRPr="005911E2">
        <w:br w:type="page"/>
      </w:r>
    </w:p>
    <w:p w:rsidR="00C34821" w:rsidRPr="005911E2" w:rsidRDefault="008D5001">
      <w:pPr>
        <w:spacing w:after="0" w:line="240" w:lineRule="auto"/>
        <w:ind w:left="0"/>
        <w:jc w:val="left"/>
        <w:rPr>
          <w:bCs/>
          <w:color w:val="000000"/>
          <w:szCs w:val="24"/>
        </w:rPr>
      </w:pPr>
      <w:r>
        <w:t xml:space="preserve">Page intentionally left blank </w:t>
      </w:r>
      <w:r w:rsidR="00C34821" w:rsidRPr="005911E2">
        <w:br w:type="page"/>
      </w:r>
    </w:p>
    <w:p w:rsidR="00C34821" w:rsidRPr="005911E2" w:rsidRDefault="008D5001">
      <w:pPr>
        <w:spacing w:after="0" w:line="240" w:lineRule="auto"/>
        <w:ind w:left="0"/>
        <w:jc w:val="left"/>
        <w:rPr>
          <w:bCs/>
          <w:color w:val="000000"/>
          <w:szCs w:val="24"/>
        </w:rPr>
      </w:pPr>
      <w:r>
        <w:t xml:space="preserve">Page intentionally left blank </w:t>
      </w:r>
      <w:r w:rsidR="00C34821" w:rsidRPr="005911E2">
        <w:br w:type="page"/>
      </w:r>
    </w:p>
    <w:p w:rsidR="00C34821" w:rsidRPr="005911E2" w:rsidRDefault="008D5001">
      <w:pPr>
        <w:spacing w:after="0" w:line="240" w:lineRule="auto"/>
        <w:ind w:left="0"/>
        <w:jc w:val="left"/>
        <w:rPr>
          <w:bCs/>
          <w:color w:val="000000"/>
          <w:szCs w:val="24"/>
        </w:rPr>
      </w:pPr>
      <w:r>
        <w:t xml:space="preserve">Page intentionally left blank </w:t>
      </w:r>
      <w:r w:rsidR="00C34821" w:rsidRPr="005911E2">
        <w:br w:type="page"/>
      </w:r>
    </w:p>
    <w:p w:rsidR="00C34821" w:rsidRPr="005911E2" w:rsidRDefault="008D5001">
      <w:pPr>
        <w:spacing w:after="0" w:line="240" w:lineRule="auto"/>
        <w:ind w:left="0"/>
        <w:jc w:val="left"/>
        <w:rPr>
          <w:bCs/>
          <w:color w:val="000000"/>
          <w:szCs w:val="24"/>
        </w:rPr>
      </w:pPr>
      <w:r>
        <w:t xml:space="preserve">Page intentionally left blank </w:t>
      </w:r>
      <w:r w:rsidR="00C34821" w:rsidRPr="005911E2">
        <w:br w:type="page"/>
      </w:r>
    </w:p>
    <w:p w:rsidR="00C34821" w:rsidRPr="005911E2" w:rsidRDefault="008D5001">
      <w:pPr>
        <w:spacing w:after="0" w:line="240" w:lineRule="auto"/>
        <w:ind w:left="0"/>
        <w:jc w:val="left"/>
        <w:rPr>
          <w:bCs/>
          <w:color w:val="000000"/>
          <w:szCs w:val="24"/>
        </w:rPr>
      </w:pPr>
      <w:r>
        <w:t xml:space="preserve">Page intentionally left blank </w:t>
      </w:r>
      <w:r w:rsidR="00C34821" w:rsidRPr="005911E2">
        <w:br w:type="page"/>
      </w:r>
    </w:p>
    <w:p w:rsidR="00C34821" w:rsidRPr="005911E2" w:rsidRDefault="008D5001">
      <w:pPr>
        <w:spacing w:after="0" w:line="240" w:lineRule="auto"/>
        <w:ind w:left="0"/>
        <w:jc w:val="left"/>
        <w:rPr>
          <w:bCs/>
          <w:color w:val="000000"/>
          <w:szCs w:val="24"/>
        </w:rPr>
      </w:pPr>
      <w:r>
        <w:t xml:space="preserve">Page intentionally left blank </w:t>
      </w:r>
      <w:r w:rsidR="00C34821" w:rsidRPr="005911E2">
        <w:br w:type="page"/>
      </w:r>
    </w:p>
    <w:p w:rsidR="00C34821" w:rsidRPr="005911E2" w:rsidRDefault="008D5001">
      <w:pPr>
        <w:spacing w:after="0" w:line="240" w:lineRule="auto"/>
        <w:ind w:left="0"/>
        <w:jc w:val="left"/>
        <w:rPr>
          <w:bCs/>
          <w:color w:val="000000"/>
          <w:szCs w:val="24"/>
        </w:rPr>
      </w:pPr>
      <w:r>
        <w:t xml:space="preserve">Page intentionally left blank </w:t>
      </w:r>
      <w:r w:rsidR="00C34821" w:rsidRPr="005911E2">
        <w:br w:type="page"/>
      </w:r>
    </w:p>
    <w:p w:rsidR="00C34821" w:rsidRPr="005911E2" w:rsidRDefault="008D5001">
      <w:pPr>
        <w:spacing w:after="0" w:line="240" w:lineRule="auto"/>
        <w:ind w:left="0"/>
        <w:jc w:val="left"/>
        <w:rPr>
          <w:bCs/>
          <w:color w:val="000000"/>
          <w:szCs w:val="24"/>
        </w:rPr>
      </w:pPr>
      <w:r>
        <w:t xml:space="preserve">Page intentionally left blank </w:t>
      </w:r>
      <w:r w:rsidR="00C34821" w:rsidRPr="005911E2">
        <w:br w:type="page"/>
      </w:r>
    </w:p>
    <w:p w:rsidR="00C34821" w:rsidRPr="005911E2" w:rsidRDefault="008D5001">
      <w:pPr>
        <w:spacing w:after="0" w:line="240" w:lineRule="auto"/>
        <w:ind w:left="0"/>
        <w:jc w:val="left"/>
        <w:rPr>
          <w:bCs/>
          <w:color w:val="000000"/>
          <w:szCs w:val="24"/>
        </w:rPr>
      </w:pPr>
      <w:r>
        <w:t xml:space="preserve">Page intentionally left blank </w:t>
      </w:r>
      <w:r w:rsidR="00C34821" w:rsidRPr="005911E2">
        <w:br w:type="page"/>
      </w:r>
    </w:p>
    <w:p w:rsidR="00C34821" w:rsidRPr="005911E2" w:rsidRDefault="008D5001">
      <w:pPr>
        <w:spacing w:after="0" w:line="240" w:lineRule="auto"/>
        <w:ind w:left="0"/>
        <w:jc w:val="left"/>
        <w:rPr>
          <w:bCs/>
          <w:color w:val="000000"/>
          <w:szCs w:val="24"/>
        </w:rPr>
      </w:pPr>
      <w:r>
        <w:t xml:space="preserve">Page intentionally left blank </w:t>
      </w:r>
      <w:r w:rsidR="00C34821" w:rsidRPr="005911E2">
        <w:br w:type="page"/>
      </w:r>
    </w:p>
    <w:p w:rsidR="00B268BA" w:rsidRDefault="008D5001">
      <w:pPr>
        <w:spacing w:after="0" w:line="240" w:lineRule="auto"/>
        <w:ind w:left="0"/>
        <w:jc w:val="left"/>
      </w:pPr>
      <w:r>
        <w:t xml:space="preserve">Page intentionally left blank </w:t>
      </w:r>
      <w:r w:rsidR="00D219D9" w:rsidRPr="005911E2">
        <w:br w:type="page"/>
      </w:r>
      <w:r>
        <w:t xml:space="preserve">Page intentionally left blank </w:t>
      </w:r>
      <w:r w:rsidR="00B268BA">
        <w:br w:type="page"/>
      </w:r>
      <w:r>
        <w:t>Page intentionally left blank</w:t>
      </w:r>
    </w:p>
    <w:p w:rsidR="00B268BA" w:rsidRDefault="00B268BA">
      <w:pPr>
        <w:spacing w:after="0" w:line="240" w:lineRule="auto"/>
        <w:ind w:left="0"/>
        <w:jc w:val="left"/>
      </w:pPr>
      <w:r>
        <w:br w:type="page"/>
      </w:r>
    </w:p>
    <w:p w:rsidR="00B268BA" w:rsidRDefault="008D5001">
      <w:pPr>
        <w:spacing w:after="0" w:line="240" w:lineRule="auto"/>
        <w:ind w:left="0"/>
        <w:jc w:val="left"/>
      </w:pPr>
      <w:r>
        <w:t xml:space="preserve">Page intentionally left blank </w:t>
      </w:r>
      <w:r w:rsidR="00B268BA">
        <w:br w:type="page"/>
      </w:r>
    </w:p>
    <w:p w:rsidR="00D219D9" w:rsidRDefault="00D219D9">
      <w:pPr>
        <w:spacing w:after="0" w:line="240" w:lineRule="auto"/>
        <w:ind w:left="0"/>
        <w:jc w:val="left"/>
      </w:pPr>
    </w:p>
    <w:p w:rsidR="00D219D9" w:rsidRPr="005911E2" w:rsidRDefault="00D219D9" w:rsidP="003E2B11">
      <w:pPr>
        <w:pStyle w:val="attachtitle"/>
      </w:pPr>
      <w:bookmarkStart w:id="1260" w:name="_Toc328601562"/>
      <w:bookmarkStart w:id="1261" w:name="_Toc329870442"/>
      <w:bookmarkStart w:id="1262" w:name="_Toc335915828"/>
      <w:r w:rsidRPr="005911E2">
        <w:t>Qualitative Methodology</w:t>
      </w:r>
      <w:bookmarkEnd w:id="1260"/>
      <w:bookmarkEnd w:id="1261"/>
      <w:bookmarkEnd w:id="1262"/>
    </w:p>
    <w:p w:rsidR="00D219D9" w:rsidRPr="005911E2" w:rsidRDefault="0098343F" w:rsidP="00D219D9">
      <w:pPr>
        <w:pStyle w:val="attachtext"/>
      </w:pPr>
      <w:bookmarkStart w:id="1263" w:name="_Toc284588091"/>
      <w:r>
        <w:t>In d</w:t>
      </w:r>
      <w:r w:rsidR="00D219D9" w:rsidRPr="005911E2">
        <w:t xml:space="preserve">epth Interviews with </w:t>
      </w:r>
      <w:r w:rsidR="00F878E4">
        <w:t>income management</w:t>
      </w:r>
      <w:r w:rsidR="00D219D9" w:rsidRPr="005911E2">
        <w:t xml:space="preserve"> participants</w:t>
      </w:r>
      <w:bookmarkEnd w:id="1263"/>
      <w:r w:rsidR="00D219D9" w:rsidRPr="005911E2">
        <w:t xml:space="preserve"> – Wave 1 (2011/12)</w:t>
      </w:r>
    </w:p>
    <w:p w:rsidR="00D219D9" w:rsidRPr="005911E2" w:rsidRDefault="0098343F" w:rsidP="00D219D9">
      <w:pPr>
        <w:pStyle w:val="attachtext"/>
      </w:pPr>
      <w:r>
        <w:t>In d</w:t>
      </w:r>
      <w:r w:rsidR="00D219D9" w:rsidRPr="005911E2">
        <w:t xml:space="preserve">epth interviews with 100 of the </w:t>
      </w:r>
      <w:r w:rsidR="00F878E4">
        <w:t>income management</w:t>
      </w:r>
      <w:r w:rsidR="00D219D9" w:rsidRPr="005911E2">
        <w:t xml:space="preserve"> participants involved in the face to face survey</w:t>
      </w:r>
      <w:r w:rsidR="00D55763">
        <w:t>.</w:t>
      </w:r>
      <w:r w:rsidR="00D219D9" w:rsidRPr="005911E2">
        <w:t xml:space="preserve"> </w:t>
      </w:r>
    </w:p>
    <w:p w:rsidR="00D219D9" w:rsidRPr="005911E2" w:rsidRDefault="00D219D9" w:rsidP="00D219D9">
      <w:pPr>
        <w:pStyle w:val="attachtext"/>
      </w:pPr>
      <w:r w:rsidRPr="005911E2">
        <w:t>The focus of these depth interviews is to explore in more depth</w:t>
      </w:r>
      <w:r w:rsidR="00D55763">
        <w:t>:</w:t>
      </w:r>
      <w:r w:rsidRPr="005911E2">
        <w:t xml:space="preserve"> </w:t>
      </w:r>
    </w:p>
    <w:p w:rsidR="00D219D9" w:rsidRPr="005911E2" w:rsidRDefault="00D55763" w:rsidP="006A5F93">
      <w:pPr>
        <w:pStyle w:val="attachtext"/>
        <w:numPr>
          <w:ilvl w:val="0"/>
          <w:numId w:val="17"/>
        </w:numPr>
      </w:pPr>
      <w:r>
        <w:t>t</w:t>
      </w:r>
      <w:r w:rsidR="00D219D9" w:rsidRPr="005911E2">
        <w:t>he impact of income management on families</w:t>
      </w:r>
    </w:p>
    <w:p w:rsidR="00D219D9" w:rsidRPr="005911E2" w:rsidRDefault="00D55763" w:rsidP="006A5F93">
      <w:pPr>
        <w:pStyle w:val="attachtext"/>
        <w:numPr>
          <w:ilvl w:val="0"/>
          <w:numId w:val="17"/>
        </w:numPr>
      </w:pPr>
      <w:r>
        <w:t>h</w:t>
      </w:r>
      <w:r w:rsidR="00D219D9" w:rsidRPr="005911E2">
        <w:t>ow families and households manage money and the BasicsCard</w:t>
      </w:r>
    </w:p>
    <w:p w:rsidR="00D219D9" w:rsidRPr="005911E2" w:rsidRDefault="00D55763" w:rsidP="006A5F93">
      <w:pPr>
        <w:pStyle w:val="attachtext"/>
        <w:numPr>
          <w:ilvl w:val="0"/>
          <w:numId w:val="17"/>
        </w:numPr>
      </w:pPr>
      <w:r>
        <w:t>whether</w:t>
      </w:r>
      <w:r w:rsidR="00D219D9" w:rsidRPr="005911E2">
        <w:t xml:space="preserve"> they share resources</w:t>
      </w:r>
    </w:p>
    <w:p w:rsidR="00D219D9" w:rsidRPr="005911E2" w:rsidRDefault="00D219D9" w:rsidP="006A5F93">
      <w:pPr>
        <w:pStyle w:val="attachtext"/>
        <w:numPr>
          <w:ilvl w:val="0"/>
          <w:numId w:val="17"/>
        </w:numPr>
      </w:pPr>
      <w:r w:rsidRPr="005911E2">
        <w:t xml:space="preserve">the impact of </w:t>
      </w:r>
      <w:r w:rsidR="00F878E4">
        <w:t>income management</w:t>
      </w:r>
      <w:r w:rsidRPr="005911E2">
        <w:t xml:space="preserve"> on their families</w:t>
      </w:r>
      <w:r w:rsidR="00D55763">
        <w:t>.</w:t>
      </w:r>
    </w:p>
    <w:p w:rsidR="00D55763" w:rsidRDefault="00D55763" w:rsidP="00D219D9">
      <w:pPr>
        <w:pStyle w:val="attachtext"/>
      </w:pPr>
    </w:p>
    <w:p w:rsidR="00D219D9" w:rsidRPr="005911E2" w:rsidRDefault="00D219D9" w:rsidP="00D219D9">
      <w:pPr>
        <w:pStyle w:val="attachtext"/>
      </w:pPr>
      <w:r w:rsidRPr="005911E2">
        <w:t>Qualitative responses recorded in relation to responses to the quantitative survey.</w:t>
      </w:r>
    </w:p>
    <w:p w:rsidR="00D219D9" w:rsidRPr="005911E2" w:rsidRDefault="00D219D9" w:rsidP="00D219D9">
      <w:pPr>
        <w:pStyle w:val="attachtext"/>
      </w:pPr>
      <w:r w:rsidRPr="005911E2">
        <w:t>Issues raised by the participant in the quant</w:t>
      </w:r>
      <w:r w:rsidR="00D55763">
        <w:t>itative</w:t>
      </w:r>
      <w:r w:rsidRPr="005911E2">
        <w:t xml:space="preserve"> interview regarding the main areas of the survey:</w:t>
      </w:r>
    </w:p>
    <w:p w:rsidR="00D219D9" w:rsidRPr="005911E2" w:rsidRDefault="00D55763" w:rsidP="006A5F93">
      <w:pPr>
        <w:pStyle w:val="attachtext"/>
        <w:numPr>
          <w:ilvl w:val="0"/>
          <w:numId w:val="18"/>
        </w:numPr>
      </w:pPr>
      <w:r>
        <w:t>e</w:t>
      </w:r>
      <w:r w:rsidR="00D219D9" w:rsidRPr="005911E2">
        <w:t xml:space="preserve">xperiences of </w:t>
      </w:r>
      <w:r w:rsidR="00F878E4">
        <w:t>income management</w:t>
      </w:r>
    </w:p>
    <w:p w:rsidR="00D219D9" w:rsidRPr="005911E2" w:rsidRDefault="00D55763" w:rsidP="006A5F93">
      <w:pPr>
        <w:pStyle w:val="attachtext"/>
        <w:numPr>
          <w:ilvl w:val="0"/>
          <w:numId w:val="18"/>
        </w:numPr>
      </w:pPr>
      <w:r>
        <w:t>w</w:t>
      </w:r>
      <w:r w:rsidR="00D219D9" w:rsidRPr="005911E2">
        <w:t>ellbeing and participation</w:t>
      </w:r>
    </w:p>
    <w:p w:rsidR="00D219D9" w:rsidRPr="005911E2" w:rsidRDefault="00D55763" w:rsidP="006A5F93">
      <w:pPr>
        <w:pStyle w:val="attachtext"/>
        <w:numPr>
          <w:ilvl w:val="0"/>
          <w:numId w:val="18"/>
        </w:numPr>
      </w:pPr>
      <w:r>
        <w:t>c</w:t>
      </w:r>
      <w:r w:rsidR="00D219D9" w:rsidRPr="005911E2">
        <w:t>hildren’s wellbeing</w:t>
      </w:r>
    </w:p>
    <w:p w:rsidR="00D219D9" w:rsidRPr="005911E2" w:rsidRDefault="00D55763" w:rsidP="006A5F93">
      <w:pPr>
        <w:pStyle w:val="attachtext"/>
        <w:numPr>
          <w:ilvl w:val="0"/>
          <w:numId w:val="18"/>
        </w:numPr>
      </w:pPr>
      <w:r>
        <w:t>c</w:t>
      </w:r>
      <w:r w:rsidR="00D219D9" w:rsidRPr="005911E2">
        <w:t xml:space="preserve">ommunity </w:t>
      </w:r>
    </w:p>
    <w:p w:rsidR="00D219D9" w:rsidRPr="005911E2" w:rsidRDefault="00D55763" w:rsidP="006A5F93">
      <w:pPr>
        <w:pStyle w:val="attachtext"/>
        <w:numPr>
          <w:ilvl w:val="0"/>
          <w:numId w:val="18"/>
        </w:numPr>
      </w:pPr>
      <w:r>
        <w:t>c</w:t>
      </w:r>
      <w:r w:rsidR="00D219D9" w:rsidRPr="005911E2">
        <w:t xml:space="preserve">hanges since </w:t>
      </w:r>
      <w:r w:rsidR="00F878E4">
        <w:t>income management</w:t>
      </w:r>
      <w:r w:rsidR="00D219D9" w:rsidRPr="005911E2">
        <w:t xml:space="preserve"> (self, family, community)</w:t>
      </w:r>
    </w:p>
    <w:p w:rsidR="00D219D9" w:rsidRPr="005911E2" w:rsidRDefault="00D55763" w:rsidP="006A5F93">
      <w:pPr>
        <w:pStyle w:val="attachtext"/>
        <w:numPr>
          <w:ilvl w:val="0"/>
          <w:numId w:val="18"/>
        </w:numPr>
      </w:pPr>
      <w:r>
        <w:t>e</w:t>
      </w:r>
      <w:r w:rsidR="00D219D9" w:rsidRPr="005911E2">
        <w:t>xperiences of Centrelink</w:t>
      </w:r>
    </w:p>
    <w:p w:rsidR="00D219D9" w:rsidRPr="005911E2" w:rsidRDefault="00D55763" w:rsidP="006A5F93">
      <w:pPr>
        <w:pStyle w:val="attachtext"/>
        <w:numPr>
          <w:ilvl w:val="0"/>
          <w:numId w:val="18"/>
        </w:numPr>
      </w:pPr>
      <w:r>
        <w:t>u</w:t>
      </w:r>
      <w:r w:rsidR="00D219D9" w:rsidRPr="005911E2">
        <w:t>se and views of other services including money management, family support, counselling etc.</w:t>
      </w:r>
    </w:p>
    <w:p w:rsidR="00D219D9" w:rsidRPr="005911E2" w:rsidRDefault="00D219D9" w:rsidP="006A5F93">
      <w:pPr>
        <w:pStyle w:val="attachtext"/>
        <w:numPr>
          <w:ilvl w:val="0"/>
          <w:numId w:val="18"/>
        </w:numPr>
      </w:pPr>
      <w:r w:rsidRPr="005911E2">
        <w:t xml:space="preserve">Matched Savings, exemptions </w:t>
      </w:r>
      <w:r w:rsidR="00CF545F" w:rsidRPr="005911E2">
        <w:t>etc.</w:t>
      </w:r>
    </w:p>
    <w:p w:rsidR="00D219D9" w:rsidRPr="005911E2" w:rsidRDefault="00D55763" w:rsidP="006A5F93">
      <w:pPr>
        <w:pStyle w:val="attachtext"/>
        <w:numPr>
          <w:ilvl w:val="0"/>
          <w:numId w:val="18"/>
        </w:numPr>
      </w:pPr>
      <w:r>
        <w:t>m</w:t>
      </w:r>
      <w:r w:rsidR="00D219D9" w:rsidRPr="005911E2">
        <w:t xml:space="preserve">isunderstandings and miscommunications about </w:t>
      </w:r>
      <w:r>
        <w:t>i</w:t>
      </w:r>
      <w:r w:rsidR="00D219D9" w:rsidRPr="005911E2">
        <w:t xml:space="preserve">ncome </w:t>
      </w:r>
      <w:r>
        <w:t>m</w:t>
      </w:r>
      <w:r w:rsidR="00D219D9" w:rsidRPr="005911E2">
        <w:t>anagement (from family, community, service providers)</w:t>
      </w:r>
      <w:r>
        <w:t>.</w:t>
      </w:r>
    </w:p>
    <w:p w:rsidR="00D219D9" w:rsidRPr="005911E2" w:rsidRDefault="00D219D9" w:rsidP="00D219D9">
      <w:pPr>
        <w:pStyle w:val="attachtext"/>
      </w:pPr>
      <w:r w:rsidRPr="005911E2">
        <w:t>These will be topics raised by participant.</w:t>
      </w:r>
    </w:p>
    <w:p w:rsidR="00D219D9" w:rsidRPr="005911E2" w:rsidRDefault="00D219D9" w:rsidP="00D219D9">
      <w:pPr>
        <w:pStyle w:val="attachtext"/>
      </w:pPr>
      <w:r w:rsidRPr="005911E2">
        <w:t>In depth follow up interviews focused on experiences of the BasicsCard</w:t>
      </w:r>
    </w:p>
    <w:p w:rsidR="00D219D9" w:rsidRPr="005911E2" w:rsidRDefault="00D219D9" w:rsidP="006A5F93">
      <w:pPr>
        <w:pStyle w:val="attachtext"/>
        <w:numPr>
          <w:ilvl w:val="0"/>
          <w:numId w:val="19"/>
        </w:numPr>
      </w:pPr>
      <w:r w:rsidRPr="005911E2">
        <w:t>how/why they started using</w:t>
      </w:r>
      <w:r w:rsidR="00B62B2D">
        <w:t xml:space="preserve"> </w:t>
      </w:r>
      <w:r w:rsidR="00CF545F" w:rsidRPr="005911E2">
        <w:t>BasicsCard</w:t>
      </w:r>
      <w:r w:rsidRPr="005911E2">
        <w:t xml:space="preserve"> and were subject to </w:t>
      </w:r>
      <w:r w:rsidR="00F878E4">
        <w:t>income management</w:t>
      </w:r>
      <w:r w:rsidRPr="005911E2">
        <w:t xml:space="preserve"> </w:t>
      </w:r>
    </w:p>
    <w:p w:rsidR="00D219D9" w:rsidRPr="005911E2" w:rsidRDefault="00D219D9" w:rsidP="006A5F93">
      <w:pPr>
        <w:pStyle w:val="attachtext"/>
        <w:numPr>
          <w:ilvl w:val="0"/>
          <w:numId w:val="19"/>
        </w:numPr>
      </w:pPr>
      <w:r w:rsidRPr="005911E2">
        <w:t xml:space="preserve">motivation to apply for exemption and experiences of applying </w:t>
      </w:r>
    </w:p>
    <w:p w:rsidR="00D219D9" w:rsidRPr="005911E2" w:rsidRDefault="00D219D9" w:rsidP="006A5F93">
      <w:pPr>
        <w:pStyle w:val="attachtext"/>
        <w:numPr>
          <w:ilvl w:val="0"/>
          <w:numId w:val="19"/>
        </w:numPr>
      </w:pPr>
      <w:r w:rsidRPr="005911E2">
        <w:t xml:space="preserve">frustrations and anxiety felt using and understanding </w:t>
      </w:r>
      <w:r w:rsidR="00F878E4">
        <w:t>income management</w:t>
      </w:r>
      <w:r w:rsidRPr="005911E2">
        <w:t>.</w:t>
      </w:r>
    </w:p>
    <w:p w:rsidR="00D219D9" w:rsidRPr="005911E2" w:rsidRDefault="00D219D9" w:rsidP="00D219D9">
      <w:pPr>
        <w:pStyle w:val="attachtext"/>
      </w:pPr>
      <w:r w:rsidRPr="005911E2">
        <w:t>There will also be overall community summaries from the teams who visit each location which will add to the qualitative information.</w:t>
      </w:r>
    </w:p>
    <w:p w:rsidR="0042319F" w:rsidRPr="005911E2" w:rsidRDefault="0042319F" w:rsidP="003E2B11">
      <w:pPr>
        <w:pStyle w:val="attachtitle"/>
        <w:numPr>
          <w:ilvl w:val="0"/>
          <w:numId w:val="0"/>
        </w:numPr>
        <w:ind w:left="720"/>
      </w:pPr>
    </w:p>
    <w:p w:rsidR="00D219D9" w:rsidRPr="005911E2" w:rsidRDefault="00D219D9" w:rsidP="003E2B11">
      <w:pPr>
        <w:pStyle w:val="attachtitle"/>
        <w:numPr>
          <w:ilvl w:val="0"/>
          <w:numId w:val="0"/>
        </w:numPr>
        <w:ind w:left="720"/>
        <w:sectPr w:rsidR="00D219D9" w:rsidRPr="005911E2" w:rsidSect="00E24340">
          <w:pgSz w:w="11906" w:h="16838" w:code="9"/>
          <w:pgMar w:top="1440" w:right="1797" w:bottom="1418" w:left="1230" w:header="567" w:footer="284" w:gutter="0"/>
          <w:cols w:space="708"/>
          <w:docGrid w:linePitch="360"/>
        </w:sectPr>
      </w:pPr>
    </w:p>
    <w:p w:rsidR="003B1A35" w:rsidRPr="005911E2" w:rsidRDefault="003B1A35" w:rsidP="003E2B11">
      <w:pPr>
        <w:pStyle w:val="attachtitle"/>
      </w:pPr>
      <w:bookmarkStart w:id="1264" w:name="_Toc328601563"/>
      <w:bookmarkStart w:id="1265" w:name="_Toc329870443"/>
      <w:bookmarkStart w:id="1266" w:name="_Toc335915829"/>
      <w:r w:rsidRPr="005911E2">
        <w:t>Centrelink datasets used for the analysis of exemptions</w:t>
      </w:r>
      <w:bookmarkEnd w:id="1264"/>
      <w:bookmarkEnd w:id="1265"/>
      <w:bookmarkEnd w:id="1266"/>
    </w:p>
    <w:p w:rsidR="003B1A35" w:rsidRPr="005911E2" w:rsidRDefault="003B1A35" w:rsidP="003B1A35">
      <w:pPr>
        <w:pStyle w:val="attachtext"/>
      </w:pPr>
      <w:r w:rsidRPr="005911E2">
        <w:t>The analysis of exemptions</w:t>
      </w:r>
      <w:r w:rsidR="00047208">
        <w:t>, as well as some elements of the analysis in Chapter 4,</w:t>
      </w:r>
      <w:r w:rsidRPr="005911E2">
        <w:t xml:space="preserve"> is based upon two datasets provided to the evaluation team by FaHCSIA and produced by Centrelink.</w:t>
      </w:r>
    </w:p>
    <w:p w:rsidR="003B1A35" w:rsidRPr="005911E2" w:rsidRDefault="003B1A35" w:rsidP="003B1A35">
      <w:pPr>
        <w:pStyle w:val="attachtext"/>
      </w:pPr>
      <w:r w:rsidRPr="005911E2">
        <w:t xml:space="preserve">These datasets are extracts from the Centrelink administrative system and have been provided to the team in a </w:t>
      </w:r>
      <w:r w:rsidR="00D55763">
        <w:t>c</w:t>
      </w:r>
      <w:r w:rsidRPr="005911E2">
        <w:t>onfidentialised format which excludes personal identifiers such as names, addresses and client reference numbers.</w:t>
      </w:r>
      <w:r w:rsidR="0074268A" w:rsidRPr="005911E2">
        <w:t xml:space="preserve"> </w:t>
      </w:r>
      <w:r w:rsidRPr="005911E2">
        <w:t>Further to maintain the security of this information</w:t>
      </w:r>
      <w:r w:rsidR="00D55763">
        <w:t>,</w:t>
      </w:r>
      <w:r w:rsidRPr="005911E2">
        <w:t xml:space="preserve"> analysis has </w:t>
      </w:r>
      <w:r w:rsidR="00D55763">
        <w:t xml:space="preserve">only </w:t>
      </w:r>
      <w:r w:rsidRPr="005911E2">
        <w:t>been undertaken in secure data facilities.</w:t>
      </w:r>
    </w:p>
    <w:p w:rsidR="003B1A35" w:rsidRPr="005911E2" w:rsidRDefault="003B1A35" w:rsidP="003B1A35">
      <w:pPr>
        <w:pStyle w:val="attachtext"/>
      </w:pPr>
      <w:r w:rsidRPr="005911E2">
        <w:t>Two datasets have been provided. Each of these has been produced approximately quarterly as at: 10 July 2010; 29 October 2010; 25 February 2011; 29 July 2011 and 28 October 2011.</w:t>
      </w:r>
    </w:p>
    <w:p w:rsidR="003B1A35" w:rsidRPr="005911E2" w:rsidRDefault="003B1A35" w:rsidP="003B1A35">
      <w:pPr>
        <w:pStyle w:val="attachtext"/>
      </w:pPr>
      <w:r w:rsidRPr="005911E2">
        <w:t>The first dataset</w:t>
      </w:r>
      <w:r w:rsidR="00047208">
        <w:t>, referred to here as the ‘Income Management Dataset’</w:t>
      </w:r>
      <w:r w:rsidRPr="005911E2">
        <w:t xml:space="preserve"> contains records of all persons who have been subject to income management at any time up to the point at which the data set has been created. The second contains records of all persons in receipt of either an income support payment or Family Tax Benefit at the time of extraction.</w:t>
      </w:r>
      <w:r w:rsidR="00047208">
        <w:t xml:space="preserve"> This has been referred to as the ‘Income Support/Family Tax Benefit Dataset’.</w:t>
      </w:r>
    </w:p>
    <w:p w:rsidR="003B1A35" w:rsidRPr="005911E2" w:rsidRDefault="003B1A35" w:rsidP="003B1A35">
      <w:pPr>
        <w:pStyle w:val="attachtext"/>
      </w:pPr>
      <w:r w:rsidRPr="005911E2">
        <w:t>For the analysis these two datasets have been merged</w:t>
      </w:r>
      <w:r w:rsidR="00F357A2">
        <w:rPr>
          <w:rStyle w:val="FootnoteReference"/>
        </w:rPr>
        <w:footnoteReference w:id="135"/>
      </w:r>
      <w:r w:rsidRPr="005911E2">
        <w:t xml:space="preserve"> to enable the analysis to draw upon the wider set of characteristics each contains.</w:t>
      </w:r>
      <w:r w:rsidR="0074268A" w:rsidRPr="005911E2">
        <w:t xml:space="preserve"> </w:t>
      </w:r>
      <w:r w:rsidRPr="005911E2">
        <w:t>In a small number of cases both datasets contain variables which purport to represent the same characteristic, such as the payment which is made to an individual, but where the information differs.</w:t>
      </w:r>
      <w:r w:rsidR="0074268A" w:rsidRPr="005911E2">
        <w:t xml:space="preserve"> </w:t>
      </w:r>
      <w:r w:rsidRPr="005911E2">
        <w:t>On the whole these differences are very small and do not materially affect results, but may result in slight differences between tables.</w:t>
      </w:r>
    </w:p>
    <w:p w:rsidR="003B1A35" w:rsidRPr="005911E2" w:rsidRDefault="003B1A35" w:rsidP="003B1A35">
      <w:pPr>
        <w:pStyle w:val="attachtext"/>
      </w:pPr>
      <w:r w:rsidRPr="005911E2">
        <w:t xml:space="preserve">Such discrepancies arise from minor differences in timing and in the way the different datasets are created. </w:t>
      </w:r>
    </w:p>
    <w:p w:rsidR="003B1A35" w:rsidRPr="005911E2" w:rsidRDefault="003B1A35" w:rsidP="003B1A35">
      <w:pPr>
        <w:spacing w:after="0" w:line="240" w:lineRule="auto"/>
        <w:ind w:left="0"/>
        <w:jc w:val="left"/>
      </w:pPr>
      <w:r w:rsidRPr="005911E2">
        <w:br w:type="page"/>
      </w:r>
    </w:p>
    <w:p w:rsidR="003B1A35" w:rsidRPr="005911E2" w:rsidRDefault="003B1A35" w:rsidP="003B1A35">
      <w:pPr>
        <w:spacing w:after="0" w:line="240" w:lineRule="auto"/>
        <w:ind w:left="0"/>
        <w:jc w:val="left"/>
        <w:rPr>
          <w:noProof/>
          <w:lang w:eastAsia="en-AU"/>
        </w:rPr>
      </w:pPr>
    </w:p>
    <w:p w:rsidR="003B1A35" w:rsidRPr="005911E2" w:rsidRDefault="003B1A35" w:rsidP="003E2B11">
      <w:pPr>
        <w:pStyle w:val="attachtitle"/>
        <w:rPr>
          <w:lang w:eastAsia="en-AU" w:bidi="ar-SA"/>
        </w:rPr>
      </w:pPr>
      <w:bookmarkStart w:id="1267" w:name="_Ref321246337"/>
      <w:bookmarkStart w:id="1268" w:name="_Toc328601564"/>
      <w:bookmarkStart w:id="1269" w:name="_Toc329870444"/>
      <w:bookmarkStart w:id="1270" w:name="_Toc335915830"/>
      <w:r w:rsidRPr="005911E2">
        <w:rPr>
          <w:lang w:eastAsia="en-AU" w:bidi="ar-SA"/>
        </w:rPr>
        <w:t>Financial Vulnerability Test</w:t>
      </w:r>
      <w:bookmarkEnd w:id="1267"/>
      <w:bookmarkEnd w:id="1268"/>
      <w:bookmarkEnd w:id="1269"/>
      <w:bookmarkEnd w:id="1270"/>
    </w:p>
    <w:p w:rsidR="003B1A35" w:rsidRPr="005911E2" w:rsidRDefault="003B1A35" w:rsidP="003B1A35">
      <w:pPr>
        <w:pStyle w:val="attachtext"/>
        <w:rPr>
          <w:lang w:eastAsia="en-AU" w:bidi="ar-SA"/>
        </w:rPr>
      </w:pPr>
      <w:r w:rsidRPr="005911E2">
        <w:rPr>
          <w:lang w:eastAsia="en-AU" w:bidi="ar-SA"/>
        </w:rPr>
        <w:t xml:space="preserve">The </w:t>
      </w:r>
      <w:r w:rsidR="00D55763">
        <w:rPr>
          <w:lang w:eastAsia="en-AU" w:bidi="ar-SA"/>
        </w:rPr>
        <w:t>G</w:t>
      </w:r>
      <w:r w:rsidRPr="005911E2">
        <w:rPr>
          <w:lang w:eastAsia="en-AU" w:bidi="ar-SA"/>
        </w:rPr>
        <w:t xml:space="preserve">uide to Social Security Law </w:t>
      </w:r>
      <w:r w:rsidR="00D55763">
        <w:rPr>
          <w:lang w:eastAsia="en-AU" w:bidi="ar-SA"/>
        </w:rPr>
        <w:t xml:space="preserve">(Australian Government, 2012) </w:t>
      </w:r>
      <w:r w:rsidRPr="005911E2">
        <w:rPr>
          <w:lang w:eastAsia="en-AU" w:bidi="ar-SA"/>
        </w:rPr>
        <w:t xml:space="preserve">details the way in which the financial viability test is operationalized by Centrelink, identifying the issues which a Centrelink Officer should discuss with the person making an application for an exemption and the types of evidence they should </w:t>
      </w:r>
      <w:r w:rsidR="00D55763">
        <w:rPr>
          <w:lang w:eastAsia="en-AU" w:bidi="ar-SA"/>
        </w:rPr>
        <w:t>consider</w:t>
      </w:r>
      <w:r w:rsidR="00D55763" w:rsidRPr="005911E2">
        <w:rPr>
          <w:lang w:eastAsia="en-AU" w:bidi="ar-SA"/>
        </w:rPr>
        <w:t xml:space="preserve"> </w:t>
      </w:r>
      <w:r w:rsidRPr="005911E2">
        <w:rPr>
          <w:lang w:eastAsia="en-AU" w:bidi="ar-SA"/>
        </w:rPr>
        <w:t>in taking a decision.</w:t>
      </w:r>
      <w:r w:rsidR="0074268A" w:rsidRPr="005911E2">
        <w:rPr>
          <w:lang w:eastAsia="en-AU" w:bidi="ar-SA"/>
        </w:rPr>
        <w:t xml:space="preserve"> </w:t>
      </w:r>
      <w:r w:rsidRPr="005911E2">
        <w:rPr>
          <w:lang w:eastAsia="en-AU" w:bidi="ar-SA"/>
        </w:rPr>
        <w:t>This is shown below</w:t>
      </w:r>
      <w:r w:rsidR="00D55763">
        <w:rPr>
          <w:lang w:eastAsia="en-AU" w:bidi="ar-SA"/>
        </w:rPr>
        <w:t>:</w:t>
      </w:r>
    </w:p>
    <w:p w:rsidR="003B1A35" w:rsidRPr="005911E2" w:rsidRDefault="003B1A35" w:rsidP="003B1A35">
      <w:pPr>
        <w:keepNext/>
        <w:keepLines/>
        <w:spacing w:before="240" w:after="120"/>
        <w:ind w:left="2977" w:right="-760" w:hanging="1276"/>
        <w:jc w:val="left"/>
        <w:rPr>
          <w:b/>
          <w:bCs/>
          <w:color w:val="000000"/>
          <w:spacing w:val="10"/>
          <w:szCs w:val="18"/>
          <w:lang w:eastAsia="en-AU" w:bidi="ar-SA"/>
        </w:rPr>
      </w:pPr>
      <w:r w:rsidRPr="005911E2">
        <w:rPr>
          <w:b/>
          <w:bCs/>
          <w:color w:val="000000"/>
          <w:spacing w:val="10"/>
          <w:szCs w:val="18"/>
          <w:lang w:eastAsia="en-AU" w:bidi="ar-SA"/>
        </w:rPr>
        <w:t>Guidelines for the assessment of Financial Vulnerability</w:t>
      </w:r>
    </w:p>
    <w:tbl>
      <w:tblPr>
        <w:tblW w:w="0" w:type="auto"/>
        <w:tblInd w:w="93" w:type="dxa"/>
        <w:tblLook w:val="04A0" w:firstRow="1" w:lastRow="0" w:firstColumn="1" w:lastColumn="0" w:noHBand="0" w:noVBand="1"/>
      </w:tblPr>
      <w:tblGrid>
        <w:gridCol w:w="2223"/>
        <w:gridCol w:w="4269"/>
        <w:gridCol w:w="2510"/>
      </w:tblGrid>
      <w:tr w:rsidR="003B1A35" w:rsidRPr="005911E2" w:rsidTr="00C86FD6">
        <w:trPr>
          <w:cantSplit/>
          <w:trHeight w:val="200"/>
          <w:tblHeader/>
        </w:trPr>
        <w:tc>
          <w:tcPr>
            <w:tcW w:w="0" w:type="auto"/>
            <w:tcBorders>
              <w:top w:val="single" w:sz="8" w:space="0" w:color="000000"/>
              <w:left w:val="nil"/>
              <w:bottom w:val="single" w:sz="8" w:space="0" w:color="000000"/>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Factor</w:t>
            </w:r>
          </w:p>
        </w:tc>
        <w:tc>
          <w:tcPr>
            <w:tcW w:w="0" w:type="auto"/>
            <w:tcBorders>
              <w:top w:val="single" w:sz="8" w:space="0" w:color="000000"/>
              <w:left w:val="nil"/>
              <w:bottom w:val="single" w:sz="8" w:space="0" w:color="000000"/>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Discussion points with person</w:t>
            </w:r>
          </w:p>
        </w:tc>
        <w:tc>
          <w:tcPr>
            <w:tcW w:w="0" w:type="auto"/>
            <w:tcBorders>
              <w:top w:val="single" w:sz="8" w:space="0" w:color="000000"/>
              <w:left w:val="nil"/>
              <w:bottom w:val="single" w:sz="8" w:space="0" w:color="000000"/>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Evidence</w:t>
            </w:r>
          </w:p>
        </w:tc>
      </w:tr>
      <w:tr w:rsidR="003B1A35" w:rsidRPr="005911E2" w:rsidTr="00C86FD6">
        <w:trPr>
          <w:cantSplit/>
          <w:trHeight w:val="200"/>
        </w:trPr>
        <w:tc>
          <w:tcPr>
            <w:tcW w:w="0" w:type="auto"/>
            <w:gridSpan w:val="3"/>
            <w:tcBorders>
              <w:top w:val="single" w:sz="8" w:space="0" w:color="000000"/>
              <w:left w:val="nil"/>
              <w:bottom w:val="outset" w:sz="6" w:space="0" w:color="auto"/>
              <w:right w:val="nil"/>
            </w:tcBorders>
            <w:shd w:val="clear" w:color="auto" w:fill="auto"/>
            <w:vAlign w:val="center"/>
            <w:hideMark/>
          </w:tcPr>
          <w:p w:rsidR="003B1A35" w:rsidRPr="005911E2" w:rsidRDefault="003B1A35" w:rsidP="003B1A35">
            <w:pPr>
              <w:spacing w:after="0" w:line="240" w:lineRule="auto"/>
              <w:ind w:left="0"/>
              <w:jc w:val="left"/>
              <w:rPr>
                <w:rFonts w:cs="Arial"/>
                <w:b/>
                <w:bCs/>
                <w:color w:val="000000"/>
                <w:sz w:val="18"/>
                <w:szCs w:val="18"/>
                <w:lang w:eastAsia="en-AU" w:bidi="ar-SA"/>
              </w:rPr>
            </w:pPr>
            <w:r w:rsidRPr="005911E2">
              <w:rPr>
                <w:rFonts w:cs="Arial"/>
                <w:b/>
                <w:bCs/>
                <w:color w:val="000000"/>
                <w:sz w:val="18"/>
                <w:szCs w:val="18"/>
                <w:lang w:eastAsia="en-AU" w:bidi="ar-SA"/>
              </w:rPr>
              <w:t>Principle: Person has been applying appropriate resources to meet priority needs.</w:t>
            </w:r>
          </w:p>
        </w:tc>
      </w:tr>
      <w:tr w:rsidR="003B1A35" w:rsidRPr="005911E2" w:rsidTr="00C86FD6">
        <w:trPr>
          <w:cantSplit/>
          <w:trHeight w:val="200"/>
        </w:trPr>
        <w:tc>
          <w:tcPr>
            <w:tcW w:w="0" w:type="auto"/>
            <w:vMerge w:val="restart"/>
            <w:tcBorders>
              <w:top w:val="outset" w:sz="6" w:space="0" w:color="auto"/>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Income management allocations.</w:t>
            </w:r>
          </w:p>
        </w:tc>
        <w:tc>
          <w:tcPr>
            <w:tcW w:w="0" w:type="auto"/>
            <w:tcBorders>
              <w:top w:val="outset" w:sz="6" w:space="0" w:color="auto"/>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If income management expenses were regularly changed, what was the reason for this?</w:t>
            </w:r>
          </w:p>
        </w:tc>
        <w:tc>
          <w:tcPr>
            <w:tcW w:w="0" w:type="auto"/>
            <w:tcBorders>
              <w:top w:val="outset" w:sz="6" w:space="0" w:color="auto"/>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Are or were there regular allocations in place for a variety of priority needs?</w:t>
            </w:r>
          </w:p>
        </w:tc>
      </w:tr>
      <w:tr w:rsidR="003B1A35" w:rsidRPr="005911E2" w:rsidTr="00C86FD6">
        <w:trPr>
          <w:cantSplit/>
          <w:trHeight w:val="200"/>
        </w:trPr>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If the expenses were never changed, why not?</w:t>
            </w:r>
          </w:p>
        </w:tc>
        <w:tc>
          <w:tcPr>
            <w:tcW w:w="0" w:type="auto"/>
            <w:tcBorders>
              <w:top w:val="nil"/>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xml:space="preserve">- How are/were the </w:t>
            </w:r>
            <w:r w:rsidR="00CF545F" w:rsidRPr="005911E2">
              <w:rPr>
                <w:rFonts w:cs="Arial"/>
                <w:color w:val="000000"/>
                <w:sz w:val="18"/>
                <w:szCs w:val="18"/>
                <w:lang w:eastAsia="en-AU" w:bidi="ar-SA"/>
              </w:rPr>
              <w:t>person’s</w:t>
            </w:r>
            <w:r w:rsidRPr="005911E2">
              <w:rPr>
                <w:rFonts w:cs="Arial"/>
                <w:color w:val="000000"/>
                <w:sz w:val="18"/>
                <w:szCs w:val="18"/>
                <w:lang w:eastAsia="en-AU" w:bidi="ar-SA"/>
              </w:rPr>
              <w:t xml:space="preserve"> priority needs being met?</w:t>
            </w:r>
          </w:p>
        </w:tc>
      </w:tr>
      <w:tr w:rsidR="003B1A35" w:rsidRPr="005911E2" w:rsidTr="00C86FD6">
        <w:trPr>
          <w:cantSplit/>
          <w:trHeight w:val="200"/>
        </w:trPr>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Was the person meeting priority needs with their discretionary income?</w:t>
            </w:r>
          </w:p>
        </w:tc>
        <w:tc>
          <w:tcPr>
            <w:tcW w:w="0" w:type="auto"/>
            <w:tcBorders>
              <w:top w:val="nil"/>
              <w:left w:val="nil"/>
              <w:bottom w:val="nil"/>
              <w:right w:val="nil"/>
            </w:tcBorders>
            <w:shd w:val="clear" w:color="auto" w:fill="auto"/>
            <w:hideMark/>
          </w:tcPr>
          <w:p w:rsidR="003B1A35" w:rsidRPr="005911E2" w:rsidRDefault="003B1A35" w:rsidP="003B1A35">
            <w:pPr>
              <w:spacing w:after="0" w:line="240" w:lineRule="auto"/>
              <w:ind w:left="0"/>
              <w:jc w:val="left"/>
              <w:rPr>
                <w:rFonts w:ascii="Calibri" w:hAnsi="Calibri" w:cs="Calibri"/>
                <w:color w:val="000000"/>
                <w:lang w:eastAsia="en-AU" w:bidi="ar-SA"/>
              </w:rPr>
            </w:pPr>
          </w:p>
        </w:tc>
      </w:tr>
      <w:tr w:rsidR="003B1A35" w:rsidRPr="005911E2" w:rsidTr="00C86FD6">
        <w:trPr>
          <w:cantSplit/>
          <w:trHeight w:val="200"/>
        </w:trPr>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Will the person be able to manage their money to meet their priority needs without income management?</w:t>
            </w:r>
          </w:p>
        </w:tc>
        <w:tc>
          <w:tcPr>
            <w:tcW w:w="0" w:type="auto"/>
            <w:tcBorders>
              <w:top w:val="nil"/>
              <w:left w:val="nil"/>
              <w:bottom w:val="nil"/>
              <w:right w:val="nil"/>
            </w:tcBorders>
            <w:shd w:val="clear" w:color="auto" w:fill="auto"/>
            <w:hideMark/>
          </w:tcPr>
          <w:p w:rsidR="003B1A35" w:rsidRPr="005911E2" w:rsidRDefault="003B1A35" w:rsidP="003B1A35">
            <w:pPr>
              <w:spacing w:after="0" w:line="240" w:lineRule="auto"/>
              <w:ind w:left="0"/>
              <w:jc w:val="left"/>
              <w:rPr>
                <w:rFonts w:ascii="Calibri" w:hAnsi="Calibri" w:cs="Calibri"/>
                <w:color w:val="000000"/>
                <w:lang w:eastAsia="en-AU" w:bidi="ar-SA"/>
              </w:rPr>
            </w:pPr>
          </w:p>
        </w:tc>
      </w:tr>
      <w:tr w:rsidR="003B1A35" w:rsidRPr="005911E2" w:rsidTr="00C86FD6">
        <w:trPr>
          <w:cantSplit/>
          <w:trHeight w:val="200"/>
        </w:trPr>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How does the person intend to meet their priority needs without income management?</w:t>
            </w:r>
          </w:p>
        </w:tc>
        <w:tc>
          <w:tcPr>
            <w:tcW w:w="0" w:type="auto"/>
            <w:tcBorders>
              <w:top w:val="nil"/>
              <w:left w:val="nil"/>
              <w:bottom w:val="nil"/>
              <w:right w:val="nil"/>
            </w:tcBorders>
            <w:shd w:val="clear" w:color="auto" w:fill="auto"/>
            <w:hideMark/>
          </w:tcPr>
          <w:p w:rsidR="003B1A35" w:rsidRPr="005911E2" w:rsidRDefault="003B1A35" w:rsidP="003B1A35">
            <w:pPr>
              <w:spacing w:after="0" w:line="240" w:lineRule="auto"/>
              <w:ind w:left="0"/>
              <w:jc w:val="left"/>
              <w:rPr>
                <w:rFonts w:ascii="Calibri" w:hAnsi="Calibri" w:cs="Calibri"/>
                <w:color w:val="000000"/>
                <w:lang w:eastAsia="en-AU" w:bidi="ar-SA"/>
              </w:rPr>
            </w:pPr>
          </w:p>
        </w:tc>
      </w:tr>
      <w:tr w:rsidR="003B1A35" w:rsidRPr="005911E2" w:rsidTr="00C86FD6">
        <w:trPr>
          <w:cantSplit/>
          <w:trHeight w:val="200"/>
        </w:trPr>
        <w:tc>
          <w:tcPr>
            <w:tcW w:w="0" w:type="auto"/>
            <w:vMerge/>
            <w:tcBorders>
              <w:top w:val="nil"/>
              <w:left w:val="nil"/>
              <w:bottom w:val="outset" w:sz="6" w:space="0" w:color="auto"/>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outset" w:sz="6" w:space="0" w:color="auto"/>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Does the person intend to continue to pay for the things that were being paid for by income management or do they intend to stop paying for these things? If so, why?</w:t>
            </w:r>
          </w:p>
        </w:tc>
        <w:tc>
          <w:tcPr>
            <w:tcW w:w="0" w:type="auto"/>
            <w:tcBorders>
              <w:top w:val="nil"/>
              <w:left w:val="nil"/>
              <w:bottom w:val="outset" w:sz="6" w:space="0" w:color="auto"/>
              <w:right w:val="nil"/>
            </w:tcBorders>
            <w:shd w:val="clear" w:color="auto" w:fill="auto"/>
            <w:hideMark/>
          </w:tcPr>
          <w:p w:rsidR="003B1A35" w:rsidRPr="005911E2" w:rsidRDefault="003B1A35" w:rsidP="003B1A35">
            <w:pPr>
              <w:spacing w:after="0" w:line="240" w:lineRule="auto"/>
              <w:ind w:left="0"/>
              <w:jc w:val="left"/>
              <w:rPr>
                <w:rFonts w:ascii="Calibri" w:hAnsi="Calibri" w:cs="Calibri"/>
                <w:color w:val="000000"/>
                <w:lang w:eastAsia="en-AU" w:bidi="ar-SA"/>
              </w:rPr>
            </w:pPr>
          </w:p>
        </w:tc>
      </w:tr>
      <w:tr w:rsidR="003B1A35" w:rsidRPr="005911E2" w:rsidTr="00C86FD6">
        <w:trPr>
          <w:cantSplit/>
          <w:trHeight w:val="200"/>
        </w:trPr>
        <w:tc>
          <w:tcPr>
            <w:tcW w:w="0" w:type="auto"/>
            <w:gridSpan w:val="3"/>
            <w:tcBorders>
              <w:top w:val="outset" w:sz="6" w:space="0" w:color="auto"/>
              <w:left w:val="nil"/>
              <w:bottom w:val="outset" w:sz="6" w:space="0" w:color="auto"/>
              <w:right w:val="nil"/>
            </w:tcBorders>
            <w:shd w:val="clear" w:color="auto" w:fill="auto"/>
            <w:vAlign w:val="center"/>
            <w:hideMark/>
          </w:tcPr>
          <w:p w:rsidR="003B1A35" w:rsidRPr="005911E2" w:rsidRDefault="003B1A35" w:rsidP="003B1A35">
            <w:pPr>
              <w:spacing w:after="0" w:line="240" w:lineRule="auto"/>
              <w:ind w:left="0"/>
              <w:jc w:val="left"/>
              <w:rPr>
                <w:rFonts w:cs="Arial"/>
                <w:b/>
                <w:bCs/>
                <w:color w:val="000000"/>
                <w:sz w:val="18"/>
                <w:szCs w:val="18"/>
                <w:lang w:eastAsia="en-AU" w:bidi="ar-SA"/>
              </w:rPr>
            </w:pPr>
            <w:r w:rsidRPr="005911E2">
              <w:rPr>
                <w:rFonts w:cs="Arial"/>
                <w:b/>
                <w:bCs/>
                <w:color w:val="000000"/>
                <w:sz w:val="18"/>
                <w:szCs w:val="18"/>
                <w:lang w:eastAsia="en-AU" w:bidi="ar-SA"/>
              </w:rPr>
              <w:t>Principle: Person had control over their money &amp; was not subject to financial exploitation.</w:t>
            </w:r>
          </w:p>
        </w:tc>
      </w:tr>
      <w:tr w:rsidR="003B1A35" w:rsidRPr="005911E2" w:rsidTr="00C86FD6">
        <w:trPr>
          <w:cantSplit/>
          <w:trHeight w:val="200"/>
        </w:trPr>
        <w:tc>
          <w:tcPr>
            <w:tcW w:w="0" w:type="auto"/>
            <w:vMerge w:val="restart"/>
            <w:tcBorders>
              <w:top w:val="outset" w:sz="6" w:space="0" w:color="auto"/>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Financial exploitation.</w:t>
            </w:r>
          </w:p>
        </w:tc>
        <w:tc>
          <w:tcPr>
            <w:tcW w:w="0" w:type="auto"/>
            <w:tcBorders>
              <w:top w:val="outset" w:sz="6" w:space="0" w:color="auto"/>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Why does the person have a password protected or a deny access record?</w:t>
            </w:r>
          </w:p>
        </w:tc>
        <w:tc>
          <w:tcPr>
            <w:tcW w:w="0" w:type="auto"/>
            <w:tcBorders>
              <w:top w:val="outset" w:sz="6" w:space="0" w:color="auto"/>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Password protected Centrelink record.</w:t>
            </w:r>
          </w:p>
        </w:tc>
      </w:tr>
      <w:tr w:rsidR="003B1A35" w:rsidRPr="005911E2" w:rsidTr="00C86FD6">
        <w:trPr>
          <w:cantSplit/>
          <w:trHeight w:val="200"/>
        </w:trPr>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Has the issue been resolved?</w:t>
            </w:r>
          </w:p>
        </w:tc>
        <w:tc>
          <w:tcPr>
            <w:tcW w:w="0" w:type="auto"/>
            <w:tcBorders>
              <w:top w:val="nil"/>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Deny access record.</w:t>
            </w:r>
          </w:p>
        </w:tc>
      </w:tr>
      <w:tr w:rsidR="003B1A35" w:rsidRPr="005911E2" w:rsidTr="00C86FD6">
        <w:trPr>
          <w:cantSplit/>
          <w:trHeight w:val="200"/>
        </w:trPr>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Does the person find it difficult to say no to some family members or others when asked for money?</w:t>
            </w:r>
          </w:p>
        </w:tc>
        <w:tc>
          <w:tcPr>
            <w:tcW w:w="0" w:type="auto"/>
            <w:tcBorders>
              <w:top w:val="nil"/>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Evidence of denied contact from third parties.</w:t>
            </w:r>
          </w:p>
        </w:tc>
      </w:tr>
      <w:tr w:rsidR="003B1A35" w:rsidRPr="005911E2" w:rsidTr="00C86FD6">
        <w:trPr>
          <w:cantSplit/>
          <w:trHeight w:val="200"/>
        </w:trPr>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Does the person need to hide money or have secret money?</w:t>
            </w:r>
          </w:p>
        </w:tc>
        <w:tc>
          <w:tcPr>
            <w:tcW w:w="0" w:type="auto"/>
            <w:tcBorders>
              <w:top w:val="nil"/>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Evidence of financial exploitation.</w:t>
            </w:r>
          </w:p>
        </w:tc>
      </w:tr>
      <w:tr w:rsidR="003B1A35" w:rsidRPr="005911E2" w:rsidTr="00C86FD6">
        <w:trPr>
          <w:cantSplit/>
          <w:trHeight w:val="200"/>
        </w:trPr>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Is the person having trouble meeting their priority needs or making their money last from one pay to the next because they are paying things for other people or giving other people their money?</w:t>
            </w:r>
          </w:p>
        </w:tc>
        <w:tc>
          <w:tcPr>
            <w:tcW w:w="0" w:type="auto"/>
            <w:tcBorders>
              <w:top w:val="nil"/>
              <w:left w:val="nil"/>
              <w:bottom w:val="nil"/>
              <w:right w:val="nil"/>
            </w:tcBorders>
            <w:shd w:val="clear" w:color="auto" w:fill="auto"/>
            <w:hideMark/>
          </w:tcPr>
          <w:p w:rsidR="003B1A35" w:rsidRPr="005911E2" w:rsidRDefault="003B1A35" w:rsidP="003B1A35">
            <w:pPr>
              <w:spacing w:after="0" w:line="240" w:lineRule="auto"/>
              <w:ind w:left="0"/>
              <w:jc w:val="left"/>
              <w:rPr>
                <w:rFonts w:ascii="Calibri" w:hAnsi="Calibri" w:cs="Calibri"/>
                <w:color w:val="000000"/>
                <w:lang w:eastAsia="en-AU" w:bidi="ar-SA"/>
              </w:rPr>
            </w:pPr>
          </w:p>
        </w:tc>
      </w:tr>
      <w:tr w:rsidR="003B1A35" w:rsidRPr="005911E2" w:rsidTr="00C86FD6">
        <w:trPr>
          <w:cantSplit/>
          <w:trHeight w:val="200"/>
        </w:trPr>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Have third parties been contacting Centrelink regarding the person?</w:t>
            </w:r>
          </w:p>
        </w:tc>
        <w:tc>
          <w:tcPr>
            <w:tcW w:w="0" w:type="auto"/>
            <w:tcBorders>
              <w:top w:val="nil"/>
              <w:left w:val="nil"/>
              <w:bottom w:val="nil"/>
              <w:right w:val="nil"/>
            </w:tcBorders>
            <w:shd w:val="clear" w:color="auto" w:fill="auto"/>
            <w:hideMark/>
          </w:tcPr>
          <w:p w:rsidR="003B1A35" w:rsidRPr="005911E2" w:rsidRDefault="003B1A35" w:rsidP="003B1A35">
            <w:pPr>
              <w:spacing w:after="0" w:line="240" w:lineRule="auto"/>
              <w:ind w:left="0"/>
              <w:jc w:val="left"/>
              <w:rPr>
                <w:rFonts w:ascii="Calibri" w:hAnsi="Calibri" w:cs="Calibri"/>
                <w:color w:val="000000"/>
                <w:lang w:eastAsia="en-AU" w:bidi="ar-SA"/>
              </w:rPr>
            </w:pPr>
          </w:p>
        </w:tc>
      </w:tr>
      <w:tr w:rsidR="003B1A35" w:rsidRPr="005911E2" w:rsidTr="00C86FD6">
        <w:trPr>
          <w:cantSplit/>
          <w:trHeight w:val="200"/>
        </w:trPr>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Why have third parties been contacting Centrelink? Has this been at the request of the person?</w:t>
            </w:r>
          </w:p>
        </w:tc>
        <w:tc>
          <w:tcPr>
            <w:tcW w:w="0" w:type="auto"/>
            <w:tcBorders>
              <w:top w:val="nil"/>
              <w:left w:val="nil"/>
              <w:bottom w:val="nil"/>
              <w:right w:val="nil"/>
            </w:tcBorders>
            <w:shd w:val="clear" w:color="auto" w:fill="auto"/>
            <w:hideMark/>
          </w:tcPr>
          <w:p w:rsidR="003B1A35" w:rsidRPr="005911E2" w:rsidRDefault="003B1A35" w:rsidP="003B1A35">
            <w:pPr>
              <w:spacing w:after="0" w:line="240" w:lineRule="auto"/>
              <w:ind w:left="0"/>
              <w:jc w:val="left"/>
              <w:rPr>
                <w:rFonts w:ascii="Calibri" w:hAnsi="Calibri" w:cs="Calibri"/>
                <w:color w:val="000000"/>
                <w:lang w:eastAsia="en-AU" w:bidi="ar-SA"/>
              </w:rPr>
            </w:pPr>
          </w:p>
        </w:tc>
      </w:tr>
      <w:tr w:rsidR="003B1A35" w:rsidRPr="005911E2" w:rsidTr="00C86FD6">
        <w:trPr>
          <w:cantSplit/>
          <w:trHeight w:val="200"/>
        </w:trPr>
        <w:tc>
          <w:tcPr>
            <w:tcW w:w="0" w:type="auto"/>
            <w:vMerge/>
            <w:tcBorders>
              <w:top w:val="nil"/>
              <w:left w:val="nil"/>
              <w:bottom w:val="outset" w:sz="6" w:space="0" w:color="auto"/>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outset" w:sz="6" w:space="0" w:color="auto"/>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Was the person aware that third parties had been contacting Centrelink?</w:t>
            </w:r>
          </w:p>
        </w:tc>
        <w:tc>
          <w:tcPr>
            <w:tcW w:w="0" w:type="auto"/>
            <w:tcBorders>
              <w:top w:val="nil"/>
              <w:left w:val="nil"/>
              <w:bottom w:val="outset" w:sz="6" w:space="0" w:color="auto"/>
              <w:right w:val="nil"/>
            </w:tcBorders>
            <w:shd w:val="clear" w:color="auto" w:fill="auto"/>
            <w:hideMark/>
          </w:tcPr>
          <w:p w:rsidR="003B1A35" w:rsidRPr="005911E2" w:rsidRDefault="003B1A35" w:rsidP="003B1A35">
            <w:pPr>
              <w:spacing w:after="0" w:line="240" w:lineRule="auto"/>
              <w:ind w:left="0"/>
              <w:jc w:val="left"/>
              <w:rPr>
                <w:rFonts w:ascii="Calibri" w:hAnsi="Calibri" w:cs="Calibri"/>
                <w:color w:val="000000"/>
                <w:lang w:eastAsia="en-AU" w:bidi="ar-SA"/>
              </w:rPr>
            </w:pPr>
          </w:p>
        </w:tc>
      </w:tr>
      <w:tr w:rsidR="003B1A35" w:rsidRPr="005911E2" w:rsidTr="00C86FD6">
        <w:trPr>
          <w:cantSplit/>
          <w:trHeight w:val="200"/>
        </w:trPr>
        <w:tc>
          <w:tcPr>
            <w:tcW w:w="0" w:type="auto"/>
            <w:gridSpan w:val="3"/>
            <w:tcBorders>
              <w:top w:val="outset" w:sz="6" w:space="0" w:color="auto"/>
              <w:left w:val="nil"/>
              <w:bottom w:val="outset" w:sz="6" w:space="0" w:color="auto"/>
              <w:right w:val="nil"/>
            </w:tcBorders>
            <w:shd w:val="clear" w:color="auto" w:fill="auto"/>
            <w:vAlign w:val="center"/>
            <w:hideMark/>
          </w:tcPr>
          <w:p w:rsidR="003B1A35" w:rsidRPr="005911E2" w:rsidRDefault="003B1A35" w:rsidP="003B1A35">
            <w:pPr>
              <w:spacing w:after="0" w:line="240" w:lineRule="auto"/>
              <w:ind w:left="0"/>
              <w:jc w:val="left"/>
              <w:rPr>
                <w:rFonts w:cs="Arial"/>
                <w:b/>
                <w:bCs/>
                <w:color w:val="000000"/>
                <w:sz w:val="18"/>
                <w:szCs w:val="18"/>
                <w:lang w:eastAsia="en-AU" w:bidi="ar-SA"/>
              </w:rPr>
            </w:pPr>
            <w:r w:rsidRPr="005911E2">
              <w:rPr>
                <w:rFonts w:cs="Arial"/>
                <w:b/>
                <w:bCs/>
                <w:color w:val="000000"/>
                <w:sz w:val="18"/>
                <w:szCs w:val="18"/>
                <w:lang w:eastAsia="en-AU" w:bidi="ar-SA"/>
              </w:rPr>
              <w:t>Principle: Person had stable payment patterns, budgeting practices &amp; is meeting priority needs from their income support &amp; family assistance payments.</w:t>
            </w:r>
          </w:p>
        </w:tc>
      </w:tr>
      <w:tr w:rsidR="003B1A35" w:rsidRPr="005911E2" w:rsidTr="00C86FD6">
        <w:trPr>
          <w:cantSplit/>
          <w:trHeight w:val="200"/>
        </w:trPr>
        <w:tc>
          <w:tcPr>
            <w:tcW w:w="0" w:type="auto"/>
            <w:vMerge w:val="restart"/>
            <w:tcBorders>
              <w:top w:val="outset" w:sz="6" w:space="0" w:color="auto"/>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Use of Centrepay.</w:t>
            </w:r>
          </w:p>
        </w:tc>
        <w:tc>
          <w:tcPr>
            <w:tcW w:w="0" w:type="auto"/>
            <w:tcBorders>
              <w:top w:val="outset" w:sz="6" w:space="0" w:color="auto"/>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Has the person used Centrepay previously?</w:t>
            </w:r>
          </w:p>
        </w:tc>
        <w:tc>
          <w:tcPr>
            <w:tcW w:w="0" w:type="auto"/>
            <w:tcBorders>
              <w:top w:val="outset" w:sz="6" w:space="0" w:color="auto"/>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Current or previous Centrepay arrangements.</w:t>
            </w:r>
          </w:p>
        </w:tc>
      </w:tr>
      <w:tr w:rsidR="003B1A35" w:rsidRPr="005911E2" w:rsidTr="00C86FD6">
        <w:trPr>
          <w:cantSplit/>
          <w:trHeight w:val="200"/>
        </w:trPr>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If Centrepay arrangements have been started and then stopped, what was the reason for this?</w:t>
            </w:r>
          </w:p>
        </w:tc>
        <w:tc>
          <w:tcPr>
            <w:tcW w:w="0" w:type="auto"/>
            <w:tcBorders>
              <w:top w:val="nil"/>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Length of time using Centrepay arrangements.</w:t>
            </w:r>
          </w:p>
        </w:tc>
      </w:tr>
      <w:tr w:rsidR="003B1A35" w:rsidRPr="005911E2" w:rsidTr="00C86FD6">
        <w:trPr>
          <w:cantSplit/>
          <w:trHeight w:val="200"/>
        </w:trPr>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Has the person enquired about Centrepay but found that the third party organisation is not registered?</w:t>
            </w:r>
          </w:p>
        </w:tc>
        <w:tc>
          <w:tcPr>
            <w:tcW w:w="0" w:type="auto"/>
            <w:tcBorders>
              <w:top w:val="nil"/>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Evidence of frequent changes to Centrepay - ons and offs.</w:t>
            </w:r>
          </w:p>
        </w:tc>
      </w:tr>
      <w:tr w:rsidR="003B1A35" w:rsidRPr="005911E2" w:rsidTr="00C86FD6">
        <w:trPr>
          <w:cantSplit/>
          <w:trHeight w:val="200"/>
        </w:trPr>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Was the person aware of Centrepay options?</w:t>
            </w:r>
          </w:p>
        </w:tc>
        <w:tc>
          <w:tcPr>
            <w:tcW w:w="0" w:type="auto"/>
            <w:tcBorders>
              <w:top w:val="nil"/>
              <w:left w:val="nil"/>
              <w:bottom w:val="nil"/>
              <w:right w:val="nil"/>
            </w:tcBorders>
            <w:shd w:val="clear" w:color="auto" w:fill="auto"/>
            <w:hideMark/>
          </w:tcPr>
          <w:p w:rsidR="003B1A35" w:rsidRPr="005911E2" w:rsidRDefault="003B1A35" w:rsidP="003B1A35">
            <w:pPr>
              <w:spacing w:after="0" w:line="240" w:lineRule="auto"/>
              <w:ind w:left="0"/>
              <w:jc w:val="left"/>
              <w:rPr>
                <w:rFonts w:ascii="Calibri" w:hAnsi="Calibri" w:cs="Calibri"/>
                <w:color w:val="000000"/>
                <w:lang w:eastAsia="en-AU" w:bidi="ar-SA"/>
              </w:rPr>
            </w:pPr>
          </w:p>
        </w:tc>
      </w:tr>
      <w:tr w:rsidR="003B1A35" w:rsidRPr="005911E2" w:rsidTr="00C86FD6">
        <w:trPr>
          <w:cantSplit/>
          <w:trHeight w:val="200"/>
        </w:trPr>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If the person has not used Centrepay was this because they were able to pay their bills on time without it?</w:t>
            </w:r>
          </w:p>
        </w:tc>
        <w:tc>
          <w:tcPr>
            <w:tcW w:w="0" w:type="auto"/>
            <w:tcBorders>
              <w:top w:val="nil"/>
              <w:left w:val="nil"/>
              <w:bottom w:val="nil"/>
              <w:right w:val="nil"/>
            </w:tcBorders>
            <w:shd w:val="clear" w:color="auto" w:fill="auto"/>
            <w:hideMark/>
          </w:tcPr>
          <w:p w:rsidR="003B1A35" w:rsidRPr="005911E2" w:rsidRDefault="003B1A35" w:rsidP="003B1A35">
            <w:pPr>
              <w:spacing w:after="0" w:line="240" w:lineRule="auto"/>
              <w:ind w:left="0"/>
              <w:jc w:val="left"/>
              <w:rPr>
                <w:rFonts w:ascii="Calibri" w:hAnsi="Calibri" w:cs="Calibri"/>
                <w:color w:val="000000"/>
                <w:lang w:eastAsia="en-AU" w:bidi="ar-SA"/>
              </w:rPr>
            </w:pPr>
          </w:p>
        </w:tc>
      </w:tr>
      <w:tr w:rsidR="003B1A35" w:rsidRPr="005911E2" w:rsidTr="00C86FD6">
        <w:trPr>
          <w:cantSplit/>
          <w:trHeight w:val="200"/>
        </w:trPr>
        <w:tc>
          <w:tcPr>
            <w:tcW w:w="0" w:type="auto"/>
            <w:vMerge w:val="restart"/>
            <w:tcBorders>
              <w:top w:val="nil"/>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Money management courses.</w:t>
            </w:r>
          </w:p>
        </w:tc>
        <w:tc>
          <w:tcPr>
            <w:tcW w:w="0" w:type="auto"/>
            <w:tcBorders>
              <w:top w:val="nil"/>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xml:space="preserve">- Has the person completed an </w:t>
            </w:r>
            <w:r w:rsidR="00553384" w:rsidRPr="005911E2">
              <w:rPr>
                <w:rFonts w:cs="Arial"/>
                <w:color w:val="000000"/>
                <w:sz w:val="18"/>
                <w:szCs w:val="18"/>
                <w:lang w:eastAsia="en-AU" w:bidi="ar-SA"/>
              </w:rPr>
              <w:t>Approved Money Management</w:t>
            </w:r>
            <w:r w:rsidRPr="005911E2">
              <w:rPr>
                <w:rFonts w:cs="Arial"/>
                <w:color w:val="000000"/>
                <w:sz w:val="18"/>
                <w:szCs w:val="18"/>
                <w:lang w:eastAsia="en-AU" w:bidi="ar-SA"/>
              </w:rPr>
              <w:t xml:space="preserve"> course?</w:t>
            </w:r>
          </w:p>
        </w:tc>
        <w:tc>
          <w:tcPr>
            <w:tcW w:w="0" w:type="auto"/>
            <w:vMerge w:val="restart"/>
            <w:tcBorders>
              <w:top w:val="nil"/>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ascii="Calibri" w:hAnsi="Calibri" w:cs="Calibri"/>
                <w:color w:val="0000FF"/>
                <w:u w:val="single"/>
                <w:lang w:eastAsia="en-AU" w:bidi="ar-SA"/>
              </w:rPr>
            </w:pPr>
            <w:r w:rsidRPr="005911E2">
              <w:rPr>
                <w:rFonts w:cs="Arial"/>
                <w:color w:val="000000"/>
                <w:sz w:val="18"/>
                <w:szCs w:val="18"/>
                <w:lang w:eastAsia="en-AU" w:bidi="ar-SA"/>
              </w:rPr>
              <w:t>Grant of MSP. Previous referrals coded in the referrals cluster.</w:t>
            </w:r>
          </w:p>
        </w:tc>
      </w:tr>
      <w:tr w:rsidR="003B1A35" w:rsidRPr="005911E2" w:rsidTr="00C86FD6">
        <w:trPr>
          <w:cantSplit/>
          <w:trHeight w:val="200"/>
        </w:trPr>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Did the person develop a personal budget as a result of attending this course?</w:t>
            </w:r>
          </w:p>
        </w:tc>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ascii="Calibri" w:hAnsi="Calibri" w:cs="Calibri"/>
                <w:color w:val="0000FF"/>
                <w:u w:val="single"/>
                <w:lang w:eastAsia="en-AU" w:bidi="ar-SA"/>
              </w:rPr>
            </w:pPr>
          </w:p>
        </w:tc>
      </w:tr>
      <w:tr w:rsidR="003B1A35" w:rsidRPr="005911E2" w:rsidTr="002459AC">
        <w:trPr>
          <w:cantSplit/>
          <w:trHeight w:val="200"/>
        </w:trPr>
        <w:tc>
          <w:tcPr>
            <w:tcW w:w="0" w:type="auto"/>
            <w:vMerge/>
            <w:tcBorders>
              <w:top w:val="nil"/>
              <w:left w:val="nil"/>
              <w:bottom w:val="single" w:sz="4" w:space="0" w:color="auto"/>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single" w:sz="4" w:space="0" w:color="auto"/>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Did the person stick to the budget or achieve any financial goals (significant purchases e.g. white goods, saving money for a specific purpose etc.) as a result of attending the course?</w:t>
            </w:r>
          </w:p>
        </w:tc>
        <w:tc>
          <w:tcPr>
            <w:tcW w:w="0" w:type="auto"/>
            <w:vMerge/>
            <w:tcBorders>
              <w:top w:val="nil"/>
              <w:left w:val="nil"/>
              <w:bottom w:val="single" w:sz="4" w:space="0" w:color="auto"/>
              <w:right w:val="nil"/>
            </w:tcBorders>
            <w:vAlign w:val="center"/>
            <w:hideMark/>
          </w:tcPr>
          <w:p w:rsidR="003B1A35" w:rsidRPr="005911E2" w:rsidRDefault="003B1A35" w:rsidP="003B1A35">
            <w:pPr>
              <w:spacing w:after="0" w:line="240" w:lineRule="auto"/>
              <w:ind w:left="0"/>
              <w:jc w:val="left"/>
              <w:rPr>
                <w:rFonts w:ascii="Calibri" w:hAnsi="Calibri" w:cs="Calibri"/>
                <w:color w:val="0000FF"/>
                <w:u w:val="single"/>
                <w:lang w:eastAsia="en-AU" w:bidi="ar-SA"/>
              </w:rPr>
            </w:pPr>
          </w:p>
        </w:tc>
      </w:tr>
      <w:tr w:rsidR="003B1A35" w:rsidRPr="005911E2" w:rsidTr="002459AC">
        <w:trPr>
          <w:cantSplit/>
          <w:trHeight w:val="200"/>
        </w:trPr>
        <w:tc>
          <w:tcPr>
            <w:tcW w:w="0" w:type="auto"/>
            <w:vMerge w:val="restart"/>
            <w:tcBorders>
              <w:top w:val="single" w:sz="4" w:space="0" w:color="auto"/>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Demonstrated budgeting and savings.</w:t>
            </w:r>
          </w:p>
        </w:tc>
        <w:tc>
          <w:tcPr>
            <w:tcW w:w="0" w:type="auto"/>
            <w:tcBorders>
              <w:top w:val="single" w:sz="4" w:space="0" w:color="auto"/>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Does the person have a budget?</w:t>
            </w:r>
          </w:p>
        </w:tc>
        <w:tc>
          <w:tcPr>
            <w:tcW w:w="0" w:type="auto"/>
            <w:vMerge w:val="restart"/>
            <w:tcBorders>
              <w:top w:val="single" w:sz="4" w:space="0" w:color="auto"/>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Evidence of budgeting activity.</w:t>
            </w:r>
          </w:p>
        </w:tc>
      </w:tr>
      <w:tr w:rsidR="003B1A35" w:rsidRPr="005911E2" w:rsidTr="00C86FD6">
        <w:trPr>
          <w:cantSplit/>
          <w:trHeight w:val="200"/>
        </w:trPr>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Does the person have any financial goals and a plan for achieving them?</w:t>
            </w:r>
          </w:p>
        </w:tc>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r>
      <w:tr w:rsidR="003B1A35" w:rsidRPr="005911E2" w:rsidTr="00C86FD6">
        <w:trPr>
          <w:cantSplit/>
          <w:trHeight w:val="200"/>
        </w:trPr>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Has the person been evicted for not paying rent in the last 12 months? If so, how did this come about?</w:t>
            </w:r>
          </w:p>
        </w:tc>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r>
      <w:tr w:rsidR="003B1A35" w:rsidRPr="005911E2" w:rsidTr="00C86FD6">
        <w:trPr>
          <w:cantSplit/>
          <w:trHeight w:val="200"/>
        </w:trPr>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Has the person had a service or utility disconnected in the last 12 months? If so, how did this come about?</w:t>
            </w:r>
          </w:p>
        </w:tc>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r>
      <w:tr w:rsidR="003B1A35" w:rsidRPr="005911E2" w:rsidTr="00C86FD6">
        <w:trPr>
          <w:cantSplit/>
          <w:trHeight w:val="200"/>
        </w:trPr>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Has the person used lay-by to purchase any significant items (e.g. white goods) in the last 12 months?</w:t>
            </w:r>
          </w:p>
        </w:tc>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r>
      <w:tr w:rsidR="003B1A35" w:rsidRPr="005911E2" w:rsidTr="00C86FD6">
        <w:trPr>
          <w:cantSplit/>
          <w:trHeight w:val="200"/>
        </w:trPr>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xml:space="preserve">- Does the person have any regular payment set up outside of Centrepay or income management - such as direct credit instalment payment of utilities </w:t>
            </w:r>
            <w:r w:rsidR="00CF545F" w:rsidRPr="005911E2">
              <w:rPr>
                <w:rFonts w:cs="Arial"/>
                <w:color w:val="000000"/>
                <w:sz w:val="18"/>
                <w:szCs w:val="18"/>
                <w:lang w:eastAsia="en-AU" w:bidi="ar-SA"/>
              </w:rPr>
              <w:t>etc.</w:t>
            </w:r>
            <w:r w:rsidRPr="005911E2">
              <w:rPr>
                <w:rFonts w:cs="Arial"/>
                <w:color w:val="000000"/>
                <w:sz w:val="18"/>
                <w:szCs w:val="18"/>
                <w:lang w:eastAsia="en-AU" w:bidi="ar-SA"/>
              </w:rPr>
              <w:t>?</w:t>
            </w:r>
          </w:p>
        </w:tc>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r>
      <w:tr w:rsidR="003B1A35" w:rsidRPr="005911E2" w:rsidTr="00C86FD6">
        <w:trPr>
          <w:cantSplit/>
          <w:trHeight w:val="200"/>
        </w:trPr>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How does the person plan to pay for large bills like car registration or winter gas/electricity bills?</w:t>
            </w:r>
          </w:p>
        </w:tc>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r>
      <w:tr w:rsidR="003B1A35" w:rsidRPr="005911E2" w:rsidTr="00C86FD6">
        <w:trPr>
          <w:cantSplit/>
          <w:trHeight w:val="200"/>
        </w:trPr>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Does the person have a good idea about what all their expenses are and how much income they have each week/fortnight?</w:t>
            </w:r>
          </w:p>
        </w:tc>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r>
      <w:tr w:rsidR="003B1A35" w:rsidRPr="005911E2" w:rsidTr="002459AC">
        <w:trPr>
          <w:cantSplit/>
          <w:trHeight w:val="200"/>
        </w:trPr>
        <w:tc>
          <w:tcPr>
            <w:tcW w:w="0" w:type="auto"/>
            <w:vMerge/>
            <w:tcBorders>
              <w:top w:val="nil"/>
              <w:left w:val="nil"/>
              <w:bottom w:val="single" w:sz="4" w:space="0" w:color="auto"/>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single" w:sz="4" w:space="0" w:color="auto"/>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Does the person have unpaid fines or significant debts?</w:t>
            </w:r>
          </w:p>
        </w:tc>
        <w:tc>
          <w:tcPr>
            <w:tcW w:w="0" w:type="auto"/>
            <w:vMerge/>
            <w:tcBorders>
              <w:top w:val="nil"/>
              <w:left w:val="nil"/>
              <w:bottom w:val="single" w:sz="4" w:space="0" w:color="auto"/>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r>
      <w:tr w:rsidR="003B1A35" w:rsidRPr="005911E2" w:rsidTr="002459AC">
        <w:trPr>
          <w:cantSplit/>
          <w:trHeight w:val="200"/>
        </w:trPr>
        <w:tc>
          <w:tcPr>
            <w:tcW w:w="0" w:type="auto"/>
            <w:vMerge w:val="restart"/>
            <w:tcBorders>
              <w:top w:val="single" w:sz="4" w:space="0" w:color="auto"/>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BasicsCard declined transactions (incurred at the fault of the person).</w:t>
            </w:r>
          </w:p>
        </w:tc>
        <w:tc>
          <w:tcPr>
            <w:tcW w:w="0" w:type="auto"/>
            <w:tcBorders>
              <w:top w:val="single" w:sz="4" w:space="0" w:color="auto"/>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Why has the person had a high number of declined transactions?</w:t>
            </w:r>
          </w:p>
        </w:tc>
        <w:tc>
          <w:tcPr>
            <w:tcW w:w="0" w:type="auto"/>
            <w:vMerge w:val="restart"/>
            <w:tcBorders>
              <w:top w:val="single" w:sz="4" w:space="0" w:color="auto"/>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Evidence of high number of declined transactions (incurred at the fault of the person).</w:t>
            </w:r>
          </w:p>
        </w:tc>
      </w:tr>
      <w:tr w:rsidR="003B1A35" w:rsidRPr="005911E2" w:rsidTr="00C86FD6">
        <w:trPr>
          <w:cantSplit/>
          <w:trHeight w:val="200"/>
        </w:trPr>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How does the person typically plan to pay for groceries each week/fortnight?</w:t>
            </w:r>
          </w:p>
        </w:tc>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r>
      <w:tr w:rsidR="003B1A35" w:rsidRPr="005911E2" w:rsidTr="00C86FD6">
        <w:trPr>
          <w:cantSplit/>
          <w:trHeight w:val="200"/>
        </w:trPr>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Is money set aside or does the person spend what's left on their card?</w:t>
            </w:r>
          </w:p>
        </w:tc>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r>
      <w:tr w:rsidR="003B1A35" w:rsidRPr="005911E2" w:rsidTr="00C86FD6">
        <w:trPr>
          <w:cantSplit/>
          <w:trHeight w:val="200"/>
        </w:trPr>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When the person goes shopping, do they have a good idea about what they need and how much it's going to cost?</w:t>
            </w:r>
          </w:p>
        </w:tc>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r>
      <w:tr w:rsidR="003B1A35" w:rsidRPr="005911E2" w:rsidTr="00C86FD6">
        <w:trPr>
          <w:cantSplit/>
          <w:trHeight w:val="200"/>
        </w:trPr>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When the person has insufficient funds to purchase all the things they want, how do they decide what to buy and what to put back (are essential food items being covered)?</w:t>
            </w:r>
          </w:p>
        </w:tc>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r>
      <w:tr w:rsidR="003B1A35" w:rsidRPr="005911E2" w:rsidTr="00C86FD6">
        <w:trPr>
          <w:cantSplit/>
          <w:trHeight w:val="200"/>
        </w:trPr>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Why has the person had a high number of declined transactions?</w:t>
            </w:r>
          </w:p>
        </w:tc>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r>
      <w:tr w:rsidR="003B1A35" w:rsidRPr="005911E2" w:rsidTr="00C86FD6">
        <w:trPr>
          <w:cantSplit/>
          <w:trHeight w:val="200"/>
        </w:trPr>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How does the person typically plan to pay for groceries each week/fortnight?</w:t>
            </w:r>
          </w:p>
        </w:tc>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r>
      <w:tr w:rsidR="003B1A35" w:rsidRPr="005911E2" w:rsidTr="00C86FD6">
        <w:trPr>
          <w:cantSplit/>
          <w:trHeight w:val="200"/>
        </w:trPr>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Is money set aside or does the person spend what's left on their card?</w:t>
            </w:r>
          </w:p>
        </w:tc>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r>
      <w:tr w:rsidR="003B1A35" w:rsidRPr="005911E2" w:rsidTr="00C86FD6">
        <w:trPr>
          <w:cantSplit/>
          <w:trHeight w:val="200"/>
        </w:trPr>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When the person goes shopping, do they have a good idea about what they need and how much it's going to cost?</w:t>
            </w:r>
          </w:p>
        </w:tc>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r>
      <w:tr w:rsidR="003B1A35" w:rsidRPr="005911E2" w:rsidTr="002459AC">
        <w:trPr>
          <w:cantSplit/>
          <w:trHeight w:val="200"/>
        </w:trPr>
        <w:tc>
          <w:tcPr>
            <w:tcW w:w="0" w:type="auto"/>
            <w:vMerge/>
            <w:tcBorders>
              <w:top w:val="nil"/>
              <w:left w:val="nil"/>
              <w:bottom w:val="single" w:sz="4" w:space="0" w:color="auto"/>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single" w:sz="4" w:space="0" w:color="auto"/>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When the person has insufficient funds to purchase all the things they want, how do they decide what to buy and what to put back (are essential food items being covered)?</w:t>
            </w:r>
          </w:p>
        </w:tc>
        <w:tc>
          <w:tcPr>
            <w:tcW w:w="0" w:type="auto"/>
            <w:vMerge/>
            <w:tcBorders>
              <w:top w:val="nil"/>
              <w:left w:val="nil"/>
              <w:bottom w:val="single" w:sz="4" w:space="0" w:color="auto"/>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r>
      <w:tr w:rsidR="003B1A35" w:rsidRPr="005911E2" w:rsidTr="002459AC">
        <w:trPr>
          <w:cantSplit/>
          <w:trHeight w:val="200"/>
        </w:trPr>
        <w:tc>
          <w:tcPr>
            <w:tcW w:w="0" w:type="auto"/>
            <w:vMerge w:val="restart"/>
            <w:tcBorders>
              <w:top w:val="single" w:sz="4" w:space="0" w:color="auto"/>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Replacement BasicsCards.</w:t>
            </w:r>
          </w:p>
        </w:tc>
        <w:tc>
          <w:tcPr>
            <w:tcW w:w="0" w:type="auto"/>
            <w:tcBorders>
              <w:top w:val="single" w:sz="4" w:space="0" w:color="auto"/>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What are the reasons why the person has needed replacement BasicsCards?</w:t>
            </w:r>
          </w:p>
        </w:tc>
        <w:tc>
          <w:tcPr>
            <w:tcW w:w="0" w:type="auto"/>
            <w:vMerge w:val="restart"/>
            <w:tcBorders>
              <w:top w:val="single" w:sz="4" w:space="0" w:color="auto"/>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Evidence of frequent replacement BasicsCards.</w:t>
            </w:r>
          </w:p>
        </w:tc>
      </w:tr>
      <w:tr w:rsidR="003B1A35" w:rsidRPr="005911E2" w:rsidTr="00C86FD6">
        <w:trPr>
          <w:cantSplit/>
          <w:trHeight w:val="200"/>
        </w:trPr>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Has the person given their personal identification number (PIN) to anyone else and had money taken from their account without their permission?</w:t>
            </w:r>
          </w:p>
        </w:tc>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r>
      <w:tr w:rsidR="003B1A35" w:rsidRPr="005911E2" w:rsidTr="00C86FD6">
        <w:trPr>
          <w:cantSplit/>
          <w:trHeight w:val="200"/>
        </w:trPr>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Does the person use book-up and leave their card at the shop?</w:t>
            </w:r>
          </w:p>
        </w:tc>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r>
      <w:tr w:rsidR="003B1A35" w:rsidRPr="005911E2" w:rsidTr="00C86FD6">
        <w:trPr>
          <w:cantSplit/>
          <w:trHeight w:val="200"/>
        </w:trPr>
        <w:tc>
          <w:tcPr>
            <w:tcW w:w="0" w:type="auto"/>
            <w:vMerge/>
            <w:tcBorders>
              <w:top w:val="nil"/>
              <w:left w:val="nil"/>
              <w:bottom w:val="outset" w:sz="6" w:space="0" w:color="auto"/>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outset" w:sz="6" w:space="0" w:color="auto"/>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Do people take and use their card without their permission?</w:t>
            </w:r>
          </w:p>
        </w:tc>
        <w:tc>
          <w:tcPr>
            <w:tcW w:w="0" w:type="auto"/>
            <w:vMerge/>
            <w:tcBorders>
              <w:top w:val="nil"/>
              <w:left w:val="nil"/>
              <w:bottom w:val="outset" w:sz="6" w:space="0" w:color="auto"/>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r>
      <w:tr w:rsidR="003B1A35" w:rsidRPr="005911E2" w:rsidTr="00C86FD6">
        <w:trPr>
          <w:cantSplit/>
          <w:trHeight w:val="200"/>
        </w:trPr>
        <w:tc>
          <w:tcPr>
            <w:tcW w:w="0" w:type="auto"/>
            <w:gridSpan w:val="3"/>
            <w:tcBorders>
              <w:top w:val="outset" w:sz="6" w:space="0" w:color="auto"/>
              <w:left w:val="nil"/>
              <w:bottom w:val="outset" w:sz="6" w:space="0" w:color="auto"/>
              <w:right w:val="nil"/>
            </w:tcBorders>
            <w:shd w:val="clear" w:color="auto" w:fill="auto"/>
            <w:vAlign w:val="center"/>
            <w:hideMark/>
          </w:tcPr>
          <w:p w:rsidR="003B1A35" w:rsidRPr="005911E2" w:rsidRDefault="003B1A35" w:rsidP="003B1A35">
            <w:pPr>
              <w:spacing w:after="0" w:line="240" w:lineRule="auto"/>
              <w:ind w:left="0"/>
              <w:jc w:val="left"/>
              <w:rPr>
                <w:rFonts w:cs="Arial"/>
                <w:b/>
                <w:bCs/>
                <w:color w:val="000000"/>
                <w:sz w:val="18"/>
                <w:szCs w:val="18"/>
                <w:lang w:eastAsia="en-AU" w:bidi="ar-SA"/>
              </w:rPr>
            </w:pPr>
            <w:r w:rsidRPr="005911E2">
              <w:rPr>
                <w:rFonts w:cs="Arial"/>
                <w:b/>
                <w:bCs/>
                <w:color w:val="000000"/>
                <w:sz w:val="18"/>
                <w:szCs w:val="18"/>
                <w:lang w:eastAsia="en-AU" w:bidi="ar-SA"/>
              </w:rPr>
              <w:t>Principle: Person did not regularly require urgent funds to pay for foreseeable costs, or did not frequently change their income support pay dates &amp; consideration is given to the reason for seeking the urgent payment.</w:t>
            </w:r>
          </w:p>
        </w:tc>
      </w:tr>
      <w:tr w:rsidR="003B1A35" w:rsidRPr="005911E2" w:rsidTr="00C86FD6">
        <w:trPr>
          <w:cantSplit/>
          <w:trHeight w:val="200"/>
        </w:trPr>
        <w:tc>
          <w:tcPr>
            <w:tcW w:w="0" w:type="auto"/>
            <w:vMerge w:val="restart"/>
            <w:tcBorders>
              <w:top w:val="outset" w:sz="6" w:space="0" w:color="auto"/>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Urgent payments.</w:t>
            </w:r>
          </w:p>
        </w:tc>
        <w:tc>
          <w:tcPr>
            <w:tcW w:w="0" w:type="auto"/>
            <w:tcBorders>
              <w:top w:val="outset" w:sz="6" w:space="0" w:color="auto"/>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xml:space="preserve">- Is there a pattern suggesting that the person is applying for urgent payments for the same things each time - late rent, utility bills, public transport costs </w:t>
            </w:r>
            <w:r w:rsidR="00CF545F" w:rsidRPr="005911E2">
              <w:rPr>
                <w:rFonts w:cs="Arial"/>
                <w:color w:val="000000"/>
                <w:sz w:val="18"/>
                <w:szCs w:val="18"/>
                <w:lang w:eastAsia="en-AU" w:bidi="ar-SA"/>
              </w:rPr>
              <w:t>etc.</w:t>
            </w:r>
            <w:r w:rsidRPr="005911E2">
              <w:rPr>
                <w:rFonts w:cs="Arial"/>
                <w:color w:val="000000"/>
                <w:sz w:val="18"/>
                <w:szCs w:val="18"/>
                <w:lang w:eastAsia="en-AU" w:bidi="ar-SA"/>
              </w:rPr>
              <w:t>?</w:t>
            </w:r>
          </w:p>
        </w:tc>
        <w:tc>
          <w:tcPr>
            <w:tcW w:w="0" w:type="auto"/>
            <w:vMerge w:val="restart"/>
            <w:tcBorders>
              <w:top w:val="outset" w:sz="6" w:space="0" w:color="auto"/>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Urgent payment applications that have been granted or rejected in the last 12 months.</w:t>
            </w:r>
          </w:p>
        </w:tc>
      </w:tr>
      <w:tr w:rsidR="003B1A35" w:rsidRPr="005911E2" w:rsidTr="00C86FD6">
        <w:trPr>
          <w:cantSplit/>
          <w:trHeight w:val="200"/>
        </w:trPr>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Does the urgent funds application relate to expenditure that the person could have foreseen and planned for?</w:t>
            </w:r>
          </w:p>
        </w:tc>
        <w:tc>
          <w:tcPr>
            <w:tcW w:w="0" w:type="auto"/>
            <w:vMerge/>
            <w:tcBorders>
              <w:top w:val="nil"/>
              <w:left w:val="nil"/>
              <w:bottom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r>
      <w:tr w:rsidR="003B1A35" w:rsidRPr="005911E2" w:rsidTr="00C86FD6">
        <w:trPr>
          <w:cantSplit/>
          <w:trHeight w:val="200"/>
        </w:trPr>
        <w:tc>
          <w:tcPr>
            <w:tcW w:w="0" w:type="auto"/>
            <w:vMerge/>
            <w:tcBorders>
              <w:top w:val="nil"/>
              <w:left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If the urgent payment applications have been rejected, what were the reasons?</w:t>
            </w:r>
          </w:p>
        </w:tc>
        <w:tc>
          <w:tcPr>
            <w:tcW w:w="0" w:type="auto"/>
            <w:vMerge/>
            <w:tcBorders>
              <w:top w:val="nil"/>
              <w:left w:val="nil"/>
              <w:right w:val="nil"/>
            </w:tcBorders>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p>
        </w:tc>
      </w:tr>
      <w:tr w:rsidR="003B1A35" w:rsidRPr="005911E2" w:rsidTr="00C86FD6">
        <w:trPr>
          <w:cantSplit/>
          <w:trHeight w:val="200"/>
        </w:trPr>
        <w:tc>
          <w:tcPr>
            <w:tcW w:w="0" w:type="auto"/>
            <w:tcBorders>
              <w:top w:val="nil"/>
              <w:left w:val="nil"/>
              <w:bottom w:val="outset" w:sz="6" w:space="0" w:color="auto"/>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Change of payday code.</w:t>
            </w:r>
          </w:p>
        </w:tc>
        <w:tc>
          <w:tcPr>
            <w:tcW w:w="0" w:type="auto"/>
            <w:tcBorders>
              <w:top w:val="nil"/>
              <w:left w:val="nil"/>
              <w:bottom w:val="outset" w:sz="6" w:space="0" w:color="auto"/>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What are the reasons for the payday code changes?</w:t>
            </w:r>
          </w:p>
        </w:tc>
        <w:tc>
          <w:tcPr>
            <w:tcW w:w="0" w:type="auto"/>
            <w:tcBorders>
              <w:top w:val="nil"/>
              <w:left w:val="nil"/>
              <w:bottom w:val="outset" w:sz="6" w:space="0" w:color="auto"/>
              <w:right w:val="nil"/>
            </w:tcBorders>
            <w:shd w:val="clear" w:color="auto" w:fill="auto"/>
            <w:vAlign w:val="center"/>
            <w:hideMark/>
          </w:tcPr>
          <w:p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Evidence of frequent payday code changes.</w:t>
            </w:r>
          </w:p>
        </w:tc>
      </w:tr>
    </w:tbl>
    <w:p w:rsidR="003B1A35" w:rsidRPr="003645D1" w:rsidRDefault="003B3BD2" w:rsidP="003B1A35">
      <w:pPr>
        <w:spacing w:before="100" w:beforeAutospacing="1" w:after="100" w:afterAutospacing="1" w:line="240" w:lineRule="auto"/>
        <w:ind w:left="0"/>
        <w:jc w:val="left"/>
        <w:rPr>
          <w:rFonts w:cs="Arial"/>
          <w:sz w:val="18"/>
          <w:lang w:eastAsia="en-AU" w:bidi="ar-SA"/>
        </w:rPr>
      </w:pPr>
      <w:r w:rsidRPr="003645D1">
        <w:rPr>
          <w:rFonts w:cs="Arial"/>
          <w:sz w:val="18"/>
          <w:lang w:eastAsia="en-AU" w:bidi="ar-SA"/>
        </w:rPr>
        <w:t>Source: Australian Government (2012)</w:t>
      </w:r>
      <w:r w:rsidR="000238F6">
        <w:rPr>
          <w:rFonts w:cs="Arial"/>
          <w:sz w:val="18"/>
          <w:lang w:eastAsia="en-AU" w:bidi="ar-SA"/>
        </w:rPr>
        <w:t>,</w:t>
      </w:r>
      <w:r w:rsidRPr="003645D1">
        <w:rPr>
          <w:rFonts w:cs="Arial"/>
          <w:sz w:val="18"/>
          <w:lang w:eastAsia="en-AU" w:bidi="ar-SA"/>
        </w:rPr>
        <w:t xml:space="preserve"> Section 11.1.14</w:t>
      </w:r>
      <w:r w:rsidR="00D55763">
        <w:rPr>
          <w:rFonts w:cs="Arial"/>
          <w:sz w:val="18"/>
          <w:lang w:eastAsia="en-AU" w:bidi="ar-SA"/>
        </w:rPr>
        <w:t>.</w:t>
      </w:r>
      <w:r w:rsidRPr="003645D1">
        <w:rPr>
          <w:rFonts w:cs="Arial"/>
          <w:sz w:val="18"/>
          <w:lang w:eastAsia="en-AU" w:bidi="ar-SA"/>
        </w:rPr>
        <w:t xml:space="preserve"> </w:t>
      </w:r>
    </w:p>
    <w:p w:rsidR="007520E9" w:rsidRPr="005911E2" w:rsidRDefault="00991B4C">
      <w:pPr>
        <w:spacing w:after="0" w:line="240" w:lineRule="auto"/>
        <w:ind w:left="0"/>
        <w:jc w:val="left"/>
        <w:rPr>
          <w:rFonts w:cs="Arial"/>
          <w:lang w:eastAsia="en-AU" w:bidi="ar-SA"/>
        </w:rPr>
      </w:pPr>
      <w:r w:rsidRPr="005911E2">
        <w:rPr>
          <w:rFonts w:cs="Arial"/>
          <w:lang w:eastAsia="en-AU" w:bidi="ar-SA"/>
        </w:rPr>
        <w:br w:type="page"/>
      </w:r>
    </w:p>
    <w:p w:rsidR="00991B4C" w:rsidRPr="005911E2" w:rsidRDefault="007520E9" w:rsidP="003E2B11">
      <w:pPr>
        <w:pStyle w:val="attachtitle"/>
        <w:rPr>
          <w:lang w:eastAsia="en-AU" w:bidi="ar-SA"/>
        </w:rPr>
      </w:pPr>
      <w:bookmarkStart w:id="1271" w:name="_Ref321245930"/>
      <w:bookmarkStart w:id="1272" w:name="_Toc328601565"/>
      <w:bookmarkStart w:id="1273" w:name="_Toc329870445"/>
      <w:bookmarkStart w:id="1274" w:name="_Toc335915831"/>
      <w:r w:rsidRPr="005911E2">
        <w:rPr>
          <w:lang w:eastAsia="en-AU" w:bidi="ar-SA"/>
        </w:rPr>
        <w:t>Terms and Conditions for BasicsCard</w:t>
      </w:r>
      <w:bookmarkEnd w:id="1271"/>
      <w:bookmarkEnd w:id="1272"/>
      <w:bookmarkEnd w:id="1273"/>
      <w:bookmarkEnd w:id="1274"/>
    </w:p>
    <w:p w:rsidR="00C34821" w:rsidRPr="005911E2" w:rsidRDefault="007520E9">
      <w:pPr>
        <w:spacing w:after="0" w:line="240" w:lineRule="auto"/>
        <w:ind w:left="0"/>
        <w:jc w:val="left"/>
        <w:rPr>
          <w:lang w:eastAsia="en-AU" w:bidi="ar-SA"/>
        </w:rPr>
      </w:pPr>
      <w:r w:rsidRPr="005911E2">
        <w:rPr>
          <w:lang w:eastAsia="en-AU" w:bidi="ar-SA"/>
        </w:rPr>
        <w:br w:type="page"/>
      </w:r>
      <w:r w:rsidR="008D5001">
        <w:rPr>
          <w:lang w:eastAsia="en-AU" w:bidi="ar-SA"/>
        </w:rPr>
        <w:t>See separate document</w:t>
      </w:r>
      <w:r w:rsidR="00C34821" w:rsidRPr="005911E2">
        <w:rPr>
          <w:lang w:eastAsia="en-AU" w:bidi="ar-SA"/>
        </w:rPr>
        <w:br w:type="page"/>
      </w:r>
    </w:p>
    <w:p w:rsidR="00C34821" w:rsidRPr="005911E2" w:rsidRDefault="008D5001">
      <w:pPr>
        <w:spacing w:after="0" w:line="240" w:lineRule="auto"/>
        <w:ind w:left="0"/>
        <w:jc w:val="left"/>
        <w:rPr>
          <w:bCs/>
          <w:color w:val="000000"/>
          <w:szCs w:val="24"/>
          <w:lang w:eastAsia="en-AU" w:bidi="ar-SA"/>
        </w:rPr>
      </w:pPr>
      <w:r>
        <w:t xml:space="preserve">Page intentionally left blank </w:t>
      </w:r>
      <w:r w:rsidR="00C34821" w:rsidRPr="005911E2">
        <w:rPr>
          <w:bCs/>
          <w:color w:val="000000"/>
          <w:szCs w:val="24"/>
          <w:lang w:eastAsia="en-AU" w:bidi="ar-SA"/>
        </w:rPr>
        <w:br w:type="page"/>
      </w:r>
    </w:p>
    <w:p w:rsidR="00C34821" w:rsidRPr="005911E2" w:rsidRDefault="008D5001">
      <w:pPr>
        <w:spacing w:after="0" w:line="240" w:lineRule="auto"/>
        <w:ind w:left="0"/>
        <w:jc w:val="left"/>
        <w:rPr>
          <w:bCs/>
          <w:color w:val="000000"/>
          <w:szCs w:val="24"/>
          <w:lang w:eastAsia="en-AU" w:bidi="ar-SA"/>
        </w:rPr>
      </w:pPr>
      <w:r>
        <w:t xml:space="preserve">Page intentionally left blank </w:t>
      </w:r>
      <w:r w:rsidR="00C34821" w:rsidRPr="005911E2">
        <w:rPr>
          <w:bCs/>
          <w:color w:val="000000"/>
          <w:szCs w:val="24"/>
          <w:lang w:eastAsia="en-AU" w:bidi="ar-SA"/>
        </w:rPr>
        <w:br w:type="page"/>
      </w:r>
    </w:p>
    <w:p w:rsidR="00C34821" w:rsidRPr="005911E2" w:rsidRDefault="008D5001">
      <w:pPr>
        <w:spacing w:after="0" w:line="240" w:lineRule="auto"/>
        <w:ind w:left="0"/>
        <w:jc w:val="left"/>
        <w:rPr>
          <w:bCs/>
          <w:color w:val="000000"/>
          <w:szCs w:val="24"/>
          <w:lang w:eastAsia="en-AU" w:bidi="ar-SA"/>
        </w:rPr>
      </w:pPr>
      <w:r>
        <w:t xml:space="preserve">Page intentionally left blank </w:t>
      </w:r>
      <w:r w:rsidR="00C34821" w:rsidRPr="005911E2">
        <w:rPr>
          <w:bCs/>
          <w:color w:val="000000"/>
          <w:szCs w:val="24"/>
          <w:lang w:eastAsia="en-AU" w:bidi="ar-SA"/>
        </w:rPr>
        <w:br w:type="page"/>
      </w:r>
    </w:p>
    <w:p w:rsidR="00C34821" w:rsidRPr="005911E2" w:rsidRDefault="008D5001">
      <w:pPr>
        <w:spacing w:after="0" w:line="240" w:lineRule="auto"/>
        <w:ind w:left="0"/>
        <w:jc w:val="left"/>
        <w:rPr>
          <w:bCs/>
          <w:color w:val="000000"/>
          <w:szCs w:val="24"/>
          <w:lang w:eastAsia="en-AU" w:bidi="ar-SA"/>
        </w:rPr>
      </w:pPr>
      <w:r>
        <w:t xml:space="preserve">Page intentionally left blank </w:t>
      </w:r>
      <w:r w:rsidR="00C34821" w:rsidRPr="005911E2">
        <w:rPr>
          <w:bCs/>
          <w:color w:val="000000"/>
          <w:szCs w:val="24"/>
          <w:lang w:eastAsia="en-AU" w:bidi="ar-SA"/>
        </w:rPr>
        <w:br w:type="page"/>
      </w:r>
    </w:p>
    <w:p w:rsidR="007520E9" w:rsidRPr="005911E2" w:rsidRDefault="007520E9">
      <w:pPr>
        <w:spacing w:after="0" w:line="240" w:lineRule="auto"/>
        <w:ind w:left="0"/>
        <w:jc w:val="left"/>
        <w:rPr>
          <w:bCs/>
          <w:color w:val="000000"/>
          <w:szCs w:val="24"/>
          <w:lang w:eastAsia="en-AU" w:bidi="ar-SA"/>
        </w:rPr>
      </w:pPr>
    </w:p>
    <w:p w:rsidR="007520E9" w:rsidRPr="005911E2" w:rsidRDefault="007520E9" w:rsidP="001B1938">
      <w:pPr>
        <w:pStyle w:val="attachtext"/>
        <w:rPr>
          <w:lang w:eastAsia="en-AU" w:bidi="ar-SA"/>
        </w:rPr>
      </w:pPr>
    </w:p>
    <w:p w:rsidR="00991B4C" w:rsidRPr="005911E2" w:rsidRDefault="00DB5A8A" w:rsidP="003E2B11">
      <w:pPr>
        <w:pStyle w:val="attachtitle"/>
        <w:rPr>
          <w:noProof/>
          <w:lang w:eastAsia="en-AU"/>
        </w:rPr>
      </w:pPr>
      <w:bookmarkStart w:id="1275" w:name="_Ref328310452"/>
      <w:bookmarkStart w:id="1276" w:name="_Ref328310466"/>
      <w:bookmarkStart w:id="1277" w:name="_Toc328601566"/>
      <w:bookmarkStart w:id="1278" w:name="_Toc329870446"/>
      <w:bookmarkStart w:id="1279" w:name="_Toc335915832"/>
      <w:r w:rsidRPr="005911E2">
        <w:rPr>
          <w:noProof/>
          <w:lang w:eastAsia="en-AU"/>
        </w:rPr>
        <w:t>Attitudes to C</w:t>
      </w:r>
      <w:r w:rsidR="00991B4C" w:rsidRPr="005911E2">
        <w:rPr>
          <w:noProof/>
          <w:lang w:eastAsia="en-AU"/>
        </w:rPr>
        <w:t>entrelink</w:t>
      </w:r>
      <w:bookmarkEnd w:id="1275"/>
      <w:bookmarkEnd w:id="1276"/>
      <w:bookmarkEnd w:id="1277"/>
      <w:bookmarkEnd w:id="1278"/>
      <w:bookmarkEnd w:id="1279"/>
    </w:p>
    <w:p w:rsidR="00991B4C" w:rsidRPr="005911E2" w:rsidRDefault="00991B4C" w:rsidP="00991B4C">
      <w:pPr>
        <w:spacing w:after="0" w:line="240" w:lineRule="auto"/>
        <w:ind w:left="0"/>
        <w:rPr>
          <w:noProof/>
          <w:lang w:eastAsia="en-AU"/>
        </w:rPr>
      </w:pPr>
    </w:p>
    <w:p w:rsidR="00991B4C" w:rsidRPr="005911E2" w:rsidRDefault="003E2B11" w:rsidP="00991B4C">
      <w:pPr>
        <w:pStyle w:val="attachtext"/>
        <w:rPr>
          <w:noProof/>
        </w:rPr>
      </w:pPr>
      <w:r>
        <w:rPr>
          <w:noProof/>
        </w:rPr>
        <w:t xml:space="preserve">Question 28 in the Longitudinal Survey on New Income Management asked </w:t>
      </w:r>
      <w:r w:rsidR="00991B4C" w:rsidRPr="005911E2">
        <w:rPr>
          <w:noProof/>
        </w:rPr>
        <w:t xml:space="preserve">people on </w:t>
      </w:r>
      <w:r w:rsidR="00F878E4">
        <w:rPr>
          <w:noProof/>
        </w:rPr>
        <w:t>income management</w:t>
      </w:r>
      <w:r w:rsidR="00991B4C" w:rsidRPr="005911E2">
        <w:rPr>
          <w:noProof/>
        </w:rPr>
        <w:t xml:space="preserve"> in the</w:t>
      </w:r>
      <w:r w:rsidR="006435C8">
        <w:rPr>
          <w:noProof/>
        </w:rPr>
        <w:t xml:space="preserve"> Northern Territory </w:t>
      </w:r>
      <w:r w:rsidR="00991B4C" w:rsidRPr="005911E2">
        <w:rPr>
          <w:noProof/>
        </w:rPr>
        <w:t xml:space="preserve">and income support </w:t>
      </w:r>
      <w:r w:rsidR="00CD2AFC">
        <w:rPr>
          <w:noProof/>
        </w:rPr>
        <w:t>recipients resident</w:t>
      </w:r>
      <w:r w:rsidR="00991B4C" w:rsidRPr="005911E2">
        <w:rPr>
          <w:noProof/>
        </w:rPr>
        <w:t xml:space="preserve"> in contrast sites a series of questions about how people felt about Centrelink and the way in which it treats its clients.</w:t>
      </w:r>
    </w:p>
    <w:p w:rsidR="00991B4C" w:rsidRPr="005911E2" w:rsidRDefault="00991B4C" w:rsidP="00991B4C">
      <w:pPr>
        <w:pStyle w:val="attachtext"/>
        <w:rPr>
          <w:noProof/>
        </w:rPr>
      </w:pPr>
      <w:r w:rsidRPr="005911E2">
        <w:rPr>
          <w:noProof/>
        </w:rPr>
        <w:t xml:space="preserve">This data was collected for a number of reasons including </w:t>
      </w:r>
      <w:r w:rsidR="00DB5A8A" w:rsidRPr="005911E2">
        <w:rPr>
          <w:noProof/>
        </w:rPr>
        <w:t xml:space="preserve">the potential </w:t>
      </w:r>
      <w:r w:rsidRPr="005911E2">
        <w:rPr>
          <w:noProof/>
        </w:rPr>
        <w:t xml:space="preserve">to control for peoples’ feelings about </w:t>
      </w:r>
      <w:r w:rsidR="00DB5A8A" w:rsidRPr="005911E2">
        <w:rPr>
          <w:noProof/>
        </w:rPr>
        <w:t>C</w:t>
      </w:r>
      <w:r w:rsidRPr="005911E2">
        <w:rPr>
          <w:noProof/>
        </w:rPr>
        <w:t>entrelink when attempting to assess their views of in</w:t>
      </w:r>
      <w:r w:rsidR="00D55763">
        <w:rPr>
          <w:noProof/>
        </w:rPr>
        <w:t>c</w:t>
      </w:r>
      <w:r w:rsidRPr="005911E2">
        <w:rPr>
          <w:noProof/>
        </w:rPr>
        <w:t xml:space="preserve">ome management, and to identify whether or not aspects of the relationship between </w:t>
      </w:r>
      <w:r w:rsidR="00F357A2">
        <w:rPr>
          <w:noProof/>
        </w:rPr>
        <w:t>C</w:t>
      </w:r>
      <w:r w:rsidRPr="005911E2">
        <w:rPr>
          <w:noProof/>
        </w:rPr>
        <w:t xml:space="preserve">entrelink and its client population may impact on the effectiveness of the implementation of </w:t>
      </w:r>
      <w:r w:rsidR="00F878E4">
        <w:rPr>
          <w:noProof/>
        </w:rPr>
        <w:t>income management</w:t>
      </w:r>
      <w:r w:rsidRPr="005911E2">
        <w:rPr>
          <w:noProof/>
        </w:rPr>
        <w:t xml:space="preserve">. </w:t>
      </w:r>
    </w:p>
    <w:p w:rsidR="00991B4C" w:rsidRPr="005911E2" w:rsidRDefault="00991B4C" w:rsidP="00991B4C">
      <w:pPr>
        <w:pStyle w:val="attachtext"/>
        <w:rPr>
          <w:noProof/>
        </w:rPr>
      </w:pPr>
      <w:r w:rsidRPr="005911E2">
        <w:rPr>
          <w:noProof/>
        </w:rPr>
        <w:t>While this data has not been drawn upon in this phase of the evaluation</w:t>
      </w:r>
      <w:r w:rsidR="00F357A2">
        <w:rPr>
          <w:noProof/>
        </w:rPr>
        <w:t>,</w:t>
      </w:r>
      <w:r w:rsidRPr="005911E2">
        <w:rPr>
          <w:noProof/>
        </w:rPr>
        <w:t xml:space="preserve"> we recognise that it may be useful for others involved in trying to understand the impact of </w:t>
      </w:r>
      <w:r w:rsidR="00F878E4">
        <w:rPr>
          <w:noProof/>
        </w:rPr>
        <w:t>income management</w:t>
      </w:r>
      <w:r w:rsidRPr="005911E2">
        <w:rPr>
          <w:noProof/>
        </w:rPr>
        <w:t xml:space="preserve"> in the</w:t>
      </w:r>
      <w:r w:rsidR="006435C8">
        <w:rPr>
          <w:noProof/>
        </w:rPr>
        <w:t xml:space="preserve"> Northern Territory </w:t>
      </w:r>
      <w:r w:rsidRPr="005911E2">
        <w:rPr>
          <w:noProof/>
        </w:rPr>
        <w:t>and for this reason it is presented below.</w:t>
      </w:r>
    </w:p>
    <w:p w:rsidR="00DB5A8A" w:rsidRPr="005911E2" w:rsidRDefault="00DB5A8A" w:rsidP="00991B4C">
      <w:pPr>
        <w:pStyle w:val="attachtext"/>
        <w:rPr>
          <w:noProof/>
        </w:rPr>
      </w:pPr>
      <w:r w:rsidRPr="005911E2">
        <w:rPr>
          <w:noProof/>
        </w:rPr>
        <w:t>As with previous tables from the LSNIM</w:t>
      </w:r>
      <w:r w:rsidR="00F357A2">
        <w:rPr>
          <w:noProof/>
        </w:rPr>
        <w:t>,</w:t>
      </w:r>
      <w:r w:rsidRPr="005911E2">
        <w:rPr>
          <w:noProof/>
        </w:rPr>
        <w:t xml:space="preserve"> it is presented for Indigenous people subject to </w:t>
      </w:r>
      <w:r w:rsidR="00F878E4">
        <w:rPr>
          <w:noProof/>
        </w:rPr>
        <w:t>income management</w:t>
      </w:r>
      <w:r w:rsidRPr="005911E2">
        <w:rPr>
          <w:noProof/>
        </w:rPr>
        <w:t xml:space="preserve"> by whether they are on compulsory or voluntary </w:t>
      </w:r>
      <w:r w:rsidR="003645D1">
        <w:rPr>
          <w:noProof/>
        </w:rPr>
        <w:t xml:space="preserve">streams </w:t>
      </w:r>
      <w:r w:rsidR="00D55763">
        <w:rPr>
          <w:noProof/>
        </w:rPr>
        <w:t xml:space="preserve">of </w:t>
      </w:r>
      <w:r w:rsidR="00F878E4">
        <w:rPr>
          <w:noProof/>
        </w:rPr>
        <w:t>income management</w:t>
      </w:r>
      <w:r w:rsidRPr="005911E2">
        <w:rPr>
          <w:noProof/>
        </w:rPr>
        <w:t xml:space="preserve"> and whether they are in </w:t>
      </w:r>
      <w:r w:rsidR="00D55763">
        <w:rPr>
          <w:noProof/>
        </w:rPr>
        <w:t xml:space="preserve">an </w:t>
      </w:r>
      <w:r w:rsidRPr="005911E2">
        <w:rPr>
          <w:noProof/>
        </w:rPr>
        <w:t>NTER area or not.</w:t>
      </w:r>
    </w:p>
    <w:p w:rsidR="00991B4C" w:rsidRPr="002636B4" w:rsidRDefault="002636B4" w:rsidP="00991B4C">
      <w:pPr>
        <w:pStyle w:val="BodyText"/>
        <w:keepNext/>
        <w:keepLines/>
        <w:ind w:left="1418"/>
        <w:rPr>
          <w:b/>
          <w:noProof/>
          <w:color w:val="1F497D" w:themeColor="text2"/>
        </w:rPr>
      </w:pPr>
      <w:r>
        <w:rPr>
          <w:b/>
          <w:noProof/>
          <w:color w:val="1F497D" w:themeColor="text2"/>
        </w:rPr>
        <w:t>Table H</w:t>
      </w:r>
      <w:r w:rsidR="003B3BD2" w:rsidRPr="002636B4">
        <w:rPr>
          <w:b/>
          <w:noProof/>
          <w:color w:val="1F497D" w:themeColor="text2"/>
        </w:rPr>
        <w:t>-1:</w:t>
      </w:r>
      <w:r w:rsidR="003B3BD2" w:rsidRPr="002636B4">
        <w:rPr>
          <w:b/>
          <w:color w:val="1F497D" w:themeColor="text2"/>
        </w:rPr>
        <w:t xml:space="preserve"> Views about Centrelink,</w:t>
      </w:r>
      <w:r w:rsidR="006435C8" w:rsidRPr="002636B4">
        <w:rPr>
          <w:b/>
          <w:color w:val="1F497D" w:themeColor="text2"/>
        </w:rPr>
        <w:t xml:space="preserve"> Northern Territory </w:t>
      </w:r>
      <w:r w:rsidR="003B3BD2" w:rsidRPr="002636B4">
        <w:rPr>
          <w:b/>
          <w:color w:val="1F497D" w:themeColor="text2"/>
        </w:rPr>
        <w:t xml:space="preserve">and contrast group respondents </w:t>
      </w:r>
    </w:p>
    <w:tbl>
      <w:tblPr>
        <w:tblW w:w="9083" w:type="dxa"/>
        <w:tblInd w:w="97" w:type="dxa"/>
        <w:tblLayout w:type="fixed"/>
        <w:tblLook w:val="04A0" w:firstRow="1" w:lastRow="0" w:firstColumn="1" w:lastColumn="0" w:noHBand="0" w:noVBand="1"/>
      </w:tblPr>
      <w:tblGrid>
        <w:gridCol w:w="1703"/>
        <w:gridCol w:w="1114"/>
        <w:gridCol w:w="938"/>
        <w:gridCol w:w="236"/>
        <w:gridCol w:w="1007"/>
        <w:gridCol w:w="938"/>
        <w:gridCol w:w="975"/>
        <w:gridCol w:w="283"/>
        <w:gridCol w:w="897"/>
        <w:gridCol w:w="992"/>
      </w:tblGrid>
      <w:tr w:rsidR="00991B4C" w:rsidRPr="00AE7648" w:rsidTr="002955BA">
        <w:trPr>
          <w:trHeight w:val="288"/>
          <w:tblHeader/>
        </w:trPr>
        <w:tc>
          <w:tcPr>
            <w:tcW w:w="1703" w:type="dxa"/>
            <w:vMerge w:val="restart"/>
            <w:tcBorders>
              <w:top w:val="single" w:sz="4" w:space="0" w:color="auto"/>
              <w:left w:val="nil"/>
              <w:right w:val="nil"/>
            </w:tcBorders>
            <w:shd w:val="clear" w:color="auto" w:fill="auto"/>
            <w:noWrap/>
            <w:hideMark/>
          </w:tcPr>
          <w:p w:rsidR="003645D1" w:rsidRPr="00AE7648" w:rsidRDefault="00991B4C" w:rsidP="006B0532">
            <w:pPr>
              <w:keepNext/>
              <w:keepLines/>
              <w:spacing w:after="0" w:line="216" w:lineRule="auto"/>
              <w:ind w:left="0"/>
              <w:jc w:val="left"/>
              <w:rPr>
                <w:rFonts w:cs="Arial"/>
                <w:color w:val="000000"/>
                <w:sz w:val="16"/>
                <w:szCs w:val="16"/>
                <w:lang w:eastAsia="en-AU" w:bidi="ar-SA"/>
              </w:rPr>
            </w:pPr>
            <w:r w:rsidRPr="00AE7648">
              <w:rPr>
                <w:rFonts w:cs="Arial"/>
                <w:color w:val="000000"/>
                <w:sz w:val="16"/>
                <w:szCs w:val="16"/>
                <w:lang w:eastAsia="en-AU" w:bidi="ar-SA"/>
              </w:rPr>
              <w:t xml:space="preserve">Please tell us what you think about Centrelink Service. </w:t>
            </w:r>
          </w:p>
          <w:p w:rsidR="00991B4C" w:rsidRPr="00AE7648" w:rsidRDefault="00991B4C" w:rsidP="006B0532">
            <w:pPr>
              <w:keepNext/>
              <w:keepLines/>
              <w:spacing w:after="0" w:line="216" w:lineRule="auto"/>
              <w:ind w:left="0"/>
              <w:jc w:val="left"/>
              <w:rPr>
                <w:rFonts w:cs="Arial"/>
                <w:color w:val="000000"/>
                <w:sz w:val="16"/>
                <w:szCs w:val="16"/>
                <w:lang w:eastAsia="en-AU" w:bidi="ar-SA"/>
              </w:rPr>
            </w:pPr>
            <w:r w:rsidRPr="00AE7648">
              <w:rPr>
                <w:rFonts w:cs="Arial"/>
                <w:color w:val="000000"/>
                <w:sz w:val="16"/>
                <w:szCs w:val="16"/>
                <w:lang w:eastAsia="en-AU" w:bidi="ar-SA"/>
              </w:rPr>
              <w:t>How often do you feel this way:</w:t>
            </w:r>
          </w:p>
        </w:tc>
        <w:tc>
          <w:tcPr>
            <w:tcW w:w="5208" w:type="dxa"/>
            <w:gridSpan w:val="6"/>
            <w:tcBorders>
              <w:top w:val="single" w:sz="4" w:space="0" w:color="auto"/>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Income Managed</w:t>
            </w:r>
          </w:p>
        </w:tc>
        <w:tc>
          <w:tcPr>
            <w:tcW w:w="283" w:type="dxa"/>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1889" w:type="dxa"/>
            <w:gridSpan w:val="2"/>
            <w:tcBorders>
              <w:top w:val="single" w:sz="4" w:space="0" w:color="auto"/>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Contrast sites</w:t>
            </w:r>
          </w:p>
        </w:tc>
      </w:tr>
      <w:tr w:rsidR="003645D1" w:rsidRPr="00AE7648" w:rsidTr="002955BA">
        <w:trPr>
          <w:trHeight w:val="288"/>
          <w:tblHeader/>
        </w:trPr>
        <w:tc>
          <w:tcPr>
            <w:tcW w:w="1703" w:type="dxa"/>
            <w:vMerge/>
            <w:tcBorders>
              <w:left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2052" w:type="dxa"/>
            <w:gridSpan w:val="2"/>
            <w:tcBorders>
              <w:top w:val="single" w:sz="4" w:space="0" w:color="auto"/>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Indigenous</w:t>
            </w:r>
          </w:p>
        </w:tc>
        <w:tc>
          <w:tcPr>
            <w:tcW w:w="236" w:type="dxa"/>
            <w:tcBorders>
              <w:top w:val="single" w:sz="4" w:space="0" w:color="auto"/>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single" w:sz="4" w:space="0" w:color="auto"/>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938" w:type="dxa"/>
            <w:tcBorders>
              <w:top w:val="single" w:sz="4" w:space="0" w:color="auto"/>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975" w:type="dxa"/>
            <w:vMerge w:val="restart"/>
            <w:tcBorders>
              <w:top w:val="single" w:sz="4" w:space="0" w:color="auto"/>
              <w:left w:val="nil"/>
              <w:bottom w:val="nil"/>
              <w:right w:val="nil"/>
            </w:tcBorders>
            <w:shd w:val="clear" w:color="auto" w:fill="auto"/>
            <w:hideMark/>
          </w:tcPr>
          <w:p w:rsidR="00991B4C" w:rsidRPr="00AE7648" w:rsidRDefault="00991B4C" w:rsidP="002955BA">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Non-</w:t>
            </w:r>
            <w:r w:rsidR="003645D1" w:rsidRPr="00AE7648">
              <w:rPr>
                <w:rFonts w:cs="Arial"/>
                <w:color w:val="000000"/>
                <w:sz w:val="16"/>
                <w:szCs w:val="16"/>
                <w:lang w:eastAsia="en-AU" w:bidi="ar-SA"/>
              </w:rPr>
              <w:t xml:space="preserve"> </w:t>
            </w:r>
            <w:r w:rsidRPr="00AE7648">
              <w:rPr>
                <w:rFonts w:cs="Arial"/>
                <w:color w:val="000000"/>
                <w:sz w:val="16"/>
                <w:szCs w:val="16"/>
                <w:lang w:eastAsia="en-AU" w:bidi="ar-SA"/>
              </w:rPr>
              <w:t>Indig</w:t>
            </w:r>
            <w:r w:rsidR="002955BA" w:rsidRPr="00AE7648">
              <w:rPr>
                <w:rFonts w:cs="Arial"/>
                <w:color w:val="000000"/>
                <w:sz w:val="16"/>
                <w:szCs w:val="16"/>
                <w:lang w:eastAsia="en-AU" w:bidi="ar-SA"/>
              </w:rPr>
              <w:t>-</w:t>
            </w:r>
            <w:r w:rsidRPr="00AE7648">
              <w:rPr>
                <w:rFonts w:cs="Arial"/>
                <w:color w:val="000000"/>
                <w:sz w:val="16"/>
                <w:szCs w:val="16"/>
                <w:lang w:eastAsia="en-AU" w:bidi="ar-SA"/>
              </w:rPr>
              <w:t xml:space="preserve">enous </w:t>
            </w:r>
            <w:r w:rsidR="003645D1" w:rsidRPr="00AE7648">
              <w:rPr>
                <w:rFonts w:cs="Arial"/>
                <w:color w:val="000000"/>
                <w:sz w:val="16"/>
                <w:szCs w:val="16"/>
                <w:lang w:eastAsia="en-AU" w:bidi="ar-SA"/>
              </w:rPr>
              <w:t>Compul-sory</w:t>
            </w:r>
          </w:p>
        </w:tc>
        <w:tc>
          <w:tcPr>
            <w:tcW w:w="283" w:type="dxa"/>
            <w:tcBorders>
              <w:top w:val="nil"/>
              <w:left w:val="nil"/>
              <w:bottom w:val="nil"/>
              <w:right w:val="nil"/>
            </w:tcBorders>
            <w:shd w:val="clear" w:color="auto" w:fill="auto"/>
            <w:noWrap/>
            <w:hideMark/>
          </w:tcPr>
          <w:p w:rsidR="00991B4C" w:rsidRPr="00AE7648" w:rsidRDefault="00991B4C" w:rsidP="002955BA">
            <w:pPr>
              <w:keepNext/>
              <w:keepLines/>
              <w:spacing w:after="0" w:line="216" w:lineRule="auto"/>
              <w:ind w:left="0"/>
              <w:jc w:val="right"/>
              <w:rPr>
                <w:rFonts w:cs="Arial"/>
                <w:color w:val="000000"/>
                <w:sz w:val="16"/>
                <w:szCs w:val="16"/>
                <w:lang w:eastAsia="en-AU" w:bidi="ar-SA"/>
              </w:rPr>
            </w:pPr>
          </w:p>
        </w:tc>
        <w:tc>
          <w:tcPr>
            <w:tcW w:w="897" w:type="dxa"/>
            <w:vMerge w:val="restart"/>
            <w:tcBorders>
              <w:top w:val="single" w:sz="4" w:space="0" w:color="auto"/>
              <w:left w:val="nil"/>
              <w:right w:val="nil"/>
            </w:tcBorders>
            <w:shd w:val="clear" w:color="auto" w:fill="auto"/>
            <w:noWrap/>
            <w:hideMark/>
          </w:tcPr>
          <w:p w:rsidR="00991B4C" w:rsidRPr="00AE7648" w:rsidRDefault="00991B4C" w:rsidP="002955BA">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Indig</w:t>
            </w:r>
            <w:r w:rsidR="003645D1" w:rsidRPr="00AE7648">
              <w:rPr>
                <w:rFonts w:cs="Arial"/>
                <w:color w:val="000000"/>
                <w:sz w:val="16"/>
                <w:szCs w:val="16"/>
                <w:lang w:eastAsia="en-AU" w:bidi="ar-SA"/>
              </w:rPr>
              <w:t>-</w:t>
            </w:r>
            <w:r w:rsidRPr="00AE7648">
              <w:rPr>
                <w:rFonts w:cs="Arial"/>
                <w:color w:val="000000"/>
                <w:sz w:val="16"/>
                <w:szCs w:val="16"/>
                <w:lang w:eastAsia="en-AU" w:bidi="ar-SA"/>
              </w:rPr>
              <w:t>enous</w:t>
            </w:r>
          </w:p>
        </w:tc>
        <w:tc>
          <w:tcPr>
            <w:tcW w:w="992" w:type="dxa"/>
            <w:vMerge w:val="restart"/>
            <w:tcBorders>
              <w:top w:val="single" w:sz="4" w:space="0" w:color="auto"/>
              <w:left w:val="nil"/>
              <w:right w:val="nil"/>
            </w:tcBorders>
            <w:shd w:val="clear" w:color="auto" w:fill="auto"/>
            <w:noWrap/>
            <w:hideMark/>
          </w:tcPr>
          <w:p w:rsidR="00991B4C" w:rsidRPr="00AE7648" w:rsidRDefault="00991B4C" w:rsidP="002955BA">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Non-</w:t>
            </w:r>
            <w:r w:rsidR="00CD2AFC">
              <w:rPr>
                <w:rFonts w:cs="Arial"/>
                <w:color w:val="000000"/>
                <w:sz w:val="16"/>
                <w:szCs w:val="16"/>
                <w:lang w:eastAsia="en-AU" w:bidi="ar-SA"/>
              </w:rPr>
              <w:br/>
            </w:r>
            <w:r w:rsidRPr="00AE7648">
              <w:rPr>
                <w:rFonts w:cs="Arial"/>
                <w:color w:val="000000"/>
                <w:sz w:val="16"/>
                <w:szCs w:val="16"/>
                <w:lang w:eastAsia="en-AU" w:bidi="ar-SA"/>
              </w:rPr>
              <w:t>Indig</w:t>
            </w:r>
            <w:r w:rsidR="003645D1" w:rsidRPr="00AE7648">
              <w:rPr>
                <w:rFonts w:cs="Arial"/>
                <w:color w:val="000000"/>
                <w:sz w:val="16"/>
                <w:szCs w:val="16"/>
                <w:lang w:eastAsia="en-AU" w:bidi="ar-SA"/>
              </w:rPr>
              <w:t>-</w:t>
            </w:r>
            <w:r w:rsidRPr="00AE7648">
              <w:rPr>
                <w:rFonts w:cs="Arial"/>
                <w:color w:val="000000"/>
                <w:sz w:val="16"/>
                <w:szCs w:val="16"/>
                <w:lang w:eastAsia="en-AU" w:bidi="ar-SA"/>
              </w:rPr>
              <w:t>enous</w:t>
            </w:r>
          </w:p>
        </w:tc>
      </w:tr>
      <w:tr w:rsidR="003645D1" w:rsidRPr="00AE7648" w:rsidTr="003645D1">
        <w:trPr>
          <w:trHeight w:val="288"/>
          <w:tblHeader/>
        </w:trPr>
        <w:tc>
          <w:tcPr>
            <w:tcW w:w="1703" w:type="dxa"/>
            <w:vMerge/>
            <w:tcBorders>
              <w:left w:val="nil"/>
              <w:right w:val="nil"/>
            </w:tcBorders>
            <w:shd w:val="clear" w:color="auto" w:fill="auto"/>
            <w:noWrap/>
            <w:vAlign w:val="bottom"/>
            <w:hideMark/>
          </w:tcPr>
          <w:p w:rsidR="003645D1" w:rsidRPr="00AE7648" w:rsidRDefault="003645D1" w:rsidP="00991B4C">
            <w:pPr>
              <w:keepNext/>
              <w:keepLines/>
              <w:spacing w:after="0" w:line="216" w:lineRule="auto"/>
              <w:ind w:left="0"/>
              <w:rPr>
                <w:rFonts w:cs="Arial"/>
                <w:color w:val="000000"/>
                <w:sz w:val="16"/>
                <w:szCs w:val="16"/>
                <w:lang w:eastAsia="en-AU" w:bidi="ar-SA"/>
              </w:rPr>
            </w:pPr>
          </w:p>
        </w:tc>
        <w:tc>
          <w:tcPr>
            <w:tcW w:w="2052" w:type="dxa"/>
            <w:gridSpan w:val="2"/>
            <w:tcBorders>
              <w:top w:val="single" w:sz="4" w:space="0" w:color="auto"/>
              <w:left w:val="nil"/>
              <w:bottom w:val="single" w:sz="4" w:space="0" w:color="auto"/>
              <w:right w:val="nil"/>
            </w:tcBorders>
            <w:shd w:val="clear" w:color="auto" w:fill="auto"/>
            <w:noWrap/>
            <w:vAlign w:val="bottom"/>
            <w:hideMark/>
          </w:tcPr>
          <w:p w:rsidR="003645D1" w:rsidRPr="00AE7648" w:rsidRDefault="003645D1"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Compulsory</w:t>
            </w:r>
          </w:p>
        </w:tc>
        <w:tc>
          <w:tcPr>
            <w:tcW w:w="236" w:type="dxa"/>
            <w:tcBorders>
              <w:top w:val="single" w:sz="4" w:space="0" w:color="auto"/>
              <w:left w:val="nil"/>
              <w:bottom w:val="nil"/>
              <w:right w:val="nil"/>
            </w:tcBorders>
            <w:shd w:val="clear" w:color="auto" w:fill="auto"/>
            <w:noWrap/>
            <w:vAlign w:val="bottom"/>
            <w:hideMark/>
          </w:tcPr>
          <w:p w:rsidR="003645D1" w:rsidRPr="00AE7648" w:rsidRDefault="003645D1" w:rsidP="00991B4C">
            <w:pPr>
              <w:keepNext/>
              <w:keepLines/>
              <w:spacing w:after="0" w:line="216" w:lineRule="auto"/>
              <w:ind w:left="0"/>
              <w:rPr>
                <w:rFonts w:cs="Arial"/>
                <w:color w:val="000000"/>
                <w:sz w:val="16"/>
                <w:szCs w:val="16"/>
                <w:lang w:eastAsia="en-AU" w:bidi="ar-SA"/>
              </w:rPr>
            </w:pPr>
          </w:p>
        </w:tc>
        <w:tc>
          <w:tcPr>
            <w:tcW w:w="1945" w:type="dxa"/>
            <w:gridSpan w:val="2"/>
            <w:tcBorders>
              <w:top w:val="single" w:sz="4" w:space="0" w:color="auto"/>
              <w:left w:val="nil"/>
              <w:bottom w:val="single" w:sz="4" w:space="0" w:color="auto"/>
              <w:right w:val="nil"/>
            </w:tcBorders>
            <w:shd w:val="clear" w:color="auto" w:fill="auto"/>
            <w:noWrap/>
            <w:vAlign w:val="bottom"/>
            <w:hideMark/>
          </w:tcPr>
          <w:p w:rsidR="003645D1" w:rsidRPr="00AE7648" w:rsidRDefault="003645D1" w:rsidP="003645D1">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 xml:space="preserve">Voluntary </w:t>
            </w:r>
          </w:p>
        </w:tc>
        <w:tc>
          <w:tcPr>
            <w:tcW w:w="975" w:type="dxa"/>
            <w:vMerge/>
            <w:tcBorders>
              <w:top w:val="nil"/>
              <w:left w:val="nil"/>
              <w:bottom w:val="nil"/>
              <w:right w:val="nil"/>
            </w:tcBorders>
            <w:vAlign w:val="center"/>
            <w:hideMark/>
          </w:tcPr>
          <w:p w:rsidR="003645D1" w:rsidRPr="00AE7648" w:rsidRDefault="003645D1" w:rsidP="00991B4C">
            <w:pPr>
              <w:keepNext/>
              <w:keepLines/>
              <w:spacing w:after="0" w:line="216" w:lineRule="auto"/>
              <w:ind w:left="0"/>
              <w:rPr>
                <w:rFonts w:cs="Arial"/>
                <w:color w:val="000000"/>
                <w:sz w:val="16"/>
                <w:szCs w:val="16"/>
                <w:lang w:eastAsia="en-AU" w:bidi="ar-SA"/>
              </w:rPr>
            </w:pPr>
          </w:p>
        </w:tc>
        <w:tc>
          <w:tcPr>
            <w:tcW w:w="283" w:type="dxa"/>
            <w:tcBorders>
              <w:top w:val="nil"/>
              <w:left w:val="nil"/>
              <w:bottom w:val="nil"/>
              <w:right w:val="nil"/>
            </w:tcBorders>
            <w:shd w:val="clear" w:color="auto" w:fill="auto"/>
            <w:noWrap/>
            <w:vAlign w:val="bottom"/>
            <w:hideMark/>
          </w:tcPr>
          <w:p w:rsidR="003645D1" w:rsidRPr="00AE7648" w:rsidRDefault="003645D1" w:rsidP="00991B4C">
            <w:pPr>
              <w:keepNext/>
              <w:keepLines/>
              <w:spacing w:after="0" w:line="216" w:lineRule="auto"/>
              <w:ind w:left="0"/>
              <w:rPr>
                <w:rFonts w:cs="Arial"/>
                <w:color w:val="000000"/>
                <w:sz w:val="16"/>
                <w:szCs w:val="16"/>
                <w:lang w:eastAsia="en-AU" w:bidi="ar-SA"/>
              </w:rPr>
            </w:pPr>
          </w:p>
        </w:tc>
        <w:tc>
          <w:tcPr>
            <w:tcW w:w="897" w:type="dxa"/>
            <w:vMerge/>
            <w:tcBorders>
              <w:left w:val="nil"/>
              <w:right w:val="nil"/>
            </w:tcBorders>
            <w:shd w:val="clear" w:color="auto" w:fill="auto"/>
            <w:noWrap/>
            <w:vAlign w:val="bottom"/>
            <w:hideMark/>
          </w:tcPr>
          <w:p w:rsidR="003645D1" w:rsidRPr="00AE7648" w:rsidRDefault="003645D1" w:rsidP="00991B4C">
            <w:pPr>
              <w:keepNext/>
              <w:keepLines/>
              <w:spacing w:after="0" w:line="216" w:lineRule="auto"/>
              <w:ind w:left="0"/>
              <w:rPr>
                <w:rFonts w:cs="Arial"/>
                <w:color w:val="000000"/>
                <w:sz w:val="16"/>
                <w:szCs w:val="16"/>
                <w:lang w:eastAsia="en-AU" w:bidi="ar-SA"/>
              </w:rPr>
            </w:pPr>
          </w:p>
        </w:tc>
        <w:tc>
          <w:tcPr>
            <w:tcW w:w="992" w:type="dxa"/>
            <w:vMerge/>
            <w:tcBorders>
              <w:left w:val="nil"/>
              <w:right w:val="nil"/>
            </w:tcBorders>
            <w:shd w:val="clear" w:color="auto" w:fill="auto"/>
            <w:noWrap/>
            <w:vAlign w:val="bottom"/>
            <w:hideMark/>
          </w:tcPr>
          <w:p w:rsidR="003645D1" w:rsidRPr="00AE7648" w:rsidRDefault="003645D1" w:rsidP="00991B4C">
            <w:pPr>
              <w:keepNext/>
              <w:keepLines/>
              <w:spacing w:after="0" w:line="216" w:lineRule="auto"/>
              <w:ind w:left="0"/>
              <w:rPr>
                <w:rFonts w:cs="Arial"/>
                <w:color w:val="000000"/>
                <w:sz w:val="16"/>
                <w:szCs w:val="16"/>
                <w:lang w:eastAsia="en-AU" w:bidi="ar-SA"/>
              </w:rPr>
            </w:pPr>
          </w:p>
        </w:tc>
      </w:tr>
      <w:tr w:rsidR="003645D1" w:rsidRPr="00AE7648" w:rsidTr="002955BA">
        <w:trPr>
          <w:trHeight w:val="288"/>
          <w:tblHeader/>
        </w:trPr>
        <w:tc>
          <w:tcPr>
            <w:tcW w:w="1703" w:type="dxa"/>
            <w:vMerge/>
            <w:tcBorders>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1114" w:type="dxa"/>
            <w:tcBorders>
              <w:top w:val="single" w:sz="4" w:space="0" w:color="auto"/>
              <w:left w:val="nil"/>
              <w:bottom w:val="single" w:sz="4" w:space="0" w:color="auto"/>
              <w:right w:val="nil"/>
            </w:tcBorders>
            <w:shd w:val="clear" w:color="auto" w:fill="auto"/>
            <w:noWrap/>
            <w:vAlign w:val="bottom"/>
            <w:hideMark/>
          </w:tcPr>
          <w:p w:rsidR="00991B4C" w:rsidRPr="00AE7648" w:rsidRDefault="00991B4C" w:rsidP="00CD2AF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NTER</w:t>
            </w:r>
            <w:r w:rsidR="00CD2AFC">
              <w:rPr>
                <w:rFonts w:cs="Arial"/>
                <w:color w:val="000000"/>
                <w:sz w:val="16"/>
                <w:szCs w:val="16"/>
                <w:lang w:eastAsia="en-AU" w:bidi="ar-SA"/>
              </w:rPr>
              <w:br/>
            </w:r>
            <w:r w:rsidRPr="00AE7648">
              <w:rPr>
                <w:rFonts w:cs="Arial"/>
                <w:color w:val="000000"/>
                <w:sz w:val="16"/>
                <w:szCs w:val="16"/>
                <w:lang w:eastAsia="en-AU" w:bidi="ar-SA"/>
              </w:rPr>
              <w:t xml:space="preserve"> area</w:t>
            </w:r>
          </w:p>
        </w:tc>
        <w:tc>
          <w:tcPr>
            <w:tcW w:w="938" w:type="dxa"/>
            <w:tcBorders>
              <w:top w:val="single" w:sz="4" w:space="0" w:color="auto"/>
              <w:left w:val="nil"/>
              <w:bottom w:val="single" w:sz="4" w:space="0" w:color="auto"/>
              <w:right w:val="nil"/>
            </w:tcBorders>
            <w:shd w:val="clear" w:color="auto" w:fill="auto"/>
            <w:noWrap/>
            <w:vAlign w:val="bottom"/>
            <w:hideMark/>
          </w:tcPr>
          <w:p w:rsidR="00991B4C" w:rsidRPr="00AE7648" w:rsidRDefault="00991B4C" w:rsidP="00CD2AF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Not NTER</w:t>
            </w:r>
          </w:p>
        </w:tc>
        <w:tc>
          <w:tcPr>
            <w:tcW w:w="236" w:type="dxa"/>
            <w:tcBorders>
              <w:top w:val="nil"/>
              <w:left w:val="nil"/>
              <w:bottom w:val="single" w:sz="4" w:space="0" w:color="auto"/>
              <w:right w:val="nil"/>
            </w:tcBorders>
            <w:shd w:val="clear" w:color="auto" w:fill="auto"/>
            <w:noWrap/>
            <w:vAlign w:val="bottom"/>
            <w:hideMark/>
          </w:tcPr>
          <w:p w:rsidR="00991B4C" w:rsidRPr="00AE7648" w:rsidRDefault="00991B4C" w:rsidP="00CD2AFC">
            <w:pPr>
              <w:keepNext/>
              <w:keepLines/>
              <w:spacing w:after="0" w:line="216" w:lineRule="auto"/>
              <w:ind w:left="0"/>
              <w:jc w:val="right"/>
              <w:rPr>
                <w:rFonts w:cs="Arial"/>
                <w:color w:val="000000"/>
                <w:sz w:val="16"/>
                <w:szCs w:val="16"/>
                <w:lang w:eastAsia="en-AU" w:bidi="ar-SA"/>
              </w:rPr>
            </w:pPr>
          </w:p>
        </w:tc>
        <w:tc>
          <w:tcPr>
            <w:tcW w:w="1007" w:type="dxa"/>
            <w:tcBorders>
              <w:top w:val="single" w:sz="4" w:space="0" w:color="auto"/>
              <w:left w:val="nil"/>
              <w:bottom w:val="single" w:sz="4" w:space="0" w:color="auto"/>
              <w:right w:val="nil"/>
            </w:tcBorders>
            <w:shd w:val="clear" w:color="auto" w:fill="auto"/>
            <w:noWrap/>
            <w:vAlign w:val="bottom"/>
            <w:hideMark/>
          </w:tcPr>
          <w:p w:rsidR="00991B4C" w:rsidRPr="00AE7648" w:rsidRDefault="00991B4C" w:rsidP="00CD2AF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NTER area</w:t>
            </w:r>
          </w:p>
        </w:tc>
        <w:tc>
          <w:tcPr>
            <w:tcW w:w="938" w:type="dxa"/>
            <w:tcBorders>
              <w:top w:val="single" w:sz="4" w:space="0" w:color="auto"/>
              <w:left w:val="nil"/>
              <w:bottom w:val="single" w:sz="4" w:space="0" w:color="auto"/>
              <w:right w:val="nil"/>
            </w:tcBorders>
            <w:shd w:val="clear" w:color="auto" w:fill="auto"/>
            <w:noWrap/>
            <w:vAlign w:val="bottom"/>
            <w:hideMark/>
          </w:tcPr>
          <w:p w:rsidR="00991B4C" w:rsidRPr="00AE7648" w:rsidRDefault="00991B4C" w:rsidP="00CD2AF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Not NTER</w:t>
            </w:r>
          </w:p>
        </w:tc>
        <w:tc>
          <w:tcPr>
            <w:tcW w:w="975" w:type="dxa"/>
            <w:vMerge/>
            <w:tcBorders>
              <w:top w:val="nil"/>
              <w:left w:val="nil"/>
              <w:bottom w:val="single" w:sz="4" w:space="0" w:color="auto"/>
              <w:right w:val="nil"/>
            </w:tcBorders>
            <w:vAlign w:val="center"/>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283"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vMerge/>
            <w:tcBorders>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992" w:type="dxa"/>
            <w:vMerge/>
            <w:tcBorders>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r>
      <w:tr w:rsidR="003645D1" w:rsidRPr="00AE7648" w:rsidTr="003645D1">
        <w:trPr>
          <w:trHeight w:hRule="exact" w:val="278"/>
        </w:trPr>
        <w:tc>
          <w:tcPr>
            <w:tcW w:w="2817" w:type="dxa"/>
            <w:gridSpan w:val="2"/>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r w:rsidRPr="00AE7648">
              <w:rPr>
                <w:rFonts w:cs="Arial"/>
                <w:i/>
                <w:color w:val="000000"/>
                <w:sz w:val="16"/>
                <w:szCs w:val="16"/>
                <w:lang w:eastAsia="en-AU" w:bidi="ar-SA"/>
              </w:rPr>
              <w:t>I am treated with respect</w:t>
            </w:r>
          </w:p>
        </w:tc>
        <w:tc>
          <w:tcPr>
            <w:tcW w:w="938" w:type="dxa"/>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c>
          <w:tcPr>
            <w:tcW w:w="236" w:type="dxa"/>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c>
          <w:tcPr>
            <w:tcW w:w="1007" w:type="dxa"/>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c>
          <w:tcPr>
            <w:tcW w:w="938" w:type="dxa"/>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c>
          <w:tcPr>
            <w:tcW w:w="975" w:type="dxa"/>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c>
          <w:tcPr>
            <w:tcW w:w="283" w:type="dxa"/>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c>
          <w:tcPr>
            <w:tcW w:w="897" w:type="dxa"/>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c>
          <w:tcPr>
            <w:tcW w:w="992" w:type="dxa"/>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r>
      <w:tr w:rsidR="003645D1" w:rsidRPr="00AE7648" w:rsidTr="002955BA">
        <w:trPr>
          <w:trHeight w:hRule="exact" w:val="278"/>
        </w:trPr>
        <w:tc>
          <w:tcPr>
            <w:tcW w:w="170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All the time</w:t>
            </w:r>
          </w:p>
        </w:tc>
        <w:tc>
          <w:tcPr>
            <w:tcW w:w="1114"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53.4</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48.8</w:t>
            </w:r>
          </w:p>
        </w:tc>
        <w:tc>
          <w:tcPr>
            <w:tcW w:w="236"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49.6</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54.5</w:t>
            </w:r>
          </w:p>
        </w:tc>
        <w:tc>
          <w:tcPr>
            <w:tcW w:w="975"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48.6</w:t>
            </w:r>
          </w:p>
        </w:tc>
        <w:tc>
          <w:tcPr>
            <w:tcW w:w="28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53.4</w:t>
            </w:r>
          </w:p>
        </w:tc>
        <w:tc>
          <w:tcPr>
            <w:tcW w:w="992"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67.6</w:t>
            </w:r>
          </w:p>
        </w:tc>
      </w:tr>
      <w:tr w:rsidR="003645D1" w:rsidRPr="00AE7648" w:rsidTr="002955BA">
        <w:trPr>
          <w:trHeight w:hRule="exact" w:val="278"/>
        </w:trPr>
        <w:tc>
          <w:tcPr>
            <w:tcW w:w="170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Most of the time</w:t>
            </w:r>
          </w:p>
        </w:tc>
        <w:tc>
          <w:tcPr>
            <w:tcW w:w="1114"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15.5</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21.1</w:t>
            </w:r>
          </w:p>
        </w:tc>
        <w:tc>
          <w:tcPr>
            <w:tcW w:w="236"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15.4</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27.3</w:t>
            </w:r>
          </w:p>
        </w:tc>
        <w:tc>
          <w:tcPr>
            <w:tcW w:w="975"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31.3</w:t>
            </w:r>
          </w:p>
        </w:tc>
        <w:tc>
          <w:tcPr>
            <w:tcW w:w="28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18.5</w:t>
            </w:r>
          </w:p>
        </w:tc>
        <w:tc>
          <w:tcPr>
            <w:tcW w:w="992"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21.3</w:t>
            </w:r>
          </w:p>
        </w:tc>
      </w:tr>
      <w:tr w:rsidR="003645D1" w:rsidRPr="00AE7648" w:rsidTr="002955BA">
        <w:trPr>
          <w:trHeight w:hRule="exact" w:val="278"/>
        </w:trPr>
        <w:tc>
          <w:tcPr>
            <w:tcW w:w="170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Sometimes</w:t>
            </w:r>
          </w:p>
        </w:tc>
        <w:tc>
          <w:tcPr>
            <w:tcW w:w="1114"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28.6</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19.3</w:t>
            </w:r>
          </w:p>
        </w:tc>
        <w:tc>
          <w:tcPr>
            <w:tcW w:w="236"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32.5</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12.1</w:t>
            </w:r>
          </w:p>
        </w:tc>
        <w:tc>
          <w:tcPr>
            <w:tcW w:w="975"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16.2</w:t>
            </w:r>
          </w:p>
        </w:tc>
        <w:tc>
          <w:tcPr>
            <w:tcW w:w="28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24.9</w:t>
            </w:r>
          </w:p>
        </w:tc>
        <w:tc>
          <w:tcPr>
            <w:tcW w:w="992"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11.1</w:t>
            </w:r>
          </w:p>
        </w:tc>
      </w:tr>
      <w:tr w:rsidR="003645D1" w:rsidRPr="00AE7648" w:rsidTr="002955BA">
        <w:trPr>
          <w:trHeight w:hRule="exact" w:val="278"/>
        </w:trPr>
        <w:tc>
          <w:tcPr>
            <w:tcW w:w="170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Hardly ever</w:t>
            </w:r>
          </w:p>
        </w:tc>
        <w:tc>
          <w:tcPr>
            <w:tcW w:w="1114"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1.3</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3.0</w:t>
            </w:r>
          </w:p>
        </w:tc>
        <w:tc>
          <w:tcPr>
            <w:tcW w:w="236"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1.6</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3.0</w:t>
            </w:r>
          </w:p>
        </w:tc>
        <w:tc>
          <w:tcPr>
            <w:tcW w:w="975"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1.1</w:t>
            </w:r>
          </w:p>
        </w:tc>
        <w:tc>
          <w:tcPr>
            <w:tcW w:w="28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1.6</w:t>
            </w:r>
          </w:p>
        </w:tc>
        <w:tc>
          <w:tcPr>
            <w:tcW w:w="992"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0.0</w:t>
            </w:r>
          </w:p>
        </w:tc>
      </w:tr>
      <w:tr w:rsidR="003645D1" w:rsidRPr="00AE7648" w:rsidTr="002955BA">
        <w:trPr>
          <w:trHeight w:hRule="exact" w:val="278"/>
        </w:trPr>
        <w:tc>
          <w:tcPr>
            <w:tcW w:w="1703"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Never</w:t>
            </w:r>
          </w:p>
        </w:tc>
        <w:tc>
          <w:tcPr>
            <w:tcW w:w="1114"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1.3</w:t>
            </w:r>
          </w:p>
        </w:tc>
        <w:tc>
          <w:tcPr>
            <w:tcW w:w="938"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7.8</w:t>
            </w:r>
          </w:p>
        </w:tc>
        <w:tc>
          <w:tcPr>
            <w:tcW w:w="236"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0.8</w:t>
            </w:r>
          </w:p>
        </w:tc>
        <w:tc>
          <w:tcPr>
            <w:tcW w:w="938"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3.0</w:t>
            </w:r>
          </w:p>
        </w:tc>
        <w:tc>
          <w:tcPr>
            <w:tcW w:w="975"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2.8</w:t>
            </w:r>
          </w:p>
        </w:tc>
        <w:tc>
          <w:tcPr>
            <w:tcW w:w="283"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1.6</w:t>
            </w:r>
          </w:p>
        </w:tc>
        <w:tc>
          <w:tcPr>
            <w:tcW w:w="992"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0.0</w:t>
            </w:r>
          </w:p>
        </w:tc>
      </w:tr>
      <w:tr w:rsidR="003645D1" w:rsidRPr="00AE7648" w:rsidTr="003645D1">
        <w:trPr>
          <w:trHeight w:hRule="exact" w:val="278"/>
        </w:trPr>
        <w:tc>
          <w:tcPr>
            <w:tcW w:w="2817" w:type="dxa"/>
            <w:gridSpan w:val="2"/>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r w:rsidRPr="00AE7648">
              <w:rPr>
                <w:rFonts w:cs="Arial"/>
                <w:i/>
                <w:color w:val="000000"/>
                <w:sz w:val="16"/>
                <w:szCs w:val="16"/>
                <w:lang w:eastAsia="en-AU" w:bidi="ar-SA"/>
              </w:rPr>
              <w:t>I feel my needs are met</w:t>
            </w:r>
          </w:p>
        </w:tc>
        <w:tc>
          <w:tcPr>
            <w:tcW w:w="938" w:type="dxa"/>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c>
          <w:tcPr>
            <w:tcW w:w="236" w:type="dxa"/>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c>
          <w:tcPr>
            <w:tcW w:w="1007" w:type="dxa"/>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c>
          <w:tcPr>
            <w:tcW w:w="938" w:type="dxa"/>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c>
          <w:tcPr>
            <w:tcW w:w="975" w:type="dxa"/>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c>
          <w:tcPr>
            <w:tcW w:w="283" w:type="dxa"/>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c>
          <w:tcPr>
            <w:tcW w:w="897" w:type="dxa"/>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c>
          <w:tcPr>
            <w:tcW w:w="992" w:type="dxa"/>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r>
      <w:tr w:rsidR="003645D1" w:rsidRPr="00AE7648" w:rsidTr="002955BA">
        <w:trPr>
          <w:trHeight w:hRule="exact" w:val="278"/>
        </w:trPr>
        <w:tc>
          <w:tcPr>
            <w:tcW w:w="170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All the time</w:t>
            </w:r>
          </w:p>
        </w:tc>
        <w:tc>
          <w:tcPr>
            <w:tcW w:w="1114"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54.2</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46.7</w:t>
            </w:r>
          </w:p>
        </w:tc>
        <w:tc>
          <w:tcPr>
            <w:tcW w:w="236"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48.4</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57.6</w:t>
            </w:r>
          </w:p>
        </w:tc>
        <w:tc>
          <w:tcPr>
            <w:tcW w:w="975"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40.8</w:t>
            </w:r>
          </w:p>
        </w:tc>
        <w:tc>
          <w:tcPr>
            <w:tcW w:w="28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52.6</w:t>
            </w:r>
          </w:p>
        </w:tc>
        <w:tc>
          <w:tcPr>
            <w:tcW w:w="992"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63.9</w:t>
            </w:r>
          </w:p>
        </w:tc>
      </w:tr>
      <w:tr w:rsidR="003645D1" w:rsidRPr="00AE7648" w:rsidTr="002955BA">
        <w:trPr>
          <w:trHeight w:hRule="exact" w:val="278"/>
        </w:trPr>
        <w:tc>
          <w:tcPr>
            <w:tcW w:w="170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Most of the time</w:t>
            </w:r>
          </w:p>
        </w:tc>
        <w:tc>
          <w:tcPr>
            <w:tcW w:w="1114"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18.8</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21.2</w:t>
            </w:r>
          </w:p>
        </w:tc>
        <w:tc>
          <w:tcPr>
            <w:tcW w:w="236"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25.0</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21.2</w:t>
            </w:r>
          </w:p>
        </w:tc>
        <w:tc>
          <w:tcPr>
            <w:tcW w:w="975"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29.1</w:t>
            </w:r>
          </w:p>
        </w:tc>
        <w:tc>
          <w:tcPr>
            <w:tcW w:w="28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14.7</w:t>
            </w:r>
          </w:p>
        </w:tc>
        <w:tc>
          <w:tcPr>
            <w:tcW w:w="992"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23.1</w:t>
            </w:r>
          </w:p>
        </w:tc>
      </w:tr>
      <w:tr w:rsidR="003645D1" w:rsidRPr="00AE7648" w:rsidTr="002955BA">
        <w:trPr>
          <w:trHeight w:hRule="exact" w:val="278"/>
        </w:trPr>
        <w:tc>
          <w:tcPr>
            <w:tcW w:w="170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Sometimes</w:t>
            </w:r>
          </w:p>
        </w:tc>
        <w:tc>
          <w:tcPr>
            <w:tcW w:w="1114"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25.4</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15.2</w:t>
            </w:r>
          </w:p>
        </w:tc>
        <w:tc>
          <w:tcPr>
            <w:tcW w:w="236"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25.0</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12.1</w:t>
            </w:r>
          </w:p>
        </w:tc>
        <w:tc>
          <w:tcPr>
            <w:tcW w:w="975"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16.8</w:t>
            </w:r>
          </w:p>
        </w:tc>
        <w:tc>
          <w:tcPr>
            <w:tcW w:w="28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29.5</w:t>
            </w:r>
          </w:p>
        </w:tc>
        <w:tc>
          <w:tcPr>
            <w:tcW w:w="992"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12.0</w:t>
            </w:r>
          </w:p>
        </w:tc>
      </w:tr>
      <w:tr w:rsidR="003645D1" w:rsidRPr="00AE7648" w:rsidTr="002955BA">
        <w:trPr>
          <w:trHeight w:hRule="exact" w:val="278"/>
        </w:trPr>
        <w:tc>
          <w:tcPr>
            <w:tcW w:w="170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Hardly ever</w:t>
            </w:r>
          </w:p>
        </w:tc>
        <w:tc>
          <w:tcPr>
            <w:tcW w:w="1114"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1.3</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4.8</w:t>
            </w:r>
          </w:p>
        </w:tc>
        <w:tc>
          <w:tcPr>
            <w:tcW w:w="236"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1.6</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6.1</w:t>
            </w:r>
          </w:p>
        </w:tc>
        <w:tc>
          <w:tcPr>
            <w:tcW w:w="975"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6.1</w:t>
            </w:r>
          </w:p>
        </w:tc>
        <w:tc>
          <w:tcPr>
            <w:tcW w:w="28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1.1</w:t>
            </w:r>
          </w:p>
        </w:tc>
        <w:tc>
          <w:tcPr>
            <w:tcW w:w="992"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0.0</w:t>
            </w:r>
          </w:p>
        </w:tc>
      </w:tr>
      <w:tr w:rsidR="003645D1" w:rsidRPr="00AE7648" w:rsidTr="002955BA">
        <w:trPr>
          <w:trHeight w:hRule="exact" w:val="278"/>
        </w:trPr>
        <w:tc>
          <w:tcPr>
            <w:tcW w:w="1703"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Never</w:t>
            </w:r>
          </w:p>
        </w:tc>
        <w:tc>
          <w:tcPr>
            <w:tcW w:w="1114"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0.4</w:t>
            </w:r>
          </w:p>
        </w:tc>
        <w:tc>
          <w:tcPr>
            <w:tcW w:w="938"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12.1</w:t>
            </w:r>
          </w:p>
        </w:tc>
        <w:tc>
          <w:tcPr>
            <w:tcW w:w="236"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0.0</w:t>
            </w:r>
          </w:p>
        </w:tc>
        <w:tc>
          <w:tcPr>
            <w:tcW w:w="938"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3.0</w:t>
            </w:r>
          </w:p>
        </w:tc>
        <w:tc>
          <w:tcPr>
            <w:tcW w:w="975"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7.3</w:t>
            </w:r>
          </w:p>
        </w:tc>
        <w:tc>
          <w:tcPr>
            <w:tcW w:w="283"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2.1</w:t>
            </w:r>
          </w:p>
        </w:tc>
        <w:tc>
          <w:tcPr>
            <w:tcW w:w="992"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0.9</w:t>
            </w:r>
          </w:p>
        </w:tc>
      </w:tr>
      <w:tr w:rsidR="003645D1" w:rsidRPr="00AE7648" w:rsidTr="003645D1">
        <w:trPr>
          <w:trHeight w:hRule="exact" w:val="278"/>
        </w:trPr>
        <w:tc>
          <w:tcPr>
            <w:tcW w:w="3755" w:type="dxa"/>
            <w:gridSpan w:val="3"/>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r w:rsidRPr="00AE7648">
              <w:rPr>
                <w:rFonts w:cs="Arial"/>
                <w:i/>
                <w:color w:val="000000"/>
                <w:sz w:val="16"/>
                <w:szCs w:val="16"/>
                <w:lang w:eastAsia="en-AU" w:bidi="ar-SA"/>
              </w:rPr>
              <w:t>I feel more able to manage my money</w:t>
            </w:r>
          </w:p>
        </w:tc>
        <w:tc>
          <w:tcPr>
            <w:tcW w:w="236" w:type="dxa"/>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c>
          <w:tcPr>
            <w:tcW w:w="1007" w:type="dxa"/>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c>
          <w:tcPr>
            <w:tcW w:w="938" w:type="dxa"/>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c>
          <w:tcPr>
            <w:tcW w:w="975" w:type="dxa"/>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c>
          <w:tcPr>
            <w:tcW w:w="283" w:type="dxa"/>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c>
          <w:tcPr>
            <w:tcW w:w="897" w:type="dxa"/>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c>
          <w:tcPr>
            <w:tcW w:w="992" w:type="dxa"/>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r>
      <w:tr w:rsidR="003645D1" w:rsidRPr="00AE7648" w:rsidTr="002955BA">
        <w:trPr>
          <w:trHeight w:hRule="exact" w:val="278"/>
        </w:trPr>
        <w:tc>
          <w:tcPr>
            <w:tcW w:w="170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All the time</w:t>
            </w:r>
          </w:p>
        </w:tc>
        <w:tc>
          <w:tcPr>
            <w:tcW w:w="1114"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46.8</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32.5</w:t>
            </w:r>
          </w:p>
        </w:tc>
        <w:tc>
          <w:tcPr>
            <w:tcW w:w="236"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40.7</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37.5</w:t>
            </w:r>
          </w:p>
        </w:tc>
        <w:tc>
          <w:tcPr>
            <w:tcW w:w="975"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37.1</w:t>
            </w:r>
          </w:p>
        </w:tc>
        <w:tc>
          <w:tcPr>
            <w:tcW w:w="28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60.1</w:t>
            </w:r>
          </w:p>
        </w:tc>
        <w:tc>
          <w:tcPr>
            <w:tcW w:w="992"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60.2</w:t>
            </w:r>
          </w:p>
        </w:tc>
      </w:tr>
      <w:tr w:rsidR="003645D1" w:rsidRPr="00AE7648" w:rsidTr="002955BA">
        <w:trPr>
          <w:trHeight w:hRule="exact" w:val="278"/>
        </w:trPr>
        <w:tc>
          <w:tcPr>
            <w:tcW w:w="170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Most of the time</w:t>
            </w:r>
          </w:p>
        </w:tc>
        <w:tc>
          <w:tcPr>
            <w:tcW w:w="1114"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22.4</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19.9</w:t>
            </w:r>
          </w:p>
        </w:tc>
        <w:tc>
          <w:tcPr>
            <w:tcW w:w="236"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34.1</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28.1</w:t>
            </w:r>
          </w:p>
        </w:tc>
        <w:tc>
          <w:tcPr>
            <w:tcW w:w="975"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16.3</w:t>
            </w:r>
          </w:p>
        </w:tc>
        <w:tc>
          <w:tcPr>
            <w:tcW w:w="28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21.8</w:t>
            </w:r>
          </w:p>
        </w:tc>
        <w:tc>
          <w:tcPr>
            <w:tcW w:w="992"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22.2</w:t>
            </w:r>
          </w:p>
        </w:tc>
      </w:tr>
      <w:tr w:rsidR="003645D1" w:rsidRPr="00AE7648" w:rsidTr="002955BA">
        <w:trPr>
          <w:trHeight w:hRule="exact" w:val="278"/>
        </w:trPr>
        <w:tc>
          <w:tcPr>
            <w:tcW w:w="170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Sometimes</w:t>
            </w:r>
          </w:p>
        </w:tc>
        <w:tc>
          <w:tcPr>
            <w:tcW w:w="1114"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27.0</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19.9</w:t>
            </w:r>
          </w:p>
        </w:tc>
        <w:tc>
          <w:tcPr>
            <w:tcW w:w="236"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24.4</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25.0</w:t>
            </w:r>
          </w:p>
        </w:tc>
        <w:tc>
          <w:tcPr>
            <w:tcW w:w="975"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8.4</w:t>
            </w:r>
          </w:p>
        </w:tc>
        <w:tc>
          <w:tcPr>
            <w:tcW w:w="28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14.9</w:t>
            </w:r>
          </w:p>
        </w:tc>
        <w:tc>
          <w:tcPr>
            <w:tcW w:w="992"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10.2</w:t>
            </w:r>
          </w:p>
        </w:tc>
      </w:tr>
      <w:tr w:rsidR="003645D1" w:rsidRPr="00AE7648" w:rsidTr="002955BA">
        <w:trPr>
          <w:trHeight w:hRule="exact" w:val="278"/>
        </w:trPr>
        <w:tc>
          <w:tcPr>
            <w:tcW w:w="170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Hardly ever</w:t>
            </w:r>
          </w:p>
        </w:tc>
        <w:tc>
          <w:tcPr>
            <w:tcW w:w="1114"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3.0</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4.2</w:t>
            </w:r>
          </w:p>
        </w:tc>
        <w:tc>
          <w:tcPr>
            <w:tcW w:w="236"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0.0</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6.3</w:t>
            </w:r>
          </w:p>
        </w:tc>
        <w:tc>
          <w:tcPr>
            <w:tcW w:w="975"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7.3</w:t>
            </w:r>
          </w:p>
        </w:tc>
        <w:tc>
          <w:tcPr>
            <w:tcW w:w="28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2.7</w:t>
            </w:r>
          </w:p>
        </w:tc>
        <w:tc>
          <w:tcPr>
            <w:tcW w:w="992"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2.8</w:t>
            </w:r>
          </w:p>
        </w:tc>
      </w:tr>
      <w:tr w:rsidR="003645D1" w:rsidRPr="00AE7648" w:rsidTr="002955BA">
        <w:trPr>
          <w:trHeight w:hRule="exact" w:val="278"/>
        </w:trPr>
        <w:tc>
          <w:tcPr>
            <w:tcW w:w="1703"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Never</w:t>
            </w:r>
          </w:p>
        </w:tc>
        <w:tc>
          <w:tcPr>
            <w:tcW w:w="1114"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0.8</w:t>
            </w:r>
          </w:p>
        </w:tc>
        <w:tc>
          <w:tcPr>
            <w:tcW w:w="938"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23.5</w:t>
            </w:r>
          </w:p>
        </w:tc>
        <w:tc>
          <w:tcPr>
            <w:tcW w:w="236"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0.8</w:t>
            </w:r>
          </w:p>
        </w:tc>
        <w:tc>
          <w:tcPr>
            <w:tcW w:w="938"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3.1</w:t>
            </w:r>
          </w:p>
        </w:tc>
        <w:tc>
          <w:tcPr>
            <w:tcW w:w="975"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30.9</w:t>
            </w:r>
          </w:p>
        </w:tc>
        <w:tc>
          <w:tcPr>
            <w:tcW w:w="283"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0.5</w:t>
            </w:r>
          </w:p>
        </w:tc>
        <w:tc>
          <w:tcPr>
            <w:tcW w:w="992"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4.6</w:t>
            </w:r>
          </w:p>
        </w:tc>
      </w:tr>
      <w:tr w:rsidR="00991B4C" w:rsidRPr="00AE7648" w:rsidTr="002955BA">
        <w:trPr>
          <w:trHeight w:hRule="exact" w:val="278"/>
        </w:trPr>
        <w:tc>
          <w:tcPr>
            <w:tcW w:w="3991" w:type="dxa"/>
            <w:gridSpan w:val="4"/>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r w:rsidRPr="00AE7648">
              <w:rPr>
                <w:rFonts w:cs="Arial"/>
                <w:i/>
                <w:color w:val="000000"/>
                <w:sz w:val="16"/>
                <w:szCs w:val="16"/>
                <w:lang w:eastAsia="en-AU" w:bidi="ar-SA"/>
              </w:rPr>
              <w:t>I would recommend the service to others</w:t>
            </w:r>
          </w:p>
        </w:tc>
        <w:tc>
          <w:tcPr>
            <w:tcW w:w="1007" w:type="dxa"/>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c>
          <w:tcPr>
            <w:tcW w:w="938" w:type="dxa"/>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c>
          <w:tcPr>
            <w:tcW w:w="975" w:type="dxa"/>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c>
          <w:tcPr>
            <w:tcW w:w="283" w:type="dxa"/>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c>
          <w:tcPr>
            <w:tcW w:w="897" w:type="dxa"/>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c>
          <w:tcPr>
            <w:tcW w:w="992" w:type="dxa"/>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r>
      <w:tr w:rsidR="003645D1" w:rsidRPr="00AE7648" w:rsidTr="002955BA">
        <w:trPr>
          <w:trHeight w:hRule="exact" w:val="278"/>
        </w:trPr>
        <w:tc>
          <w:tcPr>
            <w:tcW w:w="170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All the time</w:t>
            </w:r>
          </w:p>
        </w:tc>
        <w:tc>
          <w:tcPr>
            <w:tcW w:w="1114"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53.8</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31.2</w:t>
            </w:r>
          </w:p>
        </w:tc>
        <w:tc>
          <w:tcPr>
            <w:tcW w:w="236"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37.9</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35.7</w:t>
            </w:r>
          </w:p>
        </w:tc>
        <w:tc>
          <w:tcPr>
            <w:tcW w:w="975"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38.6</w:t>
            </w:r>
          </w:p>
        </w:tc>
        <w:tc>
          <w:tcPr>
            <w:tcW w:w="28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61.5</w:t>
            </w:r>
          </w:p>
        </w:tc>
        <w:tc>
          <w:tcPr>
            <w:tcW w:w="992"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63.6</w:t>
            </w:r>
          </w:p>
        </w:tc>
      </w:tr>
      <w:tr w:rsidR="003645D1" w:rsidRPr="00AE7648" w:rsidTr="002955BA">
        <w:trPr>
          <w:trHeight w:hRule="exact" w:val="278"/>
        </w:trPr>
        <w:tc>
          <w:tcPr>
            <w:tcW w:w="170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Most of the time</w:t>
            </w:r>
          </w:p>
        </w:tc>
        <w:tc>
          <w:tcPr>
            <w:tcW w:w="1114"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15.7</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15.6</w:t>
            </w:r>
          </w:p>
        </w:tc>
        <w:tc>
          <w:tcPr>
            <w:tcW w:w="236"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23.3</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28.6</w:t>
            </w:r>
          </w:p>
        </w:tc>
        <w:tc>
          <w:tcPr>
            <w:tcW w:w="975"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9.9</w:t>
            </w:r>
          </w:p>
        </w:tc>
        <w:tc>
          <w:tcPr>
            <w:tcW w:w="28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15.1</w:t>
            </w:r>
          </w:p>
        </w:tc>
        <w:tc>
          <w:tcPr>
            <w:tcW w:w="992"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19.6</w:t>
            </w:r>
          </w:p>
        </w:tc>
      </w:tr>
      <w:tr w:rsidR="003645D1" w:rsidRPr="00AE7648" w:rsidTr="002955BA">
        <w:trPr>
          <w:trHeight w:hRule="exact" w:val="278"/>
        </w:trPr>
        <w:tc>
          <w:tcPr>
            <w:tcW w:w="170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Sometimes</w:t>
            </w:r>
          </w:p>
        </w:tc>
        <w:tc>
          <w:tcPr>
            <w:tcW w:w="1114"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21.5</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20.1</w:t>
            </w:r>
          </w:p>
        </w:tc>
        <w:tc>
          <w:tcPr>
            <w:tcW w:w="236"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25.0</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17.9</w:t>
            </w:r>
          </w:p>
        </w:tc>
        <w:tc>
          <w:tcPr>
            <w:tcW w:w="975"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14.0</w:t>
            </w:r>
          </w:p>
        </w:tc>
        <w:tc>
          <w:tcPr>
            <w:tcW w:w="28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15.1</w:t>
            </w:r>
          </w:p>
        </w:tc>
        <w:tc>
          <w:tcPr>
            <w:tcW w:w="992"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12.1</w:t>
            </w:r>
          </w:p>
        </w:tc>
      </w:tr>
      <w:tr w:rsidR="003645D1" w:rsidRPr="00AE7648" w:rsidTr="002955BA">
        <w:trPr>
          <w:trHeight w:hRule="exact" w:val="278"/>
        </w:trPr>
        <w:tc>
          <w:tcPr>
            <w:tcW w:w="170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Hardly ever</w:t>
            </w:r>
          </w:p>
        </w:tc>
        <w:tc>
          <w:tcPr>
            <w:tcW w:w="1114"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2.2</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2.6</w:t>
            </w:r>
          </w:p>
        </w:tc>
        <w:tc>
          <w:tcPr>
            <w:tcW w:w="236"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3.4</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0.0</w:t>
            </w:r>
          </w:p>
        </w:tc>
        <w:tc>
          <w:tcPr>
            <w:tcW w:w="975"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2.9</w:t>
            </w:r>
          </w:p>
        </w:tc>
        <w:tc>
          <w:tcPr>
            <w:tcW w:w="28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1.7</w:t>
            </w:r>
          </w:p>
        </w:tc>
        <w:tc>
          <w:tcPr>
            <w:tcW w:w="992"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1.9</w:t>
            </w:r>
          </w:p>
        </w:tc>
      </w:tr>
      <w:tr w:rsidR="003645D1" w:rsidRPr="00AE7648" w:rsidTr="002955BA">
        <w:trPr>
          <w:trHeight w:hRule="exact" w:val="278"/>
        </w:trPr>
        <w:tc>
          <w:tcPr>
            <w:tcW w:w="1703"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Never</w:t>
            </w:r>
          </w:p>
        </w:tc>
        <w:tc>
          <w:tcPr>
            <w:tcW w:w="1114"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6.7</w:t>
            </w:r>
          </w:p>
        </w:tc>
        <w:tc>
          <w:tcPr>
            <w:tcW w:w="938"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30.5</w:t>
            </w:r>
          </w:p>
        </w:tc>
        <w:tc>
          <w:tcPr>
            <w:tcW w:w="236"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10.3</w:t>
            </w:r>
          </w:p>
        </w:tc>
        <w:tc>
          <w:tcPr>
            <w:tcW w:w="938"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17.9</w:t>
            </w:r>
          </w:p>
        </w:tc>
        <w:tc>
          <w:tcPr>
            <w:tcW w:w="975"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34.5</w:t>
            </w:r>
          </w:p>
        </w:tc>
        <w:tc>
          <w:tcPr>
            <w:tcW w:w="283"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6.7</w:t>
            </w:r>
          </w:p>
        </w:tc>
        <w:tc>
          <w:tcPr>
            <w:tcW w:w="992"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2.8</w:t>
            </w:r>
          </w:p>
        </w:tc>
      </w:tr>
      <w:tr w:rsidR="00991B4C" w:rsidRPr="00AE7648" w:rsidTr="002955BA">
        <w:trPr>
          <w:trHeight w:hRule="exact" w:val="278"/>
        </w:trPr>
        <w:tc>
          <w:tcPr>
            <w:tcW w:w="5936" w:type="dxa"/>
            <w:gridSpan w:val="6"/>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r w:rsidRPr="00AE7648">
              <w:rPr>
                <w:rFonts w:cs="Arial"/>
                <w:i/>
                <w:color w:val="000000"/>
                <w:sz w:val="16"/>
                <w:szCs w:val="16"/>
                <w:lang w:eastAsia="en-AU" w:bidi="ar-SA"/>
              </w:rPr>
              <w:t>I feel my privacy is respected</w:t>
            </w:r>
          </w:p>
        </w:tc>
        <w:tc>
          <w:tcPr>
            <w:tcW w:w="975" w:type="dxa"/>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c>
          <w:tcPr>
            <w:tcW w:w="283" w:type="dxa"/>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c>
          <w:tcPr>
            <w:tcW w:w="897" w:type="dxa"/>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c>
          <w:tcPr>
            <w:tcW w:w="992" w:type="dxa"/>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r>
      <w:tr w:rsidR="003645D1" w:rsidRPr="00AE7648" w:rsidTr="002955BA">
        <w:trPr>
          <w:trHeight w:hRule="exact" w:val="278"/>
        </w:trPr>
        <w:tc>
          <w:tcPr>
            <w:tcW w:w="170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All the time</w:t>
            </w:r>
          </w:p>
        </w:tc>
        <w:tc>
          <w:tcPr>
            <w:tcW w:w="1114"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56.0</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51.5</w:t>
            </w:r>
          </w:p>
        </w:tc>
        <w:tc>
          <w:tcPr>
            <w:tcW w:w="236"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44.4</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53.1</w:t>
            </w:r>
          </w:p>
        </w:tc>
        <w:tc>
          <w:tcPr>
            <w:tcW w:w="975"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59.0</w:t>
            </w:r>
          </w:p>
        </w:tc>
        <w:tc>
          <w:tcPr>
            <w:tcW w:w="28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66.1</w:t>
            </w:r>
          </w:p>
        </w:tc>
        <w:tc>
          <w:tcPr>
            <w:tcW w:w="992"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68.2</w:t>
            </w:r>
          </w:p>
        </w:tc>
      </w:tr>
      <w:tr w:rsidR="003645D1" w:rsidRPr="00AE7648" w:rsidTr="002955BA">
        <w:trPr>
          <w:trHeight w:hRule="exact" w:val="278"/>
        </w:trPr>
        <w:tc>
          <w:tcPr>
            <w:tcW w:w="170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Most of the time</w:t>
            </w:r>
          </w:p>
        </w:tc>
        <w:tc>
          <w:tcPr>
            <w:tcW w:w="1114"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16.6</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20.6</w:t>
            </w:r>
          </w:p>
        </w:tc>
        <w:tc>
          <w:tcPr>
            <w:tcW w:w="236"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21.0</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28.1</w:t>
            </w:r>
          </w:p>
        </w:tc>
        <w:tc>
          <w:tcPr>
            <w:tcW w:w="975"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16.9</w:t>
            </w:r>
          </w:p>
        </w:tc>
        <w:tc>
          <w:tcPr>
            <w:tcW w:w="28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14.3</w:t>
            </w:r>
          </w:p>
        </w:tc>
        <w:tc>
          <w:tcPr>
            <w:tcW w:w="992"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20.6</w:t>
            </w:r>
          </w:p>
        </w:tc>
      </w:tr>
      <w:tr w:rsidR="003645D1" w:rsidRPr="00AE7648" w:rsidTr="002955BA">
        <w:trPr>
          <w:trHeight w:hRule="exact" w:val="278"/>
        </w:trPr>
        <w:tc>
          <w:tcPr>
            <w:tcW w:w="170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Sometimes</w:t>
            </w:r>
          </w:p>
        </w:tc>
        <w:tc>
          <w:tcPr>
            <w:tcW w:w="1114"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22.0</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12.7</w:t>
            </w:r>
          </w:p>
        </w:tc>
        <w:tc>
          <w:tcPr>
            <w:tcW w:w="236"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30.6</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15.6</w:t>
            </w:r>
          </w:p>
        </w:tc>
        <w:tc>
          <w:tcPr>
            <w:tcW w:w="975"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10.1</w:t>
            </w:r>
          </w:p>
        </w:tc>
        <w:tc>
          <w:tcPr>
            <w:tcW w:w="28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16.4</w:t>
            </w:r>
          </w:p>
        </w:tc>
        <w:tc>
          <w:tcPr>
            <w:tcW w:w="992"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11.2</w:t>
            </w:r>
          </w:p>
        </w:tc>
      </w:tr>
      <w:tr w:rsidR="003645D1" w:rsidRPr="00AE7648" w:rsidTr="002955BA">
        <w:trPr>
          <w:trHeight w:hRule="exact" w:val="278"/>
        </w:trPr>
        <w:tc>
          <w:tcPr>
            <w:tcW w:w="170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Hardly ever</w:t>
            </w:r>
          </w:p>
        </w:tc>
        <w:tc>
          <w:tcPr>
            <w:tcW w:w="1114"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2.9</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3.0</w:t>
            </w:r>
          </w:p>
        </w:tc>
        <w:tc>
          <w:tcPr>
            <w:tcW w:w="236"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0.8</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0.0</w:t>
            </w:r>
          </w:p>
        </w:tc>
        <w:tc>
          <w:tcPr>
            <w:tcW w:w="975"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4.5</w:t>
            </w:r>
          </w:p>
        </w:tc>
        <w:tc>
          <w:tcPr>
            <w:tcW w:w="28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2.1</w:t>
            </w:r>
          </w:p>
        </w:tc>
        <w:tc>
          <w:tcPr>
            <w:tcW w:w="992"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0.0</w:t>
            </w:r>
          </w:p>
        </w:tc>
      </w:tr>
      <w:tr w:rsidR="003645D1" w:rsidRPr="00AE7648" w:rsidTr="002955BA">
        <w:trPr>
          <w:trHeight w:hRule="exact" w:val="278"/>
        </w:trPr>
        <w:tc>
          <w:tcPr>
            <w:tcW w:w="1703"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Never</w:t>
            </w:r>
          </w:p>
        </w:tc>
        <w:tc>
          <w:tcPr>
            <w:tcW w:w="1114"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2.5</w:t>
            </w:r>
          </w:p>
        </w:tc>
        <w:tc>
          <w:tcPr>
            <w:tcW w:w="938"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12.1</w:t>
            </w:r>
          </w:p>
        </w:tc>
        <w:tc>
          <w:tcPr>
            <w:tcW w:w="236"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3.2</w:t>
            </w:r>
          </w:p>
        </w:tc>
        <w:tc>
          <w:tcPr>
            <w:tcW w:w="938"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3.1</w:t>
            </w:r>
          </w:p>
        </w:tc>
        <w:tc>
          <w:tcPr>
            <w:tcW w:w="975"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9.6</w:t>
            </w:r>
          </w:p>
        </w:tc>
        <w:tc>
          <w:tcPr>
            <w:tcW w:w="283"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1.1</w:t>
            </w:r>
          </w:p>
        </w:tc>
        <w:tc>
          <w:tcPr>
            <w:tcW w:w="992"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0.0</w:t>
            </w:r>
          </w:p>
        </w:tc>
      </w:tr>
      <w:tr w:rsidR="003645D1" w:rsidRPr="00AE7648" w:rsidTr="003645D1">
        <w:trPr>
          <w:trHeight w:hRule="exact" w:val="278"/>
        </w:trPr>
        <w:tc>
          <w:tcPr>
            <w:tcW w:w="2817" w:type="dxa"/>
            <w:gridSpan w:val="2"/>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r w:rsidRPr="00AE7648">
              <w:rPr>
                <w:rFonts w:cs="Arial"/>
                <w:i/>
                <w:color w:val="000000"/>
                <w:sz w:val="16"/>
                <w:szCs w:val="16"/>
                <w:lang w:eastAsia="en-AU" w:bidi="ar-SA"/>
              </w:rPr>
              <w:t>They explain things well</w:t>
            </w:r>
          </w:p>
        </w:tc>
        <w:tc>
          <w:tcPr>
            <w:tcW w:w="938" w:type="dxa"/>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c>
          <w:tcPr>
            <w:tcW w:w="236" w:type="dxa"/>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c>
          <w:tcPr>
            <w:tcW w:w="1007" w:type="dxa"/>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c>
          <w:tcPr>
            <w:tcW w:w="938" w:type="dxa"/>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c>
          <w:tcPr>
            <w:tcW w:w="975" w:type="dxa"/>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c>
          <w:tcPr>
            <w:tcW w:w="283" w:type="dxa"/>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c>
          <w:tcPr>
            <w:tcW w:w="897" w:type="dxa"/>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c>
          <w:tcPr>
            <w:tcW w:w="992" w:type="dxa"/>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r>
      <w:tr w:rsidR="003645D1" w:rsidRPr="00AE7648" w:rsidTr="002955BA">
        <w:trPr>
          <w:trHeight w:hRule="exact" w:val="278"/>
        </w:trPr>
        <w:tc>
          <w:tcPr>
            <w:tcW w:w="170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All the time</w:t>
            </w:r>
          </w:p>
        </w:tc>
        <w:tc>
          <w:tcPr>
            <w:tcW w:w="1114"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60.3</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53.6</w:t>
            </w:r>
          </w:p>
        </w:tc>
        <w:tc>
          <w:tcPr>
            <w:tcW w:w="236"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52.4</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46.9</w:t>
            </w:r>
          </w:p>
        </w:tc>
        <w:tc>
          <w:tcPr>
            <w:tcW w:w="975"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45.9</w:t>
            </w:r>
          </w:p>
        </w:tc>
        <w:tc>
          <w:tcPr>
            <w:tcW w:w="28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66.1</w:t>
            </w:r>
          </w:p>
        </w:tc>
        <w:tc>
          <w:tcPr>
            <w:tcW w:w="992"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70.4</w:t>
            </w:r>
          </w:p>
        </w:tc>
      </w:tr>
      <w:tr w:rsidR="003645D1" w:rsidRPr="00AE7648" w:rsidTr="002955BA">
        <w:trPr>
          <w:trHeight w:hRule="exact" w:val="278"/>
        </w:trPr>
        <w:tc>
          <w:tcPr>
            <w:tcW w:w="170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Most of the time</w:t>
            </w:r>
          </w:p>
        </w:tc>
        <w:tc>
          <w:tcPr>
            <w:tcW w:w="1114"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17.8</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19.9</w:t>
            </w:r>
          </w:p>
        </w:tc>
        <w:tc>
          <w:tcPr>
            <w:tcW w:w="236"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21.8</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34.4</w:t>
            </w:r>
          </w:p>
        </w:tc>
        <w:tc>
          <w:tcPr>
            <w:tcW w:w="975"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23.2</w:t>
            </w:r>
          </w:p>
        </w:tc>
        <w:tc>
          <w:tcPr>
            <w:tcW w:w="28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13.0</w:t>
            </w:r>
          </w:p>
        </w:tc>
        <w:tc>
          <w:tcPr>
            <w:tcW w:w="992"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18.5</w:t>
            </w:r>
          </w:p>
        </w:tc>
      </w:tr>
      <w:tr w:rsidR="003645D1" w:rsidRPr="00AE7648" w:rsidTr="002955BA">
        <w:trPr>
          <w:trHeight w:hRule="exact" w:val="278"/>
        </w:trPr>
        <w:tc>
          <w:tcPr>
            <w:tcW w:w="170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Sometimes</w:t>
            </w:r>
          </w:p>
        </w:tc>
        <w:tc>
          <w:tcPr>
            <w:tcW w:w="1114"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19.8</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12.7</w:t>
            </w:r>
          </w:p>
        </w:tc>
        <w:tc>
          <w:tcPr>
            <w:tcW w:w="236"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21.8</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12.5</w:t>
            </w:r>
          </w:p>
        </w:tc>
        <w:tc>
          <w:tcPr>
            <w:tcW w:w="975"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14.4</w:t>
            </w:r>
          </w:p>
        </w:tc>
        <w:tc>
          <w:tcPr>
            <w:tcW w:w="28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17.7</w:t>
            </w:r>
          </w:p>
        </w:tc>
        <w:tc>
          <w:tcPr>
            <w:tcW w:w="992"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11.1</w:t>
            </w:r>
          </w:p>
        </w:tc>
      </w:tr>
      <w:tr w:rsidR="003645D1" w:rsidRPr="00AE7648" w:rsidTr="002955BA">
        <w:trPr>
          <w:trHeight w:hRule="exact" w:val="278"/>
        </w:trPr>
        <w:tc>
          <w:tcPr>
            <w:tcW w:w="170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Hardly ever</w:t>
            </w:r>
          </w:p>
        </w:tc>
        <w:tc>
          <w:tcPr>
            <w:tcW w:w="1114"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2.1</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3.6</w:t>
            </w:r>
          </w:p>
        </w:tc>
        <w:tc>
          <w:tcPr>
            <w:tcW w:w="236"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1.6</w:t>
            </w:r>
          </w:p>
        </w:tc>
        <w:tc>
          <w:tcPr>
            <w:tcW w:w="93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0.0</w:t>
            </w:r>
          </w:p>
        </w:tc>
        <w:tc>
          <w:tcPr>
            <w:tcW w:w="975"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8.3</w:t>
            </w:r>
          </w:p>
        </w:tc>
        <w:tc>
          <w:tcPr>
            <w:tcW w:w="283"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1.6</w:t>
            </w:r>
          </w:p>
        </w:tc>
        <w:tc>
          <w:tcPr>
            <w:tcW w:w="992"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0.0</w:t>
            </w:r>
          </w:p>
        </w:tc>
      </w:tr>
      <w:tr w:rsidR="003645D1" w:rsidRPr="00AE7648" w:rsidTr="002955BA">
        <w:trPr>
          <w:trHeight w:hRule="exact" w:val="278"/>
        </w:trPr>
        <w:tc>
          <w:tcPr>
            <w:tcW w:w="1703"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Never</w:t>
            </w:r>
          </w:p>
        </w:tc>
        <w:tc>
          <w:tcPr>
            <w:tcW w:w="1114"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0.0</w:t>
            </w:r>
          </w:p>
        </w:tc>
        <w:tc>
          <w:tcPr>
            <w:tcW w:w="938"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10.2</w:t>
            </w:r>
          </w:p>
        </w:tc>
        <w:tc>
          <w:tcPr>
            <w:tcW w:w="236"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2.4</w:t>
            </w:r>
          </w:p>
        </w:tc>
        <w:tc>
          <w:tcPr>
            <w:tcW w:w="938"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6.3</w:t>
            </w:r>
          </w:p>
        </w:tc>
        <w:tc>
          <w:tcPr>
            <w:tcW w:w="975"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8.3</w:t>
            </w:r>
          </w:p>
        </w:tc>
        <w:tc>
          <w:tcPr>
            <w:tcW w:w="283"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1.6</w:t>
            </w:r>
          </w:p>
        </w:tc>
        <w:tc>
          <w:tcPr>
            <w:tcW w:w="992" w:type="dxa"/>
            <w:tcBorders>
              <w:top w:val="nil"/>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0.0</w:t>
            </w:r>
          </w:p>
        </w:tc>
      </w:tr>
    </w:tbl>
    <w:p w:rsidR="00991B4C" w:rsidRDefault="003E2B11" w:rsidP="003E2B11">
      <w:pPr>
        <w:ind w:left="0"/>
      </w:pPr>
      <w:r>
        <w:t>Cont.</w:t>
      </w:r>
    </w:p>
    <w:p w:rsidR="003645D1" w:rsidRPr="002636B4" w:rsidRDefault="002636B4" w:rsidP="002955BA">
      <w:pPr>
        <w:keepNext/>
        <w:ind w:left="567"/>
        <w:rPr>
          <w:color w:val="263C88" w:themeColor="accent1"/>
        </w:rPr>
      </w:pPr>
      <w:r>
        <w:rPr>
          <w:b/>
          <w:noProof/>
          <w:color w:val="263C88" w:themeColor="accent1"/>
        </w:rPr>
        <w:t>Table H</w:t>
      </w:r>
      <w:r w:rsidR="003645D1" w:rsidRPr="002636B4">
        <w:rPr>
          <w:b/>
          <w:noProof/>
          <w:color w:val="263C88" w:themeColor="accent1"/>
        </w:rPr>
        <w:t>-1 (cont):</w:t>
      </w:r>
      <w:r w:rsidR="003645D1" w:rsidRPr="002636B4">
        <w:rPr>
          <w:b/>
          <w:color w:val="263C88" w:themeColor="accent1"/>
        </w:rPr>
        <w:t xml:space="preserve"> Views about Centrelink,</w:t>
      </w:r>
      <w:r w:rsidR="006435C8" w:rsidRPr="002636B4">
        <w:rPr>
          <w:b/>
          <w:color w:val="263C88" w:themeColor="accent1"/>
        </w:rPr>
        <w:t xml:space="preserve"> Northern Territory </w:t>
      </w:r>
      <w:r w:rsidR="003645D1" w:rsidRPr="002636B4">
        <w:rPr>
          <w:b/>
          <w:color w:val="263C88" w:themeColor="accent1"/>
        </w:rPr>
        <w:t>and contrast group respondents</w:t>
      </w:r>
    </w:p>
    <w:tbl>
      <w:tblPr>
        <w:tblW w:w="9083" w:type="dxa"/>
        <w:tblInd w:w="97" w:type="dxa"/>
        <w:tblLayout w:type="fixed"/>
        <w:tblLook w:val="04A0" w:firstRow="1" w:lastRow="0" w:firstColumn="1" w:lastColumn="0" w:noHBand="0" w:noVBand="1"/>
      </w:tblPr>
      <w:tblGrid>
        <w:gridCol w:w="1697"/>
        <w:gridCol w:w="1004"/>
        <w:gridCol w:w="104"/>
        <w:gridCol w:w="830"/>
        <w:gridCol w:w="104"/>
        <w:gridCol w:w="155"/>
        <w:gridCol w:w="118"/>
        <w:gridCol w:w="886"/>
        <w:gridCol w:w="116"/>
        <w:gridCol w:w="818"/>
        <w:gridCol w:w="115"/>
        <w:gridCol w:w="971"/>
        <w:gridCol w:w="85"/>
        <w:gridCol w:w="198"/>
        <w:gridCol w:w="77"/>
        <w:gridCol w:w="817"/>
        <w:gridCol w:w="988"/>
      </w:tblGrid>
      <w:tr w:rsidR="003645D1" w:rsidRPr="00AE7648" w:rsidTr="00461D18">
        <w:trPr>
          <w:trHeight w:val="288"/>
          <w:tblHeader/>
        </w:trPr>
        <w:tc>
          <w:tcPr>
            <w:tcW w:w="1703" w:type="dxa"/>
            <w:vMerge w:val="restart"/>
            <w:tcBorders>
              <w:top w:val="single" w:sz="4" w:space="0" w:color="auto"/>
              <w:left w:val="nil"/>
              <w:right w:val="nil"/>
            </w:tcBorders>
            <w:shd w:val="clear" w:color="auto" w:fill="auto"/>
            <w:noWrap/>
            <w:hideMark/>
          </w:tcPr>
          <w:p w:rsidR="003645D1" w:rsidRPr="00AE7648" w:rsidRDefault="003645D1" w:rsidP="00461D18">
            <w:pPr>
              <w:keepNext/>
              <w:keepLines/>
              <w:spacing w:after="0" w:line="216" w:lineRule="auto"/>
              <w:ind w:left="0"/>
              <w:jc w:val="left"/>
              <w:rPr>
                <w:rFonts w:cs="Arial"/>
                <w:color w:val="000000"/>
                <w:sz w:val="16"/>
                <w:szCs w:val="16"/>
                <w:lang w:eastAsia="en-AU" w:bidi="ar-SA"/>
              </w:rPr>
            </w:pPr>
            <w:r w:rsidRPr="00AE7648">
              <w:rPr>
                <w:rFonts w:cs="Arial"/>
                <w:color w:val="000000"/>
                <w:sz w:val="16"/>
                <w:szCs w:val="16"/>
                <w:lang w:eastAsia="en-AU" w:bidi="ar-SA"/>
              </w:rPr>
              <w:t xml:space="preserve">Please tell us what you think about Centrelink Service. </w:t>
            </w:r>
          </w:p>
          <w:p w:rsidR="003645D1" w:rsidRPr="00AE7648" w:rsidRDefault="003645D1" w:rsidP="00461D18">
            <w:pPr>
              <w:keepNext/>
              <w:keepLines/>
              <w:spacing w:after="0" w:line="216" w:lineRule="auto"/>
              <w:ind w:left="0"/>
              <w:jc w:val="left"/>
              <w:rPr>
                <w:rFonts w:cs="Arial"/>
                <w:color w:val="000000"/>
                <w:sz w:val="16"/>
                <w:szCs w:val="16"/>
                <w:lang w:eastAsia="en-AU" w:bidi="ar-SA"/>
              </w:rPr>
            </w:pPr>
            <w:r w:rsidRPr="00AE7648">
              <w:rPr>
                <w:rFonts w:cs="Arial"/>
                <w:color w:val="000000"/>
                <w:sz w:val="16"/>
                <w:szCs w:val="16"/>
                <w:lang w:eastAsia="en-AU" w:bidi="ar-SA"/>
              </w:rPr>
              <w:t>How often do you feel this way:</w:t>
            </w:r>
          </w:p>
        </w:tc>
        <w:tc>
          <w:tcPr>
            <w:tcW w:w="5208" w:type="dxa"/>
            <w:gridSpan w:val="11"/>
            <w:tcBorders>
              <w:top w:val="single" w:sz="4" w:space="0" w:color="auto"/>
              <w:left w:val="nil"/>
              <w:bottom w:val="single" w:sz="4" w:space="0" w:color="auto"/>
              <w:right w:val="nil"/>
            </w:tcBorders>
            <w:shd w:val="clear" w:color="auto" w:fill="auto"/>
            <w:noWrap/>
            <w:vAlign w:val="bottom"/>
            <w:hideMark/>
          </w:tcPr>
          <w:p w:rsidR="003645D1" w:rsidRPr="00AE7648" w:rsidRDefault="003645D1" w:rsidP="00461D18">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Income Managed</w:t>
            </w:r>
          </w:p>
        </w:tc>
        <w:tc>
          <w:tcPr>
            <w:tcW w:w="283" w:type="dxa"/>
            <w:gridSpan w:val="2"/>
            <w:tcBorders>
              <w:top w:val="single" w:sz="4" w:space="0" w:color="auto"/>
              <w:left w:val="nil"/>
              <w:bottom w:val="nil"/>
              <w:right w:val="nil"/>
            </w:tcBorders>
            <w:shd w:val="clear" w:color="auto" w:fill="auto"/>
            <w:noWrap/>
            <w:vAlign w:val="bottom"/>
            <w:hideMark/>
          </w:tcPr>
          <w:p w:rsidR="003645D1" w:rsidRPr="00AE7648" w:rsidRDefault="003645D1" w:rsidP="00461D18">
            <w:pPr>
              <w:keepNext/>
              <w:keepLines/>
              <w:spacing w:after="0" w:line="216" w:lineRule="auto"/>
              <w:ind w:left="0"/>
              <w:rPr>
                <w:rFonts w:cs="Arial"/>
                <w:color w:val="000000"/>
                <w:sz w:val="16"/>
                <w:szCs w:val="16"/>
                <w:lang w:eastAsia="en-AU" w:bidi="ar-SA"/>
              </w:rPr>
            </w:pPr>
          </w:p>
        </w:tc>
        <w:tc>
          <w:tcPr>
            <w:tcW w:w="1889" w:type="dxa"/>
            <w:gridSpan w:val="3"/>
            <w:tcBorders>
              <w:top w:val="single" w:sz="4" w:space="0" w:color="auto"/>
              <w:left w:val="nil"/>
              <w:bottom w:val="single" w:sz="4" w:space="0" w:color="auto"/>
              <w:right w:val="nil"/>
            </w:tcBorders>
            <w:shd w:val="clear" w:color="auto" w:fill="auto"/>
            <w:noWrap/>
            <w:vAlign w:val="bottom"/>
            <w:hideMark/>
          </w:tcPr>
          <w:p w:rsidR="003645D1" w:rsidRPr="00AE7648" w:rsidRDefault="003645D1" w:rsidP="00461D18">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Contrast sites</w:t>
            </w:r>
          </w:p>
        </w:tc>
      </w:tr>
      <w:tr w:rsidR="003645D1" w:rsidRPr="00AE7648" w:rsidTr="00461D18">
        <w:trPr>
          <w:trHeight w:val="288"/>
          <w:tblHeader/>
        </w:trPr>
        <w:tc>
          <w:tcPr>
            <w:tcW w:w="1703" w:type="dxa"/>
            <w:vMerge/>
            <w:tcBorders>
              <w:left w:val="nil"/>
              <w:right w:val="nil"/>
            </w:tcBorders>
            <w:shd w:val="clear" w:color="auto" w:fill="auto"/>
            <w:noWrap/>
            <w:vAlign w:val="bottom"/>
            <w:hideMark/>
          </w:tcPr>
          <w:p w:rsidR="003645D1" w:rsidRPr="00AE7648" w:rsidRDefault="003645D1" w:rsidP="00461D18">
            <w:pPr>
              <w:keepNext/>
              <w:keepLines/>
              <w:spacing w:after="0" w:line="216" w:lineRule="auto"/>
              <w:ind w:left="0"/>
              <w:rPr>
                <w:rFonts w:cs="Arial"/>
                <w:color w:val="000000"/>
                <w:sz w:val="16"/>
                <w:szCs w:val="16"/>
                <w:lang w:eastAsia="en-AU" w:bidi="ar-SA"/>
              </w:rPr>
            </w:pPr>
          </w:p>
        </w:tc>
        <w:tc>
          <w:tcPr>
            <w:tcW w:w="2052" w:type="dxa"/>
            <w:gridSpan w:val="4"/>
            <w:tcBorders>
              <w:top w:val="single" w:sz="4" w:space="0" w:color="auto"/>
              <w:left w:val="nil"/>
              <w:bottom w:val="single" w:sz="4" w:space="0" w:color="auto"/>
              <w:right w:val="nil"/>
            </w:tcBorders>
            <w:shd w:val="clear" w:color="auto" w:fill="auto"/>
            <w:noWrap/>
            <w:vAlign w:val="bottom"/>
            <w:hideMark/>
          </w:tcPr>
          <w:p w:rsidR="003645D1" w:rsidRPr="00AE7648" w:rsidRDefault="003645D1" w:rsidP="00461D18">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Indigenous</w:t>
            </w:r>
          </w:p>
        </w:tc>
        <w:tc>
          <w:tcPr>
            <w:tcW w:w="236" w:type="dxa"/>
            <w:gridSpan w:val="2"/>
            <w:tcBorders>
              <w:top w:val="single" w:sz="4" w:space="0" w:color="auto"/>
              <w:left w:val="nil"/>
              <w:bottom w:val="single" w:sz="4" w:space="0" w:color="auto"/>
              <w:right w:val="nil"/>
            </w:tcBorders>
            <w:shd w:val="clear" w:color="auto" w:fill="auto"/>
            <w:noWrap/>
            <w:vAlign w:val="bottom"/>
            <w:hideMark/>
          </w:tcPr>
          <w:p w:rsidR="003645D1" w:rsidRPr="00AE7648" w:rsidRDefault="003645D1" w:rsidP="00461D18">
            <w:pPr>
              <w:keepNext/>
              <w:keepLines/>
              <w:spacing w:after="0" w:line="216" w:lineRule="auto"/>
              <w:ind w:left="0"/>
              <w:rPr>
                <w:rFonts w:cs="Arial"/>
                <w:color w:val="000000"/>
                <w:sz w:val="16"/>
                <w:szCs w:val="16"/>
                <w:lang w:eastAsia="en-AU" w:bidi="ar-SA"/>
              </w:rPr>
            </w:pPr>
          </w:p>
        </w:tc>
        <w:tc>
          <w:tcPr>
            <w:tcW w:w="1007" w:type="dxa"/>
            <w:gridSpan w:val="2"/>
            <w:tcBorders>
              <w:top w:val="single" w:sz="4" w:space="0" w:color="auto"/>
              <w:left w:val="nil"/>
              <w:bottom w:val="single" w:sz="4" w:space="0" w:color="auto"/>
              <w:right w:val="nil"/>
            </w:tcBorders>
            <w:shd w:val="clear" w:color="auto" w:fill="auto"/>
            <w:noWrap/>
            <w:vAlign w:val="bottom"/>
            <w:hideMark/>
          </w:tcPr>
          <w:p w:rsidR="003645D1" w:rsidRPr="00AE7648" w:rsidRDefault="003645D1" w:rsidP="00461D18">
            <w:pPr>
              <w:keepNext/>
              <w:keepLines/>
              <w:spacing w:after="0" w:line="216" w:lineRule="auto"/>
              <w:ind w:left="0"/>
              <w:rPr>
                <w:rFonts w:cs="Arial"/>
                <w:color w:val="000000"/>
                <w:sz w:val="16"/>
                <w:szCs w:val="16"/>
                <w:lang w:eastAsia="en-AU" w:bidi="ar-SA"/>
              </w:rPr>
            </w:pPr>
          </w:p>
        </w:tc>
        <w:tc>
          <w:tcPr>
            <w:tcW w:w="938" w:type="dxa"/>
            <w:gridSpan w:val="2"/>
            <w:tcBorders>
              <w:top w:val="single" w:sz="4" w:space="0" w:color="auto"/>
              <w:left w:val="nil"/>
              <w:bottom w:val="single" w:sz="4" w:space="0" w:color="auto"/>
              <w:right w:val="nil"/>
            </w:tcBorders>
            <w:shd w:val="clear" w:color="auto" w:fill="auto"/>
            <w:noWrap/>
            <w:vAlign w:val="bottom"/>
            <w:hideMark/>
          </w:tcPr>
          <w:p w:rsidR="003645D1" w:rsidRPr="00AE7648" w:rsidRDefault="003645D1" w:rsidP="00461D18">
            <w:pPr>
              <w:keepNext/>
              <w:keepLines/>
              <w:spacing w:after="0" w:line="216" w:lineRule="auto"/>
              <w:ind w:left="0"/>
              <w:rPr>
                <w:rFonts w:cs="Arial"/>
                <w:color w:val="000000"/>
                <w:sz w:val="16"/>
                <w:szCs w:val="16"/>
                <w:lang w:eastAsia="en-AU" w:bidi="ar-SA"/>
              </w:rPr>
            </w:pPr>
          </w:p>
        </w:tc>
        <w:tc>
          <w:tcPr>
            <w:tcW w:w="975" w:type="dxa"/>
            <w:vMerge w:val="restart"/>
            <w:tcBorders>
              <w:top w:val="single" w:sz="4" w:space="0" w:color="auto"/>
              <w:left w:val="nil"/>
              <w:bottom w:val="nil"/>
              <w:right w:val="nil"/>
            </w:tcBorders>
            <w:shd w:val="clear" w:color="auto" w:fill="auto"/>
            <w:hideMark/>
          </w:tcPr>
          <w:p w:rsidR="003645D1" w:rsidRPr="00AE7648" w:rsidRDefault="003645D1" w:rsidP="00461D18">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Non- Indig</w:t>
            </w:r>
            <w:r w:rsidR="002955BA" w:rsidRPr="00AE7648">
              <w:rPr>
                <w:rFonts w:cs="Arial"/>
                <w:color w:val="000000"/>
                <w:sz w:val="16"/>
                <w:szCs w:val="16"/>
                <w:lang w:eastAsia="en-AU" w:bidi="ar-SA"/>
              </w:rPr>
              <w:t>-</w:t>
            </w:r>
            <w:r w:rsidRPr="00AE7648">
              <w:rPr>
                <w:rFonts w:cs="Arial"/>
                <w:color w:val="000000"/>
                <w:sz w:val="16"/>
                <w:szCs w:val="16"/>
                <w:lang w:eastAsia="en-AU" w:bidi="ar-SA"/>
              </w:rPr>
              <w:t>enous Compul-sory</w:t>
            </w:r>
          </w:p>
        </w:tc>
        <w:tc>
          <w:tcPr>
            <w:tcW w:w="283" w:type="dxa"/>
            <w:gridSpan w:val="2"/>
            <w:tcBorders>
              <w:top w:val="nil"/>
              <w:left w:val="nil"/>
              <w:bottom w:val="nil"/>
              <w:right w:val="nil"/>
            </w:tcBorders>
            <w:shd w:val="clear" w:color="auto" w:fill="auto"/>
            <w:noWrap/>
            <w:hideMark/>
          </w:tcPr>
          <w:p w:rsidR="003645D1" w:rsidRPr="00AE7648" w:rsidRDefault="003645D1" w:rsidP="00461D18">
            <w:pPr>
              <w:keepNext/>
              <w:keepLines/>
              <w:spacing w:after="0" w:line="216" w:lineRule="auto"/>
              <w:ind w:left="0"/>
              <w:jc w:val="right"/>
              <w:rPr>
                <w:rFonts w:cs="Arial"/>
                <w:color w:val="000000"/>
                <w:sz w:val="16"/>
                <w:szCs w:val="16"/>
                <w:lang w:eastAsia="en-AU" w:bidi="ar-SA"/>
              </w:rPr>
            </w:pPr>
          </w:p>
        </w:tc>
        <w:tc>
          <w:tcPr>
            <w:tcW w:w="897" w:type="dxa"/>
            <w:gridSpan w:val="2"/>
            <w:vMerge w:val="restart"/>
            <w:tcBorders>
              <w:top w:val="single" w:sz="4" w:space="0" w:color="auto"/>
              <w:left w:val="nil"/>
              <w:right w:val="nil"/>
            </w:tcBorders>
            <w:shd w:val="clear" w:color="auto" w:fill="auto"/>
            <w:noWrap/>
            <w:hideMark/>
          </w:tcPr>
          <w:p w:rsidR="003645D1" w:rsidRPr="00AE7648" w:rsidRDefault="003645D1" w:rsidP="00461D18">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Indig-enous</w:t>
            </w:r>
          </w:p>
        </w:tc>
        <w:tc>
          <w:tcPr>
            <w:tcW w:w="992" w:type="dxa"/>
            <w:vMerge w:val="restart"/>
            <w:tcBorders>
              <w:top w:val="single" w:sz="4" w:space="0" w:color="auto"/>
              <w:left w:val="nil"/>
              <w:right w:val="nil"/>
            </w:tcBorders>
            <w:shd w:val="clear" w:color="auto" w:fill="auto"/>
            <w:noWrap/>
            <w:hideMark/>
          </w:tcPr>
          <w:p w:rsidR="003645D1" w:rsidRPr="00AE7648" w:rsidRDefault="003645D1" w:rsidP="00461D18">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Non-</w:t>
            </w:r>
            <w:r w:rsidR="00CD2AFC">
              <w:rPr>
                <w:rFonts w:cs="Arial"/>
                <w:color w:val="000000"/>
                <w:sz w:val="16"/>
                <w:szCs w:val="16"/>
                <w:lang w:eastAsia="en-AU" w:bidi="ar-SA"/>
              </w:rPr>
              <w:br/>
            </w:r>
            <w:r w:rsidRPr="00AE7648">
              <w:rPr>
                <w:rFonts w:cs="Arial"/>
                <w:color w:val="000000"/>
                <w:sz w:val="16"/>
                <w:szCs w:val="16"/>
                <w:lang w:eastAsia="en-AU" w:bidi="ar-SA"/>
              </w:rPr>
              <w:t>Indig-enous</w:t>
            </w:r>
          </w:p>
        </w:tc>
      </w:tr>
      <w:tr w:rsidR="003645D1" w:rsidRPr="00AE7648" w:rsidTr="00461D18">
        <w:trPr>
          <w:trHeight w:val="288"/>
          <w:tblHeader/>
        </w:trPr>
        <w:tc>
          <w:tcPr>
            <w:tcW w:w="1703" w:type="dxa"/>
            <w:vMerge/>
            <w:tcBorders>
              <w:left w:val="nil"/>
              <w:right w:val="nil"/>
            </w:tcBorders>
            <w:shd w:val="clear" w:color="auto" w:fill="auto"/>
            <w:noWrap/>
            <w:vAlign w:val="bottom"/>
            <w:hideMark/>
          </w:tcPr>
          <w:p w:rsidR="003645D1" w:rsidRPr="00AE7648" w:rsidRDefault="003645D1" w:rsidP="00461D18">
            <w:pPr>
              <w:keepNext/>
              <w:keepLines/>
              <w:spacing w:after="0" w:line="216" w:lineRule="auto"/>
              <w:ind w:left="0"/>
              <w:rPr>
                <w:rFonts w:cs="Arial"/>
                <w:color w:val="000000"/>
                <w:sz w:val="16"/>
                <w:szCs w:val="16"/>
                <w:lang w:eastAsia="en-AU" w:bidi="ar-SA"/>
              </w:rPr>
            </w:pPr>
          </w:p>
        </w:tc>
        <w:tc>
          <w:tcPr>
            <w:tcW w:w="2052" w:type="dxa"/>
            <w:gridSpan w:val="4"/>
            <w:tcBorders>
              <w:top w:val="single" w:sz="4" w:space="0" w:color="auto"/>
              <w:left w:val="nil"/>
              <w:bottom w:val="single" w:sz="4" w:space="0" w:color="auto"/>
              <w:right w:val="nil"/>
            </w:tcBorders>
            <w:shd w:val="clear" w:color="auto" w:fill="auto"/>
            <w:noWrap/>
            <w:vAlign w:val="bottom"/>
            <w:hideMark/>
          </w:tcPr>
          <w:p w:rsidR="003645D1" w:rsidRPr="00AE7648" w:rsidRDefault="003645D1" w:rsidP="00461D18">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Compulsory</w:t>
            </w:r>
          </w:p>
        </w:tc>
        <w:tc>
          <w:tcPr>
            <w:tcW w:w="236" w:type="dxa"/>
            <w:gridSpan w:val="2"/>
            <w:tcBorders>
              <w:top w:val="single" w:sz="4" w:space="0" w:color="auto"/>
              <w:left w:val="nil"/>
              <w:bottom w:val="nil"/>
              <w:right w:val="nil"/>
            </w:tcBorders>
            <w:shd w:val="clear" w:color="auto" w:fill="auto"/>
            <w:noWrap/>
            <w:vAlign w:val="bottom"/>
            <w:hideMark/>
          </w:tcPr>
          <w:p w:rsidR="003645D1" w:rsidRPr="00AE7648" w:rsidRDefault="003645D1" w:rsidP="00461D18">
            <w:pPr>
              <w:keepNext/>
              <w:keepLines/>
              <w:spacing w:after="0" w:line="216" w:lineRule="auto"/>
              <w:ind w:left="0"/>
              <w:rPr>
                <w:rFonts w:cs="Arial"/>
                <w:color w:val="000000"/>
                <w:sz w:val="16"/>
                <w:szCs w:val="16"/>
                <w:lang w:eastAsia="en-AU" w:bidi="ar-SA"/>
              </w:rPr>
            </w:pPr>
          </w:p>
        </w:tc>
        <w:tc>
          <w:tcPr>
            <w:tcW w:w="1945" w:type="dxa"/>
            <w:gridSpan w:val="4"/>
            <w:tcBorders>
              <w:top w:val="single" w:sz="4" w:space="0" w:color="auto"/>
              <w:left w:val="nil"/>
              <w:bottom w:val="single" w:sz="4" w:space="0" w:color="auto"/>
              <w:right w:val="nil"/>
            </w:tcBorders>
            <w:shd w:val="clear" w:color="auto" w:fill="auto"/>
            <w:noWrap/>
            <w:vAlign w:val="bottom"/>
            <w:hideMark/>
          </w:tcPr>
          <w:p w:rsidR="003645D1" w:rsidRPr="00AE7648" w:rsidRDefault="003645D1" w:rsidP="00461D18">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 xml:space="preserve">Voluntary </w:t>
            </w:r>
          </w:p>
        </w:tc>
        <w:tc>
          <w:tcPr>
            <w:tcW w:w="975" w:type="dxa"/>
            <w:vMerge/>
            <w:tcBorders>
              <w:top w:val="nil"/>
              <w:left w:val="nil"/>
              <w:bottom w:val="nil"/>
              <w:right w:val="nil"/>
            </w:tcBorders>
            <w:vAlign w:val="center"/>
            <w:hideMark/>
          </w:tcPr>
          <w:p w:rsidR="003645D1" w:rsidRPr="00AE7648" w:rsidRDefault="003645D1" w:rsidP="00461D18">
            <w:pPr>
              <w:keepNext/>
              <w:keepLines/>
              <w:spacing w:after="0" w:line="216" w:lineRule="auto"/>
              <w:ind w:left="0"/>
              <w:rPr>
                <w:rFonts w:cs="Arial"/>
                <w:color w:val="000000"/>
                <w:sz w:val="16"/>
                <w:szCs w:val="16"/>
                <w:lang w:eastAsia="en-AU" w:bidi="ar-SA"/>
              </w:rPr>
            </w:pPr>
          </w:p>
        </w:tc>
        <w:tc>
          <w:tcPr>
            <w:tcW w:w="283" w:type="dxa"/>
            <w:gridSpan w:val="2"/>
            <w:tcBorders>
              <w:top w:val="nil"/>
              <w:left w:val="nil"/>
              <w:bottom w:val="nil"/>
              <w:right w:val="nil"/>
            </w:tcBorders>
            <w:shd w:val="clear" w:color="auto" w:fill="auto"/>
            <w:noWrap/>
            <w:vAlign w:val="bottom"/>
            <w:hideMark/>
          </w:tcPr>
          <w:p w:rsidR="003645D1" w:rsidRPr="00AE7648" w:rsidRDefault="003645D1" w:rsidP="00461D18">
            <w:pPr>
              <w:keepNext/>
              <w:keepLines/>
              <w:spacing w:after="0" w:line="216" w:lineRule="auto"/>
              <w:ind w:left="0"/>
              <w:rPr>
                <w:rFonts w:cs="Arial"/>
                <w:color w:val="000000"/>
                <w:sz w:val="16"/>
                <w:szCs w:val="16"/>
                <w:lang w:eastAsia="en-AU" w:bidi="ar-SA"/>
              </w:rPr>
            </w:pPr>
          </w:p>
        </w:tc>
        <w:tc>
          <w:tcPr>
            <w:tcW w:w="897" w:type="dxa"/>
            <w:gridSpan w:val="2"/>
            <w:vMerge/>
            <w:tcBorders>
              <w:left w:val="nil"/>
              <w:right w:val="nil"/>
            </w:tcBorders>
            <w:shd w:val="clear" w:color="auto" w:fill="auto"/>
            <w:noWrap/>
            <w:vAlign w:val="bottom"/>
            <w:hideMark/>
          </w:tcPr>
          <w:p w:rsidR="003645D1" w:rsidRPr="00AE7648" w:rsidRDefault="003645D1" w:rsidP="00461D18">
            <w:pPr>
              <w:keepNext/>
              <w:keepLines/>
              <w:spacing w:after="0" w:line="216" w:lineRule="auto"/>
              <w:ind w:left="0"/>
              <w:rPr>
                <w:rFonts w:cs="Arial"/>
                <w:color w:val="000000"/>
                <w:sz w:val="16"/>
                <w:szCs w:val="16"/>
                <w:lang w:eastAsia="en-AU" w:bidi="ar-SA"/>
              </w:rPr>
            </w:pPr>
          </w:p>
        </w:tc>
        <w:tc>
          <w:tcPr>
            <w:tcW w:w="992" w:type="dxa"/>
            <w:vMerge/>
            <w:tcBorders>
              <w:left w:val="nil"/>
              <w:right w:val="nil"/>
            </w:tcBorders>
            <w:shd w:val="clear" w:color="auto" w:fill="auto"/>
            <w:noWrap/>
            <w:vAlign w:val="bottom"/>
            <w:hideMark/>
          </w:tcPr>
          <w:p w:rsidR="003645D1" w:rsidRPr="00AE7648" w:rsidRDefault="003645D1" w:rsidP="00461D18">
            <w:pPr>
              <w:keepNext/>
              <w:keepLines/>
              <w:spacing w:after="0" w:line="216" w:lineRule="auto"/>
              <w:ind w:left="0"/>
              <w:rPr>
                <w:rFonts w:cs="Arial"/>
                <w:color w:val="000000"/>
                <w:sz w:val="16"/>
                <w:szCs w:val="16"/>
                <w:lang w:eastAsia="en-AU" w:bidi="ar-SA"/>
              </w:rPr>
            </w:pPr>
          </w:p>
        </w:tc>
      </w:tr>
      <w:tr w:rsidR="003645D1" w:rsidRPr="00AE7648" w:rsidTr="00461D18">
        <w:trPr>
          <w:trHeight w:val="288"/>
          <w:tblHeader/>
        </w:trPr>
        <w:tc>
          <w:tcPr>
            <w:tcW w:w="1703" w:type="dxa"/>
            <w:vMerge/>
            <w:tcBorders>
              <w:left w:val="nil"/>
              <w:bottom w:val="single" w:sz="4" w:space="0" w:color="auto"/>
              <w:right w:val="nil"/>
            </w:tcBorders>
            <w:shd w:val="clear" w:color="auto" w:fill="auto"/>
            <w:noWrap/>
            <w:vAlign w:val="bottom"/>
            <w:hideMark/>
          </w:tcPr>
          <w:p w:rsidR="003645D1" w:rsidRPr="00AE7648" w:rsidRDefault="003645D1" w:rsidP="00461D18">
            <w:pPr>
              <w:keepNext/>
              <w:keepLines/>
              <w:spacing w:after="0" w:line="216" w:lineRule="auto"/>
              <w:ind w:left="0"/>
              <w:rPr>
                <w:rFonts w:cs="Arial"/>
                <w:color w:val="000000"/>
                <w:sz w:val="16"/>
                <w:szCs w:val="16"/>
                <w:lang w:eastAsia="en-AU" w:bidi="ar-SA"/>
              </w:rPr>
            </w:pPr>
          </w:p>
        </w:tc>
        <w:tc>
          <w:tcPr>
            <w:tcW w:w="1114" w:type="dxa"/>
            <w:gridSpan w:val="2"/>
            <w:tcBorders>
              <w:top w:val="single" w:sz="4" w:space="0" w:color="auto"/>
              <w:left w:val="nil"/>
              <w:bottom w:val="single" w:sz="4" w:space="0" w:color="auto"/>
              <w:right w:val="nil"/>
            </w:tcBorders>
            <w:shd w:val="clear" w:color="auto" w:fill="auto"/>
            <w:noWrap/>
            <w:vAlign w:val="bottom"/>
            <w:hideMark/>
          </w:tcPr>
          <w:p w:rsidR="003645D1" w:rsidRPr="00AE7648" w:rsidRDefault="003645D1" w:rsidP="00CD2AF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 xml:space="preserve">NTER </w:t>
            </w:r>
            <w:r w:rsidR="00CD2AFC">
              <w:rPr>
                <w:rFonts w:cs="Arial"/>
                <w:color w:val="000000"/>
                <w:sz w:val="16"/>
                <w:szCs w:val="16"/>
                <w:lang w:eastAsia="en-AU" w:bidi="ar-SA"/>
              </w:rPr>
              <w:br/>
            </w:r>
            <w:r w:rsidRPr="00AE7648">
              <w:rPr>
                <w:rFonts w:cs="Arial"/>
                <w:color w:val="000000"/>
                <w:sz w:val="16"/>
                <w:szCs w:val="16"/>
                <w:lang w:eastAsia="en-AU" w:bidi="ar-SA"/>
              </w:rPr>
              <w:t>area</w:t>
            </w:r>
          </w:p>
        </w:tc>
        <w:tc>
          <w:tcPr>
            <w:tcW w:w="938" w:type="dxa"/>
            <w:gridSpan w:val="2"/>
            <w:tcBorders>
              <w:top w:val="single" w:sz="4" w:space="0" w:color="auto"/>
              <w:left w:val="nil"/>
              <w:bottom w:val="single" w:sz="4" w:space="0" w:color="auto"/>
              <w:right w:val="nil"/>
            </w:tcBorders>
            <w:shd w:val="clear" w:color="auto" w:fill="auto"/>
            <w:noWrap/>
            <w:vAlign w:val="bottom"/>
            <w:hideMark/>
          </w:tcPr>
          <w:p w:rsidR="003645D1" w:rsidRPr="00AE7648" w:rsidRDefault="003645D1" w:rsidP="00CD2AF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Not NTER</w:t>
            </w:r>
          </w:p>
        </w:tc>
        <w:tc>
          <w:tcPr>
            <w:tcW w:w="236" w:type="dxa"/>
            <w:gridSpan w:val="2"/>
            <w:tcBorders>
              <w:top w:val="nil"/>
              <w:left w:val="nil"/>
              <w:bottom w:val="single" w:sz="4" w:space="0" w:color="auto"/>
              <w:right w:val="nil"/>
            </w:tcBorders>
            <w:shd w:val="clear" w:color="auto" w:fill="auto"/>
            <w:noWrap/>
            <w:vAlign w:val="bottom"/>
            <w:hideMark/>
          </w:tcPr>
          <w:p w:rsidR="003645D1" w:rsidRPr="00AE7648" w:rsidRDefault="003645D1" w:rsidP="00CD2AFC">
            <w:pPr>
              <w:keepNext/>
              <w:keepLines/>
              <w:spacing w:after="0" w:line="216" w:lineRule="auto"/>
              <w:ind w:left="0"/>
              <w:jc w:val="right"/>
              <w:rPr>
                <w:rFonts w:cs="Arial"/>
                <w:color w:val="000000"/>
                <w:sz w:val="16"/>
                <w:szCs w:val="16"/>
                <w:lang w:eastAsia="en-AU" w:bidi="ar-SA"/>
              </w:rPr>
            </w:pPr>
          </w:p>
        </w:tc>
        <w:tc>
          <w:tcPr>
            <w:tcW w:w="1007" w:type="dxa"/>
            <w:gridSpan w:val="2"/>
            <w:tcBorders>
              <w:top w:val="single" w:sz="4" w:space="0" w:color="auto"/>
              <w:left w:val="nil"/>
              <w:bottom w:val="single" w:sz="4" w:space="0" w:color="auto"/>
              <w:right w:val="nil"/>
            </w:tcBorders>
            <w:shd w:val="clear" w:color="auto" w:fill="auto"/>
            <w:noWrap/>
            <w:vAlign w:val="bottom"/>
            <w:hideMark/>
          </w:tcPr>
          <w:p w:rsidR="003645D1" w:rsidRPr="00AE7648" w:rsidRDefault="003645D1" w:rsidP="00CD2AF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NTER area</w:t>
            </w:r>
          </w:p>
        </w:tc>
        <w:tc>
          <w:tcPr>
            <w:tcW w:w="938" w:type="dxa"/>
            <w:gridSpan w:val="2"/>
            <w:tcBorders>
              <w:top w:val="single" w:sz="4" w:space="0" w:color="auto"/>
              <w:left w:val="nil"/>
              <w:bottom w:val="single" w:sz="4" w:space="0" w:color="auto"/>
              <w:right w:val="nil"/>
            </w:tcBorders>
            <w:shd w:val="clear" w:color="auto" w:fill="auto"/>
            <w:noWrap/>
            <w:vAlign w:val="bottom"/>
            <w:hideMark/>
          </w:tcPr>
          <w:p w:rsidR="003645D1" w:rsidRPr="00AE7648" w:rsidRDefault="003645D1" w:rsidP="00CD2AF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Not NTER</w:t>
            </w:r>
          </w:p>
        </w:tc>
        <w:tc>
          <w:tcPr>
            <w:tcW w:w="975" w:type="dxa"/>
            <w:vMerge/>
            <w:tcBorders>
              <w:top w:val="nil"/>
              <w:left w:val="nil"/>
              <w:bottom w:val="single" w:sz="4" w:space="0" w:color="auto"/>
              <w:right w:val="nil"/>
            </w:tcBorders>
            <w:vAlign w:val="center"/>
            <w:hideMark/>
          </w:tcPr>
          <w:p w:rsidR="003645D1" w:rsidRPr="00AE7648" w:rsidRDefault="003645D1" w:rsidP="00461D18">
            <w:pPr>
              <w:keepNext/>
              <w:keepLines/>
              <w:spacing w:after="0" w:line="216" w:lineRule="auto"/>
              <w:ind w:left="0"/>
              <w:rPr>
                <w:rFonts w:cs="Arial"/>
                <w:color w:val="000000"/>
                <w:sz w:val="16"/>
                <w:szCs w:val="16"/>
                <w:lang w:eastAsia="en-AU" w:bidi="ar-SA"/>
              </w:rPr>
            </w:pPr>
          </w:p>
        </w:tc>
        <w:tc>
          <w:tcPr>
            <w:tcW w:w="283" w:type="dxa"/>
            <w:gridSpan w:val="2"/>
            <w:tcBorders>
              <w:top w:val="nil"/>
              <w:left w:val="nil"/>
              <w:bottom w:val="single" w:sz="4" w:space="0" w:color="auto"/>
              <w:right w:val="nil"/>
            </w:tcBorders>
            <w:shd w:val="clear" w:color="auto" w:fill="auto"/>
            <w:noWrap/>
            <w:vAlign w:val="bottom"/>
            <w:hideMark/>
          </w:tcPr>
          <w:p w:rsidR="003645D1" w:rsidRPr="00AE7648" w:rsidRDefault="003645D1" w:rsidP="00461D18">
            <w:pPr>
              <w:keepNext/>
              <w:keepLines/>
              <w:spacing w:after="0" w:line="216" w:lineRule="auto"/>
              <w:ind w:left="0"/>
              <w:rPr>
                <w:rFonts w:cs="Arial"/>
                <w:color w:val="000000"/>
                <w:sz w:val="16"/>
                <w:szCs w:val="16"/>
                <w:lang w:eastAsia="en-AU" w:bidi="ar-SA"/>
              </w:rPr>
            </w:pPr>
          </w:p>
        </w:tc>
        <w:tc>
          <w:tcPr>
            <w:tcW w:w="897" w:type="dxa"/>
            <w:gridSpan w:val="2"/>
            <w:vMerge/>
            <w:tcBorders>
              <w:left w:val="nil"/>
              <w:bottom w:val="single" w:sz="4" w:space="0" w:color="auto"/>
              <w:right w:val="nil"/>
            </w:tcBorders>
            <w:shd w:val="clear" w:color="auto" w:fill="auto"/>
            <w:noWrap/>
            <w:vAlign w:val="bottom"/>
            <w:hideMark/>
          </w:tcPr>
          <w:p w:rsidR="003645D1" w:rsidRPr="00AE7648" w:rsidRDefault="003645D1" w:rsidP="00461D18">
            <w:pPr>
              <w:keepNext/>
              <w:keepLines/>
              <w:spacing w:after="0" w:line="216" w:lineRule="auto"/>
              <w:ind w:left="0"/>
              <w:rPr>
                <w:rFonts w:cs="Arial"/>
                <w:color w:val="000000"/>
                <w:sz w:val="16"/>
                <w:szCs w:val="16"/>
                <w:lang w:eastAsia="en-AU" w:bidi="ar-SA"/>
              </w:rPr>
            </w:pPr>
          </w:p>
        </w:tc>
        <w:tc>
          <w:tcPr>
            <w:tcW w:w="992" w:type="dxa"/>
            <w:vMerge/>
            <w:tcBorders>
              <w:left w:val="nil"/>
              <w:bottom w:val="single" w:sz="4" w:space="0" w:color="auto"/>
              <w:right w:val="nil"/>
            </w:tcBorders>
            <w:shd w:val="clear" w:color="auto" w:fill="auto"/>
            <w:noWrap/>
            <w:vAlign w:val="bottom"/>
            <w:hideMark/>
          </w:tcPr>
          <w:p w:rsidR="003645D1" w:rsidRPr="00AE7648" w:rsidRDefault="003645D1" w:rsidP="00461D18">
            <w:pPr>
              <w:keepNext/>
              <w:keepLines/>
              <w:spacing w:after="0" w:line="216" w:lineRule="auto"/>
              <w:ind w:left="0"/>
              <w:rPr>
                <w:rFonts w:cs="Arial"/>
                <w:color w:val="000000"/>
                <w:sz w:val="16"/>
                <w:szCs w:val="16"/>
                <w:lang w:eastAsia="en-AU" w:bidi="ar-SA"/>
              </w:rPr>
            </w:pPr>
          </w:p>
        </w:tc>
      </w:tr>
      <w:tr w:rsidR="00991B4C" w:rsidRPr="00AE7648" w:rsidTr="002955BA">
        <w:trPr>
          <w:trHeight w:hRule="exact" w:val="278"/>
        </w:trPr>
        <w:tc>
          <w:tcPr>
            <w:tcW w:w="5822" w:type="dxa"/>
            <w:gridSpan w:val="10"/>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r w:rsidRPr="00AE7648">
              <w:rPr>
                <w:rFonts w:cs="Arial"/>
                <w:i/>
                <w:color w:val="000000"/>
                <w:sz w:val="16"/>
                <w:szCs w:val="16"/>
                <w:lang w:eastAsia="en-AU" w:bidi="ar-SA"/>
              </w:rPr>
              <w:t>They understand and respect my cultural and family obligations</w:t>
            </w:r>
          </w:p>
        </w:tc>
        <w:tc>
          <w:tcPr>
            <w:tcW w:w="1176" w:type="dxa"/>
            <w:gridSpan w:val="3"/>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c>
          <w:tcPr>
            <w:tcW w:w="275" w:type="dxa"/>
            <w:gridSpan w:val="2"/>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c>
          <w:tcPr>
            <w:tcW w:w="818" w:type="dxa"/>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c>
          <w:tcPr>
            <w:tcW w:w="992" w:type="dxa"/>
            <w:tcBorders>
              <w:top w:val="single" w:sz="4" w:space="0" w:color="auto"/>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i/>
                <w:color w:val="000000"/>
                <w:sz w:val="16"/>
                <w:szCs w:val="16"/>
                <w:lang w:eastAsia="en-AU" w:bidi="ar-SA"/>
              </w:rPr>
            </w:pPr>
          </w:p>
        </w:tc>
      </w:tr>
      <w:tr w:rsidR="00991B4C" w:rsidRPr="00AE7648" w:rsidTr="002955BA">
        <w:trPr>
          <w:trHeight w:hRule="exact" w:val="278"/>
        </w:trPr>
        <w:tc>
          <w:tcPr>
            <w:tcW w:w="1705"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All the time</w:t>
            </w:r>
          </w:p>
        </w:tc>
        <w:tc>
          <w:tcPr>
            <w:tcW w:w="1009"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58.9</w:t>
            </w:r>
          </w:p>
        </w:tc>
        <w:tc>
          <w:tcPr>
            <w:tcW w:w="939" w:type="dxa"/>
            <w:gridSpan w:val="2"/>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49.4</w:t>
            </w:r>
          </w:p>
        </w:tc>
        <w:tc>
          <w:tcPr>
            <w:tcW w:w="222" w:type="dxa"/>
            <w:gridSpan w:val="2"/>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1008" w:type="dxa"/>
            <w:gridSpan w:val="2"/>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58.0</w:t>
            </w:r>
          </w:p>
        </w:tc>
        <w:tc>
          <w:tcPr>
            <w:tcW w:w="939" w:type="dxa"/>
            <w:gridSpan w:val="2"/>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45.5</w:t>
            </w:r>
          </w:p>
        </w:tc>
        <w:tc>
          <w:tcPr>
            <w:tcW w:w="1176" w:type="dxa"/>
            <w:gridSpan w:val="3"/>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52.1</w:t>
            </w:r>
          </w:p>
        </w:tc>
        <w:tc>
          <w:tcPr>
            <w:tcW w:w="275" w:type="dxa"/>
            <w:gridSpan w:val="2"/>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81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67.2</w:t>
            </w:r>
          </w:p>
        </w:tc>
        <w:tc>
          <w:tcPr>
            <w:tcW w:w="992"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67.3</w:t>
            </w:r>
          </w:p>
        </w:tc>
      </w:tr>
      <w:tr w:rsidR="00991B4C" w:rsidRPr="00AE7648" w:rsidTr="002955BA">
        <w:trPr>
          <w:trHeight w:hRule="exact" w:val="278"/>
        </w:trPr>
        <w:tc>
          <w:tcPr>
            <w:tcW w:w="1705"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Most of the time</w:t>
            </w:r>
          </w:p>
        </w:tc>
        <w:tc>
          <w:tcPr>
            <w:tcW w:w="1009"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17.8</w:t>
            </w:r>
          </w:p>
        </w:tc>
        <w:tc>
          <w:tcPr>
            <w:tcW w:w="939" w:type="dxa"/>
            <w:gridSpan w:val="2"/>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18.3</w:t>
            </w:r>
          </w:p>
        </w:tc>
        <w:tc>
          <w:tcPr>
            <w:tcW w:w="222" w:type="dxa"/>
            <w:gridSpan w:val="2"/>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1008" w:type="dxa"/>
            <w:gridSpan w:val="2"/>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16.0</w:t>
            </w:r>
          </w:p>
        </w:tc>
        <w:tc>
          <w:tcPr>
            <w:tcW w:w="939" w:type="dxa"/>
            <w:gridSpan w:val="2"/>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27.3</w:t>
            </w:r>
          </w:p>
        </w:tc>
        <w:tc>
          <w:tcPr>
            <w:tcW w:w="1176" w:type="dxa"/>
            <w:gridSpan w:val="3"/>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16.6</w:t>
            </w:r>
          </w:p>
        </w:tc>
        <w:tc>
          <w:tcPr>
            <w:tcW w:w="275" w:type="dxa"/>
            <w:gridSpan w:val="2"/>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81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16.4</w:t>
            </w:r>
          </w:p>
        </w:tc>
        <w:tc>
          <w:tcPr>
            <w:tcW w:w="992"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19.2</w:t>
            </w:r>
          </w:p>
        </w:tc>
      </w:tr>
      <w:tr w:rsidR="00991B4C" w:rsidRPr="00AE7648" w:rsidTr="002955BA">
        <w:trPr>
          <w:trHeight w:hRule="exact" w:val="278"/>
        </w:trPr>
        <w:tc>
          <w:tcPr>
            <w:tcW w:w="1705"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Sometimes</w:t>
            </w:r>
          </w:p>
        </w:tc>
        <w:tc>
          <w:tcPr>
            <w:tcW w:w="1009"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20.8</w:t>
            </w:r>
          </w:p>
        </w:tc>
        <w:tc>
          <w:tcPr>
            <w:tcW w:w="939" w:type="dxa"/>
            <w:gridSpan w:val="2"/>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14.0</w:t>
            </w:r>
          </w:p>
        </w:tc>
        <w:tc>
          <w:tcPr>
            <w:tcW w:w="222" w:type="dxa"/>
            <w:gridSpan w:val="2"/>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1008" w:type="dxa"/>
            <w:gridSpan w:val="2"/>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23.5</w:t>
            </w:r>
          </w:p>
        </w:tc>
        <w:tc>
          <w:tcPr>
            <w:tcW w:w="939" w:type="dxa"/>
            <w:gridSpan w:val="2"/>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21.2</w:t>
            </w:r>
          </w:p>
        </w:tc>
        <w:tc>
          <w:tcPr>
            <w:tcW w:w="1176" w:type="dxa"/>
            <w:gridSpan w:val="3"/>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14.7</w:t>
            </w:r>
          </w:p>
        </w:tc>
        <w:tc>
          <w:tcPr>
            <w:tcW w:w="275" w:type="dxa"/>
            <w:gridSpan w:val="2"/>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81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12.6</w:t>
            </w:r>
          </w:p>
        </w:tc>
        <w:tc>
          <w:tcPr>
            <w:tcW w:w="992"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12.5</w:t>
            </w:r>
          </w:p>
        </w:tc>
      </w:tr>
      <w:tr w:rsidR="00991B4C" w:rsidRPr="00AE7648" w:rsidTr="002955BA">
        <w:trPr>
          <w:trHeight w:hRule="exact" w:val="278"/>
        </w:trPr>
        <w:tc>
          <w:tcPr>
            <w:tcW w:w="1705"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Hardly ever</w:t>
            </w:r>
          </w:p>
        </w:tc>
        <w:tc>
          <w:tcPr>
            <w:tcW w:w="1009"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1.7</w:t>
            </w:r>
          </w:p>
        </w:tc>
        <w:tc>
          <w:tcPr>
            <w:tcW w:w="939" w:type="dxa"/>
            <w:gridSpan w:val="2"/>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4.3</w:t>
            </w:r>
          </w:p>
        </w:tc>
        <w:tc>
          <w:tcPr>
            <w:tcW w:w="222" w:type="dxa"/>
            <w:gridSpan w:val="2"/>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1008" w:type="dxa"/>
            <w:gridSpan w:val="2"/>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0.8</w:t>
            </w:r>
          </w:p>
        </w:tc>
        <w:tc>
          <w:tcPr>
            <w:tcW w:w="939" w:type="dxa"/>
            <w:gridSpan w:val="2"/>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3.0</w:t>
            </w:r>
          </w:p>
        </w:tc>
        <w:tc>
          <w:tcPr>
            <w:tcW w:w="1176" w:type="dxa"/>
            <w:gridSpan w:val="3"/>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4.3</w:t>
            </w:r>
          </w:p>
        </w:tc>
        <w:tc>
          <w:tcPr>
            <w:tcW w:w="275" w:type="dxa"/>
            <w:gridSpan w:val="2"/>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81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1.6</w:t>
            </w:r>
          </w:p>
        </w:tc>
        <w:tc>
          <w:tcPr>
            <w:tcW w:w="992"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0.0</w:t>
            </w:r>
          </w:p>
        </w:tc>
      </w:tr>
      <w:tr w:rsidR="00991B4C" w:rsidRPr="00AE7648" w:rsidTr="002955BA">
        <w:trPr>
          <w:trHeight w:hRule="exact" w:val="517"/>
        </w:trPr>
        <w:tc>
          <w:tcPr>
            <w:tcW w:w="1705"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Never</w:t>
            </w:r>
          </w:p>
        </w:tc>
        <w:tc>
          <w:tcPr>
            <w:tcW w:w="1009"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0.8</w:t>
            </w:r>
          </w:p>
        </w:tc>
        <w:tc>
          <w:tcPr>
            <w:tcW w:w="939" w:type="dxa"/>
            <w:gridSpan w:val="2"/>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14.0</w:t>
            </w:r>
          </w:p>
        </w:tc>
        <w:tc>
          <w:tcPr>
            <w:tcW w:w="222" w:type="dxa"/>
            <w:gridSpan w:val="2"/>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1008" w:type="dxa"/>
            <w:gridSpan w:val="2"/>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1.7</w:t>
            </w:r>
          </w:p>
        </w:tc>
        <w:tc>
          <w:tcPr>
            <w:tcW w:w="939" w:type="dxa"/>
            <w:gridSpan w:val="2"/>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3.0</w:t>
            </w:r>
          </w:p>
        </w:tc>
        <w:tc>
          <w:tcPr>
            <w:tcW w:w="1176" w:type="dxa"/>
            <w:gridSpan w:val="3"/>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12.3</w:t>
            </w:r>
          </w:p>
        </w:tc>
        <w:tc>
          <w:tcPr>
            <w:tcW w:w="275" w:type="dxa"/>
            <w:gridSpan w:val="2"/>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818"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2.2</w:t>
            </w:r>
          </w:p>
        </w:tc>
        <w:tc>
          <w:tcPr>
            <w:tcW w:w="992" w:type="dxa"/>
            <w:tcBorders>
              <w:top w:val="nil"/>
              <w:left w:val="nil"/>
              <w:bottom w:val="nil"/>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1.0</w:t>
            </w:r>
          </w:p>
        </w:tc>
      </w:tr>
      <w:tr w:rsidR="00991B4C" w:rsidRPr="00AE7648" w:rsidTr="002955BA">
        <w:trPr>
          <w:trHeight w:hRule="exact" w:val="604"/>
        </w:trPr>
        <w:tc>
          <w:tcPr>
            <w:tcW w:w="1705" w:type="dxa"/>
            <w:tcBorders>
              <w:top w:val="single" w:sz="4" w:space="0" w:color="auto"/>
              <w:left w:val="nil"/>
              <w:bottom w:val="single" w:sz="4" w:space="0" w:color="auto"/>
              <w:right w:val="nil"/>
            </w:tcBorders>
            <w:shd w:val="clear" w:color="auto" w:fill="auto"/>
            <w:noWrap/>
            <w:vAlign w:val="bottom"/>
            <w:hideMark/>
          </w:tcPr>
          <w:p w:rsidR="00991B4C" w:rsidRPr="00AE7648" w:rsidRDefault="00991B4C" w:rsidP="002955BA">
            <w:pPr>
              <w:keepNext/>
              <w:keepLines/>
              <w:spacing w:after="0" w:line="216" w:lineRule="auto"/>
              <w:ind w:left="0"/>
              <w:jc w:val="left"/>
              <w:rPr>
                <w:rFonts w:cs="Arial"/>
                <w:color w:val="000000"/>
                <w:sz w:val="16"/>
                <w:szCs w:val="16"/>
                <w:lang w:eastAsia="en-AU" w:bidi="ar-SA"/>
              </w:rPr>
            </w:pPr>
            <w:r w:rsidRPr="00AE7648">
              <w:rPr>
                <w:rFonts w:cs="Arial"/>
                <w:color w:val="000000"/>
                <w:sz w:val="16"/>
                <w:szCs w:val="16"/>
                <w:lang w:eastAsia="en-AU" w:bidi="ar-SA"/>
              </w:rPr>
              <w:t>Number of respondents</w:t>
            </w:r>
          </w:p>
        </w:tc>
        <w:tc>
          <w:tcPr>
            <w:tcW w:w="1009" w:type="dxa"/>
            <w:tcBorders>
              <w:top w:val="single" w:sz="4" w:space="0" w:color="auto"/>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243</w:t>
            </w:r>
          </w:p>
        </w:tc>
        <w:tc>
          <w:tcPr>
            <w:tcW w:w="939" w:type="dxa"/>
            <w:gridSpan w:val="2"/>
            <w:tcBorders>
              <w:top w:val="single" w:sz="4" w:space="0" w:color="auto"/>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167</w:t>
            </w:r>
          </w:p>
        </w:tc>
        <w:tc>
          <w:tcPr>
            <w:tcW w:w="222" w:type="dxa"/>
            <w:gridSpan w:val="2"/>
            <w:tcBorders>
              <w:top w:val="single" w:sz="4" w:space="0" w:color="auto"/>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p>
        </w:tc>
        <w:tc>
          <w:tcPr>
            <w:tcW w:w="1008" w:type="dxa"/>
            <w:gridSpan w:val="2"/>
            <w:tcBorders>
              <w:top w:val="single" w:sz="4" w:space="0" w:color="auto"/>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128</w:t>
            </w:r>
          </w:p>
        </w:tc>
        <w:tc>
          <w:tcPr>
            <w:tcW w:w="939" w:type="dxa"/>
            <w:gridSpan w:val="2"/>
            <w:tcBorders>
              <w:top w:val="single" w:sz="4" w:space="0" w:color="auto"/>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33</w:t>
            </w:r>
          </w:p>
        </w:tc>
        <w:tc>
          <w:tcPr>
            <w:tcW w:w="1176" w:type="dxa"/>
            <w:gridSpan w:val="3"/>
            <w:tcBorders>
              <w:top w:val="single" w:sz="4" w:space="0" w:color="auto"/>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184</w:t>
            </w:r>
          </w:p>
        </w:tc>
        <w:tc>
          <w:tcPr>
            <w:tcW w:w="275" w:type="dxa"/>
            <w:gridSpan w:val="2"/>
            <w:tcBorders>
              <w:top w:val="single" w:sz="4" w:space="0" w:color="auto"/>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 xml:space="preserve"> </w:t>
            </w:r>
          </w:p>
        </w:tc>
        <w:tc>
          <w:tcPr>
            <w:tcW w:w="818" w:type="dxa"/>
            <w:tcBorders>
              <w:top w:val="single" w:sz="4" w:space="0" w:color="auto"/>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200</w:t>
            </w:r>
          </w:p>
        </w:tc>
        <w:tc>
          <w:tcPr>
            <w:tcW w:w="992" w:type="dxa"/>
            <w:tcBorders>
              <w:top w:val="single" w:sz="4" w:space="0" w:color="auto"/>
              <w:left w:val="nil"/>
              <w:bottom w:val="single" w:sz="4" w:space="0" w:color="auto"/>
              <w:right w:val="nil"/>
            </w:tcBorders>
            <w:shd w:val="clear" w:color="auto" w:fill="auto"/>
            <w:noWrap/>
            <w:vAlign w:val="bottom"/>
            <w:hideMark/>
          </w:tcPr>
          <w:p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108</w:t>
            </w:r>
          </w:p>
        </w:tc>
      </w:tr>
    </w:tbl>
    <w:p w:rsidR="00991B4C" w:rsidRPr="005911E2" w:rsidRDefault="00991B4C" w:rsidP="00991B4C">
      <w:pPr>
        <w:pStyle w:val="Leftpara"/>
        <w:ind w:left="0"/>
      </w:pPr>
    </w:p>
    <w:p w:rsidR="00681CCC" w:rsidRPr="005911E2" w:rsidRDefault="00681CCC">
      <w:pPr>
        <w:spacing w:after="0" w:line="240" w:lineRule="auto"/>
        <w:ind w:left="0"/>
        <w:jc w:val="left"/>
      </w:pPr>
    </w:p>
    <w:sectPr w:rsidR="00681CCC" w:rsidRPr="005911E2" w:rsidSect="00E24340">
      <w:pgSz w:w="11906" w:h="16838" w:code="9"/>
      <w:pgMar w:top="1440" w:right="1797" w:bottom="1418" w:left="1230" w:header="56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60BD" w:rsidRDefault="00E660BD" w:rsidP="00532E87">
      <w:pPr>
        <w:spacing w:after="0" w:line="240" w:lineRule="auto"/>
      </w:pPr>
      <w:r>
        <w:separator/>
      </w:r>
    </w:p>
  </w:endnote>
  <w:endnote w:type="continuationSeparator" w:id="0">
    <w:p w:rsidR="00E660BD" w:rsidRDefault="00E660BD" w:rsidP="00532E87">
      <w:pPr>
        <w:spacing w:after="0" w:line="240" w:lineRule="auto"/>
      </w:pPr>
      <w:r>
        <w:continuationSeparator/>
      </w:r>
    </w:p>
  </w:endnote>
  <w:endnote w:type="continuationNotice" w:id="1">
    <w:p w:rsidR="00E660BD" w:rsidRDefault="00E660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ommet">
    <w:panose1 w:val="00000000000000000000"/>
    <w:charset w:val="00"/>
    <w:family w:val="modern"/>
    <w:notTrueType/>
    <w:pitch w:val="variable"/>
    <w:sig w:usb0="A00000AF" w:usb1="5000005B" w:usb2="00000000" w:usb3="00000000" w:csb0="00000193" w:csb1="00000000"/>
  </w:font>
  <w:font w:name="Angsana New">
    <w:panose1 w:val="02020603050405020304"/>
    <w:charset w:val="00"/>
    <w:family w:val="roman"/>
    <w:pitch w:val="variable"/>
    <w:sig w:usb0="81000003" w:usb1="00000000" w:usb2="00000000" w:usb3="00000000" w:csb0="00010001" w:csb1="00000000"/>
  </w:font>
  <w:font w:name="Sommet Bold">
    <w:altName w:val="Arial"/>
    <w:panose1 w:val="00000000000000000000"/>
    <w:charset w:val="00"/>
    <w:family w:val="modern"/>
    <w:notTrueType/>
    <w:pitch w:val="variable"/>
    <w:sig w:usb0="00000001" w:usb1="5000005B" w:usb2="00000000" w:usb3="00000000" w:csb0="00000193" w:csb1="00000000"/>
  </w:font>
  <w:font w:name="TTFF578298t00">
    <w:altName w:val="Cambria"/>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97052"/>
      <w:docPartObj>
        <w:docPartGallery w:val="Page Numbers (Bottom of Page)"/>
        <w:docPartUnique/>
      </w:docPartObj>
    </w:sdtPr>
    <w:sdtEndPr/>
    <w:sdtContent>
      <w:p w:rsidR="00E660BD" w:rsidRDefault="008F3A4A" w:rsidP="000F35F5">
        <w:pPr>
          <w:pStyle w:val="Footer"/>
          <w:ind w:left="0"/>
        </w:pPr>
      </w:p>
    </w:sdtContent>
  </w:sdt>
  <w:p w:rsidR="00E660BD" w:rsidRDefault="00E660BD" w:rsidP="007A148C">
    <w:pPr>
      <w:pStyle w:val="Footer"/>
      <w:ind w:left="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0BD" w:rsidRPr="00B268BA" w:rsidRDefault="00E660BD" w:rsidP="001B1938">
    <w:pPr>
      <w:pStyle w:val="Footer"/>
      <w:framePr w:wrap="around" w:vAnchor="text" w:hAnchor="page" w:x="7832" w:y="1"/>
      <w:rPr>
        <w:rStyle w:val="PageNumber"/>
        <w:sz w:val="18"/>
        <w:szCs w:val="18"/>
      </w:rPr>
    </w:pPr>
    <w:r w:rsidRPr="00B268BA">
      <w:rPr>
        <w:rStyle w:val="PageNumber"/>
        <w:sz w:val="18"/>
        <w:szCs w:val="18"/>
      </w:rPr>
      <w:fldChar w:fldCharType="begin"/>
    </w:r>
    <w:r w:rsidRPr="00B268BA">
      <w:rPr>
        <w:rStyle w:val="PageNumber"/>
        <w:sz w:val="18"/>
        <w:szCs w:val="18"/>
      </w:rPr>
      <w:instrText xml:space="preserve">PAGE  </w:instrText>
    </w:r>
    <w:r w:rsidRPr="00B268BA">
      <w:rPr>
        <w:rStyle w:val="PageNumber"/>
        <w:sz w:val="18"/>
        <w:szCs w:val="18"/>
      </w:rPr>
      <w:fldChar w:fldCharType="separate"/>
    </w:r>
    <w:r w:rsidR="00E70A53">
      <w:rPr>
        <w:rStyle w:val="PageNumber"/>
        <w:noProof/>
        <w:sz w:val="18"/>
        <w:szCs w:val="18"/>
      </w:rPr>
      <w:t>323</w:t>
    </w:r>
    <w:r w:rsidRPr="00B268BA">
      <w:rPr>
        <w:rStyle w:val="PageNumber"/>
        <w:sz w:val="18"/>
        <w:szCs w:val="18"/>
      </w:rPr>
      <w:fldChar w:fldCharType="end"/>
    </w:r>
  </w:p>
  <w:p w:rsidR="00E660BD" w:rsidRDefault="00E660BD" w:rsidP="00D2121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0BD" w:rsidRDefault="00E660BD" w:rsidP="00B53C6F">
    <w:pPr>
      <w:pStyle w:val="Footer"/>
      <w:tabs>
        <w:tab w:val="clear" w:pos="8306"/>
        <w:tab w:val="right" w:pos="9072"/>
      </w:tabs>
      <w:ind w:right="-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97057"/>
      <w:docPartObj>
        <w:docPartGallery w:val="Page Numbers (Bottom of Page)"/>
        <w:docPartUnique/>
      </w:docPartObj>
    </w:sdtPr>
    <w:sdtEndPr/>
    <w:sdtContent>
      <w:p w:rsidR="00E660BD" w:rsidRDefault="00E660BD" w:rsidP="000F35F5">
        <w:pPr>
          <w:pStyle w:val="Footer"/>
          <w:ind w:left="0"/>
        </w:pPr>
        <w:r>
          <w:fldChar w:fldCharType="begin"/>
        </w:r>
        <w:r>
          <w:instrText xml:space="preserve"> PAGE   \* MERGEFORMAT </w:instrText>
        </w:r>
        <w:r>
          <w:fldChar w:fldCharType="separate"/>
        </w:r>
        <w:r w:rsidR="008F3A4A">
          <w:rPr>
            <w:noProof/>
          </w:rPr>
          <w:t>ii</w:t>
        </w:r>
        <w:r>
          <w:rPr>
            <w:noProof/>
          </w:rPr>
          <w:fldChar w:fldCharType="end"/>
        </w:r>
      </w:p>
    </w:sdtContent>
  </w:sdt>
  <w:p w:rsidR="00E660BD" w:rsidRDefault="00E660BD" w:rsidP="007A148C">
    <w:pPr>
      <w:pStyle w:val="Footer"/>
      <w:ind w:left="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0BD" w:rsidRPr="00BB14C5" w:rsidRDefault="00E660BD" w:rsidP="00C648F4">
    <w:pPr>
      <w:pStyle w:val="BasicParagraph"/>
      <w:tabs>
        <w:tab w:val="right" w:pos="8931"/>
      </w:tabs>
      <w:spacing w:line="240" w:lineRule="auto"/>
      <w:rPr>
        <w:rFonts w:cs="Arial"/>
        <w:sz w:val="18"/>
        <w:szCs w:val="18"/>
      </w:rPr>
    </w:pPr>
    <w:r w:rsidRPr="006D2EA9">
      <w:rPr>
        <w:rFonts w:cs="Arial"/>
        <w:bCs/>
        <w:sz w:val="18"/>
        <w:szCs w:val="18"/>
      </w:rPr>
      <w:tab/>
    </w:r>
    <w:r w:rsidRPr="00BB14C5">
      <w:rPr>
        <w:rFonts w:cs="Arial"/>
        <w:sz w:val="18"/>
        <w:szCs w:val="18"/>
      </w:rPr>
      <w:fldChar w:fldCharType="begin"/>
    </w:r>
    <w:r w:rsidRPr="00BB14C5">
      <w:rPr>
        <w:rFonts w:cs="Arial"/>
        <w:sz w:val="18"/>
        <w:szCs w:val="18"/>
      </w:rPr>
      <w:instrText xml:space="preserve"> PAGE   \* MERGEFORMAT </w:instrText>
    </w:r>
    <w:r w:rsidRPr="00BB14C5">
      <w:rPr>
        <w:rFonts w:cs="Arial"/>
        <w:sz w:val="18"/>
        <w:szCs w:val="18"/>
      </w:rPr>
      <w:fldChar w:fldCharType="separate"/>
    </w:r>
    <w:r>
      <w:rPr>
        <w:rFonts w:cs="Arial"/>
        <w:noProof/>
        <w:sz w:val="18"/>
        <w:szCs w:val="18"/>
      </w:rPr>
      <w:t>iii</w:t>
    </w:r>
    <w:r w:rsidRPr="00BB14C5">
      <w:rPr>
        <w:rFonts w:cs="Arial"/>
        <w:sz w:val="18"/>
        <w:szCs w:val="18"/>
      </w:rPr>
      <w:fldChar w:fldCharType="end"/>
    </w:r>
  </w:p>
  <w:p w:rsidR="00E660BD" w:rsidRDefault="00E660BD" w:rsidP="003A1019">
    <w:pPr>
      <w:pStyle w:val="Footer"/>
      <w:tabs>
        <w:tab w:val="left" w:pos="8174"/>
      </w:tabs>
      <w:ind w:left="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1832463"/>
      <w:docPartObj>
        <w:docPartGallery w:val="Page Numbers (Bottom of Page)"/>
        <w:docPartUnique/>
      </w:docPartObj>
    </w:sdtPr>
    <w:sdtEndPr>
      <w:rPr>
        <w:noProof/>
      </w:rPr>
    </w:sdtEndPr>
    <w:sdtContent>
      <w:p w:rsidR="00E660BD" w:rsidRDefault="00E660BD">
        <w:pPr>
          <w:pStyle w:val="Footer"/>
          <w:jc w:val="right"/>
        </w:pPr>
        <w:r>
          <w:fldChar w:fldCharType="begin"/>
        </w:r>
        <w:r>
          <w:instrText xml:space="preserve"> PAGE   \* MERGEFORMAT </w:instrText>
        </w:r>
        <w:r>
          <w:fldChar w:fldCharType="separate"/>
        </w:r>
        <w:r w:rsidR="008F3A4A">
          <w:rPr>
            <w:noProof/>
          </w:rPr>
          <w:t>i</w:t>
        </w:r>
        <w:r>
          <w:rPr>
            <w:noProof/>
          </w:rPr>
          <w:fldChar w:fldCharType="end"/>
        </w:r>
      </w:p>
    </w:sdtContent>
  </w:sdt>
  <w:p w:rsidR="00E660BD" w:rsidRDefault="00E660B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2037663"/>
      <w:docPartObj>
        <w:docPartGallery w:val="Page Numbers (Bottom of Page)"/>
        <w:docPartUnique/>
      </w:docPartObj>
    </w:sdtPr>
    <w:sdtEndPr>
      <w:rPr>
        <w:noProof/>
        <w:sz w:val="18"/>
        <w:szCs w:val="18"/>
      </w:rPr>
    </w:sdtEndPr>
    <w:sdtContent>
      <w:p w:rsidR="00E660BD" w:rsidRPr="00691035" w:rsidRDefault="00E660BD" w:rsidP="00DE67BD">
        <w:pPr>
          <w:pStyle w:val="Footer"/>
          <w:spacing w:after="240"/>
          <w:ind w:left="0"/>
          <w:rPr>
            <w:sz w:val="18"/>
            <w:szCs w:val="18"/>
          </w:rPr>
        </w:pPr>
        <w:r w:rsidRPr="00691035">
          <w:rPr>
            <w:sz w:val="18"/>
            <w:szCs w:val="18"/>
          </w:rPr>
          <w:fldChar w:fldCharType="begin"/>
        </w:r>
        <w:r w:rsidRPr="00691035">
          <w:rPr>
            <w:sz w:val="18"/>
            <w:szCs w:val="18"/>
          </w:rPr>
          <w:instrText xml:space="preserve"> PAGE   \* MERGEFORMAT </w:instrText>
        </w:r>
        <w:r w:rsidRPr="00691035">
          <w:rPr>
            <w:sz w:val="18"/>
            <w:szCs w:val="18"/>
          </w:rPr>
          <w:fldChar w:fldCharType="separate"/>
        </w:r>
        <w:r w:rsidR="008F3A4A">
          <w:rPr>
            <w:noProof/>
            <w:sz w:val="18"/>
            <w:szCs w:val="18"/>
          </w:rPr>
          <w:t>78</w:t>
        </w:r>
        <w:r w:rsidRPr="00691035">
          <w:rPr>
            <w:noProof/>
            <w:sz w:val="18"/>
            <w:szCs w:val="18"/>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3880472"/>
      <w:docPartObj>
        <w:docPartGallery w:val="Page Numbers (Bottom of Page)"/>
        <w:docPartUnique/>
      </w:docPartObj>
    </w:sdtPr>
    <w:sdtEndPr>
      <w:rPr>
        <w:noProof/>
      </w:rPr>
    </w:sdtEndPr>
    <w:sdtContent>
      <w:p w:rsidR="00E660BD" w:rsidRDefault="00E660BD">
        <w:pPr>
          <w:pStyle w:val="Footer"/>
          <w:jc w:val="right"/>
        </w:pPr>
        <w:r w:rsidRPr="00691035">
          <w:rPr>
            <w:sz w:val="18"/>
            <w:szCs w:val="18"/>
          </w:rPr>
          <w:fldChar w:fldCharType="begin"/>
        </w:r>
        <w:r w:rsidRPr="00691035">
          <w:rPr>
            <w:sz w:val="18"/>
            <w:szCs w:val="18"/>
          </w:rPr>
          <w:instrText xml:space="preserve"> PAGE   \* MERGEFORMAT </w:instrText>
        </w:r>
        <w:r w:rsidRPr="00691035">
          <w:rPr>
            <w:sz w:val="18"/>
            <w:szCs w:val="18"/>
          </w:rPr>
          <w:fldChar w:fldCharType="separate"/>
        </w:r>
        <w:r w:rsidR="008F3A4A">
          <w:rPr>
            <w:noProof/>
            <w:sz w:val="18"/>
            <w:szCs w:val="18"/>
          </w:rPr>
          <w:t>79</w:t>
        </w:r>
        <w:r w:rsidRPr="00691035">
          <w:rPr>
            <w:noProof/>
            <w:sz w:val="18"/>
            <w:szCs w:val="18"/>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0BD" w:rsidRPr="00B268BA" w:rsidRDefault="00E660BD" w:rsidP="001B1938">
    <w:pPr>
      <w:pStyle w:val="Footer"/>
      <w:framePr w:wrap="around" w:vAnchor="text" w:hAnchor="page" w:x="7832" w:y="1"/>
      <w:rPr>
        <w:rStyle w:val="PageNumber"/>
        <w:sz w:val="18"/>
        <w:szCs w:val="18"/>
      </w:rPr>
    </w:pPr>
    <w:r w:rsidRPr="00B268BA">
      <w:rPr>
        <w:rStyle w:val="PageNumber"/>
        <w:sz w:val="18"/>
        <w:szCs w:val="18"/>
      </w:rPr>
      <w:fldChar w:fldCharType="begin"/>
    </w:r>
    <w:r w:rsidRPr="00B268BA">
      <w:rPr>
        <w:rStyle w:val="PageNumber"/>
        <w:sz w:val="18"/>
        <w:szCs w:val="18"/>
      </w:rPr>
      <w:instrText xml:space="preserve">PAGE  </w:instrText>
    </w:r>
    <w:r w:rsidRPr="00B268BA">
      <w:rPr>
        <w:rStyle w:val="PageNumber"/>
        <w:sz w:val="18"/>
        <w:szCs w:val="18"/>
      </w:rPr>
      <w:fldChar w:fldCharType="separate"/>
    </w:r>
    <w:r w:rsidR="00E70A53">
      <w:rPr>
        <w:rStyle w:val="PageNumber"/>
        <w:noProof/>
        <w:sz w:val="18"/>
        <w:szCs w:val="18"/>
      </w:rPr>
      <w:t>139</w:t>
    </w:r>
    <w:r w:rsidRPr="00B268BA">
      <w:rPr>
        <w:rStyle w:val="PageNumber"/>
        <w:sz w:val="18"/>
        <w:szCs w:val="18"/>
      </w:rPr>
      <w:fldChar w:fldCharType="end"/>
    </w:r>
  </w:p>
  <w:p w:rsidR="00E660BD" w:rsidRDefault="00E660BD" w:rsidP="00D2121D">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0BD" w:rsidRPr="00B268BA" w:rsidRDefault="00E660BD" w:rsidP="001B1938">
    <w:pPr>
      <w:pStyle w:val="Footer"/>
      <w:framePr w:wrap="around" w:vAnchor="text" w:hAnchor="page" w:x="7832" w:y="1"/>
      <w:rPr>
        <w:rStyle w:val="PageNumber"/>
        <w:sz w:val="18"/>
        <w:szCs w:val="18"/>
      </w:rPr>
    </w:pPr>
    <w:r w:rsidRPr="00B268BA">
      <w:rPr>
        <w:rStyle w:val="PageNumber"/>
        <w:sz w:val="18"/>
        <w:szCs w:val="18"/>
      </w:rPr>
      <w:fldChar w:fldCharType="begin"/>
    </w:r>
    <w:r w:rsidRPr="00B268BA">
      <w:rPr>
        <w:rStyle w:val="PageNumber"/>
        <w:sz w:val="18"/>
        <w:szCs w:val="18"/>
      </w:rPr>
      <w:instrText xml:space="preserve">PAGE  </w:instrText>
    </w:r>
    <w:r w:rsidRPr="00B268BA">
      <w:rPr>
        <w:rStyle w:val="PageNumber"/>
        <w:sz w:val="18"/>
        <w:szCs w:val="18"/>
      </w:rPr>
      <w:fldChar w:fldCharType="separate"/>
    </w:r>
    <w:r w:rsidR="00E70A53">
      <w:rPr>
        <w:rStyle w:val="PageNumber"/>
        <w:noProof/>
        <w:sz w:val="18"/>
        <w:szCs w:val="18"/>
      </w:rPr>
      <w:t>197</w:t>
    </w:r>
    <w:r w:rsidRPr="00B268BA">
      <w:rPr>
        <w:rStyle w:val="PageNumber"/>
        <w:sz w:val="18"/>
        <w:szCs w:val="18"/>
      </w:rPr>
      <w:fldChar w:fldCharType="end"/>
    </w:r>
  </w:p>
  <w:p w:rsidR="00E660BD" w:rsidRDefault="00E660BD" w:rsidP="00D2121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60BD" w:rsidRDefault="00E660BD" w:rsidP="00532E87">
      <w:pPr>
        <w:spacing w:after="0" w:line="240" w:lineRule="auto"/>
      </w:pPr>
      <w:r>
        <w:separator/>
      </w:r>
    </w:p>
  </w:footnote>
  <w:footnote w:type="continuationSeparator" w:id="0">
    <w:p w:rsidR="00E660BD" w:rsidRDefault="00E660BD" w:rsidP="00532E87">
      <w:pPr>
        <w:spacing w:after="0" w:line="240" w:lineRule="auto"/>
      </w:pPr>
      <w:r>
        <w:continuationSeparator/>
      </w:r>
    </w:p>
  </w:footnote>
  <w:footnote w:type="continuationNotice" w:id="1">
    <w:p w:rsidR="00E660BD" w:rsidRDefault="00E660BD">
      <w:pPr>
        <w:spacing w:after="0" w:line="240" w:lineRule="auto"/>
      </w:pPr>
    </w:p>
  </w:footnote>
  <w:footnote w:id="2">
    <w:p w:rsidR="00E660BD" w:rsidRPr="00AB5C98" w:rsidRDefault="00E660BD">
      <w:pPr>
        <w:pStyle w:val="FootnoteText"/>
      </w:pPr>
      <w:r w:rsidRPr="00AB5C98">
        <w:rPr>
          <w:rStyle w:val="FootnoteReference"/>
        </w:rPr>
        <w:footnoteRef/>
      </w:r>
      <w:r w:rsidRPr="00AB5C98">
        <w:t xml:space="preserve"> </w:t>
      </w:r>
      <w:r>
        <w:tab/>
        <w:t>The full title of</w:t>
      </w:r>
      <w:r w:rsidRPr="00AB5C98">
        <w:t xml:space="preserve"> the program is the Matched Savings Scheme (Income Management) Payment (MSP).</w:t>
      </w:r>
    </w:p>
  </w:footnote>
  <w:footnote w:id="3">
    <w:p w:rsidR="00E660BD" w:rsidRDefault="00E660BD">
      <w:pPr>
        <w:pStyle w:val="FootnoteText"/>
      </w:pPr>
      <w:r>
        <w:rPr>
          <w:rStyle w:val="FootnoteReference"/>
        </w:rPr>
        <w:footnoteRef/>
      </w:r>
      <w:r>
        <w:t xml:space="preserve"> </w:t>
      </w:r>
      <w:r>
        <w:tab/>
      </w:r>
      <w:r w:rsidRPr="004F6769">
        <w:t xml:space="preserve">In the evaluation it was not possible to definitively identify the degree to which individuals subject to income management actually have problems in areas such as alcohol or drug abuse, or gambling, or may inappropriately allocate their expenditures. However individual responses to survey questions, qualitative reporting by Centrelink staff and others involved in aspects of income management, as well as population level data on the incidence of these factors lead us to the above conclusion.  Over half </w:t>
      </w:r>
      <w:r>
        <w:t xml:space="preserve">of the </w:t>
      </w:r>
      <w:r w:rsidRPr="004F6769">
        <w:t>Indigenous survey respondents indicated that they had no problems with alcohol, drugs or gambling in their family, some 30 per cent report a small problem and 16 per cent that one of these was a major problem. This level of incidence is not inconsistent with other data such as ABS data which reports that 46 per cent of Indigenous people in remote areas totally abstained from alcohol as did 31 per cent of those in non-remote locations, and a level of chronic risky, or high risk, drinking of 17 per cent</w:t>
      </w:r>
      <w:r>
        <w:t xml:space="preserve"> (ABS 2011)</w:t>
      </w:r>
      <w:r w:rsidRPr="004F6769">
        <w:t>.</w:t>
      </w:r>
    </w:p>
  </w:footnote>
  <w:footnote w:id="4">
    <w:p w:rsidR="00E660BD" w:rsidRPr="00AB5C98" w:rsidRDefault="00E660BD" w:rsidP="0029753C">
      <w:pPr>
        <w:pStyle w:val="FootnoteText"/>
        <w:rPr>
          <w:rStyle w:val="FootnoteReference"/>
        </w:rPr>
      </w:pPr>
      <w:r w:rsidRPr="00AB5C98">
        <w:rPr>
          <w:rStyle w:val="FootnoteReference"/>
        </w:rPr>
        <w:footnoteRef/>
      </w:r>
      <w:r w:rsidRPr="00AB5C98">
        <w:rPr>
          <w:rStyle w:val="FootnoteReference"/>
        </w:rPr>
        <w:t xml:space="preserve"> </w:t>
      </w:r>
      <w:r w:rsidRPr="00AB5C98">
        <w:rPr>
          <w:rStyle w:val="FootnoteReference"/>
        </w:rPr>
        <w:tab/>
      </w:r>
      <w:r w:rsidRPr="00AB5C98">
        <w:t>Income management is also sometimes termed ‘welfare quarantining’.</w:t>
      </w:r>
    </w:p>
  </w:footnote>
  <w:footnote w:id="5">
    <w:p w:rsidR="00E660BD" w:rsidRPr="00AB5C98" w:rsidRDefault="00E660BD" w:rsidP="0029753C">
      <w:pPr>
        <w:pStyle w:val="FootnoteText"/>
      </w:pPr>
      <w:r w:rsidRPr="00AB5C98">
        <w:rPr>
          <w:rStyle w:val="FootnoteReference"/>
        </w:rPr>
        <w:footnoteRef/>
      </w:r>
      <w:r w:rsidRPr="00AB5C98">
        <w:t xml:space="preserve"> </w:t>
      </w:r>
      <w:r w:rsidRPr="00AB5C98">
        <w:tab/>
        <w:t>While NTER IM applied to both Indigenous and non-Indigenous people in receipt of income support payment who lived in these geographic areas, the vast majority subject to NTER IM were Indigenous.</w:t>
      </w:r>
    </w:p>
  </w:footnote>
  <w:footnote w:id="6">
    <w:p w:rsidR="00E660BD" w:rsidRPr="00AB5C98" w:rsidRDefault="00E660BD">
      <w:pPr>
        <w:pStyle w:val="FootnoteText"/>
      </w:pPr>
      <w:r w:rsidRPr="00AB5C98">
        <w:rPr>
          <w:rStyle w:val="FootnoteReference"/>
        </w:rPr>
        <w:footnoteRef/>
      </w:r>
      <w:r w:rsidRPr="00AB5C98">
        <w:t xml:space="preserve"> </w:t>
      </w:r>
      <w:r w:rsidRPr="00AB5C98">
        <w:tab/>
      </w:r>
      <w:r>
        <w:t>Referred to in this report as</w:t>
      </w:r>
      <w:r w:rsidRPr="00AB5C98">
        <w:t xml:space="preserve"> the </w:t>
      </w:r>
      <w:r w:rsidRPr="00AB1845">
        <w:rPr>
          <w:i/>
        </w:rPr>
        <w:t>Racial Discrimination Act</w:t>
      </w:r>
      <w:r w:rsidRPr="00AB5C98">
        <w:t>.</w:t>
      </w:r>
    </w:p>
  </w:footnote>
  <w:footnote w:id="7">
    <w:p w:rsidR="00E660BD" w:rsidRPr="00AB5C98" w:rsidRDefault="00E660BD" w:rsidP="0029753C">
      <w:pPr>
        <w:pStyle w:val="FootnoteText"/>
        <w:rPr>
          <w:rStyle w:val="FootnoteReference"/>
          <w:sz w:val="20"/>
        </w:rPr>
      </w:pPr>
      <w:r w:rsidRPr="00AB5C98">
        <w:rPr>
          <w:vertAlign w:val="superscript"/>
        </w:rPr>
        <w:footnoteRef/>
      </w:r>
      <w:r w:rsidRPr="00AB5C98">
        <w:rPr>
          <w:vertAlign w:val="superscript"/>
        </w:rPr>
        <w:t xml:space="preserve"> </w:t>
      </w:r>
      <w:r>
        <w:rPr>
          <w:vertAlign w:val="superscript"/>
        </w:rPr>
        <w:tab/>
      </w:r>
      <w:r>
        <w:t>The E</w:t>
      </w:r>
      <w:r w:rsidRPr="00AB5C98">
        <w:t xml:space="preserve">valuation </w:t>
      </w:r>
      <w:r>
        <w:t xml:space="preserve">Framework </w:t>
      </w:r>
      <w:r w:rsidRPr="00AB5C98">
        <w:t>was originally designed to provide a “baseline report” in the second half of 2011 and an “early implementation report” at the end of 2011</w:t>
      </w:r>
      <w:r>
        <w:t xml:space="preserve"> </w:t>
      </w:r>
      <w:r w:rsidRPr="00AB5C98">
        <w:t>(SPRC &amp; AIFS, 2010). The need for extensive consultation, obtaining ethics approval, challenges in receiving and cleaning the administrative data and practical issues relating to the timing of fieldwork in remote communities meant that the necessary data was not available at the time originally envisaged for the initial baseline report</w:t>
      </w:r>
      <w:r>
        <w:t>. I</w:t>
      </w:r>
      <w:r w:rsidRPr="00AB5C98">
        <w:t xml:space="preserve">t was thus agreed with FaHCSIA that the baseline and early implementation reports </w:t>
      </w:r>
      <w:r>
        <w:t xml:space="preserve">would </w:t>
      </w:r>
      <w:r w:rsidRPr="00AB5C98">
        <w:t xml:space="preserve">be combined in this report. </w:t>
      </w:r>
    </w:p>
  </w:footnote>
  <w:footnote w:id="8">
    <w:p w:rsidR="00E660BD" w:rsidRPr="00AB5C98" w:rsidRDefault="00E660BD" w:rsidP="0029753C">
      <w:pPr>
        <w:pStyle w:val="FootnoteText"/>
      </w:pPr>
      <w:r w:rsidRPr="00AB5C98">
        <w:rPr>
          <w:rStyle w:val="FootnoteReference"/>
        </w:rPr>
        <w:footnoteRef/>
      </w:r>
      <w:r w:rsidRPr="00AB5C98">
        <w:t xml:space="preserve"> </w:t>
      </w:r>
      <w:r>
        <w:tab/>
      </w:r>
      <w:r w:rsidRPr="00AB5C98">
        <w:t>Recall bias can take a range of forms. It may involve people forgetting particular events, or the colouring of responses on the basis of current circumstances or expectations around what should have occurred.</w:t>
      </w:r>
    </w:p>
  </w:footnote>
  <w:footnote w:id="9">
    <w:p w:rsidR="00E660BD" w:rsidRPr="00AB5C98" w:rsidRDefault="00E660BD" w:rsidP="0029753C">
      <w:pPr>
        <w:pStyle w:val="FootnoteText"/>
        <w:jc w:val="left"/>
      </w:pPr>
      <w:r w:rsidRPr="00AB5C98">
        <w:rPr>
          <w:rStyle w:val="FootnoteReference"/>
        </w:rPr>
        <w:footnoteRef/>
      </w:r>
      <w:r w:rsidRPr="00AB5C98">
        <w:t xml:space="preserve"> </w:t>
      </w:r>
      <w:r>
        <w:tab/>
      </w:r>
      <w:r w:rsidRPr="00AB5C98">
        <w:t xml:space="preserve">The Evaluation Framework for New Income Management is available at </w:t>
      </w:r>
      <w:r w:rsidRPr="00AB5C98">
        <w:br/>
      </w:r>
      <w:hyperlink r:id="rId1" w:history="1">
        <w:r w:rsidRPr="00AB5C98">
          <w:t>http://www.fahcsia.gov.au/sa/families/pubs/nim/Pages/default.aspx</w:t>
        </w:r>
      </w:hyperlink>
      <w:r w:rsidRPr="00AB5C98">
        <w:t xml:space="preserve"> </w:t>
      </w:r>
    </w:p>
  </w:footnote>
  <w:footnote w:id="10">
    <w:p w:rsidR="00E660BD" w:rsidRPr="00AB5C98" w:rsidRDefault="00E660BD" w:rsidP="00DD1E12">
      <w:pPr>
        <w:pStyle w:val="FootnoteText"/>
        <w:rPr>
          <w:rStyle w:val="FootnoteReference"/>
          <w:sz w:val="20"/>
        </w:rPr>
      </w:pPr>
      <w:r w:rsidRPr="00AB5C98">
        <w:rPr>
          <w:rStyle w:val="FootnoteReference"/>
        </w:rPr>
        <w:footnoteRef/>
      </w:r>
      <w:r w:rsidRPr="00AB5C98">
        <w:rPr>
          <w:rStyle w:val="FootnoteReference"/>
        </w:rPr>
        <w:t xml:space="preserve"> </w:t>
      </w:r>
      <w:r w:rsidRPr="00AB5C98">
        <w:rPr>
          <w:rStyle w:val="FootnoteReference"/>
        </w:rPr>
        <w:tab/>
      </w:r>
      <w:r w:rsidRPr="00AB5C98">
        <w:t>These aims were set out originally in the Evaluation Framework.</w:t>
      </w:r>
    </w:p>
  </w:footnote>
  <w:footnote w:id="11">
    <w:p w:rsidR="00E660BD" w:rsidRPr="00AB5C98" w:rsidRDefault="00E660BD" w:rsidP="0029753C">
      <w:pPr>
        <w:pStyle w:val="FootnoteText"/>
      </w:pPr>
      <w:r w:rsidRPr="00AB5C98">
        <w:rPr>
          <w:rStyle w:val="FootnoteReference"/>
        </w:rPr>
        <w:footnoteRef/>
      </w:r>
      <w:r w:rsidRPr="00AB5C98">
        <w:t xml:space="preserve"> </w:t>
      </w:r>
      <w:r>
        <w:tab/>
      </w:r>
      <w:r w:rsidRPr="00AB5C98">
        <w:t>Humbugging is a term used in many Indigenous communities to refer to a range of circumstances where people expect financial or other support from others. In some circumstances this reflects cultural practices of sharing and mutual support; in others it can be have negative consequences.</w:t>
      </w:r>
      <w:r>
        <w:t xml:space="preserve"> </w:t>
      </w:r>
      <w:r w:rsidRPr="00AB5C98">
        <w:t>Because of this ambiguity we have generally avoided the term, and instead have referred directly to financial harassment where this is the issue at stake. Nevertheless, the term is used in some quotes and in some of the survey instruments.</w:t>
      </w:r>
    </w:p>
  </w:footnote>
  <w:footnote w:id="12">
    <w:p w:rsidR="00E660BD" w:rsidRPr="002955BA" w:rsidRDefault="00E660BD">
      <w:pPr>
        <w:pStyle w:val="FootnoteText"/>
      </w:pPr>
      <w:r w:rsidRPr="00AB5C98">
        <w:rPr>
          <w:rStyle w:val="FootnoteReference"/>
        </w:rPr>
        <w:footnoteRef/>
      </w:r>
      <w:r w:rsidRPr="00AB5C98">
        <w:t xml:space="preserve"> </w:t>
      </w:r>
      <w:r w:rsidRPr="002955BA">
        <w:tab/>
        <w:t>A monitoring report of the licensing of stores as part of NTER IM was undertaken by FaHCSIA (FaHCSIA, 2009). The monitoring report was based upon interviews with store operators and did not involve collection of data from store customers or the analysis of store sales or financial data. This report found that store operators reported that they thought the overall impact of NTER IM had been positive for communities and two-thirds of store operators interviewed reported an increase in the amount of healthy food purchased from their store. The store operators interviewed also reported that determining BasicsCard balances was a major issue.</w:t>
      </w:r>
    </w:p>
  </w:footnote>
  <w:footnote w:id="13">
    <w:p w:rsidR="00E660BD" w:rsidRPr="00AB5C98" w:rsidRDefault="00E660BD" w:rsidP="0029753C">
      <w:pPr>
        <w:pStyle w:val="FootnoteText"/>
      </w:pPr>
      <w:r w:rsidRPr="00AB5C98">
        <w:rPr>
          <w:rStyle w:val="FootnoteReference"/>
        </w:rPr>
        <w:footnoteRef/>
      </w:r>
      <w:r w:rsidRPr="00AB5C98">
        <w:t xml:space="preserve"> </w:t>
      </w:r>
      <w:r>
        <w:tab/>
      </w:r>
      <w:r w:rsidRPr="00AB5C98">
        <w:t>The findings of this study have been the subject of some debate. It has been argued that the study had a number of limitations, including that “…</w:t>
      </w:r>
      <w:r w:rsidRPr="00BB14C5">
        <w:rPr>
          <w:i/>
        </w:rPr>
        <w:t xml:space="preserve"> the conclusions were not put into proper context for the statistical model structure chosen, the use of a convenience rather than a true random sample, the use of an interrupted time-series analysis, inconsistencies with the dates used to determine the switch-on time of income management for stores in the study (versus the actual switch-on dates) and differences between ALPA stores and other community stores, suggesting that the results are not easily generalisable to other stores</w:t>
      </w:r>
      <w:r w:rsidRPr="00AB5C98">
        <w:t>.” (</w:t>
      </w:r>
      <w:r>
        <w:t>FaHCSIA, 2011b, p. 347</w:t>
      </w:r>
      <w:r w:rsidRPr="00AB5C98">
        <w:t>).</w:t>
      </w:r>
    </w:p>
  </w:footnote>
  <w:footnote w:id="14">
    <w:p w:rsidR="00E660BD" w:rsidRPr="00AB5C98" w:rsidRDefault="00E660BD" w:rsidP="0029753C">
      <w:pPr>
        <w:pStyle w:val="FootnoteText"/>
        <w:rPr>
          <w:rStyle w:val="FootnoteReference"/>
          <w:sz w:val="20"/>
        </w:rPr>
      </w:pPr>
      <w:r w:rsidRPr="00AB5C98">
        <w:rPr>
          <w:rStyle w:val="FootnoteReference"/>
        </w:rPr>
        <w:footnoteRef/>
      </w:r>
      <w:r w:rsidRPr="00AB5C98">
        <w:rPr>
          <w:rStyle w:val="FootnoteReference"/>
        </w:rPr>
        <w:t xml:space="preserve"> </w:t>
      </w:r>
      <w:r>
        <w:tab/>
      </w:r>
      <w:r w:rsidRPr="00AB5C98">
        <w:t>The NTER Review Board comprised Peter Yu, Marcia Ella Duncan and Bill Gray.</w:t>
      </w:r>
      <w:r w:rsidRPr="00AB5C98">
        <w:rPr>
          <w:rStyle w:val="FootnoteReference"/>
        </w:rPr>
        <w:t xml:space="preserve"> </w:t>
      </w:r>
    </w:p>
  </w:footnote>
  <w:footnote w:id="15">
    <w:p w:rsidR="00E660BD" w:rsidRPr="00AB5C98" w:rsidRDefault="00E660BD" w:rsidP="0029753C">
      <w:pPr>
        <w:pStyle w:val="FootnoteText"/>
        <w:rPr>
          <w:rStyle w:val="FootnoteReference"/>
          <w:sz w:val="20"/>
        </w:rPr>
      </w:pPr>
      <w:r w:rsidRPr="00AB5C98">
        <w:rPr>
          <w:rStyle w:val="FootnoteReference"/>
        </w:rPr>
        <w:footnoteRef/>
      </w:r>
      <w:r w:rsidRPr="00AB5C98">
        <w:rPr>
          <w:rStyle w:val="FootnoteReference"/>
        </w:rPr>
        <w:t xml:space="preserve"> </w:t>
      </w:r>
      <w:r w:rsidRPr="00AB5C98">
        <w:rPr>
          <w:rStyle w:val="FootnoteReference"/>
        </w:rPr>
        <w:tab/>
      </w:r>
      <w:r w:rsidRPr="00AB5C98">
        <w:t>This is discussed in some detail in the Evaluation Framework for New Income Management (SPRC &amp; AIFS, 2010).</w:t>
      </w:r>
    </w:p>
  </w:footnote>
  <w:footnote w:id="16">
    <w:p w:rsidR="00E660BD" w:rsidRPr="00AB5C98" w:rsidRDefault="00E660BD" w:rsidP="00C5227F">
      <w:pPr>
        <w:pStyle w:val="FootnoteText"/>
      </w:pPr>
      <w:r w:rsidRPr="00AB5C98">
        <w:rPr>
          <w:rStyle w:val="FootnoteReference"/>
        </w:rPr>
        <w:footnoteRef/>
      </w:r>
      <w:r w:rsidRPr="00AB5C98">
        <w:rPr>
          <w:rStyle w:val="FootnoteReference"/>
        </w:rPr>
        <w:t xml:space="preserve"> </w:t>
      </w:r>
      <w:r w:rsidRPr="00AB5C98">
        <w:rPr>
          <w:rStyle w:val="FootnoteReference"/>
          <w:vertAlign w:val="baseline"/>
        </w:rPr>
        <w:tab/>
      </w:r>
      <w:r w:rsidRPr="00AB5C98">
        <w:t>The payments with larger numbers of recipients include: Newstart</w:t>
      </w:r>
      <w:r>
        <w:t xml:space="preserve"> Allowance</w:t>
      </w:r>
      <w:r w:rsidRPr="00AB5C98">
        <w:t>; Parenting Payment Single; Parenting Payment Partnered; Age Pension; Disability Support Pension; Carer Payment; and ABSTUDY</w:t>
      </w:r>
      <w:r w:rsidRPr="00AB5C98">
        <w:rPr>
          <w:rStyle w:val="FootnoteReference"/>
          <w:vertAlign w:val="baseline"/>
        </w:rPr>
        <w:t>.</w:t>
      </w:r>
    </w:p>
    <w:p w:rsidR="00E660BD" w:rsidRPr="00AB5C98" w:rsidRDefault="00E660BD" w:rsidP="00C5227F">
      <w:pPr>
        <w:pStyle w:val="FootnoteText"/>
        <w:rPr>
          <w:rStyle w:val="FootnoteReference"/>
          <w:vertAlign w:val="baseline"/>
        </w:rPr>
      </w:pPr>
      <w:r>
        <w:tab/>
      </w:r>
      <w:r w:rsidRPr="00AB5C98">
        <w:t>As discussed in Chapter 8 while there were some limited exemptions under the NTER IM these can be largely considered as being ‘technical’ in terms of being granted to people who, while within the location, did not have strong local community connections.</w:t>
      </w:r>
    </w:p>
  </w:footnote>
  <w:footnote w:id="17">
    <w:p w:rsidR="00E660BD" w:rsidRPr="00AB5C98" w:rsidRDefault="00E660BD" w:rsidP="007B4471">
      <w:pPr>
        <w:pStyle w:val="FootnoteText"/>
        <w:rPr>
          <w:rStyle w:val="FootnoteReference"/>
          <w:b/>
          <w:bCs/>
          <w:smallCaps/>
          <w:vertAlign w:val="baseline"/>
        </w:rPr>
      </w:pPr>
      <w:r w:rsidRPr="00AB5C98">
        <w:rPr>
          <w:rStyle w:val="FootnoteReference"/>
        </w:rPr>
        <w:footnoteRef/>
      </w:r>
      <w:r w:rsidRPr="00AB5C98">
        <w:rPr>
          <w:rStyle w:val="FootnoteReference"/>
        </w:rPr>
        <w:t xml:space="preserve"> </w:t>
      </w:r>
      <w:r w:rsidRPr="00AB5C98">
        <w:rPr>
          <w:rStyle w:val="FootnoteReference"/>
          <w:vertAlign w:val="baseline"/>
        </w:rPr>
        <w:tab/>
      </w:r>
      <w:r w:rsidRPr="00AB5C98">
        <w:t>The amount of income that is subject to income management is calculated after deducting automatic deductions such as Child Support and government debt.</w:t>
      </w:r>
    </w:p>
  </w:footnote>
  <w:footnote w:id="18">
    <w:p w:rsidR="00E660BD" w:rsidRDefault="00E660BD">
      <w:pPr>
        <w:pStyle w:val="FootnoteText"/>
      </w:pPr>
      <w:r>
        <w:rPr>
          <w:rStyle w:val="FootnoteReference"/>
        </w:rPr>
        <w:footnoteRef/>
      </w:r>
      <w:r>
        <w:t xml:space="preserve"> </w:t>
      </w:r>
      <w:r>
        <w:tab/>
        <w:t>Only some persons on Special Benefit are subject to Income Management.</w:t>
      </w:r>
    </w:p>
  </w:footnote>
  <w:footnote w:id="19">
    <w:p w:rsidR="00E660BD" w:rsidRPr="00AB5C98" w:rsidRDefault="00E660BD" w:rsidP="00BD7CE5">
      <w:pPr>
        <w:pStyle w:val="FootnoteText"/>
      </w:pPr>
      <w:r w:rsidRPr="00AB5C98">
        <w:rPr>
          <w:rStyle w:val="FootnoteReference"/>
        </w:rPr>
        <w:footnoteRef/>
      </w:r>
      <w:r w:rsidRPr="00AB5C98">
        <w:t xml:space="preserve"> </w:t>
      </w:r>
      <w:r>
        <w:tab/>
      </w:r>
      <w:r w:rsidRPr="00AB5C98">
        <w:t xml:space="preserve">Effectively a person can apply for an exemption at any time while they are </w:t>
      </w:r>
      <w:r>
        <w:t>i</w:t>
      </w:r>
      <w:r w:rsidRPr="00AB5C98">
        <w:t xml:space="preserve">ncome </w:t>
      </w:r>
      <w:r>
        <w:t>m</w:t>
      </w:r>
      <w:r w:rsidRPr="00AB5C98">
        <w:t>anaged.</w:t>
      </w:r>
      <w:r>
        <w:t xml:space="preserve"> </w:t>
      </w:r>
      <w:r w:rsidRPr="00AB5C98">
        <w:t xml:space="preserve">There are special provisions with regard to the actual implementation date of </w:t>
      </w:r>
      <w:r>
        <w:t>income management</w:t>
      </w:r>
      <w:r w:rsidRPr="00AB5C98">
        <w:t xml:space="preserve"> for those who seek an exemption when they are notified of the intention of Centrelink to </w:t>
      </w:r>
      <w:r>
        <w:t>olace them on income management</w:t>
      </w:r>
      <w:r w:rsidRPr="00AB5C98">
        <w:t>.</w:t>
      </w:r>
    </w:p>
  </w:footnote>
  <w:footnote w:id="20">
    <w:p w:rsidR="00E660BD" w:rsidRPr="002955BA" w:rsidRDefault="00E660BD" w:rsidP="00D53477">
      <w:pPr>
        <w:pStyle w:val="FootnoteText"/>
      </w:pPr>
      <w:r w:rsidRPr="00AB5C98">
        <w:rPr>
          <w:rStyle w:val="FootnoteReference"/>
        </w:rPr>
        <w:footnoteRef/>
      </w:r>
      <w:r w:rsidRPr="00AB5C98">
        <w:t xml:space="preserve"> </w:t>
      </w:r>
      <w:r>
        <w:tab/>
      </w:r>
      <w:r w:rsidRPr="002955BA">
        <w:t>The full name for this measure is the Vulnerable Welfare Payment Recipient</w:t>
      </w:r>
      <w:r>
        <w:t>s</w:t>
      </w:r>
      <w:r w:rsidRPr="002955BA">
        <w:t xml:space="preserve"> measure.</w:t>
      </w:r>
    </w:p>
  </w:footnote>
  <w:footnote w:id="21">
    <w:p w:rsidR="00E660BD" w:rsidRPr="002955BA" w:rsidRDefault="00E660BD" w:rsidP="00BD7CE5">
      <w:pPr>
        <w:pStyle w:val="FootnoteText"/>
      </w:pPr>
      <w:r w:rsidRPr="00AB5C98">
        <w:rPr>
          <w:rStyle w:val="FootnoteReference"/>
        </w:rPr>
        <w:footnoteRef/>
      </w:r>
      <w:r w:rsidRPr="00AB5C98">
        <w:t xml:space="preserve"> </w:t>
      </w:r>
      <w:r>
        <w:tab/>
      </w:r>
      <w:r w:rsidRPr="00AB5C98">
        <w:t>Category H payments are Widow Allowance, Youth Allowance , AUSTUDY payment , Newstart Allowance, Sickness Allowance , Special Benefit , Partner Allowance , Mature Age Allowance under Part 2.12B, Parenting Payment (Partnered), Parenting Allowance</w:t>
      </w:r>
      <w:r>
        <w:t xml:space="preserve"> </w:t>
      </w:r>
      <w:r w:rsidRPr="00AB5C98">
        <w:t>(other than non-benefit allowance); Age Pension; Disability Support Pension; Wife Pension; Carer Payment; Parenting Payment (single); Bereavement Allowance; Widow B Pension; Disability Wage Supplement; Mature Age Partner Allowance; Special Needs Pension; ABSTUDY with living allowance; Service Pension; Income Support Supplement; and Defence Force Income Support Allowance.</w:t>
      </w:r>
    </w:p>
  </w:footnote>
  <w:footnote w:id="22">
    <w:p w:rsidR="00E660BD" w:rsidRPr="00AB5C98" w:rsidRDefault="00E660BD" w:rsidP="00D53477">
      <w:pPr>
        <w:pStyle w:val="FootnoteText"/>
      </w:pPr>
      <w:r w:rsidRPr="00AB5C98">
        <w:rPr>
          <w:rStyle w:val="FootnoteReference"/>
        </w:rPr>
        <w:footnoteRef/>
      </w:r>
      <w:r w:rsidRPr="00AB5C98">
        <w:t xml:space="preserve"> </w:t>
      </w:r>
      <w:r>
        <w:tab/>
      </w:r>
      <w:r w:rsidRPr="00AB5C98">
        <w:t>Centrepay is a voluntary bill paying service provided to people who receive regular payments from Centrelink. It is a free service to the user.</w:t>
      </w:r>
    </w:p>
  </w:footnote>
  <w:footnote w:id="23">
    <w:p w:rsidR="00E660BD" w:rsidRPr="00AB5C98" w:rsidRDefault="00E660BD" w:rsidP="00BD7CE5">
      <w:pPr>
        <w:pStyle w:val="FootnoteText"/>
        <w:rPr>
          <w:rStyle w:val="FootnoteReference"/>
          <w:vertAlign w:val="baseline"/>
        </w:rPr>
      </w:pPr>
      <w:r w:rsidRPr="00AB5C98">
        <w:rPr>
          <w:rStyle w:val="FootnoteReference"/>
        </w:rPr>
        <w:footnoteRef/>
      </w:r>
      <w:r w:rsidRPr="00AB5C98">
        <w:rPr>
          <w:rStyle w:val="FootnoteReference"/>
        </w:rPr>
        <w:t xml:space="preserve"> </w:t>
      </w:r>
      <w:r>
        <w:tab/>
      </w:r>
      <w:r w:rsidRPr="00AB5C98">
        <w:t>The individual can start saving for the Matched Savings Payment as soon as they have registered for the money management course. They do not need to have completed the course at the time they start saving.</w:t>
      </w:r>
    </w:p>
  </w:footnote>
  <w:footnote w:id="24">
    <w:p w:rsidR="00E660BD" w:rsidRPr="00AB5C98" w:rsidRDefault="00E660BD" w:rsidP="00BD7CE5">
      <w:pPr>
        <w:pStyle w:val="FootnoteText"/>
      </w:pPr>
      <w:r w:rsidRPr="00AB5C98">
        <w:rPr>
          <w:rStyle w:val="FootnoteReference"/>
        </w:rPr>
        <w:footnoteRef/>
      </w:r>
      <w:r w:rsidRPr="00AB5C98">
        <w:t xml:space="preserve"> </w:t>
      </w:r>
      <w:r>
        <w:tab/>
      </w:r>
      <w:r w:rsidRPr="00AB5C98">
        <w:t>Commonwealth Financial Counselling is a service strategy under the Australian Government’s Financial Management Program. Services are delivered by community and local government organisations and help people in personal financial difficulty to address their financial problems and make informed choices. Services may include direct casework (e.g. provision of advice and information), advocacy and/or negotiation; referral; and community education.</w:t>
      </w:r>
    </w:p>
  </w:footnote>
  <w:footnote w:id="25">
    <w:p w:rsidR="00E660BD" w:rsidRPr="002955BA" w:rsidRDefault="00E660BD" w:rsidP="00BD7CE5">
      <w:pPr>
        <w:pStyle w:val="FootnoteText"/>
      </w:pPr>
      <w:r w:rsidRPr="00AB5C98">
        <w:rPr>
          <w:rStyle w:val="FootnoteReference"/>
        </w:rPr>
        <w:footnoteRef/>
      </w:r>
      <w:r w:rsidRPr="00AB5C98">
        <w:t xml:space="preserve"> </w:t>
      </w:r>
      <w:r w:rsidRPr="00AB5C98">
        <w:tab/>
      </w:r>
      <w:r w:rsidRPr="002955BA">
        <w:t>Figures provided by FaHCSIA in April 2012.</w:t>
      </w:r>
    </w:p>
  </w:footnote>
  <w:footnote w:id="26">
    <w:p w:rsidR="00E660BD" w:rsidRPr="00AB5C98" w:rsidRDefault="00E660BD" w:rsidP="00BD7CE5">
      <w:pPr>
        <w:pStyle w:val="FootnoteText"/>
        <w:rPr>
          <w:rStyle w:val="FootnoteReference"/>
          <w:vertAlign w:val="baseline"/>
        </w:rPr>
      </w:pPr>
      <w:r w:rsidRPr="00AB5C98">
        <w:rPr>
          <w:rStyle w:val="FootnoteReference"/>
          <w:rFonts w:ascii="Arial" w:hAnsi="Arial"/>
        </w:rPr>
        <w:footnoteRef/>
      </w:r>
      <w:r w:rsidRPr="00AB5C98">
        <w:rPr>
          <w:rStyle w:val="FootnoteReference"/>
          <w:rFonts w:ascii="Arial" w:hAnsi="Arial"/>
          <w:vertAlign w:val="baseline"/>
        </w:rPr>
        <w:t xml:space="preserve"> </w:t>
      </w:r>
      <w:r w:rsidRPr="00AB5C98">
        <w:rPr>
          <w:rStyle w:val="FootnoteReference"/>
          <w:rFonts w:ascii="Arial" w:hAnsi="Arial"/>
          <w:vertAlign w:val="baseline"/>
        </w:rPr>
        <w:tab/>
        <w:t>Services provided by financial counsellors may include direct casework (e.g. provision of advice and information); advocacy and/or negotiation; referral; and community education. Circumstances that can lead to personal financial difficulty include unemployment, sickness, credit over-</w:t>
      </w:r>
      <w:r>
        <w:rPr>
          <w:rStyle w:val="FootnoteReference"/>
          <w:rFonts w:ascii="Arial" w:hAnsi="Arial"/>
          <w:vertAlign w:val="baseline"/>
        </w:rPr>
        <w:t>commitment and family breakdown</w:t>
      </w:r>
      <w:r w:rsidRPr="00AB5C98">
        <w:rPr>
          <w:rStyle w:val="FootnoteReference"/>
          <w:rFonts w:ascii="Arial" w:hAnsi="Arial"/>
          <w:vertAlign w:val="baseline"/>
        </w:rPr>
        <w:t xml:space="preserve"> (FaHCSIA</w:t>
      </w:r>
      <w:r>
        <w:t>,</w:t>
      </w:r>
      <w:r w:rsidRPr="00AB5C98">
        <w:rPr>
          <w:rStyle w:val="FootnoteReference"/>
          <w:rFonts w:ascii="Arial" w:hAnsi="Arial"/>
          <w:vertAlign w:val="baseline"/>
        </w:rPr>
        <w:t xml:space="preserve"> 2012a)</w:t>
      </w:r>
      <w:r>
        <w:t>.</w:t>
      </w:r>
    </w:p>
  </w:footnote>
  <w:footnote w:id="27">
    <w:p w:rsidR="00E660BD" w:rsidRDefault="00E660BD">
      <w:pPr>
        <w:pStyle w:val="FootnoteText"/>
      </w:pPr>
      <w:r>
        <w:rPr>
          <w:rStyle w:val="FootnoteReference"/>
        </w:rPr>
        <w:footnoteRef/>
      </w:r>
      <w:r>
        <w:t xml:space="preserve"> </w:t>
      </w:r>
      <w:r>
        <w:tab/>
        <w:t>Language, literacy and numeracy assistance is available through the Financial Management Resource Unit for all FaHCSIA funded money management workers. Prior to commencing accredited training a skills and competencies analysis is undertaken to determine the appropriate training pathway for each worker.</w:t>
      </w:r>
    </w:p>
  </w:footnote>
  <w:footnote w:id="28">
    <w:p w:rsidR="00E660BD" w:rsidRPr="00AB5C98" w:rsidRDefault="00E660BD" w:rsidP="00964B09">
      <w:pPr>
        <w:pStyle w:val="FootnoteText"/>
        <w:rPr>
          <w:rStyle w:val="FootnoteReference"/>
          <w:rFonts w:ascii="Arial" w:hAnsi="Arial"/>
          <w:sz w:val="22"/>
          <w:vertAlign w:val="baseline"/>
        </w:rPr>
      </w:pPr>
      <w:r w:rsidRPr="00AB5C98">
        <w:rPr>
          <w:rStyle w:val="FootnoteReference"/>
          <w:rFonts w:ascii="Arial" w:hAnsi="Arial"/>
        </w:rPr>
        <w:footnoteRef/>
      </w:r>
      <w:r w:rsidRPr="00AB5C98">
        <w:rPr>
          <w:rStyle w:val="FootnoteReference"/>
          <w:rFonts w:ascii="Arial" w:hAnsi="Arial"/>
          <w:vertAlign w:val="baseline"/>
        </w:rPr>
        <w:t xml:space="preserve"> </w:t>
      </w:r>
      <w:r>
        <w:tab/>
      </w:r>
      <w:r w:rsidRPr="00AB5C98">
        <w:rPr>
          <w:rStyle w:val="FootnoteReference"/>
          <w:rFonts w:ascii="Arial" w:hAnsi="Arial"/>
          <w:vertAlign w:val="baseline"/>
        </w:rPr>
        <w:t xml:space="preserve">From 1 July 2010 no new people could become subject to NTER Income Management. </w:t>
      </w:r>
      <w:r>
        <w:rPr>
          <w:rStyle w:val="FootnoteReference"/>
          <w:rFonts w:ascii="Arial" w:hAnsi="Arial"/>
          <w:vertAlign w:val="baseline"/>
        </w:rPr>
        <w:t>T</w:t>
      </w:r>
      <w:r>
        <w:t>he</w:t>
      </w:r>
      <w:r w:rsidRPr="00AB5C98">
        <w:rPr>
          <w:rStyle w:val="FootnoteReference"/>
          <w:rFonts w:ascii="Arial" w:hAnsi="Arial"/>
          <w:vertAlign w:val="baseline"/>
        </w:rPr>
        <w:t xml:space="preserve"> transition from NTER Income Management to NIM started</w:t>
      </w:r>
      <w:r>
        <w:t xml:space="preserve"> in August 2010. </w:t>
      </w:r>
      <w:r w:rsidRPr="00AB5C98">
        <w:rPr>
          <w:rStyle w:val="FootnoteReference"/>
          <w:rFonts w:ascii="Arial" w:hAnsi="Arial"/>
          <w:vertAlign w:val="baseline"/>
        </w:rPr>
        <w:t xml:space="preserve">NTER Income Management ceased completely on 30 June 2011 </w:t>
      </w:r>
      <w:r>
        <w:rPr>
          <w:rStyle w:val="FootnoteReference"/>
          <w:rFonts w:ascii="Arial" w:hAnsi="Arial"/>
          <w:vertAlign w:val="baseline"/>
        </w:rPr>
        <w:t>(</w:t>
      </w:r>
      <w:r w:rsidRPr="00AB5C98">
        <w:rPr>
          <w:rStyle w:val="FootnoteReference"/>
          <w:rFonts w:ascii="Arial" w:hAnsi="Arial"/>
          <w:vertAlign w:val="baseline"/>
        </w:rPr>
        <w:t>A</w:t>
      </w:r>
      <w:r w:rsidRPr="00AB5C98">
        <w:t>ustralian Government</w:t>
      </w:r>
      <w:r>
        <w:t>,</w:t>
      </w:r>
      <w:r w:rsidRPr="00AB5C98">
        <w:t xml:space="preserve"> 2012</w:t>
      </w:r>
      <w:r>
        <w:t>, Section 11.8</w:t>
      </w:r>
      <w:r w:rsidRPr="00AB5C98">
        <w:t>).</w:t>
      </w:r>
    </w:p>
  </w:footnote>
  <w:footnote w:id="29">
    <w:p w:rsidR="00E660BD" w:rsidRPr="00AB5C98" w:rsidRDefault="00E660BD" w:rsidP="00964B09">
      <w:pPr>
        <w:pStyle w:val="FootnoteText"/>
        <w:rPr>
          <w:rStyle w:val="FootnoteReference"/>
          <w:rFonts w:ascii="Arial" w:hAnsi="Arial"/>
          <w:vertAlign w:val="baseline"/>
        </w:rPr>
      </w:pPr>
      <w:r w:rsidRPr="00AB5C98">
        <w:rPr>
          <w:rStyle w:val="FootnoteReference"/>
          <w:rFonts w:ascii="Arial" w:hAnsi="Arial"/>
        </w:rPr>
        <w:footnoteRef/>
      </w:r>
      <w:r w:rsidRPr="00AB5C98">
        <w:rPr>
          <w:rStyle w:val="FootnoteReference"/>
          <w:rFonts w:ascii="Arial" w:hAnsi="Arial"/>
          <w:vertAlign w:val="baseline"/>
        </w:rPr>
        <w:t xml:space="preserve"> </w:t>
      </w:r>
      <w:r>
        <w:tab/>
      </w:r>
      <w:r w:rsidRPr="00AB5C98">
        <w:rPr>
          <w:rStyle w:val="FootnoteReference"/>
          <w:rFonts w:ascii="Arial" w:hAnsi="Arial"/>
          <w:vertAlign w:val="baseline"/>
        </w:rPr>
        <w:t>As of 11 February 2011 there had been:</w:t>
      </w:r>
    </w:p>
    <w:p w:rsidR="00E660BD" w:rsidRPr="00AB5C98" w:rsidRDefault="00E660BD">
      <w:pPr>
        <w:pStyle w:val="FootnoteText"/>
        <w:numPr>
          <w:ilvl w:val="0"/>
          <w:numId w:val="27"/>
        </w:numPr>
        <w:rPr>
          <w:rStyle w:val="FootnoteReference"/>
          <w:rFonts w:ascii="Arial" w:hAnsi="Arial"/>
          <w:sz w:val="22"/>
          <w:vertAlign w:val="baseline"/>
        </w:rPr>
      </w:pPr>
      <w:r w:rsidRPr="00AB5C98">
        <w:rPr>
          <w:rStyle w:val="FootnoteReference"/>
          <w:rFonts w:ascii="Arial" w:hAnsi="Arial"/>
          <w:vertAlign w:val="baseline"/>
        </w:rPr>
        <w:t>5</w:t>
      </w:r>
      <w:r>
        <w:t> </w:t>
      </w:r>
      <w:r w:rsidRPr="00AB5C98">
        <w:rPr>
          <w:rStyle w:val="FootnoteReference"/>
          <w:rFonts w:ascii="Arial" w:hAnsi="Arial"/>
          <w:vertAlign w:val="baseline"/>
        </w:rPr>
        <w:t xml:space="preserve">094 letters sent to Centrelink customers who </w:t>
      </w:r>
      <w:r>
        <w:rPr>
          <w:rStyle w:val="FootnoteReference"/>
          <w:rFonts w:ascii="Arial" w:hAnsi="Arial"/>
          <w:vertAlign w:val="baseline"/>
        </w:rPr>
        <w:t>m</w:t>
      </w:r>
      <w:r>
        <w:t>et the criteria for</w:t>
      </w:r>
      <w:r w:rsidRPr="00AB5C98">
        <w:rPr>
          <w:rStyle w:val="FootnoteReference"/>
          <w:rFonts w:ascii="Arial" w:hAnsi="Arial"/>
          <w:vertAlign w:val="baseline"/>
        </w:rPr>
        <w:t xml:space="preserve"> compulsory income managem</w:t>
      </w:r>
      <w:r>
        <w:rPr>
          <w:rStyle w:val="FootnoteReference"/>
          <w:rFonts w:ascii="Arial" w:hAnsi="Arial"/>
          <w:vertAlign w:val="baseline"/>
        </w:rPr>
        <w:t>ent but who were not on NTER IM</w:t>
      </w:r>
    </w:p>
    <w:p w:rsidR="00E660BD" w:rsidRPr="00AB5C98" w:rsidRDefault="00E660BD">
      <w:pPr>
        <w:pStyle w:val="FootnoteText"/>
        <w:numPr>
          <w:ilvl w:val="0"/>
          <w:numId w:val="27"/>
        </w:numPr>
        <w:rPr>
          <w:rStyle w:val="FootnoteReference"/>
          <w:rFonts w:ascii="Arial" w:hAnsi="Arial"/>
          <w:sz w:val="22"/>
          <w:vertAlign w:val="baseline"/>
        </w:rPr>
      </w:pPr>
      <w:r w:rsidRPr="00AB5C98">
        <w:rPr>
          <w:rStyle w:val="FootnoteReference"/>
          <w:rFonts w:ascii="Arial" w:hAnsi="Arial"/>
          <w:vertAlign w:val="baseline"/>
        </w:rPr>
        <w:t>9</w:t>
      </w:r>
      <w:r>
        <w:rPr>
          <w:rStyle w:val="FootnoteReference"/>
          <w:rFonts w:ascii="Arial" w:hAnsi="Arial"/>
          <w:vertAlign w:val="baseline"/>
        </w:rPr>
        <w:t> </w:t>
      </w:r>
      <w:r w:rsidRPr="00AB5C98">
        <w:rPr>
          <w:rStyle w:val="FootnoteReference"/>
          <w:rFonts w:ascii="Arial" w:hAnsi="Arial"/>
          <w:vertAlign w:val="baseline"/>
        </w:rPr>
        <w:t>323 letters sent to customers who were previously on NTER IM and are now subject to Compulsory Income Manageme</w:t>
      </w:r>
      <w:r>
        <w:rPr>
          <w:rStyle w:val="FootnoteReference"/>
          <w:rFonts w:ascii="Arial" w:hAnsi="Arial"/>
          <w:vertAlign w:val="baseline"/>
        </w:rPr>
        <w:t>nt</w:t>
      </w:r>
    </w:p>
    <w:p w:rsidR="00E660BD" w:rsidRPr="00AB5C98" w:rsidRDefault="00E660BD">
      <w:pPr>
        <w:pStyle w:val="FootnoteText"/>
        <w:numPr>
          <w:ilvl w:val="0"/>
          <w:numId w:val="27"/>
        </w:numPr>
        <w:rPr>
          <w:rStyle w:val="FootnoteReference"/>
          <w:rFonts w:ascii="Arial" w:hAnsi="Arial"/>
          <w:sz w:val="22"/>
          <w:vertAlign w:val="baseline"/>
        </w:rPr>
      </w:pPr>
      <w:r w:rsidRPr="00AB5C98">
        <w:rPr>
          <w:rStyle w:val="FootnoteReference"/>
          <w:rFonts w:ascii="Arial" w:hAnsi="Arial"/>
          <w:vertAlign w:val="baseline"/>
        </w:rPr>
        <w:t>229 letters sent to customers who were on NTER IM and who are no longer subject to Compulsory Income Management.</w:t>
      </w:r>
    </w:p>
    <w:p w:rsidR="00E660BD" w:rsidRPr="00AB5C98" w:rsidRDefault="00E660BD" w:rsidP="00964B09">
      <w:pPr>
        <w:pStyle w:val="FootnoteText"/>
        <w:rPr>
          <w:rStyle w:val="FootnoteReference"/>
          <w:rFonts w:ascii="Arial" w:hAnsi="Arial"/>
          <w:vertAlign w:val="baseline"/>
        </w:rPr>
      </w:pPr>
      <w:r w:rsidRPr="00AB5C98">
        <w:rPr>
          <w:rStyle w:val="FootnoteReference"/>
          <w:rFonts w:ascii="Arial" w:hAnsi="Arial"/>
          <w:vertAlign w:val="baseline"/>
        </w:rPr>
        <w:tab/>
        <w:t>Around 4 February 2011 a letter was sent to 229 people who remained on NTER IM (because they no longer qualified for income management under NIM</w:t>
      </w:r>
      <w:r>
        <w:t>)</w:t>
      </w:r>
      <w:r w:rsidRPr="00AB5C98">
        <w:rPr>
          <w:rStyle w:val="FootnoteReference"/>
          <w:rFonts w:ascii="Arial" w:hAnsi="Arial"/>
          <w:vertAlign w:val="baseline"/>
        </w:rPr>
        <w:t xml:space="preserve">. These people had not met with Centrelink as of late January or early February 2011 and therefore had remained in NTER IM. The letter explained that that if they did not come and talk to Centrelink about income management then their income management would cease on 30 June 2011. A copy of the letter sent is at </w:t>
      </w:r>
      <w:r w:rsidRPr="00AB5C98">
        <w:t>Appendix A.</w:t>
      </w:r>
    </w:p>
  </w:footnote>
  <w:footnote w:id="30">
    <w:p w:rsidR="00E660BD" w:rsidRPr="00AB5C98" w:rsidRDefault="00E660BD">
      <w:pPr>
        <w:pStyle w:val="FootnoteText"/>
      </w:pPr>
      <w:r w:rsidRPr="00AB5C98">
        <w:rPr>
          <w:rStyle w:val="FootnoteReference"/>
        </w:rPr>
        <w:footnoteRef/>
      </w:r>
      <w:r w:rsidRPr="00AB5C98">
        <w:t xml:space="preserve"> </w:t>
      </w:r>
      <w:r>
        <w:tab/>
      </w:r>
      <w:r w:rsidRPr="00AB5C98">
        <w:t>Between 29 October 2010 and 25 February 2011 the number of non-Indigenous people subject to IM increased from 430 to 999 and between 25 February and 29 July 2011 to 1</w:t>
      </w:r>
      <w:r>
        <w:t> </w:t>
      </w:r>
      <w:r w:rsidRPr="00AB5C98">
        <w:t xml:space="preserve">576. </w:t>
      </w:r>
    </w:p>
  </w:footnote>
  <w:footnote w:id="31">
    <w:p w:rsidR="00E660BD" w:rsidRPr="00AB5C98" w:rsidRDefault="00E660BD" w:rsidP="00BD7CE5">
      <w:pPr>
        <w:pStyle w:val="FootnoteText"/>
      </w:pPr>
      <w:r w:rsidRPr="00AB5C98">
        <w:rPr>
          <w:rStyle w:val="FootnoteReference"/>
        </w:rPr>
        <w:footnoteRef/>
      </w:r>
      <w:r w:rsidRPr="00AB5C98">
        <w:t xml:space="preserve"> </w:t>
      </w:r>
      <w:r>
        <w:tab/>
      </w:r>
      <w:r w:rsidRPr="00AB5C98">
        <w:t>The one exception were people who were recorded as being full-time students, who were automatically provided with an exemption.</w:t>
      </w:r>
    </w:p>
  </w:footnote>
  <w:footnote w:id="32">
    <w:p w:rsidR="00E660BD" w:rsidRDefault="00E660BD" w:rsidP="00D53477">
      <w:pPr>
        <w:pStyle w:val="FootnoteText"/>
      </w:pPr>
      <w:r>
        <w:rPr>
          <w:rStyle w:val="FootnoteReference"/>
        </w:rPr>
        <w:footnoteRef/>
      </w:r>
      <w:r>
        <w:t xml:space="preserve"> </w:t>
      </w:r>
      <w:r>
        <w:tab/>
        <w:t>These ‘excluded payment nominees’ include: a public trustee; a payment nominee who is not subject to income management; or an organisation.</w:t>
      </w:r>
    </w:p>
  </w:footnote>
  <w:footnote w:id="33">
    <w:p w:rsidR="00E660BD" w:rsidRPr="00AB5C98" w:rsidRDefault="00E660BD" w:rsidP="00964B09">
      <w:pPr>
        <w:pStyle w:val="FootnoteText"/>
        <w:rPr>
          <w:rStyle w:val="FootnoteReference"/>
          <w:rFonts w:ascii="Arial" w:hAnsi="Arial"/>
          <w:vertAlign w:val="baseline"/>
        </w:rPr>
      </w:pPr>
      <w:r w:rsidRPr="00AB5C98">
        <w:rPr>
          <w:rStyle w:val="FootnoteReference"/>
          <w:rFonts w:ascii="Arial" w:hAnsi="Arial"/>
        </w:rPr>
        <w:footnoteRef/>
      </w:r>
      <w:r w:rsidRPr="00AB5C98">
        <w:rPr>
          <w:rStyle w:val="FootnoteReference"/>
          <w:rFonts w:ascii="Arial" w:hAnsi="Arial"/>
        </w:rPr>
        <w:t xml:space="preserve"> </w:t>
      </w:r>
      <w:r>
        <w:tab/>
      </w:r>
      <w:r w:rsidRPr="00AB5C98">
        <w:rPr>
          <w:rStyle w:val="FootnoteReference"/>
          <w:rFonts w:ascii="Arial" w:hAnsi="Arial"/>
          <w:vertAlign w:val="baseline"/>
        </w:rPr>
        <w:t>In addition, an individual can opt</w:t>
      </w:r>
      <w:r>
        <w:t xml:space="preserve"> </w:t>
      </w:r>
      <w:r w:rsidRPr="00AB5C98">
        <w:rPr>
          <w:rStyle w:val="FootnoteReference"/>
          <w:rFonts w:ascii="Arial" w:hAnsi="Arial"/>
          <w:vertAlign w:val="baseline"/>
        </w:rPr>
        <w:t>out of Voluntary Income Management within 28</w:t>
      </w:r>
      <w:r>
        <w:t xml:space="preserve"> </w:t>
      </w:r>
      <w:r w:rsidRPr="00AB5C98">
        <w:rPr>
          <w:rStyle w:val="FootnoteReference"/>
          <w:rFonts w:ascii="Arial" w:hAnsi="Arial"/>
          <w:vertAlign w:val="baseline"/>
        </w:rPr>
        <w:t>days of first commencing Voluntary Income Management.</w:t>
      </w:r>
    </w:p>
  </w:footnote>
  <w:footnote w:id="34">
    <w:p w:rsidR="00E660BD" w:rsidRPr="00AB5C98" w:rsidRDefault="00E660BD" w:rsidP="00964B09">
      <w:pPr>
        <w:pStyle w:val="FootnoteText"/>
        <w:rPr>
          <w:rStyle w:val="FootnoteReference"/>
          <w:rFonts w:ascii="Arial" w:hAnsi="Arial"/>
          <w:vertAlign w:val="baseline"/>
        </w:rPr>
      </w:pPr>
      <w:r w:rsidRPr="00AB5C98">
        <w:rPr>
          <w:rStyle w:val="FootnoteReference"/>
          <w:rFonts w:ascii="Arial" w:hAnsi="Arial"/>
        </w:rPr>
        <w:footnoteRef/>
      </w:r>
      <w:r w:rsidRPr="00AB5C98">
        <w:rPr>
          <w:rStyle w:val="FootnoteReference"/>
          <w:rFonts w:ascii="Arial" w:hAnsi="Arial"/>
          <w:vertAlign w:val="baseline"/>
        </w:rPr>
        <w:t xml:space="preserve"> </w:t>
      </w:r>
      <w:r>
        <w:tab/>
      </w:r>
      <w:r w:rsidRPr="00AB5C98">
        <w:rPr>
          <w:rStyle w:val="FootnoteReference"/>
          <w:rFonts w:ascii="Arial" w:hAnsi="Arial"/>
          <w:vertAlign w:val="baseline"/>
        </w:rPr>
        <w:t xml:space="preserve">This is </w:t>
      </w:r>
      <w:r>
        <w:rPr>
          <w:rStyle w:val="FootnoteReference"/>
          <w:rFonts w:ascii="Arial" w:hAnsi="Arial"/>
          <w:vertAlign w:val="baseline"/>
        </w:rPr>
        <w:t>s</w:t>
      </w:r>
      <w:r>
        <w:t>imilar</w:t>
      </w:r>
      <w:r w:rsidRPr="00AB5C98">
        <w:rPr>
          <w:rStyle w:val="FootnoteReference"/>
          <w:rFonts w:ascii="Arial" w:hAnsi="Arial"/>
          <w:vertAlign w:val="baseline"/>
        </w:rPr>
        <w:t xml:space="preserve"> to the Centrepay system which Centrelink has run for a number of years and which provides for regular direct debits to pay for specified expenses.</w:t>
      </w:r>
    </w:p>
  </w:footnote>
  <w:footnote w:id="35">
    <w:p w:rsidR="00E660BD" w:rsidRPr="003F3848" w:rsidRDefault="00E660BD" w:rsidP="00BD7CE5">
      <w:pPr>
        <w:pStyle w:val="FootnoteText"/>
      </w:pPr>
      <w:r w:rsidRPr="00AB5C98">
        <w:rPr>
          <w:rStyle w:val="FootnoteReference"/>
        </w:rPr>
        <w:footnoteRef/>
      </w:r>
      <w:r w:rsidRPr="00AB5C98">
        <w:t xml:space="preserve"> </w:t>
      </w:r>
      <w:r w:rsidRPr="00AB5C98">
        <w:tab/>
      </w:r>
      <w:r w:rsidRPr="003F3848">
        <w:t xml:space="preserve">Centrelink is required to provide all people subject to income management a summary of their income managed account which includes the balance of their IM account, balance of their BasicsCard account, transaction statements for the IM and BasicsCard accounts. </w:t>
      </w:r>
    </w:p>
  </w:footnote>
  <w:footnote w:id="36">
    <w:p w:rsidR="00E660BD" w:rsidRPr="00AB5C98" w:rsidRDefault="00E660BD" w:rsidP="00964B09">
      <w:pPr>
        <w:pStyle w:val="FootnoteText"/>
        <w:rPr>
          <w:rStyle w:val="FootnoteReference"/>
          <w:rFonts w:ascii="Arial" w:hAnsi="Arial"/>
          <w:vertAlign w:val="baseline"/>
        </w:rPr>
      </w:pPr>
      <w:r w:rsidRPr="00AB5C98">
        <w:rPr>
          <w:rStyle w:val="FootnoteReference"/>
          <w:rFonts w:ascii="Arial" w:hAnsi="Arial"/>
        </w:rPr>
        <w:footnoteRef/>
      </w:r>
      <w:r w:rsidRPr="00AB5C98">
        <w:rPr>
          <w:rStyle w:val="FootnoteReference"/>
          <w:rFonts w:ascii="Arial" w:hAnsi="Arial"/>
        </w:rPr>
        <w:t xml:space="preserve"> </w:t>
      </w:r>
      <w:r w:rsidRPr="00AB5C98">
        <w:rPr>
          <w:rStyle w:val="FootnoteReference"/>
          <w:rFonts w:ascii="Arial" w:hAnsi="Arial"/>
          <w:vertAlign w:val="baseline"/>
        </w:rPr>
        <w:tab/>
        <w:t xml:space="preserve">This option </w:t>
      </w:r>
      <w:r>
        <w:rPr>
          <w:rStyle w:val="FootnoteReference"/>
          <w:rFonts w:ascii="Arial" w:hAnsi="Arial"/>
          <w:vertAlign w:val="baseline"/>
        </w:rPr>
        <w:t>a</w:t>
      </w:r>
      <w:r>
        <w:t xml:space="preserve">t the time of preparing this report was </w:t>
      </w:r>
      <w:r w:rsidRPr="00AB5C98">
        <w:rPr>
          <w:rStyle w:val="FootnoteReference"/>
          <w:rFonts w:ascii="Arial" w:hAnsi="Arial"/>
          <w:vertAlign w:val="baseline"/>
        </w:rPr>
        <w:t>offered by Coles Supermarkets, Coles Express, Target, Target Country, Kmart, Km</w:t>
      </w:r>
      <w:r>
        <w:rPr>
          <w:rStyle w:val="FootnoteReference"/>
          <w:rFonts w:ascii="Arial" w:hAnsi="Arial"/>
          <w:vertAlign w:val="baseline"/>
        </w:rPr>
        <w:t>art Tyre and Auto Service and Bi-Lo</w:t>
      </w:r>
      <w:r w:rsidRPr="00AB5C98">
        <w:rPr>
          <w:rStyle w:val="FootnoteReference"/>
          <w:rFonts w:ascii="Arial" w:hAnsi="Arial"/>
          <w:vertAlign w:val="baseline"/>
        </w:rPr>
        <w:t>.</w:t>
      </w:r>
    </w:p>
  </w:footnote>
  <w:footnote w:id="37">
    <w:p w:rsidR="00E660BD" w:rsidRPr="00AB5C98" w:rsidRDefault="00E660BD" w:rsidP="00964B09">
      <w:pPr>
        <w:pStyle w:val="FootnoteText"/>
        <w:rPr>
          <w:rStyle w:val="FootnoteReference"/>
          <w:vertAlign w:val="baseline"/>
        </w:rPr>
      </w:pPr>
      <w:r w:rsidRPr="00AB5C98">
        <w:rPr>
          <w:rStyle w:val="FootnoteReference"/>
          <w:rFonts w:ascii="Arial" w:hAnsi="Arial"/>
        </w:rPr>
        <w:footnoteRef/>
      </w:r>
      <w:r w:rsidRPr="00AB5C98">
        <w:rPr>
          <w:rStyle w:val="FootnoteReference"/>
          <w:rFonts w:ascii="Arial" w:hAnsi="Arial"/>
          <w:vertAlign w:val="baseline"/>
        </w:rPr>
        <w:t xml:space="preserve"> </w:t>
      </w:r>
      <w:r>
        <w:tab/>
      </w:r>
      <w:r w:rsidRPr="00AB5C98">
        <w:rPr>
          <w:rStyle w:val="FootnoteReference"/>
          <w:rFonts w:ascii="Arial" w:hAnsi="Arial"/>
          <w:vertAlign w:val="baseline"/>
        </w:rPr>
        <w:t xml:space="preserve">Available in 10 sites in the </w:t>
      </w:r>
      <w:r>
        <w:rPr>
          <w:rStyle w:val="FootnoteReference"/>
          <w:rFonts w:ascii="Arial" w:hAnsi="Arial"/>
          <w:vertAlign w:val="baseline"/>
        </w:rPr>
        <w:t>Northern Territory.</w:t>
      </w:r>
    </w:p>
  </w:footnote>
  <w:footnote w:id="38">
    <w:p w:rsidR="00E660BD" w:rsidRDefault="00E660BD">
      <w:pPr>
        <w:pStyle w:val="FootnoteText"/>
      </w:pPr>
      <w:r>
        <w:rPr>
          <w:rStyle w:val="FootnoteReference"/>
        </w:rPr>
        <w:footnoteRef/>
      </w:r>
      <w:r>
        <w:t xml:space="preserve"> </w:t>
      </w:r>
      <w:r>
        <w:tab/>
      </w:r>
      <w:r w:rsidRPr="003F3848">
        <w:t xml:space="preserve">If income support payments are suspended and subsequently the child returns to school on a regular basis within 13 weeks, the income support payments are </w:t>
      </w:r>
      <w:r>
        <w:t>reinstated with back pay</w:t>
      </w:r>
      <w:r w:rsidRPr="003F3848">
        <w:t>.</w:t>
      </w:r>
    </w:p>
  </w:footnote>
  <w:footnote w:id="39">
    <w:p w:rsidR="00E660BD" w:rsidRPr="00AB5C98" w:rsidRDefault="00E660BD" w:rsidP="00FA5A6B">
      <w:pPr>
        <w:pStyle w:val="FootnoteText"/>
      </w:pPr>
      <w:r w:rsidRPr="00AB5C98">
        <w:rPr>
          <w:rStyle w:val="FootnoteReference"/>
        </w:rPr>
        <w:footnoteRef/>
      </w:r>
      <w:r w:rsidRPr="00AB5C98">
        <w:t xml:space="preserve"> </w:t>
      </w:r>
      <w:r>
        <w:tab/>
      </w:r>
      <w:r w:rsidRPr="00AB5C98">
        <w:t>The</w:t>
      </w:r>
      <w:r>
        <w:t xml:space="preserve"> Northern Territory </w:t>
      </w:r>
      <w:r w:rsidRPr="00AB5C98">
        <w:t>sites are: Katherine, Katherine Town Camps, Hermannsburg, Wallace Rockhole, Tiwi Islands and Wadeye. The program also operates in six locations in Queensland.</w:t>
      </w:r>
    </w:p>
  </w:footnote>
  <w:footnote w:id="40">
    <w:p w:rsidR="00E660BD" w:rsidRPr="00AB5C98" w:rsidRDefault="00E660BD" w:rsidP="00BB14C5">
      <w:pPr>
        <w:pStyle w:val="FootnoteText"/>
        <w:rPr>
          <w:rStyle w:val="FootnoteReference"/>
          <w:vertAlign w:val="baseline"/>
        </w:rPr>
      </w:pPr>
      <w:r w:rsidRPr="00AB5C98">
        <w:rPr>
          <w:rStyle w:val="FootnoteReference"/>
        </w:rPr>
        <w:footnoteRef/>
      </w:r>
      <w:r w:rsidRPr="00AB5C98">
        <w:rPr>
          <w:rStyle w:val="FootnoteReference"/>
          <w:vertAlign w:val="baseline"/>
        </w:rPr>
        <w:t xml:space="preserve"> </w:t>
      </w:r>
      <w:r w:rsidRPr="002C4070">
        <w:tab/>
        <w:t>We will track individuals through the next wave of the Longitudinal Survey of New Income Management (LSNIM), see Section 3.2.3.</w:t>
      </w:r>
    </w:p>
  </w:footnote>
  <w:footnote w:id="41">
    <w:p w:rsidR="00E660BD" w:rsidRPr="00AB5C98" w:rsidRDefault="00E660BD" w:rsidP="0022069A">
      <w:pPr>
        <w:pStyle w:val="FootnoteText"/>
      </w:pPr>
      <w:r w:rsidRPr="00331BC8">
        <w:rPr>
          <w:rStyle w:val="FootnoteReference"/>
        </w:rPr>
        <w:footnoteRef/>
      </w:r>
      <w:r w:rsidRPr="00331BC8">
        <w:t xml:space="preserve"> </w:t>
      </w:r>
      <w:r w:rsidRPr="00331BC8">
        <w:tab/>
        <w:t>The Age Pension Eligibility age as at December 2011 was 65 years for men and 63 for women. As part of the increase in the female APE to match that of males the actual APE for women increases by 6 months every 2 years. In all time series analysis the impact of this has not been taken into account but rather the</w:t>
      </w:r>
      <w:r>
        <w:t xml:space="preserve"> December 2011 </w:t>
      </w:r>
      <w:r w:rsidRPr="00331BC8">
        <w:t>Age Pension Eligibility age has been used.</w:t>
      </w:r>
    </w:p>
  </w:footnote>
  <w:footnote w:id="42">
    <w:p w:rsidR="00E660BD" w:rsidRPr="00AB5C98" w:rsidRDefault="00E660BD" w:rsidP="0022069A">
      <w:pPr>
        <w:pStyle w:val="FootnoteText"/>
      </w:pPr>
      <w:r w:rsidRPr="00AB5C98">
        <w:rPr>
          <w:rStyle w:val="FootnoteReference"/>
        </w:rPr>
        <w:footnoteRef/>
      </w:r>
      <w:r w:rsidRPr="00AB5C98">
        <w:t xml:space="preserve"> </w:t>
      </w:r>
      <w:r w:rsidRPr="00AB5C98">
        <w:tab/>
        <w:t xml:space="preserve"> For this chart, and in subsequent analysis</w:t>
      </w:r>
      <w:r>
        <w:t>,</w:t>
      </w:r>
      <w:r w:rsidRPr="00AB5C98">
        <w:t xml:space="preserve"> the definition of urban and non-urban is based upon a population density model specifically derived for the purposes of </w:t>
      </w:r>
      <w:r w:rsidRPr="005A5B7F">
        <w:t xml:space="preserve">this analysis. People are defined here as living in an urban region if they live </w:t>
      </w:r>
      <w:r>
        <w:t xml:space="preserve">in </w:t>
      </w:r>
      <w:r w:rsidRPr="005A5B7F">
        <w:t>an ABS Statistical Local Area where, in 2010, most Centrelink clients had more than 5 000 Centrelink clients living within 10 kilometres of them.</w:t>
      </w:r>
      <w:r w:rsidRPr="00AB5C98">
        <w:rPr>
          <w:rStyle w:val="FootnoteReference"/>
        </w:rPr>
        <w:t xml:space="preserve"> </w:t>
      </w:r>
    </w:p>
  </w:footnote>
  <w:footnote w:id="43">
    <w:p w:rsidR="00E660BD" w:rsidRPr="00AB5C98" w:rsidRDefault="00E660BD" w:rsidP="0022069A">
      <w:pPr>
        <w:pStyle w:val="FootnoteText"/>
        <w:rPr>
          <w:rStyle w:val="FootnoteReference"/>
        </w:rPr>
      </w:pPr>
      <w:r w:rsidRPr="00AB5C98">
        <w:rPr>
          <w:rStyle w:val="FootnoteReference"/>
        </w:rPr>
        <w:footnoteRef/>
      </w:r>
      <w:r w:rsidRPr="00AB5C98">
        <w:rPr>
          <w:rStyle w:val="FootnoteReference"/>
        </w:rPr>
        <w:t xml:space="preserve"> </w:t>
      </w:r>
      <w:r w:rsidRPr="00AB5C98">
        <w:tab/>
        <w:t xml:space="preserve">From 1 July 2010 no new people could become subject to NTER </w:t>
      </w:r>
      <w:r>
        <w:t>IM</w:t>
      </w:r>
      <w:r w:rsidRPr="00AB5C98">
        <w:t xml:space="preserve">. </w:t>
      </w:r>
      <w:r>
        <w:t>T</w:t>
      </w:r>
      <w:r w:rsidRPr="00AB5C98">
        <w:t xml:space="preserve">he transition from NTER </w:t>
      </w:r>
      <w:r>
        <w:t>IM</w:t>
      </w:r>
      <w:r w:rsidRPr="00AB5C98">
        <w:t xml:space="preserve"> to NIM started</w:t>
      </w:r>
      <w:r>
        <w:t xml:space="preserve"> in August 2010</w:t>
      </w:r>
      <w:r w:rsidRPr="00AB5C98">
        <w:t xml:space="preserve">. NTER </w:t>
      </w:r>
      <w:r>
        <w:t>IM</w:t>
      </w:r>
      <w:r w:rsidRPr="00AB5C98">
        <w:t xml:space="preserve"> ceased completely on 30 June 2011 (Australian Government</w:t>
      </w:r>
      <w:r>
        <w:t>,</w:t>
      </w:r>
      <w:r w:rsidRPr="00AB5C98">
        <w:t xml:space="preserve"> 2012</w:t>
      </w:r>
      <w:r>
        <w:t>, Section 11.8</w:t>
      </w:r>
      <w:r w:rsidRPr="00AB5C98">
        <w:t>).</w:t>
      </w:r>
    </w:p>
  </w:footnote>
  <w:footnote w:id="44">
    <w:p w:rsidR="00E660BD" w:rsidRPr="00AB5C98" w:rsidRDefault="00E660BD" w:rsidP="0022069A">
      <w:pPr>
        <w:pStyle w:val="FootnoteText"/>
      </w:pPr>
      <w:r w:rsidRPr="00AB5C98">
        <w:rPr>
          <w:rStyle w:val="FootnoteReference"/>
        </w:rPr>
        <w:footnoteRef/>
      </w:r>
      <w:r w:rsidRPr="00AB5C98">
        <w:t xml:space="preserve"> </w:t>
      </w:r>
      <w:r w:rsidRPr="00AB5C98">
        <w:tab/>
        <w:t xml:space="preserve">This also includes exit due to mortality and due to movement out of the </w:t>
      </w:r>
      <w:r>
        <w:t>Northern Territory.</w:t>
      </w:r>
      <w:r w:rsidRPr="00AB5C98">
        <w:t xml:space="preserve"> </w:t>
      </w:r>
    </w:p>
  </w:footnote>
  <w:footnote w:id="45">
    <w:p w:rsidR="00E660BD" w:rsidRDefault="00E660BD">
      <w:pPr>
        <w:pStyle w:val="FootnoteText"/>
      </w:pPr>
      <w:r>
        <w:rPr>
          <w:rStyle w:val="FootnoteReference"/>
        </w:rPr>
        <w:footnoteRef/>
      </w:r>
      <w:r>
        <w:t xml:space="preserve"> </w:t>
      </w:r>
      <w:r>
        <w:tab/>
        <w:t>As these programs were not operating within the Northern Territory at that time it would appear that the records are either those of people who had been placed on these programs in another state and had subsequently moved to the Northern Territory, or are a coding error.</w:t>
      </w:r>
    </w:p>
  </w:footnote>
  <w:footnote w:id="46">
    <w:p w:rsidR="00E660BD" w:rsidRDefault="00E660BD">
      <w:pPr>
        <w:pStyle w:val="FootnoteText"/>
      </w:pPr>
      <w:r>
        <w:rPr>
          <w:rStyle w:val="FootnoteReference"/>
        </w:rPr>
        <w:footnoteRef/>
      </w:r>
      <w:r>
        <w:t xml:space="preserve"> </w:t>
      </w:r>
      <w:r>
        <w:tab/>
        <w:t xml:space="preserve">Measuring exits from income management, as with measuring exits from income support and other programs, is far from clear cut. This largely arises because of churning – where a person moves in and out of a program. Where this happens, to simply focus on a single move off can be problematic as many people return to the program after a brief period. </w:t>
      </w:r>
    </w:p>
    <w:p w:rsidR="00E660BD" w:rsidRDefault="00E660BD">
      <w:pPr>
        <w:pStyle w:val="FootnoteText"/>
      </w:pPr>
      <w:r>
        <w:tab/>
        <w:t xml:space="preserve">Equally with time limited data (also called right censored in this type of analysis), it is not sufficient to define an exit as being a case where the person has no further record. To do so would treat exits at the end of the time period differently from those at the beginning. </w:t>
      </w:r>
    </w:p>
    <w:p w:rsidR="00E660BD" w:rsidRDefault="00E660BD">
      <w:pPr>
        <w:pStyle w:val="FootnoteText"/>
      </w:pPr>
      <w:r>
        <w:tab/>
        <w:t>For this analysis we have considered that a person has exited from income management if they are not subject to income management in two consecutive waves of data. Because of the irregular frequency of the surveys this varies from 3 to 5 months.</w:t>
      </w:r>
    </w:p>
  </w:footnote>
  <w:footnote w:id="47">
    <w:p w:rsidR="00E660BD" w:rsidRDefault="00E660BD">
      <w:pPr>
        <w:pStyle w:val="FootnoteText"/>
      </w:pPr>
      <w:r>
        <w:rPr>
          <w:rStyle w:val="FootnoteReference"/>
        </w:rPr>
        <w:footnoteRef/>
      </w:r>
      <w:r>
        <w:t xml:space="preserve"> </w:t>
      </w:r>
      <w:r>
        <w:tab/>
        <w:t>The reason for the different, and irregular, time periods relate to the timing of the datasets provided by FaHCSIA for the evaluation.</w:t>
      </w:r>
    </w:p>
  </w:footnote>
  <w:footnote w:id="48">
    <w:p w:rsidR="00E660BD" w:rsidRDefault="00E660BD" w:rsidP="003A1D87">
      <w:pPr>
        <w:pStyle w:val="FootnoteText"/>
      </w:pPr>
      <w:r>
        <w:rPr>
          <w:rStyle w:val="FootnoteReference"/>
        </w:rPr>
        <w:footnoteRef/>
      </w:r>
      <w:r>
        <w:t xml:space="preserve">  </w:t>
      </w:r>
      <w:r>
        <w:tab/>
        <w:t>In the table a person is classified as being on compulsory or voluntary income management on the basis of the type of income management they were on in the first period. This may not be the same as that at the time immediately prior to exit.</w:t>
      </w:r>
    </w:p>
  </w:footnote>
  <w:footnote w:id="49">
    <w:p w:rsidR="00E660BD" w:rsidRDefault="00E660BD">
      <w:pPr>
        <w:pStyle w:val="FootnoteText"/>
      </w:pPr>
      <w:r>
        <w:rPr>
          <w:rStyle w:val="FootnoteReference"/>
        </w:rPr>
        <w:footnoteRef/>
      </w:r>
      <w:r>
        <w:t xml:space="preserve">  </w:t>
      </w:r>
      <w:r>
        <w:tab/>
        <w:t>These exits will also include cases of death and imprisonment.</w:t>
      </w:r>
    </w:p>
  </w:footnote>
  <w:footnote w:id="50">
    <w:p w:rsidR="00E660BD" w:rsidRDefault="00E660BD">
      <w:pPr>
        <w:pStyle w:val="FootnoteText"/>
      </w:pPr>
      <w:r>
        <w:rPr>
          <w:rStyle w:val="FootnoteReference"/>
        </w:rPr>
        <w:footnoteRef/>
      </w:r>
      <w:r>
        <w:t xml:space="preserve">  </w:t>
      </w:r>
      <w:r>
        <w:tab/>
        <w:t>People who obtain exemptions at, or shortly after the time at which they would be subject to income management are not shown in these tables as an exit as the tables are based on people who are actually subject to income management at the first point in time.</w:t>
      </w:r>
    </w:p>
    <w:p w:rsidR="00E660BD" w:rsidRDefault="00E660BD">
      <w:pPr>
        <w:pStyle w:val="FootnoteText"/>
      </w:pPr>
      <w:r>
        <w:tab/>
        <w:t>Because of the infrequency of the datasets it is not possible to provide any more detailed analysis of the timing of exemptions in this report.</w:t>
      </w:r>
    </w:p>
  </w:footnote>
  <w:footnote w:id="51">
    <w:p w:rsidR="00E660BD" w:rsidRDefault="00E660BD">
      <w:pPr>
        <w:pStyle w:val="FootnoteText"/>
      </w:pPr>
      <w:r>
        <w:rPr>
          <w:rStyle w:val="FootnoteReference"/>
        </w:rPr>
        <w:footnoteRef/>
      </w:r>
      <w:r>
        <w:t xml:space="preserve">  To examine this we considered a simple pattern of exits (point in time to point in time) of all Indigenous income support recipients (excluding the Age Pension) over the period July 2010 and July 2011 in locations outside of the Northern Territory. This analysis indicated that in the Northern Territory moves to another state accounted for 28.8 per cent of all shifts off income support in the Northern Territory. This was, for example, not substantially above 25.1 per cent recorded for South Australia.</w:t>
      </w:r>
    </w:p>
  </w:footnote>
  <w:footnote w:id="52">
    <w:p w:rsidR="00E660BD" w:rsidRPr="00AB5C98" w:rsidRDefault="00E660BD" w:rsidP="0022069A">
      <w:pPr>
        <w:pStyle w:val="FootnoteText"/>
      </w:pPr>
      <w:r w:rsidRPr="00AB5C98">
        <w:rPr>
          <w:rStyle w:val="FootnoteReference"/>
        </w:rPr>
        <w:footnoteRef/>
      </w:r>
      <w:r w:rsidRPr="00AB5C98">
        <w:t xml:space="preserve"> </w:t>
      </w:r>
      <w:r w:rsidRPr="00AB5C98">
        <w:tab/>
        <w:t>The population for this section comprises persons receiving an income support payment, located in the</w:t>
      </w:r>
      <w:r>
        <w:t xml:space="preserve"> Northern Territory </w:t>
      </w:r>
      <w:r w:rsidRPr="00AB5C98">
        <w:t xml:space="preserve">and subject to income management for this period. Persons with conflicting information regarding location, payment status or income management status have been excluded; however, these exclusions do not substantially affect the </w:t>
      </w:r>
      <w:r>
        <w:t>results shown in this section</w:t>
      </w:r>
      <w:r w:rsidRPr="00AB5C98">
        <w:t>.</w:t>
      </w:r>
    </w:p>
  </w:footnote>
  <w:footnote w:id="53">
    <w:p w:rsidR="00E660BD" w:rsidRPr="00AB5C98" w:rsidRDefault="00E660BD" w:rsidP="003A1B16">
      <w:pPr>
        <w:pStyle w:val="FootnoteText"/>
      </w:pPr>
      <w:r w:rsidRPr="00AB5C98">
        <w:rPr>
          <w:rStyle w:val="FootnoteReference"/>
        </w:rPr>
        <w:footnoteRef/>
      </w:r>
      <w:r w:rsidRPr="00AB5C98">
        <w:t xml:space="preserve"> </w:t>
      </w:r>
      <w:r>
        <w:tab/>
      </w:r>
      <w:r w:rsidRPr="00AB5C98">
        <w:t>Because individuals are assed for income management based upon their characteristics, these estimates represent a count of person characteristics and not a count of the actual families. While in some couples both members may be subject to income management, in other couples only one may be.</w:t>
      </w:r>
    </w:p>
  </w:footnote>
  <w:footnote w:id="54">
    <w:p w:rsidR="00E660BD" w:rsidRPr="00AB5C98" w:rsidRDefault="00E660BD" w:rsidP="0022069A">
      <w:pPr>
        <w:pStyle w:val="FootnoteText"/>
      </w:pPr>
      <w:r w:rsidRPr="00AB5C98">
        <w:rPr>
          <w:rStyle w:val="FootnoteReference"/>
        </w:rPr>
        <w:footnoteRef/>
      </w:r>
      <w:r w:rsidRPr="00AB5C98">
        <w:t xml:space="preserve"> </w:t>
      </w:r>
      <w:r w:rsidRPr="00AB5C98">
        <w:tab/>
        <w:t xml:space="preserve">This includes a number who had a </w:t>
      </w:r>
      <w:r>
        <w:t>‘Transitional Special V</w:t>
      </w:r>
      <w:r w:rsidRPr="00AB5C98">
        <w:t>isa</w:t>
      </w:r>
      <w:r>
        <w:t>’</w:t>
      </w:r>
      <w:r w:rsidRPr="00AB5C98">
        <w:t>, which is a form of reissue of a previous visa. Unfortunately with this class of visa it is not possible to determine the original purpose of the visa they were initially granted.</w:t>
      </w:r>
    </w:p>
  </w:footnote>
  <w:footnote w:id="55">
    <w:p w:rsidR="00E660BD" w:rsidRPr="00AB5C98" w:rsidRDefault="00E660BD" w:rsidP="001013EC">
      <w:pPr>
        <w:pStyle w:val="FootnoteText"/>
        <w:rPr>
          <w:rStyle w:val="FootnoteReference"/>
        </w:rPr>
      </w:pPr>
      <w:r w:rsidRPr="00AB5C98">
        <w:rPr>
          <w:rStyle w:val="FootnoteReference"/>
        </w:rPr>
        <w:footnoteRef/>
      </w:r>
      <w:r w:rsidRPr="00AB5C98">
        <w:rPr>
          <w:rStyle w:val="FootnoteReference"/>
        </w:rPr>
        <w:t xml:space="preserve"> </w:t>
      </w:r>
      <w:r>
        <w:tab/>
      </w:r>
      <w:r w:rsidRPr="00AB5C98">
        <w:rPr>
          <w:rStyle w:val="FootnoteReference"/>
          <w:rFonts w:ascii="Arial" w:hAnsi="Arial"/>
          <w:vertAlign w:val="baseline"/>
        </w:rPr>
        <w:t>Any residual amount has to be disbursed within 12 months</w:t>
      </w:r>
      <w:r>
        <w:t>. I</w:t>
      </w:r>
      <w:r w:rsidRPr="00AB5C98">
        <w:rPr>
          <w:rStyle w:val="FootnoteReference"/>
          <w:rFonts w:ascii="Arial" w:hAnsi="Arial"/>
          <w:vertAlign w:val="baseline"/>
        </w:rPr>
        <w:t>f the balance is greater than $5</w:t>
      </w:r>
      <w:r>
        <w:t> </w:t>
      </w:r>
      <w:r w:rsidRPr="00AB5C98">
        <w:rPr>
          <w:rStyle w:val="FootnoteReference"/>
          <w:rFonts w:ascii="Arial" w:hAnsi="Arial"/>
          <w:vertAlign w:val="baseline"/>
        </w:rPr>
        <w:t>200 then the weekly return is the amount divided by 52.</w:t>
      </w:r>
      <w:r>
        <w:t xml:space="preserve"> The payment is made on a fortnightly basis (i.e. $200 per fortnight).</w:t>
      </w:r>
    </w:p>
  </w:footnote>
  <w:footnote w:id="56">
    <w:p w:rsidR="00E660BD" w:rsidRPr="00AB5C98" w:rsidRDefault="00E660BD" w:rsidP="001013EC">
      <w:pPr>
        <w:pStyle w:val="FootnoteText"/>
        <w:rPr>
          <w:rStyle w:val="FootnoteReference"/>
          <w:rFonts w:ascii="Arial" w:hAnsi="Arial"/>
          <w:vertAlign w:val="baseline"/>
        </w:rPr>
      </w:pPr>
      <w:r w:rsidRPr="00AB5C98">
        <w:rPr>
          <w:rStyle w:val="FootnoteReference"/>
        </w:rPr>
        <w:footnoteRef/>
      </w:r>
      <w:r w:rsidRPr="00AB5C98">
        <w:rPr>
          <w:rStyle w:val="FootnoteReference"/>
        </w:rPr>
        <w:t xml:space="preserve"> </w:t>
      </w:r>
      <w:r>
        <w:tab/>
      </w:r>
      <w:r w:rsidRPr="00AB5C98">
        <w:rPr>
          <w:rStyle w:val="FootnoteReference"/>
          <w:rFonts w:ascii="Arial" w:hAnsi="Arial"/>
          <w:vertAlign w:val="baseline"/>
        </w:rPr>
        <w:t>The amounts allocated, while broadly representing actual spending</w:t>
      </w:r>
      <w:r w:rsidRPr="00AB5C98">
        <w:t xml:space="preserve">, </w:t>
      </w:r>
      <w:r w:rsidRPr="00AB5C98">
        <w:rPr>
          <w:rStyle w:val="FootnoteReference"/>
          <w:rFonts w:ascii="Arial" w:hAnsi="Arial"/>
          <w:vertAlign w:val="baseline"/>
        </w:rPr>
        <w:t>do not necessarily match either the funds subject to income management in the period or actual spending. This is because some individuals will have unallocated balances in their accounts, while others may be drawing down balances they had accrued in previous fortnights.</w:t>
      </w:r>
      <w:r>
        <w:rPr>
          <w:rStyle w:val="FootnoteReference"/>
          <w:rFonts w:ascii="Arial" w:hAnsi="Arial"/>
          <w:vertAlign w:val="baseline"/>
        </w:rPr>
        <w:t xml:space="preserve"> </w:t>
      </w:r>
      <w:r w:rsidRPr="00AB5C98">
        <w:rPr>
          <w:rStyle w:val="FootnoteReference"/>
          <w:rFonts w:ascii="Arial" w:hAnsi="Arial"/>
          <w:vertAlign w:val="baseline"/>
        </w:rPr>
        <w:t>In addition</w:t>
      </w:r>
      <w:r w:rsidRPr="00AB5C98">
        <w:t>,</w:t>
      </w:r>
      <w:r w:rsidRPr="00AB5C98">
        <w:rPr>
          <w:rStyle w:val="FootnoteReference"/>
          <w:rFonts w:ascii="Arial" w:hAnsi="Arial"/>
          <w:vertAlign w:val="baseline"/>
        </w:rPr>
        <w:t xml:space="preserve"> while funds may be transferred onto a person’s BasicsCard account</w:t>
      </w:r>
      <w:r w:rsidRPr="00AB5C98">
        <w:t>,</w:t>
      </w:r>
      <w:r w:rsidRPr="00AB5C98">
        <w:rPr>
          <w:rStyle w:val="FootnoteReference"/>
          <w:rFonts w:ascii="Arial" w:hAnsi="Arial"/>
          <w:vertAlign w:val="baseline"/>
        </w:rPr>
        <w:t xml:space="preserve"> these may not necessarily be spent in the same fortnight.</w:t>
      </w:r>
    </w:p>
  </w:footnote>
  <w:footnote w:id="57">
    <w:p w:rsidR="00E660BD" w:rsidRPr="00AB5C98" w:rsidRDefault="00E660BD" w:rsidP="001013EC">
      <w:pPr>
        <w:pStyle w:val="FootnoteText"/>
        <w:rPr>
          <w:rStyle w:val="FootnoteReference"/>
        </w:rPr>
      </w:pPr>
      <w:r w:rsidRPr="00AB5C98">
        <w:rPr>
          <w:rStyle w:val="FootnoteReference"/>
          <w:rFonts w:ascii="Arial" w:hAnsi="Arial"/>
        </w:rPr>
        <w:footnoteRef/>
      </w:r>
      <w:r w:rsidRPr="00AB5C98">
        <w:t xml:space="preserve"> </w:t>
      </w:r>
      <w:r>
        <w:tab/>
      </w:r>
      <w:r w:rsidRPr="00AB5C98">
        <w:rPr>
          <w:rStyle w:val="FootnoteReference"/>
          <w:rFonts w:ascii="Arial" w:hAnsi="Arial"/>
          <w:vertAlign w:val="baseline"/>
        </w:rPr>
        <w:t>Except where noted, the population for this chapter include persons in the</w:t>
      </w:r>
      <w:r>
        <w:rPr>
          <w:rStyle w:val="FootnoteReference"/>
          <w:rFonts w:ascii="Arial" w:hAnsi="Arial"/>
          <w:vertAlign w:val="baseline"/>
        </w:rPr>
        <w:t xml:space="preserve"> Northern Territory </w:t>
      </w:r>
      <w:r w:rsidRPr="00AB5C98">
        <w:rPr>
          <w:rStyle w:val="FootnoteReference"/>
          <w:rFonts w:ascii="Arial" w:hAnsi="Arial"/>
          <w:vertAlign w:val="baseline"/>
        </w:rPr>
        <w:t>receiving an income support payment and subject to IM for the fortnight ending 28th October 2011.</w:t>
      </w:r>
    </w:p>
  </w:footnote>
  <w:footnote w:id="58">
    <w:p w:rsidR="00E660BD" w:rsidRPr="00AB5C98" w:rsidRDefault="00E660BD" w:rsidP="00943DCB">
      <w:pPr>
        <w:pStyle w:val="FootnoteText"/>
        <w:rPr>
          <w:rStyle w:val="FootnoteReference"/>
          <w:rFonts w:ascii="Arial" w:hAnsi="Arial"/>
          <w:vertAlign w:val="baseline"/>
        </w:rPr>
      </w:pPr>
      <w:r w:rsidRPr="00AB5C98">
        <w:rPr>
          <w:rStyle w:val="FootnoteReference"/>
        </w:rPr>
        <w:footnoteRef/>
      </w:r>
      <w:r w:rsidRPr="00AB5C98">
        <w:rPr>
          <w:rStyle w:val="FootnoteReference"/>
        </w:rPr>
        <w:t xml:space="preserve"> </w:t>
      </w:r>
      <w:r>
        <w:t xml:space="preserve"> </w:t>
      </w:r>
      <w:r>
        <w:tab/>
      </w:r>
      <w:r w:rsidRPr="00AB5C98">
        <w:rPr>
          <w:rStyle w:val="FootnoteReference"/>
          <w:rFonts w:ascii="Arial" w:hAnsi="Arial"/>
          <w:vertAlign w:val="baseline"/>
        </w:rPr>
        <w:t>A further complication with this data, as is evident in the table, is that there can be multiple codes for similar types of expenditure.</w:t>
      </w:r>
    </w:p>
  </w:footnote>
  <w:footnote w:id="59">
    <w:p w:rsidR="00E660BD" w:rsidRPr="00AB5C98" w:rsidRDefault="00E660BD" w:rsidP="00CF78DB">
      <w:pPr>
        <w:pStyle w:val="FootnoteText"/>
      </w:pPr>
      <w:r w:rsidRPr="00AB5C98">
        <w:rPr>
          <w:rStyle w:val="FootnoteReference"/>
          <w:rFonts w:ascii="Arial" w:hAnsi="Arial"/>
        </w:rPr>
        <w:footnoteRef/>
      </w:r>
      <w:r w:rsidRPr="00AB5C98">
        <w:rPr>
          <w:vertAlign w:val="superscript"/>
        </w:rPr>
        <w:t xml:space="preserve"> </w:t>
      </w:r>
      <w:r>
        <w:rPr>
          <w:vertAlign w:val="superscript"/>
        </w:rPr>
        <w:tab/>
      </w:r>
      <w:r w:rsidRPr="00AB5C98">
        <w:t>While some people living in remote communities pay rent this is not the case for all communities, nor for all housing in some communities.</w:t>
      </w:r>
    </w:p>
  </w:footnote>
  <w:footnote w:id="60">
    <w:p w:rsidR="00E660BD" w:rsidRDefault="00E660BD">
      <w:pPr>
        <w:pStyle w:val="FootnoteText"/>
      </w:pPr>
      <w:r>
        <w:rPr>
          <w:rStyle w:val="FootnoteReference"/>
        </w:rPr>
        <w:footnoteRef/>
      </w:r>
      <w:r>
        <w:t xml:space="preserve"> </w:t>
      </w:r>
      <w:r>
        <w:tab/>
        <w:t>The mean is the average of total expenditure for all people, the median refers to the point in the distribution where half the people spend more and half spend less</w:t>
      </w:r>
    </w:p>
  </w:footnote>
  <w:footnote w:id="61">
    <w:p w:rsidR="00E660BD" w:rsidRPr="00AB5C98" w:rsidRDefault="00E660BD" w:rsidP="00546FEB">
      <w:pPr>
        <w:pStyle w:val="FootnoteText"/>
        <w:rPr>
          <w:rStyle w:val="FootnoteReference"/>
          <w:vertAlign w:val="baseline"/>
        </w:rPr>
      </w:pPr>
      <w:r w:rsidRPr="00AB5C98">
        <w:rPr>
          <w:rStyle w:val="FootnoteReference"/>
        </w:rPr>
        <w:footnoteRef/>
      </w:r>
      <w:r w:rsidRPr="00AB5C98">
        <w:rPr>
          <w:rStyle w:val="FootnoteReference"/>
          <w:vertAlign w:val="baseline"/>
        </w:rPr>
        <w:t xml:space="preserve"> </w:t>
      </w:r>
      <w:r w:rsidRPr="00546FEB">
        <w:tab/>
        <w:t>The terms and conditions of use of the BasicsCard are at Appendix G. While these reflect usual debit card conditions, it could be considered that the length and language of these conditions is not well pitched at many of the client group.</w:t>
      </w:r>
    </w:p>
  </w:footnote>
  <w:footnote w:id="62">
    <w:p w:rsidR="00E660BD" w:rsidRPr="00546FEB" w:rsidRDefault="00E660BD" w:rsidP="00BD6DFD">
      <w:pPr>
        <w:pStyle w:val="FootnoteText"/>
      </w:pPr>
      <w:r w:rsidRPr="00AB5C98">
        <w:rPr>
          <w:rStyle w:val="FootnoteReference"/>
        </w:rPr>
        <w:footnoteRef/>
      </w:r>
      <w:r w:rsidRPr="00AB5C98">
        <w:rPr>
          <w:rStyle w:val="FootnoteReference"/>
          <w:vertAlign w:val="baseline"/>
        </w:rPr>
        <w:t xml:space="preserve"> </w:t>
      </w:r>
      <w:r>
        <w:tab/>
      </w:r>
      <w:r w:rsidRPr="00546FEB">
        <w:t>See also Smith and Jorna (2011).</w:t>
      </w:r>
    </w:p>
  </w:footnote>
  <w:footnote w:id="63">
    <w:p w:rsidR="00E660BD" w:rsidRPr="00AB5C98" w:rsidRDefault="00E660BD" w:rsidP="00BD6DFD">
      <w:pPr>
        <w:pStyle w:val="FootnoteText"/>
        <w:rPr>
          <w:rStyle w:val="FootnoteReference"/>
          <w:vertAlign w:val="baseline"/>
        </w:rPr>
      </w:pPr>
      <w:r w:rsidRPr="00AB5C98">
        <w:rPr>
          <w:rStyle w:val="FootnoteReference"/>
        </w:rPr>
        <w:footnoteRef/>
      </w:r>
      <w:r w:rsidRPr="00AB5C98">
        <w:rPr>
          <w:rStyle w:val="FootnoteReference"/>
          <w:vertAlign w:val="baseline"/>
        </w:rPr>
        <w:t xml:space="preserve"> </w:t>
      </w:r>
      <w:r>
        <w:tab/>
      </w:r>
      <w:r w:rsidRPr="00546FEB">
        <w:t>Because there is often only a single ATM in a community and fees are often charged for every transaction the ability of an individual to avoid fees by using their own bank ATM, which is a possibility for people</w:t>
      </w:r>
      <w:r w:rsidRPr="00943DCB">
        <w:t xml:space="preserve"> in larger towns and cities, is not an option in many remote Indigenous communities.</w:t>
      </w:r>
    </w:p>
  </w:footnote>
  <w:footnote w:id="64">
    <w:p w:rsidR="00E660BD" w:rsidRPr="00AB5C98" w:rsidRDefault="00E660BD" w:rsidP="00BD6DFD">
      <w:pPr>
        <w:pStyle w:val="FootnoteText"/>
        <w:rPr>
          <w:rStyle w:val="FootnoteReference"/>
          <w:vertAlign w:val="baseline"/>
        </w:rPr>
      </w:pPr>
      <w:r w:rsidRPr="00546FEB">
        <w:rPr>
          <w:rStyle w:val="FootnoteReference"/>
        </w:rPr>
        <w:footnoteRef/>
      </w:r>
      <w:r w:rsidRPr="00AB5C98">
        <w:rPr>
          <w:rStyle w:val="FootnoteReference"/>
          <w:vertAlign w:val="baseline"/>
        </w:rPr>
        <w:t xml:space="preserve"> </w:t>
      </w:r>
      <w:r w:rsidRPr="00546FEB">
        <w:t>This is based upon 16 393 people being income managed</w:t>
      </w:r>
      <w:r>
        <w:t>.</w:t>
      </w:r>
    </w:p>
  </w:footnote>
  <w:footnote w:id="65">
    <w:p w:rsidR="00E660BD" w:rsidRPr="00AB5C98" w:rsidRDefault="00E660BD" w:rsidP="00263D64">
      <w:pPr>
        <w:pStyle w:val="FootnoteText"/>
        <w:rPr>
          <w:rStyle w:val="FootnoteReference"/>
          <w:vertAlign w:val="baseline"/>
        </w:rPr>
      </w:pPr>
      <w:r w:rsidRPr="00AB5C98">
        <w:rPr>
          <w:rStyle w:val="FootnoteReference"/>
        </w:rPr>
        <w:footnoteRef/>
      </w:r>
      <w:r w:rsidRPr="00AB5C98">
        <w:rPr>
          <w:rStyle w:val="FootnoteReference"/>
          <w:vertAlign w:val="baseline"/>
        </w:rPr>
        <w:t xml:space="preserve"> </w:t>
      </w:r>
      <w:r>
        <w:tab/>
        <w:t xml:space="preserve">Money management and financial counselling services are provided to anyone in the community, including those on income management and those not. </w:t>
      </w:r>
      <w:r w:rsidRPr="00847CCC">
        <w:t xml:space="preserve">Specific additional funding was made available to enable these strategies to be implemented. </w:t>
      </w:r>
    </w:p>
  </w:footnote>
  <w:footnote w:id="66">
    <w:p w:rsidR="00E660BD" w:rsidRPr="00847CCC" w:rsidRDefault="00E660BD" w:rsidP="00847CCC">
      <w:pPr>
        <w:pStyle w:val="FootnoteText"/>
        <w:rPr>
          <w:rStyle w:val="FootnoteReference"/>
          <w:rFonts w:ascii="Arial" w:hAnsi="Arial"/>
          <w:vertAlign w:val="baseline"/>
        </w:rPr>
      </w:pPr>
      <w:r w:rsidRPr="00847CCC">
        <w:rPr>
          <w:rStyle w:val="FootnoteReference"/>
        </w:rPr>
        <w:footnoteRef/>
      </w:r>
      <w:r w:rsidRPr="00AB5C98">
        <w:rPr>
          <w:rStyle w:val="FootnoteReference"/>
          <w:vertAlign w:val="baseline"/>
        </w:rPr>
        <w:t xml:space="preserve"> </w:t>
      </w:r>
      <w:r>
        <w:tab/>
      </w:r>
      <w:r w:rsidRPr="00847CCC">
        <w:rPr>
          <w:rStyle w:val="FootnoteReference"/>
          <w:rFonts w:ascii="Arial" w:hAnsi="Arial"/>
          <w:vertAlign w:val="baseline"/>
        </w:rPr>
        <w:t xml:space="preserve">The Matched Savings Payment component of NIM needs to be understood in the broader context of programs that are designed to encourage the development of a savings habit amongst low income families. </w:t>
      </w:r>
    </w:p>
    <w:p w:rsidR="00E660BD" w:rsidRPr="00AB5C98" w:rsidRDefault="00E660BD" w:rsidP="00847CCC">
      <w:pPr>
        <w:pStyle w:val="FootnoteText"/>
        <w:rPr>
          <w:rStyle w:val="FootnoteReference"/>
          <w:vertAlign w:val="baseline"/>
        </w:rPr>
      </w:pPr>
      <w:r w:rsidRPr="00847CCC">
        <w:rPr>
          <w:rStyle w:val="FootnoteReference"/>
          <w:rFonts w:ascii="Arial" w:hAnsi="Arial"/>
          <w:vertAlign w:val="baseline"/>
        </w:rPr>
        <w:tab/>
        <w:t>Matched savings programs started in Australia with Saver Plus which is an initiative of the Brotherhood of St Laurence and ANZ, delivered in partnership with Berry Street, The Benevolent Society and The Smith Family and other local community agencies. The Saver Plus program is funded by ANZ and FaHCSIA, with the ANZ providing matched savings for participants (Brotherhood of St. Laurence &amp; ANZ, 2011).</w:t>
      </w:r>
    </w:p>
  </w:footnote>
  <w:footnote w:id="67">
    <w:p w:rsidR="00E660BD" w:rsidRPr="00AB5C98" w:rsidRDefault="00E660BD" w:rsidP="00263D64">
      <w:pPr>
        <w:pStyle w:val="FootnoteText"/>
        <w:rPr>
          <w:rStyle w:val="FootnoteReference"/>
          <w:vertAlign w:val="baseline"/>
        </w:rPr>
      </w:pPr>
      <w:r w:rsidRPr="00AB5C98">
        <w:rPr>
          <w:rStyle w:val="FootnoteReference"/>
        </w:rPr>
        <w:footnoteRef/>
      </w:r>
      <w:r w:rsidRPr="00AB5C98">
        <w:rPr>
          <w:rStyle w:val="FootnoteReference"/>
          <w:vertAlign w:val="baseline"/>
        </w:rPr>
        <w:t xml:space="preserve"> </w:t>
      </w:r>
      <w:r>
        <w:tab/>
      </w:r>
      <w:r w:rsidRPr="00847CCC">
        <w:t>All but three of those who obtained a grant received the full $500 taking between 91 and 207 days to do so. (Data provided by FaHCSIA.)</w:t>
      </w:r>
    </w:p>
  </w:footnote>
  <w:footnote w:id="68">
    <w:p w:rsidR="00E660BD" w:rsidRPr="00AB5C98" w:rsidRDefault="00E660BD" w:rsidP="00263D64">
      <w:pPr>
        <w:pStyle w:val="FootnoteText"/>
        <w:rPr>
          <w:rStyle w:val="FootnoteReference"/>
          <w:vertAlign w:val="baseline"/>
        </w:rPr>
      </w:pPr>
      <w:r w:rsidRPr="00AB5C98">
        <w:rPr>
          <w:rStyle w:val="FootnoteReference"/>
        </w:rPr>
        <w:footnoteRef/>
      </w:r>
      <w:r>
        <w:tab/>
      </w:r>
      <w:r w:rsidRPr="00546FEB">
        <w:t xml:space="preserve"> ‘Not sure’ responses are classified as not having spoken to this type of service. The proportion of survey participants saying that they were not sure whether they had seen this type of service was 4 per cent.</w:t>
      </w:r>
    </w:p>
  </w:footnote>
  <w:footnote w:id="69">
    <w:p w:rsidR="00E660BD" w:rsidRDefault="00E660BD" w:rsidP="005510A6">
      <w:pPr>
        <w:pStyle w:val="FootnoteText"/>
      </w:pPr>
      <w:r>
        <w:rPr>
          <w:rStyle w:val="FootnoteReference"/>
        </w:rPr>
        <w:footnoteRef/>
      </w:r>
      <w:r>
        <w:t xml:space="preserve"> A number of these people had worked in both money management and financial counselling services. As a result 11 spoke about money management services only, 2 spoke about financial counselling only and 5 spoke about their experiences of both financial counselling and money management services. In the case studies a further 3 worked in financial counselling services and 6 for money management services.</w:t>
      </w:r>
    </w:p>
  </w:footnote>
  <w:footnote w:id="70">
    <w:p w:rsidR="00E660BD" w:rsidRPr="00546FEB" w:rsidRDefault="00E660BD" w:rsidP="00263D64">
      <w:pPr>
        <w:pStyle w:val="FootnoteText"/>
      </w:pPr>
      <w:r w:rsidRPr="00AB5C98">
        <w:rPr>
          <w:rStyle w:val="FootnoteReference"/>
        </w:rPr>
        <w:footnoteRef/>
      </w:r>
      <w:r w:rsidRPr="00AB5C98">
        <w:rPr>
          <w:rStyle w:val="FootnoteReference"/>
        </w:rPr>
        <w:t xml:space="preserve"> </w:t>
      </w:r>
      <w:r w:rsidRPr="00546FEB">
        <w:t>At the time of interview new requirements around having photo ID in the</w:t>
      </w:r>
      <w:r>
        <w:t xml:space="preserve"> Northern Territory </w:t>
      </w:r>
      <w:r w:rsidRPr="00546FEB">
        <w:t xml:space="preserve">were coming into force and many Indigenous clients were having to apply for a new form of ID. Money management providers reported that this had led to a strong demand for assistance from their clients in making these applications. </w:t>
      </w:r>
    </w:p>
  </w:footnote>
  <w:footnote w:id="71">
    <w:p w:rsidR="00E660BD" w:rsidRPr="00AB5C98" w:rsidRDefault="00E660BD" w:rsidP="00263D64">
      <w:pPr>
        <w:pStyle w:val="FootnoteText"/>
        <w:rPr>
          <w:rStyle w:val="FootnoteReference"/>
          <w:vertAlign w:val="baseline"/>
        </w:rPr>
      </w:pPr>
      <w:r w:rsidRPr="00AB5C98">
        <w:rPr>
          <w:rStyle w:val="FootnoteReference"/>
          <w:vertAlign w:val="baseline"/>
        </w:rPr>
        <w:footnoteRef/>
      </w:r>
      <w:r w:rsidRPr="00AB5C98">
        <w:rPr>
          <w:rStyle w:val="FootnoteReference"/>
          <w:vertAlign w:val="baseline"/>
        </w:rPr>
        <w:t xml:space="preserve"> </w:t>
      </w:r>
      <w:r>
        <w:tab/>
      </w:r>
      <w:r w:rsidRPr="00AB5C98">
        <w:rPr>
          <w:rStyle w:val="FootnoteReference"/>
          <w:vertAlign w:val="baseline"/>
        </w:rPr>
        <w:t>S</w:t>
      </w:r>
      <w:r>
        <w:t>PRC &amp; AIFS, 2010,</w:t>
      </w:r>
      <w:r w:rsidRPr="00AB5C98">
        <w:rPr>
          <w:rStyle w:val="FootnoteReference"/>
          <w:vertAlign w:val="baseline"/>
        </w:rPr>
        <w:t xml:space="preserve"> Appendix C.</w:t>
      </w:r>
    </w:p>
  </w:footnote>
  <w:footnote w:id="72">
    <w:p w:rsidR="00E660BD" w:rsidRPr="00AB5C98" w:rsidRDefault="00E660BD" w:rsidP="00DF7051">
      <w:pPr>
        <w:pStyle w:val="FootnoteText"/>
      </w:pPr>
      <w:r w:rsidRPr="00AB5C98">
        <w:rPr>
          <w:rStyle w:val="FootnoteReference"/>
        </w:rPr>
        <w:footnoteRef/>
      </w:r>
      <w:r>
        <w:tab/>
      </w:r>
      <w:r w:rsidRPr="00AB5C98">
        <w:t>Technically this also applies to cases under the Disengaged Yo</w:t>
      </w:r>
      <w:r>
        <w:t xml:space="preserve">uth, Long-Term Welfare Payment Recipients </w:t>
      </w:r>
      <w:r w:rsidRPr="00AB5C98">
        <w:t>measures where the person considers that the criteria have been wrongly interpreted in the decision to place them on income management.</w:t>
      </w:r>
    </w:p>
  </w:footnote>
  <w:footnote w:id="73">
    <w:p w:rsidR="00E660BD" w:rsidRPr="00AB5C98" w:rsidRDefault="00E660BD" w:rsidP="00DF7051">
      <w:pPr>
        <w:pStyle w:val="FootnoteText"/>
      </w:pPr>
      <w:r w:rsidRPr="00AB5C98">
        <w:rPr>
          <w:rStyle w:val="FootnoteReference"/>
        </w:rPr>
        <w:footnoteRef/>
      </w:r>
      <w:r w:rsidRPr="00AB5C98">
        <w:t xml:space="preserve"> </w:t>
      </w:r>
      <w:r>
        <w:tab/>
      </w:r>
      <w:r w:rsidRPr="00AB5C98">
        <w:t>These review and appeal provisions apply more generally to all decisions undertaken under IM and across the administration of social security.</w:t>
      </w:r>
    </w:p>
  </w:footnote>
  <w:footnote w:id="74">
    <w:p w:rsidR="00E660BD" w:rsidRPr="00AB5C98" w:rsidRDefault="00E660BD">
      <w:pPr>
        <w:pStyle w:val="FootnoteText"/>
      </w:pPr>
      <w:r w:rsidRPr="00AB5C98">
        <w:rPr>
          <w:rStyle w:val="FootnoteReference"/>
        </w:rPr>
        <w:footnoteRef/>
      </w:r>
      <w:r w:rsidRPr="00AB5C98">
        <w:t xml:space="preserve"> </w:t>
      </w:r>
      <w:r>
        <w:tab/>
      </w:r>
      <w:r w:rsidRPr="00AB5C98">
        <w:t>As discussed in Chapter 10</w:t>
      </w:r>
      <w:r>
        <w:t>,</w:t>
      </w:r>
      <w:r w:rsidRPr="00AB5C98">
        <w:t xml:space="preserve"> </w:t>
      </w:r>
      <w:r>
        <w:t xml:space="preserve">from the </w:t>
      </w:r>
      <w:r w:rsidRPr="00AB5C98">
        <w:t>LSNIM</w:t>
      </w:r>
      <w:r>
        <w:t xml:space="preserve"> data</w:t>
      </w:r>
      <w:r w:rsidRPr="00AB5C98">
        <w:t xml:space="preserve"> it is not entirely clear </w:t>
      </w:r>
      <w:r>
        <w:t>how</w:t>
      </w:r>
      <w:r w:rsidRPr="00AB5C98">
        <w:t xml:space="preserve"> many people on the voluntary measure that they </w:t>
      </w:r>
      <w:r>
        <w:t xml:space="preserve">actually </w:t>
      </w:r>
      <w:r w:rsidRPr="00AB5C98">
        <w:t xml:space="preserve">chose to go onto the program. </w:t>
      </w:r>
      <w:r>
        <w:t xml:space="preserve">Similarly it would appear that some people the </w:t>
      </w:r>
      <w:r w:rsidRPr="00AB5C98">
        <w:t xml:space="preserve">choice of going onto the voluntary mechanism </w:t>
      </w:r>
      <w:r>
        <w:t>has been in</w:t>
      </w:r>
      <w:r w:rsidRPr="00AB5C98">
        <w:t xml:space="preserve"> the context of the alternative of being placed on </w:t>
      </w:r>
      <w:r>
        <w:t>Vulnerable</w:t>
      </w:r>
      <w:r w:rsidRPr="00AB5C98">
        <w:t xml:space="preserve"> Income Management, an</w:t>
      </w:r>
      <w:r>
        <w:t xml:space="preserve"> alternative which would also involve themm</w:t>
      </w:r>
      <w:r w:rsidRPr="00AB5C98">
        <w:t xml:space="preserve"> forgoing the additional financial benefit of Voluntary Income Management.</w:t>
      </w:r>
    </w:p>
  </w:footnote>
  <w:footnote w:id="75">
    <w:p w:rsidR="00E660BD" w:rsidRPr="00847CCC" w:rsidRDefault="00E660BD" w:rsidP="00587AD8">
      <w:pPr>
        <w:pStyle w:val="FootnoteText"/>
      </w:pPr>
      <w:r w:rsidRPr="00AB5C98">
        <w:rPr>
          <w:rStyle w:val="FootnoteReference"/>
        </w:rPr>
        <w:footnoteRef/>
      </w:r>
      <w:r w:rsidRPr="00AB5C98">
        <w:t xml:space="preserve"> </w:t>
      </w:r>
      <w:r>
        <w:tab/>
      </w:r>
      <w:r w:rsidRPr="00847CCC">
        <w:t>As will be seen later, this covers a high proportion of people who seek an exemption.</w:t>
      </w:r>
    </w:p>
  </w:footnote>
  <w:footnote w:id="76">
    <w:p w:rsidR="00E660BD" w:rsidRPr="00AB5C98" w:rsidRDefault="00E660BD" w:rsidP="00A36F18">
      <w:pPr>
        <w:pStyle w:val="FootnoteText"/>
        <w:rPr>
          <w:rStyle w:val="FootnoteReference"/>
          <w:vertAlign w:val="baseline"/>
        </w:rPr>
      </w:pPr>
      <w:r w:rsidRPr="00AB5C98">
        <w:rPr>
          <w:rStyle w:val="FootnoteReference"/>
        </w:rPr>
        <w:footnoteRef/>
      </w:r>
      <w:r w:rsidRPr="00AB5C98">
        <w:rPr>
          <w:rStyle w:val="FootnoteReference"/>
        </w:rPr>
        <w:t xml:space="preserve"> </w:t>
      </w:r>
      <w:r>
        <w:tab/>
      </w:r>
      <w:r w:rsidRPr="00847CCC">
        <w:t>Such a person remains potentially subject to the vulnerable and child protection income management measures. In the case of Vulnerable Welfare Payment Recipient Income Management, while it is likely that any such vulnerability would have been picked up at the initial assessment point and they would fail the financial stability test, it is possible that some later event may give rise to a Centrelink social worker assessing that a person requires placement on this measure.</w:t>
      </w:r>
    </w:p>
  </w:footnote>
  <w:footnote w:id="77">
    <w:p w:rsidR="00E660BD" w:rsidRPr="00AB5C98" w:rsidRDefault="00E660BD" w:rsidP="00A36F18">
      <w:pPr>
        <w:pStyle w:val="FootnoteText"/>
        <w:rPr>
          <w:rStyle w:val="FootnoteReference"/>
          <w:vertAlign w:val="baseline"/>
        </w:rPr>
      </w:pPr>
      <w:r w:rsidRPr="00AB5C98">
        <w:rPr>
          <w:rStyle w:val="FootnoteReference"/>
        </w:rPr>
        <w:footnoteRef/>
      </w:r>
      <w:r w:rsidRPr="00AB5C98">
        <w:rPr>
          <w:rStyle w:val="FootnoteReference"/>
          <w:vertAlign w:val="baseline"/>
        </w:rPr>
        <w:t xml:space="preserve"> </w:t>
      </w:r>
      <w:r>
        <w:tab/>
      </w:r>
      <w:r w:rsidRPr="00AB5C98">
        <w:t>It should be noted that attendance at a money management course is a requirement for the Matched Savings Payment</w:t>
      </w:r>
      <w:r>
        <w:t xml:space="preserve"> </w:t>
      </w:r>
      <w:r w:rsidRPr="00AB5C98">
        <w:t>and not for an exemption. It may be that the person speaking was in a short hand manner indicating that such attendance would be viewed favourably in terms of the assessment of their financial stability.</w:t>
      </w:r>
    </w:p>
  </w:footnote>
  <w:footnote w:id="78">
    <w:p w:rsidR="00E660BD" w:rsidRPr="00AB5C98" w:rsidRDefault="00E660BD" w:rsidP="00A36F18">
      <w:pPr>
        <w:pStyle w:val="FootnoteText"/>
        <w:rPr>
          <w:rStyle w:val="FootnoteReference"/>
          <w:vertAlign w:val="baseline"/>
        </w:rPr>
      </w:pPr>
      <w:r w:rsidRPr="00AB5C98">
        <w:rPr>
          <w:rStyle w:val="FootnoteReference"/>
        </w:rPr>
        <w:footnoteRef/>
      </w:r>
      <w:r w:rsidRPr="00AB5C98">
        <w:rPr>
          <w:rStyle w:val="FootnoteReference"/>
          <w:vertAlign w:val="baseline"/>
        </w:rPr>
        <w:t xml:space="preserve"> </w:t>
      </w:r>
      <w:r>
        <w:tab/>
      </w:r>
      <w:r w:rsidRPr="00AB5C98">
        <w:t xml:space="preserve">See Appendix </w:t>
      </w:r>
      <w:r>
        <w:t>E</w:t>
      </w:r>
      <w:r w:rsidRPr="00AB5C98">
        <w:t xml:space="preserve"> for more details of the data used for this analysis. In the table sources these datasets are referenced as “Centrelink IM &amp; IS/FTB datasets”.</w:t>
      </w:r>
    </w:p>
  </w:footnote>
  <w:footnote w:id="79">
    <w:p w:rsidR="00E660BD" w:rsidRPr="00AB5C98" w:rsidRDefault="00E660BD">
      <w:pPr>
        <w:pStyle w:val="FootnoteText"/>
      </w:pPr>
      <w:r w:rsidRPr="00AB5C98">
        <w:rPr>
          <w:rStyle w:val="FootnoteReference"/>
        </w:rPr>
        <w:footnoteRef/>
      </w:r>
      <w:r w:rsidRPr="00847CCC">
        <w:t xml:space="preserve"> </w:t>
      </w:r>
      <w:r>
        <w:tab/>
      </w:r>
      <w:r w:rsidRPr="00847CCC">
        <w:t>In more detailed analysis of applications for exemption and related matters, the population is restricted to those on Compulsory Income Management. In addition</w:t>
      </w:r>
      <w:r>
        <w:t>,</w:t>
      </w:r>
      <w:r w:rsidRPr="00847CCC">
        <w:t xml:space="preserve"> some analysis is undertaken for specific subgroups only, such as those with children.</w:t>
      </w:r>
    </w:p>
  </w:footnote>
  <w:footnote w:id="80">
    <w:p w:rsidR="00E660BD" w:rsidRDefault="00E660BD" w:rsidP="00E6399E">
      <w:pPr>
        <w:pStyle w:val="FootnoteText"/>
      </w:pPr>
      <w:r>
        <w:rPr>
          <w:rStyle w:val="FootnoteReference"/>
        </w:rPr>
        <w:footnoteRef/>
      </w:r>
      <w:r>
        <w:t xml:space="preserve"> The relative size of these populations was noted in the FaHCSIA response to a question at Senate Estimates: ‘At 30 December 2011, there were 878 people who were automatically exempt from income management due to being either a full time student or apprentice. There were also 706 ABSTUDY recipients (all Indigenous) and 86 Austudy recipients (all non-Indigenous) on 30 December 2011.’ (FaHCSIA,2012c)</w:t>
      </w:r>
    </w:p>
  </w:footnote>
  <w:footnote w:id="81">
    <w:p w:rsidR="00E660BD" w:rsidRPr="00AB5C98" w:rsidRDefault="00E660BD">
      <w:pPr>
        <w:pStyle w:val="FootnoteText"/>
      </w:pPr>
      <w:r w:rsidRPr="00AB5C98">
        <w:rPr>
          <w:rStyle w:val="FootnoteReference"/>
        </w:rPr>
        <w:footnoteRef/>
      </w:r>
      <w:r w:rsidRPr="00AB5C98">
        <w:t xml:space="preserve"> </w:t>
      </w:r>
      <w:r>
        <w:tab/>
        <w:t xml:space="preserve">This comprises </w:t>
      </w:r>
      <w:r w:rsidRPr="00AB5C98">
        <w:t>1</w:t>
      </w:r>
      <w:r>
        <w:t> </w:t>
      </w:r>
      <w:r w:rsidRPr="00AB5C98">
        <w:t xml:space="preserve">536 currently not subject to NIM because of an exemption, and 14 with exemptions but </w:t>
      </w:r>
      <w:r>
        <w:t xml:space="preserve">who are </w:t>
      </w:r>
      <w:r w:rsidRPr="00AB5C98">
        <w:t>currently on Voluntary Income Management.</w:t>
      </w:r>
    </w:p>
  </w:footnote>
  <w:footnote w:id="82">
    <w:p w:rsidR="00E660BD" w:rsidRPr="00AB5C98" w:rsidRDefault="00E660BD">
      <w:pPr>
        <w:pStyle w:val="FootnoteText"/>
      </w:pPr>
      <w:r w:rsidRPr="00AB5C98">
        <w:rPr>
          <w:rStyle w:val="FootnoteReference"/>
        </w:rPr>
        <w:footnoteRef/>
      </w:r>
      <w:r w:rsidRPr="00AB5C98">
        <w:t xml:space="preserve"> </w:t>
      </w:r>
      <w:r>
        <w:tab/>
      </w:r>
      <w:r w:rsidRPr="00AB5C98">
        <w:t>That is</w:t>
      </w:r>
      <w:r>
        <w:t>,</w:t>
      </w:r>
      <w:r w:rsidRPr="00AB5C98">
        <w:t xml:space="preserve"> they were recorded as being exempt in October 2010, February 2011, July 2011, or October 2011.</w:t>
      </w:r>
      <w:r>
        <w:t xml:space="preserve"> </w:t>
      </w:r>
      <w:r w:rsidRPr="00AB5C98">
        <w:t>Exemptions under the NTER IM have not been included.</w:t>
      </w:r>
    </w:p>
  </w:footnote>
  <w:footnote w:id="83">
    <w:p w:rsidR="00E660BD" w:rsidRPr="00AB5C98" w:rsidRDefault="00E660BD">
      <w:pPr>
        <w:pStyle w:val="FootnoteText"/>
      </w:pPr>
      <w:r w:rsidRPr="00AB5C98">
        <w:rPr>
          <w:rStyle w:val="FootnoteReference"/>
        </w:rPr>
        <w:footnoteRef/>
      </w:r>
      <w:r w:rsidRPr="00AB5C98">
        <w:t xml:space="preserve"> </w:t>
      </w:r>
      <w:r>
        <w:tab/>
      </w:r>
      <w:r w:rsidRPr="00AB5C98">
        <w:t>Although stable in a cross-sectional sense, there continues to be considerable differences within the population.</w:t>
      </w:r>
      <w:r>
        <w:t xml:space="preserve"> </w:t>
      </w:r>
      <w:r w:rsidRPr="00AB5C98">
        <w:t>For example, while there were 1</w:t>
      </w:r>
      <w:r>
        <w:t> </w:t>
      </w:r>
      <w:r w:rsidRPr="00AB5C98">
        <w:t>536 people with exemptions on income support</w:t>
      </w:r>
      <w:r>
        <w:t xml:space="preserve"> </w:t>
      </w:r>
      <w:r w:rsidRPr="00AB5C98">
        <w:t>(other than those on Voluntary Income Management) in October 2011 and 1</w:t>
      </w:r>
      <w:r>
        <w:t> </w:t>
      </w:r>
      <w:r w:rsidRPr="00AB5C98">
        <w:t>523 in July 2011 only 1</w:t>
      </w:r>
      <w:r>
        <w:t> </w:t>
      </w:r>
      <w:r w:rsidRPr="00AB5C98">
        <w:t xml:space="preserve">253 </w:t>
      </w:r>
      <w:r>
        <w:t>(</w:t>
      </w:r>
      <w:r w:rsidRPr="00AB5C98">
        <w:t>82.3 per cent</w:t>
      </w:r>
      <w:r>
        <w:t>)</w:t>
      </w:r>
      <w:r w:rsidRPr="00AB5C98">
        <w:t xml:space="preserve"> of those with an exemption in July 2011</w:t>
      </w:r>
      <w:r>
        <w:t>,</w:t>
      </w:r>
      <w:r w:rsidRPr="00AB5C98">
        <w:t xml:space="preserve"> were on income support with an exemption in October 2011. The main movement amongst this group were the 239 who were no longer on income support. Similarly while the number of people with a rejected application were the same in both periods </w:t>
      </w:r>
      <w:r>
        <w:t>(</w:t>
      </w:r>
      <w:r w:rsidRPr="00AB5C98">
        <w:t>1</w:t>
      </w:r>
      <w:r>
        <w:t> </w:t>
      </w:r>
      <w:r w:rsidRPr="00AB5C98">
        <w:t>152</w:t>
      </w:r>
      <w:r>
        <w:t>)</w:t>
      </w:r>
      <w:r w:rsidRPr="00AB5C98">
        <w:t xml:space="preserve"> only 992 of those with this status in July 2011 had this status in October 2011. The main movements were again off payment (101) while a further 51 appear to have reapplied for an exemption and were this time granted one.</w:t>
      </w:r>
    </w:p>
  </w:footnote>
  <w:footnote w:id="84">
    <w:p w:rsidR="00E660BD" w:rsidRPr="00AB5C98" w:rsidRDefault="00E660BD" w:rsidP="00847CCC">
      <w:pPr>
        <w:pStyle w:val="FootnoteText"/>
      </w:pPr>
      <w:r w:rsidRPr="00AB5C98">
        <w:rPr>
          <w:rStyle w:val="FootnoteReference"/>
        </w:rPr>
        <w:footnoteRef/>
      </w:r>
      <w:r w:rsidRPr="00AB5C98">
        <w:t xml:space="preserve"> </w:t>
      </w:r>
      <w:r>
        <w:tab/>
      </w:r>
      <w:r w:rsidRPr="00AB5C98">
        <w:t xml:space="preserve">Persons with an exemption under the NTER IM were subject to NIM if they fell within the scope of either the Disengaged Youth or Long-term Welfare </w:t>
      </w:r>
      <w:r>
        <w:t>Payment Recipients</w:t>
      </w:r>
      <w:r w:rsidRPr="00AB5C98">
        <w:t xml:space="preserve"> measures.</w:t>
      </w:r>
    </w:p>
  </w:footnote>
  <w:footnote w:id="85">
    <w:p w:rsidR="00E660BD" w:rsidRPr="00AB5C98" w:rsidRDefault="00E660BD">
      <w:pPr>
        <w:pStyle w:val="FootnoteText"/>
      </w:pPr>
      <w:r w:rsidRPr="00AB5C98">
        <w:rPr>
          <w:rStyle w:val="FootnoteReference"/>
        </w:rPr>
        <w:footnoteRef/>
      </w:r>
      <w:r w:rsidRPr="00AB5C98">
        <w:t xml:space="preserve"> </w:t>
      </w:r>
      <w:r>
        <w:tab/>
      </w:r>
      <w:r w:rsidRPr="00AB5C98">
        <w:t xml:space="preserve">The Department of Human Services have indicated </w:t>
      </w:r>
      <w:r>
        <w:t xml:space="preserve">in correspondence to the evaluation team </w:t>
      </w:r>
      <w:r w:rsidRPr="00AB5C98">
        <w:t>that ‘There was a policy clarification in March 2011 concerning the application of the financial assessment which might have had an effect on the number of cases that had been rejected due to failing the financial vulnerability test.</w:t>
      </w:r>
      <w:r>
        <w:t>’</w:t>
      </w:r>
      <w:r w:rsidRPr="00AB5C98">
        <w:t xml:space="preserve"> As seen in the table, the decline in the relative use of this code, although not absolute, appears to have commenced prior to this.</w:t>
      </w:r>
    </w:p>
  </w:footnote>
  <w:footnote w:id="86">
    <w:p w:rsidR="00E660BD" w:rsidRPr="00AB5C98" w:rsidRDefault="00E660BD" w:rsidP="00273B1F">
      <w:pPr>
        <w:pStyle w:val="FootnoteText"/>
        <w:rPr>
          <w:rStyle w:val="FootnoteReference"/>
          <w:vertAlign w:val="baseline"/>
        </w:rPr>
      </w:pPr>
      <w:r w:rsidRPr="00AB5C98">
        <w:rPr>
          <w:rStyle w:val="FootnoteReference"/>
        </w:rPr>
        <w:footnoteRef/>
      </w:r>
      <w:r w:rsidRPr="00AB5C98">
        <w:rPr>
          <w:rStyle w:val="FootnoteReference"/>
        </w:rPr>
        <w:t xml:space="preserve"> </w:t>
      </w:r>
      <w:r>
        <w:tab/>
      </w:r>
      <w:r w:rsidRPr="00AB5C98">
        <w:rPr>
          <w:rStyle w:val="FootnoteReference"/>
          <w:vertAlign w:val="baseline"/>
        </w:rPr>
        <w:t>T</w:t>
      </w:r>
      <w:r w:rsidRPr="008E5400">
        <w:t>hat is, a higher SEIFA score indicating less disadvantage is associated with a higher probability of application and success.</w:t>
      </w:r>
    </w:p>
  </w:footnote>
  <w:footnote w:id="87">
    <w:p w:rsidR="00E660BD" w:rsidRPr="00AB5C98" w:rsidRDefault="00E660BD">
      <w:pPr>
        <w:pStyle w:val="FootnoteText"/>
      </w:pPr>
      <w:r w:rsidRPr="00AB5C98">
        <w:rPr>
          <w:rStyle w:val="FootnoteReference"/>
        </w:rPr>
        <w:footnoteRef/>
      </w:r>
      <w:r w:rsidRPr="00AB5C98">
        <w:t xml:space="preserve"> </w:t>
      </w:r>
      <w:r>
        <w:tab/>
      </w:r>
      <w:r w:rsidRPr="00AB5C98">
        <w:t>As was noted earlier</w:t>
      </w:r>
      <w:r>
        <w:t>,</w:t>
      </w:r>
      <w:r w:rsidRPr="00AB5C98">
        <w:t xml:space="preserve"> people can appeal a range of decisions made by Centrelink regarding income management, not just decisions on exemptions</w:t>
      </w:r>
      <w:r>
        <w:t>. The information provided to the project team does not allow this report to differentiate the reasons for applications for review and appeals</w:t>
      </w:r>
      <w:r w:rsidRPr="00AB5C98">
        <w:t>.</w:t>
      </w:r>
    </w:p>
  </w:footnote>
  <w:footnote w:id="88">
    <w:p w:rsidR="00E660BD" w:rsidRPr="00AB5C98" w:rsidRDefault="00E660BD" w:rsidP="008E5400">
      <w:pPr>
        <w:pStyle w:val="FootnoteText"/>
        <w:rPr>
          <w:rStyle w:val="FootnoteReference"/>
          <w:vertAlign w:val="baseline"/>
        </w:rPr>
      </w:pPr>
      <w:r w:rsidRPr="00AB5C98">
        <w:rPr>
          <w:rStyle w:val="FootnoteReference"/>
        </w:rPr>
        <w:footnoteRef/>
      </w:r>
      <w:r w:rsidRPr="008E5400">
        <w:t xml:space="preserve"> </w:t>
      </w:r>
      <w:r>
        <w:tab/>
      </w:r>
      <w:r w:rsidRPr="008E5400">
        <w:t>A number of these interviews were undertaken earlier with DCF staff to assist with the development of the survey instrument.</w:t>
      </w:r>
    </w:p>
  </w:footnote>
  <w:footnote w:id="89">
    <w:p w:rsidR="00E660BD" w:rsidRPr="00546FEB" w:rsidRDefault="00E660BD" w:rsidP="00DA796D">
      <w:pPr>
        <w:pStyle w:val="FootnoteText"/>
      </w:pPr>
      <w:r w:rsidRPr="00AB5C98">
        <w:rPr>
          <w:rStyle w:val="FootnoteReference"/>
        </w:rPr>
        <w:footnoteRef/>
      </w:r>
      <w:r w:rsidRPr="00AB5C98">
        <w:rPr>
          <w:rStyle w:val="FootnoteReference"/>
          <w:vertAlign w:val="baseline"/>
        </w:rPr>
        <w:t xml:space="preserve"> </w:t>
      </w:r>
      <w:r w:rsidRPr="00546FEB">
        <w:t>Third Party Organisations (TPO) are primarily businesses that are approved to receive income managed funds.</w:t>
      </w:r>
    </w:p>
  </w:footnote>
  <w:footnote w:id="90">
    <w:p w:rsidR="00E660BD" w:rsidRPr="00AB5C98" w:rsidRDefault="00E660BD" w:rsidP="00DA796D">
      <w:pPr>
        <w:pStyle w:val="FootnoteText"/>
      </w:pPr>
      <w:r w:rsidRPr="00AB5C98">
        <w:rPr>
          <w:rStyle w:val="FootnoteReference"/>
        </w:rPr>
        <w:footnoteRef/>
      </w:r>
      <w:r w:rsidRPr="00AB5C98">
        <w:t xml:space="preserve"> </w:t>
      </w:r>
      <w:r>
        <w:tab/>
      </w:r>
      <w:r w:rsidRPr="00AB5C98">
        <w:t xml:space="preserve">While </w:t>
      </w:r>
      <w:r w:rsidRPr="00AB5C98">
        <w:rPr>
          <w:rFonts w:cstheme="minorHAnsi"/>
        </w:rPr>
        <w:t>the Commonwealth has funded an Intensive Family Support Service in the</w:t>
      </w:r>
      <w:r>
        <w:rPr>
          <w:rFonts w:cstheme="minorHAnsi"/>
        </w:rPr>
        <w:t xml:space="preserve"> Northern Territory </w:t>
      </w:r>
      <w:r w:rsidRPr="00AB5C98">
        <w:rPr>
          <w:rFonts w:cstheme="minorHAnsi"/>
        </w:rPr>
        <w:t>that commenced operation in 2011, this service is not available in all locations.</w:t>
      </w:r>
    </w:p>
  </w:footnote>
  <w:footnote w:id="91">
    <w:p w:rsidR="00E660BD" w:rsidRDefault="00E660BD">
      <w:pPr>
        <w:pStyle w:val="FootnoteText"/>
      </w:pPr>
      <w:r>
        <w:rPr>
          <w:rStyle w:val="FootnoteReference"/>
        </w:rPr>
        <w:footnoteRef/>
      </w:r>
      <w:r>
        <w:t xml:space="preserve"> </w:t>
      </w:r>
      <w:r>
        <w:tab/>
        <w:t>In October 2011 32.7 per cent of those on the vulnerable measure (for whom date of birth information was available) were aged 65 years and over, 18.8 per cent were aged 75 years or over.</w:t>
      </w:r>
    </w:p>
  </w:footnote>
  <w:footnote w:id="92">
    <w:p w:rsidR="00E660BD" w:rsidRDefault="00E660BD">
      <w:pPr>
        <w:pStyle w:val="FootnoteText"/>
      </w:pPr>
      <w:r>
        <w:rPr>
          <w:rStyle w:val="FootnoteReference"/>
        </w:rPr>
        <w:footnoteRef/>
      </w:r>
      <w:r>
        <w:tab/>
        <w:t xml:space="preserve"> FaHCSIA advise that technically no actual form needs to be completed to apply for an exemption. Nevertheless a number of aspects of the exemption process can require a person to understand bureaucratic letters and other material, and to collect various documentation. These reports are therefore likely to be representative of the whole process which many people need to engage with in seeking an exemption.</w:t>
      </w:r>
    </w:p>
    <w:p w:rsidR="00E660BD" w:rsidRDefault="00E660BD" w:rsidP="00546FEB">
      <w:pPr>
        <w:pStyle w:val="FootnoteText"/>
        <w:jc w:val="left"/>
      </w:pPr>
      <w:r>
        <w:tab/>
        <w:t xml:space="preserve">Some further insight into the type of documentation required can be seen in the summary documentation FaHCSIA provides on information needs for health and education providers. (Available at </w:t>
      </w:r>
      <w:hyperlink r:id="rId2" w:history="1">
        <w:r w:rsidRPr="006D4C77">
          <w:rPr>
            <w:rStyle w:val="Hyperlink"/>
          </w:rPr>
          <w:t>http://www.families.fahcsia.gov.au/our-responsibilities/families-and-children/publications-articles/income-management-fact-sheets/income-management-in-the-northern-territory-exemption-information-for-health-and-education-providers?HTML</w:t>
        </w:r>
      </w:hyperlink>
      <w:r>
        <w:t>)</w:t>
      </w:r>
    </w:p>
  </w:footnote>
  <w:footnote w:id="93">
    <w:p w:rsidR="00E660BD" w:rsidRPr="00546FEB" w:rsidRDefault="00E660BD" w:rsidP="00DA796D">
      <w:pPr>
        <w:pStyle w:val="FootnoteText"/>
      </w:pPr>
      <w:r w:rsidRPr="00AB5C98">
        <w:rPr>
          <w:rStyle w:val="FootnoteReference"/>
        </w:rPr>
        <w:footnoteRef/>
      </w:r>
      <w:r w:rsidRPr="00AB5C98">
        <w:t xml:space="preserve"> </w:t>
      </w:r>
      <w:r>
        <w:tab/>
      </w:r>
      <w:r w:rsidRPr="00546FEB">
        <w:t xml:space="preserve">A Schedule 4 contract with Centrelink allows the provider to accept people’s income managed funds for services received such as payment for participation in a School Nutrition program or to pay for utilities. A Schedule 5 contract allows the merchant to accept people’s income managed finds directly to their store. The store then debits the amount from the person’ balance and reports this information to Centrelink. </w:t>
      </w:r>
    </w:p>
  </w:footnote>
  <w:footnote w:id="94">
    <w:p w:rsidR="00E660BD" w:rsidRPr="00AB5C98" w:rsidRDefault="00E660BD" w:rsidP="00DA796D">
      <w:pPr>
        <w:pStyle w:val="FootnoteText"/>
      </w:pPr>
      <w:r w:rsidRPr="00BE5ECB">
        <w:rPr>
          <w:rStyle w:val="FootnoteReference"/>
        </w:rPr>
        <w:footnoteRef/>
      </w:r>
      <w:r w:rsidRPr="00AB5C98">
        <w:t xml:space="preserve"> </w:t>
      </w:r>
      <w:r>
        <w:tab/>
      </w:r>
      <w:r w:rsidRPr="00AB5C98">
        <w:t>Only BasicsCard responses are included here as the numbers of responses were too small for other Schedule 4 and Schedule 5 payments.</w:t>
      </w:r>
    </w:p>
  </w:footnote>
  <w:footnote w:id="95">
    <w:p w:rsidR="00E660BD" w:rsidRPr="00AB5C98" w:rsidRDefault="00E660BD" w:rsidP="00897C1E">
      <w:pPr>
        <w:pStyle w:val="FootnoteText"/>
      </w:pPr>
      <w:r w:rsidRPr="00AB5C98">
        <w:rPr>
          <w:rStyle w:val="FootnoteReference"/>
        </w:rPr>
        <w:footnoteRef/>
      </w:r>
      <w:r w:rsidRPr="00AB5C98">
        <w:t xml:space="preserve"> </w:t>
      </w:r>
      <w:r>
        <w:tab/>
      </w:r>
      <w:r w:rsidRPr="00AB5C98">
        <w:t>Not all of these records were available at the time this analysis was undertaken. The analysis here is based upon 812 records for persons in the Northern Territory and 305 in the reference site</w:t>
      </w:r>
      <w:r>
        <w:t>.</w:t>
      </w:r>
    </w:p>
  </w:footnote>
  <w:footnote w:id="96">
    <w:p w:rsidR="00E660BD" w:rsidRPr="00AB5C98" w:rsidRDefault="00E660BD" w:rsidP="00897C1E">
      <w:pPr>
        <w:pStyle w:val="FootnoteText"/>
      </w:pPr>
      <w:r w:rsidRPr="00AB5C98">
        <w:rPr>
          <w:rStyle w:val="FootnoteReference"/>
        </w:rPr>
        <w:footnoteRef/>
      </w:r>
      <w:r w:rsidRPr="00AB5C98">
        <w:rPr>
          <w:vertAlign w:val="superscript"/>
        </w:rPr>
        <w:t xml:space="preserve"> </w:t>
      </w:r>
      <w:r w:rsidRPr="00AB5C98">
        <w:rPr>
          <w:vertAlign w:val="superscript"/>
        </w:rPr>
        <w:tab/>
      </w:r>
      <w:r w:rsidRPr="00AB5C98">
        <w:t xml:space="preserve">A copy of the LSNIM Survey questionnaire is provided at Appendix </w:t>
      </w:r>
      <w:r>
        <w:t>C.</w:t>
      </w:r>
    </w:p>
  </w:footnote>
  <w:footnote w:id="97">
    <w:p w:rsidR="00E660BD" w:rsidRPr="00AB5C98" w:rsidRDefault="00E660BD" w:rsidP="00897C1E">
      <w:pPr>
        <w:pStyle w:val="FootnoteText"/>
      </w:pPr>
      <w:r w:rsidRPr="00AB5C98">
        <w:rPr>
          <w:rStyle w:val="FootnoteReference"/>
        </w:rPr>
        <w:footnoteRef/>
      </w:r>
      <w:r w:rsidRPr="00AB5C98">
        <w:t xml:space="preserve"> </w:t>
      </w:r>
      <w:r w:rsidRPr="00AB5C98">
        <w:tab/>
        <w:t>Another possibility which was considered in this analysis was the extent to which some of the variation in responses could be attributable to measurement error, with this potentially leading to an overinflating of the apparent dynamics seen in the results. If this were the case then greater reliance could be placed on the mean effects.</w:t>
      </w:r>
      <w:r>
        <w:t xml:space="preserve"> </w:t>
      </w:r>
      <w:r w:rsidRPr="00AB5C98">
        <w:t>However, the differences in dynamics between questions, and the extent to which qualitative responses tend to confirm the purely quantitative ones, would argue against this being the case.</w:t>
      </w:r>
    </w:p>
  </w:footnote>
  <w:footnote w:id="98">
    <w:p w:rsidR="00E660BD" w:rsidRPr="006B0532" w:rsidRDefault="00E660BD" w:rsidP="00897C1E">
      <w:pPr>
        <w:pStyle w:val="FootnoteText"/>
      </w:pPr>
      <w:r w:rsidRPr="00AB5C98">
        <w:rPr>
          <w:rStyle w:val="FootnoteReference"/>
        </w:rPr>
        <w:footnoteRef/>
      </w:r>
      <w:r w:rsidRPr="00AB5C98">
        <w:rPr>
          <w:rStyle w:val="FootnoteReference"/>
        </w:rPr>
        <w:t xml:space="preserve"> </w:t>
      </w:r>
      <w:r>
        <w:tab/>
        <w:t>This approach is adopted for two reasons. The first is that there were</w:t>
      </w:r>
      <w:r w:rsidRPr="00AB5C98">
        <w:t xml:space="preserve"> very few survey participants </w:t>
      </w:r>
      <w:r>
        <w:t xml:space="preserve">who were identified by Centrelink as being </w:t>
      </w:r>
      <w:r w:rsidRPr="00AB5C98">
        <w:t xml:space="preserve">on Child Protection or Vulnerable IM </w:t>
      </w:r>
      <w:r>
        <w:t xml:space="preserve">at the time the sample was selected. Secondly it is not known whether a person who may have previously been identified by Centrelink as being on one stream of IM was still on that stream at the time of interview. For this reason </w:t>
      </w:r>
      <w:r w:rsidRPr="00AB5C98">
        <w:t>participants are group</w:t>
      </w:r>
      <w:r>
        <w:t>ed as either being ‘Compulsory’ or ‘Voluntary’ on the basis of their original classification.</w:t>
      </w:r>
    </w:p>
  </w:footnote>
  <w:footnote w:id="99">
    <w:p w:rsidR="00E660BD" w:rsidRPr="008E33F2" w:rsidRDefault="00E660BD" w:rsidP="00897C1E">
      <w:pPr>
        <w:pStyle w:val="FootnoteText"/>
      </w:pPr>
      <w:r w:rsidRPr="00AB5C98">
        <w:rPr>
          <w:rStyle w:val="FootnoteReference"/>
        </w:rPr>
        <w:footnoteRef/>
      </w:r>
      <w:r w:rsidRPr="00AB5C98">
        <w:t xml:space="preserve"> </w:t>
      </w:r>
      <w:r>
        <w:tab/>
      </w:r>
      <w:r w:rsidRPr="008E33F2">
        <w:t>Given that data was collected from only a relatively small number of communities which were not selected by random sampling</w:t>
      </w:r>
      <w:r>
        <w:t>,</w:t>
      </w:r>
      <w:r w:rsidRPr="008E33F2">
        <w:t xml:space="preserve"> it is not possible to use weights in order to attempt to make it representative of the income managed population in the</w:t>
      </w:r>
      <w:r>
        <w:t xml:space="preserve"> Northern Territory </w:t>
      </w:r>
      <w:r w:rsidRPr="008E33F2">
        <w:t>as a whole.</w:t>
      </w:r>
    </w:p>
  </w:footnote>
  <w:footnote w:id="100">
    <w:p w:rsidR="00E660BD" w:rsidRPr="002955BA" w:rsidRDefault="00E660BD" w:rsidP="00897C1E">
      <w:pPr>
        <w:pStyle w:val="FootnoteText"/>
      </w:pPr>
      <w:r w:rsidRPr="00AB5C98">
        <w:rPr>
          <w:rStyle w:val="FootnoteReference"/>
        </w:rPr>
        <w:footnoteRef/>
      </w:r>
      <w:r w:rsidRPr="00AB5C98">
        <w:rPr>
          <w:vertAlign w:val="superscript"/>
        </w:rPr>
        <w:t xml:space="preserve"> </w:t>
      </w:r>
      <w:r>
        <w:rPr>
          <w:vertAlign w:val="superscript"/>
        </w:rPr>
        <w:tab/>
      </w:r>
      <w:r w:rsidRPr="002955BA">
        <w:t>This was necessary, given that, as reported in Chapter 4, only 9 per cent of people subject to IM are non-Indigenous.</w:t>
      </w:r>
    </w:p>
  </w:footnote>
  <w:footnote w:id="101">
    <w:p w:rsidR="00E660BD" w:rsidRPr="00AB5C98" w:rsidRDefault="00E660BD" w:rsidP="003A7987">
      <w:pPr>
        <w:pStyle w:val="FootnoteText"/>
      </w:pPr>
      <w:r w:rsidRPr="00AB5C98">
        <w:rPr>
          <w:rStyle w:val="FootnoteReference"/>
        </w:rPr>
        <w:footnoteRef/>
      </w:r>
      <w:r w:rsidRPr="00AB5C98">
        <w:rPr>
          <w:vertAlign w:val="superscript"/>
        </w:rPr>
        <w:t xml:space="preserve"> </w:t>
      </w:r>
      <w:r>
        <w:rPr>
          <w:vertAlign w:val="superscript"/>
        </w:rPr>
        <w:tab/>
      </w:r>
      <w:r w:rsidRPr="003A7987">
        <w:t>There</w:t>
      </w:r>
      <w:r w:rsidRPr="00AB5C98">
        <w:t xml:space="preserve"> was a high level of agreement between the self-reported Indigenous status of individuals in the survey and the Indigenous status identified by Centrelink. Amongst the sample of ‘Indigenous locations’, 99.2 per cent of those identifying as Indigenous in the survey were recorded as being Indigenous by Centrelink, as were 5.2 per cent of the small group identifying as non-Indigenous. In the other locations the proportions were 88.5 per cent and 0.4 per cent respectively.</w:t>
      </w:r>
    </w:p>
  </w:footnote>
  <w:footnote w:id="102">
    <w:p w:rsidR="00E660BD" w:rsidRPr="00AB5C98" w:rsidRDefault="00E660BD" w:rsidP="00897C1E">
      <w:pPr>
        <w:pStyle w:val="FootnoteText"/>
      </w:pPr>
      <w:r w:rsidRPr="00AB5C98">
        <w:rPr>
          <w:rStyle w:val="FootnoteReference"/>
        </w:rPr>
        <w:footnoteRef/>
      </w:r>
      <w:r w:rsidRPr="00AB5C98">
        <w:t xml:space="preserve"> </w:t>
      </w:r>
      <w:r>
        <w:tab/>
      </w:r>
      <w:r w:rsidRPr="00AB5C98">
        <w:t xml:space="preserve">The </w:t>
      </w:r>
      <w:r>
        <w:t>LSNIM</w:t>
      </w:r>
      <w:r w:rsidRPr="00AB5C98">
        <w:t xml:space="preserve"> simply asked people whether they are ‘looking for work’ – it did not use the normal set of questions to determine formal labour market status and hence, while this measure can be seen as an approximation of a status of unemployed, this term has not been used.</w:t>
      </w:r>
    </w:p>
  </w:footnote>
  <w:footnote w:id="103">
    <w:p w:rsidR="00E660BD" w:rsidRPr="00AB5C98" w:rsidRDefault="00E660BD" w:rsidP="00897C1E">
      <w:pPr>
        <w:pStyle w:val="FootnoteText"/>
      </w:pPr>
      <w:r w:rsidRPr="00AB5C98">
        <w:rPr>
          <w:rStyle w:val="FootnoteReference"/>
        </w:rPr>
        <w:footnoteRef/>
      </w:r>
      <w:r w:rsidRPr="00AB5C98">
        <w:rPr>
          <w:vertAlign w:val="superscript"/>
        </w:rPr>
        <w:t xml:space="preserve"> </w:t>
      </w:r>
      <w:r>
        <w:rPr>
          <w:vertAlign w:val="superscript"/>
        </w:rPr>
        <w:tab/>
      </w:r>
      <w:r w:rsidRPr="00AB5C98">
        <w:t xml:space="preserve">To overcome this uncertainty the following approach was used to classify people. If they said either that they were on income management or had a BasicsCard, they were classified as income managed, unless they specifically reported that they were ‘not income managed anymore’. For those identified in this way as being income managed, the type of measure was based on the Centrelink classification. While it is possible that some people may have moved between streams between the time the sample was drawn from Centrelink administrative data and interviewing was undertaken, it is unlikely that there would have been significant movements between income management </w:t>
      </w:r>
      <w:r>
        <w:t>streams</w:t>
      </w:r>
      <w:r w:rsidRPr="00AB5C98">
        <w:t xml:space="preserve"> within this period.</w:t>
      </w:r>
    </w:p>
  </w:footnote>
  <w:footnote w:id="104">
    <w:p w:rsidR="00E660BD" w:rsidRPr="00AB5C98" w:rsidRDefault="00E660BD" w:rsidP="00897C1E">
      <w:pPr>
        <w:pStyle w:val="FootnoteText"/>
      </w:pPr>
      <w:r w:rsidRPr="00AB5C98">
        <w:rPr>
          <w:rStyle w:val="FootnoteReference"/>
        </w:rPr>
        <w:footnoteRef/>
      </w:r>
      <w:r w:rsidRPr="00AB5C98">
        <w:t xml:space="preserve"> </w:t>
      </w:r>
      <w:r w:rsidRPr="00546FEB">
        <w:t>Chapter 3 provides a discussion of the challenges in attributing causal impacts to NIM which largely result from a lack of true baseline information about the circumstances of the NIM populations prior to being subject to income management</w:t>
      </w:r>
      <w:r w:rsidRPr="00AB5C98">
        <w:t>.</w:t>
      </w:r>
    </w:p>
  </w:footnote>
  <w:footnote w:id="105">
    <w:p w:rsidR="00E660BD" w:rsidRPr="00AB5C98" w:rsidRDefault="00E660BD" w:rsidP="00E15AAB">
      <w:pPr>
        <w:pStyle w:val="FootnoteText"/>
      </w:pPr>
      <w:r w:rsidRPr="00AB5C98">
        <w:rPr>
          <w:rStyle w:val="FootnoteReference"/>
        </w:rPr>
        <w:footnoteRef/>
      </w:r>
      <w:r w:rsidRPr="00AB5C98">
        <w:rPr>
          <w:vertAlign w:val="superscript"/>
        </w:rPr>
        <w:t xml:space="preserve"> </w:t>
      </w:r>
      <w:r w:rsidRPr="00AB5C98">
        <w:t xml:space="preserve">This has been derived from the proportion of people in the location who had been assessed for the NTER IM. Due to the spatial clustering of the data collection this approach allowed for a relatively clean demarcation of locations. </w:t>
      </w:r>
    </w:p>
  </w:footnote>
  <w:footnote w:id="106">
    <w:p w:rsidR="00E660BD" w:rsidRPr="0016195A" w:rsidRDefault="00E660BD" w:rsidP="00897C1E">
      <w:pPr>
        <w:pStyle w:val="FootnoteText"/>
      </w:pPr>
      <w:r w:rsidRPr="00AB5C98">
        <w:rPr>
          <w:rStyle w:val="FootnoteReference"/>
        </w:rPr>
        <w:footnoteRef/>
      </w:r>
      <w:r w:rsidRPr="00AB5C98">
        <w:t xml:space="preserve"> </w:t>
      </w:r>
      <w:r>
        <w:tab/>
      </w:r>
      <w:r w:rsidRPr="00AB5C98">
        <w:t xml:space="preserve">In </w:t>
      </w:r>
      <w:r w:rsidRPr="0016195A">
        <w:t>this type of survey question it is to be expected that there will be a degree of ‘noise’ in responses due to telescoping (when people report experiences out of the designated time period as occurring within the period) and recall error (when people fail to remember that an event has occurred). The difference in question structure is more likely to be simply one additional factor rather than representing a significant contribution to the ‘noise’.</w:t>
      </w:r>
    </w:p>
  </w:footnote>
  <w:footnote w:id="107">
    <w:p w:rsidR="00E660BD" w:rsidRPr="00AB5C98" w:rsidRDefault="00E660BD" w:rsidP="00897C1E">
      <w:pPr>
        <w:pStyle w:val="FootnoteText"/>
      </w:pPr>
      <w:r w:rsidRPr="00AB5C98">
        <w:rPr>
          <w:rStyle w:val="FootnoteReference"/>
        </w:rPr>
        <w:footnoteRef/>
      </w:r>
      <w:r w:rsidRPr="00AB5C98">
        <w:t xml:space="preserve"> </w:t>
      </w:r>
      <w:r>
        <w:tab/>
      </w:r>
      <w:r w:rsidRPr="00AB5C98">
        <w:t>This set of questions also included a question about whether the participant had saved money. This question has not been included in this analysis because of concerns with the quality of the data. In initial analysis this question showed some inconsistent results which it is considered may be a consequence of the questionnaire design. All of the other questions in this part of the survey were asked in terms of whether the participant had a particular problem; that is the existence of a negative outcome</w:t>
      </w:r>
      <w:r>
        <w:t xml:space="preserve"> – such an </w:t>
      </w:r>
      <w:r w:rsidRPr="00E24340">
        <w:rPr>
          <w:u w:val="single"/>
        </w:rPr>
        <w:t xml:space="preserve">inability </w:t>
      </w:r>
      <w:r>
        <w:t>to do things</w:t>
      </w:r>
      <w:r w:rsidRPr="00AB5C98">
        <w:t xml:space="preserve">. In contrast, this question was phrased in terms of a positive outcome – that of being </w:t>
      </w:r>
      <w:r w:rsidRPr="00E24340">
        <w:rPr>
          <w:u w:val="single"/>
        </w:rPr>
        <w:t>able</w:t>
      </w:r>
      <w:r w:rsidRPr="00AB5C98">
        <w:t xml:space="preserve"> to save. This reversal of direction in the question appears to have created some confusion among participants and there is evidence of ‘pattern responding’ to the set of questions. This is where a person when asked a series of questions which elicit, for example, a negative answer, will continue to answer questions as if they are phrased in the negative, regardless of the actual question. </w:t>
      </w:r>
    </w:p>
  </w:footnote>
  <w:footnote w:id="108">
    <w:p w:rsidR="00E660BD" w:rsidRPr="0016195A" w:rsidRDefault="00E660BD" w:rsidP="00897C1E">
      <w:pPr>
        <w:pStyle w:val="FootnoteText"/>
      </w:pPr>
      <w:r w:rsidRPr="00AB5C98">
        <w:rPr>
          <w:rStyle w:val="FootnoteReference"/>
        </w:rPr>
        <w:footnoteRef/>
      </w:r>
      <w:r w:rsidRPr="00AB5C98">
        <w:t xml:space="preserve"> </w:t>
      </w:r>
      <w:r>
        <w:tab/>
      </w:r>
      <w:r w:rsidRPr="0016195A">
        <w:t>This calculation excludes participants who had missing data for the particular financial problem at either point in time.</w:t>
      </w:r>
    </w:p>
  </w:footnote>
  <w:footnote w:id="109">
    <w:p w:rsidR="00E660BD" w:rsidRPr="00AB5C98" w:rsidRDefault="00E660BD" w:rsidP="00CB5D8B">
      <w:pPr>
        <w:pStyle w:val="FootnoteText"/>
      </w:pPr>
      <w:r w:rsidRPr="00AB5C98">
        <w:rPr>
          <w:rStyle w:val="FootnoteReference"/>
        </w:rPr>
        <w:footnoteRef/>
      </w:r>
      <w:r w:rsidRPr="00AB5C98">
        <w:t xml:space="preserve"> </w:t>
      </w:r>
      <w:r>
        <w:tab/>
      </w:r>
      <w:r w:rsidRPr="00AB5C98">
        <w:t>In the table the improvement is reported as the change relative to the population as a whole, rather than a proportionate change in the group experiencing problems. This way of presenting the data has been chosen</w:t>
      </w:r>
      <w:r>
        <w:t>,</w:t>
      </w:r>
      <w:r w:rsidRPr="00AB5C98">
        <w:t xml:space="preserve"> given that the focus of the evaluation is on the size of any effects of income management across the whole population of those subject to income management. </w:t>
      </w:r>
    </w:p>
  </w:footnote>
  <w:footnote w:id="110">
    <w:p w:rsidR="00E660BD" w:rsidRPr="00AB5C98" w:rsidRDefault="00E660BD" w:rsidP="00897C1E">
      <w:pPr>
        <w:pStyle w:val="FootnoteText"/>
      </w:pPr>
      <w:r w:rsidRPr="00AB5C98">
        <w:rPr>
          <w:rStyle w:val="FootnoteReference"/>
        </w:rPr>
        <w:footnoteRef/>
      </w:r>
      <w:r>
        <w:tab/>
      </w:r>
      <w:r w:rsidRPr="00AB5C98">
        <w:t xml:space="preserve"> In the regression this is achieved through dummy coding of each of the combinations of IM and location with the contrast site being the omitted category.</w:t>
      </w:r>
    </w:p>
  </w:footnote>
  <w:footnote w:id="111">
    <w:p w:rsidR="00E660BD" w:rsidRPr="00AB5C98" w:rsidRDefault="00E660BD" w:rsidP="00897C1E">
      <w:pPr>
        <w:pStyle w:val="FootnoteText"/>
      </w:pPr>
      <w:r w:rsidRPr="00AB5C98">
        <w:rPr>
          <w:rStyle w:val="FootnoteReference"/>
        </w:rPr>
        <w:footnoteRef/>
      </w:r>
      <w:r w:rsidRPr="00AB5C98">
        <w:t xml:space="preserve"> </w:t>
      </w:r>
      <w:r>
        <w:tab/>
      </w:r>
      <w:r w:rsidRPr="00AB5C98">
        <w:t>That is</w:t>
      </w:r>
      <w:r>
        <w:t>,</w:t>
      </w:r>
      <w:r w:rsidRPr="00AB5C98">
        <w:t xml:space="preserve"> the coefficients on the explanatory variables represents the impact of a one unit change in the value of the independent variable in terms of a standard deviation change in the dependent variable (the incidence of a financial problem).</w:t>
      </w:r>
      <w:r>
        <w:t xml:space="preserve"> </w:t>
      </w:r>
      <w:r w:rsidRPr="00AB5C98">
        <w:t>Since the subgroups are dummy coded with values of 0 and 1, this represents the change in outcomes associated with being in one state or another.</w:t>
      </w:r>
    </w:p>
  </w:footnote>
  <w:footnote w:id="112">
    <w:p w:rsidR="00E660BD" w:rsidRPr="0016195A" w:rsidRDefault="00E660BD" w:rsidP="00897C1E">
      <w:pPr>
        <w:pStyle w:val="FootnoteText"/>
      </w:pPr>
      <w:r w:rsidRPr="00AB5C98">
        <w:rPr>
          <w:rStyle w:val="FootnoteReference"/>
        </w:rPr>
        <w:footnoteRef/>
      </w:r>
      <w:r>
        <w:tab/>
      </w:r>
      <w:r w:rsidRPr="00AB5C98">
        <w:t xml:space="preserve"> In this case the variable has been coded from -1 (problem got worse), 0 (no change), and +1 (problem improved).</w:t>
      </w:r>
      <w:r>
        <w:t xml:space="preserve"> </w:t>
      </w:r>
      <w:r w:rsidRPr="00AB5C98">
        <w:t>The mean score is 0.099 and the standard deviation 0.478.</w:t>
      </w:r>
    </w:p>
  </w:footnote>
  <w:footnote w:id="113">
    <w:p w:rsidR="00E660BD" w:rsidRPr="00AB5C98" w:rsidRDefault="00E660BD" w:rsidP="00897C1E">
      <w:pPr>
        <w:pStyle w:val="FootnoteText"/>
      </w:pPr>
      <w:r w:rsidRPr="00AB5C98">
        <w:rPr>
          <w:rStyle w:val="FootnoteReference"/>
        </w:rPr>
        <w:footnoteRef/>
      </w:r>
      <w:r w:rsidRPr="00AB5C98">
        <w:t xml:space="preserve"> </w:t>
      </w:r>
      <w:r>
        <w:tab/>
      </w:r>
      <w:r w:rsidRPr="00AB5C98">
        <w:t xml:space="preserve">The independent variables used in the regression were age, age squared, gender, highest level of education, nine different family types, employment, and number of children. Eight different permutations of type of income management, location and previous income management experience were included, as well as the </w:t>
      </w:r>
      <w:r w:rsidRPr="0016195A">
        <w:t>contrast site.</w:t>
      </w:r>
      <w:r w:rsidRPr="00AB5C98">
        <w:t xml:space="preserve"> </w:t>
      </w:r>
    </w:p>
  </w:footnote>
  <w:footnote w:id="114">
    <w:p w:rsidR="00E660BD" w:rsidRPr="0016195A" w:rsidRDefault="00E660BD" w:rsidP="00897C1E">
      <w:pPr>
        <w:pStyle w:val="FootnoteText"/>
      </w:pPr>
      <w:r w:rsidRPr="00AB5C98">
        <w:rPr>
          <w:rStyle w:val="FootnoteReference"/>
        </w:rPr>
        <w:footnoteRef/>
      </w:r>
      <w:r w:rsidRPr="00AB5C98">
        <w:t xml:space="preserve"> </w:t>
      </w:r>
      <w:r>
        <w:tab/>
      </w:r>
      <w:r w:rsidRPr="00AB5C98">
        <w:t>The r</w:t>
      </w:r>
      <w:r w:rsidRPr="00AB5C98">
        <w:rPr>
          <w:vertAlign w:val="superscript"/>
        </w:rPr>
        <w:t>2</w:t>
      </w:r>
      <w:r w:rsidRPr="00AB5C98">
        <w:t xml:space="preserve"> values range from 0.02 for asking people for money because they could not buy essentials to 0.07 for running out of money for medicine.</w:t>
      </w:r>
      <w:r>
        <w:t xml:space="preserve"> </w:t>
      </w:r>
    </w:p>
  </w:footnote>
  <w:footnote w:id="115">
    <w:p w:rsidR="00E660BD" w:rsidRPr="00AB5C98" w:rsidRDefault="00E660BD" w:rsidP="00897C1E">
      <w:pPr>
        <w:pStyle w:val="FootnoteText"/>
      </w:pPr>
      <w:r w:rsidRPr="00AB5C98">
        <w:rPr>
          <w:rStyle w:val="FootnoteReference"/>
        </w:rPr>
        <w:footnoteRef/>
      </w:r>
      <w:r w:rsidRPr="00AB5C98">
        <w:t xml:space="preserve"> </w:t>
      </w:r>
      <w:r>
        <w:tab/>
      </w:r>
      <w:r w:rsidRPr="00AB5C98">
        <w:t xml:space="preserve">While there were also statistically significant findings of reduction for those on </w:t>
      </w:r>
      <w:r>
        <w:t>Voluntary Income Management</w:t>
      </w:r>
      <w:r w:rsidRPr="00AB5C98">
        <w:t xml:space="preserve"> who were not previously on NTER IM, the very small groups involved (a total of six records) make it difficult to place too much weight on this. In addition, for those on compulsory measures who were not living in NTER areas and had not been on NTER IM, the result of 0.22 was similar to those in the NTER areas of 0.28 but was only weakly significant at p = 0.08. The effect for those on compulsory measures in non-NTER areas, but who had previously been on NTER IM, is small and insignificant. Taken as a whole these results show little consistency, and do not support arguments of there being any consistent </w:t>
      </w:r>
      <w:r>
        <w:t>long-term</w:t>
      </w:r>
      <w:r w:rsidRPr="00AB5C98">
        <w:t xml:space="preserve"> impact of IM if this is proxied by whether or not a person had previously been on NTER IM. </w:t>
      </w:r>
    </w:p>
  </w:footnote>
  <w:footnote w:id="116">
    <w:p w:rsidR="00E660BD" w:rsidRPr="00AB5C98" w:rsidRDefault="00E660BD" w:rsidP="00CB5D8B">
      <w:pPr>
        <w:pStyle w:val="FootnoteText"/>
      </w:pPr>
      <w:r w:rsidRPr="00AB5C98">
        <w:rPr>
          <w:rStyle w:val="FootnoteReference"/>
        </w:rPr>
        <w:footnoteRef/>
      </w:r>
      <w:r>
        <w:tab/>
      </w:r>
      <w:r w:rsidRPr="00AB5C98">
        <w:t>It is recognised that because the focus to these questions is a little different, the average responses to the questions may differ. However, this is not the issue being considered here</w:t>
      </w:r>
      <w:r>
        <w:t>. R</w:t>
      </w:r>
      <w:r w:rsidRPr="00AB5C98">
        <w:t>ather the focus is on whether or not there are systematic differences in the pattern of responses for particular subgroups.</w:t>
      </w:r>
    </w:p>
  </w:footnote>
  <w:footnote w:id="117">
    <w:p w:rsidR="00E660BD" w:rsidRPr="00AB5C98" w:rsidRDefault="00E660BD" w:rsidP="00EB0967">
      <w:pPr>
        <w:pStyle w:val="FootnoteText"/>
      </w:pPr>
      <w:r w:rsidRPr="00AB5C98">
        <w:rPr>
          <w:rStyle w:val="FootnoteReference"/>
        </w:rPr>
        <w:footnoteRef/>
      </w:r>
      <w:r w:rsidRPr="00AB5C98">
        <w:t xml:space="preserve"> </w:t>
      </w:r>
      <w:r>
        <w:tab/>
      </w:r>
      <w:r w:rsidRPr="00AB5C98">
        <w:t>The marked difference for the non-Indigenous</w:t>
      </w:r>
      <w:r>
        <w:t xml:space="preserve"> Northern Territory </w:t>
      </w:r>
      <w:r w:rsidRPr="00AB5C98">
        <w:t>and contrast site responses is likely to be a result of the substantive differences in the two populations. As has been described, the subset of non-Indigenous income support recipients subject to income management is considerably different to the population of non-Indigenous income support recipients as a whole. It is this latter concept that the contrast group represents.</w:t>
      </w:r>
    </w:p>
  </w:footnote>
  <w:footnote w:id="118">
    <w:p w:rsidR="00E660BD" w:rsidRPr="00AB5C98" w:rsidRDefault="00E660BD" w:rsidP="00E15AAB">
      <w:pPr>
        <w:pStyle w:val="FootnoteText"/>
      </w:pPr>
      <w:r w:rsidRPr="00AB5C98">
        <w:rPr>
          <w:rStyle w:val="FootnoteReference"/>
        </w:rPr>
        <w:footnoteRef/>
      </w:r>
      <w:r w:rsidRPr="00AB5C98">
        <w:t xml:space="preserve"> </w:t>
      </w:r>
      <w:r w:rsidRPr="00AB5C98">
        <w:tab/>
        <w:t>Essentially the analysis of this is akin to Lorenz dominance in inequality analysis. Where lines cr</w:t>
      </w:r>
      <w:r>
        <w:t>oss, such as with the other sub</w:t>
      </w:r>
      <w:r w:rsidRPr="00AB5C98">
        <w:t>groups, it is not possible to make an unequivocal statement about which represents a ‘better’ or ‘worse’ distribution.</w:t>
      </w:r>
    </w:p>
  </w:footnote>
  <w:footnote w:id="119">
    <w:p w:rsidR="00E660BD" w:rsidRDefault="00E660BD" w:rsidP="00E15AAB">
      <w:pPr>
        <w:pStyle w:val="FootnoteText"/>
      </w:pPr>
      <w:r>
        <w:rPr>
          <w:rStyle w:val="FootnoteReference"/>
        </w:rPr>
        <w:footnoteRef/>
      </w:r>
      <w:r>
        <w:t xml:space="preserve"> </w:t>
      </w:r>
      <w:r>
        <w:tab/>
      </w:r>
      <w:r w:rsidRPr="00CF518E">
        <w:t>In technical terms the</w:t>
      </w:r>
      <w:r>
        <w:t xml:space="preserve"> </w:t>
      </w:r>
      <w:r w:rsidRPr="00CF518E">
        <w:t>values plotted are the beta co-efficient for dummy variables for these combinations of characteristics relative to the omitted case of the Indigenous survey participants in the contrast sites, for regressions with the different questions about financial control as the dependent variables, expressed in terms of the change on a standard deviation in the dependent variable.</w:t>
      </w:r>
    </w:p>
  </w:footnote>
  <w:footnote w:id="120">
    <w:p w:rsidR="00E660BD" w:rsidRPr="00AB5C98" w:rsidRDefault="00E660BD" w:rsidP="00E15AAB">
      <w:pPr>
        <w:pStyle w:val="FootnoteText"/>
      </w:pPr>
      <w:r w:rsidRPr="00AB5C98">
        <w:rPr>
          <w:rStyle w:val="FootnoteReference"/>
        </w:rPr>
        <w:footnoteRef/>
      </w:r>
      <w:r w:rsidRPr="00AB5C98">
        <w:t xml:space="preserve"> </w:t>
      </w:r>
      <w:r>
        <w:tab/>
      </w:r>
      <w:r w:rsidRPr="00AB5C98">
        <w:t>The regression is an OLS regression controlling for gender, age (as a quadratic), highest level of education, ten different family types, whether the person is employed (differentiating between market employment and Work for the Dole/Community Development Employment Projects</w:t>
      </w:r>
      <w:r>
        <w:t>)</w:t>
      </w:r>
      <w:r w:rsidRPr="00AB5C98">
        <w:t xml:space="preserve"> and the number of children. Model R-square was 0.119 for the frequency of money control, 0.137 for ease of money management and 0.093 for whether they had more or less control of their money.</w:t>
      </w:r>
      <w:r>
        <w:t xml:space="preserve"> </w:t>
      </w:r>
      <w:r w:rsidRPr="00AB5C98">
        <w:t>Alternative modelling strategies</w:t>
      </w:r>
      <w:r>
        <w:t>,</w:t>
      </w:r>
      <w:r w:rsidRPr="00AB5C98">
        <w:t xml:space="preserve"> including ordered probits</w:t>
      </w:r>
      <w:r>
        <w:t>,</w:t>
      </w:r>
      <w:r w:rsidRPr="00AB5C98">
        <w:t xml:space="preserve"> produced substantially the same results.</w:t>
      </w:r>
    </w:p>
  </w:footnote>
  <w:footnote w:id="121">
    <w:p w:rsidR="00E660BD" w:rsidRPr="00AB5C98" w:rsidRDefault="00E660BD" w:rsidP="00897C1E">
      <w:pPr>
        <w:pStyle w:val="FootnoteText"/>
      </w:pPr>
      <w:r w:rsidRPr="00AB5C98">
        <w:rPr>
          <w:rStyle w:val="FootnoteReference"/>
        </w:rPr>
        <w:footnoteRef/>
      </w:r>
      <w:r w:rsidRPr="00AB5C98">
        <w:t xml:space="preserve"> </w:t>
      </w:r>
      <w:r>
        <w:tab/>
      </w:r>
      <w:r w:rsidRPr="00AB5C98">
        <w:t>While this particular style of question is frequently used to build an understanding of people’s feelings, it is one which does involve some personal interpretation. For example, the response ‘all the time’ has interpretations both in terms of ‘it is constantly on my mind’ and as ‘on those occasions when I think about it, I feel about it this way’. Similarly it is at times difficult to establish what necessarily constitutes a positive, neutral or negative response to these questions. Notwithstanding this, the data provides a rich insight into the responses of people on income management to the program.</w:t>
      </w:r>
    </w:p>
  </w:footnote>
  <w:footnote w:id="122">
    <w:p w:rsidR="00E660BD" w:rsidRPr="00AB5C98" w:rsidRDefault="00E660BD" w:rsidP="00897C1E">
      <w:pPr>
        <w:pStyle w:val="FootnoteText"/>
      </w:pPr>
      <w:r w:rsidRPr="00AB5C98">
        <w:rPr>
          <w:rStyle w:val="FootnoteReference"/>
        </w:rPr>
        <w:footnoteRef/>
      </w:r>
      <w:r w:rsidRPr="00AB5C98">
        <w:t xml:space="preserve"> </w:t>
      </w:r>
      <w:r>
        <w:tab/>
      </w:r>
      <w:r w:rsidRPr="00AB5C98">
        <w:t xml:space="preserve">This analysis is similar to that provided in Figure </w:t>
      </w:r>
      <w:r w:rsidRPr="002955BA">
        <w:t>10</w:t>
      </w:r>
      <w:r w:rsidRPr="00AB5C98">
        <w:noBreakHyphen/>
      </w:r>
      <w:r w:rsidRPr="002955BA">
        <w:t>4</w:t>
      </w:r>
      <w:r w:rsidRPr="00AB5C98">
        <w:t>.</w:t>
      </w:r>
      <w:r>
        <w:t xml:space="preserve"> </w:t>
      </w:r>
      <w:r w:rsidRPr="00AB5C98">
        <w:t>However, subgroups are defined simply on type of income management and whether the person is in an NTER area, not whether or not they were on NTER IM</w:t>
      </w:r>
      <w:r>
        <w:t>. R</w:t>
      </w:r>
      <w:r w:rsidRPr="00AB5C98">
        <w:t>ather, this is used as an additional independent variable in the estimation.</w:t>
      </w:r>
    </w:p>
  </w:footnote>
  <w:footnote w:id="123">
    <w:p w:rsidR="00E660BD" w:rsidRPr="00AB5C98" w:rsidRDefault="00E660BD" w:rsidP="00897C1E">
      <w:pPr>
        <w:pStyle w:val="FootnoteText"/>
      </w:pPr>
      <w:r w:rsidRPr="00AB5C98">
        <w:rPr>
          <w:rStyle w:val="FootnoteReference"/>
        </w:rPr>
        <w:footnoteRef/>
      </w:r>
      <w:r w:rsidRPr="00AB5C98">
        <w:rPr>
          <w:vertAlign w:val="superscript"/>
        </w:rPr>
        <w:t xml:space="preserve"> </w:t>
      </w:r>
      <w:r>
        <w:rPr>
          <w:vertAlign w:val="superscript"/>
        </w:rPr>
        <w:tab/>
      </w:r>
      <w:r w:rsidRPr="00AB5C98">
        <w:t>A potential factor here is the extent to which the concept of ‘discrimination’ is anchored in peoples’ minds as meaning ‘racial discrimination’ only.</w:t>
      </w:r>
    </w:p>
  </w:footnote>
  <w:footnote w:id="124">
    <w:p w:rsidR="00E660BD" w:rsidRPr="00AB5C98" w:rsidRDefault="00E660BD" w:rsidP="00897C1E">
      <w:pPr>
        <w:pStyle w:val="FootnoteText"/>
      </w:pPr>
      <w:r w:rsidRPr="00AB5C98">
        <w:rPr>
          <w:rStyle w:val="FootnoteReference"/>
        </w:rPr>
        <w:footnoteRef/>
      </w:r>
      <w:r w:rsidRPr="00AB5C98">
        <w:t xml:space="preserve"> </w:t>
      </w:r>
      <w:r>
        <w:tab/>
      </w:r>
      <w:r w:rsidRPr="00AB5C98">
        <w:t>While there is some variation in attendance patterns between schools, this does not seem to be an alternative explanation for this result. This pattern was relatively stable across schools in provincial, remote and very remote locations</w:t>
      </w:r>
      <w:r>
        <w:t>.</w:t>
      </w:r>
      <w:r w:rsidRPr="00AB5C98">
        <w:t xml:space="preserve"> </w:t>
      </w:r>
      <w:r>
        <w:t>I</w:t>
      </w:r>
      <w:r w:rsidRPr="00AB5C98">
        <w:t xml:space="preserve">n addition there </w:t>
      </w:r>
      <w:r>
        <w:t xml:space="preserve">were </w:t>
      </w:r>
      <w:r w:rsidRPr="00AB5C98">
        <w:t>no major surges in enrolment.</w:t>
      </w:r>
    </w:p>
  </w:footnote>
  <w:footnote w:id="125">
    <w:p w:rsidR="00E660BD" w:rsidRPr="00AB5C98" w:rsidRDefault="00E660BD" w:rsidP="00897C1E">
      <w:pPr>
        <w:pStyle w:val="FootnoteText"/>
      </w:pPr>
      <w:r w:rsidRPr="00AB5C98">
        <w:rPr>
          <w:rStyle w:val="FootnoteReference"/>
        </w:rPr>
        <w:footnoteRef/>
      </w:r>
      <w:r w:rsidRPr="00AB5C98">
        <w:t xml:space="preserve"> </w:t>
      </w:r>
      <w:r>
        <w:tab/>
      </w:r>
      <w:r w:rsidRPr="00AB5C98">
        <w:t>Excludes those who were not sure.</w:t>
      </w:r>
    </w:p>
  </w:footnote>
  <w:footnote w:id="126">
    <w:p w:rsidR="00E660BD" w:rsidRPr="00AB5C98" w:rsidRDefault="00E660BD" w:rsidP="00897C1E">
      <w:pPr>
        <w:pStyle w:val="FootnoteText"/>
      </w:pPr>
      <w:r w:rsidRPr="00AB5C98">
        <w:rPr>
          <w:rStyle w:val="FootnoteReference"/>
        </w:rPr>
        <w:footnoteRef/>
      </w:r>
      <w:r w:rsidRPr="00AB5C98">
        <w:t xml:space="preserve"> </w:t>
      </w:r>
      <w:r>
        <w:tab/>
      </w:r>
      <w:r w:rsidRPr="00AB5C98">
        <w:t>The way in which the data was collected meant that it was difficult to ascertain whether the actions being reported by individuals reflected changes in behaviour to specifically achieve an exit from income management or were simply a continuation of what people had previously been doing.</w:t>
      </w:r>
    </w:p>
  </w:footnote>
  <w:footnote w:id="127">
    <w:p w:rsidR="00E660BD" w:rsidRDefault="00E660BD">
      <w:pPr>
        <w:pStyle w:val="FootnoteText"/>
      </w:pPr>
      <w:r>
        <w:rPr>
          <w:rStyle w:val="FootnoteReference"/>
        </w:rPr>
        <w:footnoteRef/>
      </w:r>
      <w:r>
        <w:t xml:space="preserve"> </w:t>
      </w:r>
      <w:r>
        <w:tab/>
        <w:t>It is also emphasised that the LSNIM and other aspects of this evaluation were not intended to be a simple ‘opinion poll’ on income management. The survey framework was developed to be representative of the diversity of communities potentially affected by income management, rather than being structured as a random representative sample of the population as a whole.</w:t>
      </w:r>
    </w:p>
  </w:footnote>
  <w:footnote w:id="128">
    <w:p w:rsidR="00E660BD" w:rsidRPr="00F841DA" w:rsidRDefault="00E660BD" w:rsidP="00A36F18">
      <w:pPr>
        <w:pStyle w:val="FootnoteText"/>
      </w:pPr>
      <w:r w:rsidRPr="00AB5C98">
        <w:rPr>
          <w:rStyle w:val="FootnoteReference"/>
        </w:rPr>
        <w:footnoteRef/>
      </w:r>
      <w:r w:rsidRPr="00F841DA">
        <w:rPr>
          <w:vertAlign w:val="superscript"/>
        </w:rPr>
        <w:t xml:space="preserve"> </w:t>
      </w:r>
      <w:r>
        <w:rPr>
          <w:vertAlign w:val="superscript"/>
        </w:rPr>
        <w:tab/>
      </w:r>
      <w:r w:rsidRPr="00AB5C98">
        <w:t>An alternative approach would be to track the subsequent income support receipt of individuals on income management who do not receive an exemption, and compare these outcomes with those of people who do get an exemption. However, people who are exempted from income management are likely to be different from those who remain on income management in ways which are likely to influence their subsequent exit from payment. Using the available Centrelink data, it is not feasible to try to fully match characteristics to directly compare those who do and don’t continue on income management.</w:t>
      </w:r>
    </w:p>
  </w:footnote>
  <w:footnote w:id="129">
    <w:p w:rsidR="00E660BD" w:rsidRPr="00AB5C98" w:rsidRDefault="00E660BD" w:rsidP="00A36F18">
      <w:pPr>
        <w:pStyle w:val="FootnoteText"/>
      </w:pPr>
      <w:r w:rsidRPr="00AB5C98">
        <w:rPr>
          <w:rStyle w:val="FootnoteReference"/>
        </w:rPr>
        <w:footnoteRef/>
      </w:r>
      <w:r w:rsidRPr="003B3BD2">
        <w:rPr>
          <w:vertAlign w:val="superscript"/>
        </w:rPr>
        <w:t xml:space="preserve"> </w:t>
      </w:r>
      <w:r>
        <w:rPr>
          <w:vertAlign w:val="superscript"/>
        </w:rPr>
        <w:tab/>
      </w:r>
      <w:r w:rsidRPr="00AB5C98">
        <w:t>For the</w:t>
      </w:r>
      <w:r>
        <w:t xml:space="preserve"> </w:t>
      </w:r>
      <w:r w:rsidRPr="00AB5C98">
        <w:t>NIM period, we thus erroneously define the (small) number of Austudy allowance recipients on apprenticeships as being subject to income management. However, this allows us to maintain comparability over time as many students currently receiving Youth Allowance would have been receiving Austudy under the payment regimes of the earlier years.</w:t>
      </w:r>
    </w:p>
  </w:footnote>
  <w:footnote w:id="130">
    <w:p w:rsidR="00E660BD" w:rsidRPr="00AB5C98" w:rsidRDefault="00E660BD" w:rsidP="00AE7648">
      <w:pPr>
        <w:pStyle w:val="FootnoteText"/>
      </w:pPr>
      <w:r w:rsidRPr="00AB5C98">
        <w:rPr>
          <w:rStyle w:val="FootnoteReference"/>
        </w:rPr>
        <w:footnoteRef/>
      </w:r>
      <w:r w:rsidRPr="00AB5C98">
        <w:t xml:space="preserve"> </w:t>
      </w:r>
      <w:r>
        <w:tab/>
      </w:r>
      <w:r w:rsidRPr="00AB5C98">
        <w:t xml:space="preserve">For the Indigenous </w:t>
      </w:r>
      <w:r>
        <w:t xml:space="preserve">population </w:t>
      </w:r>
      <w:r w:rsidRPr="00AB5C98">
        <w:t xml:space="preserve">there was a quite big increase in the number of people without children receiving a </w:t>
      </w:r>
      <w:r>
        <w:t xml:space="preserve">payment subject to </w:t>
      </w:r>
      <w:r w:rsidRPr="00AB5C98">
        <w:t>Compulsory Income Management. This may have been a result of the economic downturn or potentially the impact of changes to the Community Development Employment Projects scheme.</w:t>
      </w:r>
    </w:p>
  </w:footnote>
  <w:footnote w:id="131">
    <w:p w:rsidR="00E660BD" w:rsidRPr="00AB5C98" w:rsidRDefault="00E660BD" w:rsidP="00A36F18">
      <w:pPr>
        <w:pStyle w:val="FootnoteText"/>
      </w:pPr>
      <w:r w:rsidRPr="00AB5C98">
        <w:rPr>
          <w:rStyle w:val="FootnoteReference"/>
        </w:rPr>
        <w:footnoteRef/>
      </w:r>
      <w:r w:rsidRPr="00F841DA">
        <w:rPr>
          <w:vertAlign w:val="superscript"/>
        </w:rPr>
        <w:t xml:space="preserve"> </w:t>
      </w:r>
      <w:r>
        <w:rPr>
          <w:vertAlign w:val="superscript"/>
        </w:rPr>
        <w:tab/>
      </w:r>
      <w:r w:rsidRPr="00AB5C98">
        <w:t>Some might be eligible for CIM if they had a previous spell of income support within the last 2 years.</w:t>
      </w:r>
    </w:p>
  </w:footnote>
  <w:footnote w:id="132">
    <w:p w:rsidR="00E660BD" w:rsidRPr="00AB5C98" w:rsidRDefault="00E660BD" w:rsidP="009F0DD0">
      <w:pPr>
        <w:pStyle w:val="FootnoteText"/>
      </w:pPr>
      <w:r w:rsidRPr="00AB5C98">
        <w:rPr>
          <w:rStyle w:val="FootnoteReference"/>
        </w:rPr>
        <w:footnoteRef/>
      </w:r>
      <w:r w:rsidRPr="003B3BD2">
        <w:rPr>
          <w:vertAlign w:val="superscript"/>
        </w:rPr>
        <w:t xml:space="preserve"> </w:t>
      </w:r>
      <w:r>
        <w:rPr>
          <w:vertAlign w:val="superscript"/>
        </w:rPr>
        <w:tab/>
      </w:r>
      <w:r w:rsidRPr="00AB5C98">
        <w:t>This spike was due to an increase in the exit rate to income support payments that were not Compulsory Income Management payments.</w:t>
      </w:r>
    </w:p>
  </w:footnote>
  <w:footnote w:id="133">
    <w:p w:rsidR="00E660BD" w:rsidRPr="00AB5C98" w:rsidRDefault="00E660BD" w:rsidP="009F0DD0">
      <w:pPr>
        <w:pStyle w:val="FootnoteText"/>
      </w:pPr>
      <w:r w:rsidRPr="00AB5C98">
        <w:rPr>
          <w:rStyle w:val="FootnoteReference"/>
        </w:rPr>
        <w:footnoteRef/>
      </w:r>
      <w:r w:rsidRPr="003B3BD2">
        <w:rPr>
          <w:vertAlign w:val="superscript"/>
        </w:rPr>
        <w:t xml:space="preserve"> </w:t>
      </w:r>
      <w:r>
        <w:rPr>
          <w:vertAlign w:val="superscript"/>
        </w:rPr>
        <w:tab/>
      </w:r>
      <w:r w:rsidRPr="00AB5C98">
        <w:t>This increase is due to an increase in the exit rate to no income support payment (rather than to a non-Compulsory Income Management payment).</w:t>
      </w:r>
    </w:p>
  </w:footnote>
  <w:footnote w:id="134">
    <w:p w:rsidR="00E660BD" w:rsidRPr="00AB5C98" w:rsidRDefault="00E660BD" w:rsidP="00287B55">
      <w:pPr>
        <w:pStyle w:val="FootnoteText"/>
        <w:jc w:val="left"/>
      </w:pPr>
      <w:r w:rsidRPr="00AB5C98">
        <w:rPr>
          <w:rStyle w:val="FootnoteReference"/>
        </w:rPr>
        <w:footnoteRef/>
      </w:r>
      <w:r w:rsidRPr="00AB5C98">
        <w:t xml:space="preserve"> </w:t>
      </w:r>
      <w:r>
        <w:tab/>
      </w:r>
      <w:r w:rsidRPr="00AB5C98">
        <w:t xml:space="preserve">See </w:t>
      </w:r>
      <w:hyperlink r:id="rId3" w:history="1">
        <w:r w:rsidRPr="00AB5C98">
          <w:rPr>
            <w:rStyle w:val="Hyperlink"/>
          </w:rPr>
          <w:t>http://www.det.nt.gov.au/students/at-school/enrolment-attendance/enrolment-attendance-statistics</w:t>
        </w:r>
      </w:hyperlink>
      <w:r>
        <w:t xml:space="preserve"> </w:t>
      </w:r>
      <w:r w:rsidRPr="00AB5C98">
        <w:t xml:space="preserve">and more detailed tables at </w:t>
      </w:r>
      <w:hyperlink r:id="rId4" w:history="1">
        <w:r w:rsidRPr="00AB5C98">
          <w:rPr>
            <w:rStyle w:val="Hyperlink"/>
          </w:rPr>
          <w:t>http://www.det.nt.gov.au/__data/assets/pdf_file/0014/26510/Collection8Nov.pdf</w:t>
        </w:r>
      </w:hyperlink>
      <w:r w:rsidRPr="00AB5C98">
        <w:t xml:space="preserve"> . </w:t>
      </w:r>
    </w:p>
    <w:p w:rsidR="00E660BD" w:rsidRPr="00AB5C98" w:rsidRDefault="00E660BD" w:rsidP="00220531">
      <w:pPr>
        <w:pStyle w:val="FootnoteText"/>
      </w:pPr>
    </w:p>
  </w:footnote>
  <w:footnote w:id="135">
    <w:p w:rsidR="00E660BD" w:rsidRDefault="00E660BD">
      <w:pPr>
        <w:pStyle w:val="FootnoteText"/>
      </w:pPr>
      <w:r>
        <w:rPr>
          <w:rStyle w:val="FootnoteReference"/>
        </w:rPr>
        <w:footnoteRef/>
      </w:r>
      <w:r>
        <w:t xml:space="preserve"> </w:t>
      </w:r>
      <w:r>
        <w:tab/>
        <w:t>An anonymous key has been provided which allows the datasets to be merged with each other and over time.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0BD" w:rsidRPr="00516A88" w:rsidRDefault="00E660BD" w:rsidP="00516A88">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0BD" w:rsidRPr="004130D8" w:rsidRDefault="00E660BD" w:rsidP="004130D8">
    <w:pPr>
      <w:pStyle w:val="Header"/>
      <w:pBdr>
        <w:bottom w:val="single" w:sz="4" w:space="1" w:color="273C8B"/>
      </w:pBdr>
      <w:ind w:left="0"/>
      <w:rPr>
        <w:rStyle w:val="PageNumber"/>
      </w:rPr>
    </w:pPr>
    <w:r w:rsidRPr="008A04EB">
      <w:rPr>
        <w:rStyle w:val="PageNumber"/>
      </w:rPr>
      <w:t>Evaluating New Income Management in the Northern Territory: First Evaluation Report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0BD" w:rsidRPr="00907C55" w:rsidRDefault="008F3A4A" w:rsidP="004130D8">
    <w:pPr>
      <w:pStyle w:val="Header"/>
      <w:pBdr>
        <w:bottom w:val="single" w:sz="4" w:space="1" w:color="273C8B"/>
      </w:pBdr>
      <w:ind w:left="0"/>
      <w:jc w:val="right"/>
    </w:pPr>
    <w:r>
      <w:fldChar w:fldCharType="begin"/>
    </w:r>
    <w:r>
      <w:instrText xml:space="preserve"> STYLEREF  "Heading 0"  \* MERGEFORMAT </w:instrText>
    </w:r>
    <w:r>
      <w:fldChar w:fldCharType="separate"/>
    </w:r>
    <w:r>
      <w:rPr>
        <w:noProof/>
      </w:rPr>
      <w:t>Glossary</w:t>
    </w:r>
    <w:r>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0BD" w:rsidRPr="004130D8" w:rsidRDefault="00E660BD" w:rsidP="004130D8">
    <w:pPr>
      <w:pStyle w:val="Header"/>
      <w:pBdr>
        <w:bottom w:val="single" w:sz="4" w:space="1" w:color="273C8B"/>
      </w:pBdr>
      <w:ind w:left="0"/>
      <w:jc w:val="right"/>
    </w:pPr>
    <w:r>
      <w:t>Executive Summary</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0BD" w:rsidRPr="00907C55" w:rsidRDefault="00E660BD" w:rsidP="004130D8">
    <w:pPr>
      <w:pStyle w:val="Header"/>
      <w:pBdr>
        <w:bottom w:val="single" w:sz="4" w:space="1" w:color="273C8B"/>
      </w:pBdr>
      <w:ind w:left="0"/>
      <w:jc w:val="right"/>
    </w:pPr>
    <w:r w:rsidRPr="00907C55">
      <w:t xml:space="preserve">Chapter </w:t>
    </w:r>
    <w:r w:rsidR="008F3A4A">
      <w:fldChar w:fldCharType="begin"/>
    </w:r>
    <w:r w:rsidR="008F3A4A">
      <w:instrText xml:space="preserve"> STYLEREF  "Heading 1" \r \w  \* MERGEFORMAT </w:instrText>
    </w:r>
    <w:r w:rsidR="008F3A4A">
      <w:fldChar w:fldCharType="separate"/>
    </w:r>
    <w:r w:rsidR="008F3A4A">
      <w:rPr>
        <w:noProof/>
      </w:rPr>
      <w:t>6</w:t>
    </w:r>
    <w:r w:rsidR="008F3A4A">
      <w:rPr>
        <w:noProof/>
      </w:rPr>
      <w:fldChar w:fldCharType="end"/>
    </w:r>
    <w:r w:rsidRPr="00907C55">
      <w:t xml:space="preserve">: </w:t>
    </w:r>
    <w:r w:rsidR="008F3A4A">
      <w:fldChar w:fldCharType="begin"/>
    </w:r>
    <w:r w:rsidR="008F3A4A">
      <w:instrText xml:space="preserve"> STYLEREF  "Heading 1"  \* MERGEFORMAT </w:instrText>
    </w:r>
    <w:r w:rsidR="008F3A4A">
      <w:fldChar w:fldCharType="separate"/>
    </w:r>
    <w:r w:rsidR="008F3A4A">
      <w:rPr>
        <w:noProof/>
      </w:rPr>
      <w:t>The operation of, and views about, the BasicsCard</w:t>
    </w:r>
    <w:r w:rsidR="008F3A4A">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0BD" w:rsidRPr="004130D8" w:rsidRDefault="008F3A4A" w:rsidP="004130D8">
    <w:pPr>
      <w:pStyle w:val="Header"/>
      <w:pBdr>
        <w:bottom w:val="single" w:sz="4" w:space="1" w:color="273C8B"/>
      </w:pBdr>
      <w:ind w:left="0"/>
      <w:jc w:val="right"/>
    </w:pPr>
    <w:r>
      <w:fldChar w:fldCharType="begin"/>
    </w:r>
    <w:r>
      <w:instrText xml:space="preserve"> STYLEREF  "Heading 0"  \* MERGEFORMAT </w:instrText>
    </w:r>
    <w:r>
      <w:fldChar w:fldCharType="separate"/>
    </w:r>
    <w:r w:rsidR="00E70A53">
      <w:rPr>
        <w:noProof/>
      </w:rPr>
      <w:t>Appendices</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F24EB"/>
    <w:multiLevelType w:val="hybridMultilevel"/>
    <w:tmpl w:val="2C6212F0"/>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
    <w:nsid w:val="081404F2"/>
    <w:multiLevelType w:val="hybridMultilevel"/>
    <w:tmpl w:val="F2786BF4"/>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
    <w:nsid w:val="0B601241"/>
    <w:multiLevelType w:val="hybridMultilevel"/>
    <w:tmpl w:val="4120FC9E"/>
    <w:lvl w:ilvl="0" w:tplc="0C090001">
      <w:start w:val="1"/>
      <w:numFmt w:val="bullet"/>
      <w:lvlText w:val=""/>
      <w:lvlJc w:val="left"/>
      <w:pPr>
        <w:ind w:left="2490" w:hanging="360"/>
      </w:pPr>
      <w:rPr>
        <w:rFonts w:ascii="Symbol" w:hAnsi="Symbol" w:hint="default"/>
      </w:rPr>
    </w:lvl>
    <w:lvl w:ilvl="1" w:tplc="0C090019" w:tentative="1">
      <w:start w:val="1"/>
      <w:numFmt w:val="lowerLetter"/>
      <w:lvlText w:val="%2."/>
      <w:lvlJc w:val="left"/>
      <w:pPr>
        <w:ind w:left="3210" w:hanging="360"/>
      </w:pPr>
    </w:lvl>
    <w:lvl w:ilvl="2" w:tplc="0C09001B" w:tentative="1">
      <w:start w:val="1"/>
      <w:numFmt w:val="lowerRoman"/>
      <w:lvlText w:val="%3."/>
      <w:lvlJc w:val="right"/>
      <w:pPr>
        <w:ind w:left="3930" w:hanging="180"/>
      </w:pPr>
    </w:lvl>
    <w:lvl w:ilvl="3" w:tplc="0C09000F" w:tentative="1">
      <w:start w:val="1"/>
      <w:numFmt w:val="decimal"/>
      <w:lvlText w:val="%4."/>
      <w:lvlJc w:val="left"/>
      <w:pPr>
        <w:ind w:left="4650" w:hanging="360"/>
      </w:pPr>
    </w:lvl>
    <w:lvl w:ilvl="4" w:tplc="0C090019" w:tentative="1">
      <w:start w:val="1"/>
      <w:numFmt w:val="lowerLetter"/>
      <w:lvlText w:val="%5."/>
      <w:lvlJc w:val="left"/>
      <w:pPr>
        <w:ind w:left="5370" w:hanging="360"/>
      </w:pPr>
    </w:lvl>
    <w:lvl w:ilvl="5" w:tplc="0C09001B" w:tentative="1">
      <w:start w:val="1"/>
      <w:numFmt w:val="lowerRoman"/>
      <w:lvlText w:val="%6."/>
      <w:lvlJc w:val="right"/>
      <w:pPr>
        <w:ind w:left="6090" w:hanging="180"/>
      </w:pPr>
    </w:lvl>
    <w:lvl w:ilvl="6" w:tplc="0C09000F" w:tentative="1">
      <w:start w:val="1"/>
      <w:numFmt w:val="decimal"/>
      <w:lvlText w:val="%7."/>
      <w:lvlJc w:val="left"/>
      <w:pPr>
        <w:ind w:left="6810" w:hanging="360"/>
      </w:pPr>
    </w:lvl>
    <w:lvl w:ilvl="7" w:tplc="0C090019" w:tentative="1">
      <w:start w:val="1"/>
      <w:numFmt w:val="lowerLetter"/>
      <w:lvlText w:val="%8."/>
      <w:lvlJc w:val="left"/>
      <w:pPr>
        <w:ind w:left="7530" w:hanging="360"/>
      </w:pPr>
    </w:lvl>
    <w:lvl w:ilvl="8" w:tplc="0C09001B" w:tentative="1">
      <w:start w:val="1"/>
      <w:numFmt w:val="lowerRoman"/>
      <w:lvlText w:val="%9."/>
      <w:lvlJc w:val="right"/>
      <w:pPr>
        <w:ind w:left="8250" w:hanging="180"/>
      </w:pPr>
    </w:lvl>
  </w:abstractNum>
  <w:abstractNum w:abstractNumId="3">
    <w:nsid w:val="0D1D533F"/>
    <w:multiLevelType w:val="hybridMultilevel"/>
    <w:tmpl w:val="DC5EA5E2"/>
    <w:lvl w:ilvl="0" w:tplc="E9D8937E">
      <w:start w:val="1"/>
      <w:numFmt w:val="bullet"/>
      <w:pStyle w:val="listdash"/>
      <w:lvlText w:val="-"/>
      <w:lvlJc w:val="left"/>
      <w:pPr>
        <w:ind w:left="2520" w:hanging="360"/>
      </w:pPr>
      <w:rPr>
        <w:rFonts w:ascii="Arial" w:hAnsi="Arial" w:hint="default"/>
        <w:b/>
        <w:i w:val="0"/>
        <w:color w:val="002060"/>
      </w:rPr>
    </w:lvl>
    <w:lvl w:ilvl="1" w:tplc="0C090003" w:tentative="1">
      <w:start w:val="1"/>
      <w:numFmt w:val="bullet"/>
      <w:lvlText w:val="o"/>
      <w:lvlJc w:val="left"/>
      <w:pPr>
        <w:ind w:left="3957" w:hanging="360"/>
      </w:pPr>
      <w:rPr>
        <w:rFonts w:ascii="Courier New" w:hAnsi="Courier New" w:cs="Courier New" w:hint="default"/>
      </w:rPr>
    </w:lvl>
    <w:lvl w:ilvl="2" w:tplc="0C090005" w:tentative="1">
      <w:start w:val="1"/>
      <w:numFmt w:val="bullet"/>
      <w:lvlText w:val=""/>
      <w:lvlJc w:val="left"/>
      <w:pPr>
        <w:ind w:left="4677" w:hanging="360"/>
      </w:pPr>
      <w:rPr>
        <w:rFonts w:ascii="Wingdings" w:hAnsi="Wingdings" w:hint="default"/>
      </w:rPr>
    </w:lvl>
    <w:lvl w:ilvl="3" w:tplc="0C090001" w:tentative="1">
      <w:start w:val="1"/>
      <w:numFmt w:val="bullet"/>
      <w:lvlText w:val=""/>
      <w:lvlJc w:val="left"/>
      <w:pPr>
        <w:ind w:left="5397" w:hanging="360"/>
      </w:pPr>
      <w:rPr>
        <w:rFonts w:ascii="Symbol" w:hAnsi="Symbol" w:hint="default"/>
      </w:rPr>
    </w:lvl>
    <w:lvl w:ilvl="4" w:tplc="0C090003" w:tentative="1">
      <w:start w:val="1"/>
      <w:numFmt w:val="bullet"/>
      <w:lvlText w:val="o"/>
      <w:lvlJc w:val="left"/>
      <w:pPr>
        <w:ind w:left="6117" w:hanging="360"/>
      </w:pPr>
      <w:rPr>
        <w:rFonts w:ascii="Courier New" w:hAnsi="Courier New" w:cs="Courier New" w:hint="default"/>
      </w:rPr>
    </w:lvl>
    <w:lvl w:ilvl="5" w:tplc="0C090005" w:tentative="1">
      <w:start w:val="1"/>
      <w:numFmt w:val="bullet"/>
      <w:lvlText w:val=""/>
      <w:lvlJc w:val="left"/>
      <w:pPr>
        <w:ind w:left="6837" w:hanging="360"/>
      </w:pPr>
      <w:rPr>
        <w:rFonts w:ascii="Wingdings" w:hAnsi="Wingdings" w:hint="default"/>
      </w:rPr>
    </w:lvl>
    <w:lvl w:ilvl="6" w:tplc="0C090001" w:tentative="1">
      <w:start w:val="1"/>
      <w:numFmt w:val="bullet"/>
      <w:lvlText w:val=""/>
      <w:lvlJc w:val="left"/>
      <w:pPr>
        <w:ind w:left="7557" w:hanging="360"/>
      </w:pPr>
      <w:rPr>
        <w:rFonts w:ascii="Symbol" w:hAnsi="Symbol" w:hint="default"/>
      </w:rPr>
    </w:lvl>
    <w:lvl w:ilvl="7" w:tplc="0C090003" w:tentative="1">
      <w:start w:val="1"/>
      <w:numFmt w:val="bullet"/>
      <w:lvlText w:val="o"/>
      <w:lvlJc w:val="left"/>
      <w:pPr>
        <w:ind w:left="8277" w:hanging="360"/>
      </w:pPr>
      <w:rPr>
        <w:rFonts w:ascii="Courier New" w:hAnsi="Courier New" w:cs="Courier New" w:hint="default"/>
      </w:rPr>
    </w:lvl>
    <w:lvl w:ilvl="8" w:tplc="0C090005" w:tentative="1">
      <w:start w:val="1"/>
      <w:numFmt w:val="bullet"/>
      <w:lvlText w:val=""/>
      <w:lvlJc w:val="left"/>
      <w:pPr>
        <w:ind w:left="8997" w:hanging="360"/>
      </w:pPr>
      <w:rPr>
        <w:rFonts w:ascii="Wingdings" w:hAnsi="Wingdings" w:hint="default"/>
      </w:rPr>
    </w:lvl>
  </w:abstractNum>
  <w:abstractNum w:abstractNumId="4">
    <w:nsid w:val="12991EE6"/>
    <w:multiLevelType w:val="multilevel"/>
    <w:tmpl w:val="6F5805BE"/>
    <w:styleLink w:val="SPRC-style"/>
    <w:lvl w:ilvl="0">
      <w:start w:val="1"/>
      <w:numFmt w:val="decimal"/>
      <w:pStyle w:val="Heading1"/>
      <w:lvlText w:val="%1."/>
      <w:lvlJc w:val="left"/>
      <w:pPr>
        <w:ind w:left="2204" w:hanging="360"/>
      </w:pPr>
      <w:rPr>
        <w:rFonts w:ascii="Arial" w:hAnsi="Arial" w:hint="default"/>
        <w:b/>
        <w:i w:val="0"/>
        <w:color w:val="3F58A8"/>
        <w:sz w:val="36"/>
      </w:rPr>
    </w:lvl>
    <w:lvl w:ilvl="1">
      <w:start w:val="1"/>
      <w:numFmt w:val="decimal"/>
      <w:pStyle w:val="Heading2"/>
      <w:lvlText w:val="%1.%2"/>
      <w:lvlJc w:val="left"/>
      <w:pPr>
        <w:ind w:left="794" w:hanging="794"/>
      </w:pPr>
      <w:rPr>
        <w:rFonts w:hint="default"/>
        <w:color w:val="3F58A8"/>
        <w:sz w:val="24"/>
      </w:rPr>
    </w:lvl>
    <w:lvl w:ilvl="2">
      <w:start w:val="1"/>
      <w:numFmt w:val="decimal"/>
      <w:pStyle w:val="Heading3"/>
      <w:lvlText w:val="%1.%2.%3"/>
      <w:lvlJc w:val="left"/>
      <w:pPr>
        <w:ind w:left="4488" w:hanging="1078"/>
      </w:pPr>
      <w:rPr>
        <w:rFonts w:hint="default"/>
        <w:sz w:val="24"/>
      </w:rPr>
    </w:lvl>
    <w:lvl w:ilvl="3">
      <w:start w:val="1"/>
      <w:numFmt w:val="none"/>
      <w:lvlText w:val=""/>
      <w:lvlJc w:val="left"/>
      <w:pPr>
        <w:ind w:left="4518" w:hanging="648"/>
      </w:pPr>
      <w:rPr>
        <w:rFonts w:hint="default"/>
      </w:rPr>
    </w:lvl>
    <w:lvl w:ilvl="4">
      <w:start w:val="1"/>
      <w:numFmt w:val="decimal"/>
      <w:lvlText w:val="%1.%2.%3.%4.%5."/>
      <w:lvlJc w:val="left"/>
      <w:pPr>
        <w:ind w:left="5022" w:hanging="792"/>
      </w:pPr>
      <w:rPr>
        <w:rFonts w:hint="default"/>
      </w:rPr>
    </w:lvl>
    <w:lvl w:ilvl="5">
      <w:start w:val="1"/>
      <w:numFmt w:val="decimal"/>
      <w:lvlText w:val="%1.%2.%3.%4.%5.%6."/>
      <w:lvlJc w:val="left"/>
      <w:pPr>
        <w:ind w:left="5526" w:hanging="936"/>
      </w:pPr>
      <w:rPr>
        <w:rFonts w:hint="default"/>
      </w:rPr>
    </w:lvl>
    <w:lvl w:ilvl="6">
      <w:start w:val="1"/>
      <w:numFmt w:val="decimal"/>
      <w:lvlText w:val="%1.%2.%3.%4.%5.%6.%7."/>
      <w:lvlJc w:val="left"/>
      <w:pPr>
        <w:ind w:left="6030" w:hanging="1080"/>
      </w:pPr>
      <w:rPr>
        <w:rFonts w:hint="default"/>
      </w:rPr>
    </w:lvl>
    <w:lvl w:ilvl="7">
      <w:start w:val="1"/>
      <w:numFmt w:val="decimal"/>
      <w:lvlText w:val="%1.%2.%3.%4.%5.%6.%7.%8."/>
      <w:lvlJc w:val="left"/>
      <w:pPr>
        <w:ind w:left="6534" w:hanging="1224"/>
      </w:pPr>
      <w:rPr>
        <w:rFonts w:hint="default"/>
      </w:rPr>
    </w:lvl>
    <w:lvl w:ilvl="8">
      <w:start w:val="1"/>
      <w:numFmt w:val="decimal"/>
      <w:lvlText w:val="%1.%2.%3.%4.%5.%6.%7.%8.%9."/>
      <w:lvlJc w:val="left"/>
      <w:pPr>
        <w:ind w:left="7110" w:hanging="1440"/>
      </w:pPr>
      <w:rPr>
        <w:rFonts w:hint="default"/>
      </w:rPr>
    </w:lvl>
  </w:abstractNum>
  <w:abstractNum w:abstractNumId="5">
    <w:nsid w:val="136A75BE"/>
    <w:multiLevelType w:val="hybridMultilevel"/>
    <w:tmpl w:val="7486D460"/>
    <w:lvl w:ilvl="0" w:tplc="74A68922">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6">
    <w:nsid w:val="19255D38"/>
    <w:multiLevelType w:val="multilevel"/>
    <w:tmpl w:val="CE26087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upperLetter"/>
      <w:lvlText w:val="Appendix %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206755D6"/>
    <w:multiLevelType w:val="hybridMultilevel"/>
    <w:tmpl w:val="8BF816B0"/>
    <w:lvl w:ilvl="0" w:tplc="DEAAD7B4">
      <w:numFmt w:val="bullet"/>
      <w:lvlText w:val="•"/>
      <w:lvlJc w:val="left"/>
      <w:pPr>
        <w:ind w:left="720" w:hanging="72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25A14DDE"/>
    <w:multiLevelType w:val="multilevel"/>
    <w:tmpl w:val="0C09001F"/>
    <w:styleLink w:val="SPRC-NEW"/>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EF93DCC"/>
    <w:multiLevelType w:val="hybridMultilevel"/>
    <w:tmpl w:val="13B08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4247670"/>
    <w:multiLevelType w:val="hybridMultilevel"/>
    <w:tmpl w:val="D42C3FFA"/>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1">
    <w:nsid w:val="35D60294"/>
    <w:multiLevelType w:val="hybridMultilevel"/>
    <w:tmpl w:val="0D6891AE"/>
    <w:lvl w:ilvl="0" w:tplc="0C090001">
      <w:start w:val="1"/>
      <w:numFmt w:val="bullet"/>
      <w:lvlText w:val=""/>
      <w:lvlJc w:val="left"/>
      <w:pPr>
        <w:ind w:left="3240" w:hanging="360"/>
      </w:pPr>
      <w:rPr>
        <w:rFonts w:ascii="Symbol" w:hAnsi="Symbol"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12">
    <w:nsid w:val="37991FCA"/>
    <w:multiLevelType w:val="hybridMultilevel"/>
    <w:tmpl w:val="928C8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B684AA0"/>
    <w:multiLevelType w:val="hybridMultilevel"/>
    <w:tmpl w:val="F49E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F846E21"/>
    <w:multiLevelType w:val="hybridMultilevel"/>
    <w:tmpl w:val="489CF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0CF767D"/>
    <w:multiLevelType w:val="hybridMultilevel"/>
    <w:tmpl w:val="369C6FAE"/>
    <w:lvl w:ilvl="0" w:tplc="C20843A4">
      <w:start w:val="1"/>
      <w:numFmt w:val="bullet"/>
      <w:pStyle w:val="ListBullet"/>
      <w:lvlText w:val=""/>
      <w:lvlJc w:val="left"/>
      <w:pPr>
        <w:ind w:left="2520" w:hanging="360"/>
      </w:pPr>
      <w:rPr>
        <w:rFonts w:ascii="Symbol" w:hAnsi="Symbol" w:hint="default"/>
      </w:rPr>
    </w:lvl>
    <w:lvl w:ilvl="1" w:tplc="0C090003">
      <w:start w:val="1"/>
      <w:numFmt w:val="bullet"/>
      <w:lvlText w:val="o"/>
      <w:lvlJc w:val="left"/>
      <w:pPr>
        <w:ind w:left="3240" w:hanging="360"/>
      </w:pPr>
      <w:rPr>
        <w:rFonts w:ascii="Courier New" w:hAnsi="Courier New" w:cs="Courier New" w:hint="default"/>
      </w:rPr>
    </w:lvl>
    <w:lvl w:ilvl="2" w:tplc="0C090005">
      <w:start w:val="1"/>
      <w:numFmt w:val="bullet"/>
      <w:lvlText w:val=""/>
      <w:lvlJc w:val="left"/>
      <w:pPr>
        <w:ind w:left="3960" w:hanging="360"/>
      </w:pPr>
      <w:rPr>
        <w:rFonts w:ascii="Wingdings" w:hAnsi="Wingdings" w:hint="default"/>
      </w:rPr>
    </w:lvl>
    <w:lvl w:ilvl="3" w:tplc="0C090001">
      <w:start w:val="1"/>
      <w:numFmt w:val="bullet"/>
      <w:lvlText w:val=""/>
      <w:lvlJc w:val="left"/>
      <w:pPr>
        <w:ind w:left="4680" w:hanging="360"/>
      </w:pPr>
      <w:rPr>
        <w:rFonts w:ascii="Symbol" w:hAnsi="Symbol" w:hint="default"/>
      </w:rPr>
    </w:lvl>
    <w:lvl w:ilvl="4" w:tplc="0C090003">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6">
    <w:nsid w:val="411E67A2"/>
    <w:multiLevelType w:val="hybridMultilevel"/>
    <w:tmpl w:val="DCE85B46"/>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7">
    <w:nsid w:val="4A740E0E"/>
    <w:multiLevelType w:val="multilevel"/>
    <w:tmpl w:val="BF107AF0"/>
    <w:lvl w:ilvl="0">
      <w:start w:val="1"/>
      <w:numFmt w:val="decimal"/>
      <w:pStyle w:val="MELegal1"/>
      <w:lvlText w:val="%1."/>
      <w:lvlJc w:val="left"/>
      <w:pPr>
        <w:tabs>
          <w:tab w:val="num" w:pos="680"/>
        </w:tabs>
        <w:ind w:left="680" w:hanging="680"/>
      </w:pPr>
      <w:rPr>
        <w:rFonts w:cs="Times New Roman" w:hint="default"/>
      </w:rPr>
    </w:lvl>
    <w:lvl w:ilvl="1">
      <w:start w:val="1"/>
      <w:numFmt w:val="decimal"/>
      <w:pStyle w:val="MELegal2"/>
      <w:lvlText w:val="%1.%2"/>
      <w:lvlJc w:val="left"/>
      <w:pPr>
        <w:tabs>
          <w:tab w:val="num" w:pos="680"/>
        </w:tabs>
        <w:ind w:left="680" w:hanging="680"/>
      </w:pPr>
      <w:rPr>
        <w:rFonts w:cs="Times New Roman" w:hint="default"/>
      </w:rPr>
    </w:lvl>
    <w:lvl w:ilvl="2">
      <w:start w:val="1"/>
      <w:numFmt w:val="lowerLetter"/>
      <w:pStyle w:val="MELegal3"/>
      <w:lvlText w:val="(%3)"/>
      <w:lvlJc w:val="left"/>
      <w:pPr>
        <w:tabs>
          <w:tab w:val="num" w:pos="1361"/>
        </w:tabs>
        <w:ind w:left="1361" w:hanging="681"/>
      </w:pPr>
      <w:rPr>
        <w:rFonts w:cs="Times New Roman" w:hint="default"/>
      </w:rPr>
    </w:lvl>
    <w:lvl w:ilvl="3">
      <w:start w:val="1"/>
      <w:numFmt w:val="lowerRoman"/>
      <w:pStyle w:val="MELegal4"/>
      <w:lvlText w:val="(%4)"/>
      <w:lvlJc w:val="left"/>
      <w:pPr>
        <w:tabs>
          <w:tab w:val="num" w:pos="2041"/>
        </w:tabs>
        <w:ind w:left="2041" w:hanging="680"/>
      </w:pPr>
      <w:rPr>
        <w:rFonts w:cs="Times New Roman" w:hint="default"/>
      </w:rPr>
    </w:lvl>
    <w:lvl w:ilvl="4">
      <w:start w:val="1"/>
      <w:numFmt w:val="upperLetter"/>
      <w:pStyle w:val="MELegal5"/>
      <w:lvlText w:val="(%5)"/>
      <w:lvlJc w:val="left"/>
      <w:pPr>
        <w:tabs>
          <w:tab w:val="num" w:pos="2722"/>
        </w:tabs>
        <w:ind w:left="2722" w:hanging="681"/>
      </w:pPr>
      <w:rPr>
        <w:rFonts w:cs="Times New Roman" w:hint="default"/>
      </w:rPr>
    </w:lvl>
    <w:lvl w:ilvl="5">
      <w:start w:val="1"/>
      <w:numFmt w:val="upperRoman"/>
      <w:pStyle w:val="MELegal6"/>
      <w:lvlText w:val="(%6)"/>
      <w:lvlJc w:val="left"/>
      <w:pPr>
        <w:tabs>
          <w:tab w:val="num" w:pos="3402"/>
        </w:tabs>
        <w:ind w:left="3402" w:hanging="680"/>
      </w:pPr>
      <w:rPr>
        <w:rFonts w:cs="Times New Roman" w:hint="default"/>
      </w:rPr>
    </w:lvl>
    <w:lvl w:ilvl="6">
      <w:start w:val="1"/>
      <w:numFmt w:val="none"/>
      <w:lvlText w:val="%7"/>
      <w:lvlJc w:val="left"/>
      <w:pPr>
        <w:tabs>
          <w:tab w:val="num" w:pos="5103"/>
        </w:tabs>
        <w:ind w:left="5103" w:hanging="850"/>
      </w:pPr>
      <w:rPr>
        <w:rFonts w:cs="Times New Roman" w:hint="default"/>
      </w:rPr>
    </w:lvl>
    <w:lvl w:ilvl="7">
      <w:start w:val="1"/>
      <w:numFmt w:val="none"/>
      <w:suff w:val="nothing"/>
      <w:lvlText w:val="%8"/>
      <w:lvlJc w:val="left"/>
      <w:rPr>
        <w:rFonts w:cs="Times New Roman" w:hint="default"/>
      </w:rPr>
    </w:lvl>
    <w:lvl w:ilvl="8">
      <w:start w:val="1"/>
      <w:numFmt w:val="none"/>
      <w:suff w:val="nothing"/>
      <w:lvlText w:val="%9"/>
      <w:lvlJc w:val="left"/>
      <w:rPr>
        <w:rFonts w:cs="Times New Roman" w:hint="default"/>
      </w:rPr>
    </w:lvl>
  </w:abstractNum>
  <w:abstractNum w:abstractNumId="18">
    <w:nsid w:val="4B2352ED"/>
    <w:multiLevelType w:val="hybridMultilevel"/>
    <w:tmpl w:val="7286F67A"/>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9">
    <w:nsid w:val="550D2925"/>
    <w:multiLevelType w:val="hybridMultilevel"/>
    <w:tmpl w:val="39DE7E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57505CF9"/>
    <w:multiLevelType w:val="hybridMultilevel"/>
    <w:tmpl w:val="EE5A9846"/>
    <w:lvl w:ilvl="0" w:tplc="472E1B70">
      <w:start w:val="1"/>
      <w:numFmt w:val="upperLetter"/>
      <w:pStyle w:val="attachtitle"/>
      <w:lvlText w:val="Appendix %1."/>
      <w:lvlJc w:val="left"/>
      <w:pPr>
        <w:ind w:left="2487"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674F04F5"/>
    <w:multiLevelType w:val="hybridMultilevel"/>
    <w:tmpl w:val="405A4734"/>
    <w:lvl w:ilvl="0" w:tplc="CCDCA2AA">
      <w:start w:val="1"/>
      <w:numFmt w:val="lowerLetter"/>
      <w:lvlText w:val="%1."/>
      <w:lvlJc w:val="left"/>
      <w:pPr>
        <w:tabs>
          <w:tab w:val="num" w:pos="720"/>
        </w:tabs>
        <w:ind w:left="720" w:hanging="360"/>
      </w:pPr>
      <w:rPr>
        <w:rFonts w:cs="Times New Roman" w:hint="default"/>
      </w:rPr>
    </w:lvl>
    <w:lvl w:ilvl="1" w:tplc="DA9ADD68">
      <w:start w:val="1"/>
      <w:numFmt w:val="decimal"/>
      <w:lvlText w:val="%2."/>
      <w:lvlJc w:val="left"/>
      <w:pPr>
        <w:tabs>
          <w:tab w:val="num" w:pos="4815"/>
        </w:tabs>
        <w:ind w:left="4815" w:hanging="3735"/>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6C9A26FD"/>
    <w:multiLevelType w:val="hybridMultilevel"/>
    <w:tmpl w:val="D5CEB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5F914E9"/>
    <w:multiLevelType w:val="hybridMultilevel"/>
    <w:tmpl w:val="C7B05196"/>
    <w:lvl w:ilvl="0" w:tplc="04090001">
      <w:start w:val="1"/>
      <w:numFmt w:val="bullet"/>
      <w:lvlText w:val=""/>
      <w:lvlJc w:val="left"/>
      <w:pPr>
        <w:ind w:left="2447" w:hanging="360"/>
      </w:pPr>
      <w:rPr>
        <w:rFonts w:ascii="Symbol" w:hAnsi="Symbol" w:hint="default"/>
      </w:rPr>
    </w:lvl>
    <w:lvl w:ilvl="1" w:tplc="04090003" w:tentative="1">
      <w:start w:val="1"/>
      <w:numFmt w:val="bullet"/>
      <w:lvlText w:val="o"/>
      <w:lvlJc w:val="left"/>
      <w:pPr>
        <w:ind w:left="3167" w:hanging="360"/>
      </w:pPr>
      <w:rPr>
        <w:rFonts w:ascii="Courier New" w:hAnsi="Courier New" w:cs="Courier New" w:hint="default"/>
      </w:rPr>
    </w:lvl>
    <w:lvl w:ilvl="2" w:tplc="04090005" w:tentative="1">
      <w:start w:val="1"/>
      <w:numFmt w:val="bullet"/>
      <w:lvlText w:val=""/>
      <w:lvlJc w:val="left"/>
      <w:pPr>
        <w:ind w:left="3887" w:hanging="360"/>
      </w:pPr>
      <w:rPr>
        <w:rFonts w:ascii="Wingdings" w:hAnsi="Wingdings" w:hint="default"/>
      </w:rPr>
    </w:lvl>
    <w:lvl w:ilvl="3" w:tplc="04090001" w:tentative="1">
      <w:start w:val="1"/>
      <w:numFmt w:val="bullet"/>
      <w:lvlText w:val=""/>
      <w:lvlJc w:val="left"/>
      <w:pPr>
        <w:ind w:left="4607" w:hanging="360"/>
      </w:pPr>
      <w:rPr>
        <w:rFonts w:ascii="Symbol" w:hAnsi="Symbol" w:hint="default"/>
      </w:rPr>
    </w:lvl>
    <w:lvl w:ilvl="4" w:tplc="04090003" w:tentative="1">
      <w:start w:val="1"/>
      <w:numFmt w:val="bullet"/>
      <w:lvlText w:val="o"/>
      <w:lvlJc w:val="left"/>
      <w:pPr>
        <w:ind w:left="5327" w:hanging="360"/>
      </w:pPr>
      <w:rPr>
        <w:rFonts w:ascii="Courier New" w:hAnsi="Courier New" w:cs="Courier New" w:hint="default"/>
      </w:rPr>
    </w:lvl>
    <w:lvl w:ilvl="5" w:tplc="04090005" w:tentative="1">
      <w:start w:val="1"/>
      <w:numFmt w:val="bullet"/>
      <w:lvlText w:val=""/>
      <w:lvlJc w:val="left"/>
      <w:pPr>
        <w:ind w:left="6047" w:hanging="360"/>
      </w:pPr>
      <w:rPr>
        <w:rFonts w:ascii="Wingdings" w:hAnsi="Wingdings" w:hint="default"/>
      </w:rPr>
    </w:lvl>
    <w:lvl w:ilvl="6" w:tplc="04090001" w:tentative="1">
      <w:start w:val="1"/>
      <w:numFmt w:val="bullet"/>
      <w:lvlText w:val=""/>
      <w:lvlJc w:val="left"/>
      <w:pPr>
        <w:ind w:left="6767" w:hanging="360"/>
      </w:pPr>
      <w:rPr>
        <w:rFonts w:ascii="Symbol" w:hAnsi="Symbol" w:hint="default"/>
      </w:rPr>
    </w:lvl>
    <w:lvl w:ilvl="7" w:tplc="04090003" w:tentative="1">
      <w:start w:val="1"/>
      <w:numFmt w:val="bullet"/>
      <w:lvlText w:val="o"/>
      <w:lvlJc w:val="left"/>
      <w:pPr>
        <w:ind w:left="7487" w:hanging="360"/>
      </w:pPr>
      <w:rPr>
        <w:rFonts w:ascii="Courier New" w:hAnsi="Courier New" w:cs="Courier New" w:hint="default"/>
      </w:rPr>
    </w:lvl>
    <w:lvl w:ilvl="8" w:tplc="04090005" w:tentative="1">
      <w:start w:val="1"/>
      <w:numFmt w:val="bullet"/>
      <w:lvlText w:val=""/>
      <w:lvlJc w:val="left"/>
      <w:pPr>
        <w:ind w:left="8207" w:hanging="360"/>
      </w:pPr>
      <w:rPr>
        <w:rFonts w:ascii="Wingdings" w:hAnsi="Wingdings" w:hint="default"/>
      </w:rPr>
    </w:lvl>
  </w:abstractNum>
  <w:num w:numId="1">
    <w:abstractNumId w:val="8"/>
  </w:num>
  <w:num w:numId="2">
    <w:abstractNumId w:val="4"/>
    <w:lvlOverride w:ilvl="0">
      <w:lvl w:ilvl="0">
        <w:numFmt w:val="decimal"/>
        <w:pStyle w:val="Heading1"/>
        <w:lvlText w:val=""/>
        <w:lvlJc w:val="left"/>
      </w:lvl>
    </w:lvlOverride>
    <w:lvlOverride w:ilvl="1">
      <w:lvl w:ilvl="1">
        <w:start w:val="1"/>
        <w:numFmt w:val="decimal"/>
        <w:pStyle w:val="Heading2"/>
        <w:lvlText w:val="%1.%2"/>
        <w:lvlJc w:val="left"/>
        <w:pPr>
          <w:ind w:left="794" w:hanging="79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specVanish w:val="0"/>
        </w:rPr>
      </w:lvl>
    </w:lvlOverride>
    <w:lvlOverride w:ilvl="2">
      <w:lvl w:ilvl="2">
        <w:start w:val="1"/>
        <w:numFmt w:val="decimal"/>
        <w:pStyle w:val="Heading3"/>
        <w:lvlText w:val="%1.%2.%3"/>
        <w:lvlJc w:val="left"/>
        <w:pPr>
          <w:ind w:left="4488" w:hanging="1078"/>
        </w:pPr>
        <w:rPr>
          <w:rFonts w:hint="default"/>
          <w:sz w:val="24"/>
        </w:rPr>
      </w:lvl>
    </w:lvlOverride>
  </w:num>
  <w:num w:numId="3">
    <w:abstractNumId w:val="4"/>
    <w:lvlOverride w:ilvl="0">
      <w:lvl w:ilvl="0">
        <w:numFmt w:val="decimal"/>
        <w:pStyle w:val="Heading1"/>
        <w:lvlText w:val=""/>
        <w:lvlJc w:val="left"/>
      </w:lvl>
    </w:lvlOverride>
    <w:lvlOverride w:ilvl="1">
      <w:lvl w:ilvl="1">
        <w:numFmt w:val="decimal"/>
        <w:pStyle w:val="Heading2"/>
        <w:lvlText w:val=""/>
        <w:lvlJc w:val="left"/>
      </w:lvl>
    </w:lvlOverride>
    <w:lvlOverride w:ilvl="2">
      <w:lvl w:ilvl="2">
        <w:start w:val="1"/>
        <w:numFmt w:val="decimal"/>
        <w:pStyle w:val="Heading3"/>
        <w:lvlText w:val="%1.%2.%3"/>
        <w:lvlJc w:val="left"/>
        <w:pPr>
          <w:ind w:left="4488" w:hanging="1078"/>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4">
    <w:abstractNumId w:val="15"/>
  </w:num>
  <w:num w:numId="5">
    <w:abstractNumId w:val="2"/>
  </w:num>
  <w:num w:numId="6">
    <w:abstractNumId w:val="7"/>
  </w:num>
  <w:num w:numId="7">
    <w:abstractNumId w:val="14"/>
  </w:num>
  <w:num w:numId="8">
    <w:abstractNumId w:val="9"/>
  </w:num>
  <w:num w:numId="9">
    <w:abstractNumId w:val="5"/>
  </w:num>
  <w:num w:numId="10">
    <w:abstractNumId w:val="4"/>
    <w:lvlOverride w:ilvl="0">
      <w:lvl w:ilvl="0">
        <w:start w:val="1"/>
        <w:numFmt w:val="decimal"/>
        <w:pStyle w:val="Heading1"/>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num>
  <w:num w:numId="11">
    <w:abstractNumId w:val="20"/>
  </w:num>
  <w:num w:numId="12">
    <w:abstractNumId w:val="17"/>
  </w:num>
  <w:num w:numId="13">
    <w:abstractNumId w:val="16"/>
  </w:num>
  <w:num w:numId="14">
    <w:abstractNumId w:val="4"/>
  </w:num>
  <w:num w:numId="15">
    <w:abstractNumId w:val="18"/>
  </w:num>
  <w:num w:numId="16">
    <w:abstractNumId w:val="4"/>
    <w:lvlOverride w:ilvl="0">
      <w:lvl w:ilvl="0">
        <w:numFmt w:val="decimal"/>
        <w:pStyle w:val="Heading1"/>
        <w:lvlText w:val=""/>
        <w:lvlJc w:val="left"/>
      </w:lvl>
    </w:lvlOverride>
    <w:lvlOverride w:ilvl="1">
      <w:lvl w:ilvl="1">
        <w:start w:val="1"/>
        <w:numFmt w:val="decimal"/>
        <w:pStyle w:val="Heading2"/>
        <w:lvlText w:val="%1.%2"/>
        <w:lvlJc w:val="left"/>
        <w:pPr>
          <w:ind w:left="794" w:hanging="79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2">
      <w:lvl w:ilvl="2">
        <w:start w:val="1"/>
        <w:numFmt w:val="decimal"/>
        <w:pStyle w:val="Heading3"/>
        <w:lvlText w:val="%1.%2.%3"/>
        <w:lvlJc w:val="left"/>
        <w:pPr>
          <w:ind w:left="4488" w:hanging="1078"/>
        </w:pPr>
        <w:rPr>
          <w:rFonts w:hint="default"/>
          <w:sz w:val="24"/>
        </w:rPr>
      </w:lvl>
    </w:lvlOverride>
  </w:num>
  <w:num w:numId="17">
    <w:abstractNumId w:val="19"/>
  </w:num>
  <w:num w:numId="18">
    <w:abstractNumId w:val="22"/>
  </w:num>
  <w:num w:numId="19">
    <w:abstractNumId w:val="12"/>
  </w:num>
  <w:num w:numId="20">
    <w:abstractNumId w:val="21"/>
  </w:num>
  <w:num w:numId="21">
    <w:abstractNumId w:val="6"/>
  </w:num>
  <w:num w:numId="22">
    <w:abstractNumId w:val="15"/>
  </w:num>
  <w:num w:numId="23">
    <w:abstractNumId w:val="15"/>
  </w:num>
  <w:num w:numId="24">
    <w:abstractNumId w:val="15"/>
  </w:num>
  <w:num w:numId="25">
    <w:abstractNumId w:val="15"/>
  </w:num>
  <w:num w:numId="26">
    <w:abstractNumId w:val="15"/>
  </w:num>
  <w:num w:numId="27">
    <w:abstractNumId w:val="23"/>
  </w:num>
  <w:num w:numId="28">
    <w:abstractNumId w:val="0"/>
  </w:num>
  <w:num w:numId="29">
    <w:abstractNumId w:val="10"/>
  </w:num>
  <w:num w:numId="30">
    <w:abstractNumId w:val="15"/>
  </w:num>
  <w:num w:numId="31">
    <w:abstractNumId w:val="11"/>
  </w:num>
  <w:num w:numId="32">
    <w:abstractNumId w:val="1"/>
  </w:num>
  <w:num w:numId="33">
    <w:abstractNumId w:val="15"/>
  </w:num>
  <w:num w:numId="34">
    <w:abstractNumId w:val="4"/>
    <w:lvlOverride w:ilvl="0">
      <w:startOverride w:val="8"/>
      <w:lvl w:ilvl="0">
        <w:start w:val="8"/>
        <w:numFmt w:val="decimal"/>
        <w:pStyle w:val="Heading1"/>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startOverride w:val="2"/>
      <w:lvl w:ilvl="1">
        <w:start w:val="2"/>
        <w:numFmt w:val="decimal"/>
        <w:pStyle w:val="Heading2"/>
        <w:lvlText w:val=""/>
        <w:lvlJc w:val="left"/>
      </w:lvl>
    </w:lvlOverride>
    <w:lvlOverride w:ilvl="2">
      <w:startOverride w:val="1"/>
      <w:lvl w:ilvl="2">
        <w:start w:val="1"/>
        <w:numFmt w:val="decimal"/>
        <w:pStyle w:val="Heading3"/>
        <w:lvlText w:val=""/>
        <w:lvlJc w:val="left"/>
      </w:lvl>
    </w:lvlOverride>
  </w:num>
  <w:num w:numId="35">
    <w:abstractNumId w:val="4"/>
    <w:lvlOverride w:ilvl="0">
      <w:lvl w:ilvl="0">
        <w:numFmt w:val="decimal"/>
        <w:pStyle w:val="Heading1"/>
        <w:lvlText w:val=""/>
        <w:lvlJc w:val="left"/>
      </w:lvl>
    </w:lvlOverride>
    <w:lvlOverride w:ilvl="1">
      <w:lvl w:ilvl="1">
        <w:numFmt w:val="decimal"/>
        <w:pStyle w:val="Heading2"/>
        <w:lvlText w:val=""/>
        <w:lvlJc w:val="left"/>
      </w:lvl>
    </w:lvlOverride>
    <w:lvlOverride w:ilvl="2">
      <w:lvl w:ilvl="2">
        <w:start w:val="1"/>
        <w:numFmt w:val="decimal"/>
        <w:pStyle w:val="Heading3"/>
        <w:lvlText w:val="%1.%2.%3"/>
        <w:lvlJc w:val="left"/>
        <w:pPr>
          <w:ind w:left="4488" w:hanging="1078"/>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36">
    <w:abstractNumId w:val="4"/>
    <w:lvlOverride w:ilvl="0">
      <w:lvl w:ilvl="0">
        <w:numFmt w:val="decimal"/>
        <w:pStyle w:val="Heading1"/>
        <w:lvlText w:val=""/>
        <w:lvlJc w:val="left"/>
      </w:lvl>
    </w:lvlOverride>
    <w:lvlOverride w:ilvl="1">
      <w:lvl w:ilvl="1">
        <w:start w:val="1"/>
        <w:numFmt w:val="decimal"/>
        <w:pStyle w:val="Heading2"/>
        <w:lvlText w:val="%1.%2"/>
        <w:lvlJc w:val="left"/>
        <w:pPr>
          <w:ind w:left="794" w:hanging="794"/>
        </w:pPr>
        <w:rPr>
          <w:rFonts w:cs="Times New Roman"/>
          <w:b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Override>
    <w:lvlOverride w:ilvl="2">
      <w:lvl w:ilvl="2">
        <w:start w:val="1"/>
        <w:numFmt w:val="decimal"/>
        <w:pStyle w:val="Heading3"/>
        <w:lvlText w:val="%1.%2.%3"/>
        <w:lvlJc w:val="left"/>
        <w:pPr>
          <w:ind w:left="4488" w:hanging="1078"/>
        </w:pPr>
        <w:rPr>
          <w:rFonts w:hint="default"/>
          <w:sz w:val="24"/>
        </w:rPr>
      </w:lvl>
    </w:lvlOverride>
  </w:num>
  <w:num w:numId="37">
    <w:abstractNumId w:val="15"/>
  </w:num>
  <w:num w:numId="38">
    <w:abstractNumId w:val="13"/>
  </w:num>
  <w:num w:numId="39">
    <w:abstractNumId w:val="15"/>
  </w:num>
  <w:num w:numId="40">
    <w:abstractNumId w:val="4"/>
    <w:lvlOverride w:ilvl="0">
      <w:lvl w:ilvl="0">
        <w:numFmt w:val="decimal"/>
        <w:pStyle w:val="Heading1"/>
        <w:lvlText w:val=""/>
        <w:lvlJc w:val="left"/>
      </w:lvl>
    </w:lvlOverride>
    <w:lvlOverride w:ilvl="1">
      <w:lvl w:ilvl="1">
        <w:numFmt w:val="decimal"/>
        <w:pStyle w:val="Heading2"/>
        <w:lvlText w:val=""/>
        <w:lvlJc w:val="left"/>
      </w:lvl>
    </w:lvlOverride>
    <w:lvlOverride w:ilvl="2">
      <w:lvl w:ilvl="2">
        <w:start w:val="1"/>
        <w:numFmt w:val="decimal"/>
        <w:pStyle w:val="Heading3"/>
        <w:lvlText w:val="%1.%2.%3"/>
        <w:lvlJc w:val="left"/>
        <w:pPr>
          <w:ind w:left="4488" w:hanging="1078"/>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41">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oNotDisplayPageBoundarie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evenAndOddHeaders/>
  <w:drawingGridHorizontalSpacing w:val="110"/>
  <w:displayHorizontalDrawingGridEvery w:val="2"/>
  <w:noPunctuationKerning/>
  <w:characterSpacingControl w:val="doNotCompress"/>
  <w:hdrShapeDefaults>
    <o:shapedefaults v:ext="edit" spidmax="47105"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4"/>
  </w:compat>
  <w:docVars>
    <w:docVar w:name="EN.InstantFormat" w:val="&lt;ENInstantFormat&gt;&lt;Enabled&gt;0&lt;/Enabled&gt;&lt;ScanUnformatted&gt;1&lt;/ScanUnformatted&gt;&lt;ScanChanges&gt;1&lt;/ScanChanges&gt;&lt;/ENInstantFormat&gt;"/>
    <w:docVar w:name="EN.Layout" w:val="&lt;ENLayout&gt;&lt;Style&gt;SPRC v4&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My EndNote Library.enl&lt;/item&gt;&lt;/Libraries&gt;&lt;/ENLibraries&gt;"/>
  </w:docVars>
  <w:rsids>
    <w:rsidRoot w:val="00CD51A3"/>
    <w:rsid w:val="000005DA"/>
    <w:rsid w:val="00000C3E"/>
    <w:rsid w:val="00001111"/>
    <w:rsid w:val="000016E1"/>
    <w:rsid w:val="000024CF"/>
    <w:rsid w:val="00002657"/>
    <w:rsid w:val="0000297F"/>
    <w:rsid w:val="000029C1"/>
    <w:rsid w:val="00002BD4"/>
    <w:rsid w:val="0000302E"/>
    <w:rsid w:val="000033C2"/>
    <w:rsid w:val="00003734"/>
    <w:rsid w:val="00004A84"/>
    <w:rsid w:val="00004B05"/>
    <w:rsid w:val="00004B2B"/>
    <w:rsid w:val="00004BA8"/>
    <w:rsid w:val="00004F84"/>
    <w:rsid w:val="00005042"/>
    <w:rsid w:val="00006A70"/>
    <w:rsid w:val="00006C5D"/>
    <w:rsid w:val="00006E36"/>
    <w:rsid w:val="00007162"/>
    <w:rsid w:val="00007CA6"/>
    <w:rsid w:val="00007EF0"/>
    <w:rsid w:val="00007FB2"/>
    <w:rsid w:val="0001158C"/>
    <w:rsid w:val="000115BC"/>
    <w:rsid w:val="00011810"/>
    <w:rsid w:val="00011D53"/>
    <w:rsid w:val="00012898"/>
    <w:rsid w:val="00012931"/>
    <w:rsid w:val="00012937"/>
    <w:rsid w:val="00012E1D"/>
    <w:rsid w:val="00013206"/>
    <w:rsid w:val="00013432"/>
    <w:rsid w:val="000137FE"/>
    <w:rsid w:val="00013C2D"/>
    <w:rsid w:val="00014B45"/>
    <w:rsid w:val="00014BA2"/>
    <w:rsid w:val="00014BF2"/>
    <w:rsid w:val="00014C08"/>
    <w:rsid w:val="000152D6"/>
    <w:rsid w:val="00015A33"/>
    <w:rsid w:val="00015F3C"/>
    <w:rsid w:val="000162A1"/>
    <w:rsid w:val="00016EB3"/>
    <w:rsid w:val="00016F53"/>
    <w:rsid w:val="00020C06"/>
    <w:rsid w:val="00021176"/>
    <w:rsid w:val="00021F77"/>
    <w:rsid w:val="00021FA7"/>
    <w:rsid w:val="0002204B"/>
    <w:rsid w:val="00022576"/>
    <w:rsid w:val="000234FA"/>
    <w:rsid w:val="0002351B"/>
    <w:rsid w:val="0002353F"/>
    <w:rsid w:val="000238F6"/>
    <w:rsid w:val="00023D59"/>
    <w:rsid w:val="00024349"/>
    <w:rsid w:val="000243FD"/>
    <w:rsid w:val="00024FCD"/>
    <w:rsid w:val="00025804"/>
    <w:rsid w:val="0002625F"/>
    <w:rsid w:val="000263DA"/>
    <w:rsid w:val="00026453"/>
    <w:rsid w:val="000264F4"/>
    <w:rsid w:val="000271A2"/>
    <w:rsid w:val="00027563"/>
    <w:rsid w:val="00027723"/>
    <w:rsid w:val="00027B94"/>
    <w:rsid w:val="00030881"/>
    <w:rsid w:val="00031199"/>
    <w:rsid w:val="0003166C"/>
    <w:rsid w:val="0003183A"/>
    <w:rsid w:val="00031A72"/>
    <w:rsid w:val="00031F9C"/>
    <w:rsid w:val="00032323"/>
    <w:rsid w:val="00032530"/>
    <w:rsid w:val="0003283A"/>
    <w:rsid w:val="000328F3"/>
    <w:rsid w:val="00032F3F"/>
    <w:rsid w:val="000331FE"/>
    <w:rsid w:val="000332BA"/>
    <w:rsid w:val="0003377F"/>
    <w:rsid w:val="00033D10"/>
    <w:rsid w:val="0003448E"/>
    <w:rsid w:val="00034955"/>
    <w:rsid w:val="00034962"/>
    <w:rsid w:val="00034D16"/>
    <w:rsid w:val="00034FD7"/>
    <w:rsid w:val="00035277"/>
    <w:rsid w:val="0003546F"/>
    <w:rsid w:val="000357AD"/>
    <w:rsid w:val="00035D50"/>
    <w:rsid w:val="00036271"/>
    <w:rsid w:val="00037033"/>
    <w:rsid w:val="00037123"/>
    <w:rsid w:val="00037A4E"/>
    <w:rsid w:val="00037AB2"/>
    <w:rsid w:val="000400F0"/>
    <w:rsid w:val="000401CF"/>
    <w:rsid w:val="00040362"/>
    <w:rsid w:val="000406B5"/>
    <w:rsid w:val="00040B90"/>
    <w:rsid w:val="00040EB3"/>
    <w:rsid w:val="00041143"/>
    <w:rsid w:val="00041643"/>
    <w:rsid w:val="0004229F"/>
    <w:rsid w:val="0004295A"/>
    <w:rsid w:val="00042CF0"/>
    <w:rsid w:val="0004330E"/>
    <w:rsid w:val="00043A45"/>
    <w:rsid w:val="00043E5B"/>
    <w:rsid w:val="000443D0"/>
    <w:rsid w:val="00045CC4"/>
    <w:rsid w:val="00046276"/>
    <w:rsid w:val="00046538"/>
    <w:rsid w:val="0004683F"/>
    <w:rsid w:val="000468C2"/>
    <w:rsid w:val="000468DC"/>
    <w:rsid w:val="0004696B"/>
    <w:rsid w:val="00046CA0"/>
    <w:rsid w:val="00046FD5"/>
    <w:rsid w:val="00047109"/>
    <w:rsid w:val="00047208"/>
    <w:rsid w:val="0004784A"/>
    <w:rsid w:val="00047966"/>
    <w:rsid w:val="00047BA1"/>
    <w:rsid w:val="00050386"/>
    <w:rsid w:val="000508B6"/>
    <w:rsid w:val="00050A27"/>
    <w:rsid w:val="00050EE4"/>
    <w:rsid w:val="00051003"/>
    <w:rsid w:val="0005112A"/>
    <w:rsid w:val="00051545"/>
    <w:rsid w:val="00051883"/>
    <w:rsid w:val="000518DC"/>
    <w:rsid w:val="00051CDC"/>
    <w:rsid w:val="000526AC"/>
    <w:rsid w:val="00052FFF"/>
    <w:rsid w:val="000535CF"/>
    <w:rsid w:val="0005400E"/>
    <w:rsid w:val="0005483A"/>
    <w:rsid w:val="00054CE9"/>
    <w:rsid w:val="00054D54"/>
    <w:rsid w:val="0005527D"/>
    <w:rsid w:val="000559F1"/>
    <w:rsid w:val="00055BC0"/>
    <w:rsid w:val="00055BC5"/>
    <w:rsid w:val="0005615D"/>
    <w:rsid w:val="00056800"/>
    <w:rsid w:val="00057351"/>
    <w:rsid w:val="0005765F"/>
    <w:rsid w:val="00057783"/>
    <w:rsid w:val="00057CA1"/>
    <w:rsid w:val="00057EC8"/>
    <w:rsid w:val="00060CD0"/>
    <w:rsid w:val="00061441"/>
    <w:rsid w:val="0006153C"/>
    <w:rsid w:val="000616A9"/>
    <w:rsid w:val="00061828"/>
    <w:rsid w:val="0006189D"/>
    <w:rsid w:val="00061B50"/>
    <w:rsid w:val="00061B61"/>
    <w:rsid w:val="00061D2F"/>
    <w:rsid w:val="0006262D"/>
    <w:rsid w:val="0006274D"/>
    <w:rsid w:val="0006292A"/>
    <w:rsid w:val="000637C3"/>
    <w:rsid w:val="000637D5"/>
    <w:rsid w:val="00063B8A"/>
    <w:rsid w:val="00064538"/>
    <w:rsid w:val="000647CC"/>
    <w:rsid w:val="0006499F"/>
    <w:rsid w:val="00064CD2"/>
    <w:rsid w:val="00064F7E"/>
    <w:rsid w:val="00065C2A"/>
    <w:rsid w:val="00065D83"/>
    <w:rsid w:val="00065F30"/>
    <w:rsid w:val="000667DA"/>
    <w:rsid w:val="000672B3"/>
    <w:rsid w:val="0006730C"/>
    <w:rsid w:val="00067386"/>
    <w:rsid w:val="00067514"/>
    <w:rsid w:val="000700F4"/>
    <w:rsid w:val="0007117D"/>
    <w:rsid w:val="000719C9"/>
    <w:rsid w:val="00071FCD"/>
    <w:rsid w:val="00072669"/>
    <w:rsid w:val="000728AE"/>
    <w:rsid w:val="00072A3B"/>
    <w:rsid w:val="00072B2D"/>
    <w:rsid w:val="00072C0D"/>
    <w:rsid w:val="00072D8B"/>
    <w:rsid w:val="0007428C"/>
    <w:rsid w:val="0007489C"/>
    <w:rsid w:val="00074A20"/>
    <w:rsid w:val="00074ABF"/>
    <w:rsid w:val="00074D0B"/>
    <w:rsid w:val="000754E1"/>
    <w:rsid w:val="00075774"/>
    <w:rsid w:val="00075987"/>
    <w:rsid w:val="00075C51"/>
    <w:rsid w:val="00076E95"/>
    <w:rsid w:val="00076F2F"/>
    <w:rsid w:val="00076FF4"/>
    <w:rsid w:val="00077699"/>
    <w:rsid w:val="0007776D"/>
    <w:rsid w:val="0007781A"/>
    <w:rsid w:val="00077D30"/>
    <w:rsid w:val="0008044A"/>
    <w:rsid w:val="000806AD"/>
    <w:rsid w:val="00080A66"/>
    <w:rsid w:val="00081492"/>
    <w:rsid w:val="0008169E"/>
    <w:rsid w:val="00081D78"/>
    <w:rsid w:val="0008254C"/>
    <w:rsid w:val="00082BCB"/>
    <w:rsid w:val="00082D5B"/>
    <w:rsid w:val="00082EFD"/>
    <w:rsid w:val="0008326F"/>
    <w:rsid w:val="0008368A"/>
    <w:rsid w:val="000837DE"/>
    <w:rsid w:val="00083995"/>
    <w:rsid w:val="00084592"/>
    <w:rsid w:val="0008490F"/>
    <w:rsid w:val="0008579E"/>
    <w:rsid w:val="00085E1B"/>
    <w:rsid w:val="00085E56"/>
    <w:rsid w:val="00085FD9"/>
    <w:rsid w:val="000861E8"/>
    <w:rsid w:val="00086368"/>
    <w:rsid w:val="00086443"/>
    <w:rsid w:val="000865D1"/>
    <w:rsid w:val="00086BEB"/>
    <w:rsid w:val="0008705E"/>
    <w:rsid w:val="000871F9"/>
    <w:rsid w:val="00087FDB"/>
    <w:rsid w:val="00090450"/>
    <w:rsid w:val="000907A9"/>
    <w:rsid w:val="000909EB"/>
    <w:rsid w:val="00090A2C"/>
    <w:rsid w:val="00090DC9"/>
    <w:rsid w:val="00090E13"/>
    <w:rsid w:val="00091053"/>
    <w:rsid w:val="00091AD7"/>
    <w:rsid w:val="00091CB2"/>
    <w:rsid w:val="00091D6C"/>
    <w:rsid w:val="00091E2F"/>
    <w:rsid w:val="00091F93"/>
    <w:rsid w:val="000936E2"/>
    <w:rsid w:val="0009377F"/>
    <w:rsid w:val="00093CD2"/>
    <w:rsid w:val="00093CED"/>
    <w:rsid w:val="00093E17"/>
    <w:rsid w:val="00093E5B"/>
    <w:rsid w:val="000942E5"/>
    <w:rsid w:val="000947BD"/>
    <w:rsid w:val="000948EA"/>
    <w:rsid w:val="000949BC"/>
    <w:rsid w:val="00094A52"/>
    <w:rsid w:val="000953C1"/>
    <w:rsid w:val="000954EA"/>
    <w:rsid w:val="000958D3"/>
    <w:rsid w:val="00095919"/>
    <w:rsid w:val="00095A1D"/>
    <w:rsid w:val="00096A8A"/>
    <w:rsid w:val="00097012"/>
    <w:rsid w:val="00097148"/>
    <w:rsid w:val="000975E8"/>
    <w:rsid w:val="00097B34"/>
    <w:rsid w:val="00097B66"/>
    <w:rsid w:val="00097DF6"/>
    <w:rsid w:val="00097F61"/>
    <w:rsid w:val="000A073B"/>
    <w:rsid w:val="000A0A53"/>
    <w:rsid w:val="000A0AE6"/>
    <w:rsid w:val="000A14E1"/>
    <w:rsid w:val="000A1B09"/>
    <w:rsid w:val="000A2465"/>
    <w:rsid w:val="000A2A77"/>
    <w:rsid w:val="000A2FA6"/>
    <w:rsid w:val="000A3072"/>
    <w:rsid w:val="000A3178"/>
    <w:rsid w:val="000A32F2"/>
    <w:rsid w:val="000A4473"/>
    <w:rsid w:val="000A48DC"/>
    <w:rsid w:val="000A4C6B"/>
    <w:rsid w:val="000A549A"/>
    <w:rsid w:val="000A5907"/>
    <w:rsid w:val="000A6105"/>
    <w:rsid w:val="000A62CE"/>
    <w:rsid w:val="000A69AD"/>
    <w:rsid w:val="000A73BC"/>
    <w:rsid w:val="000A786E"/>
    <w:rsid w:val="000A7B7E"/>
    <w:rsid w:val="000A7D36"/>
    <w:rsid w:val="000B0BC5"/>
    <w:rsid w:val="000B1536"/>
    <w:rsid w:val="000B16EB"/>
    <w:rsid w:val="000B2C62"/>
    <w:rsid w:val="000B30BF"/>
    <w:rsid w:val="000B3191"/>
    <w:rsid w:val="000B3427"/>
    <w:rsid w:val="000B3467"/>
    <w:rsid w:val="000B37CB"/>
    <w:rsid w:val="000B3931"/>
    <w:rsid w:val="000B3CAA"/>
    <w:rsid w:val="000B3DA7"/>
    <w:rsid w:val="000B4493"/>
    <w:rsid w:val="000B46BE"/>
    <w:rsid w:val="000B494E"/>
    <w:rsid w:val="000B4AF3"/>
    <w:rsid w:val="000B4D7C"/>
    <w:rsid w:val="000B5A7B"/>
    <w:rsid w:val="000B60C3"/>
    <w:rsid w:val="000B61BF"/>
    <w:rsid w:val="000B6388"/>
    <w:rsid w:val="000B6577"/>
    <w:rsid w:val="000B6A12"/>
    <w:rsid w:val="000B6B5D"/>
    <w:rsid w:val="000B6B87"/>
    <w:rsid w:val="000B7668"/>
    <w:rsid w:val="000C0128"/>
    <w:rsid w:val="000C0237"/>
    <w:rsid w:val="000C055A"/>
    <w:rsid w:val="000C1CC5"/>
    <w:rsid w:val="000C1F0B"/>
    <w:rsid w:val="000C1F1D"/>
    <w:rsid w:val="000C22E0"/>
    <w:rsid w:val="000C25D8"/>
    <w:rsid w:val="000C291D"/>
    <w:rsid w:val="000C3056"/>
    <w:rsid w:val="000C3442"/>
    <w:rsid w:val="000C3753"/>
    <w:rsid w:val="000C3CB0"/>
    <w:rsid w:val="000C4A8A"/>
    <w:rsid w:val="000C4BA0"/>
    <w:rsid w:val="000C52A0"/>
    <w:rsid w:val="000C5551"/>
    <w:rsid w:val="000C6344"/>
    <w:rsid w:val="000C6782"/>
    <w:rsid w:val="000C6BCB"/>
    <w:rsid w:val="000C6D6E"/>
    <w:rsid w:val="000C7855"/>
    <w:rsid w:val="000C7A46"/>
    <w:rsid w:val="000C7CF1"/>
    <w:rsid w:val="000D0050"/>
    <w:rsid w:val="000D109A"/>
    <w:rsid w:val="000D124A"/>
    <w:rsid w:val="000D35D6"/>
    <w:rsid w:val="000D3971"/>
    <w:rsid w:val="000D3DD7"/>
    <w:rsid w:val="000D437B"/>
    <w:rsid w:val="000D470B"/>
    <w:rsid w:val="000D4BC9"/>
    <w:rsid w:val="000D5BDE"/>
    <w:rsid w:val="000D61BC"/>
    <w:rsid w:val="000D640C"/>
    <w:rsid w:val="000D6932"/>
    <w:rsid w:val="000D6B66"/>
    <w:rsid w:val="000D7591"/>
    <w:rsid w:val="000E0070"/>
    <w:rsid w:val="000E009A"/>
    <w:rsid w:val="000E010C"/>
    <w:rsid w:val="000E062E"/>
    <w:rsid w:val="000E0AF5"/>
    <w:rsid w:val="000E113F"/>
    <w:rsid w:val="000E14B1"/>
    <w:rsid w:val="000E1E89"/>
    <w:rsid w:val="000E1EBB"/>
    <w:rsid w:val="000E3329"/>
    <w:rsid w:val="000E36B2"/>
    <w:rsid w:val="000E38E1"/>
    <w:rsid w:val="000E396B"/>
    <w:rsid w:val="000E3BBF"/>
    <w:rsid w:val="000E4249"/>
    <w:rsid w:val="000E42F2"/>
    <w:rsid w:val="000E4473"/>
    <w:rsid w:val="000E4AC8"/>
    <w:rsid w:val="000E4B4A"/>
    <w:rsid w:val="000E4E3D"/>
    <w:rsid w:val="000E56A0"/>
    <w:rsid w:val="000E5C61"/>
    <w:rsid w:val="000E61CE"/>
    <w:rsid w:val="000E63E8"/>
    <w:rsid w:val="000E667F"/>
    <w:rsid w:val="000E79FA"/>
    <w:rsid w:val="000E7B62"/>
    <w:rsid w:val="000F000C"/>
    <w:rsid w:val="000F0318"/>
    <w:rsid w:val="000F08FE"/>
    <w:rsid w:val="000F142B"/>
    <w:rsid w:val="000F1625"/>
    <w:rsid w:val="000F1680"/>
    <w:rsid w:val="000F2430"/>
    <w:rsid w:val="000F2484"/>
    <w:rsid w:val="000F2AD7"/>
    <w:rsid w:val="000F3039"/>
    <w:rsid w:val="000F352E"/>
    <w:rsid w:val="000F35F5"/>
    <w:rsid w:val="000F4DDD"/>
    <w:rsid w:val="000F59C8"/>
    <w:rsid w:val="000F5C80"/>
    <w:rsid w:val="000F6F83"/>
    <w:rsid w:val="000F71BB"/>
    <w:rsid w:val="000F72B1"/>
    <w:rsid w:val="00100093"/>
    <w:rsid w:val="00100C8C"/>
    <w:rsid w:val="0010104D"/>
    <w:rsid w:val="001013EC"/>
    <w:rsid w:val="001026CF"/>
    <w:rsid w:val="001028C3"/>
    <w:rsid w:val="001029C9"/>
    <w:rsid w:val="00102C54"/>
    <w:rsid w:val="00102CFC"/>
    <w:rsid w:val="00103101"/>
    <w:rsid w:val="0010312D"/>
    <w:rsid w:val="00104529"/>
    <w:rsid w:val="00104F37"/>
    <w:rsid w:val="00105170"/>
    <w:rsid w:val="00105814"/>
    <w:rsid w:val="00105A1F"/>
    <w:rsid w:val="00105D07"/>
    <w:rsid w:val="00106951"/>
    <w:rsid w:val="00106AFE"/>
    <w:rsid w:val="00106E39"/>
    <w:rsid w:val="001070DB"/>
    <w:rsid w:val="0010765F"/>
    <w:rsid w:val="00107796"/>
    <w:rsid w:val="00107998"/>
    <w:rsid w:val="001100B8"/>
    <w:rsid w:val="0011026F"/>
    <w:rsid w:val="001102A1"/>
    <w:rsid w:val="00110B1E"/>
    <w:rsid w:val="00110CBB"/>
    <w:rsid w:val="00110DBB"/>
    <w:rsid w:val="00110F01"/>
    <w:rsid w:val="00111055"/>
    <w:rsid w:val="00111174"/>
    <w:rsid w:val="00111412"/>
    <w:rsid w:val="00111759"/>
    <w:rsid w:val="001118EF"/>
    <w:rsid w:val="00111A79"/>
    <w:rsid w:val="00111E0D"/>
    <w:rsid w:val="00111FDB"/>
    <w:rsid w:val="00111FE8"/>
    <w:rsid w:val="001127DE"/>
    <w:rsid w:val="00112897"/>
    <w:rsid w:val="00112B8E"/>
    <w:rsid w:val="00112EDE"/>
    <w:rsid w:val="001131D7"/>
    <w:rsid w:val="0011357B"/>
    <w:rsid w:val="001135B1"/>
    <w:rsid w:val="00113875"/>
    <w:rsid w:val="00114054"/>
    <w:rsid w:val="001142FD"/>
    <w:rsid w:val="001145D8"/>
    <w:rsid w:val="0011469E"/>
    <w:rsid w:val="00114891"/>
    <w:rsid w:val="00114A9A"/>
    <w:rsid w:val="00114C5C"/>
    <w:rsid w:val="00114CD8"/>
    <w:rsid w:val="00114E9D"/>
    <w:rsid w:val="0011503C"/>
    <w:rsid w:val="00115174"/>
    <w:rsid w:val="00115234"/>
    <w:rsid w:val="0011538A"/>
    <w:rsid w:val="00115749"/>
    <w:rsid w:val="00115D03"/>
    <w:rsid w:val="00115E49"/>
    <w:rsid w:val="00115E64"/>
    <w:rsid w:val="0011673E"/>
    <w:rsid w:val="00116A89"/>
    <w:rsid w:val="00116E13"/>
    <w:rsid w:val="00117546"/>
    <w:rsid w:val="00117ABD"/>
    <w:rsid w:val="00117B45"/>
    <w:rsid w:val="00117F76"/>
    <w:rsid w:val="0012002D"/>
    <w:rsid w:val="001201C2"/>
    <w:rsid w:val="0012033F"/>
    <w:rsid w:val="00120586"/>
    <w:rsid w:val="001209DE"/>
    <w:rsid w:val="00120B70"/>
    <w:rsid w:val="00120CBD"/>
    <w:rsid w:val="00120E87"/>
    <w:rsid w:val="00120F69"/>
    <w:rsid w:val="00121362"/>
    <w:rsid w:val="00121375"/>
    <w:rsid w:val="0012150D"/>
    <w:rsid w:val="001215D8"/>
    <w:rsid w:val="0012203F"/>
    <w:rsid w:val="00122656"/>
    <w:rsid w:val="0012282B"/>
    <w:rsid w:val="001229A2"/>
    <w:rsid w:val="00123419"/>
    <w:rsid w:val="00123F25"/>
    <w:rsid w:val="001246B9"/>
    <w:rsid w:val="00124774"/>
    <w:rsid w:val="00124931"/>
    <w:rsid w:val="00124FCB"/>
    <w:rsid w:val="001256F4"/>
    <w:rsid w:val="0012570B"/>
    <w:rsid w:val="00125E66"/>
    <w:rsid w:val="00126122"/>
    <w:rsid w:val="001264E4"/>
    <w:rsid w:val="00126D3E"/>
    <w:rsid w:val="00127038"/>
    <w:rsid w:val="001276C0"/>
    <w:rsid w:val="00127AFC"/>
    <w:rsid w:val="00127D20"/>
    <w:rsid w:val="00127E17"/>
    <w:rsid w:val="00130DDD"/>
    <w:rsid w:val="00130DF9"/>
    <w:rsid w:val="00130EFE"/>
    <w:rsid w:val="001317F4"/>
    <w:rsid w:val="00131ACD"/>
    <w:rsid w:val="00131CAF"/>
    <w:rsid w:val="00132403"/>
    <w:rsid w:val="00132443"/>
    <w:rsid w:val="00132952"/>
    <w:rsid w:val="00132E01"/>
    <w:rsid w:val="00132EAD"/>
    <w:rsid w:val="00133D5A"/>
    <w:rsid w:val="001340BA"/>
    <w:rsid w:val="0013412A"/>
    <w:rsid w:val="0013434A"/>
    <w:rsid w:val="001346FE"/>
    <w:rsid w:val="00134CC8"/>
    <w:rsid w:val="00135279"/>
    <w:rsid w:val="00135D49"/>
    <w:rsid w:val="001364C8"/>
    <w:rsid w:val="001365FA"/>
    <w:rsid w:val="00136CEF"/>
    <w:rsid w:val="00136CFE"/>
    <w:rsid w:val="001370F8"/>
    <w:rsid w:val="001372EB"/>
    <w:rsid w:val="0013752A"/>
    <w:rsid w:val="001378EA"/>
    <w:rsid w:val="00137E53"/>
    <w:rsid w:val="00137FAE"/>
    <w:rsid w:val="00140849"/>
    <w:rsid w:val="001410E1"/>
    <w:rsid w:val="0014147A"/>
    <w:rsid w:val="001417A9"/>
    <w:rsid w:val="00141D97"/>
    <w:rsid w:val="00142045"/>
    <w:rsid w:val="00142294"/>
    <w:rsid w:val="0014238D"/>
    <w:rsid w:val="0014242D"/>
    <w:rsid w:val="00142564"/>
    <w:rsid w:val="001428BD"/>
    <w:rsid w:val="001429AF"/>
    <w:rsid w:val="00142C0E"/>
    <w:rsid w:val="00142D74"/>
    <w:rsid w:val="00143812"/>
    <w:rsid w:val="00143DC0"/>
    <w:rsid w:val="00144D16"/>
    <w:rsid w:val="00144FD0"/>
    <w:rsid w:val="00145139"/>
    <w:rsid w:val="00146D7A"/>
    <w:rsid w:val="00146F58"/>
    <w:rsid w:val="00147A42"/>
    <w:rsid w:val="00147B95"/>
    <w:rsid w:val="0015033D"/>
    <w:rsid w:val="0015070C"/>
    <w:rsid w:val="00150D74"/>
    <w:rsid w:val="00151031"/>
    <w:rsid w:val="0015122F"/>
    <w:rsid w:val="0015123B"/>
    <w:rsid w:val="001515A0"/>
    <w:rsid w:val="00151651"/>
    <w:rsid w:val="001521C2"/>
    <w:rsid w:val="001527D8"/>
    <w:rsid w:val="00152826"/>
    <w:rsid w:val="001528F5"/>
    <w:rsid w:val="00152A23"/>
    <w:rsid w:val="00153080"/>
    <w:rsid w:val="001534BD"/>
    <w:rsid w:val="0015371E"/>
    <w:rsid w:val="00153AF5"/>
    <w:rsid w:val="00153BA0"/>
    <w:rsid w:val="0015416E"/>
    <w:rsid w:val="0015461E"/>
    <w:rsid w:val="00154778"/>
    <w:rsid w:val="00154E2A"/>
    <w:rsid w:val="0015589E"/>
    <w:rsid w:val="001558BF"/>
    <w:rsid w:val="00156100"/>
    <w:rsid w:val="0015648C"/>
    <w:rsid w:val="00156492"/>
    <w:rsid w:val="001564AD"/>
    <w:rsid w:val="0015689C"/>
    <w:rsid w:val="00156977"/>
    <w:rsid w:val="00156C05"/>
    <w:rsid w:val="00157D32"/>
    <w:rsid w:val="00157D33"/>
    <w:rsid w:val="00157D88"/>
    <w:rsid w:val="00157FC8"/>
    <w:rsid w:val="001607D2"/>
    <w:rsid w:val="00160807"/>
    <w:rsid w:val="00160921"/>
    <w:rsid w:val="00160FA4"/>
    <w:rsid w:val="00161665"/>
    <w:rsid w:val="0016195A"/>
    <w:rsid w:val="0016200D"/>
    <w:rsid w:val="00162B83"/>
    <w:rsid w:val="00162E54"/>
    <w:rsid w:val="00163123"/>
    <w:rsid w:val="00163350"/>
    <w:rsid w:val="00164348"/>
    <w:rsid w:val="00164828"/>
    <w:rsid w:val="00164E5D"/>
    <w:rsid w:val="00164E78"/>
    <w:rsid w:val="001653F9"/>
    <w:rsid w:val="00165B79"/>
    <w:rsid w:val="00165DA8"/>
    <w:rsid w:val="001669B1"/>
    <w:rsid w:val="00166D49"/>
    <w:rsid w:val="00166F3E"/>
    <w:rsid w:val="0016734D"/>
    <w:rsid w:val="001675F1"/>
    <w:rsid w:val="001678A1"/>
    <w:rsid w:val="00167B3E"/>
    <w:rsid w:val="00167BB3"/>
    <w:rsid w:val="00167BEB"/>
    <w:rsid w:val="00171C3E"/>
    <w:rsid w:val="00171F55"/>
    <w:rsid w:val="001721AF"/>
    <w:rsid w:val="00172415"/>
    <w:rsid w:val="0017281E"/>
    <w:rsid w:val="001732D1"/>
    <w:rsid w:val="00173860"/>
    <w:rsid w:val="001749A4"/>
    <w:rsid w:val="00174D41"/>
    <w:rsid w:val="00175299"/>
    <w:rsid w:val="00175D78"/>
    <w:rsid w:val="00176184"/>
    <w:rsid w:val="0017633A"/>
    <w:rsid w:val="001763E6"/>
    <w:rsid w:val="0017685C"/>
    <w:rsid w:val="00176AF6"/>
    <w:rsid w:val="00176FAB"/>
    <w:rsid w:val="00176FEC"/>
    <w:rsid w:val="00177518"/>
    <w:rsid w:val="00177623"/>
    <w:rsid w:val="00177F68"/>
    <w:rsid w:val="001808D8"/>
    <w:rsid w:val="00180DA2"/>
    <w:rsid w:val="00180E0E"/>
    <w:rsid w:val="00180FC0"/>
    <w:rsid w:val="001813C9"/>
    <w:rsid w:val="001818FF"/>
    <w:rsid w:val="00181A10"/>
    <w:rsid w:val="00183116"/>
    <w:rsid w:val="001835F0"/>
    <w:rsid w:val="00183C03"/>
    <w:rsid w:val="00183EF0"/>
    <w:rsid w:val="00184AAD"/>
    <w:rsid w:val="00184C50"/>
    <w:rsid w:val="0018505E"/>
    <w:rsid w:val="0018546C"/>
    <w:rsid w:val="0018550D"/>
    <w:rsid w:val="001856B4"/>
    <w:rsid w:val="001857ED"/>
    <w:rsid w:val="00185989"/>
    <w:rsid w:val="0018601C"/>
    <w:rsid w:val="00186414"/>
    <w:rsid w:val="00186BD8"/>
    <w:rsid w:val="00186FE2"/>
    <w:rsid w:val="0018771B"/>
    <w:rsid w:val="001879E4"/>
    <w:rsid w:val="00187A5A"/>
    <w:rsid w:val="0019090B"/>
    <w:rsid w:val="00190ADA"/>
    <w:rsid w:val="00190F13"/>
    <w:rsid w:val="00191A76"/>
    <w:rsid w:val="00191B35"/>
    <w:rsid w:val="00191D38"/>
    <w:rsid w:val="00191E0D"/>
    <w:rsid w:val="00193346"/>
    <w:rsid w:val="001934C4"/>
    <w:rsid w:val="001942CA"/>
    <w:rsid w:val="001946CF"/>
    <w:rsid w:val="00194AE5"/>
    <w:rsid w:val="00194CBC"/>
    <w:rsid w:val="00194D5D"/>
    <w:rsid w:val="001950E3"/>
    <w:rsid w:val="001952C4"/>
    <w:rsid w:val="001956D5"/>
    <w:rsid w:val="00195B72"/>
    <w:rsid w:val="00195D6C"/>
    <w:rsid w:val="0019607A"/>
    <w:rsid w:val="00196548"/>
    <w:rsid w:val="001965F0"/>
    <w:rsid w:val="00196626"/>
    <w:rsid w:val="0019691D"/>
    <w:rsid w:val="00196D67"/>
    <w:rsid w:val="001970FF"/>
    <w:rsid w:val="00197109"/>
    <w:rsid w:val="0019724D"/>
    <w:rsid w:val="00197522"/>
    <w:rsid w:val="00197656"/>
    <w:rsid w:val="001977DF"/>
    <w:rsid w:val="001A0604"/>
    <w:rsid w:val="001A0748"/>
    <w:rsid w:val="001A0845"/>
    <w:rsid w:val="001A0902"/>
    <w:rsid w:val="001A1248"/>
    <w:rsid w:val="001A1C59"/>
    <w:rsid w:val="001A2465"/>
    <w:rsid w:val="001A2B8C"/>
    <w:rsid w:val="001A2BD7"/>
    <w:rsid w:val="001A2CBA"/>
    <w:rsid w:val="001A2D9E"/>
    <w:rsid w:val="001A2E07"/>
    <w:rsid w:val="001A306F"/>
    <w:rsid w:val="001A3F6F"/>
    <w:rsid w:val="001A4417"/>
    <w:rsid w:val="001A44C6"/>
    <w:rsid w:val="001A4817"/>
    <w:rsid w:val="001A4AB7"/>
    <w:rsid w:val="001A4D7E"/>
    <w:rsid w:val="001A516C"/>
    <w:rsid w:val="001A5171"/>
    <w:rsid w:val="001A5279"/>
    <w:rsid w:val="001A5355"/>
    <w:rsid w:val="001A58CB"/>
    <w:rsid w:val="001A5BC2"/>
    <w:rsid w:val="001A738D"/>
    <w:rsid w:val="001A76E3"/>
    <w:rsid w:val="001A7859"/>
    <w:rsid w:val="001A7D9F"/>
    <w:rsid w:val="001A7F87"/>
    <w:rsid w:val="001B0111"/>
    <w:rsid w:val="001B06DB"/>
    <w:rsid w:val="001B0FFA"/>
    <w:rsid w:val="001B12D5"/>
    <w:rsid w:val="001B1938"/>
    <w:rsid w:val="001B193E"/>
    <w:rsid w:val="001B1BB4"/>
    <w:rsid w:val="001B1D09"/>
    <w:rsid w:val="001B1DAE"/>
    <w:rsid w:val="001B1F64"/>
    <w:rsid w:val="001B2735"/>
    <w:rsid w:val="001B2EA8"/>
    <w:rsid w:val="001B3445"/>
    <w:rsid w:val="001B3E0F"/>
    <w:rsid w:val="001B3FD3"/>
    <w:rsid w:val="001B4FC7"/>
    <w:rsid w:val="001B5302"/>
    <w:rsid w:val="001B54E8"/>
    <w:rsid w:val="001B5674"/>
    <w:rsid w:val="001B5799"/>
    <w:rsid w:val="001B5A55"/>
    <w:rsid w:val="001B61E2"/>
    <w:rsid w:val="001B66D7"/>
    <w:rsid w:val="001B7121"/>
    <w:rsid w:val="001B7A4F"/>
    <w:rsid w:val="001B7C3C"/>
    <w:rsid w:val="001B7DD5"/>
    <w:rsid w:val="001C0451"/>
    <w:rsid w:val="001C05F4"/>
    <w:rsid w:val="001C07F5"/>
    <w:rsid w:val="001C0E59"/>
    <w:rsid w:val="001C1004"/>
    <w:rsid w:val="001C140E"/>
    <w:rsid w:val="001C1C63"/>
    <w:rsid w:val="001C27E4"/>
    <w:rsid w:val="001C27E9"/>
    <w:rsid w:val="001C2D81"/>
    <w:rsid w:val="001C323B"/>
    <w:rsid w:val="001C34D8"/>
    <w:rsid w:val="001C3913"/>
    <w:rsid w:val="001C3E60"/>
    <w:rsid w:val="001C3EC3"/>
    <w:rsid w:val="001C4B4F"/>
    <w:rsid w:val="001C4D27"/>
    <w:rsid w:val="001C5C56"/>
    <w:rsid w:val="001C642C"/>
    <w:rsid w:val="001C66D9"/>
    <w:rsid w:val="001C67A0"/>
    <w:rsid w:val="001C6DDB"/>
    <w:rsid w:val="001C6DE3"/>
    <w:rsid w:val="001C7968"/>
    <w:rsid w:val="001D0406"/>
    <w:rsid w:val="001D0AEC"/>
    <w:rsid w:val="001D0BF6"/>
    <w:rsid w:val="001D0D7C"/>
    <w:rsid w:val="001D1007"/>
    <w:rsid w:val="001D11D2"/>
    <w:rsid w:val="001D1838"/>
    <w:rsid w:val="001D1ACC"/>
    <w:rsid w:val="001D1B9F"/>
    <w:rsid w:val="001D1F77"/>
    <w:rsid w:val="001D2219"/>
    <w:rsid w:val="001D235B"/>
    <w:rsid w:val="001D2561"/>
    <w:rsid w:val="001D2D97"/>
    <w:rsid w:val="001D3149"/>
    <w:rsid w:val="001D3260"/>
    <w:rsid w:val="001D33A4"/>
    <w:rsid w:val="001D3631"/>
    <w:rsid w:val="001D4095"/>
    <w:rsid w:val="001D42D2"/>
    <w:rsid w:val="001D48B4"/>
    <w:rsid w:val="001D4CFC"/>
    <w:rsid w:val="001D5BFA"/>
    <w:rsid w:val="001D6A49"/>
    <w:rsid w:val="001D6B97"/>
    <w:rsid w:val="001D6BA9"/>
    <w:rsid w:val="001D6FB2"/>
    <w:rsid w:val="001D70F4"/>
    <w:rsid w:val="001D7CD8"/>
    <w:rsid w:val="001E07B9"/>
    <w:rsid w:val="001E09DF"/>
    <w:rsid w:val="001E110D"/>
    <w:rsid w:val="001E1551"/>
    <w:rsid w:val="001E1D42"/>
    <w:rsid w:val="001E1FA5"/>
    <w:rsid w:val="001E23E4"/>
    <w:rsid w:val="001E266A"/>
    <w:rsid w:val="001E3231"/>
    <w:rsid w:val="001E32F5"/>
    <w:rsid w:val="001E36B4"/>
    <w:rsid w:val="001E3737"/>
    <w:rsid w:val="001E3A05"/>
    <w:rsid w:val="001E4179"/>
    <w:rsid w:val="001E4317"/>
    <w:rsid w:val="001E436C"/>
    <w:rsid w:val="001E45BF"/>
    <w:rsid w:val="001E493B"/>
    <w:rsid w:val="001E52B7"/>
    <w:rsid w:val="001E586D"/>
    <w:rsid w:val="001E5C5F"/>
    <w:rsid w:val="001E7191"/>
    <w:rsid w:val="001E74C1"/>
    <w:rsid w:val="001E7EC1"/>
    <w:rsid w:val="001F05B9"/>
    <w:rsid w:val="001F06FE"/>
    <w:rsid w:val="001F0A69"/>
    <w:rsid w:val="001F0A9B"/>
    <w:rsid w:val="001F15C2"/>
    <w:rsid w:val="001F2676"/>
    <w:rsid w:val="001F39D5"/>
    <w:rsid w:val="001F3BBA"/>
    <w:rsid w:val="001F3DF4"/>
    <w:rsid w:val="001F3ECF"/>
    <w:rsid w:val="001F3ED6"/>
    <w:rsid w:val="001F406A"/>
    <w:rsid w:val="001F4806"/>
    <w:rsid w:val="001F50EE"/>
    <w:rsid w:val="001F57ED"/>
    <w:rsid w:val="001F5E4D"/>
    <w:rsid w:val="001F6050"/>
    <w:rsid w:val="001F632D"/>
    <w:rsid w:val="001F64F5"/>
    <w:rsid w:val="001F673A"/>
    <w:rsid w:val="001F6CF5"/>
    <w:rsid w:val="001F750A"/>
    <w:rsid w:val="001F765D"/>
    <w:rsid w:val="001F7ED4"/>
    <w:rsid w:val="00200277"/>
    <w:rsid w:val="00200646"/>
    <w:rsid w:val="002007C5"/>
    <w:rsid w:val="00200DC2"/>
    <w:rsid w:val="00200EFE"/>
    <w:rsid w:val="00201192"/>
    <w:rsid w:val="00201217"/>
    <w:rsid w:val="002014E8"/>
    <w:rsid w:val="00203E3B"/>
    <w:rsid w:val="002047F6"/>
    <w:rsid w:val="00204922"/>
    <w:rsid w:val="00204B0A"/>
    <w:rsid w:val="00206290"/>
    <w:rsid w:val="002063BE"/>
    <w:rsid w:val="0020689D"/>
    <w:rsid w:val="00206AE6"/>
    <w:rsid w:val="00206CF4"/>
    <w:rsid w:val="002070C1"/>
    <w:rsid w:val="002079C6"/>
    <w:rsid w:val="00207AB2"/>
    <w:rsid w:val="00207FDC"/>
    <w:rsid w:val="0021019D"/>
    <w:rsid w:val="00211337"/>
    <w:rsid w:val="00211767"/>
    <w:rsid w:val="00211EB4"/>
    <w:rsid w:val="0021237E"/>
    <w:rsid w:val="0021245C"/>
    <w:rsid w:val="00212C7B"/>
    <w:rsid w:val="00213813"/>
    <w:rsid w:val="00213D46"/>
    <w:rsid w:val="00214351"/>
    <w:rsid w:val="00215379"/>
    <w:rsid w:val="00215638"/>
    <w:rsid w:val="002158AA"/>
    <w:rsid w:val="00215A61"/>
    <w:rsid w:val="002168B6"/>
    <w:rsid w:val="00216F50"/>
    <w:rsid w:val="00217B64"/>
    <w:rsid w:val="00217CF9"/>
    <w:rsid w:val="00217E83"/>
    <w:rsid w:val="00220531"/>
    <w:rsid w:val="0022054A"/>
    <w:rsid w:val="0022069A"/>
    <w:rsid w:val="00220A64"/>
    <w:rsid w:val="002212CC"/>
    <w:rsid w:val="002217E1"/>
    <w:rsid w:val="00221B32"/>
    <w:rsid w:val="00222001"/>
    <w:rsid w:val="00222152"/>
    <w:rsid w:val="002222B4"/>
    <w:rsid w:val="00222617"/>
    <w:rsid w:val="00222813"/>
    <w:rsid w:val="002230A5"/>
    <w:rsid w:val="002232AB"/>
    <w:rsid w:val="00223ACC"/>
    <w:rsid w:val="0022466D"/>
    <w:rsid w:val="002247BE"/>
    <w:rsid w:val="00224B8D"/>
    <w:rsid w:val="00224BEA"/>
    <w:rsid w:val="002258F7"/>
    <w:rsid w:val="00225A4A"/>
    <w:rsid w:val="00225FBF"/>
    <w:rsid w:val="00226A3E"/>
    <w:rsid w:val="00227003"/>
    <w:rsid w:val="002275F2"/>
    <w:rsid w:val="00230720"/>
    <w:rsid w:val="00230C04"/>
    <w:rsid w:val="00231393"/>
    <w:rsid w:val="00231CD1"/>
    <w:rsid w:val="00232580"/>
    <w:rsid w:val="00232EA7"/>
    <w:rsid w:val="00232F4D"/>
    <w:rsid w:val="00233A81"/>
    <w:rsid w:val="00233B53"/>
    <w:rsid w:val="002345E3"/>
    <w:rsid w:val="00234646"/>
    <w:rsid w:val="002347F8"/>
    <w:rsid w:val="0023499D"/>
    <w:rsid w:val="00234C32"/>
    <w:rsid w:val="00234D12"/>
    <w:rsid w:val="002353D7"/>
    <w:rsid w:val="00235910"/>
    <w:rsid w:val="00236972"/>
    <w:rsid w:val="00236EAE"/>
    <w:rsid w:val="00237414"/>
    <w:rsid w:val="00237771"/>
    <w:rsid w:val="00237776"/>
    <w:rsid w:val="00237960"/>
    <w:rsid w:val="00237BC8"/>
    <w:rsid w:val="00237D79"/>
    <w:rsid w:val="0024059E"/>
    <w:rsid w:val="0024073C"/>
    <w:rsid w:val="00240EA8"/>
    <w:rsid w:val="002412A0"/>
    <w:rsid w:val="0024155F"/>
    <w:rsid w:val="00241DEC"/>
    <w:rsid w:val="00241E7A"/>
    <w:rsid w:val="00241FC8"/>
    <w:rsid w:val="002420C8"/>
    <w:rsid w:val="00242E22"/>
    <w:rsid w:val="00243176"/>
    <w:rsid w:val="00243180"/>
    <w:rsid w:val="002432CB"/>
    <w:rsid w:val="0024349E"/>
    <w:rsid w:val="00243F2C"/>
    <w:rsid w:val="00244794"/>
    <w:rsid w:val="0024511B"/>
    <w:rsid w:val="002451BF"/>
    <w:rsid w:val="0024571C"/>
    <w:rsid w:val="002459AC"/>
    <w:rsid w:val="00245C1F"/>
    <w:rsid w:val="0024606E"/>
    <w:rsid w:val="0024612A"/>
    <w:rsid w:val="002466EB"/>
    <w:rsid w:val="00246ED6"/>
    <w:rsid w:val="00246FDD"/>
    <w:rsid w:val="00247094"/>
    <w:rsid w:val="002472C1"/>
    <w:rsid w:val="00247A4F"/>
    <w:rsid w:val="0025016B"/>
    <w:rsid w:val="0025049E"/>
    <w:rsid w:val="0025172A"/>
    <w:rsid w:val="00251F8C"/>
    <w:rsid w:val="00251FFB"/>
    <w:rsid w:val="0025393D"/>
    <w:rsid w:val="00253FA5"/>
    <w:rsid w:val="00254119"/>
    <w:rsid w:val="00254375"/>
    <w:rsid w:val="00254F7D"/>
    <w:rsid w:val="002559EF"/>
    <w:rsid w:val="00256682"/>
    <w:rsid w:val="00256692"/>
    <w:rsid w:val="00256869"/>
    <w:rsid w:val="00256B45"/>
    <w:rsid w:val="0025713B"/>
    <w:rsid w:val="00257322"/>
    <w:rsid w:val="0025756F"/>
    <w:rsid w:val="00257A29"/>
    <w:rsid w:val="00257B53"/>
    <w:rsid w:val="00260BBA"/>
    <w:rsid w:val="00260BDC"/>
    <w:rsid w:val="00260C88"/>
    <w:rsid w:val="002611DD"/>
    <w:rsid w:val="002611ED"/>
    <w:rsid w:val="00261955"/>
    <w:rsid w:val="00261AC5"/>
    <w:rsid w:val="00261D0D"/>
    <w:rsid w:val="002621B1"/>
    <w:rsid w:val="002625C9"/>
    <w:rsid w:val="00262C05"/>
    <w:rsid w:val="002636B4"/>
    <w:rsid w:val="00263B7D"/>
    <w:rsid w:val="00263BD8"/>
    <w:rsid w:val="00263D64"/>
    <w:rsid w:val="00264217"/>
    <w:rsid w:val="002642F5"/>
    <w:rsid w:val="00264663"/>
    <w:rsid w:val="00264AFA"/>
    <w:rsid w:val="00264B67"/>
    <w:rsid w:val="00264CDA"/>
    <w:rsid w:val="00265733"/>
    <w:rsid w:val="00265D07"/>
    <w:rsid w:val="00266083"/>
    <w:rsid w:val="00266A51"/>
    <w:rsid w:val="00266B89"/>
    <w:rsid w:val="0026732D"/>
    <w:rsid w:val="0026773C"/>
    <w:rsid w:val="00267774"/>
    <w:rsid w:val="00267BF5"/>
    <w:rsid w:val="00267E1B"/>
    <w:rsid w:val="0027022E"/>
    <w:rsid w:val="002703E2"/>
    <w:rsid w:val="0027077D"/>
    <w:rsid w:val="00270819"/>
    <w:rsid w:val="00270B1D"/>
    <w:rsid w:val="00271088"/>
    <w:rsid w:val="00271346"/>
    <w:rsid w:val="00272339"/>
    <w:rsid w:val="002723E8"/>
    <w:rsid w:val="002724AE"/>
    <w:rsid w:val="00272545"/>
    <w:rsid w:val="00272F1B"/>
    <w:rsid w:val="00272F8F"/>
    <w:rsid w:val="002737D1"/>
    <w:rsid w:val="00273B1F"/>
    <w:rsid w:val="00274214"/>
    <w:rsid w:val="0027478C"/>
    <w:rsid w:val="00274825"/>
    <w:rsid w:val="002759F2"/>
    <w:rsid w:val="00276AC0"/>
    <w:rsid w:val="0027706A"/>
    <w:rsid w:val="00277B90"/>
    <w:rsid w:val="00277B91"/>
    <w:rsid w:val="00277EAD"/>
    <w:rsid w:val="00280AB1"/>
    <w:rsid w:val="00280C9C"/>
    <w:rsid w:val="00280C9F"/>
    <w:rsid w:val="00281C21"/>
    <w:rsid w:val="00281ECE"/>
    <w:rsid w:val="0028278F"/>
    <w:rsid w:val="0028280F"/>
    <w:rsid w:val="00282ADF"/>
    <w:rsid w:val="00282C1D"/>
    <w:rsid w:val="00283730"/>
    <w:rsid w:val="0028388F"/>
    <w:rsid w:val="00283CA1"/>
    <w:rsid w:val="00284C2C"/>
    <w:rsid w:val="0028557E"/>
    <w:rsid w:val="0028593E"/>
    <w:rsid w:val="00285DBA"/>
    <w:rsid w:val="00285EC1"/>
    <w:rsid w:val="00286147"/>
    <w:rsid w:val="002867CA"/>
    <w:rsid w:val="00287B55"/>
    <w:rsid w:val="00287CF3"/>
    <w:rsid w:val="002908A2"/>
    <w:rsid w:val="002909A2"/>
    <w:rsid w:val="00290CAF"/>
    <w:rsid w:val="0029115E"/>
    <w:rsid w:val="002912B2"/>
    <w:rsid w:val="00291463"/>
    <w:rsid w:val="00291FDE"/>
    <w:rsid w:val="00292244"/>
    <w:rsid w:val="00292BF3"/>
    <w:rsid w:val="002934A1"/>
    <w:rsid w:val="00293829"/>
    <w:rsid w:val="00293C2E"/>
    <w:rsid w:val="00293EC7"/>
    <w:rsid w:val="00294159"/>
    <w:rsid w:val="00294251"/>
    <w:rsid w:val="00294459"/>
    <w:rsid w:val="00295191"/>
    <w:rsid w:val="002955BA"/>
    <w:rsid w:val="0029572E"/>
    <w:rsid w:val="00295C1B"/>
    <w:rsid w:val="00295CDA"/>
    <w:rsid w:val="0029602D"/>
    <w:rsid w:val="0029602E"/>
    <w:rsid w:val="00296090"/>
    <w:rsid w:val="0029645C"/>
    <w:rsid w:val="0029667F"/>
    <w:rsid w:val="00296DD7"/>
    <w:rsid w:val="00297202"/>
    <w:rsid w:val="002973F2"/>
    <w:rsid w:val="0029753C"/>
    <w:rsid w:val="002976EB"/>
    <w:rsid w:val="002977F3"/>
    <w:rsid w:val="00297E83"/>
    <w:rsid w:val="002A01C9"/>
    <w:rsid w:val="002A0733"/>
    <w:rsid w:val="002A0D52"/>
    <w:rsid w:val="002A14AA"/>
    <w:rsid w:val="002A2183"/>
    <w:rsid w:val="002A3289"/>
    <w:rsid w:val="002A338D"/>
    <w:rsid w:val="002A33C0"/>
    <w:rsid w:val="002A3C6B"/>
    <w:rsid w:val="002A3E79"/>
    <w:rsid w:val="002A3F0A"/>
    <w:rsid w:val="002A4893"/>
    <w:rsid w:val="002A53BE"/>
    <w:rsid w:val="002A57D7"/>
    <w:rsid w:val="002A5D87"/>
    <w:rsid w:val="002A6648"/>
    <w:rsid w:val="002A6860"/>
    <w:rsid w:val="002A68D9"/>
    <w:rsid w:val="002A6C76"/>
    <w:rsid w:val="002B066E"/>
    <w:rsid w:val="002B1CF4"/>
    <w:rsid w:val="002B2001"/>
    <w:rsid w:val="002B2381"/>
    <w:rsid w:val="002B273A"/>
    <w:rsid w:val="002B2742"/>
    <w:rsid w:val="002B2C93"/>
    <w:rsid w:val="002B2E3E"/>
    <w:rsid w:val="002B3205"/>
    <w:rsid w:val="002B35C1"/>
    <w:rsid w:val="002B54E4"/>
    <w:rsid w:val="002B567F"/>
    <w:rsid w:val="002B5A5C"/>
    <w:rsid w:val="002B5BB0"/>
    <w:rsid w:val="002B5C9A"/>
    <w:rsid w:val="002B5F14"/>
    <w:rsid w:val="002B67FA"/>
    <w:rsid w:val="002B68E3"/>
    <w:rsid w:val="002B6D9C"/>
    <w:rsid w:val="002B6DC8"/>
    <w:rsid w:val="002B6F64"/>
    <w:rsid w:val="002B6FAC"/>
    <w:rsid w:val="002B71CB"/>
    <w:rsid w:val="002B734C"/>
    <w:rsid w:val="002B75A1"/>
    <w:rsid w:val="002B7C1D"/>
    <w:rsid w:val="002B7C6F"/>
    <w:rsid w:val="002C052F"/>
    <w:rsid w:val="002C074F"/>
    <w:rsid w:val="002C07B5"/>
    <w:rsid w:val="002C09D6"/>
    <w:rsid w:val="002C10C5"/>
    <w:rsid w:val="002C19B7"/>
    <w:rsid w:val="002C1E4D"/>
    <w:rsid w:val="002C2833"/>
    <w:rsid w:val="002C2FB5"/>
    <w:rsid w:val="002C2FF1"/>
    <w:rsid w:val="002C308B"/>
    <w:rsid w:val="002C35B7"/>
    <w:rsid w:val="002C403B"/>
    <w:rsid w:val="002C4070"/>
    <w:rsid w:val="002C44E5"/>
    <w:rsid w:val="002C4730"/>
    <w:rsid w:val="002C4832"/>
    <w:rsid w:val="002C5DF5"/>
    <w:rsid w:val="002C606B"/>
    <w:rsid w:val="002C6198"/>
    <w:rsid w:val="002C672F"/>
    <w:rsid w:val="002C6A31"/>
    <w:rsid w:val="002C6C2A"/>
    <w:rsid w:val="002C6F4A"/>
    <w:rsid w:val="002C7127"/>
    <w:rsid w:val="002C73AD"/>
    <w:rsid w:val="002C7DFC"/>
    <w:rsid w:val="002C7FAC"/>
    <w:rsid w:val="002D06E4"/>
    <w:rsid w:val="002D097C"/>
    <w:rsid w:val="002D139B"/>
    <w:rsid w:val="002D1B75"/>
    <w:rsid w:val="002D1CE8"/>
    <w:rsid w:val="002D1EF6"/>
    <w:rsid w:val="002D1F0D"/>
    <w:rsid w:val="002D20A6"/>
    <w:rsid w:val="002D3B35"/>
    <w:rsid w:val="002D444E"/>
    <w:rsid w:val="002D44FE"/>
    <w:rsid w:val="002D48BF"/>
    <w:rsid w:val="002D4E92"/>
    <w:rsid w:val="002D592F"/>
    <w:rsid w:val="002D59FD"/>
    <w:rsid w:val="002D5F09"/>
    <w:rsid w:val="002D63AB"/>
    <w:rsid w:val="002D64E2"/>
    <w:rsid w:val="002D66BC"/>
    <w:rsid w:val="002D6999"/>
    <w:rsid w:val="002D71E4"/>
    <w:rsid w:val="002D7267"/>
    <w:rsid w:val="002D7FC4"/>
    <w:rsid w:val="002E02EF"/>
    <w:rsid w:val="002E07A4"/>
    <w:rsid w:val="002E0967"/>
    <w:rsid w:val="002E105B"/>
    <w:rsid w:val="002E13F4"/>
    <w:rsid w:val="002E1579"/>
    <w:rsid w:val="002E1EB9"/>
    <w:rsid w:val="002E2420"/>
    <w:rsid w:val="002E2576"/>
    <w:rsid w:val="002E378A"/>
    <w:rsid w:val="002E3B2C"/>
    <w:rsid w:val="002E445C"/>
    <w:rsid w:val="002E55C1"/>
    <w:rsid w:val="002E601E"/>
    <w:rsid w:val="002E61F8"/>
    <w:rsid w:val="002E63A1"/>
    <w:rsid w:val="002E63EC"/>
    <w:rsid w:val="002E6681"/>
    <w:rsid w:val="002E78E1"/>
    <w:rsid w:val="002F07C8"/>
    <w:rsid w:val="002F1071"/>
    <w:rsid w:val="002F126B"/>
    <w:rsid w:val="002F1649"/>
    <w:rsid w:val="002F1895"/>
    <w:rsid w:val="002F18E7"/>
    <w:rsid w:val="002F1C8A"/>
    <w:rsid w:val="002F1C9E"/>
    <w:rsid w:val="002F26FE"/>
    <w:rsid w:val="002F2AEB"/>
    <w:rsid w:val="002F2E1C"/>
    <w:rsid w:val="002F32E2"/>
    <w:rsid w:val="002F33EC"/>
    <w:rsid w:val="002F49C4"/>
    <w:rsid w:val="002F4B16"/>
    <w:rsid w:val="002F4CBF"/>
    <w:rsid w:val="002F5551"/>
    <w:rsid w:val="002F5B1D"/>
    <w:rsid w:val="002F6077"/>
    <w:rsid w:val="002F644A"/>
    <w:rsid w:val="002F6531"/>
    <w:rsid w:val="002F6C5E"/>
    <w:rsid w:val="0030026B"/>
    <w:rsid w:val="003004C5"/>
    <w:rsid w:val="00300BD3"/>
    <w:rsid w:val="00301732"/>
    <w:rsid w:val="00301D14"/>
    <w:rsid w:val="00302084"/>
    <w:rsid w:val="00302998"/>
    <w:rsid w:val="00302B58"/>
    <w:rsid w:val="00303270"/>
    <w:rsid w:val="0030377F"/>
    <w:rsid w:val="00304010"/>
    <w:rsid w:val="0030423B"/>
    <w:rsid w:val="00304409"/>
    <w:rsid w:val="00304591"/>
    <w:rsid w:val="003051ED"/>
    <w:rsid w:val="0030522B"/>
    <w:rsid w:val="00305AA6"/>
    <w:rsid w:val="00305ABC"/>
    <w:rsid w:val="00305BF8"/>
    <w:rsid w:val="0030676C"/>
    <w:rsid w:val="00306B92"/>
    <w:rsid w:val="00306FBE"/>
    <w:rsid w:val="003070D1"/>
    <w:rsid w:val="003075CB"/>
    <w:rsid w:val="003077B9"/>
    <w:rsid w:val="00307979"/>
    <w:rsid w:val="00310125"/>
    <w:rsid w:val="00310148"/>
    <w:rsid w:val="003102C1"/>
    <w:rsid w:val="00310545"/>
    <w:rsid w:val="003109A5"/>
    <w:rsid w:val="003114E9"/>
    <w:rsid w:val="00311A9C"/>
    <w:rsid w:val="00312F7E"/>
    <w:rsid w:val="00313349"/>
    <w:rsid w:val="00313699"/>
    <w:rsid w:val="003136EF"/>
    <w:rsid w:val="00313B8F"/>
    <w:rsid w:val="00314168"/>
    <w:rsid w:val="00314368"/>
    <w:rsid w:val="0031447E"/>
    <w:rsid w:val="00314A0A"/>
    <w:rsid w:val="00314AC9"/>
    <w:rsid w:val="00314D06"/>
    <w:rsid w:val="0031527F"/>
    <w:rsid w:val="003152D3"/>
    <w:rsid w:val="003154B1"/>
    <w:rsid w:val="0031584C"/>
    <w:rsid w:val="003158FB"/>
    <w:rsid w:val="00315B9F"/>
    <w:rsid w:val="00315E9F"/>
    <w:rsid w:val="00315FA6"/>
    <w:rsid w:val="00316516"/>
    <w:rsid w:val="003165F0"/>
    <w:rsid w:val="0031684F"/>
    <w:rsid w:val="003168AA"/>
    <w:rsid w:val="00316917"/>
    <w:rsid w:val="0031786E"/>
    <w:rsid w:val="00317C45"/>
    <w:rsid w:val="00317E2B"/>
    <w:rsid w:val="00320708"/>
    <w:rsid w:val="00320EA2"/>
    <w:rsid w:val="00321196"/>
    <w:rsid w:val="003215CD"/>
    <w:rsid w:val="00321DC4"/>
    <w:rsid w:val="00321ECE"/>
    <w:rsid w:val="0032222C"/>
    <w:rsid w:val="0032228C"/>
    <w:rsid w:val="003223AA"/>
    <w:rsid w:val="003230C3"/>
    <w:rsid w:val="00323807"/>
    <w:rsid w:val="003239AE"/>
    <w:rsid w:val="00323E1D"/>
    <w:rsid w:val="003241BE"/>
    <w:rsid w:val="003241EA"/>
    <w:rsid w:val="00324FE7"/>
    <w:rsid w:val="00325804"/>
    <w:rsid w:val="0032609E"/>
    <w:rsid w:val="00326696"/>
    <w:rsid w:val="00326714"/>
    <w:rsid w:val="00326813"/>
    <w:rsid w:val="00326B3F"/>
    <w:rsid w:val="00326E22"/>
    <w:rsid w:val="003272CB"/>
    <w:rsid w:val="003279B8"/>
    <w:rsid w:val="00327A6D"/>
    <w:rsid w:val="00327FCF"/>
    <w:rsid w:val="0033051A"/>
    <w:rsid w:val="00330BC6"/>
    <w:rsid w:val="00330CD9"/>
    <w:rsid w:val="00331819"/>
    <w:rsid w:val="00331BC8"/>
    <w:rsid w:val="00332866"/>
    <w:rsid w:val="00332B46"/>
    <w:rsid w:val="00332C92"/>
    <w:rsid w:val="00333514"/>
    <w:rsid w:val="003335EC"/>
    <w:rsid w:val="00333D51"/>
    <w:rsid w:val="00334549"/>
    <w:rsid w:val="00334C94"/>
    <w:rsid w:val="003351D3"/>
    <w:rsid w:val="00335A86"/>
    <w:rsid w:val="00335DEA"/>
    <w:rsid w:val="00336489"/>
    <w:rsid w:val="00336A9B"/>
    <w:rsid w:val="00336C66"/>
    <w:rsid w:val="00336E68"/>
    <w:rsid w:val="00337F26"/>
    <w:rsid w:val="003400AB"/>
    <w:rsid w:val="003405CA"/>
    <w:rsid w:val="003406C0"/>
    <w:rsid w:val="00341155"/>
    <w:rsid w:val="003415D6"/>
    <w:rsid w:val="003417E2"/>
    <w:rsid w:val="0034201B"/>
    <w:rsid w:val="0034325F"/>
    <w:rsid w:val="00343C05"/>
    <w:rsid w:val="00344600"/>
    <w:rsid w:val="00344B37"/>
    <w:rsid w:val="00344D84"/>
    <w:rsid w:val="00345450"/>
    <w:rsid w:val="00345848"/>
    <w:rsid w:val="003466AF"/>
    <w:rsid w:val="0034680D"/>
    <w:rsid w:val="00346DCC"/>
    <w:rsid w:val="0034736A"/>
    <w:rsid w:val="00347922"/>
    <w:rsid w:val="003479B5"/>
    <w:rsid w:val="00347FC1"/>
    <w:rsid w:val="00350249"/>
    <w:rsid w:val="00350A58"/>
    <w:rsid w:val="00351697"/>
    <w:rsid w:val="003518AE"/>
    <w:rsid w:val="00351ADD"/>
    <w:rsid w:val="00351FF6"/>
    <w:rsid w:val="003522E9"/>
    <w:rsid w:val="003527AA"/>
    <w:rsid w:val="00352929"/>
    <w:rsid w:val="00352E30"/>
    <w:rsid w:val="00353CE7"/>
    <w:rsid w:val="00353E2F"/>
    <w:rsid w:val="00353F78"/>
    <w:rsid w:val="0035422C"/>
    <w:rsid w:val="0035472E"/>
    <w:rsid w:val="00354A6E"/>
    <w:rsid w:val="00354CC6"/>
    <w:rsid w:val="00354F6F"/>
    <w:rsid w:val="003550AD"/>
    <w:rsid w:val="00355382"/>
    <w:rsid w:val="00355421"/>
    <w:rsid w:val="003555E5"/>
    <w:rsid w:val="00355941"/>
    <w:rsid w:val="00355CA5"/>
    <w:rsid w:val="00355D3A"/>
    <w:rsid w:val="00356085"/>
    <w:rsid w:val="00356187"/>
    <w:rsid w:val="00357105"/>
    <w:rsid w:val="00357576"/>
    <w:rsid w:val="003600E0"/>
    <w:rsid w:val="00360601"/>
    <w:rsid w:val="00360FCA"/>
    <w:rsid w:val="00361210"/>
    <w:rsid w:val="00361432"/>
    <w:rsid w:val="00361954"/>
    <w:rsid w:val="003623FC"/>
    <w:rsid w:val="00362980"/>
    <w:rsid w:val="003631B6"/>
    <w:rsid w:val="00363305"/>
    <w:rsid w:val="003637F6"/>
    <w:rsid w:val="00363988"/>
    <w:rsid w:val="00363B5B"/>
    <w:rsid w:val="003645D1"/>
    <w:rsid w:val="003646FC"/>
    <w:rsid w:val="0036475B"/>
    <w:rsid w:val="0036477F"/>
    <w:rsid w:val="003651D9"/>
    <w:rsid w:val="003651E1"/>
    <w:rsid w:val="00365406"/>
    <w:rsid w:val="0036548A"/>
    <w:rsid w:val="003657B1"/>
    <w:rsid w:val="00365DF1"/>
    <w:rsid w:val="00366484"/>
    <w:rsid w:val="003669A5"/>
    <w:rsid w:val="00366EAA"/>
    <w:rsid w:val="0036794F"/>
    <w:rsid w:val="003679C1"/>
    <w:rsid w:val="00367AD1"/>
    <w:rsid w:val="00370779"/>
    <w:rsid w:val="00371270"/>
    <w:rsid w:val="00372035"/>
    <w:rsid w:val="003726B1"/>
    <w:rsid w:val="003731CC"/>
    <w:rsid w:val="00373D00"/>
    <w:rsid w:val="0037459A"/>
    <w:rsid w:val="003746A4"/>
    <w:rsid w:val="00374800"/>
    <w:rsid w:val="00374AA3"/>
    <w:rsid w:val="00374D1D"/>
    <w:rsid w:val="00375CE9"/>
    <w:rsid w:val="003764FD"/>
    <w:rsid w:val="003765B8"/>
    <w:rsid w:val="003768A0"/>
    <w:rsid w:val="003773A9"/>
    <w:rsid w:val="00377953"/>
    <w:rsid w:val="00377BD3"/>
    <w:rsid w:val="003807D3"/>
    <w:rsid w:val="00380FC4"/>
    <w:rsid w:val="003810E9"/>
    <w:rsid w:val="00381212"/>
    <w:rsid w:val="0038165C"/>
    <w:rsid w:val="00381665"/>
    <w:rsid w:val="0038196C"/>
    <w:rsid w:val="003819B1"/>
    <w:rsid w:val="00381C34"/>
    <w:rsid w:val="00381E31"/>
    <w:rsid w:val="00381F42"/>
    <w:rsid w:val="00382112"/>
    <w:rsid w:val="003827FE"/>
    <w:rsid w:val="00382E75"/>
    <w:rsid w:val="0038319C"/>
    <w:rsid w:val="003837AB"/>
    <w:rsid w:val="00383DF7"/>
    <w:rsid w:val="0038443A"/>
    <w:rsid w:val="00384521"/>
    <w:rsid w:val="003845A1"/>
    <w:rsid w:val="00384A7D"/>
    <w:rsid w:val="0038534A"/>
    <w:rsid w:val="00385398"/>
    <w:rsid w:val="003855AD"/>
    <w:rsid w:val="00385C2B"/>
    <w:rsid w:val="0038607D"/>
    <w:rsid w:val="00386ADB"/>
    <w:rsid w:val="00386FB5"/>
    <w:rsid w:val="0038703F"/>
    <w:rsid w:val="003875A4"/>
    <w:rsid w:val="0038777F"/>
    <w:rsid w:val="00387962"/>
    <w:rsid w:val="0039010E"/>
    <w:rsid w:val="00390210"/>
    <w:rsid w:val="0039039C"/>
    <w:rsid w:val="00390566"/>
    <w:rsid w:val="00390850"/>
    <w:rsid w:val="00391A2C"/>
    <w:rsid w:val="00391AC4"/>
    <w:rsid w:val="00391B89"/>
    <w:rsid w:val="00391C20"/>
    <w:rsid w:val="003920E2"/>
    <w:rsid w:val="003924B6"/>
    <w:rsid w:val="0039250B"/>
    <w:rsid w:val="0039251E"/>
    <w:rsid w:val="00392AAD"/>
    <w:rsid w:val="00392BB1"/>
    <w:rsid w:val="003930F9"/>
    <w:rsid w:val="003939A0"/>
    <w:rsid w:val="00393E8C"/>
    <w:rsid w:val="00394ED7"/>
    <w:rsid w:val="00395C91"/>
    <w:rsid w:val="00395FAF"/>
    <w:rsid w:val="00395FB3"/>
    <w:rsid w:val="00396442"/>
    <w:rsid w:val="00396DB5"/>
    <w:rsid w:val="00396F98"/>
    <w:rsid w:val="0039744A"/>
    <w:rsid w:val="00397CDC"/>
    <w:rsid w:val="003A005A"/>
    <w:rsid w:val="003A05E4"/>
    <w:rsid w:val="003A0752"/>
    <w:rsid w:val="003A0858"/>
    <w:rsid w:val="003A0A88"/>
    <w:rsid w:val="003A0C52"/>
    <w:rsid w:val="003A1019"/>
    <w:rsid w:val="003A1A7A"/>
    <w:rsid w:val="003A1B16"/>
    <w:rsid w:val="003A1D87"/>
    <w:rsid w:val="003A25A5"/>
    <w:rsid w:val="003A279E"/>
    <w:rsid w:val="003A2AD1"/>
    <w:rsid w:val="003A2D22"/>
    <w:rsid w:val="003A3815"/>
    <w:rsid w:val="003A3F8C"/>
    <w:rsid w:val="003A4455"/>
    <w:rsid w:val="003A464B"/>
    <w:rsid w:val="003A4856"/>
    <w:rsid w:val="003A4B2F"/>
    <w:rsid w:val="003A4BC5"/>
    <w:rsid w:val="003A5232"/>
    <w:rsid w:val="003A534E"/>
    <w:rsid w:val="003A6158"/>
    <w:rsid w:val="003A642C"/>
    <w:rsid w:val="003A6CB6"/>
    <w:rsid w:val="003A746D"/>
    <w:rsid w:val="003A7987"/>
    <w:rsid w:val="003B00C9"/>
    <w:rsid w:val="003B0266"/>
    <w:rsid w:val="003B02B8"/>
    <w:rsid w:val="003B0841"/>
    <w:rsid w:val="003B0AEE"/>
    <w:rsid w:val="003B131D"/>
    <w:rsid w:val="003B134A"/>
    <w:rsid w:val="003B1996"/>
    <w:rsid w:val="003B1A35"/>
    <w:rsid w:val="003B1F9E"/>
    <w:rsid w:val="003B23F7"/>
    <w:rsid w:val="003B262F"/>
    <w:rsid w:val="003B29A7"/>
    <w:rsid w:val="003B2A5D"/>
    <w:rsid w:val="003B383B"/>
    <w:rsid w:val="003B3BD2"/>
    <w:rsid w:val="003B4939"/>
    <w:rsid w:val="003B4A1A"/>
    <w:rsid w:val="003B4C06"/>
    <w:rsid w:val="003B5068"/>
    <w:rsid w:val="003B5477"/>
    <w:rsid w:val="003B575F"/>
    <w:rsid w:val="003B5BBB"/>
    <w:rsid w:val="003B5C69"/>
    <w:rsid w:val="003B5E49"/>
    <w:rsid w:val="003B6356"/>
    <w:rsid w:val="003B63C4"/>
    <w:rsid w:val="003B63E8"/>
    <w:rsid w:val="003B6AC6"/>
    <w:rsid w:val="003B704D"/>
    <w:rsid w:val="003B7785"/>
    <w:rsid w:val="003B783C"/>
    <w:rsid w:val="003C09FA"/>
    <w:rsid w:val="003C0BF8"/>
    <w:rsid w:val="003C1A3E"/>
    <w:rsid w:val="003C1B3D"/>
    <w:rsid w:val="003C1CA0"/>
    <w:rsid w:val="003C1F07"/>
    <w:rsid w:val="003C211B"/>
    <w:rsid w:val="003C23C7"/>
    <w:rsid w:val="003C2CF6"/>
    <w:rsid w:val="003C3072"/>
    <w:rsid w:val="003C3275"/>
    <w:rsid w:val="003C3367"/>
    <w:rsid w:val="003C443E"/>
    <w:rsid w:val="003C47D1"/>
    <w:rsid w:val="003C4981"/>
    <w:rsid w:val="003C4988"/>
    <w:rsid w:val="003C54F0"/>
    <w:rsid w:val="003C559F"/>
    <w:rsid w:val="003C6022"/>
    <w:rsid w:val="003C65B7"/>
    <w:rsid w:val="003C6901"/>
    <w:rsid w:val="003C6E08"/>
    <w:rsid w:val="003C7162"/>
    <w:rsid w:val="003C795B"/>
    <w:rsid w:val="003D0421"/>
    <w:rsid w:val="003D1206"/>
    <w:rsid w:val="003D1480"/>
    <w:rsid w:val="003D14A1"/>
    <w:rsid w:val="003D15F5"/>
    <w:rsid w:val="003D1A09"/>
    <w:rsid w:val="003D216B"/>
    <w:rsid w:val="003D24F2"/>
    <w:rsid w:val="003D2CD4"/>
    <w:rsid w:val="003D2CDB"/>
    <w:rsid w:val="003D2E17"/>
    <w:rsid w:val="003D3358"/>
    <w:rsid w:val="003D33D2"/>
    <w:rsid w:val="003D36A4"/>
    <w:rsid w:val="003D43EA"/>
    <w:rsid w:val="003D4450"/>
    <w:rsid w:val="003D46AC"/>
    <w:rsid w:val="003D4715"/>
    <w:rsid w:val="003D4B7A"/>
    <w:rsid w:val="003D4D07"/>
    <w:rsid w:val="003D5378"/>
    <w:rsid w:val="003D57BE"/>
    <w:rsid w:val="003D60C9"/>
    <w:rsid w:val="003D6601"/>
    <w:rsid w:val="003D6873"/>
    <w:rsid w:val="003D739A"/>
    <w:rsid w:val="003D7785"/>
    <w:rsid w:val="003D7F1A"/>
    <w:rsid w:val="003D7F6D"/>
    <w:rsid w:val="003E00BF"/>
    <w:rsid w:val="003E05C7"/>
    <w:rsid w:val="003E0857"/>
    <w:rsid w:val="003E0934"/>
    <w:rsid w:val="003E0FCF"/>
    <w:rsid w:val="003E1157"/>
    <w:rsid w:val="003E1902"/>
    <w:rsid w:val="003E1A45"/>
    <w:rsid w:val="003E1D3F"/>
    <w:rsid w:val="003E27C6"/>
    <w:rsid w:val="003E2B11"/>
    <w:rsid w:val="003E2BF0"/>
    <w:rsid w:val="003E302C"/>
    <w:rsid w:val="003E3DE4"/>
    <w:rsid w:val="003E42BF"/>
    <w:rsid w:val="003E441A"/>
    <w:rsid w:val="003E5348"/>
    <w:rsid w:val="003E53F1"/>
    <w:rsid w:val="003E602B"/>
    <w:rsid w:val="003E6395"/>
    <w:rsid w:val="003E748F"/>
    <w:rsid w:val="003E769E"/>
    <w:rsid w:val="003E7C0F"/>
    <w:rsid w:val="003F007A"/>
    <w:rsid w:val="003F017F"/>
    <w:rsid w:val="003F07A2"/>
    <w:rsid w:val="003F07B5"/>
    <w:rsid w:val="003F07F0"/>
    <w:rsid w:val="003F082C"/>
    <w:rsid w:val="003F0BA4"/>
    <w:rsid w:val="003F0F27"/>
    <w:rsid w:val="003F11C2"/>
    <w:rsid w:val="003F1329"/>
    <w:rsid w:val="003F1BB7"/>
    <w:rsid w:val="003F1CAF"/>
    <w:rsid w:val="003F2153"/>
    <w:rsid w:val="003F2792"/>
    <w:rsid w:val="003F2924"/>
    <w:rsid w:val="003F3024"/>
    <w:rsid w:val="003F3848"/>
    <w:rsid w:val="003F3CC9"/>
    <w:rsid w:val="003F440E"/>
    <w:rsid w:val="003F515C"/>
    <w:rsid w:val="003F6767"/>
    <w:rsid w:val="003F67B7"/>
    <w:rsid w:val="003F67EE"/>
    <w:rsid w:val="003F6A46"/>
    <w:rsid w:val="003F6D51"/>
    <w:rsid w:val="003F6F37"/>
    <w:rsid w:val="003F709B"/>
    <w:rsid w:val="003F71D4"/>
    <w:rsid w:val="003F74C4"/>
    <w:rsid w:val="003F77FE"/>
    <w:rsid w:val="003F7D9F"/>
    <w:rsid w:val="003F7E77"/>
    <w:rsid w:val="00400006"/>
    <w:rsid w:val="00400245"/>
    <w:rsid w:val="0040071F"/>
    <w:rsid w:val="00401244"/>
    <w:rsid w:val="00401381"/>
    <w:rsid w:val="004016B1"/>
    <w:rsid w:val="00401879"/>
    <w:rsid w:val="00401B2B"/>
    <w:rsid w:val="004024D7"/>
    <w:rsid w:val="0040264D"/>
    <w:rsid w:val="00402A26"/>
    <w:rsid w:val="00402EA6"/>
    <w:rsid w:val="004030B5"/>
    <w:rsid w:val="004034B8"/>
    <w:rsid w:val="0040383B"/>
    <w:rsid w:val="00403E1C"/>
    <w:rsid w:val="00404378"/>
    <w:rsid w:val="00404558"/>
    <w:rsid w:val="00404D4E"/>
    <w:rsid w:val="0040501D"/>
    <w:rsid w:val="004053F0"/>
    <w:rsid w:val="00405515"/>
    <w:rsid w:val="0040591D"/>
    <w:rsid w:val="00405F83"/>
    <w:rsid w:val="004062F5"/>
    <w:rsid w:val="004065D6"/>
    <w:rsid w:val="0040669A"/>
    <w:rsid w:val="004069C0"/>
    <w:rsid w:val="0040768F"/>
    <w:rsid w:val="004076F7"/>
    <w:rsid w:val="00407B7A"/>
    <w:rsid w:val="00410113"/>
    <w:rsid w:val="004103BD"/>
    <w:rsid w:val="00410890"/>
    <w:rsid w:val="00411132"/>
    <w:rsid w:val="0041164A"/>
    <w:rsid w:val="0041237A"/>
    <w:rsid w:val="00412C79"/>
    <w:rsid w:val="004130D8"/>
    <w:rsid w:val="00413348"/>
    <w:rsid w:val="0041391E"/>
    <w:rsid w:val="00413A54"/>
    <w:rsid w:val="00413CC9"/>
    <w:rsid w:val="00413D88"/>
    <w:rsid w:val="00413FDF"/>
    <w:rsid w:val="00414545"/>
    <w:rsid w:val="004145E8"/>
    <w:rsid w:val="00414AA5"/>
    <w:rsid w:val="00414B6A"/>
    <w:rsid w:val="00414B75"/>
    <w:rsid w:val="004152F4"/>
    <w:rsid w:val="004153F9"/>
    <w:rsid w:val="00415C6C"/>
    <w:rsid w:val="00416632"/>
    <w:rsid w:val="00416846"/>
    <w:rsid w:val="00416FEC"/>
    <w:rsid w:val="00417483"/>
    <w:rsid w:val="004174F6"/>
    <w:rsid w:val="00417A6F"/>
    <w:rsid w:val="00417B21"/>
    <w:rsid w:val="00417E2D"/>
    <w:rsid w:val="00417E68"/>
    <w:rsid w:val="00417E6A"/>
    <w:rsid w:val="004201D4"/>
    <w:rsid w:val="00420293"/>
    <w:rsid w:val="004204F3"/>
    <w:rsid w:val="00420B3F"/>
    <w:rsid w:val="00420C48"/>
    <w:rsid w:val="00420FBE"/>
    <w:rsid w:val="004213D7"/>
    <w:rsid w:val="0042246F"/>
    <w:rsid w:val="004229C7"/>
    <w:rsid w:val="00422C4E"/>
    <w:rsid w:val="0042319F"/>
    <w:rsid w:val="004233DB"/>
    <w:rsid w:val="0042358A"/>
    <w:rsid w:val="0042380D"/>
    <w:rsid w:val="00423C90"/>
    <w:rsid w:val="004253EC"/>
    <w:rsid w:val="00425884"/>
    <w:rsid w:val="00425940"/>
    <w:rsid w:val="0042664D"/>
    <w:rsid w:val="0042673F"/>
    <w:rsid w:val="00426809"/>
    <w:rsid w:val="00426C51"/>
    <w:rsid w:val="00426E1D"/>
    <w:rsid w:val="0042744F"/>
    <w:rsid w:val="00430392"/>
    <w:rsid w:val="00430726"/>
    <w:rsid w:val="00430C33"/>
    <w:rsid w:val="00430C3A"/>
    <w:rsid w:val="00430F56"/>
    <w:rsid w:val="004310BA"/>
    <w:rsid w:val="0043114F"/>
    <w:rsid w:val="00431891"/>
    <w:rsid w:val="004318E4"/>
    <w:rsid w:val="00431D74"/>
    <w:rsid w:val="00431D8F"/>
    <w:rsid w:val="004320DB"/>
    <w:rsid w:val="00432214"/>
    <w:rsid w:val="00432234"/>
    <w:rsid w:val="0043232A"/>
    <w:rsid w:val="004325F4"/>
    <w:rsid w:val="004327A1"/>
    <w:rsid w:val="004327FB"/>
    <w:rsid w:val="00432C8C"/>
    <w:rsid w:val="004333EA"/>
    <w:rsid w:val="00433447"/>
    <w:rsid w:val="0043357D"/>
    <w:rsid w:val="0043410E"/>
    <w:rsid w:val="004343BD"/>
    <w:rsid w:val="004344C9"/>
    <w:rsid w:val="00434554"/>
    <w:rsid w:val="00434702"/>
    <w:rsid w:val="00434727"/>
    <w:rsid w:val="00434B69"/>
    <w:rsid w:val="00435115"/>
    <w:rsid w:val="00435774"/>
    <w:rsid w:val="00435852"/>
    <w:rsid w:val="00435C50"/>
    <w:rsid w:val="00435FEB"/>
    <w:rsid w:val="00436052"/>
    <w:rsid w:val="00436655"/>
    <w:rsid w:val="00436BB7"/>
    <w:rsid w:val="00436C31"/>
    <w:rsid w:val="00436E5D"/>
    <w:rsid w:val="004374D4"/>
    <w:rsid w:val="004379B2"/>
    <w:rsid w:val="0044074E"/>
    <w:rsid w:val="00440B39"/>
    <w:rsid w:val="00441478"/>
    <w:rsid w:val="004417A8"/>
    <w:rsid w:val="00441C34"/>
    <w:rsid w:val="0044237F"/>
    <w:rsid w:val="00443002"/>
    <w:rsid w:val="0044318E"/>
    <w:rsid w:val="00443208"/>
    <w:rsid w:val="00443A27"/>
    <w:rsid w:val="00443D81"/>
    <w:rsid w:val="004443EA"/>
    <w:rsid w:val="00444520"/>
    <w:rsid w:val="00444C21"/>
    <w:rsid w:val="00446876"/>
    <w:rsid w:val="004476C8"/>
    <w:rsid w:val="004477DB"/>
    <w:rsid w:val="00447886"/>
    <w:rsid w:val="004500F5"/>
    <w:rsid w:val="004502BD"/>
    <w:rsid w:val="004503FB"/>
    <w:rsid w:val="004518B0"/>
    <w:rsid w:val="00451ACD"/>
    <w:rsid w:val="0045200F"/>
    <w:rsid w:val="00452E93"/>
    <w:rsid w:val="00452F5B"/>
    <w:rsid w:val="00452F7E"/>
    <w:rsid w:val="0045351D"/>
    <w:rsid w:val="004535F2"/>
    <w:rsid w:val="00453766"/>
    <w:rsid w:val="00453FE1"/>
    <w:rsid w:val="00454320"/>
    <w:rsid w:val="004547CC"/>
    <w:rsid w:val="00454CC2"/>
    <w:rsid w:val="00455170"/>
    <w:rsid w:val="00455EA0"/>
    <w:rsid w:val="00456C4E"/>
    <w:rsid w:val="00457C55"/>
    <w:rsid w:val="00460482"/>
    <w:rsid w:val="0046084A"/>
    <w:rsid w:val="00460B3E"/>
    <w:rsid w:val="00460C86"/>
    <w:rsid w:val="00460FAD"/>
    <w:rsid w:val="00461179"/>
    <w:rsid w:val="004618F0"/>
    <w:rsid w:val="00461D18"/>
    <w:rsid w:val="00461D1B"/>
    <w:rsid w:val="004622FE"/>
    <w:rsid w:val="00462747"/>
    <w:rsid w:val="00462D00"/>
    <w:rsid w:val="0046309A"/>
    <w:rsid w:val="00463206"/>
    <w:rsid w:val="00463252"/>
    <w:rsid w:val="00463C12"/>
    <w:rsid w:val="004647F8"/>
    <w:rsid w:val="00464E5A"/>
    <w:rsid w:val="00465456"/>
    <w:rsid w:val="00465F7D"/>
    <w:rsid w:val="00466191"/>
    <w:rsid w:val="0046625D"/>
    <w:rsid w:val="0046631C"/>
    <w:rsid w:val="00466583"/>
    <w:rsid w:val="00466C67"/>
    <w:rsid w:val="00466E69"/>
    <w:rsid w:val="00466F95"/>
    <w:rsid w:val="00467E88"/>
    <w:rsid w:val="0047055D"/>
    <w:rsid w:val="00470B0B"/>
    <w:rsid w:val="004713FC"/>
    <w:rsid w:val="0047154B"/>
    <w:rsid w:val="0047182B"/>
    <w:rsid w:val="00471FF0"/>
    <w:rsid w:val="00472407"/>
    <w:rsid w:val="00472608"/>
    <w:rsid w:val="00472934"/>
    <w:rsid w:val="00472B39"/>
    <w:rsid w:val="0047318A"/>
    <w:rsid w:val="004731D3"/>
    <w:rsid w:val="0047334D"/>
    <w:rsid w:val="0047366F"/>
    <w:rsid w:val="004736C9"/>
    <w:rsid w:val="00473777"/>
    <w:rsid w:val="00473940"/>
    <w:rsid w:val="00473D2D"/>
    <w:rsid w:val="00473FE0"/>
    <w:rsid w:val="004740EB"/>
    <w:rsid w:val="00474150"/>
    <w:rsid w:val="00475461"/>
    <w:rsid w:val="004759B4"/>
    <w:rsid w:val="00475B7E"/>
    <w:rsid w:val="004764C0"/>
    <w:rsid w:val="004764D5"/>
    <w:rsid w:val="00476A3C"/>
    <w:rsid w:val="00477007"/>
    <w:rsid w:val="004773EF"/>
    <w:rsid w:val="00477D1C"/>
    <w:rsid w:val="00477D45"/>
    <w:rsid w:val="00477DBF"/>
    <w:rsid w:val="004808B3"/>
    <w:rsid w:val="00480BF2"/>
    <w:rsid w:val="00480D29"/>
    <w:rsid w:val="004817C1"/>
    <w:rsid w:val="00481ADF"/>
    <w:rsid w:val="004823B3"/>
    <w:rsid w:val="00482488"/>
    <w:rsid w:val="00482685"/>
    <w:rsid w:val="004829DE"/>
    <w:rsid w:val="00482CCB"/>
    <w:rsid w:val="00482E7F"/>
    <w:rsid w:val="0048410B"/>
    <w:rsid w:val="004842CD"/>
    <w:rsid w:val="004843F7"/>
    <w:rsid w:val="004845C5"/>
    <w:rsid w:val="0048461B"/>
    <w:rsid w:val="00484EEA"/>
    <w:rsid w:val="004850BA"/>
    <w:rsid w:val="00485F23"/>
    <w:rsid w:val="00487516"/>
    <w:rsid w:val="0048754D"/>
    <w:rsid w:val="004907D5"/>
    <w:rsid w:val="00490F34"/>
    <w:rsid w:val="0049159A"/>
    <w:rsid w:val="0049162E"/>
    <w:rsid w:val="004916C7"/>
    <w:rsid w:val="0049181B"/>
    <w:rsid w:val="00491E8A"/>
    <w:rsid w:val="004920E8"/>
    <w:rsid w:val="00492413"/>
    <w:rsid w:val="004926BF"/>
    <w:rsid w:val="004929A3"/>
    <w:rsid w:val="00492E36"/>
    <w:rsid w:val="00493A95"/>
    <w:rsid w:val="00493B7D"/>
    <w:rsid w:val="0049479E"/>
    <w:rsid w:val="004947B2"/>
    <w:rsid w:val="00494BF1"/>
    <w:rsid w:val="00494CBF"/>
    <w:rsid w:val="0049524A"/>
    <w:rsid w:val="00495284"/>
    <w:rsid w:val="00495A98"/>
    <w:rsid w:val="004963A7"/>
    <w:rsid w:val="0049650A"/>
    <w:rsid w:val="004965D1"/>
    <w:rsid w:val="00496634"/>
    <w:rsid w:val="004967E2"/>
    <w:rsid w:val="004968AD"/>
    <w:rsid w:val="004968FB"/>
    <w:rsid w:val="00496BBB"/>
    <w:rsid w:val="00496F77"/>
    <w:rsid w:val="00497581"/>
    <w:rsid w:val="004978F9"/>
    <w:rsid w:val="00497C16"/>
    <w:rsid w:val="004A006F"/>
    <w:rsid w:val="004A030E"/>
    <w:rsid w:val="004A037B"/>
    <w:rsid w:val="004A0384"/>
    <w:rsid w:val="004A0549"/>
    <w:rsid w:val="004A0A70"/>
    <w:rsid w:val="004A227B"/>
    <w:rsid w:val="004A22CA"/>
    <w:rsid w:val="004A2744"/>
    <w:rsid w:val="004A338E"/>
    <w:rsid w:val="004A349D"/>
    <w:rsid w:val="004A39F4"/>
    <w:rsid w:val="004A3A06"/>
    <w:rsid w:val="004A3A2A"/>
    <w:rsid w:val="004A41D6"/>
    <w:rsid w:val="004A45A4"/>
    <w:rsid w:val="004A494E"/>
    <w:rsid w:val="004A5012"/>
    <w:rsid w:val="004A5753"/>
    <w:rsid w:val="004A57B4"/>
    <w:rsid w:val="004A582A"/>
    <w:rsid w:val="004A5B83"/>
    <w:rsid w:val="004A6A62"/>
    <w:rsid w:val="004A6B7D"/>
    <w:rsid w:val="004A6EE1"/>
    <w:rsid w:val="004A7314"/>
    <w:rsid w:val="004A762D"/>
    <w:rsid w:val="004A7772"/>
    <w:rsid w:val="004A7AD2"/>
    <w:rsid w:val="004B0009"/>
    <w:rsid w:val="004B0CFD"/>
    <w:rsid w:val="004B1167"/>
    <w:rsid w:val="004B1381"/>
    <w:rsid w:val="004B1576"/>
    <w:rsid w:val="004B1A08"/>
    <w:rsid w:val="004B202D"/>
    <w:rsid w:val="004B2267"/>
    <w:rsid w:val="004B2596"/>
    <w:rsid w:val="004B277C"/>
    <w:rsid w:val="004B2BE0"/>
    <w:rsid w:val="004B33C8"/>
    <w:rsid w:val="004B3407"/>
    <w:rsid w:val="004B3D32"/>
    <w:rsid w:val="004B42FA"/>
    <w:rsid w:val="004B4788"/>
    <w:rsid w:val="004B4D01"/>
    <w:rsid w:val="004B4F87"/>
    <w:rsid w:val="004B5312"/>
    <w:rsid w:val="004B5818"/>
    <w:rsid w:val="004B59AB"/>
    <w:rsid w:val="004B6607"/>
    <w:rsid w:val="004B679D"/>
    <w:rsid w:val="004B6AEE"/>
    <w:rsid w:val="004B6B17"/>
    <w:rsid w:val="004B6FC0"/>
    <w:rsid w:val="004B7134"/>
    <w:rsid w:val="004B7401"/>
    <w:rsid w:val="004B797E"/>
    <w:rsid w:val="004B7F7F"/>
    <w:rsid w:val="004C0128"/>
    <w:rsid w:val="004C0620"/>
    <w:rsid w:val="004C0BC4"/>
    <w:rsid w:val="004C0F84"/>
    <w:rsid w:val="004C11C7"/>
    <w:rsid w:val="004C1859"/>
    <w:rsid w:val="004C1876"/>
    <w:rsid w:val="004C1DA3"/>
    <w:rsid w:val="004C269C"/>
    <w:rsid w:val="004C3035"/>
    <w:rsid w:val="004C3BB4"/>
    <w:rsid w:val="004C4397"/>
    <w:rsid w:val="004C4606"/>
    <w:rsid w:val="004C4858"/>
    <w:rsid w:val="004C49A2"/>
    <w:rsid w:val="004C4D58"/>
    <w:rsid w:val="004C5106"/>
    <w:rsid w:val="004C526B"/>
    <w:rsid w:val="004C53A8"/>
    <w:rsid w:val="004C56C0"/>
    <w:rsid w:val="004C600D"/>
    <w:rsid w:val="004C6850"/>
    <w:rsid w:val="004C6DB2"/>
    <w:rsid w:val="004C749A"/>
    <w:rsid w:val="004C757B"/>
    <w:rsid w:val="004C7B07"/>
    <w:rsid w:val="004C7E7B"/>
    <w:rsid w:val="004D03F1"/>
    <w:rsid w:val="004D0ADA"/>
    <w:rsid w:val="004D1449"/>
    <w:rsid w:val="004D215F"/>
    <w:rsid w:val="004D223C"/>
    <w:rsid w:val="004D243D"/>
    <w:rsid w:val="004D2EEC"/>
    <w:rsid w:val="004D30D7"/>
    <w:rsid w:val="004D3918"/>
    <w:rsid w:val="004D3A96"/>
    <w:rsid w:val="004D3C4D"/>
    <w:rsid w:val="004D4025"/>
    <w:rsid w:val="004D46E2"/>
    <w:rsid w:val="004D4751"/>
    <w:rsid w:val="004D51A0"/>
    <w:rsid w:val="004D51E1"/>
    <w:rsid w:val="004D54FE"/>
    <w:rsid w:val="004D5810"/>
    <w:rsid w:val="004D5A58"/>
    <w:rsid w:val="004D5C8E"/>
    <w:rsid w:val="004D5D9E"/>
    <w:rsid w:val="004D6265"/>
    <w:rsid w:val="004D6592"/>
    <w:rsid w:val="004D6616"/>
    <w:rsid w:val="004D71D4"/>
    <w:rsid w:val="004D7D21"/>
    <w:rsid w:val="004D7F45"/>
    <w:rsid w:val="004E0187"/>
    <w:rsid w:val="004E0CC1"/>
    <w:rsid w:val="004E11D1"/>
    <w:rsid w:val="004E11FB"/>
    <w:rsid w:val="004E1352"/>
    <w:rsid w:val="004E138C"/>
    <w:rsid w:val="004E1802"/>
    <w:rsid w:val="004E1A49"/>
    <w:rsid w:val="004E247A"/>
    <w:rsid w:val="004E2912"/>
    <w:rsid w:val="004E2BBE"/>
    <w:rsid w:val="004E3211"/>
    <w:rsid w:val="004E3871"/>
    <w:rsid w:val="004E3A29"/>
    <w:rsid w:val="004E3B8B"/>
    <w:rsid w:val="004E4779"/>
    <w:rsid w:val="004E4A91"/>
    <w:rsid w:val="004E506E"/>
    <w:rsid w:val="004E5550"/>
    <w:rsid w:val="004E5974"/>
    <w:rsid w:val="004E61F2"/>
    <w:rsid w:val="004E6D15"/>
    <w:rsid w:val="004E716D"/>
    <w:rsid w:val="004E7374"/>
    <w:rsid w:val="004F0925"/>
    <w:rsid w:val="004F1050"/>
    <w:rsid w:val="004F107F"/>
    <w:rsid w:val="004F19A5"/>
    <w:rsid w:val="004F1BB8"/>
    <w:rsid w:val="004F1EB3"/>
    <w:rsid w:val="004F2010"/>
    <w:rsid w:val="004F29F9"/>
    <w:rsid w:val="004F2CD9"/>
    <w:rsid w:val="004F2D40"/>
    <w:rsid w:val="004F343A"/>
    <w:rsid w:val="004F4429"/>
    <w:rsid w:val="004F4945"/>
    <w:rsid w:val="004F4F86"/>
    <w:rsid w:val="004F6534"/>
    <w:rsid w:val="004F6769"/>
    <w:rsid w:val="004F6C68"/>
    <w:rsid w:val="004F7996"/>
    <w:rsid w:val="004F79EF"/>
    <w:rsid w:val="004F7E1F"/>
    <w:rsid w:val="00500777"/>
    <w:rsid w:val="005010A3"/>
    <w:rsid w:val="00501297"/>
    <w:rsid w:val="00501489"/>
    <w:rsid w:val="005015A4"/>
    <w:rsid w:val="005019D4"/>
    <w:rsid w:val="00501F77"/>
    <w:rsid w:val="005022D1"/>
    <w:rsid w:val="00502B9E"/>
    <w:rsid w:val="0050344C"/>
    <w:rsid w:val="00503584"/>
    <w:rsid w:val="005035ED"/>
    <w:rsid w:val="00503F69"/>
    <w:rsid w:val="0050406B"/>
    <w:rsid w:val="00504297"/>
    <w:rsid w:val="0050468E"/>
    <w:rsid w:val="005048D0"/>
    <w:rsid w:val="00504C46"/>
    <w:rsid w:val="0050544D"/>
    <w:rsid w:val="00505727"/>
    <w:rsid w:val="0050653E"/>
    <w:rsid w:val="0050695C"/>
    <w:rsid w:val="00506E23"/>
    <w:rsid w:val="00507F65"/>
    <w:rsid w:val="005102BD"/>
    <w:rsid w:val="00510B28"/>
    <w:rsid w:val="005112CC"/>
    <w:rsid w:val="00511C83"/>
    <w:rsid w:val="00511F72"/>
    <w:rsid w:val="0051229D"/>
    <w:rsid w:val="005122A1"/>
    <w:rsid w:val="00512BDE"/>
    <w:rsid w:val="00513567"/>
    <w:rsid w:val="00513BED"/>
    <w:rsid w:val="00513D59"/>
    <w:rsid w:val="0051469D"/>
    <w:rsid w:val="00514728"/>
    <w:rsid w:val="00514B9D"/>
    <w:rsid w:val="005156E8"/>
    <w:rsid w:val="00515A2D"/>
    <w:rsid w:val="00515B6D"/>
    <w:rsid w:val="00515DBE"/>
    <w:rsid w:val="005160F1"/>
    <w:rsid w:val="005165BF"/>
    <w:rsid w:val="00516A88"/>
    <w:rsid w:val="00516CB9"/>
    <w:rsid w:val="005170EC"/>
    <w:rsid w:val="00517A55"/>
    <w:rsid w:val="0052013F"/>
    <w:rsid w:val="0052060F"/>
    <w:rsid w:val="005206A4"/>
    <w:rsid w:val="00520CEA"/>
    <w:rsid w:val="005216BE"/>
    <w:rsid w:val="00521F47"/>
    <w:rsid w:val="00522351"/>
    <w:rsid w:val="005232C4"/>
    <w:rsid w:val="00524246"/>
    <w:rsid w:val="00524398"/>
    <w:rsid w:val="005243BE"/>
    <w:rsid w:val="005246F9"/>
    <w:rsid w:val="005249A8"/>
    <w:rsid w:val="00524A31"/>
    <w:rsid w:val="00525102"/>
    <w:rsid w:val="005254B6"/>
    <w:rsid w:val="00525672"/>
    <w:rsid w:val="0052596B"/>
    <w:rsid w:val="005268C9"/>
    <w:rsid w:val="00526E78"/>
    <w:rsid w:val="00527039"/>
    <w:rsid w:val="00527437"/>
    <w:rsid w:val="005276E1"/>
    <w:rsid w:val="00527924"/>
    <w:rsid w:val="00530054"/>
    <w:rsid w:val="00530399"/>
    <w:rsid w:val="0053057E"/>
    <w:rsid w:val="0053076D"/>
    <w:rsid w:val="00530A67"/>
    <w:rsid w:val="00530DA4"/>
    <w:rsid w:val="005315AC"/>
    <w:rsid w:val="005316DC"/>
    <w:rsid w:val="0053191B"/>
    <w:rsid w:val="00531AF1"/>
    <w:rsid w:val="00531E92"/>
    <w:rsid w:val="005320C5"/>
    <w:rsid w:val="00532470"/>
    <w:rsid w:val="00532AE6"/>
    <w:rsid w:val="00532AF1"/>
    <w:rsid w:val="00532E87"/>
    <w:rsid w:val="005333DF"/>
    <w:rsid w:val="00533E31"/>
    <w:rsid w:val="0053473C"/>
    <w:rsid w:val="0053546C"/>
    <w:rsid w:val="0053553E"/>
    <w:rsid w:val="00535836"/>
    <w:rsid w:val="00535D62"/>
    <w:rsid w:val="00536C5C"/>
    <w:rsid w:val="00537BC6"/>
    <w:rsid w:val="00537D0F"/>
    <w:rsid w:val="00540158"/>
    <w:rsid w:val="005401D8"/>
    <w:rsid w:val="00540907"/>
    <w:rsid w:val="00540BCB"/>
    <w:rsid w:val="00540DA8"/>
    <w:rsid w:val="0054136D"/>
    <w:rsid w:val="00541484"/>
    <w:rsid w:val="005419BD"/>
    <w:rsid w:val="00541D4E"/>
    <w:rsid w:val="00541D93"/>
    <w:rsid w:val="00541FF8"/>
    <w:rsid w:val="00542173"/>
    <w:rsid w:val="0054262F"/>
    <w:rsid w:val="005426AD"/>
    <w:rsid w:val="00542CB1"/>
    <w:rsid w:val="00543DCC"/>
    <w:rsid w:val="005453B5"/>
    <w:rsid w:val="00545C2B"/>
    <w:rsid w:val="00546489"/>
    <w:rsid w:val="00546AEC"/>
    <w:rsid w:val="00546F92"/>
    <w:rsid w:val="00546FEB"/>
    <w:rsid w:val="00547362"/>
    <w:rsid w:val="00547573"/>
    <w:rsid w:val="00547AA3"/>
    <w:rsid w:val="005508DF"/>
    <w:rsid w:val="00550B28"/>
    <w:rsid w:val="00550C50"/>
    <w:rsid w:val="00550D7A"/>
    <w:rsid w:val="00550E43"/>
    <w:rsid w:val="005510A6"/>
    <w:rsid w:val="00551AD1"/>
    <w:rsid w:val="00551F81"/>
    <w:rsid w:val="0055212F"/>
    <w:rsid w:val="005529CE"/>
    <w:rsid w:val="00552C75"/>
    <w:rsid w:val="00552EC3"/>
    <w:rsid w:val="00553115"/>
    <w:rsid w:val="00553384"/>
    <w:rsid w:val="005533B7"/>
    <w:rsid w:val="005535E2"/>
    <w:rsid w:val="0055399D"/>
    <w:rsid w:val="00553ACE"/>
    <w:rsid w:val="00554869"/>
    <w:rsid w:val="00554B7E"/>
    <w:rsid w:val="00554C14"/>
    <w:rsid w:val="0055516A"/>
    <w:rsid w:val="0055576F"/>
    <w:rsid w:val="00555E3F"/>
    <w:rsid w:val="00556476"/>
    <w:rsid w:val="005564D6"/>
    <w:rsid w:val="0055685C"/>
    <w:rsid w:val="00557021"/>
    <w:rsid w:val="0055706C"/>
    <w:rsid w:val="00557394"/>
    <w:rsid w:val="00557BD4"/>
    <w:rsid w:val="00557E28"/>
    <w:rsid w:val="00560343"/>
    <w:rsid w:val="005606B1"/>
    <w:rsid w:val="00560A9C"/>
    <w:rsid w:val="00560CA8"/>
    <w:rsid w:val="0056157F"/>
    <w:rsid w:val="00561C67"/>
    <w:rsid w:val="00561F28"/>
    <w:rsid w:val="00561FBC"/>
    <w:rsid w:val="005620FE"/>
    <w:rsid w:val="005624A6"/>
    <w:rsid w:val="00562C2A"/>
    <w:rsid w:val="005636E6"/>
    <w:rsid w:val="005637FA"/>
    <w:rsid w:val="005638E4"/>
    <w:rsid w:val="0056480A"/>
    <w:rsid w:val="00564D2E"/>
    <w:rsid w:val="00564D39"/>
    <w:rsid w:val="00564E83"/>
    <w:rsid w:val="00565233"/>
    <w:rsid w:val="005653D7"/>
    <w:rsid w:val="00566450"/>
    <w:rsid w:val="00566A65"/>
    <w:rsid w:val="00566E7E"/>
    <w:rsid w:val="00567211"/>
    <w:rsid w:val="0056775D"/>
    <w:rsid w:val="00567C5B"/>
    <w:rsid w:val="00567DC0"/>
    <w:rsid w:val="005700C8"/>
    <w:rsid w:val="005706B5"/>
    <w:rsid w:val="00570B2B"/>
    <w:rsid w:val="00571049"/>
    <w:rsid w:val="00571220"/>
    <w:rsid w:val="0057169A"/>
    <w:rsid w:val="00571D00"/>
    <w:rsid w:val="00572408"/>
    <w:rsid w:val="00572466"/>
    <w:rsid w:val="00572600"/>
    <w:rsid w:val="00572860"/>
    <w:rsid w:val="0057304E"/>
    <w:rsid w:val="00573114"/>
    <w:rsid w:val="00573164"/>
    <w:rsid w:val="005736FE"/>
    <w:rsid w:val="00573F5A"/>
    <w:rsid w:val="0057453B"/>
    <w:rsid w:val="00574983"/>
    <w:rsid w:val="00574BAB"/>
    <w:rsid w:val="00574E20"/>
    <w:rsid w:val="00575065"/>
    <w:rsid w:val="0057531C"/>
    <w:rsid w:val="00575A9F"/>
    <w:rsid w:val="00575BCA"/>
    <w:rsid w:val="00575F3D"/>
    <w:rsid w:val="00576340"/>
    <w:rsid w:val="00576705"/>
    <w:rsid w:val="005769D1"/>
    <w:rsid w:val="00576AD9"/>
    <w:rsid w:val="00576B0D"/>
    <w:rsid w:val="00576ED3"/>
    <w:rsid w:val="005773EF"/>
    <w:rsid w:val="00580334"/>
    <w:rsid w:val="00580557"/>
    <w:rsid w:val="00580D84"/>
    <w:rsid w:val="00580DF3"/>
    <w:rsid w:val="00581178"/>
    <w:rsid w:val="005813B3"/>
    <w:rsid w:val="005813FC"/>
    <w:rsid w:val="00581574"/>
    <w:rsid w:val="005816BF"/>
    <w:rsid w:val="005822DE"/>
    <w:rsid w:val="00582357"/>
    <w:rsid w:val="0058240C"/>
    <w:rsid w:val="00582651"/>
    <w:rsid w:val="005831FB"/>
    <w:rsid w:val="00583547"/>
    <w:rsid w:val="00583A83"/>
    <w:rsid w:val="00583B21"/>
    <w:rsid w:val="00583C67"/>
    <w:rsid w:val="00584201"/>
    <w:rsid w:val="00584775"/>
    <w:rsid w:val="00584A1E"/>
    <w:rsid w:val="00584A6B"/>
    <w:rsid w:val="00584CB2"/>
    <w:rsid w:val="005850BB"/>
    <w:rsid w:val="005850BD"/>
    <w:rsid w:val="0058539C"/>
    <w:rsid w:val="005859DB"/>
    <w:rsid w:val="00585E9D"/>
    <w:rsid w:val="005874AE"/>
    <w:rsid w:val="00587605"/>
    <w:rsid w:val="00587749"/>
    <w:rsid w:val="00587AD8"/>
    <w:rsid w:val="00587D69"/>
    <w:rsid w:val="00590061"/>
    <w:rsid w:val="00590086"/>
    <w:rsid w:val="005900F4"/>
    <w:rsid w:val="005901B4"/>
    <w:rsid w:val="00590292"/>
    <w:rsid w:val="0059033D"/>
    <w:rsid w:val="005911E2"/>
    <w:rsid w:val="0059171D"/>
    <w:rsid w:val="005920A3"/>
    <w:rsid w:val="005920B0"/>
    <w:rsid w:val="005922DE"/>
    <w:rsid w:val="00592F28"/>
    <w:rsid w:val="00592FD6"/>
    <w:rsid w:val="005930C5"/>
    <w:rsid w:val="00593501"/>
    <w:rsid w:val="005937B1"/>
    <w:rsid w:val="00593961"/>
    <w:rsid w:val="0059459E"/>
    <w:rsid w:val="0059466C"/>
    <w:rsid w:val="00594A33"/>
    <w:rsid w:val="00594B51"/>
    <w:rsid w:val="00594BA3"/>
    <w:rsid w:val="00594D66"/>
    <w:rsid w:val="00594E12"/>
    <w:rsid w:val="00594F2A"/>
    <w:rsid w:val="0059521D"/>
    <w:rsid w:val="005954ED"/>
    <w:rsid w:val="00595AA7"/>
    <w:rsid w:val="00595E3E"/>
    <w:rsid w:val="00596298"/>
    <w:rsid w:val="00596375"/>
    <w:rsid w:val="00596B64"/>
    <w:rsid w:val="0059786E"/>
    <w:rsid w:val="00597F91"/>
    <w:rsid w:val="005A02BB"/>
    <w:rsid w:val="005A05D7"/>
    <w:rsid w:val="005A0EB8"/>
    <w:rsid w:val="005A0F90"/>
    <w:rsid w:val="005A10EB"/>
    <w:rsid w:val="005A164C"/>
    <w:rsid w:val="005A18FB"/>
    <w:rsid w:val="005A1D47"/>
    <w:rsid w:val="005A270B"/>
    <w:rsid w:val="005A2DE5"/>
    <w:rsid w:val="005A3B9D"/>
    <w:rsid w:val="005A3BA2"/>
    <w:rsid w:val="005A48C2"/>
    <w:rsid w:val="005A4BF9"/>
    <w:rsid w:val="005A4FE4"/>
    <w:rsid w:val="005A58C3"/>
    <w:rsid w:val="005A5B7F"/>
    <w:rsid w:val="005A5BB8"/>
    <w:rsid w:val="005A5D16"/>
    <w:rsid w:val="005A6075"/>
    <w:rsid w:val="005A6693"/>
    <w:rsid w:val="005A7641"/>
    <w:rsid w:val="005A7830"/>
    <w:rsid w:val="005A7F05"/>
    <w:rsid w:val="005B0495"/>
    <w:rsid w:val="005B0837"/>
    <w:rsid w:val="005B0E1B"/>
    <w:rsid w:val="005B1726"/>
    <w:rsid w:val="005B1935"/>
    <w:rsid w:val="005B2C86"/>
    <w:rsid w:val="005B361B"/>
    <w:rsid w:val="005B3FEC"/>
    <w:rsid w:val="005B4122"/>
    <w:rsid w:val="005B449A"/>
    <w:rsid w:val="005B486E"/>
    <w:rsid w:val="005B4C89"/>
    <w:rsid w:val="005B4D0A"/>
    <w:rsid w:val="005B4E46"/>
    <w:rsid w:val="005B4FBD"/>
    <w:rsid w:val="005B59CD"/>
    <w:rsid w:val="005B5A77"/>
    <w:rsid w:val="005B5B9C"/>
    <w:rsid w:val="005B5D69"/>
    <w:rsid w:val="005B6E66"/>
    <w:rsid w:val="005B743F"/>
    <w:rsid w:val="005B7923"/>
    <w:rsid w:val="005B7B15"/>
    <w:rsid w:val="005C04DC"/>
    <w:rsid w:val="005C0A5E"/>
    <w:rsid w:val="005C18BE"/>
    <w:rsid w:val="005C1B04"/>
    <w:rsid w:val="005C1BBA"/>
    <w:rsid w:val="005C1D5D"/>
    <w:rsid w:val="005C1D9E"/>
    <w:rsid w:val="005C227C"/>
    <w:rsid w:val="005C23AB"/>
    <w:rsid w:val="005C23B2"/>
    <w:rsid w:val="005C25E7"/>
    <w:rsid w:val="005C2AF8"/>
    <w:rsid w:val="005C2CE5"/>
    <w:rsid w:val="005C3D50"/>
    <w:rsid w:val="005C40F8"/>
    <w:rsid w:val="005C43A1"/>
    <w:rsid w:val="005C4510"/>
    <w:rsid w:val="005C53A5"/>
    <w:rsid w:val="005C56D1"/>
    <w:rsid w:val="005C5A46"/>
    <w:rsid w:val="005C6284"/>
    <w:rsid w:val="005C6338"/>
    <w:rsid w:val="005C67D6"/>
    <w:rsid w:val="005C6C9B"/>
    <w:rsid w:val="005C6EF9"/>
    <w:rsid w:val="005C7083"/>
    <w:rsid w:val="005C72E3"/>
    <w:rsid w:val="005C754C"/>
    <w:rsid w:val="005C7912"/>
    <w:rsid w:val="005C7A6D"/>
    <w:rsid w:val="005D07E7"/>
    <w:rsid w:val="005D089E"/>
    <w:rsid w:val="005D0A29"/>
    <w:rsid w:val="005D0C17"/>
    <w:rsid w:val="005D0D12"/>
    <w:rsid w:val="005D24AB"/>
    <w:rsid w:val="005D2C40"/>
    <w:rsid w:val="005D2DB7"/>
    <w:rsid w:val="005D2FDD"/>
    <w:rsid w:val="005D34F8"/>
    <w:rsid w:val="005D390F"/>
    <w:rsid w:val="005D3BD7"/>
    <w:rsid w:val="005D3EB0"/>
    <w:rsid w:val="005D3ED4"/>
    <w:rsid w:val="005D4604"/>
    <w:rsid w:val="005D48F1"/>
    <w:rsid w:val="005D4C81"/>
    <w:rsid w:val="005D5567"/>
    <w:rsid w:val="005D5612"/>
    <w:rsid w:val="005D5879"/>
    <w:rsid w:val="005D5AC9"/>
    <w:rsid w:val="005D5C7E"/>
    <w:rsid w:val="005D5FC9"/>
    <w:rsid w:val="005D65FC"/>
    <w:rsid w:val="005D6C0E"/>
    <w:rsid w:val="005D7DDB"/>
    <w:rsid w:val="005E06DB"/>
    <w:rsid w:val="005E0BDB"/>
    <w:rsid w:val="005E0E1D"/>
    <w:rsid w:val="005E1B2F"/>
    <w:rsid w:val="005E1E0A"/>
    <w:rsid w:val="005E2261"/>
    <w:rsid w:val="005E2E93"/>
    <w:rsid w:val="005E3467"/>
    <w:rsid w:val="005E40A6"/>
    <w:rsid w:val="005E4100"/>
    <w:rsid w:val="005E41D1"/>
    <w:rsid w:val="005E51D8"/>
    <w:rsid w:val="005E5713"/>
    <w:rsid w:val="005E57A0"/>
    <w:rsid w:val="005E57B7"/>
    <w:rsid w:val="005E5910"/>
    <w:rsid w:val="005E5969"/>
    <w:rsid w:val="005E5BD4"/>
    <w:rsid w:val="005E5FD2"/>
    <w:rsid w:val="005E62FE"/>
    <w:rsid w:val="005E64F3"/>
    <w:rsid w:val="005E69B8"/>
    <w:rsid w:val="005E6FA9"/>
    <w:rsid w:val="005E741F"/>
    <w:rsid w:val="005E757B"/>
    <w:rsid w:val="005E7C3B"/>
    <w:rsid w:val="005E7E56"/>
    <w:rsid w:val="005F02E7"/>
    <w:rsid w:val="005F059C"/>
    <w:rsid w:val="005F0737"/>
    <w:rsid w:val="005F0862"/>
    <w:rsid w:val="005F09EA"/>
    <w:rsid w:val="005F0ADD"/>
    <w:rsid w:val="005F18B9"/>
    <w:rsid w:val="005F1E94"/>
    <w:rsid w:val="005F2007"/>
    <w:rsid w:val="005F230E"/>
    <w:rsid w:val="005F235E"/>
    <w:rsid w:val="005F296E"/>
    <w:rsid w:val="005F29B9"/>
    <w:rsid w:val="005F2EAE"/>
    <w:rsid w:val="005F32E0"/>
    <w:rsid w:val="005F37A5"/>
    <w:rsid w:val="005F3B6D"/>
    <w:rsid w:val="005F3FCA"/>
    <w:rsid w:val="005F3FDC"/>
    <w:rsid w:val="005F41D9"/>
    <w:rsid w:val="005F4998"/>
    <w:rsid w:val="005F4D8F"/>
    <w:rsid w:val="005F57BF"/>
    <w:rsid w:val="005F5A20"/>
    <w:rsid w:val="005F5A5D"/>
    <w:rsid w:val="005F5B46"/>
    <w:rsid w:val="005F6094"/>
    <w:rsid w:val="005F63F6"/>
    <w:rsid w:val="005F67C5"/>
    <w:rsid w:val="005F69E7"/>
    <w:rsid w:val="005F78D0"/>
    <w:rsid w:val="00600E3B"/>
    <w:rsid w:val="00601277"/>
    <w:rsid w:val="00601C81"/>
    <w:rsid w:val="00601E30"/>
    <w:rsid w:val="0060208C"/>
    <w:rsid w:val="0060214D"/>
    <w:rsid w:val="00602312"/>
    <w:rsid w:val="006024B4"/>
    <w:rsid w:val="00602985"/>
    <w:rsid w:val="00602FBB"/>
    <w:rsid w:val="0060320A"/>
    <w:rsid w:val="00603578"/>
    <w:rsid w:val="00603851"/>
    <w:rsid w:val="00603FF5"/>
    <w:rsid w:val="006042DE"/>
    <w:rsid w:val="006048E2"/>
    <w:rsid w:val="0060496C"/>
    <w:rsid w:val="00604D11"/>
    <w:rsid w:val="006051E5"/>
    <w:rsid w:val="006051F7"/>
    <w:rsid w:val="00605382"/>
    <w:rsid w:val="00605403"/>
    <w:rsid w:val="00605D9D"/>
    <w:rsid w:val="00605ED6"/>
    <w:rsid w:val="00606AD5"/>
    <w:rsid w:val="00606DC3"/>
    <w:rsid w:val="0060766D"/>
    <w:rsid w:val="006105BA"/>
    <w:rsid w:val="00610823"/>
    <w:rsid w:val="006113C5"/>
    <w:rsid w:val="00611C8E"/>
    <w:rsid w:val="00611D26"/>
    <w:rsid w:val="00612116"/>
    <w:rsid w:val="00612976"/>
    <w:rsid w:val="00612BD5"/>
    <w:rsid w:val="00612BE8"/>
    <w:rsid w:val="00612C80"/>
    <w:rsid w:val="00613306"/>
    <w:rsid w:val="00614538"/>
    <w:rsid w:val="006154A6"/>
    <w:rsid w:val="00615FC6"/>
    <w:rsid w:val="00616B0F"/>
    <w:rsid w:val="00616C63"/>
    <w:rsid w:val="00616DD5"/>
    <w:rsid w:val="00616FB6"/>
    <w:rsid w:val="00617339"/>
    <w:rsid w:val="00617764"/>
    <w:rsid w:val="00617AFE"/>
    <w:rsid w:val="0062266E"/>
    <w:rsid w:val="00622A88"/>
    <w:rsid w:val="00622C5F"/>
    <w:rsid w:val="00622F4A"/>
    <w:rsid w:val="006243B9"/>
    <w:rsid w:val="006245FD"/>
    <w:rsid w:val="00624976"/>
    <w:rsid w:val="00624BAD"/>
    <w:rsid w:val="00626A37"/>
    <w:rsid w:val="00626A98"/>
    <w:rsid w:val="00626DA2"/>
    <w:rsid w:val="00626F09"/>
    <w:rsid w:val="006272D9"/>
    <w:rsid w:val="00627517"/>
    <w:rsid w:val="00627CAA"/>
    <w:rsid w:val="00627DAA"/>
    <w:rsid w:val="00627E02"/>
    <w:rsid w:val="00630545"/>
    <w:rsid w:val="00630C00"/>
    <w:rsid w:val="00631357"/>
    <w:rsid w:val="006317E7"/>
    <w:rsid w:val="006319DF"/>
    <w:rsid w:val="00631E34"/>
    <w:rsid w:val="00632207"/>
    <w:rsid w:val="00632790"/>
    <w:rsid w:val="00632D2B"/>
    <w:rsid w:val="00632DC7"/>
    <w:rsid w:val="00632F3D"/>
    <w:rsid w:val="0063389C"/>
    <w:rsid w:val="00634677"/>
    <w:rsid w:val="00635468"/>
    <w:rsid w:val="00635E36"/>
    <w:rsid w:val="0063631A"/>
    <w:rsid w:val="00636A9F"/>
    <w:rsid w:val="00636FC6"/>
    <w:rsid w:val="00637105"/>
    <w:rsid w:val="00637712"/>
    <w:rsid w:val="00637D09"/>
    <w:rsid w:val="00640138"/>
    <w:rsid w:val="006403D1"/>
    <w:rsid w:val="006403DC"/>
    <w:rsid w:val="00640696"/>
    <w:rsid w:val="00640793"/>
    <w:rsid w:val="006409B2"/>
    <w:rsid w:val="00640CC6"/>
    <w:rsid w:val="006413D6"/>
    <w:rsid w:val="006416A3"/>
    <w:rsid w:val="00641879"/>
    <w:rsid w:val="00641C79"/>
    <w:rsid w:val="0064280F"/>
    <w:rsid w:val="00642A0F"/>
    <w:rsid w:val="00642AAB"/>
    <w:rsid w:val="00642BE7"/>
    <w:rsid w:val="0064317B"/>
    <w:rsid w:val="006435C8"/>
    <w:rsid w:val="00643CC6"/>
    <w:rsid w:val="00643E0E"/>
    <w:rsid w:val="00643ECC"/>
    <w:rsid w:val="00643F10"/>
    <w:rsid w:val="0064424C"/>
    <w:rsid w:val="006446A2"/>
    <w:rsid w:val="006449A6"/>
    <w:rsid w:val="00644CC2"/>
    <w:rsid w:val="00645521"/>
    <w:rsid w:val="006455AA"/>
    <w:rsid w:val="0064586C"/>
    <w:rsid w:val="006459A8"/>
    <w:rsid w:val="00645D7F"/>
    <w:rsid w:val="006462F8"/>
    <w:rsid w:val="006467CC"/>
    <w:rsid w:val="00646B6F"/>
    <w:rsid w:val="00646C1C"/>
    <w:rsid w:val="006473BD"/>
    <w:rsid w:val="00647602"/>
    <w:rsid w:val="0064767D"/>
    <w:rsid w:val="006477ED"/>
    <w:rsid w:val="006479BA"/>
    <w:rsid w:val="006506EA"/>
    <w:rsid w:val="0065092C"/>
    <w:rsid w:val="00650A53"/>
    <w:rsid w:val="00650B2D"/>
    <w:rsid w:val="00650B8C"/>
    <w:rsid w:val="00650BCF"/>
    <w:rsid w:val="00650CC5"/>
    <w:rsid w:val="00651388"/>
    <w:rsid w:val="0065186D"/>
    <w:rsid w:val="00651DE8"/>
    <w:rsid w:val="00651FFE"/>
    <w:rsid w:val="00652B9F"/>
    <w:rsid w:val="006539F7"/>
    <w:rsid w:val="00653ABE"/>
    <w:rsid w:val="00653DAF"/>
    <w:rsid w:val="00653E3B"/>
    <w:rsid w:val="006541BD"/>
    <w:rsid w:val="00654789"/>
    <w:rsid w:val="00654C8C"/>
    <w:rsid w:val="0065597A"/>
    <w:rsid w:val="0065619E"/>
    <w:rsid w:val="0065623F"/>
    <w:rsid w:val="00656263"/>
    <w:rsid w:val="006562CB"/>
    <w:rsid w:val="00656442"/>
    <w:rsid w:val="0065668B"/>
    <w:rsid w:val="00657163"/>
    <w:rsid w:val="006574C5"/>
    <w:rsid w:val="00660907"/>
    <w:rsid w:val="006609F4"/>
    <w:rsid w:val="00660A40"/>
    <w:rsid w:val="006619C0"/>
    <w:rsid w:val="00661C6B"/>
    <w:rsid w:val="00661FB1"/>
    <w:rsid w:val="0066294E"/>
    <w:rsid w:val="00662ACC"/>
    <w:rsid w:val="00662C78"/>
    <w:rsid w:val="006640DA"/>
    <w:rsid w:val="0066437C"/>
    <w:rsid w:val="00664721"/>
    <w:rsid w:val="006650B2"/>
    <w:rsid w:val="0066543A"/>
    <w:rsid w:val="00665D73"/>
    <w:rsid w:val="00666450"/>
    <w:rsid w:val="0066677B"/>
    <w:rsid w:val="00666C9B"/>
    <w:rsid w:val="00666D1A"/>
    <w:rsid w:val="00666F52"/>
    <w:rsid w:val="00667130"/>
    <w:rsid w:val="006673F9"/>
    <w:rsid w:val="006679E0"/>
    <w:rsid w:val="00667F0F"/>
    <w:rsid w:val="00667FA4"/>
    <w:rsid w:val="006704C8"/>
    <w:rsid w:val="00670A49"/>
    <w:rsid w:val="00670BA4"/>
    <w:rsid w:val="006710A1"/>
    <w:rsid w:val="00671187"/>
    <w:rsid w:val="006715BF"/>
    <w:rsid w:val="0067170F"/>
    <w:rsid w:val="0067190E"/>
    <w:rsid w:val="00671C24"/>
    <w:rsid w:val="00671D16"/>
    <w:rsid w:val="006724BE"/>
    <w:rsid w:val="00672990"/>
    <w:rsid w:val="00672F76"/>
    <w:rsid w:val="00672F99"/>
    <w:rsid w:val="00672FEB"/>
    <w:rsid w:val="006732DE"/>
    <w:rsid w:val="006735CC"/>
    <w:rsid w:val="0067389F"/>
    <w:rsid w:val="0067405A"/>
    <w:rsid w:val="006749CB"/>
    <w:rsid w:val="006749E6"/>
    <w:rsid w:val="00674E2F"/>
    <w:rsid w:val="0067526C"/>
    <w:rsid w:val="00675BE7"/>
    <w:rsid w:val="00676123"/>
    <w:rsid w:val="00676673"/>
    <w:rsid w:val="00676831"/>
    <w:rsid w:val="00676E99"/>
    <w:rsid w:val="00677640"/>
    <w:rsid w:val="00677D26"/>
    <w:rsid w:val="0068093D"/>
    <w:rsid w:val="00680D50"/>
    <w:rsid w:val="006818C3"/>
    <w:rsid w:val="006819A0"/>
    <w:rsid w:val="00681C52"/>
    <w:rsid w:val="00681CCC"/>
    <w:rsid w:val="006820CD"/>
    <w:rsid w:val="0068247C"/>
    <w:rsid w:val="0068252B"/>
    <w:rsid w:val="00682628"/>
    <w:rsid w:val="006827DB"/>
    <w:rsid w:val="00682CA2"/>
    <w:rsid w:val="00682E09"/>
    <w:rsid w:val="00683D4D"/>
    <w:rsid w:val="00683E6A"/>
    <w:rsid w:val="00683E6B"/>
    <w:rsid w:val="00683F74"/>
    <w:rsid w:val="00684379"/>
    <w:rsid w:val="00684571"/>
    <w:rsid w:val="006846F1"/>
    <w:rsid w:val="006851E8"/>
    <w:rsid w:val="00685373"/>
    <w:rsid w:val="006857DA"/>
    <w:rsid w:val="00685D21"/>
    <w:rsid w:val="00685E7C"/>
    <w:rsid w:val="00686065"/>
    <w:rsid w:val="0068625C"/>
    <w:rsid w:val="0068640D"/>
    <w:rsid w:val="006865AE"/>
    <w:rsid w:val="00686B3D"/>
    <w:rsid w:val="006875F5"/>
    <w:rsid w:val="0068776D"/>
    <w:rsid w:val="00687C62"/>
    <w:rsid w:val="0069003D"/>
    <w:rsid w:val="00690213"/>
    <w:rsid w:val="0069073E"/>
    <w:rsid w:val="006908C8"/>
    <w:rsid w:val="00691035"/>
    <w:rsid w:val="00691199"/>
    <w:rsid w:val="0069125F"/>
    <w:rsid w:val="006914D8"/>
    <w:rsid w:val="00691C94"/>
    <w:rsid w:val="00692472"/>
    <w:rsid w:val="00692817"/>
    <w:rsid w:val="00692F28"/>
    <w:rsid w:val="006931B2"/>
    <w:rsid w:val="00693565"/>
    <w:rsid w:val="00693623"/>
    <w:rsid w:val="0069379D"/>
    <w:rsid w:val="00693B93"/>
    <w:rsid w:val="00693F97"/>
    <w:rsid w:val="00693FAA"/>
    <w:rsid w:val="0069439A"/>
    <w:rsid w:val="00694447"/>
    <w:rsid w:val="00694589"/>
    <w:rsid w:val="0069466A"/>
    <w:rsid w:val="0069482E"/>
    <w:rsid w:val="0069518F"/>
    <w:rsid w:val="006961F0"/>
    <w:rsid w:val="00696651"/>
    <w:rsid w:val="006966EB"/>
    <w:rsid w:val="00696B63"/>
    <w:rsid w:val="00696C17"/>
    <w:rsid w:val="006973E6"/>
    <w:rsid w:val="00697E42"/>
    <w:rsid w:val="006A02CC"/>
    <w:rsid w:val="006A033D"/>
    <w:rsid w:val="006A034D"/>
    <w:rsid w:val="006A04AC"/>
    <w:rsid w:val="006A0710"/>
    <w:rsid w:val="006A0C37"/>
    <w:rsid w:val="006A0CD0"/>
    <w:rsid w:val="006A1509"/>
    <w:rsid w:val="006A1874"/>
    <w:rsid w:val="006A1C03"/>
    <w:rsid w:val="006A1F6B"/>
    <w:rsid w:val="006A2623"/>
    <w:rsid w:val="006A37F0"/>
    <w:rsid w:val="006A38DE"/>
    <w:rsid w:val="006A3A69"/>
    <w:rsid w:val="006A407D"/>
    <w:rsid w:val="006A49C5"/>
    <w:rsid w:val="006A4E12"/>
    <w:rsid w:val="006A550E"/>
    <w:rsid w:val="006A5511"/>
    <w:rsid w:val="006A57F1"/>
    <w:rsid w:val="006A5899"/>
    <w:rsid w:val="006A5C7C"/>
    <w:rsid w:val="006A5CE3"/>
    <w:rsid w:val="006A5F93"/>
    <w:rsid w:val="006A6522"/>
    <w:rsid w:val="006A6581"/>
    <w:rsid w:val="006A6A35"/>
    <w:rsid w:val="006A6A6D"/>
    <w:rsid w:val="006A6C60"/>
    <w:rsid w:val="006A7827"/>
    <w:rsid w:val="006A787A"/>
    <w:rsid w:val="006A7896"/>
    <w:rsid w:val="006A7B55"/>
    <w:rsid w:val="006A7DF4"/>
    <w:rsid w:val="006B0297"/>
    <w:rsid w:val="006B0532"/>
    <w:rsid w:val="006B0B1A"/>
    <w:rsid w:val="006B0D8B"/>
    <w:rsid w:val="006B0DEF"/>
    <w:rsid w:val="006B162B"/>
    <w:rsid w:val="006B173D"/>
    <w:rsid w:val="006B1938"/>
    <w:rsid w:val="006B1A25"/>
    <w:rsid w:val="006B1D94"/>
    <w:rsid w:val="006B26D7"/>
    <w:rsid w:val="006B2C25"/>
    <w:rsid w:val="006B3000"/>
    <w:rsid w:val="006B3560"/>
    <w:rsid w:val="006B38F5"/>
    <w:rsid w:val="006B3B98"/>
    <w:rsid w:val="006B436A"/>
    <w:rsid w:val="006B553E"/>
    <w:rsid w:val="006B5BE5"/>
    <w:rsid w:val="006B5CEF"/>
    <w:rsid w:val="006B63E3"/>
    <w:rsid w:val="006B6B18"/>
    <w:rsid w:val="006B6E48"/>
    <w:rsid w:val="006B77F6"/>
    <w:rsid w:val="006B7837"/>
    <w:rsid w:val="006C03A1"/>
    <w:rsid w:val="006C0EB6"/>
    <w:rsid w:val="006C0F84"/>
    <w:rsid w:val="006C1D5A"/>
    <w:rsid w:val="006C27E5"/>
    <w:rsid w:val="006C2854"/>
    <w:rsid w:val="006C2AAB"/>
    <w:rsid w:val="006C33D2"/>
    <w:rsid w:val="006C3416"/>
    <w:rsid w:val="006C3754"/>
    <w:rsid w:val="006C37C1"/>
    <w:rsid w:val="006C4414"/>
    <w:rsid w:val="006C44CA"/>
    <w:rsid w:val="006C49F0"/>
    <w:rsid w:val="006C4A91"/>
    <w:rsid w:val="006C4C5A"/>
    <w:rsid w:val="006C56BA"/>
    <w:rsid w:val="006C602F"/>
    <w:rsid w:val="006C62BB"/>
    <w:rsid w:val="006C66E0"/>
    <w:rsid w:val="006C683D"/>
    <w:rsid w:val="006C6CE4"/>
    <w:rsid w:val="006C766C"/>
    <w:rsid w:val="006D0534"/>
    <w:rsid w:val="006D08D3"/>
    <w:rsid w:val="006D08F7"/>
    <w:rsid w:val="006D0B93"/>
    <w:rsid w:val="006D1189"/>
    <w:rsid w:val="006D190E"/>
    <w:rsid w:val="006D1C53"/>
    <w:rsid w:val="006D1E4C"/>
    <w:rsid w:val="006D227E"/>
    <w:rsid w:val="006D24FE"/>
    <w:rsid w:val="006D2D28"/>
    <w:rsid w:val="006D2EA9"/>
    <w:rsid w:val="006D3FB5"/>
    <w:rsid w:val="006D4295"/>
    <w:rsid w:val="006D4341"/>
    <w:rsid w:val="006D5E5D"/>
    <w:rsid w:val="006D7030"/>
    <w:rsid w:val="006D7797"/>
    <w:rsid w:val="006E0C32"/>
    <w:rsid w:val="006E0F4E"/>
    <w:rsid w:val="006E0F63"/>
    <w:rsid w:val="006E1354"/>
    <w:rsid w:val="006E1807"/>
    <w:rsid w:val="006E18E6"/>
    <w:rsid w:val="006E1911"/>
    <w:rsid w:val="006E240C"/>
    <w:rsid w:val="006E287C"/>
    <w:rsid w:val="006E3025"/>
    <w:rsid w:val="006E3855"/>
    <w:rsid w:val="006E5A37"/>
    <w:rsid w:val="006E5B84"/>
    <w:rsid w:val="006E5F06"/>
    <w:rsid w:val="006E6335"/>
    <w:rsid w:val="006E67A7"/>
    <w:rsid w:val="006E69AD"/>
    <w:rsid w:val="006E6D80"/>
    <w:rsid w:val="006E6FE4"/>
    <w:rsid w:val="006E7273"/>
    <w:rsid w:val="006E764D"/>
    <w:rsid w:val="006F0C62"/>
    <w:rsid w:val="006F14AA"/>
    <w:rsid w:val="006F1855"/>
    <w:rsid w:val="006F1950"/>
    <w:rsid w:val="006F1B96"/>
    <w:rsid w:val="006F2C0E"/>
    <w:rsid w:val="006F315A"/>
    <w:rsid w:val="006F3769"/>
    <w:rsid w:val="006F3951"/>
    <w:rsid w:val="006F3AA9"/>
    <w:rsid w:val="006F3E6B"/>
    <w:rsid w:val="006F4477"/>
    <w:rsid w:val="006F49FA"/>
    <w:rsid w:val="006F5084"/>
    <w:rsid w:val="006F52D3"/>
    <w:rsid w:val="006F5746"/>
    <w:rsid w:val="006F5B1C"/>
    <w:rsid w:val="006F63E8"/>
    <w:rsid w:val="006F712A"/>
    <w:rsid w:val="006F71A1"/>
    <w:rsid w:val="006F754E"/>
    <w:rsid w:val="006F7C77"/>
    <w:rsid w:val="00700C77"/>
    <w:rsid w:val="00700D33"/>
    <w:rsid w:val="00700D62"/>
    <w:rsid w:val="00701080"/>
    <w:rsid w:val="0070178B"/>
    <w:rsid w:val="007017AF"/>
    <w:rsid w:val="00701C67"/>
    <w:rsid w:val="00701D96"/>
    <w:rsid w:val="00703369"/>
    <w:rsid w:val="0070419E"/>
    <w:rsid w:val="00704283"/>
    <w:rsid w:val="0070475B"/>
    <w:rsid w:val="007047AB"/>
    <w:rsid w:val="007052E7"/>
    <w:rsid w:val="00705313"/>
    <w:rsid w:val="00705C32"/>
    <w:rsid w:val="00705D13"/>
    <w:rsid w:val="00705DD1"/>
    <w:rsid w:val="00706BF9"/>
    <w:rsid w:val="007070F4"/>
    <w:rsid w:val="0070773C"/>
    <w:rsid w:val="007078B4"/>
    <w:rsid w:val="00707C01"/>
    <w:rsid w:val="007101BE"/>
    <w:rsid w:val="007105F0"/>
    <w:rsid w:val="00711CB9"/>
    <w:rsid w:val="0071250A"/>
    <w:rsid w:val="007127BE"/>
    <w:rsid w:val="00712C3C"/>
    <w:rsid w:val="00712E20"/>
    <w:rsid w:val="007139C2"/>
    <w:rsid w:val="00713B76"/>
    <w:rsid w:val="00713FE1"/>
    <w:rsid w:val="00714E88"/>
    <w:rsid w:val="00714FA8"/>
    <w:rsid w:val="00714FD5"/>
    <w:rsid w:val="0071529C"/>
    <w:rsid w:val="0071586A"/>
    <w:rsid w:val="00715885"/>
    <w:rsid w:val="007169CD"/>
    <w:rsid w:val="00717013"/>
    <w:rsid w:val="00717516"/>
    <w:rsid w:val="007176A1"/>
    <w:rsid w:val="00717897"/>
    <w:rsid w:val="00717B81"/>
    <w:rsid w:val="00717C40"/>
    <w:rsid w:val="0072059D"/>
    <w:rsid w:val="00720629"/>
    <w:rsid w:val="00720FCA"/>
    <w:rsid w:val="0072122C"/>
    <w:rsid w:val="007214C4"/>
    <w:rsid w:val="007215B9"/>
    <w:rsid w:val="00721A9A"/>
    <w:rsid w:val="00721D06"/>
    <w:rsid w:val="00721EE5"/>
    <w:rsid w:val="00722063"/>
    <w:rsid w:val="0072208C"/>
    <w:rsid w:val="0072241D"/>
    <w:rsid w:val="00722679"/>
    <w:rsid w:val="00722863"/>
    <w:rsid w:val="00722AAD"/>
    <w:rsid w:val="00722E2C"/>
    <w:rsid w:val="0072333B"/>
    <w:rsid w:val="00723415"/>
    <w:rsid w:val="007235BA"/>
    <w:rsid w:val="00723637"/>
    <w:rsid w:val="00723F64"/>
    <w:rsid w:val="00724049"/>
    <w:rsid w:val="00724051"/>
    <w:rsid w:val="00724267"/>
    <w:rsid w:val="00724657"/>
    <w:rsid w:val="007246B5"/>
    <w:rsid w:val="00724BD0"/>
    <w:rsid w:val="00724E3B"/>
    <w:rsid w:val="0072508B"/>
    <w:rsid w:val="00725139"/>
    <w:rsid w:val="00725169"/>
    <w:rsid w:val="007257A6"/>
    <w:rsid w:val="00725E5F"/>
    <w:rsid w:val="00725FD1"/>
    <w:rsid w:val="007260D3"/>
    <w:rsid w:val="00726334"/>
    <w:rsid w:val="00727193"/>
    <w:rsid w:val="00727B24"/>
    <w:rsid w:val="00730054"/>
    <w:rsid w:val="007302A4"/>
    <w:rsid w:val="007309B7"/>
    <w:rsid w:val="00730B87"/>
    <w:rsid w:val="00731776"/>
    <w:rsid w:val="00731CC0"/>
    <w:rsid w:val="00731CCF"/>
    <w:rsid w:val="00732134"/>
    <w:rsid w:val="00732B28"/>
    <w:rsid w:val="00732B2A"/>
    <w:rsid w:val="007337E1"/>
    <w:rsid w:val="007337E4"/>
    <w:rsid w:val="00733996"/>
    <w:rsid w:val="00733A12"/>
    <w:rsid w:val="00733E0C"/>
    <w:rsid w:val="00734282"/>
    <w:rsid w:val="00734902"/>
    <w:rsid w:val="00734B10"/>
    <w:rsid w:val="007354D1"/>
    <w:rsid w:val="0073571B"/>
    <w:rsid w:val="00736306"/>
    <w:rsid w:val="00736313"/>
    <w:rsid w:val="007369C5"/>
    <w:rsid w:val="00736A5E"/>
    <w:rsid w:val="00736BDA"/>
    <w:rsid w:val="00736C07"/>
    <w:rsid w:val="00736FEC"/>
    <w:rsid w:val="0073713F"/>
    <w:rsid w:val="00737F23"/>
    <w:rsid w:val="007404C8"/>
    <w:rsid w:val="00740704"/>
    <w:rsid w:val="007408D7"/>
    <w:rsid w:val="00740AFF"/>
    <w:rsid w:val="00740CAF"/>
    <w:rsid w:val="007416C4"/>
    <w:rsid w:val="00741787"/>
    <w:rsid w:val="00741FBF"/>
    <w:rsid w:val="007420BA"/>
    <w:rsid w:val="0074227D"/>
    <w:rsid w:val="0074268A"/>
    <w:rsid w:val="00742C94"/>
    <w:rsid w:val="00743696"/>
    <w:rsid w:val="0074390C"/>
    <w:rsid w:val="0074411A"/>
    <w:rsid w:val="007446AD"/>
    <w:rsid w:val="007447D4"/>
    <w:rsid w:val="00744E81"/>
    <w:rsid w:val="007451E4"/>
    <w:rsid w:val="0074572D"/>
    <w:rsid w:val="00745BD6"/>
    <w:rsid w:val="00746330"/>
    <w:rsid w:val="00746817"/>
    <w:rsid w:val="00747074"/>
    <w:rsid w:val="00747109"/>
    <w:rsid w:val="0074729B"/>
    <w:rsid w:val="00747526"/>
    <w:rsid w:val="00747D7D"/>
    <w:rsid w:val="00747FDC"/>
    <w:rsid w:val="007502B4"/>
    <w:rsid w:val="0075058C"/>
    <w:rsid w:val="007505C8"/>
    <w:rsid w:val="007506AE"/>
    <w:rsid w:val="007511CE"/>
    <w:rsid w:val="00751204"/>
    <w:rsid w:val="00751A0B"/>
    <w:rsid w:val="00751D4E"/>
    <w:rsid w:val="00751E3F"/>
    <w:rsid w:val="00751F90"/>
    <w:rsid w:val="007520E9"/>
    <w:rsid w:val="0075228C"/>
    <w:rsid w:val="00752557"/>
    <w:rsid w:val="0075313E"/>
    <w:rsid w:val="00753775"/>
    <w:rsid w:val="00754046"/>
    <w:rsid w:val="007546B2"/>
    <w:rsid w:val="007547F2"/>
    <w:rsid w:val="00754CBF"/>
    <w:rsid w:val="00754DDD"/>
    <w:rsid w:val="007558E5"/>
    <w:rsid w:val="0075590D"/>
    <w:rsid w:val="007563F2"/>
    <w:rsid w:val="0075640F"/>
    <w:rsid w:val="00756A17"/>
    <w:rsid w:val="00756E0E"/>
    <w:rsid w:val="00756E0F"/>
    <w:rsid w:val="00756EFD"/>
    <w:rsid w:val="007572C9"/>
    <w:rsid w:val="0075732D"/>
    <w:rsid w:val="00757713"/>
    <w:rsid w:val="00757717"/>
    <w:rsid w:val="00761017"/>
    <w:rsid w:val="00761365"/>
    <w:rsid w:val="00761373"/>
    <w:rsid w:val="007614A7"/>
    <w:rsid w:val="007616FA"/>
    <w:rsid w:val="007617FE"/>
    <w:rsid w:val="00761EC2"/>
    <w:rsid w:val="00761ED7"/>
    <w:rsid w:val="00761FE5"/>
    <w:rsid w:val="00762035"/>
    <w:rsid w:val="007628C6"/>
    <w:rsid w:val="007629C6"/>
    <w:rsid w:val="00762B33"/>
    <w:rsid w:val="00762F1E"/>
    <w:rsid w:val="007630F4"/>
    <w:rsid w:val="00763687"/>
    <w:rsid w:val="0076408F"/>
    <w:rsid w:val="007641C5"/>
    <w:rsid w:val="00764382"/>
    <w:rsid w:val="00764F76"/>
    <w:rsid w:val="00765233"/>
    <w:rsid w:val="00765DF9"/>
    <w:rsid w:val="00765F34"/>
    <w:rsid w:val="007660EB"/>
    <w:rsid w:val="00766188"/>
    <w:rsid w:val="00766462"/>
    <w:rsid w:val="0076657F"/>
    <w:rsid w:val="00766CB6"/>
    <w:rsid w:val="00767031"/>
    <w:rsid w:val="00767227"/>
    <w:rsid w:val="007672B5"/>
    <w:rsid w:val="0076785A"/>
    <w:rsid w:val="007679B6"/>
    <w:rsid w:val="00767A15"/>
    <w:rsid w:val="00767B5B"/>
    <w:rsid w:val="007710CA"/>
    <w:rsid w:val="00771422"/>
    <w:rsid w:val="00771AF1"/>
    <w:rsid w:val="007724CE"/>
    <w:rsid w:val="007726EA"/>
    <w:rsid w:val="0077288D"/>
    <w:rsid w:val="007728E9"/>
    <w:rsid w:val="00772BD0"/>
    <w:rsid w:val="00772EDE"/>
    <w:rsid w:val="00773443"/>
    <w:rsid w:val="007736DC"/>
    <w:rsid w:val="007738DF"/>
    <w:rsid w:val="00773A7B"/>
    <w:rsid w:val="00773B1F"/>
    <w:rsid w:val="00774722"/>
    <w:rsid w:val="00774DD5"/>
    <w:rsid w:val="00775103"/>
    <w:rsid w:val="00775898"/>
    <w:rsid w:val="0077609E"/>
    <w:rsid w:val="0077663E"/>
    <w:rsid w:val="00776A6A"/>
    <w:rsid w:val="00776A9C"/>
    <w:rsid w:val="00776C14"/>
    <w:rsid w:val="00777593"/>
    <w:rsid w:val="00780528"/>
    <w:rsid w:val="0078053D"/>
    <w:rsid w:val="00780984"/>
    <w:rsid w:val="00780B0F"/>
    <w:rsid w:val="00781513"/>
    <w:rsid w:val="007816B8"/>
    <w:rsid w:val="00781878"/>
    <w:rsid w:val="00781B3F"/>
    <w:rsid w:val="0078210B"/>
    <w:rsid w:val="0078244F"/>
    <w:rsid w:val="00782BF2"/>
    <w:rsid w:val="00783243"/>
    <w:rsid w:val="00783272"/>
    <w:rsid w:val="007834CA"/>
    <w:rsid w:val="00783D46"/>
    <w:rsid w:val="00783DF8"/>
    <w:rsid w:val="00783EEA"/>
    <w:rsid w:val="0078417D"/>
    <w:rsid w:val="007841A7"/>
    <w:rsid w:val="007842BD"/>
    <w:rsid w:val="00784C32"/>
    <w:rsid w:val="00785288"/>
    <w:rsid w:val="00785A5A"/>
    <w:rsid w:val="00785DE5"/>
    <w:rsid w:val="0078613F"/>
    <w:rsid w:val="0078673B"/>
    <w:rsid w:val="007867CC"/>
    <w:rsid w:val="00786816"/>
    <w:rsid w:val="00786E06"/>
    <w:rsid w:val="00787279"/>
    <w:rsid w:val="0078764A"/>
    <w:rsid w:val="007916E9"/>
    <w:rsid w:val="007918F3"/>
    <w:rsid w:val="00791ACE"/>
    <w:rsid w:val="007926DD"/>
    <w:rsid w:val="0079291D"/>
    <w:rsid w:val="00794085"/>
    <w:rsid w:val="00794889"/>
    <w:rsid w:val="00794904"/>
    <w:rsid w:val="00795CB5"/>
    <w:rsid w:val="00796254"/>
    <w:rsid w:val="00796278"/>
    <w:rsid w:val="007965BD"/>
    <w:rsid w:val="0079687F"/>
    <w:rsid w:val="007971F1"/>
    <w:rsid w:val="00797599"/>
    <w:rsid w:val="0079770A"/>
    <w:rsid w:val="00797BDD"/>
    <w:rsid w:val="00797D92"/>
    <w:rsid w:val="007A02EE"/>
    <w:rsid w:val="007A0570"/>
    <w:rsid w:val="007A08A1"/>
    <w:rsid w:val="007A148C"/>
    <w:rsid w:val="007A14E0"/>
    <w:rsid w:val="007A17D5"/>
    <w:rsid w:val="007A1B2D"/>
    <w:rsid w:val="007A1E1B"/>
    <w:rsid w:val="007A26FD"/>
    <w:rsid w:val="007A2B1D"/>
    <w:rsid w:val="007A301B"/>
    <w:rsid w:val="007A3682"/>
    <w:rsid w:val="007A3CF6"/>
    <w:rsid w:val="007A3EB3"/>
    <w:rsid w:val="007A448B"/>
    <w:rsid w:val="007A4869"/>
    <w:rsid w:val="007A5491"/>
    <w:rsid w:val="007A5786"/>
    <w:rsid w:val="007A65BB"/>
    <w:rsid w:val="007A7285"/>
    <w:rsid w:val="007A741F"/>
    <w:rsid w:val="007A7717"/>
    <w:rsid w:val="007A773C"/>
    <w:rsid w:val="007A77CF"/>
    <w:rsid w:val="007A78B9"/>
    <w:rsid w:val="007A7900"/>
    <w:rsid w:val="007A7F5C"/>
    <w:rsid w:val="007B098C"/>
    <w:rsid w:val="007B0E91"/>
    <w:rsid w:val="007B0F4E"/>
    <w:rsid w:val="007B0FD6"/>
    <w:rsid w:val="007B10F1"/>
    <w:rsid w:val="007B1191"/>
    <w:rsid w:val="007B1935"/>
    <w:rsid w:val="007B19FD"/>
    <w:rsid w:val="007B1BEE"/>
    <w:rsid w:val="007B1F4B"/>
    <w:rsid w:val="007B20E7"/>
    <w:rsid w:val="007B2629"/>
    <w:rsid w:val="007B2E72"/>
    <w:rsid w:val="007B340C"/>
    <w:rsid w:val="007B34C7"/>
    <w:rsid w:val="007B3611"/>
    <w:rsid w:val="007B37AB"/>
    <w:rsid w:val="007B4471"/>
    <w:rsid w:val="007B44ED"/>
    <w:rsid w:val="007B4D6D"/>
    <w:rsid w:val="007B5010"/>
    <w:rsid w:val="007B5462"/>
    <w:rsid w:val="007B5AFF"/>
    <w:rsid w:val="007B5C07"/>
    <w:rsid w:val="007B61AF"/>
    <w:rsid w:val="007B6642"/>
    <w:rsid w:val="007B670C"/>
    <w:rsid w:val="007B686C"/>
    <w:rsid w:val="007B68C0"/>
    <w:rsid w:val="007B69D9"/>
    <w:rsid w:val="007B6DDE"/>
    <w:rsid w:val="007B794D"/>
    <w:rsid w:val="007B7CBD"/>
    <w:rsid w:val="007B7E41"/>
    <w:rsid w:val="007C01C6"/>
    <w:rsid w:val="007C0761"/>
    <w:rsid w:val="007C0793"/>
    <w:rsid w:val="007C353D"/>
    <w:rsid w:val="007C36F3"/>
    <w:rsid w:val="007C39C0"/>
    <w:rsid w:val="007C3AC5"/>
    <w:rsid w:val="007C3E3D"/>
    <w:rsid w:val="007C473F"/>
    <w:rsid w:val="007C494B"/>
    <w:rsid w:val="007C4C71"/>
    <w:rsid w:val="007C5443"/>
    <w:rsid w:val="007C5482"/>
    <w:rsid w:val="007C5596"/>
    <w:rsid w:val="007C55F7"/>
    <w:rsid w:val="007C575A"/>
    <w:rsid w:val="007C5D54"/>
    <w:rsid w:val="007C5ECC"/>
    <w:rsid w:val="007C6BA3"/>
    <w:rsid w:val="007C6DAC"/>
    <w:rsid w:val="007C6F33"/>
    <w:rsid w:val="007C71BD"/>
    <w:rsid w:val="007C77EF"/>
    <w:rsid w:val="007D02F7"/>
    <w:rsid w:val="007D0462"/>
    <w:rsid w:val="007D051A"/>
    <w:rsid w:val="007D05E6"/>
    <w:rsid w:val="007D0623"/>
    <w:rsid w:val="007D0AB3"/>
    <w:rsid w:val="007D0B85"/>
    <w:rsid w:val="007D0D9B"/>
    <w:rsid w:val="007D1A20"/>
    <w:rsid w:val="007D1AD4"/>
    <w:rsid w:val="007D1B8A"/>
    <w:rsid w:val="007D23F3"/>
    <w:rsid w:val="007D34AE"/>
    <w:rsid w:val="007D3798"/>
    <w:rsid w:val="007D3AEB"/>
    <w:rsid w:val="007D4632"/>
    <w:rsid w:val="007D5240"/>
    <w:rsid w:val="007D53B6"/>
    <w:rsid w:val="007D54B0"/>
    <w:rsid w:val="007D57DD"/>
    <w:rsid w:val="007D5D9F"/>
    <w:rsid w:val="007D6166"/>
    <w:rsid w:val="007D638D"/>
    <w:rsid w:val="007D6B5D"/>
    <w:rsid w:val="007D712B"/>
    <w:rsid w:val="007D7282"/>
    <w:rsid w:val="007D73E8"/>
    <w:rsid w:val="007D7E45"/>
    <w:rsid w:val="007D7F93"/>
    <w:rsid w:val="007E026C"/>
    <w:rsid w:val="007E09ED"/>
    <w:rsid w:val="007E1C3B"/>
    <w:rsid w:val="007E1E1F"/>
    <w:rsid w:val="007E30ED"/>
    <w:rsid w:val="007E3663"/>
    <w:rsid w:val="007E3715"/>
    <w:rsid w:val="007E3B6D"/>
    <w:rsid w:val="007E42A5"/>
    <w:rsid w:val="007E4CB2"/>
    <w:rsid w:val="007E4F73"/>
    <w:rsid w:val="007E5D77"/>
    <w:rsid w:val="007E67BB"/>
    <w:rsid w:val="007E69D0"/>
    <w:rsid w:val="007E7707"/>
    <w:rsid w:val="007E7A47"/>
    <w:rsid w:val="007F04B7"/>
    <w:rsid w:val="007F04CB"/>
    <w:rsid w:val="007F04F2"/>
    <w:rsid w:val="007F0A4C"/>
    <w:rsid w:val="007F0CF5"/>
    <w:rsid w:val="007F0E02"/>
    <w:rsid w:val="007F10DA"/>
    <w:rsid w:val="007F1C78"/>
    <w:rsid w:val="007F2598"/>
    <w:rsid w:val="007F2E24"/>
    <w:rsid w:val="007F3038"/>
    <w:rsid w:val="007F3822"/>
    <w:rsid w:val="007F38C2"/>
    <w:rsid w:val="007F395D"/>
    <w:rsid w:val="007F3B49"/>
    <w:rsid w:val="007F4259"/>
    <w:rsid w:val="007F443D"/>
    <w:rsid w:val="007F45ED"/>
    <w:rsid w:val="007F4640"/>
    <w:rsid w:val="007F55A5"/>
    <w:rsid w:val="007F609E"/>
    <w:rsid w:val="007F61F4"/>
    <w:rsid w:val="007F64C6"/>
    <w:rsid w:val="007F6E38"/>
    <w:rsid w:val="007F7143"/>
    <w:rsid w:val="008001F2"/>
    <w:rsid w:val="008003A0"/>
    <w:rsid w:val="008008D1"/>
    <w:rsid w:val="00800D39"/>
    <w:rsid w:val="0080116C"/>
    <w:rsid w:val="0080138E"/>
    <w:rsid w:val="008015F3"/>
    <w:rsid w:val="008018CF"/>
    <w:rsid w:val="0080217C"/>
    <w:rsid w:val="008022C5"/>
    <w:rsid w:val="008024AD"/>
    <w:rsid w:val="008026E2"/>
    <w:rsid w:val="00802F8D"/>
    <w:rsid w:val="00803067"/>
    <w:rsid w:val="008032B9"/>
    <w:rsid w:val="00803819"/>
    <w:rsid w:val="00803FB6"/>
    <w:rsid w:val="008040DA"/>
    <w:rsid w:val="008048FD"/>
    <w:rsid w:val="00805D3E"/>
    <w:rsid w:val="00805F88"/>
    <w:rsid w:val="00806228"/>
    <w:rsid w:val="008067C7"/>
    <w:rsid w:val="008070EF"/>
    <w:rsid w:val="00807556"/>
    <w:rsid w:val="00807811"/>
    <w:rsid w:val="008078CB"/>
    <w:rsid w:val="00807E47"/>
    <w:rsid w:val="00807E77"/>
    <w:rsid w:val="00810130"/>
    <w:rsid w:val="008103AF"/>
    <w:rsid w:val="008103F8"/>
    <w:rsid w:val="00810839"/>
    <w:rsid w:val="0081091F"/>
    <w:rsid w:val="00810CC4"/>
    <w:rsid w:val="0081106A"/>
    <w:rsid w:val="00811222"/>
    <w:rsid w:val="008113CF"/>
    <w:rsid w:val="008116C5"/>
    <w:rsid w:val="00811B95"/>
    <w:rsid w:val="00811B9A"/>
    <w:rsid w:val="0081244B"/>
    <w:rsid w:val="00812ABC"/>
    <w:rsid w:val="00812F47"/>
    <w:rsid w:val="00813346"/>
    <w:rsid w:val="00813416"/>
    <w:rsid w:val="00813623"/>
    <w:rsid w:val="00814215"/>
    <w:rsid w:val="008144D5"/>
    <w:rsid w:val="008145D0"/>
    <w:rsid w:val="00814673"/>
    <w:rsid w:val="0081477A"/>
    <w:rsid w:val="0081564E"/>
    <w:rsid w:val="0081579F"/>
    <w:rsid w:val="00815E8E"/>
    <w:rsid w:val="0081616C"/>
    <w:rsid w:val="008161A3"/>
    <w:rsid w:val="00816238"/>
    <w:rsid w:val="0081644F"/>
    <w:rsid w:val="00816697"/>
    <w:rsid w:val="00816862"/>
    <w:rsid w:val="00816DDA"/>
    <w:rsid w:val="00816FFB"/>
    <w:rsid w:val="0081790F"/>
    <w:rsid w:val="00820297"/>
    <w:rsid w:val="008203CD"/>
    <w:rsid w:val="008203FA"/>
    <w:rsid w:val="00820811"/>
    <w:rsid w:val="00820841"/>
    <w:rsid w:val="0082091A"/>
    <w:rsid w:val="008219B3"/>
    <w:rsid w:val="00823247"/>
    <w:rsid w:val="00823513"/>
    <w:rsid w:val="00824214"/>
    <w:rsid w:val="00824380"/>
    <w:rsid w:val="00824CDA"/>
    <w:rsid w:val="00824FBF"/>
    <w:rsid w:val="008253D6"/>
    <w:rsid w:val="008254B2"/>
    <w:rsid w:val="00825627"/>
    <w:rsid w:val="0082590A"/>
    <w:rsid w:val="00825B80"/>
    <w:rsid w:val="00825DAD"/>
    <w:rsid w:val="00825FD5"/>
    <w:rsid w:val="0082626D"/>
    <w:rsid w:val="008262FA"/>
    <w:rsid w:val="00826ABF"/>
    <w:rsid w:val="00826C94"/>
    <w:rsid w:val="00826DCF"/>
    <w:rsid w:val="008276BD"/>
    <w:rsid w:val="008277CB"/>
    <w:rsid w:val="00827902"/>
    <w:rsid w:val="00827BB8"/>
    <w:rsid w:val="00827CDF"/>
    <w:rsid w:val="00827EBA"/>
    <w:rsid w:val="0083091D"/>
    <w:rsid w:val="00830C86"/>
    <w:rsid w:val="00830EF8"/>
    <w:rsid w:val="008312AB"/>
    <w:rsid w:val="0083352E"/>
    <w:rsid w:val="00833720"/>
    <w:rsid w:val="008339A1"/>
    <w:rsid w:val="00833F21"/>
    <w:rsid w:val="0083502A"/>
    <w:rsid w:val="008352CB"/>
    <w:rsid w:val="0083581A"/>
    <w:rsid w:val="00835961"/>
    <w:rsid w:val="00835A1D"/>
    <w:rsid w:val="00835B9E"/>
    <w:rsid w:val="00835BF9"/>
    <w:rsid w:val="00835E79"/>
    <w:rsid w:val="008360F9"/>
    <w:rsid w:val="008362BC"/>
    <w:rsid w:val="00836359"/>
    <w:rsid w:val="00836D1E"/>
    <w:rsid w:val="00837629"/>
    <w:rsid w:val="00837B46"/>
    <w:rsid w:val="00837FF5"/>
    <w:rsid w:val="00840162"/>
    <w:rsid w:val="00840A9E"/>
    <w:rsid w:val="00840CAF"/>
    <w:rsid w:val="00840E77"/>
    <w:rsid w:val="0084110A"/>
    <w:rsid w:val="0084161F"/>
    <w:rsid w:val="008416A3"/>
    <w:rsid w:val="00841E0D"/>
    <w:rsid w:val="00842BF2"/>
    <w:rsid w:val="00842C1A"/>
    <w:rsid w:val="00842ECD"/>
    <w:rsid w:val="0084340E"/>
    <w:rsid w:val="00843F02"/>
    <w:rsid w:val="00843F18"/>
    <w:rsid w:val="00843F42"/>
    <w:rsid w:val="008445B9"/>
    <w:rsid w:val="008451F6"/>
    <w:rsid w:val="0084553D"/>
    <w:rsid w:val="0084567D"/>
    <w:rsid w:val="0084597B"/>
    <w:rsid w:val="00845A12"/>
    <w:rsid w:val="00845AB3"/>
    <w:rsid w:val="00846362"/>
    <w:rsid w:val="00846846"/>
    <w:rsid w:val="00846F10"/>
    <w:rsid w:val="00847555"/>
    <w:rsid w:val="00847620"/>
    <w:rsid w:val="008476E4"/>
    <w:rsid w:val="00847A9B"/>
    <w:rsid w:val="00847CCC"/>
    <w:rsid w:val="00847CDE"/>
    <w:rsid w:val="00850A9D"/>
    <w:rsid w:val="00850B0B"/>
    <w:rsid w:val="00851FBD"/>
    <w:rsid w:val="00852677"/>
    <w:rsid w:val="0085295B"/>
    <w:rsid w:val="00852F3B"/>
    <w:rsid w:val="00853111"/>
    <w:rsid w:val="00853DF8"/>
    <w:rsid w:val="008546A5"/>
    <w:rsid w:val="008552F1"/>
    <w:rsid w:val="00855612"/>
    <w:rsid w:val="008566D0"/>
    <w:rsid w:val="0085673A"/>
    <w:rsid w:val="008567EA"/>
    <w:rsid w:val="0085720F"/>
    <w:rsid w:val="00860209"/>
    <w:rsid w:val="008607F4"/>
    <w:rsid w:val="00860965"/>
    <w:rsid w:val="008609DB"/>
    <w:rsid w:val="00860C64"/>
    <w:rsid w:val="0086119F"/>
    <w:rsid w:val="0086173C"/>
    <w:rsid w:val="00861AFA"/>
    <w:rsid w:val="00862AB3"/>
    <w:rsid w:val="00862B2F"/>
    <w:rsid w:val="00862E22"/>
    <w:rsid w:val="00862FA6"/>
    <w:rsid w:val="00863273"/>
    <w:rsid w:val="00863418"/>
    <w:rsid w:val="00864FE4"/>
    <w:rsid w:val="008652E7"/>
    <w:rsid w:val="0086570D"/>
    <w:rsid w:val="00865731"/>
    <w:rsid w:val="00866092"/>
    <w:rsid w:val="008666EB"/>
    <w:rsid w:val="00866C80"/>
    <w:rsid w:val="00867CFB"/>
    <w:rsid w:val="0087064B"/>
    <w:rsid w:val="00870DBC"/>
    <w:rsid w:val="008710EC"/>
    <w:rsid w:val="008712B0"/>
    <w:rsid w:val="00871B9D"/>
    <w:rsid w:val="00872639"/>
    <w:rsid w:val="008736A2"/>
    <w:rsid w:val="00873D56"/>
    <w:rsid w:val="008749C8"/>
    <w:rsid w:val="008750B4"/>
    <w:rsid w:val="0087610D"/>
    <w:rsid w:val="00876442"/>
    <w:rsid w:val="0087673B"/>
    <w:rsid w:val="00876D80"/>
    <w:rsid w:val="008770D4"/>
    <w:rsid w:val="008773E6"/>
    <w:rsid w:val="008775E3"/>
    <w:rsid w:val="00877B07"/>
    <w:rsid w:val="00877DEA"/>
    <w:rsid w:val="00877E60"/>
    <w:rsid w:val="008809A2"/>
    <w:rsid w:val="00880BCD"/>
    <w:rsid w:val="00880CE1"/>
    <w:rsid w:val="0088131E"/>
    <w:rsid w:val="008813C1"/>
    <w:rsid w:val="00881641"/>
    <w:rsid w:val="00882806"/>
    <w:rsid w:val="00882BA8"/>
    <w:rsid w:val="0088350A"/>
    <w:rsid w:val="00883CD5"/>
    <w:rsid w:val="00883D15"/>
    <w:rsid w:val="00884153"/>
    <w:rsid w:val="008846E8"/>
    <w:rsid w:val="00884702"/>
    <w:rsid w:val="00884A69"/>
    <w:rsid w:val="00885F0D"/>
    <w:rsid w:val="00885FC6"/>
    <w:rsid w:val="008861DE"/>
    <w:rsid w:val="008867E7"/>
    <w:rsid w:val="00886EB9"/>
    <w:rsid w:val="00886F1B"/>
    <w:rsid w:val="008871A1"/>
    <w:rsid w:val="008873B1"/>
    <w:rsid w:val="00887503"/>
    <w:rsid w:val="00887983"/>
    <w:rsid w:val="00887C50"/>
    <w:rsid w:val="00890466"/>
    <w:rsid w:val="008904E2"/>
    <w:rsid w:val="0089058C"/>
    <w:rsid w:val="00890D98"/>
    <w:rsid w:val="00890F49"/>
    <w:rsid w:val="00890FF8"/>
    <w:rsid w:val="00891467"/>
    <w:rsid w:val="00891697"/>
    <w:rsid w:val="00891ADF"/>
    <w:rsid w:val="00891F42"/>
    <w:rsid w:val="00892114"/>
    <w:rsid w:val="008926D5"/>
    <w:rsid w:val="00892897"/>
    <w:rsid w:val="00892C31"/>
    <w:rsid w:val="00892C83"/>
    <w:rsid w:val="00892D3E"/>
    <w:rsid w:val="00892F49"/>
    <w:rsid w:val="00893447"/>
    <w:rsid w:val="00893CE6"/>
    <w:rsid w:val="0089436F"/>
    <w:rsid w:val="0089460E"/>
    <w:rsid w:val="0089552E"/>
    <w:rsid w:val="008956A5"/>
    <w:rsid w:val="008959FB"/>
    <w:rsid w:val="00895F09"/>
    <w:rsid w:val="008966A1"/>
    <w:rsid w:val="0089687A"/>
    <w:rsid w:val="00896B56"/>
    <w:rsid w:val="00896BB0"/>
    <w:rsid w:val="00896D0B"/>
    <w:rsid w:val="00896DFA"/>
    <w:rsid w:val="00897256"/>
    <w:rsid w:val="008979E5"/>
    <w:rsid w:val="00897C10"/>
    <w:rsid w:val="00897C1E"/>
    <w:rsid w:val="00897D01"/>
    <w:rsid w:val="008A00AB"/>
    <w:rsid w:val="008A01B4"/>
    <w:rsid w:val="008A040D"/>
    <w:rsid w:val="008A04EB"/>
    <w:rsid w:val="008A071B"/>
    <w:rsid w:val="008A091C"/>
    <w:rsid w:val="008A0D0F"/>
    <w:rsid w:val="008A135F"/>
    <w:rsid w:val="008A1431"/>
    <w:rsid w:val="008A17C1"/>
    <w:rsid w:val="008A18DB"/>
    <w:rsid w:val="008A1C29"/>
    <w:rsid w:val="008A1D49"/>
    <w:rsid w:val="008A1D66"/>
    <w:rsid w:val="008A2216"/>
    <w:rsid w:val="008A24D1"/>
    <w:rsid w:val="008A2AE9"/>
    <w:rsid w:val="008A3435"/>
    <w:rsid w:val="008A3717"/>
    <w:rsid w:val="008A39C2"/>
    <w:rsid w:val="008A3C28"/>
    <w:rsid w:val="008A41FF"/>
    <w:rsid w:val="008A431E"/>
    <w:rsid w:val="008A43E8"/>
    <w:rsid w:val="008A4430"/>
    <w:rsid w:val="008A48CF"/>
    <w:rsid w:val="008A4BEF"/>
    <w:rsid w:val="008A4DFD"/>
    <w:rsid w:val="008A50B3"/>
    <w:rsid w:val="008A547C"/>
    <w:rsid w:val="008A5FF8"/>
    <w:rsid w:val="008A6204"/>
    <w:rsid w:val="008B0F91"/>
    <w:rsid w:val="008B1462"/>
    <w:rsid w:val="008B191F"/>
    <w:rsid w:val="008B1B62"/>
    <w:rsid w:val="008B1FEA"/>
    <w:rsid w:val="008B2188"/>
    <w:rsid w:val="008B2538"/>
    <w:rsid w:val="008B26A5"/>
    <w:rsid w:val="008B292D"/>
    <w:rsid w:val="008B2CCD"/>
    <w:rsid w:val="008B2D48"/>
    <w:rsid w:val="008B303B"/>
    <w:rsid w:val="008B3546"/>
    <w:rsid w:val="008B3964"/>
    <w:rsid w:val="008B3D48"/>
    <w:rsid w:val="008B42E7"/>
    <w:rsid w:val="008B42F1"/>
    <w:rsid w:val="008B45F6"/>
    <w:rsid w:val="008B47B9"/>
    <w:rsid w:val="008B490C"/>
    <w:rsid w:val="008B4A94"/>
    <w:rsid w:val="008B4FDC"/>
    <w:rsid w:val="008B5388"/>
    <w:rsid w:val="008B5FA3"/>
    <w:rsid w:val="008B60C8"/>
    <w:rsid w:val="008B60DB"/>
    <w:rsid w:val="008B60EE"/>
    <w:rsid w:val="008B6AB4"/>
    <w:rsid w:val="008B7847"/>
    <w:rsid w:val="008B79AA"/>
    <w:rsid w:val="008B7EA9"/>
    <w:rsid w:val="008C0374"/>
    <w:rsid w:val="008C088A"/>
    <w:rsid w:val="008C0DBC"/>
    <w:rsid w:val="008C10B3"/>
    <w:rsid w:val="008C12C8"/>
    <w:rsid w:val="008C142B"/>
    <w:rsid w:val="008C16AF"/>
    <w:rsid w:val="008C16B5"/>
    <w:rsid w:val="008C1704"/>
    <w:rsid w:val="008C180B"/>
    <w:rsid w:val="008C214A"/>
    <w:rsid w:val="008C21CD"/>
    <w:rsid w:val="008C254E"/>
    <w:rsid w:val="008C279E"/>
    <w:rsid w:val="008C295D"/>
    <w:rsid w:val="008C3392"/>
    <w:rsid w:val="008C3677"/>
    <w:rsid w:val="008C3DA1"/>
    <w:rsid w:val="008C4246"/>
    <w:rsid w:val="008C44F1"/>
    <w:rsid w:val="008C48C9"/>
    <w:rsid w:val="008C4F92"/>
    <w:rsid w:val="008C56FA"/>
    <w:rsid w:val="008C5C91"/>
    <w:rsid w:val="008C6299"/>
    <w:rsid w:val="008C6A93"/>
    <w:rsid w:val="008C6E1C"/>
    <w:rsid w:val="008D0172"/>
    <w:rsid w:val="008D0446"/>
    <w:rsid w:val="008D0951"/>
    <w:rsid w:val="008D0A39"/>
    <w:rsid w:val="008D1145"/>
    <w:rsid w:val="008D1595"/>
    <w:rsid w:val="008D224B"/>
    <w:rsid w:val="008D345B"/>
    <w:rsid w:val="008D3681"/>
    <w:rsid w:val="008D3A80"/>
    <w:rsid w:val="008D46B1"/>
    <w:rsid w:val="008D478A"/>
    <w:rsid w:val="008D4B88"/>
    <w:rsid w:val="008D4D5E"/>
    <w:rsid w:val="008D4F4B"/>
    <w:rsid w:val="008D5001"/>
    <w:rsid w:val="008D516A"/>
    <w:rsid w:val="008D5365"/>
    <w:rsid w:val="008D6027"/>
    <w:rsid w:val="008D66B6"/>
    <w:rsid w:val="008D704F"/>
    <w:rsid w:val="008D7372"/>
    <w:rsid w:val="008E023F"/>
    <w:rsid w:val="008E0B60"/>
    <w:rsid w:val="008E120B"/>
    <w:rsid w:val="008E168B"/>
    <w:rsid w:val="008E2547"/>
    <w:rsid w:val="008E29A5"/>
    <w:rsid w:val="008E2C5A"/>
    <w:rsid w:val="008E3218"/>
    <w:rsid w:val="008E333D"/>
    <w:rsid w:val="008E33F2"/>
    <w:rsid w:val="008E356E"/>
    <w:rsid w:val="008E3DF0"/>
    <w:rsid w:val="008E40BA"/>
    <w:rsid w:val="008E5400"/>
    <w:rsid w:val="008E5464"/>
    <w:rsid w:val="008E57A0"/>
    <w:rsid w:val="008E68E3"/>
    <w:rsid w:val="008E6ACC"/>
    <w:rsid w:val="008E6C77"/>
    <w:rsid w:val="008E7EB0"/>
    <w:rsid w:val="008F02CE"/>
    <w:rsid w:val="008F033A"/>
    <w:rsid w:val="008F07C2"/>
    <w:rsid w:val="008F07EE"/>
    <w:rsid w:val="008F1716"/>
    <w:rsid w:val="008F1941"/>
    <w:rsid w:val="008F1FBA"/>
    <w:rsid w:val="008F279F"/>
    <w:rsid w:val="008F315A"/>
    <w:rsid w:val="008F3273"/>
    <w:rsid w:val="008F32FC"/>
    <w:rsid w:val="008F3610"/>
    <w:rsid w:val="008F3A4A"/>
    <w:rsid w:val="008F48BB"/>
    <w:rsid w:val="008F48D6"/>
    <w:rsid w:val="008F4BDA"/>
    <w:rsid w:val="008F52D1"/>
    <w:rsid w:val="008F5398"/>
    <w:rsid w:val="008F5A86"/>
    <w:rsid w:val="008F5B1B"/>
    <w:rsid w:val="008F6173"/>
    <w:rsid w:val="008F618C"/>
    <w:rsid w:val="008F64EA"/>
    <w:rsid w:val="008F64EC"/>
    <w:rsid w:val="008F66C5"/>
    <w:rsid w:val="008F66F4"/>
    <w:rsid w:val="008F66F7"/>
    <w:rsid w:val="008F7641"/>
    <w:rsid w:val="008F76CB"/>
    <w:rsid w:val="008F7820"/>
    <w:rsid w:val="009003D7"/>
    <w:rsid w:val="00900FCF"/>
    <w:rsid w:val="00901498"/>
    <w:rsid w:val="009016C6"/>
    <w:rsid w:val="00901A4F"/>
    <w:rsid w:val="00901BB4"/>
    <w:rsid w:val="00901CF5"/>
    <w:rsid w:val="00902436"/>
    <w:rsid w:val="009025CC"/>
    <w:rsid w:val="009029A4"/>
    <w:rsid w:val="00902DE4"/>
    <w:rsid w:val="00903707"/>
    <w:rsid w:val="00903735"/>
    <w:rsid w:val="009037DD"/>
    <w:rsid w:val="00903A89"/>
    <w:rsid w:val="00903FCE"/>
    <w:rsid w:val="00904489"/>
    <w:rsid w:val="00904791"/>
    <w:rsid w:val="009049EA"/>
    <w:rsid w:val="00904FBF"/>
    <w:rsid w:val="00904FC2"/>
    <w:rsid w:val="0090515C"/>
    <w:rsid w:val="00905824"/>
    <w:rsid w:val="009059C4"/>
    <w:rsid w:val="0090612C"/>
    <w:rsid w:val="00906549"/>
    <w:rsid w:val="00907B5C"/>
    <w:rsid w:val="00907C55"/>
    <w:rsid w:val="00907C62"/>
    <w:rsid w:val="00910F65"/>
    <w:rsid w:val="00910FB9"/>
    <w:rsid w:val="00911315"/>
    <w:rsid w:val="00911572"/>
    <w:rsid w:val="00911F04"/>
    <w:rsid w:val="009125CF"/>
    <w:rsid w:val="00912902"/>
    <w:rsid w:val="00912C0D"/>
    <w:rsid w:val="00912EDF"/>
    <w:rsid w:val="009132E6"/>
    <w:rsid w:val="00913F03"/>
    <w:rsid w:val="0091452F"/>
    <w:rsid w:val="00914A9F"/>
    <w:rsid w:val="00914B0F"/>
    <w:rsid w:val="00914E5C"/>
    <w:rsid w:val="00914F4A"/>
    <w:rsid w:val="0091503C"/>
    <w:rsid w:val="009150B5"/>
    <w:rsid w:val="0091619B"/>
    <w:rsid w:val="009162A0"/>
    <w:rsid w:val="009171A6"/>
    <w:rsid w:val="009172DD"/>
    <w:rsid w:val="0091755A"/>
    <w:rsid w:val="00917598"/>
    <w:rsid w:val="0091781B"/>
    <w:rsid w:val="00917AFD"/>
    <w:rsid w:val="00917CBA"/>
    <w:rsid w:val="00917CE2"/>
    <w:rsid w:val="00920430"/>
    <w:rsid w:val="00920589"/>
    <w:rsid w:val="0092077B"/>
    <w:rsid w:val="00920ACC"/>
    <w:rsid w:val="00920CC0"/>
    <w:rsid w:val="0092149C"/>
    <w:rsid w:val="00921FA9"/>
    <w:rsid w:val="0092232F"/>
    <w:rsid w:val="00922AE5"/>
    <w:rsid w:val="00922E13"/>
    <w:rsid w:val="00923413"/>
    <w:rsid w:val="0092371A"/>
    <w:rsid w:val="00923C7B"/>
    <w:rsid w:val="0092404C"/>
    <w:rsid w:val="00924629"/>
    <w:rsid w:val="00924899"/>
    <w:rsid w:val="00924FE4"/>
    <w:rsid w:val="00925101"/>
    <w:rsid w:val="00925E7B"/>
    <w:rsid w:val="009265EE"/>
    <w:rsid w:val="0092662C"/>
    <w:rsid w:val="00926B45"/>
    <w:rsid w:val="00927559"/>
    <w:rsid w:val="00927887"/>
    <w:rsid w:val="00927F51"/>
    <w:rsid w:val="00927FF9"/>
    <w:rsid w:val="009304AD"/>
    <w:rsid w:val="00930638"/>
    <w:rsid w:val="00930F3B"/>
    <w:rsid w:val="0093103B"/>
    <w:rsid w:val="009310BD"/>
    <w:rsid w:val="00931361"/>
    <w:rsid w:val="009316A7"/>
    <w:rsid w:val="00931906"/>
    <w:rsid w:val="009319F0"/>
    <w:rsid w:val="009329C8"/>
    <w:rsid w:val="0093347F"/>
    <w:rsid w:val="009336A5"/>
    <w:rsid w:val="009336FE"/>
    <w:rsid w:val="00933967"/>
    <w:rsid w:val="00933B92"/>
    <w:rsid w:val="00934580"/>
    <w:rsid w:val="0093458C"/>
    <w:rsid w:val="009357AA"/>
    <w:rsid w:val="00935AA9"/>
    <w:rsid w:val="00935C56"/>
    <w:rsid w:val="00935CC4"/>
    <w:rsid w:val="0093637C"/>
    <w:rsid w:val="00936AA2"/>
    <w:rsid w:val="009370EB"/>
    <w:rsid w:val="009373F4"/>
    <w:rsid w:val="0094073F"/>
    <w:rsid w:val="0094093C"/>
    <w:rsid w:val="0094094E"/>
    <w:rsid w:val="00940BC1"/>
    <w:rsid w:val="00940CAF"/>
    <w:rsid w:val="009410D4"/>
    <w:rsid w:val="0094125C"/>
    <w:rsid w:val="00941991"/>
    <w:rsid w:val="009419A0"/>
    <w:rsid w:val="009432FA"/>
    <w:rsid w:val="00943361"/>
    <w:rsid w:val="00943522"/>
    <w:rsid w:val="00943DCB"/>
    <w:rsid w:val="00943DF7"/>
    <w:rsid w:val="009441D1"/>
    <w:rsid w:val="00944800"/>
    <w:rsid w:val="00944935"/>
    <w:rsid w:val="00944CB4"/>
    <w:rsid w:val="0094559E"/>
    <w:rsid w:val="009456ED"/>
    <w:rsid w:val="00945B13"/>
    <w:rsid w:val="00945C7C"/>
    <w:rsid w:val="00946196"/>
    <w:rsid w:val="009467B3"/>
    <w:rsid w:val="009469B3"/>
    <w:rsid w:val="00946D75"/>
    <w:rsid w:val="00947199"/>
    <w:rsid w:val="009471AF"/>
    <w:rsid w:val="0094734B"/>
    <w:rsid w:val="009477DF"/>
    <w:rsid w:val="0095003A"/>
    <w:rsid w:val="009508F8"/>
    <w:rsid w:val="00950933"/>
    <w:rsid w:val="00950C1D"/>
    <w:rsid w:val="00950C30"/>
    <w:rsid w:val="00950C73"/>
    <w:rsid w:val="00950E23"/>
    <w:rsid w:val="009513AC"/>
    <w:rsid w:val="00951E42"/>
    <w:rsid w:val="00952237"/>
    <w:rsid w:val="009529C6"/>
    <w:rsid w:val="00952B07"/>
    <w:rsid w:val="00952F92"/>
    <w:rsid w:val="0095381E"/>
    <w:rsid w:val="00953A0B"/>
    <w:rsid w:val="00954041"/>
    <w:rsid w:val="0095408E"/>
    <w:rsid w:val="00954765"/>
    <w:rsid w:val="00954B4F"/>
    <w:rsid w:val="00954F8B"/>
    <w:rsid w:val="0095523B"/>
    <w:rsid w:val="0095542B"/>
    <w:rsid w:val="0095563C"/>
    <w:rsid w:val="00955785"/>
    <w:rsid w:val="00955F60"/>
    <w:rsid w:val="009560FC"/>
    <w:rsid w:val="0095612C"/>
    <w:rsid w:val="009564C9"/>
    <w:rsid w:val="009573CC"/>
    <w:rsid w:val="00957834"/>
    <w:rsid w:val="00957C59"/>
    <w:rsid w:val="00957EBF"/>
    <w:rsid w:val="00957F42"/>
    <w:rsid w:val="00957FE1"/>
    <w:rsid w:val="009605EA"/>
    <w:rsid w:val="009605F8"/>
    <w:rsid w:val="00960B6D"/>
    <w:rsid w:val="00960EDD"/>
    <w:rsid w:val="00960FE6"/>
    <w:rsid w:val="00961718"/>
    <w:rsid w:val="0096190D"/>
    <w:rsid w:val="009619BA"/>
    <w:rsid w:val="009619F8"/>
    <w:rsid w:val="00961FB9"/>
    <w:rsid w:val="00962080"/>
    <w:rsid w:val="0096223F"/>
    <w:rsid w:val="009624F6"/>
    <w:rsid w:val="009628F8"/>
    <w:rsid w:val="009629B5"/>
    <w:rsid w:val="009633D1"/>
    <w:rsid w:val="0096407D"/>
    <w:rsid w:val="00964575"/>
    <w:rsid w:val="009646EE"/>
    <w:rsid w:val="00964B09"/>
    <w:rsid w:val="009650E2"/>
    <w:rsid w:val="00965103"/>
    <w:rsid w:val="0096529C"/>
    <w:rsid w:val="00965340"/>
    <w:rsid w:val="009653AB"/>
    <w:rsid w:val="00965F73"/>
    <w:rsid w:val="009661B6"/>
    <w:rsid w:val="009662D2"/>
    <w:rsid w:val="00966456"/>
    <w:rsid w:val="009665EB"/>
    <w:rsid w:val="009668E8"/>
    <w:rsid w:val="00966961"/>
    <w:rsid w:val="00966D18"/>
    <w:rsid w:val="00966DB5"/>
    <w:rsid w:val="00966F47"/>
    <w:rsid w:val="00967888"/>
    <w:rsid w:val="00967BD4"/>
    <w:rsid w:val="00967BE8"/>
    <w:rsid w:val="0097020B"/>
    <w:rsid w:val="00970659"/>
    <w:rsid w:val="00970989"/>
    <w:rsid w:val="00970C1C"/>
    <w:rsid w:val="0097176E"/>
    <w:rsid w:val="00971AF8"/>
    <w:rsid w:val="00972AE6"/>
    <w:rsid w:val="009734E9"/>
    <w:rsid w:val="009737D3"/>
    <w:rsid w:val="009742EE"/>
    <w:rsid w:val="00974821"/>
    <w:rsid w:val="00974DD6"/>
    <w:rsid w:val="00975544"/>
    <w:rsid w:val="009755FB"/>
    <w:rsid w:val="009758EB"/>
    <w:rsid w:val="009759AB"/>
    <w:rsid w:val="00976046"/>
    <w:rsid w:val="009769DB"/>
    <w:rsid w:val="00976E4B"/>
    <w:rsid w:val="00976F25"/>
    <w:rsid w:val="00977A9B"/>
    <w:rsid w:val="009806E0"/>
    <w:rsid w:val="00981071"/>
    <w:rsid w:val="009813E3"/>
    <w:rsid w:val="00981582"/>
    <w:rsid w:val="00981F01"/>
    <w:rsid w:val="009820E4"/>
    <w:rsid w:val="009821B4"/>
    <w:rsid w:val="009826D4"/>
    <w:rsid w:val="00982E28"/>
    <w:rsid w:val="0098305E"/>
    <w:rsid w:val="00983281"/>
    <w:rsid w:val="0098343F"/>
    <w:rsid w:val="00983582"/>
    <w:rsid w:val="009836CD"/>
    <w:rsid w:val="00983C6F"/>
    <w:rsid w:val="00984D10"/>
    <w:rsid w:val="00984FF1"/>
    <w:rsid w:val="0098543D"/>
    <w:rsid w:val="00985817"/>
    <w:rsid w:val="00985E60"/>
    <w:rsid w:val="00985EA5"/>
    <w:rsid w:val="009864ED"/>
    <w:rsid w:val="0098759A"/>
    <w:rsid w:val="009875A1"/>
    <w:rsid w:val="0098768E"/>
    <w:rsid w:val="009879EC"/>
    <w:rsid w:val="00987BE2"/>
    <w:rsid w:val="009906FA"/>
    <w:rsid w:val="00991B4C"/>
    <w:rsid w:val="00992826"/>
    <w:rsid w:val="0099300D"/>
    <w:rsid w:val="00993725"/>
    <w:rsid w:val="00993FA6"/>
    <w:rsid w:val="00993FBE"/>
    <w:rsid w:val="00994F7B"/>
    <w:rsid w:val="0099541C"/>
    <w:rsid w:val="0099546C"/>
    <w:rsid w:val="009966DC"/>
    <w:rsid w:val="009969D1"/>
    <w:rsid w:val="00997310"/>
    <w:rsid w:val="009975C2"/>
    <w:rsid w:val="009979A2"/>
    <w:rsid w:val="009A00A9"/>
    <w:rsid w:val="009A07F6"/>
    <w:rsid w:val="009A0AB2"/>
    <w:rsid w:val="009A11A6"/>
    <w:rsid w:val="009A1266"/>
    <w:rsid w:val="009A1439"/>
    <w:rsid w:val="009A238E"/>
    <w:rsid w:val="009A2AF0"/>
    <w:rsid w:val="009A3205"/>
    <w:rsid w:val="009A3406"/>
    <w:rsid w:val="009A36B1"/>
    <w:rsid w:val="009A3B54"/>
    <w:rsid w:val="009A3DC6"/>
    <w:rsid w:val="009A3FF1"/>
    <w:rsid w:val="009A40D1"/>
    <w:rsid w:val="009A43CC"/>
    <w:rsid w:val="009A495D"/>
    <w:rsid w:val="009A4DD8"/>
    <w:rsid w:val="009A5080"/>
    <w:rsid w:val="009A50D2"/>
    <w:rsid w:val="009A5DE2"/>
    <w:rsid w:val="009A6B6F"/>
    <w:rsid w:val="009A6EF6"/>
    <w:rsid w:val="009A6F17"/>
    <w:rsid w:val="009A70B2"/>
    <w:rsid w:val="009A7C4E"/>
    <w:rsid w:val="009B12B5"/>
    <w:rsid w:val="009B19E5"/>
    <w:rsid w:val="009B1D1A"/>
    <w:rsid w:val="009B1DDF"/>
    <w:rsid w:val="009B1F76"/>
    <w:rsid w:val="009B26D3"/>
    <w:rsid w:val="009B2737"/>
    <w:rsid w:val="009B3382"/>
    <w:rsid w:val="009B3389"/>
    <w:rsid w:val="009B364D"/>
    <w:rsid w:val="009B3E67"/>
    <w:rsid w:val="009B3E90"/>
    <w:rsid w:val="009B412D"/>
    <w:rsid w:val="009B4435"/>
    <w:rsid w:val="009B54EC"/>
    <w:rsid w:val="009B602B"/>
    <w:rsid w:val="009B6063"/>
    <w:rsid w:val="009B6068"/>
    <w:rsid w:val="009B65EB"/>
    <w:rsid w:val="009B6674"/>
    <w:rsid w:val="009B6F9C"/>
    <w:rsid w:val="009B71AB"/>
    <w:rsid w:val="009B72B6"/>
    <w:rsid w:val="009B7382"/>
    <w:rsid w:val="009B756F"/>
    <w:rsid w:val="009B75F5"/>
    <w:rsid w:val="009C00D9"/>
    <w:rsid w:val="009C0649"/>
    <w:rsid w:val="009C19F8"/>
    <w:rsid w:val="009C24B6"/>
    <w:rsid w:val="009C2FA8"/>
    <w:rsid w:val="009C39FB"/>
    <w:rsid w:val="009C405E"/>
    <w:rsid w:val="009C4198"/>
    <w:rsid w:val="009C478F"/>
    <w:rsid w:val="009C49AF"/>
    <w:rsid w:val="009C4CD5"/>
    <w:rsid w:val="009C4F2E"/>
    <w:rsid w:val="009C58E2"/>
    <w:rsid w:val="009C58EF"/>
    <w:rsid w:val="009C5B78"/>
    <w:rsid w:val="009C6425"/>
    <w:rsid w:val="009C6451"/>
    <w:rsid w:val="009C64C2"/>
    <w:rsid w:val="009C6663"/>
    <w:rsid w:val="009C6B0C"/>
    <w:rsid w:val="009C6B34"/>
    <w:rsid w:val="009C6B42"/>
    <w:rsid w:val="009C6DBB"/>
    <w:rsid w:val="009C7BF6"/>
    <w:rsid w:val="009C7C62"/>
    <w:rsid w:val="009D040F"/>
    <w:rsid w:val="009D0916"/>
    <w:rsid w:val="009D12A6"/>
    <w:rsid w:val="009D15E2"/>
    <w:rsid w:val="009D1763"/>
    <w:rsid w:val="009D1B9B"/>
    <w:rsid w:val="009D1E99"/>
    <w:rsid w:val="009D1EDE"/>
    <w:rsid w:val="009D2024"/>
    <w:rsid w:val="009D2543"/>
    <w:rsid w:val="009D2778"/>
    <w:rsid w:val="009D2CF6"/>
    <w:rsid w:val="009D2E92"/>
    <w:rsid w:val="009D391F"/>
    <w:rsid w:val="009D3E74"/>
    <w:rsid w:val="009D46AB"/>
    <w:rsid w:val="009D482B"/>
    <w:rsid w:val="009D5314"/>
    <w:rsid w:val="009D62A6"/>
    <w:rsid w:val="009D63BC"/>
    <w:rsid w:val="009D6644"/>
    <w:rsid w:val="009D6D84"/>
    <w:rsid w:val="009D6FA9"/>
    <w:rsid w:val="009D71B7"/>
    <w:rsid w:val="009D73A2"/>
    <w:rsid w:val="009D7925"/>
    <w:rsid w:val="009D7A75"/>
    <w:rsid w:val="009E01A0"/>
    <w:rsid w:val="009E0C24"/>
    <w:rsid w:val="009E0DD9"/>
    <w:rsid w:val="009E143A"/>
    <w:rsid w:val="009E164E"/>
    <w:rsid w:val="009E17AB"/>
    <w:rsid w:val="009E1A04"/>
    <w:rsid w:val="009E26A8"/>
    <w:rsid w:val="009E295E"/>
    <w:rsid w:val="009E2ACC"/>
    <w:rsid w:val="009E2BCC"/>
    <w:rsid w:val="009E2C12"/>
    <w:rsid w:val="009E39DE"/>
    <w:rsid w:val="009E3C9E"/>
    <w:rsid w:val="009E3D8E"/>
    <w:rsid w:val="009E4194"/>
    <w:rsid w:val="009E42FF"/>
    <w:rsid w:val="009E4D4A"/>
    <w:rsid w:val="009E552E"/>
    <w:rsid w:val="009E5E83"/>
    <w:rsid w:val="009E689C"/>
    <w:rsid w:val="009E7064"/>
    <w:rsid w:val="009E7423"/>
    <w:rsid w:val="009F0DD0"/>
    <w:rsid w:val="009F15EC"/>
    <w:rsid w:val="009F1A91"/>
    <w:rsid w:val="009F1AC3"/>
    <w:rsid w:val="009F2098"/>
    <w:rsid w:val="009F22A8"/>
    <w:rsid w:val="009F2F6F"/>
    <w:rsid w:val="009F2FEF"/>
    <w:rsid w:val="009F31F2"/>
    <w:rsid w:val="009F3A99"/>
    <w:rsid w:val="009F3C50"/>
    <w:rsid w:val="009F46FB"/>
    <w:rsid w:val="009F4D81"/>
    <w:rsid w:val="009F4DDE"/>
    <w:rsid w:val="009F54F5"/>
    <w:rsid w:val="009F5C10"/>
    <w:rsid w:val="009F6E1A"/>
    <w:rsid w:val="00A0087E"/>
    <w:rsid w:val="00A00D82"/>
    <w:rsid w:val="00A02527"/>
    <w:rsid w:val="00A0305C"/>
    <w:rsid w:val="00A0334A"/>
    <w:rsid w:val="00A0382B"/>
    <w:rsid w:val="00A03D43"/>
    <w:rsid w:val="00A041D4"/>
    <w:rsid w:val="00A04365"/>
    <w:rsid w:val="00A044D4"/>
    <w:rsid w:val="00A04D4A"/>
    <w:rsid w:val="00A04FF9"/>
    <w:rsid w:val="00A05471"/>
    <w:rsid w:val="00A05B3F"/>
    <w:rsid w:val="00A05DB7"/>
    <w:rsid w:val="00A06186"/>
    <w:rsid w:val="00A06FCB"/>
    <w:rsid w:val="00A0732E"/>
    <w:rsid w:val="00A0746C"/>
    <w:rsid w:val="00A076AE"/>
    <w:rsid w:val="00A07ADF"/>
    <w:rsid w:val="00A07AE0"/>
    <w:rsid w:val="00A07CD8"/>
    <w:rsid w:val="00A100AB"/>
    <w:rsid w:val="00A102C1"/>
    <w:rsid w:val="00A1044E"/>
    <w:rsid w:val="00A1061E"/>
    <w:rsid w:val="00A10649"/>
    <w:rsid w:val="00A1071B"/>
    <w:rsid w:val="00A107EA"/>
    <w:rsid w:val="00A10A19"/>
    <w:rsid w:val="00A10CFD"/>
    <w:rsid w:val="00A112E6"/>
    <w:rsid w:val="00A11ABB"/>
    <w:rsid w:val="00A11C0E"/>
    <w:rsid w:val="00A1237A"/>
    <w:rsid w:val="00A1253B"/>
    <w:rsid w:val="00A12D89"/>
    <w:rsid w:val="00A1371B"/>
    <w:rsid w:val="00A1378D"/>
    <w:rsid w:val="00A142D0"/>
    <w:rsid w:val="00A14B31"/>
    <w:rsid w:val="00A14CC6"/>
    <w:rsid w:val="00A155A7"/>
    <w:rsid w:val="00A15DBA"/>
    <w:rsid w:val="00A15E66"/>
    <w:rsid w:val="00A16113"/>
    <w:rsid w:val="00A16200"/>
    <w:rsid w:val="00A16258"/>
    <w:rsid w:val="00A1653F"/>
    <w:rsid w:val="00A166DF"/>
    <w:rsid w:val="00A16D76"/>
    <w:rsid w:val="00A16E65"/>
    <w:rsid w:val="00A17248"/>
    <w:rsid w:val="00A17F21"/>
    <w:rsid w:val="00A206DE"/>
    <w:rsid w:val="00A20CA9"/>
    <w:rsid w:val="00A20E5A"/>
    <w:rsid w:val="00A2150D"/>
    <w:rsid w:val="00A2190C"/>
    <w:rsid w:val="00A21C6E"/>
    <w:rsid w:val="00A224A7"/>
    <w:rsid w:val="00A227C2"/>
    <w:rsid w:val="00A236E7"/>
    <w:rsid w:val="00A238DA"/>
    <w:rsid w:val="00A23A25"/>
    <w:rsid w:val="00A23EF1"/>
    <w:rsid w:val="00A2412E"/>
    <w:rsid w:val="00A24506"/>
    <w:rsid w:val="00A24C60"/>
    <w:rsid w:val="00A24F68"/>
    <w:rsid w:val="00A252DB"/>
    <w:rsid w:val="00A259B0"/>
    <w:rsid w:val="00A25FAF"/>
    <w:rsid w:val="00A26183"/>
    <w:rsid w:val="00A26392"/>
    <w:rsid w:val="00A26515"/>
    <w:rsid w:val="00A26AA0"/>
    <w:rsid w:val="00A26EBC"/>
    <w:rsid w:val="00A273F7"/>
    <w:rsid w:val="00A27516"/>
    <w:rsid w:val="00A275F2"/>
    <w:rsid w:val="00A27967"/>
    <w:rsid w:val="00A31344"/>
    <w:rsid w:val="00A31850"/>
    <w:rsid w:val="00A31CEB"/>
    <w:rsid w:val="00A32B57"/>
    <w:rsid w:val="00A331B3"/>
    <w:rsid w:val="00A33315"/>
    <w:rsid w:val="00A334C3"/>
    <w:rsid w:val="00A3396A"/>
    <w:rsid w:val="00A34B41"/>
    <w:rsid w:val="00A34C12"/>
    <w:rsid w:val="00A35452"/>
    <w:rsid w:val="00A35C31"/>
    <w:rsid w:val="00A3607B"/>
    <w:rsid w:val="00A3661C"/>
    <w:rsid w:val="00A36654"/>
    <w:rsid w:val="00A36708"/>
    <w:rsid w:val="00A369F1"/>
    <w:rsid w:val="00A36DD7"/>
    <w:rsid w:val="00A36F18"/>
    <w:rsid w:val="00A37165"/>
    <w:rsid w:val="00A374DD"/>
    <w:rsid w:val="00A37742"/>
    <w:rsid w:val="00A37BAC"/>
    <w:rsid w:val="00A37ED7"/>
    <w:rsid w:val="00A406C7"/>
    <w:rsid w:val="00A4075F"/>
    <w:rsid w:val="00A409B1"/>
    <w:rsid w:val="00A40DF5"/>
    <w:rsid w:val="00A4114D"/>
    <w:rsid w:val="00A41736"/>
    <w:rsid w:val="00A41D87"/>
    <w:rsid w:val="00A42C02"/>
    <w:rsid w:val="00A42C92"/>
    <w:rsid w:val="00A4355C"/>
    <w:rsid w:val="00A439A1"/>
    <w:rsid w:val="00A44FD8"/>
    <w:rsid w:val="00A45DFE"/>
    <w:rsid w:val="00A460DD"/>
    <w:rsid w:val="00A462D5"/>
    <w:rsid w:val="00A46509"/>
    <w:rsid w:val="00A4689E"/>
    <w:rsid w:val="00A46D5D"/>
    <w:rsid w:val="00A510EF"/>
    <w:rsid w:val="00A51B6A"/>
    <w:rsid w:val="00A5254F"/>
    <w:rsid w:val="00A52E41"/>
    <w:rsid w:val="00A5324A"/>
    <w:rsid w:val="00A5327A"/>
    <w:rsid w:val="00A537EB"/>
    <w:rsid w:val="00A53C40"/>
    <w:rsid w:val="00A53CDA"/>
    <w:rsid w:val="00A54339"/>
    <w:rsid w:val="00A54A34"/>
    <w:rsid w:val="00A54D43"/>
    <w:rsid w:val="00A554B2"/>
    <w:rsid w:val="00A55E1E"/>
    <w:rsid w:val="00A568D3"/>
    <w:rsid w:val="00A56C1A"/>
    <w:rsid w:val="00A5734D"/>
    <w:rsid w:val="00A573E6"/>
    <w:rsid w:val="00A575B7"/>
    <w:rsid w:val="00A579EC"/>
    <w:rsid w:val="00A57A3C"/>
    <w:rsid w:val="00A57B4E"/>
    <w:rsid w:val="00A57D16"/>
    <w:rsid w:val="00A57D99"/>
    <w:rsid w:val="00A60243"/>
    <w:rsid w:val="00A6055F"/>
    <w:rsid w:val="00A60A05"/>
    <w:rsid w:val="00A60CA7"/>
    <w:rsid w:val="00A6101D"/>
    <w:rsid w:val="00A614C1"/>
    <w:rsid w:val="00A61AE2"/>
    <w:rsid w:val="00A61F48"/>
    <w:rsid w:val="00A62153"/>
    <w:rsid w:val="00A624DB"/>
    <w:rsid w:val="00A62A29"/>
    <w:rsid w:val="00A62C18"/>
    <w:rsid w:val="00A62EB6"/>
    <w:rsid w:val="00A63435"/>
    <w:rsid w:val="00A63D7A"/>
    <w:rsid w:val="00A645FA"/>
    <w:rsid w:val="00A64990"/>
    <w:rsid w:val="00A64E2E"/>
    <w:rsid w:val="00A655C1"/>
    <w:rsid w:val="00A6644C"/>
    <w:rsid w:val="00A668F6"/>
    <w:rsid w:val="00A66D82"/>
    <w:rsid w:val="00A6709C"/>
    <w:rsid w:val="00A67124"/>
    <w:rsid w:val="00A67211"/>
    <w:rsid w:val="00A7101F"/>
    <w:rsid w:val="00A71728"/>
    <w:rsid w:val="00A71BCC"/>
    <w:rsid w:val="00A71F2D"/>
    <w:rsid w:val="00A72BB9"/>
    <w:rsid w:val="00A72D2F"/>
    <w:rsid w:val="00A72F73"/>
    <w:rsid w:val="00A730ED"/>
    <w:rsid w:val="00A73B47"/>
    <w:rsid w:val="00A73CCA"/>
    <w:rsid w:val="00A73D92"/>
    <w:rsid w:val="00A7506C"/>
    <w:rsid w:val="00A751D7"/>
    <w:rsid w:val="00A753D4"/>
    <w:rsid w:val="00A758DA"/>
    <w:rsid w:val="00A75ABE"/>
    <w:rsid w:val="00A75D05"/>
    <w:rsid w:val="00A7665D"/>
    <w:rsid w:val="00A80832"/>
    <w:rsid w:val="00A80D8E"/>
    <w:rsid w:val="00A8117B"/>
    <w:rsid w:val="00A823D0"/>
    <w:rsid w:val="00A829B3"/>
    <w:rsid w:val="00A82C3B"/>
    <w:rsid w:val="00A82C8A"/>
    <w:rsid w:val="00A83535"/>
    <w:rsid w:val="00A839D5"/>
    <w:rsid w:val="00A83FD5"/>
    <w:rsid w:val="00A848AC"/>
    <w:rsid w:val="00A84C41"/>
    <w:rsid w:val="00A84C94"/>
    <w:rsid w:val="00A84E37"/>
    <w:rsid w:val="00A85192"/>
    <w:rsid w:val="00A85383"/>
    <w:rsid w:val="00A855F3"/>
    <w:rsid w:val="00A86260"/>
    <w:rsid w:val="00A862C3"/>
    <w:rsid w:val="00A8679C"/>
    <w:rsid w:val="00A86A7B"/>
    <w:rsid w:val="00A86C52"/>
    <w:rsid w:val="00A87298"/>
    <w:rsid w:val="00A878D8"/>
    <w:rsid w:val="00A90519"/>
    <w:rsid w:val="00A91056"/>
    <w:rsid w:val="00A91108"/>
    <w:rsid w:val="00A91EA9"/>
    <w:rsid w:val="00A92455"/>
    <w:rsid w:val="00A92625"/>
    <w:rsid w:val="00A9293D"/>
    <w:rsid w:val="00A92A1F"/>
    <w:rsid w:val="00A9333F"/>
    <w:rsid w:val="00A933D9"/>
    <w:rsid w:val="00A935DF"/>
    <w:rsid w:val="00A93D08"/>
    <w:rsid w:val="00A9403F"/>
    <w:rsid w:val="00A94345"/>
    <w:rsid w:val="00A9460E"/>
    <w:rsid w:val="00A95262"/>
    <w:rsid w:val="00A95BFE"/>
    <w:rsid w:val="00A96154"/>
    <w:rsid w:val="00A96374"/>
    <w:rsid w:val="00A96426"/>
    <w:rsid w:val="00A97301"/>
    <w:rsid w:val="00A974EB"/>
    <w:rsid w:val="00A97BF6"/>
    <w:rsid w:val="00A97DBF"/>
    <w:rsid w:val="00A97EF8"/>
    <w:rsid w:val="00AA0222"/>
    <w:rsid w:val="00AA0503"/>
    <w:rsid w:val="00AA0732"/>
    <w:rsid w:val="00AA0C42"/>
    <w:rsid w:val="00AA0FA4"/>
    <w:rsid w:val="00AA1038"/>
    <w:rsid w:val="00AA1729"/>
    <w:rsid w:val="00AA1750"/>
    <w:rsid w:val="00AA1B76"/>
    <w:rsid w:val="00AA1E50"/>
    <w:rsid w:val="00AA24F6"/>
    <w:rsid w:val="00AA2E2F"/>
    <w:rsid w:val="00AA3069"/>
    <w:rsid w:val="00AA3273"/>
    <w:rsid w:val="00AA37F6"/>
    <w:rsid w:val="00AA38D4"/>
    <w:rsid w:val="00AA3F09"/>
    <w:rsid w:val="00AA4546"/>
    <w:rsid w:val="00AA4794"/>
    <w:rsid w:val="00AA4880"/>
    <w:rsid w:val="00AA4E2F"/>
    <w:rsid w:val="00AA4FB3"/>
    <w:rsid w:val="00AA5080"/>
    <w:rsid w:val="00AA53EF"/>
    <w:rsid w:val="00AA57E4"/>
    <w:rsid w:val="00AA6014"/>
    <w:rsid w:val="00AA6224"/>
    <w:rsid w:val="00AA6226"/>
    <w:rsid w:val="00AA64B3"/>
    <w:rsid w:val="00AA664C"/>
    <w:rsid w:val="00AA6D9F"/>
    <w:rsid w:val="00AA7124"/>
    <w:rsid w:val="00AA71B2"/>
    <w:rsid w:val="00AA767F"/>
    <w:rsid w:val="00AA76FA"/>
    <w:rsid w:val="00AB0106"/>
    <w:rsid w:val="00AB075B"/>
    <w:rsid w:val="00AB0A1B"/>
    <w:rsid w:val="00AB0A7C"/>
    <w:rsid w:val="00AB1845"/>
    <w:rsid w:val="00AB1C2A"/>
    <w:rsid w:val="00AB1EBA"/>
    <w:rsid w:val="00AB1FA2"/>
    <w:rsid w:val="00AB217C"/>
    <w:rsid w:val="00AB21A1"/>
    <w:rsid w:val="00AB2B61"/>
    <w:rsid w:val="00AB397D"/>
    <w:rsid w:val="00AB3D78"/>
    <w:rsid w:val="00AB3DDF"/>
    <w:rsid w:val="00AB4269"/>
    <w:rsid w:val="00AB45C2"/>
    <w:rsid w:val="00AB47E6"/>
    <w:rsid w:val="00AB51A6"/>
    <w:rsid w:val="00AB52C2"/>
    <w:rsid w:val="00AB5368"/>
    <w:rsid w:val="00AB54EB"/>
    <w:rsid w:val="00AB5AC7"/>
    <w:rsid w:val="00AB5C93"/>
    <w:rsid w:val="00AB5C98"/>
    <w:rsid w:val="00AB5E45"/>
    <w:rsid w:val="00AB650C"/>
    <w:rsid w:val="00AB6D96"/>
    <w:rsid w:val="00AB6F9D"/>
    <w:rsid w:val="00AB70D2"/>
    <w:rsid w:val="00AB7484"/>
    <w:rsid w:val="00AC0095"/>
    <w:rsid w:val="00AC020C"/>
    <w:rsid w:val="00AC06B7"/>
    <w:rsid w:val="00AC0C6F"/>
    <w:rsid w:val="00AC0CAD"/>
    <w:rsid w:val="00AC143B"/>
    <w:rsid w:val="00AC1F6A"/>
    <w:rsid w:val="00AC2221"/>
    <w:rsid w:val="00AC235F"/>
    <w:rsid w:val="00AC2634"/>
    <w:rsid w:val="00AC2A47"/>
    <w:rsid w:val="00AC3273"/>
    <w:rsid w:val="00AC39F6"/>
    <w:rsid w:val="00AC3E74"/>
    <w:rsid w:val="00AC44F7"/>
    <w:rsid w:val="00AC4770"/>
    <w:rsid w:val="00AC4C72"/>
    <w:rsid w:val="00AC556A"/>
    <w:rsid w:val="00AC630F"/>
    <w:rsid w:val="00AC660D"/>
    <w:rsid w:val="00AC6BB8"/>
    <w:rsid w:val="00AC72FE"/>
    <w:rsid w:val="00AC75B1"/>
    <w:rsid w:val="00AC7A4D"/>
    <w:rsid w:val="00AC7CDE"/>
    <w:rsid w:val="00AC7D20"/>
    <w:rsid w:val="00AD0DCD"/>
    <w:rsid w:val="00AD10FC"/>
    <w:rsid w:val="00AD1223"/>
    <w:rsid w:val="00AD1305"/>
    <w:rsid w:val="00AD14F9"/>
    <w:rsid w:val="00AD1632"/>
    <w:rsid w:val="00AD1F54"/>
    <w:rsid w:val="00AD202C"/>
    <w:rsid w:val="00AD2199"/>
    <w:rsid w:val="00AD27C1"/>
    <w:rsid w:val="00AD363E"/>
    <w:rsid w:val="00AD386D"/>
    <w:rsid w:val="00AD3C7F"/>
    <w:rsid w:val="00AD4500"/>
    <w:rsid w:val="00AD5853"/>
    <w:rsid w:val="00AD591A"/>
    <w:rsid w:val="00AD5BC6"/>
    <w:rsid w:val="00AD5CC4"/>
    <w:rsid w:val="00AD68E3"/>
    <w:rsid w:val="00AD7B86"/>
    <w:rsid w:val="00AE008C"/>
    <w:rsid w:val="00AE0326"/>
    <w:rsid w:val="00AE0A4D"/>
    <w:rsid w:val="00AE167D"/>
    <w:rsid w:val="00AE187A"/>
    <w:rsid w:val="00AE1938"/>
    <w:rsid w:val="00AE197B"/>
    <w:rsid w:val="00AE2A67"/>
    <w:rsid w:val="00AE2C03"/>
    <w:rsid w:val="00AE2E05"/>
    <w:rsid w:val="00AE2F2D"/>
    <w:rsid w:val="00AE2FBC"/>
    <w:rsid w:val="00AE392F"/>
    <w:rsid w:val="00AE394D"/>
    <w:rsid w:val="00AE3BA9"/>
    <w:rsid w:val="00AE3FFB"/>
    <w:rsid w:val="00AE4302"/>
    <w:rsid w:val="00AE4519"/>
    <w:rsid w:val="00AE4635"/>
    <w:rsid w:val="00AE48B4"/>
    <w:rsid w:val="00AE4E6E"/>
    <w:rsid w:val="00AE4F4F"/>
    <w:rsid w:val="00AE511C"/>
    <w:rsid w:val="00AE51CA"/>
    <w:rsid w:val="00AE5C62"/>
    <w:rsid w:val="00AE60BA"/>
    <w:rsid w:val="00AE6178"/>
    <w:rsid w:val="00AE62D7"/>
    <w:rsid w:val="00AE6638"/>
    <w:rsid w:val="00AE7274"/>
    <w:rsid w:val="00AE7648"/>
    <w:rsid w:val="00AF0029"/>
    <w:rsid w:val="00AF02ED"/>
    <w:rsid w:val="00AF0579"/>
    <w:rsid w:val="00AF0D70"/>
    <w:rsid w:val="00AF1807"/>
    <w:rsid w:val="00AF1F39"/>
    <w:rsid w:val="00AF21B2"/>
    <w:rsid w:val="00AF23D1"/>
    <w:rsid w:val="00AF29EF"/>
    <w:rsid w:val="00AF2F25"/>
    <w:rsid w:val="00AF3131"/>
    <w:rsid w:val="00AF32E2"/>
    <w:rsid w:val="00AF37A1"/>
    <w:rsid w:val="00AF3D35"/>
    <w:rsid w:val="00AF4090"/>
    <w:rsid w:val="00AF4211"/>
    <w:rsid w:val="00AF4F4D"/>
    <w:rsid w:val="00AF5316"/>
    <w:rsid w:val="00AF584B"/>
    <w:rsid w:val="00AF6683"/>
    <w:rsid w:val="00AF66CB"/>
    <w:rsid w:val="00AF703C"/>
    <w:rsid w:val="00AF76C1"/>
    <w:rsid w:val="00AF7A1B"/>
    <w:rsid w:val="00AF7C0B"/>
    <w:rsid w:val="00AF7E59"/>
    <w:rsid w:val="00B00009"/>
    <w:rsid w:val="00B004C2"/>
    <w:rsid w:val="00B012E2"/>
    <w:rsid w:val="00B014AA"/>
    <w:rsid w:val="00B0181B"/>
    <w:rsid w:val="00B02222"/>
    <w:rsid w:val="00B02936"/>
    <w:rsid w:val="00B02DC5"/>
    <w:rsid w:val="00B03409"/>
    <w:rsid w:val="00B0363C"/>
    <w:rsid w:val="00B037BB"/>
    <w:rsid w:val="00B039CC"/>
    <w:rsid w:val="00B041B7"/>
    <w:rsid w:val="00B04240"/>
    <w:rsid w:val="00B043C4"/>
    <w:rsid w:val="00B04559"/>
    <w:rsid w:val="00B04733"/>
    <w:rsid w:val="00B0478B"/>
    <w:rsid w:val="00B04F6E"/>
    <w:rsid w:val="00B053BE"/>
    <w:rsid w:val="00B05FDD"/>
    <w:rsid w:val="00B06037"/>
    <w:rsid w:val="00B0639D"/>
    <w:rsid w:val="00B06547"/>
    <w:rsid w:val="00B06685"/>
    <w:rsid w:val="00B069DA"/>
    <w:rsid w:val="00B06CAF"/>
    <w:rsid w:val="00B07128"/>
    <w:rsid w:val="00B07A5A"/>
    <w:rsid w:val="00B07C76"/>
    <w:rsid w:val="00B1099F"/>
    <w:rsid w:val="00B10D6B"/>
    <w:rsid w:val="00B1136C"/>
    <w:rsid w:val="00B11CC5"/>
    <w:rsid w:val="00B11D6F"/>
    <w:rsid w:val="00B11FC0"/>
    <w:rsid w:val="00B12500"/>
    <w:rsid w:val="00B126A1"/>
    <w:rsid w:val="00B129CA"/>
    <w:rsid w:val="00B12B8F"/>
    <w:rsid w:val="00B13184"/>
    <w:rsid w:val="00B1320E"/>
    <w:rsid w:val="00B1490F"/>
    <w:rsid w:val="00B14BB4"/>
    <w:rsid w:val="00B1546E"/>
    <w:rsid w:val="00B1567D"/>
    <w:rsid w:val="00B15703"/>
    <w:rsid w:val="00B15D3F"/>
    <w:rsid w:val="00B15FD2"/>
    <w:rsid w:val="00B1623D"/>
    <w:rsid w:val="00B1633B"/>
    <w:rsid w:val="00B16551"/>
    <w:rsid w:val="00B16A22"/>
    <w:rsid w:val="00B16F5F"/>
    <w:rsid w:val="00B173DF"/>
    <w:rsid w:val="00B17F6A"/>
    <w:rsid w:val="00B200D7"/>
    <w:rsid w:val="00B20241"/>
    <w:rsid w:val="00B20EFA"/>
    <w:rsid w:val="00B20FFE"/>
    <w:rsid w:val="00B210E7"/>
    <w:rsid w:val="00B212A1"/>
    <w:rsid w:val="00B22165"/>
    <w:rsid w:val="00B22710"/>
    <w:rsid w:val="00B2311D"/>
    <w:rsid w:val="00B232D6"/>
    <w:rsid w:val="00B23C59"/>
    <w:rsid w:val="00B23E2B"/>
    <w:rsid w:val="00B24863"/>
    <w:rsid w:val="00B24929"/>
    <w:rsid w:val="00B24A75"/>
    <w:rsid w:val="00B24D9F"/>
    <w:rsid w:val="00B25018"/>
    <w:rsid w:val="00B25882"/>
    <w:rsid w:val="00B25A76"/>
    <w:rsid w:val="00B25AFF"/>
    <w:rsid w:val="00B25C88"/>
    <w:rsid w:val="00B26194"/>
    <w:rsid w:val="00B261DD"/>
    <w:rsid w:val="00B26206"/>
    <w:rsid w:val="00B2650C"/>
    <w:rsid w:val="00B268BA"/>
    <w:rsid w:val="00B26DD6"/>
    <w:rsid w:val="00B273A2"/>
    <w:rsid w:val="00B27710"/>
    <w:rsid w:val="00B27737"/>
    <w:rsid w:val="00B27DE5"/>
    <w:rsid w:val="00B300E3"/>
    <w:rsid w:val="00B30109"/>
    <w:rsid w:val="00B301CD"/>
    <w:rsid w:val="00B30389"/>
    <w:rsid w:val="00B30CAD"/>
    <w:rsid w:val="00B310A0"/>
    <w:rsid w:val="00B3161F"/>
    <w:rsid w:val="00B31A25"/>
    <w:rsid w:val="00B32663"/>
    <w:rsid w:val="00B327B0"/>
    <w:rsid w:val="00B33370"/>
    <w:rsid w:val="00B33410"/>
    <w:rsid w:val="00B337F5"/>
    <w:rsid w:val="00B33B19"/>
    <w:rsid w:val="00B33B28"/>
    <w:rsid w:val="00B3437B"/>
    <w:rsid w:val="00B348BA"/>
    <w:rsid w:val="00B34AC1"/>
    <w:rsid w:val="00B34AED"/>
    <w:rsid w:val="00B35725"/>
    <w:rsid w:val="00B358AB"/>
    <w:rsid w:val="00B359CB"/>
    <w:rsid w:val="00B359CE"/>
    <w:rsid w:val="00B35B5E"/>
    <w:rsid w:val="00B35B77"/>
    <w:rsid w:val="00B35D0E"/>
    <w:rsid w:val="00B360BE"/>
    <w:rsid w:val="00B3616F"/>
    <w:rsid w:val="00B36317"/>
    <w:rsid w:val="00B36879"/>
    <w:rsid w:val="00B36A84"/>
    <w:rsid w:val="00B36BA9"/>
    <w:rsid w:val="00B373EB"/>
    <w:rsid w:val="00B37C15"/>
    <w:rsid w:val="00B40C9F"/>
    <w:rsid w:val="00B41129"/>
    <w:rsid w:val="00B414E4"/>
    <w:rsid w:val="00B4198A"/>
    <w:rsid w:val="00B41AFE"/>
    <w:rsid w:val="00B42488"/>
    <w:rsid w:val="00B4279C"/>
    <w:rsid w:val="00B42823"/>
    <w:rsid w:val="00B42C9C"/>
    <w:rsid w:val="00B42CC8"/>
    <w:rsid w:val="00B43078"/>
    <w:rsid w:val="00B440B3"/>
    <w:rsid w:val="00B4492D"/>
    <w:rsid w:val="00B44975"/>
    <w:rsid w:val="00B44994"/>
    <w:rsid w:val="00B450CA"/>
    <w:rsid w:val="00B4527A"/>
    <w:rsid w:val="00B455E0"/>
    <w:rsid w:val="00B4584E"/>
    <w:rsid w:val="00B460A2"/>
    <w:rsid w:val="00B463E3"/>
    <w:rsid w:val="00B46B3E"/>
    <w:rsid w:val="00B46DD6"/>
    <w:rsid w:val="00B4706D"/>
    <w:rsid w:val="00B4713E"/>
    <w:rsid w:val="00B474C0"/>
    <w:rsid w:val="00B50237"/>
    <w:rsid w:val="00B502A6"/>
    <w:rsid w:val="00B50356"/>
    <w:rsid w:val="00B50D82"/>
    <w:rsid w:val="00B50EDD"/>
    <w:rsid w:val="00B51210"/>
    <w:rsid w:val="00B52013"/>
    <w:rsid w:val="00B52507"/>
    <w:rsid w:val="00B52A1C"/>
    <w:rsid w:val="00B52AA8"/>
    <w:rsid w:val="00B52AF7"/>
    <w:rsid w:val="00B53101"/>
    <w:rsid w:val="00B5351D"/>
    <w:rsid w:val="00B538EE"/>
    <w:rsid w:val="00B53C6F"/>
    <w:rsid w:val="00B53E12"/>
    <w:rsid w:val="00B5459D"/>
    <w:rsid w:val="00B54E7C"/>
    <w:rsid w:val="00B5575F"/>
    <w:rsid w:val="00B55CA2"/>
    <w:rsid w:val="00B55D5B"/>
    <w:rsid w:val="00B56548"/>
    <w:rsid w:val="00B567D9"/>
    <w:rsid w:val="00B56D3A"/>
    <w:rsid w:val="00B578E6"/>
    <w:rsid w:val="00B57941"/>
    <w:rsid w:val="00B605D6"/>
    <w:rsid w:val="00B60AF7"/>
    <w:rsid w:val="00B60C53"/>
    <w:rsid w:val="00B61579"/>
    <w:rsid w:val="00B618C6"/>
    <w:rsid w:val="00B61A72"/>
    <w:rsid w:val="00B61EBC"/>
    <w:rsid w:val="00B6274B"/>
    <w:rsid w:val="00B6295F"/>
    <w:rsid w:val="00B62B2D"/>
    <w:rsid w:val="00B62F1B"/>
    <w:rsid w:val="00B6307D"/>
    <w:rsid w:val="00B6307F"/>
    <w:rsid w:val="00B631C7"/>
    <w:rsid w:val="00B63A41"/>
    <w:rsid w:val="00B63E83"/>
    <w:rsid w:val="00B64C38"/>
    <w:rsid w:val="00B64CF4"/>
    <w:rsid w:val="00B65031"/>
    <w:rsid w:val="00B651B6"/>
    <w:rsid w:val="00B655E2"/>
    <w:rsid w:val="00B65619"/>
    <w:rsid w:val="00B66108"/>
    <w:rsid w:val="00B66243"/>
    <w:rsid w:val="00B66319"/>
    <w:rsid w:val="00B66864"/>
    <w:rsid w:val="00B66E45"/>
    <w:rsid w:val="00B674F5"/>
    <w:rsid w:val="00B702C9"/>
    <w:rsid w:val="00B704D7"/>
    <w:rsid w:val="00B70767"/>
    <w:rsid w:val="00B7128E"/>
    <w:rsid w:val="00B71539"/>
    <w:rsid w:val="00B71887"/>
    <w:rsid w:val="00B719AC"/>
    <w:rsid w:val="00B71F62"/>
    <w:rsid w:val="00B72488"/>
    <w:rsid w:val="00B726CC"/>
    <w:rsid w:val="00B726D7"/>
    <w:rsid w:val="00B72715"/>
    <w:rsid w:val="00B728B7"/>
    <w:rsid w:val="00B728CC"/>
    <w:rsid w:val="00B7300F"/>
    <w:rsid w:val="00B73A0B"/>
    <w:rsid w:val="00B7423D"/>
    <w:rsid w:val="00B7487D"/>
    <w:rsid w:val="00B74888"/>
    <w:rsid w:val="00B74A6E"/>
    <w:rsid w:val="00B74CF8"/>
    <w:rsid w:val="00B74FC3"/>
    <w:rsid w:val="00B752CD"/>
    <w:rsid w:val="00B7573B"/>
    <w:rsid w:val="00B75890"/>
    <w:rsid w:val="00B75B51"/>
    <w:rsid w:val="00B75F9F"/>
    <w:rsid w:val="00B75FE4"/>
    <w:rsid w:val="00B7616A"/>
    <w:rsid w:val="00B7619D"/>
    <w:rsid w:val="00B762B3"/>
    <w:rsid w:val="00B76689"/>
    <w:rsid w:val="00B76A8E"/>
    <w:rsid w:val="00B76C81"/>
    <w:rsid w:val="00B76F1F"/>
    <w:rsid w:val="00B7784C"/>
    <w:rsid w:val="00B77E37"/>
    <w:rsid w:val="00B80254"/>
    <w:rsid w:val="00B80B73"/>
    <w:rsid w:val="00B80BB1"/>
    <w:rsid w:val="00B80EF7"/>
    <w:rsid w:val="00B81997"/>
    <w:rsid w:val="00B81D60"/>
    <w:rsid w:val="00B82B1F"/>
    <w:rsid w:val="00B82ED0"/>
    <w:rsid w:val="00B832DD"/>
    <w:rsid w:val="00B834CA"/>
    <w:rsid w:val="00B837B1"/>
    <w:rsid w:val="00B839A7"/>
    <w:rsid w:val="00B83ADA"/>
    <w:rsid w:val="00B8412A"/>
    <w:rsid w:val="00B84212"/>
    <w:rsid w:val="00B842AB"/>
    <w:rsid w:val="00B8469B"/>
    <w:rsid w:val="00B84AAB"/>
    <w:rsid w:val="00B84D1B"/>
    <w:rsid w:val="00B84E2C"/>
    <w:rsid w:val="00B85191"/>
    <w:rsid w:val="00B853E8"/>
    <w:rsid w:val="00B85468"/>
    <w:rsid w:val="00B85F58"/>
    <w:rsid w:val="00B866AE"/>
    <w:rsid w:val="00B87719"/>
    <w:rsid w:val="00B87905"/>
    <w:rsid w:val="00B87B7E"/>
    <w:rsid w:val="00B90305"/>
    <w:rsid w:val="00B913C4"/>
    <w:rsid w:val="00B9182E"/>
    <w:rsid w:val="00B91951"/>
    <w:rsid w:val="00B9201E"/>
    <w:rsid w:val="00B92105"/>
    <w:rsid w:val="00B92276"/>
    <w:rsid w:val="00B92AED"/>
    <w:rsid w:val="00B92BDD"/>
    <w:rsid w:val="00B92C07"/>
    <w:rsid w:val="00B92E3C"/>
    <w:rsid w:val="00B9341E"/>
    <w:rsid w:val="00B93AC4"/>
    <w:rsid w:val="00B94526"/>
    <w:rsid w:val="00B94ACB"/>
    <w:rsid w:val="00B957EF"/>
    <w:rsid w:val="00B95F4B"/>
    <w:rsid w:val="00B962A7"/>
    <w:rsid w:val="00B964BE"/>
    <w:rsid w:val="00B97193"/>
    <w:rsid w:val="00B972EC"/>
    <w:rsid w:val="00B97410"/>
    <w:rsid w:val="00B97E4D"/>
    <w:rsid w:val="00BA02DF"/>
    <w:rsid w:val="00BA05A7"/>
    <w:rsid w:val="00BA05E4"/>
    <w:rsid w:val="00BA0634"/>
    <w:rsid w:val="00BA07E4"/>
    <w:rsid w:val="00BA0871"/>
    <w:rsid w:val="00BA0A99"/>
    <w:rsid w:val="00BA0B82"/>
    <w:rsid w:val="00BA0DFF"/>
    <w:rsid w:val="00BA10C9"/>
    <w:rsid w:val="00BA11B8"/>
    <w:rsid w:val="00BA130E"/>
    <w:rsid w:val="00BA16DD"/>
    <w:rsid w:val="00BA192B"/>
    <w:rsid w:val="00BA26FB"/>
    <w:rsid w:val="00BA313E"/>
    <w:rsid w:val="00BA34BE"/>
    <w:rsid w:val="00BA3C5A"/>
    <w:rsid w:val="00BA51A5"/>
    <w:rsid w:val="00BA5317"/>
    <w:rsid w:val="00BA5565"/>
    <w:rsid w:val="00BA5BB9"/>
    <w:rsid w:val="00BA6005"/>
    <w:rsid w:val="00BA66FF"/>
    <w:rsid w:val="00BA6D56"/>
    <w:rsid w:val="00BA6F2E"/>
    <w:rsid w:val="00BA7C6C"/>
    <w:rsid w:val="00BA7E75"/>
    <w:rsid w:val="00BA7F4B"/>
    <w:rsid w:val="00BB0235"/>
    <w:rsid w:val="00BB03FC"/>
    <w:rsid w:val="00BB058D"/>
    <w:rsid w:val="00BB0B9F"/>
    <w:rsid w:val="00BB14C5"/>
    <w:rsid w:val="00BB1B9D"/>
    <w:rsid w:val="00BB1E79"/>
    <w:rsid w:val="00BB25C8"/>
    <w:rsid w:val="00BB2A6C"/>
    <w:rsid w:val="00BB3CE2"/>
    <w:rsid w:val="00BB4CB8"/>
    <w:rsid w:val="00BB4D9F"/>
    <w:rsid w:val="00BB4FF1"/>
    <w:rsid w:val="00BB552A"/>
    <w:rsid w:val="00BB5885"/>
    <w:rsid w:val="00BB5927"/>
    <w:rsid w:val="00BB6131"/>
    <w:rsid w:val="00BB6415"/>
    <w:rsid w:val="00BB6AF8"/>
    <w:rsid w:val="00BB6EBE"/>
    <w:rsid w:val="00BB6FFE"/>
    <w:rsid w:val="00BB70A9"/>
    <w:rsid w:val="00BB7358"/>
    <w:rsid w:val="00BB74A1"/>
    <w:rsid w:val="00BB7785"/>
    <w:rsid w:val="00BC0012"/>
    <w:rsid w:val="00BC043B"/>
    <w:rsid w:val="00BC059E"/>
    <w:rsid w:val="00BC11BF"/>
    <w:rsid w:val="00BC1291"/>
    <w:rsid w:val="00BC16A8"/>
    <w:rsid w:val="00BC17ED"/>
    <w:rsid w:val="00BC1AF3"/>
    <w:rsid w:val="00BC1C4E"/>
    <w:rsid w:val="00BC1CA4"/>
    <w:rsid w:val="00BC1D02"/>
    <w:rsid w:val="00BC240E"/>
    <w:rsid w:val="00BC248F"/>
    <w:rsid w:val="00BC25CF"/>
    <w:rsid w:val="00BC299F"/>
    <w:rsid w:val="00BC2C7E"/>
    <w:rsid w:val="00BC3625"/>
    <w:rsid w:val="00BC45EF"/>
    <w:rsid w:val="00BC4764"/>
    <w:rsid w:val="00BC478E"/>
    <w:rsid w:val="00BC5232"/>
    <w:rsid w:val="00BC5568"/>
    <w:rsid w:val="00BC5A32"/>
    <w:rsid w:val="00BC5DE0"/>
    <w:rsid w:val="00BC5DFF"/>
    <w:rsid w:val="00BC60F6"/>
    <w:rsid w:val="00BC62A1"/>
    <w:rsid w:val="00BC72EB"/>
    <w:rsid w:val="00BC7AB9"/>
    <w:rsid w:val="00BD0945"/>
    <w:rsid w:val="00BD0BF4"/>
    <w:rsid w:val="00BD10FF"/>
    <w:rsid w:val="00BD128D"/>
    <w:rsid w:val="00BD140F"/>
    <w:rsid w:val="00BD1B99"/>
    <w:rsid w:val="00BD1C15"/>
    <w:rsid w:val="00BD1C2E"/>
    <w:rsid w:val="00BD1D95"/>
    <w:rsid w:val="00BD3048"/>
    <w:rsid w:val="00BD35DB"/>
    <w:rsid w:val="00BD3889"/>
    <w:rsid w:val="00BD3C93"/>
    <w:rsid w:val="00BD3E80"/>
    <w:rsid w:val="00BD452E"/>
    <w:rsid w:val="00BD4985"/>
    <w:rsid w:val="00BD5C93"/>
    <w:rsid w:val="00BD6DFD"/>
    <w:rsid w:val="00BD71CE"/>
    <w:rsid w:val="00BD7270"/>
    <w:rsid w:val="00BD79C8"/>
    <w:rsid w:val="00BD7CE5"/>
    <w:rsid w:val="00BD7E45"/>
    <w:rsid w:val="00BD7EC4"/>
    <w:rsid w:val="00BE002A"/>
    <w:rsid w:val="00BE1415"/>
    <w:rsid w:val="00BE14E9"/>
    <w:rsid w:val="00BE18B9"/>
    <w:rsid w:val="00BE1E70"/>
    <w:rsid w:val="00BE20DC"/>
    <w:rsid w:val="00BE2588"/>
    <w:rsid w:val="00BE290D"/>
    <w:rsid w:val="00BE2FB1"/>
    <w:rsid w:val="00BE312E"/>
    <w:rsid w:val="00BE3285"/>
    <w:rsid w:val="00BE3533"/>
    <w:rsid w:val="00BE3E8C"/>
    <w:rsid w:val="00BE4487"/>
    <w:rsid w:val="00BE452B"/>
    <w:rsid w:val="00BE4635"/>
    <w:rsid w:val="00BE4C38"/>
    <w:rsid w:val="00BE5ACF"/>
    <w:rsid w:val="00BE5C8F"/>
    <w:rsid w:val="00BE5ECB"/>
    <w:rsid w:val="00BE602F"/>
    <w:rsid w:val="00BE6716"/>
    <w:rsid w:val="00BE6A67"/>
    <w:rsid w:val="00BE6C10"/>
    <w:rsid w:val="00BE6C26"/>
    <w:rsid w:val="00BE730C"/>
    <w:rsid w:val="00BE7668"/>
    <w:rsid w:val="00BE76CD"/>
    <w:rsid w:val="00BE7B07"/>
    <w:rsid w:val="00BF0165"/>
    <w:rsid w:val="00BF0458"/>
    <w:rsid w:val="00BF0D78"/>
    <w:rsid w:val="00BF0F6E"/>
    <w:rsid w:val="00BF1355"/>
    <w:rsid w:val="00BF17A8"/>
    <w:rsid w:val="00BF2186"/>
    <w:rsid w:val="00BF2740"/>
    <w:rsid w:val="00BF2C52"/>
    <w:rsid w:val="00BF2E84"/>
    <w:rsid w:val="00BF3877"/>
    <w:rsid w:val="00BF3E4C"/>
    <w:rsid w:val="00BF4BFC"/>
    <w:rsid w:val="00BF4C4F"/>
    <w:rsid w:val="00BF5C3A"/>
    <w:rsid w:val="00BF6042"/>
    <w:rsid w:val="00BF6812"/>
    <w:rsid w:val="00BF6A96"/>
    <w:rsid w:val="00C00649"/>
    <w:rsid w:val="00C00B9C"/>
    <w:rsid w:val="00C00FD4"/>
    <w:rsid w:val="00C01162"/>
    <w:rsid w:val="00C01397"/>
    <w:rsid w:val="00C01432"/>
    <w:rsid w:val="00C01C11"/>
    <w:rsid w:val="00C01C95"/>
    <w:rsid w:val="00C023E8"/>
    <w:rsid w:val="00C02B7E"/>
    <w:rsid w:val="00C02DBC"/>
    <w:rsid w:val="00C02ECA"/>
    <w:rsid w:val="00C033C0"/>
    <w:rsid w:val="00C0361A"/>
    <w:rsid w:val="00C03CC9"/>
    <w:rsid w:val="00C04269"/>
    <w:rsid w:val="00C0463F"/>
    <w:rsid w:val="00C04728"/>
    <w:rsid w:val="00C04779"/>
    <w:rsid w:val="00C049D5"/>
    <w:rsid w:val="00C04B35"/>
    <w:rsid w:val="00C04C6B"/>
    <w:rsid w:val="00C04E16"/>
    <w:rsid w:val="00C0510B"/>
    <w:rsid w:val="00C0555F"/>
    <w:rsid w:val="00C0566F"/>
    <w:rsid w:val="00C057B9"/>
    <w:rsid w:val="00C0582B"/>
    <w:rsid w:val="00C05EAC"/>
    <w:rsid w:val="00C064F6"/>
    <w:rsid w:val="00C06BB6"/>
    <w:rsid w:val="00C06BEE"/>
    <w:rsid w:val="00C07A8D"/>
    <w:rsid w:val="00C10132"/>
    <w:rsid w:val="00C106FD"/>
    <w:rsid w:val="00C108A7"/>
    <w:rsid w:val="00C10B9A"/>
    <w:rsid w:val="00C10D5B"/>
    <w:rsid w:val="00C10F3A"/>
    <w:rsid w:val="00C1141B"/>
    <w:rsid w:val="00C11421"/>
    <w:rsid w:val="00C11A07"/>
    <w:rsid w:val="00C11C85"/>
    <w:rsid w:val="00C12A24"/>
    <w:rsid w:val="00C12C75"/>
    <w:rsid w:val="00C1325C"/>
    <w:rsid w:val="00C136A3"/>
    <w:rsid w:val="00C1412F"/>
    <w:rsid w:val="00C14244"/>
    <w:rsid w:val="00C14897"/>
    <w:rsid w:val="00C14FBC"/>
    <w:rsid w:val="00C159E8"/>
    <w:rsid w:val="00C15BEE"/>
    <w:rsid w:val="00C16112"/>
    <w:rsid w:val="00C1636B"/>
    <w:rsid w:val="00C16958"/>
    <w:rsid w:val="00C16A92"/>
    <w:rsid w:val="00C16BB8"/>
    <w:rsid w:val="00C171AB"/>
    <w:rsid w:val="00C17A8D"/>
    <w:rsid w:val="00C17CBA"/>
    <w:rsid w:val="00C17D6D"/>
    <w:rsid w:val="00C17E0F"/>
    <w:rsid w:val="00C20554"/>
    <w:rsid w:val="00C20589"/>
    <w:rsid w:val="00C207DA"/>
    <w:rsid w:val="00C21012"/>
    <w:rsid w:val="00C211D1"/>
    <w:rsid w:val="00C21369"/>
    <w:rsid w:val="00C21E3A"/>
    <w:rsid w:val="00C2205B"/>
    <w:rsid w:val="00C221CE"/>
    <w:rsid w:val="00C2265E"/>
    <w:rsid w:val="00C226DF"/>
    <w:rsid w:val="00C2289E"/>
    <w:rsid w:val="00C22A7E"/>
    <w:rsid w:val="00C231E2"/>
    <w:rsid w:val="00C23483"/>
    <w:rsid w:val="00C23776"/>
    <w:rsid w:val="00C23BCF"/>
    <w:rsid w:val="00C24424"/>
    <w:rsid w:val="00C24712"/>
    <w:rsid w:val="00C256F4"/>
    <w:rsid w:val="00C25D3B"/>
    <w:rsid w:val="00C25E80"/>
    <w:rsid w:val="00C26393"/>
    <w:rsid w:val="00C2640A"/>
    <w:rsid w:val="00C26982"/>
    <w:rsid w:val="00C26CC7"/>
    <w:rsid w:val="00C271F5"/>
    <w:rsid w:val="00C271F9"/>
    <w:rsid w:val="00C276D8"/>
    <w:rsid w:val="00C277C5"/>
    <w:rsid w:val="00C27AAE"/>
    <w:rsid w:val="00C27B67"/>
    <w:rsid w:val="00C300E0"/>
    <w:rsid w:val="00C30F67"/>
    <w:rsid w:val="00C31609"/>
    <w:rsid w:val="00C3190B"/>
    <w:rsid w:val="00C31C13"/>
    <w:rsid w:val="00C31E75"/>
    <w:rsid w:val="00C3200E"/>
    <w:rsid w:val="00C321A9"/>
    <w:rsid w:val="00C3285B"/>
    <w:rsid w:val="00C32941"/>
    <w:rsid w:val="00C32CEF"/>
    <w:rsid w:val="00C336D3"/>
    <w:rsid w:val="00C33DAA"/>
    <w:rsid w:val="00C34245"/>
    <w:rsid w:val="00C34821"/>
    <w:rsid w:val="00C348E0"/>
    <w:rsid w:val="00C34CC1"/>
    <w:rsid w:val="00C34FF9"/>
    <w:rsid w:val="00C3520C"/>
    <w:rsid w:val="00C354F7"/>
    <w:rsid w:val="00C35FEF"/>
    <w:rsid w:val="00C3635E"/>
    <w:rsid w:val="00C36513"/>
    <w:rsid w:val="00C36C31"/>
    <w:rsid w:val="00C37605"/>
    <w:rsid w:val="00C376A8"/>
    <w:rsid w:val="00C377ED"/>
    <w:rsid w:val="00C37B77"/>
    <w:rsid w:val="00C40350"/>
    <w:rsid w:val="00C40351"/>
    <w:rsid w:val="00C403C7"/>
    <w:rsid w:val="00C406B4"/>
    <w:rsid w:val="00C40D2E"/>
    <w:rsid w:val="00C41C61"/>
    <w:rsid w:val="00C41C79"/>
    <w:rsid w:val="00C42BFC"/>
    <w:rsid w:val="00C42EB3"/>
    <w:rsid w:val="00C432AE"/>
    <w:rsid w:val="00C43479"/>
    <w:rsid w:val="00C43B34"/>
    <w:rsid w:val="00C43BC1"/>
    <w:rsid w:val="00C43D6C"/>
    <w:rsid w:val="00C4477D"/>
    <w:rsid w:val="00C44907"/>
    <w:rsid w:val="00C44B43"/>
    <w:rsid w:val="00C44B5E"/>
    <w:rsid w:val="00C44D43"/>
    <w:rsid w:val="00C451F1"/>
    <w:rsid w:val="00C459A8"/>
    <w:rsid w:val="00C459F6"/>
    <w:rsid w:val="00C45B8C"/>
    <w:rsid w:val="00C45BDB"/>
    <w:rsid w:val="00C46954"/>
    <w:rsid w:val="00C476C8"/>
    <w:rsid w:val="00C47B31"/>
    <w:rsid w:val="00C47E2E"/>
    <w:rsid w:val="00C50462"/>
    <w:rsid w:val="00C514D7"/>
    <w:rsid w:val="00C51EA7"/>
    <w:rsid w:val="00C5227F"/>
    <w:rsid w:val="00C5236E"/>
    <w:rsid w:val="00C523F7"/>
    <w:rsid w:val="00C52A7E"/>
    <w:rsid w:val="00C52D5D"/>
    <w:rsid w:val="00C531D6"/>
    <w:rsid w:val="00C53207"/>
    <w:rsid w:val="00C53710"/>
    <w:rsid w:val="00C53733"/>
    <w:rsid w:val="00C5375E"/>
    <w:rsid w:val="00C53D24"/>
    <w:rsid w:val="00C541ED"/>
    <w:rsid w:val="00C548E8"/>
    <w:rsid w:val="00C54E6B"/>
    <w:rsid w:val="00C555D0"/>
    <w:rsid w:val="00C55E77"/>
    <w:rsid w:val="00C567CF"/>
    <w:rsid w:val="00C56AA3"/>
    <w:rsid w:val="00C56B10"/>
    <w:rsid w:val="00C56BB7"/>
    <w:rsid w:val="00C56F74"/>
    <w:rsid w:val="00C571D0"/>
    <w:rsid w:val="00C57471"/>
    <w:rsid w:val="00C5751B"/>
    <w:rsid w:val="00C5757B"/>
    <w:rsid w:val="00C57E5D"/>
    <w:rsid w:val="00C6063D"/>
    <w:rsid w:val="00C60CC8"/>
    <w:rsid w:val="00C61382"/>
    <w:rsid w:val="00C6141D"/>
    <w:rsid w:val="00C615A0"/>
    <w:rsid w:val="00C61689"/>
    <w:rsid w:val="00C6223C"/>
    <w:rsid w:val="00C62250"/>
    <w:rsid w:val="00C624BA"/>
    <w:rsid w:val="00C624D6"/>
    <w:rsid w:val="00C629AB"/>
    <w:rsid w:val="00C62CC7"/>
    <w:rsid w:val="00C635F7"/>
    <w:rsid w:val="00C63ADA"/>
    <w:rsid w:val="00C63CA0"/>
    <w:rsid w:val="00C63F1B"/>
    <w:rsid w:val="00C6417C"/>
    <w:rsid w:val="00C6451E"/>
    <w:rsid w:val="00C648E9"/>
    <w:rsid w:val="00C648F4"/>
    <w:rsid w:val="00C65125"/>
    <w:rsid w:val="00C65FDB"/>
    <w:rsid w:val="00C66A5E"/>
    <w:rsid w:val="00C66AC1"/>
    <w:rsid w:val="00C673C8"/>
    <w:rsid w:val="00C6772D"/>
    <w:rsid w:val="00C6795C"/>
    <w:rsid w:val="00C67A59"/>
    <w:rsid w:val="00C67E5A"/>
    <w:rsid w:val="00C67FC8"/>
    <w:rsid w:val="00C703B4"/>
    <w:rsid w:val="00C70551"/>
    <w:rsid w:val="00C705F6"/>
    <w:rsid w:val="00C71EF1"/>
    <w:rsid w:val="00C7244C"/>
    <w:rsid w:val="00C725EC"/>
    <w:rsid w:val="00C72A1A"/>
    <w:rsid w:val="00C732F0"/>
    <w:rsid w:val="00C7347D"/>
    <w:rsid w:val="00C73DD4"/>
    <w:rsid w:val="00C740C7"/>
    <w:rsid w:val="00C7421D"/>
    <w:rsid w:val="00C74A4B"/>
    <w:rsid w:val="00C7542A"/>
    <w:rsid w:val="00C75516"/>
    <w:rsid w:val="00C75FBB"/>
    <w:rsid w:val="00C7605B"/>
    <w:rsid w:val="00C7607A"/>
    <w:rsid w:val="00C76127"/>
    <w:rsid w:val="00C76EC1"/>
    <w:rsid w:val="00C77256"/>
    <w:rsid w:val="00C80A53"/>
    <w:rsid w:val="00C80CAA"/>
    <w:rsid w:val="00C81F35"/>
    <w:rsid w:val="00C8259B"/>
    <w:rsid w:val="00C826DF"/>
    <w:rsid w:val="00C82A07"/>
    <w:rsid w:val="00C83169"/>
    <w:rsid w:val="00C83A67"/>
    <w:rsid w:val="00C83B9B"/>
    <w:rsid w:val="00C83F66"/>
    <w:rsid w:val="00C8407F"/>
    <w:rsid w:val="00C8433B"/>
    <w:rsid w:val="00C84898"/>
    <w:rsid w:val="00C84B42"/>
    <w:rsid w:val="00C84B84"/>
    <w:rsid w:val="00C856AC"/>
    <w:rsid w:val="00C858B6"/>
    <w:rsid w:val="00C85B79"/>
    <w:rsid w:val="00C86065"/>
    <w:rsid w:val="00C862C1"/>
    <w:rsid w:val="00C868A4"/>
    <w:rsid w:val="00C86F20"/>
    <w:rsid w:val="00C86FD6"/>
    <w:rsid w:val="00C873EB"/>
    <w:rsid w:val="00C90156"/>
    <w:rsid w:val="00C90355"/>
    <w:rsid w:val="00C908B7"/>
    <w:rsid w:val="00C90B12"/>
    <w:rsid w:val="00C90B6F"/>
    <w:rsid w:val="00C91245"/>
    <w:rsid w:val="00C91427"/>
    <w:rsid w:val="00C92451"/>
    <w:rsid w:val="00C935AA"/>
    <w:rsid w:val="00C93E7D"/>
    <w:rsid w:val="00C93E9C"/>
    <w:rsid w:val="00C943C1"/>
    <w:rsid w:val="00C94733"/>
    <w:rsid w:val="00C94FB1"/>
    <w:rsid w:val="00C95247"/>
    <w:rsid w:val="00C952BF"/>
    <w:rsid w:val="00C9583C"/>
    <w:rsid w:val="00C9593C"/>
    <w:rsid w:val="00C95E69"/>
    <w:rsid w:val="00C95F89"/>
    <w:rsid w:val="00C96458"/>
    <w:rsid w:val="00C96782"/>
    <w:rsid w:val="00C96922"/>
    <w:rsid w:val="00C96BCB"/>
    <w:rsid w:val="00C96D61"/>
    <w:rsid w:val="00C9765C"/>
    <w:rsid w:val="00C97849"/>
    <w:rsid w:val="00C97A7E"/>
    <w:rsid w:val="00C97C0F"/>
    <w:rsid w:val="00CA01EC"/>
    <w:rsid w:val="00CA0E83"/>
    <w:rsid w:val="00CA160D"/>
    <w:rsid w:val="00CA1E68"/>
    <w:rsid w:val="00CA2711"/>
    <w:rsid w:val="00CA290B"/>
    <w:rsid w:val="00CA29AE"/>
    <w:rsid w:val="00CA30AD"/>
    <w:rsid w:val="00CA357A"/>
    <w:rsid w:val="00CA388C"/>
    <w:rsid w:val="00CA3ACC"/>
    <w:rsid w:val="00CA3BCB"/>
    <w:rsid w:val="00CA4373"/>
    <w:rsid w:val="00CA4769"/>
    <w:rsid w:val="00CA4997"/>
    <w:rsid w:val="00CA4C2A"/>
    <w:rsid w:val="00CA51D7"/>
    <w:rsid w:val="00CA5470"/>
    <w:rsid w:val="00CA5499"/>
    <w:rsid w:val="00CA579C"/>
    <w:rsid w:val="00CA5C24"/>
    <w:rsid w:val="00CA5CA6"/>
    <w:rsid w:val="00CA5DB6"/>
    <w:rsid w:val="00CA61B1"/>
    <w:rsid w:val="00CA6C5D"/>
    <w:rsid w:val="00CA6ED2"/>
    <w:rsid w:val="00CA7041"/>
    <w:rsid w:val="00CA767A"/>
    <w:rsid w:val="00CA7A05"/>
    <w:rsid w:val="00CA7A9F"/>
    <w:rsid w:val="00CA7F85"/>
    <w:rsid w:val="00CB012C"/>
    <w:rsid w:val="00CB0518"/>
    <w:rsid w:val="00CB1B8B"/>
    <w:rsid w:val="00CB1FF7"/>
    <w:rsid w:val="00CB2912"/>
    <w:rsid w:val="00CB2D81"/>
    <w:rsid w:val="00CB2E95"/>
    <w:rsid w:val="00CB3698"/>
    <w:rsid w:val="00CB5769"/>
    <w:rsid w:val="00CB5CD9"/>
    <w:rsid w:val="00CB5D8B"/>
    <w:rsid w:val="00CB63BD"/>
    <w:rsid w:val="00CB63FD"/>
    <w:rsid w:val="00CB7165"/>
    <w:rsid w:val="00CC05A3"/>
    <w:rsid w:val="00CC0A4A"/>
    <w:rsid w:val="00CC0AAC"/>
    <w:rsid w:val="00CC0AD1"/>
    <w:rsid w:val="00CC0D7A"/>
    <w:rsid w:val="00CC0FA1"/>
    <w:rsid w:val="00CC10E9"/>
    <w:rsid w:val="00CC11B8"/>
    <w:rsid w:val="00CC12BD"/>
    <w:rsid w:val="00CC1F42"/>
    <w:rsid w:val="00CC237F"/>
    <w:rsid w:val="00CC28E6"/>
    <w:rsid w:val="00CC3519"/>
    <w:rsid w:val="00CC389C"/>
    <w:rsid w:val="00CC3FED"/>
    <w:rsid w:val="00CC4E65"/>
    <w:rsid w:val="00CC528B"/>
    <w:rsid w:val="00CC5424"/>
    <w:rsid w:val="00CC5A1C"/>
    <w:rsid w:val="00CC5D6F"/>
    <w:rsid w:val="00CC6611"/>
    <w:rsid w:val="00CC69D2"/>
    <w:rsid w:val="00CC6A39"/>
    <w:rsid w:val="00CC725B"/>
    <w:rsid w:val="00CC7BD1"/>
    <w:rsid w:val="00CD01BA"/>
    <w:rsid w:val="00CD08E0"/>
    <w:rsid w:val="00CD1020"/>
    <w:rsid w:val="00CD12B1"/>
    <w:rsid w:val="00CD142E"/>
    <w:rsid w:val="00CD14C5"/>
    <w:rsid w:val="00CD1541"/>
    <w:rsid w:val="00CD1BE2"/>
    <w:rsid w:val="00CD22EE"/>
    <w:rsid w:val="00CD2AFC"/>
    <w:rsid w:val="00CD2C3D"/>
    <w:rsid w:val="00CD2CDF"/>
    <w:rsid w:val="00CD2E36"/>
    <w:rsid w:val="00CD2E85"/>
    <w:rsid w:val="00CD320C"/>
    <w:rsid w:val="00CD3638"/>
    <w:rsid w:val="00CD39C8"/>
    <w:rsid w:val="00CD3BF8"/>
    <w:rsid w:val="00CD3FFE"/>
    <w:rsid w:val="00CD4085"/>
    <w:rsid w:val="00CD41ED"/>
    <w:rsid w:val="00CD475D"/>
    <w:rsid w:val="00CD51A3"/>
    <w:rsid w:val="00CD59EB"/>
    <w:rsid w:val="00CD5B04"/>
    <w:rsid w:val="00CD5B55"/>
    <w:rsid w:val="00CD608A"/>
    <w:rsid w:val="00CD6407"/>
    <w:rsid w:val="00CD67AF"/>
    <w:rsid w:val="00CD6F7A"/>
    <w:rsid w:val="00CD70CD"/>
    <w:rsid w:val="00CD711B"/>
    <w:rsid w:val="00CD73C7"/>
    <w:rsid w:val="00CD7774"/>
    <w:rsid w:val="00CD7C63"/>
    <w:rsid w:val="00CD7CA5"/>
    <w:rsid w:val="00CD7DBB"/>
    <w:rsid w:val="00CD7E5F"/>
    <w:rsid w:val="00CE032B"/>
    <w:rsid w:val="00CE094E"/>
    <w:rsid w:val="00CE0D66"/>
    <w:rsid w:val="00CE128F"/>
    <w:rsid w:val="00CE144A"/>
    <w:rsid w:val="00CE23A1"/>
    <w:rsid w:val="00CE2512"/>
    <w:rsid w:val="00CE3300"/>
    <w:rsid w:val="00CE42AB"/>
    <w:rsid w:val="00CE46ED"/>
    <w:rsid w:val="00CE48B8"/>
    <w:rsid w:val="00CE4CA5"/>
    <w:rsid w:val="00CE4FDB"/>
    <w:rsid w:val="00CE5AAD"/>
    <w:rsid w:val="00CE5DAF"/>
    <w:rsid w:val="00CE6066"/>
    <w:rsid w:val="00CE66C0"/>
    <w:rsid w:val="00CE6C3D"/>
    <w:rsid w:val="00CE7D57"/>
    <w:rsid w:val="00CF07CD"/>
    <w:rsid w:val="00CF0BAC"/>
    <w:rsid w:val="00CF0D9F"/>
    <w:rsid w:val="00CF0FA4"/>
    <w:rsid w:val="00CF1630"/>
    <w:rsid w:val="00CF18C3"/>
    <w:rsid w:val="00CF1900"/>
    <w:rsid w:val="00CF1A54"/>
    <w:rsid w:val="00CF1C83"/>
    <w:rsid w:val="00CF1CF1"/>
    <w:rsid w:val="00CF224E"/>
    <w:rsid w:val="00CF2F8F"/>
    <w:rsid w:val="00CF3B2B"/>
    <w:rsid w:val="00CF3EB6"/>
    <w:rsid w:val="00CF3F2D"/>
    <w:rsid w:val="00CF3FA1"/>
    <w:rsid w:val="00CF48D8"/>
    <w:rsid w:val="00CF4C1B"/>
    <w:rsid w:val="00CF4D52"/>
    <w:rsid w:val="00CF518E"/>
    <w:rsid w:val="00CF545F"/>
    <w:rsid w:val="00CF547E"/>
    <w:rsid w:val="00CF5DF4"/>
    <w:rsid w:val="00CF6180"/>
    <w:rsid w:val="00CF6F22"/>
    <w:rsid w:val="00CF78DB"/>
    <w:rsid w:val="00CF7B94"/>
    <w:rsid w:val="00CF7EF1"/>
    <w:rsid w:val="00D00108"/>
    <w:rsid w:val="00D002EA"/>
    <w:rsid w:val="00D004BF"/>
    <w:rsid w:val="00D00F06"/>
    <w:rsid w:val="00D012F9"/>
    <w:rsid w:val="00D01A51"/>
    <w:rsid w:val="00D02C0C"/>
    <w:rsid w:val="00D03C82"/>
    <w:rsid w:val="00D03C84"/>
    <w:rsid w:val="00D03D27"/>
    <w:rsid w:val="00D041B9"/>
    <w:rsid w:val="00D046F6"/>
    <w:rsid w:val="00D0501F"/>
    <w:rsid w:val="00D0502B"/>
    <w:rsid w:val="00D05A61"/>
    <w:rsid w:val="00D05B72"/>
    <w:rsid w:val="00D05CC3"/>
    <w:rsid w:val="00D05D1F"/>
    <w:rsid w:val="00D06759"/>
    <w:rsid w:val="00D06975"/>
    <w:rsid w:val="00D06BD5"/>
    <w:rsid w:val="00D06D30"/>
    <w:rsid w:val="00D10167"/>
    <w:rsid w:val="00D10297"/>
    <w:rsid w:val="00D104B6"/>
    <w:rsid w:val="00D108D6"/>
    <w:rsid w:val="00D108FD"/>
    <w:rsid w:val="00D10A72"/>
    <w:rsid w:val="00D10FBD"/>
    <w:rsid w:val="00D110F4"/>
    <w:rsid w:val="00D1129D"/>
    <w:rsid w:val="00D118C7"/>
    <w:rsid w:val="00D11C15"/>
    <w:rsid w:val="00D11E33"/>
    <w:rsid w:val="00D11F99"/>
    <w:rsid w:val="00D128DE"/>
    <w:rsid w:val="00D132B3"/>
    <w:rsid w:val="00D132D9"/>
    <w:rsid w:val="00D134DC"/>
    <w:rsid w:val="00D14579"/>
    <w:rsid w:val="00D147F8"/>
    <w:rsid w:val="00D154B7"/>
    <w:rsid w:val="00D154D8"/>
    <w:rsid w:val="00D15668"/>
    <w:rsid w:val="00D156AF"/>
    <w:rsid w:val="00D15A24"/>
    <w:rsid w:val="00D15C71"/>
    <w:rsid w:val="00D1633E"/>
    <w:rsid w:val="00D165F0"/>
    <w:rsid w:val="00D17911"/>
    <w:rsid w:val="00D17CFC"/>
    <w:rsid w:val="00D20AFA"/>
    <w:rsid w:val="00D210D3"/>
    <w:rsid w:val="00D2121D"/>
    <w:rsid w:val="00D21400"/>
    <w:rsid w:val="00D216F5"/>
    <w:rsid w:val="00D219D9"/>
    <w:rsid w:val="00D22B82"/>
    <w:rsid w:val="00D22F6A"/>
    <w:rsid w:val="00D233D4"/>
    <w:rsid w:val="00D23A5C"/>
    <w:rsid w:val="00D23D71"/>
    <w:rsid w:val="00D242E2"/>
    <w:rsid w:val="00D244B1"/>
    <w:rsid w:val="00D24E88"/>
    <w:rsid w:val="00D251CD"/>
    <w:rsid w:val="00D25402"/>
    <w:rsid w:val="00D25DC4"/>
    <w:rsid w:val="00D25F9C"/>
    <w:rsid w:val="00D25FFF"/>
    <w:rsid w:val="00D269AB"/>
    <w:rsid w:val="00D26AE2"/>
    <w:rsid w:val="00D26EA2"/>
    <w:rsid w:val="00D27175"/>
    <w:rsid w:val="00D276C1"/>
    <w:rsid w:val="00D27702"/>
    <w:rsid w:val="00D2789D"/>
    <w:rsid w:val="00D2797F"/>
    <w:rsid w:val="00D3042A"/>
    <w:rsid w:val="00D30B42"/>
    <w:rsid w:val="00D30CC7"/>
    <w:rsid w:val="00D31321"/>
    <w:rsid w:val="00D3142E"/>
    <w:rsid w:val="00D3184E"/>
    <w:rsid w:val="00D31DFF"/>
    <w:rsid w:val="00D3220E"/>
    <w:rsid w:val="00D3222D"/>
    <w:rsid w:val="00D32314"/>
    <w:rsid w:val="00D32407"/>
    <w:rsid w:val="00D3283C"/>
    <w:rsid w:val="00D329AE"/>
    <w:rsid w:val="00D329D1"/>
    <w:rsid w:val="00D32A02"/>
    <w:rsid w:val="00D33818"/>
    <w:rsid w:val="00D34581"/>
    <w:rsid w:val="00D3464F"/>
    <w:rsid w:val="00D34902"/>
    <w:rsid w:val="00D34989"/>
    <w:rsid w:val="00D34ADA"/>
    <w:rsid w:val="00D35055"/>
    <w:rsid w:val="00D35137"/>
    <w:rsid w:val="00D35159"/>
    <w:rsid w:val="00D354E3"/>
    <w:rsid w:val="00D357FC"/>
    <w:rsid w:val="00D35C94"/>
    <w:rsid w:val="00D36079"/>
    <w:rsid w:val="00D360FA"/>
    <w:rsid w:val="00D361B1"/>
    <w:rsid w:val="00D3670D"/>
    <w:rsid w:val="00D36B8C"/>
    <w:rsid w:val="00D373B6"/>
    <w:rsid w:val="00D37C8A"/>
    <w:rsid w:val="00D37E34"/>
    <w:rsid w:val="00D37F1C"/>
    <w:rsid w:val="00D40263"/>
    <w:rsid w:val="00D4058B"/>
    <w:rsid w:val="00D412DE"/>
    <w:rsid w:val="00D41615"/>
    <w:rsid w:val="00D41862"/>
    <w:rsid w:val="00D41A32"/>
    <w:rsid w:val="00D41B83"/>
    <w:rsid w:val="00D41BEF"/>
    <w:rsid w:val="00D42780"/>
    <w:rsid w:val="00D429BA"/>
    <w:rsid w:val="00D42AFC"/>
    <w:rsid w:val="00D43761"/>
    <w:rsid w:val="00D43832"/>
    <w:rsid w:val="00D4383D"/>
    <w:rsid w:val="00D43D3B"/>
    <w:rsid w:val="00D443AE"/>
    <w:rsid w:val="00D44E1D"/>
    <w:rsid w:val="00D451FE"/>
    <w:rsid w:val="00D4555B"/>
    <w:rsid w:val="00D460FE"/>
    <w:rsid w:val="00D46259"/>
    <w:rsid w:val="00D46707"/>
    <w:rsid w:val="00D46807"/>
    <w:rsid w:val="00D46CD0"/>
    <w:rsid w:val="00D47076"/>
    <w:rsid w:val="00D4711D"/>
    <w:rsid w:val="00D4749C"/>
    <w:rsid w:val="00D47C4F"/>
    <w:rsid w:val="00D47D01"/>
    <w:rsid w:val="00D5063E"/>
    <w:rsid w:val="00D5067E"/>
    <w:rsid w:val="00D507A0"/>
    <w:rsid w:val="00D507F7"/>
    <w:rsid w:val="00D50883"/>
    <w:rsid w:val="00D51CEA"/>
    <w:rsid w:val="00D5218F"/>
    <w:rsid w:val="00D52281"/>
    <w:rsid w:val="00D52697"/>
    <w:rsid w:val="00D5270D"/>
    <w:rsid w:val="00D5273C"/>
    <w:rsid w:val="00D53077"/>
    <w:rsid w:val="00D53477"/>
    <w:rsid w:val="00D5352E"/>
    <w:rsid w:val="00D537B3"/>
    <w:rsid w:val="00D543B0"/>
    <w:rsid w:val="00D55078"/>
    <w:rsid w:val="00D55763"/>
    <w:rsid w:val="00D558BF"/>
    <w:rsid w:val="00D56DDF"/>
    <w:rsid w:val="00D56EBC"/>
    <w:rsid w:val="00D572B0"/>
    <w:rsid w:val="00D57AF5"/>
    <w:rsid w:val="00D57FEC"/>
    <w:rsid w:val="00D6034E"/>
    <w:rsid w:val="00D603F4"/>
    <w:rsid w:val="00D606AE"/>
    <w:rsid w:val="00D6160F"/>
    <w:rsid w:val="00D616DB"/>
    <w:rsid w:val="00D61CF1"/>
    <w:rsid w:val="00D62061"/>
    <w:rsid w:val="00D6213B"/>
    <w:rsid w:val="00D621B2"/>
    <w:rsid w:val="00D6249B"/>
    <w:rsid w:val="00D62A3B"/>
    <w:rsid w:val="00D633CC"/>
    <w:rsid w:val="00D641A0"/>
    <w:rsid w:val="00D644B7"/>
    <w:rsid w:val="00D644E4"/>
    <w:rsid w:val="00D64795"/>
    <w:rsid w:val="00D649CF"/>
    <w:rsid w:val="00D64A07"/>
    <w:rsid w:val="00D64C86"/>
    <w:rsid w:val="00D64F83"/>
    <w:rsid w:val="00D65133"/>
    <w:rsid w:val="00D654B9"/>
    <w:rsid w:val="00D655ED"/>
    <w:rsid w:val="00D65A25"/>
    <w:rsid w:val="00D65B52"/>
    <w:rsid w:val="00D65BF8"/>
    <w:rsid w:val="00D65F34"/>
    <w:rsid w:val="00D660B1"/>
    <w:rsid w:val="00D66200"/>
    <w:rsid w:val="00D6645C"/>
    <w:rsid w:val="00D668C8"/>
    <w:rsid w:val="00D66A63"/>
    <w:rsid w:val="00D66AAD"/>
    <w:rsid w:val="00D67D28"/>
    <w:rsid w:val="00D67D89"/>
    <w:rsid w:val="00D7013A"/>
    <w:rsid w:val="00D7062B"/>
    <w:rsid w:val="00D7094D"/>
    <w:rsid w:val="00D70EBD"/>
    <w:rsid w:val="00D714A1"/>
    <w:rsid w:val="00D715E6"/>
    <w:rsid w:val="00D71DDB"/>
    <w:rsid w:val="00D72068"/>
    <w:rsid w:val="00D72771"/>
    <w:rsid w:val="00D72774"/>
    <w:rsid w:val="00D73761"/>
    <w:rsid w:val="00D7379D"/>
    <w:rsid w:val="00D7398E"/>
    <w:rsid w:val="00D74598"/>
    <w:rsid w:val="00D74685"/>
    <w:rsid w:val="00D74AC5"/>
    <w:rsid w:val="00D751F0"/>
    <w:rsid w:val="00D75796"/>
    <w:rsid w:val="00D758DE"/>
    <w:rsid w:val="00D75CC7"/>
    <w:rsid w:val="00D761CC"/>
    <w:rsid w:val="00D7627F"/>
    <w:rsid w:val="00D764A4"/>
    <w:rsid w:val="00D765F5"/>
    <w:rsid w:val="00D7682A"/>
    <w:rsid w:val="00D76E1F"/>
    <w:rsid w:val="00D77ECF"/>
    <w:rsid w:val="00D80AE2"/>
    <w:rsid w:val="00D80ED4"/>
    <w:rsid w:val="00D811AB"/>
    <w:rsid w:val="00D815C9"/>
    <w:rsid w:val="00D8176F"/>
    <w:rsid w:val="00D81C27"/>
    <w:rsid w:val="00D821A2"/>
    <w:rsid w:val="00D82661"/>
    <w:rsid w:val="00D82CA7"/>
    <w:rsid w:val="00D82CAB"/>
    <w:rsid w:val="00D8355F"/>
    <w:rsid w:val="00D8356B"/>
    <w:rsid w:val="00D83947"/>
    <w:rsid w:val="00D83DF5"/>
    <w:rsid w:val="00D84048"/>
    <w:rsid w:val="00D85544"/>
    <w:rsid w:val="00D8554A"/>
    <w:rsid w:val="00D8581D"/>
    <w:rsid w:val="00D858B5"/>
    <w:rsid w:val="00D85B8A"/>
    <w:rsid w:val="00D85BFF"/>
    <w:rsid w:val="00D85FF4"/>
    <w:rsid w:val="00D86369"/>
    <w:rsid w:val="00D86607"/>
    <w:rsid w:val="00D86725"/>
    <w:rsid w:val="00D87172"/>
    <w:rsid w:val="00D87432"/>
    <w:rsid w:val="00D878EC"/>
    <w:rsid w:val="00D87FDD"/>
    <w:rsid w:val="00D9001A"/>
    <w:rsid w:val="00D9026F"/>
    <w:rsid w:val="00D92167"/>
    <w:rsid w:val="00D921FD"/>
    <w:rsid w:val="00D923FE"/>
    <w:rsid w:val="00D92CB2"/>
    <w:rsid w:val="00D92D41"/>
    <w:rsid w:val="00D930A9"/>
    <w:rsid w:val="00D932E1"/>
    <w:rsid w:val="00D9362E"/>
    <w:rsid w:val="00D936BC"/>
    <w:rsid w:val="00D93990"/>
    <w:rsid w:val="00D94094"/>
    <w:rsid w:val="00D940A8"/>
    <w:rsid w:val="00D9440A"/>
    <w:rsid w:val="00D94D72"/>
    <w:rsid w:val="00D95366"/>
    <w:rsid w:val="00D95472"/>
    <w:rsid w:val="00D95DDA"/>
    <w:rsid w:val="00D95E30"/>
    <w:rsid w:val="00D95F8C"/>
    <w:rsid w:val="00D96A58"/>
    <w:rsid w:val="00D96BA9"/>
    <w:rsid w:val="00D97170"/>
    <w:rsid w:val="00D9721C"/>
    <w:rsid w:val="00D975E9"/>
    <w:rsid w:val="00D97ADB"/>
    <w:rsid w:val="00DA0620"/>
    <w:rsid w:val="00DA0726"/>
    <w:rsid w:val="00DA0CE8"/>
    <w:rsid w:val="00DA0F83"/>
    <w:rsid w:val="00DA1C3C"/>
    <w:rsid w:val="00DA1DA6"/>
    <w:rsid w:val="00DA1F33"/>
    <w:rsid w:val="00DA29E2"/>
    <w:rsid w:val="00DA2C8F"/>
    <w:rsid w:val="00DA2D7C"/>
    <w:rsid w:val="00DA3012"/>
    <w:rsid w:val="00DA30BF"/>
    <w:rsid w:val="00DA31FB"/>
    <w:rsid w:val="00DA32CE"/>
    <w:rsid w:val="00DA3786"/>
    <w:rsid w:val="00DA3E00"/>
    <w:rsid w:val="00DA4CCE"/>
    <w:rsid w:val="00DA5345"/>
    <w:rsid w:val="00DA6115"/>
    <w:rsid w:val="00DA645A"/>
    <w:rsid w:val="00DA64E9"/>
    <w:rsid w:val="00DA65AF"/>
    <w:rsid w:val="00DA6699"/>
    <w:rsid w:val="00DA673B"/>
    <w:rsid w:val="00DA6B2F"/>
    <w:rsid w:val="00DA6C48"/>
    <w:rsid w:val="00DA7086"/>
    <w:rsid w:val="00DA729E"/>
    <w:rsid w:val="00DA78B1"/>
    <w:rsid w:val="00DA796D"/>
    <w:rsid w:val="00DA7E2A"/>
    <w:rsid w:val="00DB0030"/>
    <w:rsid w:val="00DB039E"/>
    <w:rsid w:val="00DB0412"/>
    <w:rsid w:val="00DB053F"/>
    <w:rsid w:val="00DB0593"/>
    <w:rsid w:val="00DB0662"/>
    <w:rsid w:val="00DB0BA2"/>
    <w:rsid w:val="00DB0C5B"/>
    <w:rsid w:val="00DB102D"/>
    <w:rsid w:val="00DB1061"/>
    <w:rsid w:val="00DB16C6"/>
    <w:rsid w:val="00DB18E8"/>
    <w:rsid w:val="00DB2C8C"/>
    <w:rsid w:val="00DB2F4B"/>
    <w:rsid w:val="00DB382B"/>
    <w:rsid w:val="00DB39D7"/>
    <w:rsid w:val="00DB3F8C"/>
    <w:rsid w:val="00DB3FC8"/>
    <w:rsid w:val="00DB40D2"/>
    <w:rsid w:val="00DB4D1E"/>
    <w:rsid w:val="00DB5A8A"/>
    <w:rsid w:val="00DB5C4B"/>
    <w:rsid w:val="00DB5E25"/>
    <w:rsid w:val="00DB5EB8"/>
    <w:rsid w:val="00DB6FD0"/>
    <w:rsid w:val="00DB6FE9"/>
    <w:rsid w:val="00DB755D"/>
    <w:rsid w:val="00DB75FD"/>
    <w:rsid w:val="00DB79D7"/>
    <w:rsid w:val="00DC117B"/>
    <w:rsid w:val="00DC18B6"/>
    <w:rsid w:val="00DC1BA0"/>
    <w:rsid w:val="00DC1F9F"/>
    <w:rsid w:val="00DC29B6"/>
    <w:rsid w:val="00DC2F4F"/>
    <w:rsid w:val="00DC3150"/>
    <w:rsid w:val="00DC334F"/>
    <w:rsid w:val="00DC37B1"/>
    <w:rsid w:val="00DC42FB"/>
    <w:rsid w:val="00DC452B"/>
    <w:rsid w:val="00DC4F67"/>
    <w:rsid w:val="00DC5B1E"/>
    <w:rsid w:val="00DC605D"/>
    <w:rsid w:val="00DC615B"/>
    <w:rsid w:val="00DC63A7"/>
    <w:rsid w:val="00DC6996"/>
    <w:rsid w:val="00DC7C5C"/>
    <w:rsid w:val="00DD04B0"/>
    <w:rsid w:val="00DD0C6D"/>
    <w:rsid w:val="00DD0DF2"/>
    <w:rsid w:val="00DD1D30"/>
    <w:rsid w:val="00DD1E12"/>
    <w:rsid w:val="00DD1EBE"/>
    <w:rsid w:val="00DD2C4A"/>
    <w:rsid w:val="00DD2D92"/>
    <w:rsid w:val="00DD3CF0"/>
    <w:rsid w:val="00DD4331"/>
    <w:rsid w:val="00DD4353"/>
    <w:rsid w:val="00DD4580"/>
    <w:rsid w:val="00DD4FB6"/>
    <w:rsid w:val="00DD5A8F"/>
    <w:rsid w:val="00DD5EFB"/>
    <w:rsid w:val="00DD6513"/>
    <w:rsid w:val="00DD66D1"/>
    <w:rsid w:val="00DD707C"/>
    <w:rsid w:val="00DD7908"/>
    <w:rsid w:val="00DD7994"/>
    <w:rsid w:val="00DE04E8"/>
    <w:rsid w:val="00DE069C"/>
    <w:rsid w:val="00DE09D6"/>
    <w:rsid w:val="00DE0EE7"/>
    <w:rsid w:val="00DE1052"/>
    <w:rsid w:val="00DE11C8"/>
    <w:rsid w:val="00DE12BD"/>
    <w:rsid w:val="00DE19C6"/>
    <w:rsid w:val="00DE20E4"/>
    <w:rsid w:val="00DE245F"/>
    <w:rsid w:val="00DE2DCF"/>
    <w:rsid w:val="00DE2FD4"/>
    <w:rsid w:val="00DE31D2"/>
    <w:rsid w:val="00DE34B3"/>
    <w:rsid w:val="00DE3A9C"/>
    <w:rsid w:val="00DE3CA0"/>
    <w:rsid w:val="00DE3F84"/>
    <w:rsid w:val="00DE430E"/>
    <w:rsid w:val="00DE441C"/>
    <w:rsid w:val="00DE4E2F"/>
    <w:rsid w:val="00DE55FD"/>
    <w:rsid w:val="00DE5D2E"/>
    <w:rsid w:val="00DE60F7"/>
    <w:rsid w:val="00DE628F"/>
    <w:rsid w:val="00DE631A"/>
    <w:rsid w:val="00DE67BD"/>
    <w:rsid w:val="00DE68F9"/>
    <w:rsid w:val="00DE692A"/>
    <w:rsid w:val="00DE6D09"/>
    <w:rsid w:val="00DE6EAA"/>
    <w:rsid w:val="00DE709C"/>
    <w:rsid w:val="00DE7270"/>
    <w:rsid w:val="00DE7503"/>
    <w:rsid w:val="00DE7CC6"/>
    <w:rsid w:val="00DE7D56"/>
    <w:rsid w:val="00DF088D"/>
    <w:rsid w:val="00DF0982"/>
    <w:rsid w:val="00DF155D"/>
    <w:rsid w:val="00DF168E"/>
    <w:rsid w:val="00DF24D1"/>
    <w:rsid w:val="00DF2E4B"/>
    <w:rsid w:val="00DF2F94"/>
    <w:rsid w:val="00DF3029"/>
    <w:rsid w:val="00DF302C"/>
    <w:rsid w:val="00DF351A"/>
    <w:rsid w:val="00DF3AA5"/>
    <w:rsid w:val="00DF3D7D"/>
    <w:rsid w:val="00DF4360"/>
    <w:rsid w:val="00DF5CBB"/>
    <w:rsid w:val="00DF6B5A"/>
    <w:rsid w:val="00DF7051"/>
    <w:rsid w:val="00DF7834"/>
    <w:rsid w:val="00DF7851"/>
    <w:rsid w:val="00DF78CB"/>
    <w:rsid w:val="00DF7AE5"/>
    <w:rsid w:val="00DF7F9A"/>
    <w:rsid w:val="00E010D1"/>
    <w:rsid w:val="00E01321"/>
    <w:rsid w:val="00E02051"/>
    <w:rsid w:val="00E02950"/>
    <w:rsid w:val="00E0297F"/>
    <w:rsid w:val="00E02A0C"/>
    <w:rsid w:val="00E02BC0"/>
    <w:rsid w:val="00E0318B"/>
    <w:rsid w:val="00E0344C"/>
    <w:rsid w:val="00E036E8"/>
    <w:rsid w:val="00E03F9C"/>
    <w:rsid w:val="00E03FDB"/>
    <w:rsid w:val="00E04125"/>
    <w:rsid w:val="00E0522F"/>
    <w:rsid w:val="00E0544E"/>
    <w:rsid w:val="00E05D8F"/>
    <w:rsid w:val="00E061FA"/>
    <w:rsid w:val="00E062F7"/>
    <w:rsid w:val="00E0673B"/>
    <w:rsid w:val="00E07214"/>
    <w:rsid w:val="00E07451"/>
    <w:rsid w:val="00E0747E"/>
    <w:rsid w:val="00E07678"/>
    <w:rsid w:val="00E1051C"/>
    <w:rsid w:val="00E1078E"/>
    <w:rsid w:val="00E10922"/>
    <w:rsid w:val="00E1135D"/>
    <w:rsid w:val="00E11619"/>
    <w:rsid w:val="00E11808"/>
    <w:rsid w:val="00E11ACF"/>
    <w:rsid w:val="00E12465"/>
    <w:rsid w:val="00E126B0"/>
    <w:rsid w:val="00E126C5"/>
    <w:rsid w:val="00E1278E"/>
    <w:rsid w:val="00E12861"/>
    <w:rsid w:val="00E128C5"/>
    <w:rsid w:val="00E12B63"/>
    <w:rsid w:val="00E12D12"/>
    <w:rsid w:val="00E12F97"/>
    <w:rsid w:val="00E13546"/>
    <w:rsid w:val="00E13881"/>
    <w:rsid w:val="00E140DB"/>
    <w:rsid w:val="00E14146"/>
    <w:rsid w:val="00E146B5"/>
    <w:rsid w:val="00E14BDF"/>
    <w:rsid w:val="00E14D86"/>
    <w:rsid w:val="00E15AAB"/>
    <w:rsid w:val="00E162F8"/>
    <w:rsid w:val="00E16629"/>
    <w:rsid w:val="00E16813"/>
    <w:rsid w:val="00E16FA0"/>
    <w:rsid w:val="00E172FE"/>
    <w:rsid w:val="00E177B3"/>
    <w:rsid w:val="00E17E99"/>
    <w:rsid w:val="00E17F86"/>
    <w:rsid w:val="00E21001"/>
    <w:rsid w:val="00E21211"/>
    <w:rsid w:val="00E21882"/>
    <w:rsid w:val="00E21BA6"/>
    <w:rsid w:val="00E22254"/>
    <w:rsid w:val="00E229F2"/>
    <w:rsid w:val="00E22BD5"/>
    <w:rsid w:val="00E231DD"/>
    <w:rsid w:val="00E2340D"/>
    <w:rsid w:val="00E2350A"/>
    <w:rsid w:val="00E23F28"/>
    <w:rsid w:val="00E24340"/>
    <w:rsid w:val="00E243A3"/>
    <w:rsid w:val="00E24479"/>
    <w:rsid w:val="00E245B6"/>
    <w:rsid w:val="00E24B46"/>
    <w:rsid w:val="00E24E33"/>
    <w:rsid w:val="00E24F75"/>
    <w:rsid w:val="00E25647"/>
    <w:rsid w:val="00E2575D"/>
    <w:rsid w:val="00E2580B"/>
    <w:rsid w:val="00E25E95"/>
    <w:rsid w:val="00E260E3"/>
    <w:rsid w:val="00E264D5"/>
    <w:rsid w:val="00E26664"/>
    <w:rsid w:val="00E2679C"/>
    <w:rsid w:val="00E2699A"/>
    <w:rsid w:val="00E26F51"/>
    <w:rsid w:val="00E278B0"/>
    <w:rsid w:val="00E27F0E"/>
    <w:rsid w:val="00E309B2"/>
    <w:rsid w:val="00E30CD1"/>
    <w:rsid w:val="00E3138F"/>
    <w:rsid w:val="00E320E1"/>
    <w:rsid w:val="00E322AD"/>
    <w:rsid w:val="00E322EC"/>
    <w:rsid w:val="00E32306"/>
    <w:rsid w:val="00E32606"/>
    <w:rsid w:val="00E326AD"/>
    <w:rsid w:val="00E32A91"/>
    <w:rsid w:val="00E32BD9"/>
    <w:rsid w:val="00E338D9"/>
    <w:rsid w:val="00E33E7D"/>
    <w:rsid w:val="00E33FC4"/>
    <w:rsid w:val="00E34094"/>
    <w:rsid w:val="00E34433"/>
    <w:rsid w:val="00E34468"/>
    <w:rsid w:val="00E34598"/>
    <w:rsid w:val="00E34953"/>
    <w:rsid w:val="00E34B75"/>
    <w:rsid w:val="00E34E54"/>
    <w:rsid w:val="00E3562E"/>
    <w:rsid w:val="00E35732"/>
    <w:rsid w:val="00E35A53"/>
    <w:rsid w:val="00E35BD2"/>
    <w:rsid w:val="00E35CFB"/>
    <w:rsid w:val="00E36032"/>
    <w:rsid w:val="00E3618C"/>
    <w:rsid w:val="00E362DB"/>
    <w:rsid w:val="00E36370"/>
    <w:rsid w:val="00E3684F"/>
    <w:rsid w:val="00E36BED"/>
    <w:rsid w:val="00E370B6"/>
    <w:rsid w:val="00E370BE"/>
    <w:rsid w:val="00E379E4"/>
    <w:rsid w:val="00E37B94"/>
    <w:rsid w:val="00E37E80"/>
    <w:rsid w:val="00E406B7"/>
    <w:rsid w:val="00E40D35"/>
    <w:rsid w:val="00E40EFA"/>
    <w:rsid w:val="00E4153A"/>
    <w:rsid w:val="00E416FF"/>
    <w:rsid w:val="00E418C0"/>
    <w:rsid w:val="00E418D6"/>
    <w:rsid w:val="00E41A78"/>
    <w:rsid w:val="00E41C71"/>
    <w:rsid w:val="00E41FF7"/>
    <w:rsid w:val="00E4207C"/>
    <w:rsid w:val="00E42128"/>
    <w:rsid w:val="00E42300"/>
    <w:rsid w:val="00E42668"/>
    <w:rsid w:val="00E42A02"/>
    <w:rsid w:val="00E42FFE"/>
    <w:rsid w:val="00E43770"/>
    <w:rsid w:val="00E43A4F"/>
    <w:rsid w:val="00E44FCF"/>
    <w:rsid w:val="00E44FF7"/>
    <w:rsid w:val="00E45277"/>
    <w:rsid w:val="00E455D4"/>
    <w:rsid w:val="00E45792"/>
    <w:rsid w:val="00E45A26"/>
    <w:rsid w:val="00E45E86"/>
    <w:rsid w:val="00E45FC6"/>
    <w:rsid w:val="00E46B81"/>
    <w:rsid w:val="00E47094"/>
    <w:rsid w:val="00E47DC1"/>
    <w:rsid w:val="00E50256"/>
    <w:rsid w:val="00E507E8"/>
    <w:rsid w:val="00E50C81"/>
    <w:rsid w:val="00E50FB8"/>
    <w:rsid w:val="00E5156A"/>
    <w:rsid w:val="00E5179E"/>
    <w:rsid w:val="00E51E67"/>
    <w:rsid w:val="00E527C4"/>
    <w:rsid w:val="00E529C9"/>
    <w:rsid w:val="00E52A17"/>
    <w:rsid w:val="00E53046"/>
    <w:rsid w:val="00E5440A"/>
    <w:rsid w:val="00E54671"/>
    <w:rsid w:val="00E551CF"/>
    <w:rsid w:val="00E55306"/>
    <w:rsid w:val="00E55376"/>
    <w:rsid w:val="00E55540"/>
    <w:rsid w:val="00E55A3B"/>
    <w:rsid w:val="00E55DC9"/>
    <w:rsid w:val="00E55E21"/>
    <w:rsid w:val="00E56D64"/>
    <w:rsid w:val="00E57049"/>
    <w:rsid w:val="00E5766D"/>
    <w:rsid w:val="00E6009B"/>
    <w:rsid w:val="00E6049E"/>
    <w:rsid w:val="00E60D4D"/>
    <w:rsid w:val="00E610E6"/>
    <w:rsid w:val="00E6125B"/>
    <w:rsid w:val="00E61386"/>
    <w:rsid w:val="00E615A7"/>
    <w:rsid w:val="00E617D7"/>
    <w:rsid w:val="00E61919"/>
    <w:rsid w:val="00E61D2B"/>
    <w:rsid w:val="00E62846"/>
    <w:rsid w:val="00E62AAF"/>
    <w:rsid w:val="00E62FDB"/>
    <w:rsid w:val="00E63797"/>
    <w:rsid w:val="00E6399E"/>
    <w:rsid w:val="00E63DDD"/>
    <w:rsid w:val="00E65064"/>
    <w:rsid w:val="00E65D7D"/>
    <w:rsid w:val="00E65E22"/>
    <w:rsid w:val="00E65EF0"/>
    <w:rsid w:val="00E660BD"/>
    <w:rsid w:val="00E66B1D"/>
    <w:rsid w:val="00E6727F"/>
    <w:rsid w:val="00E70016"/>
    <w:rsid w:val="00E7009A"/>
    <w:rsid w:val="00E700FC"/>
    <w:rsid w:val="00E70A53"/>
    <w:rsid w:val="00E70A81"/>
    <w:rsid w:val="00E70EE6"/>
    <w:rsid w:val="00E710EC"/>
    <w:rsid w:val="00E71266"/>
    <w:rsid w:val="00E717B7"/>
    <w:rsid w:val="00E71CB1"/>
    <w:rsid w:val="00E71D9A"/>
    <w:rsid w:val="00E723B3"/>
    <w:rsid w:val="00E72828"/>
    <w:rsid w:val="00E7319C"/>
    <w:rsid w:val="00E73400"/>
    <w:rsid w:val="00E74348"/>
    <w:rsid w:val="00E74851"/>
    <w:rsid w:val="00E7529A"/>
    <w:rsid w:val="00E75C67"/>
    <w:rsid w:val="00E75D12"/>
    <w:rsid w:val="00E75E9E"/>
    <w:rsid w:val="00E75F1A"/>
    <w:rsid w:val="00E762AD"/>
    <w:rsid w:val="00E763DD"/>
    <w:rsid w:val="00E7668E"/>
    <w:rsid w:val="00E76B8E"/>
    <w:rsid w:val="00E76E50"/>
    <w:rsid w:val="00E77439"/>
    <w:rsid w:val="00E77AA4"/>
    <w:rsid w:val="00E80184"/>
    <w:rsid w:val="00E80AA1"/>
    <w:rsid w:val="00E80C3D"/>
    <w:rsid w:val="00E80F7E"/>
    <w:rsid w:val="00E81107"/>
    <w:rsid w:val="00E8130F"/>
    <w:rsid w:val="00E8156F"/>
    <w:rsid w:val="00E81785"/>
    <w:rsid w:val="00E81AFC"/>
    <w:rsid w:val="00E81E98"/>
    <w:rsid w:val="00E81F98"/>
    <w:rsid w:val="00E8275C"/>
    <w:rsid w:val="00E82EFD"/>
    <w:rsid w:val="00E82FB7"/>
    <w:rsid w:val="00E832EF"/>
    <w:rsid w:val="00E83EA8"/>
    <w:rsid w:val="00E84061"/>
    <w:rsid w:val="00E84278"/>
    <w:rsid w:val="00E8430F"/>
    <w:rsid w:val="00E84626"/>
    <w:rsid w:val="00E84FC1"/>
    <w:rsid w:val="00E8508F"/>
    <w:rsid w:val="00E8560A"/>
    <w:rsid w:val="00E85B3E"/>
    <w:rsid w:val="00E85F71"/>
    <w:rsid w:val="00E85FD2"/>
    <w:rsid w:val="00E86824"/>
    <w:rsid w:val="00E8695F"/>
    <w:rsid w:val="00E871EE"/>
    <w:rsid w:val="00E872A1"/>
    <w:rsid w:val="00E87E0D"/>
    <w:rsid w:val="00E904E7"/>
    <w:rsid w:val="00E90680"/>
    <w:rsid w:val="00E906C0"/>
    <w:rsid w:val="00E909ED"/>
    <w:rsid w:val="00E91B71"/>
    <w:rsid w:val="00E92677"/>
    <w:rsid w:val="00E92E74"/>
    <w:rsid w:val="00E935B9"/>
    <w:rsid w:val="00E9378D"/>
    <w:rsid w:val="00E9424F"/>
    <w:rsid w:val="00E9429D"/>
    <w:rsid w:val="00E9443A"/>
    <w:rsid w:val="00E94B1E"/>
    <w:rsid w:val="00E953F3"/>
    <w:rsid w:val="00E95E06"/>
    <w:rsid w:val="00E96B0D"/>
    <w:rsid w:val="00E96ECE"/>
    <w:rsid w:val="00E971BD"/>
    <w:rsid w:val="00E97480"/>
    <w:rsid w:val="00E97807"/>
    <w:rsid w:val="00EA0237"/>
    <w:rsid w:val="00EA0571"/>
    <w:rsid w:val="00EA06C9"/>
    <w:rsid w:val="00EA0AE4"/>
    <w:rsid w:val="00EA0DFC"/>
    <w:rsid w:val="00EA1B30"/>
    <w:rsid w:val="00EA1CD7"/>
    <w:rsid w:val="00EA2464"/>
    <w:rsid w:val="00EA26B7"/>
    <w:rsid w:val="00EA298F"/>
    <w:rsid w:val="00EA2AE4"/>
    <w:rsid w:val="00EA2BEE"/>
    <w:rsid w:val="00EA2F7C"/>
    <w:rsid w:val="00EA3194"/>
    <w:rsid w:val="00EA369D"/>
    <w:rsid w:val="00EA3CDE"/>
    <w:rsid w:val="00EA3F3A"/>
    <w:rsid w:val="00EA41A5"/>
    <w:rsid w:val="00EA41E1"/>
    <w:rsid w:val="00EA4446"/>
    <w:rsid w:val="00EA4F77"/>
    <w:rsid w:val="00EA5350"/>
    <w:rsid w:val="00EA5371"/>
    <w:rsid w:val="00EA56C9"/>
    <w:rsid w:val="00EA650B"/>
    <w:rsid w:val="00EA650F"/>
    <w:rsid w:val="00EA6918"/>
    <w:rsid w:val="00EA697C"/>
    <w:rsid w:val="00EA7320"/>
    <w:rsid w:val="00EA7EA7"/>
    <w:rsid w:val="00EB0092"/>
    <w:rsid w:val="00EB06F6"/>
    <w:rsid w:val="00EB0967"/>
    <w:rsid w:val="00EB0A86"/>
    <w:rsid w:val="00EB1064"/>
    <w:rsid w:val="00EB121D"/>
    <w:rsid w:val="00EB17F5"/>
    <w:rsid w:val="00EB1E50"/>
    <w:rsid w:val="00EB1E8F"/>
    <w:rsid w:val="00EB22EA"/>
    <w:rsid w:val="00EB3666"/>
    <w:rsid w:val="00EB3698"/>
    <w:rsid w:val="00EB385D"/>
    <w:rsid w:val="00EB3A70"/>
    <w:rsid w:val="00EB3B93"/>
    <w:rsid w:val="00EB3FBB"/>
    <w:rsid w:val="00EB41A2"/>
    <w:rsid w:val="00EB41E0"/>
    <w:rsid w:val="00EB4772"/>
    <w:rsid w:val="00EB51F0"/>
    <w:rsid w:val="00EB65C8"/>
    <w:rsid w:val="00EB68B7"/>
    <w:rsid w:val="00EB700F"/>
    <w:rsid w:val="00EB753E"/>
    <w:rsid w:val="00EB79A6"/>
    <w:rsid w:val="00EC0187"/>
    <w:rsid w:val="00EC0407"/>
    <w:rsid w:val="00EC0820"/>
    <w:rsid w:val="00EC0E77"/>
    <w:rsid w:val="00EC155C"/>
    <w:rsid w:val="00EC16C1"/>
    <w:rsid w:val="00EC1B1F"/>
    <w:rsid w:val="00EC23ED"/>
    <w:rsid w:val="00EC2DF5"/>
    <w:rsid w:val="00EC3831"/>
    <w:rsid w:val="00EC386A"/>
    <w:rsid w:val="00EC4A03"/>
    <w:rsid w:val="00EC4B2B"/>
    <w:rsid w:val="00EC4E98"/>
    <w:rsid w:val="00EC5565"/>
    <w:rsid w:val="00EC57AC"/>
    <w:rsid w:val="00EC5F30"/>
    <w:rsid w:val="00EC63B5"/>
    <w:rsid w:val="00EC6B81"/>
    <w:rsid w:val="00EC6F72"/>
    <w:rsid w:val="00EC72EF"/>
    <w:rsid w:val="00EC74F3"/>
    <w:rsid w:val="00EC7811"/>
    <w:rsid w:val="00EC7B05"/>
    <w:rsid w:val="00EC7BA8"/>
    <w:rsid w:val="00EC7C19"/>
    <w:rsid w:val="00EC7E4C"/>
    <w:rsid w:val="00ED12BA"/>
    <w:rsid w:val="00ED1940"/>
    <w:rsid w:val="00ED21B9"/>
    <w:rsid w:val="00ED2738"/>
    <w:rsid w:val="00ED2AE2"/>
    <w:rsid w:val="00ED2D06"/>
    <w:rsid w:val="00ED30D6"/>
    <w:rsid w:val="00ED34CD"/>
    <w:rsid w:val="00ED35D7"/>
    <w:rsid w:val="00ED3685"/>
    <w:rsid w:val="00ED381F"/>
    <w:rsid w:val="00ED38A8"/>
    <w:rsid w:val="00ED3953"/>
    <w:rsid w:val="00ED395D"/>
    <w:rsid w:val="00ED3A41"/>
    <w:rsid w:val="00ED3BEE"/>
    <w:rsid w:val="00ED3DD6"/>
    <w:rsid w:val="00ED4072"/>
    <w:rsid w:val="00ED49C8"/>
    <w:rsid w:val="00ED4A2F"/>
    <w:rsid w:val="00ED4D04"/>
    <w:rsid w:val="00ED548A"/>
    <w:rsid w:val="00ED5E63"/>
    <w:rsid w:val="00ED649F"/>
    <w:rsid w:val="00ED66A5"/>
    <w:rsid w:val="00ED6EBE"/>
    <w:rsid w:val="00ED724B"/>
    <w:rsid w:val="00ED7302"/>
    <w:rsid w:val="00ED761D"/>
    <w:rsid w:val="00ED79E8"/>
    <w:rsid w:val="00EE0595"/>
    <w:rsid w:val="00EE08B7"/>
    <w:rsid w:val="00EE15CE"/>
    <w:rsid w:val="00EE1722"/>
    <w:rsid w:val="00EE1A19"/>
    <w:rsid w:val="00EE1DE7"/>
    <w:rsid w:val="00EE1DE9"/>
    <w:rsid w:val="00EE22B2"/>
    <w:rsid w:val="00EE30F9"/>
    <w:rsid w:val="00EE38E5"/>
    <w:rsid w:val="00EE38E9"/>
    <w:rsid w:val="00EE3A44"/>
    <w:rsid w:val="00EE3BD0"/>
    <w:rsid w:val="00EE3E42"/>
    <w:rsid w:val="00EE400C"/>
    <w:rsid w:val="00EE5806"/>
    <w:rsid w:val="00EE6132"/>
    <w:rsid w:val="00EE6135"/>
    <w:rsid w:val="00EE6260"/>
    <w:rsid w:val="00EE7221"/>
    <w:rsid w:val="00EE7970"/>
    <w:rsid w:val="00EE7BB1"/>
    <w:rsid w:val="00EE7F7F"/>
    <w:rsid w:val="00EF0617"/>
    <w:rsid w:val="00EF0628"/>
    <w:rsid w:val="00EF0ADE"/>
    <w:rsid w:val="00EF0B39"/>
    <w:rsid w:val="00EF0E7B"/>
    <w:rsid w:val="00EF1F1F"/>
    <w:rsid w:val="00EF27AD"/>
    <w:rsid w:val="00EF2A8B"/>
    <w:rsid w:val="00EF32C8"/>
    <w:rsid w:val="00EF3DDA"/>
    <w:rsid w:val="00EF3E65"/>
    <w:rsid w:val="00EF3F5D"/>
    <w:rsid w:val="00EF3F72"/>
    <w:rsid w:val="00EF467B"/>
    <w:rsid w:val="00EF4909"/>
    <w:rsid w:val="00EF4A02"/>
    <w:rsid w:val="00EF4F7F"/>
    <w:rsid w:val="00EF520B"/>
    <w:rsid w:val="00EF5E8E"/>
    <w:rsid w:val="00EF6357"/>
    <w:rsid w:val="00EF6BC6"/>
    <w:rsid w:val="00EF6C17"/>
    <w:rsid w:val="00EF7208"/>
    <w:rsid w:val="00EF79E4"/>
    <w:rsid w:val="00F004A4"/>
    <w:rsid w:val="00F005A3"/>
    <w:rsid w:val="00F00833"/>
    <w:rsid w:val="00F00881"/>
    <w:rsid w:val="00F00FE0"/>
    <w:rsid w:val="00F012CF"/>
    <w:rsid w:val="00F029AA"/>
    <w:rsid w:val="00F02BC3"/>
    <w:rsid w:val="00F036B4"/>
    <w:rsid w:val="00F03A68"/>
    <w:rsid w:val="00F03B03"/>
    <w:rsid w:val="00F044F7"/>
    <w:rsid w:val="00F05496"/>
    <w:rsid w:val="00F054CE"/>
    <w:rsid w:val="00F05A74"/>
    <w:rsid w:val="00F05ABE"/>
    <w:rsid w:val="00F05FD7"/>
    <w:rsid w:val="00F07BFF"/>
    <w:rsid w:val="00F07DBB"/>
    <w:rsid w:val="00F100C4"/>
    <w:rsid w:val="00F104E9"/>
    <w:rsid w:val="00F10842"/>
    <w:rsid w:val="00F108BF"/>
    <w:rsid w:val="00F10A33"/>
    <w:rsid w:val="00F10DA0"/>
    <w:rsid w:val="00F10E8F"/>
    <w:rsid w:val="00F1110E"/>
    <w:rsid w:val="00F111D0"/>
    <w:rsid w:val="00F1143F"/>
    <w:rsid w:val="00F114B8"/>
    <w:rsid w:val="00F11ED5"/>
    <w:rsid w:val="00F120AA"/>
    <w:rsid w:val="00F12270"/>
    <w:rsid w:val="00F12489"/>
    <w:rsid w:val="00F12879"/>
    <w:rsid w:val="00F12B75"/>
    <w:rsid w:val="00F12F22"/>
    <w:rsid w:val="00F13E9A"/>
    <w:rsid w:val="00F14131"/>
    <w:rsid w:val="00F14226"/>
    <w:rsid w:val="00F142A4"/>
    <w:rsid w:val="00F1434B"/>
    <w:rsid w:val="00F144B9"/>
    <w:rsid w:val="00F14F23"/>
    <w:rsid w:val="00F15172"/>
    <w:rsid w:val="00F154AA"/>
    <w:rsid w:val="00F15A7A"/>
    <w:rsid w:val="00F15E38"/>
    <w:rsid w:val="00F1634F"/>
    <w:rsid w:val="00F16787"/>
    <w:rsid w:val="00F16DD6"/>
    <w:rsid w:val="00F16EDA"/>
    <w:rsid w:val="00F17054"/>
    <w:rsid w:val="00F17211"/>
    <w:rsid w:val="00F1724A"/>
    <w:rsid w:val="00F17549"/>
    <w:rsid w:val="00F175FA"/>
    <w:rsid w:val="00F17B78"/>
    <w:rsid w:val="00F2057F"/>
    <w:rsid w:val="00F20FE4"/>
    <w:rsid w:val="00F22012"/>
    <w:rsid w:val="00F22A35"/>
    <w:rsid w:val="00F22B4D"/>
    <w:rsid w:val="00F22CBE"/>
    <w:rsid w:val="00F2381A"/>
    <w:rsid w:val="00F238ED"/>
    <w:rsid w:val="00F2486A"/>
    <w:rsid w:val="00F249D7"/>
    <w:rsid w:val="00F254CC"/>
    <w:rsid w:val="00F25726"/>
    <w:rsid w:val="00F25EC7"/>
    <w:rsid w:val="00F25F39"/>
    <w:rsid w:val="00F26B41"/>
    <w:rsid w:val="00F27095"/>
    <w:rsid w:val="00F2725D"/>
    <w:rsid w:val="00F279C3"/>
    <w:rsid w:val="00F3073E"/>
    <w:rsid w:val="00F30B30"/>
    <w:rsid w:val="00F30DEB"/>
    <w:rsid w:val="00F314DD"/>
    <w:rsid w:val="00F31835"/>
    <w:rsid w:val="00F31A2F"/>
    <w:rsid w:val="00F31FD2"/>
    <w:rsid w:val="00F324F1"/>
    <w:rsid w:val="00F3291D"/>
    <w:rsid w:val="00F33571"/>
    <w:rsid w:val="00F33B8C"/>
    <w:rsid w:val="00F33E83"/>
    <w:rsid w:val="00F345BE"/>
    <w:rsid w:val="00F34643"/>
    <w:rsid w:val="00F34733"/>
    <w:rsid w:val="00F3481A"/>
    <w:rsid w:val="00F349F5"/>
    <w:rsid w:val="00F34AE9"/>
    <w:rsid w:val="00F34C94"/>
    <w:rsid w:val="00F34F68"/>
    <w:rsid w:val="00F34F7C"/>
    <w:rsid w:val="00F35043"/>
    <w:rsid w:val="00F3567B"/>
    <w:rsid w:val="00F357A2"/>
    <w:rsid w:val="00F35D35"/>
    <w:rsid w:val="00F35DF4"/>
    <w:rsid w:val="00F35EAE"/>
    <w:rsid w:val="00F35F44"/>
    <w:rsid w:val="00F36669"/>
    <w:rsid w:val="00F367B1"/>
    <w:rsid w:val="00F36D96"/>
    <w:rsid w:val="00F36F9F"/>
    <w:rsid w:val="00F37155"/>
    <w:rsid w:val="00F37554"/>
    <w:rsid w:val="00F378C8"/>
    <w:rsid w:val="00F37DDC"/>
    <w:rsid w:val="00F40409"/>
    <w:rsid w:val="00F41623"/>
    <w:rsid w:val="00F41B90"/>
    <w:rsid w:val="00F41D0D"/>
    <w:rsid w:val="00F41D91"/>
    <w:rsid w:val="00F420E2"/>
    <w:rsid w:val="00F43310"/>
    <w:rsid w:val="00F43464"/>
    <w:rsid w:val="00F43600"/>
    <w:rsid w:val="00F444DB"/>
    <w:rsid w:val="00F4475A"/>
    <w:rsid w:val="00F453E8"/>
    <w:rsid w:val="00F45736"/>
    <w:rsid w:val="00F45941"/>
    <w:rsid w:val="00F45A56"/>
    <w:rsid w:val="00F45A74"/>
    <w:rsid w:val="00F45CAC"/>
    <w:rsid w:val="00F45D77"/>
    <w:rsid w:val="00F46EBF"/>
    <w:rsid w:val="00F470A3"/>
    <w:rsid w:val="00F47416"/>
    <w:rsid w:val="00F477FA"/>
    <w:rsid w:val="00F47B6B"/>
    <w:rsid w:val="00F47DF1"/>
    <w:rsid w:val="00F508F9"/>
    <w:rsid w:val="00F50966"/>
    <w:rsid w:val="00F50B1C"/>
    <w:rsid w:val="00F50DF0"/>
    <w:rsid w:val="00F512DB"/>
    <w:rsid w:val="00F52060"/>
    <w:rsid w:val="00F52545"/>
    <w:rsid w:val="00F53149"/>
    <w:rsid w:val="00F5394D"/>
    <w:rsid w:val="00F54574"/>
    <w:rsid w:val="00F54631"/>
    <w:rsid w:val="00F54D1A"/>
    <w:rsid w:val="00F55A6B"/>
    <w:rsid w:val="00F55D2D"/>
    <w:rsid w:val="00F55D3A"/>
    <w:rsid w:val="00F55EB2"/>
    <w:rsid w:val="00F56629"/>
    <w:rsid w:val="00F56769"/>
    <w:rsid w:val="00F56AE9"/>
    <w:rsid w:val="00F56FAC"/>
    <w:rsid w:val="00F5727D"/>
    <w:rsid w:val="00F5755B"/>
    <w:rsid w:val="00F575F0"/>
    <w:rsid w:val="00F578FA"/>
    <w:rsid w:val="00F5791C"/>
    <w:rsid w:val="00F57967"/>
    <w:rsid w:val="00F57B17"/>
    <w:rsid w:val="00F57BEF"/>
    <w:rsid w:val="00F57D74"/>
    <w:rsid w:val="00F60287"/>
    <w:rsid w:val="00F607E4"/>
    <w:rsid w:val="00F6093D"/>
    <w:rsid w:val="00F6094E"/>
    <w:rsid w:val="00F60CD5"/>
    <w:rsid w:val="00F60E2E"/>
    <w:rsid w:val="00F61D45"/>
    <w:rsid w:val="00F6309B"/>
    <w:rsid w:val="00F637A4"/>
    <w:rsid w:val="00F642AF"/>
    <w:rsid w:val="00F645CD"/>
    <w:rsid w:val="00F65CDD"/>
    <w:rsid w:val="00F6607B"/>
    <w:rsid w:val="00F6641A"/>
    <w:rsid w:val="00F66445"/>
    <w:rsid w:val="00F6761F"/>
    <w:rsid w:val="00F67849"/>
    <w:rsid w:val="00F67F26"/>
    <w:rsid w:val="00F67FAC"/>
    <w:rsid w:val="00F70562"/>
    <w:rsid w:val="00F70934"/>
    <w:rsid w:val="00F70CFB"/>
    <w:rsid w:val="00F71F25"/>
    <w:rsid w:val="00F73138"/>
    <w:rsid w:val="00F7332E"/>
    <w:rsid w:val="00F7367B"/>
    <w:rsid w:val="00F74310"/>
    <w:rsid w:val="00F74766"/>
    <w:rsid w:val="00F74C91"/>
    <w:rsid w:val="00F74E7A"/>
    <w:rsid w:val="00F7579C"/>
    <w:rsid w:val="00F75E03"/>
    <w:rsid w:val="00F75FCF"/>
    <w:rsid w:val="00F76024"/>
    <w:rsid w:val="00F76428"/>
    <w:rsid w:val="00F76868"/>
    <w:rsid w:val="00F76940"/>
    <w:rsid w:val="00F76EF4"/>
    <w:rsid w:val="00F7721A"/>
    <w:rsid w:val="00F77407"/>
    <w:rsid w:val="00F80562"/>
    <w:rsid w:val="00F806D6"/>
    <w:rsid w:val="00F812AD"/>
    <w:rsid w:val="00F81E12"/>
    <w:rsid w:val="00F82509"/>
    <w:rsid w:val="00F82B4E"/>
    <w:rsid w:val="00F82DB5"/>
    <w:rsid w:val="00F82DBC"/>
    <w:rsid w:val="00F82E29"/>
    <w:rsid w:val="00F82E51"/>
    <w:rsid w:val="00F82EAE"/>
    <w:rsid w:val="00F832D3"/>
    <w:rsid w:val="00F8413B"/>
    <w:rsid w:val="00F841DA"/>
    <w:rsid w:val="00F84A2F"/>
    <w:rsid w:val="00F8587A"/>
    <w:rsid w:val="00F85D84"/>
    <w:rsid w:val="00F85F10"/>
    <w:rsid w:val="00F86003"/>
    <w:rsid w:val="00F8655F"/>
    <w:rsid w:val="00F86AB1"/>
    <w:rsid w:val="00F86E74"/>
    <w:rsid w:val="00F872E8"/>
    <w:rsid w:val="00F87555"/>
    <w:rsid w:val="00F878E4"/>
    <w:rsid w:val="00F87F92"/>
    <w:rsid w:val="00F9009F"/>
    <w:rsid w:val="00F9022D"/>
    <w:rsid w:val="00F90611"/>
    <w:rsid w:val="00F91161"/>
    <w:rsid w:val="00F91657"/>
    <w:rsid w:val="00F9190D"/>
    <w:rsid w:val="00F91B31"/>
    <w:rsid w:val="00F92875"/>
    <w:rsid w:val="00F92919"/>
    <w:rsid w:val="00F9356A"/>
    <w:rsid w:val="00F939A9"/>
    <w:rsid w:val="00F93CE8"/>
    <w:rsid w:val="00F94172"/>
    <w:rsid w:val="00F9477B"/>
    <w:rsid w:val="00F94905"/>
    <w:rsid w:val="00F94E9F"/>
    <w:rsid w:val="00F95730"/>
    <w:rsid w:val="00F95E35"/>
    <w:rsid w:val="00F96109"/>
    <w:rsid w:val="00F96126"/>
    <w:rsid w:val="00F96732"/>
    <w:rsid w:val="00F96E50"/>
    <w:rsid w:val="00F9712F"/>
    <w:rsid w:val="00F97804"/>
    <w:rsid w:val="00F97A3B"/>
    <w:rsid w:val="00FA00B3"/>
    <w:rsid w:val="00FA0196"/>
    <w:rsid w:val="00FA041B"/>
    <w:rsid w:val="00FA066D"/>
    <w:rsid w:val="00FA06C9"/>
    <w:rsid w:val="00FA0785"/>
    <w:rsid w:val="00FA0A26"/>
    <w:rsid w:val="00FA181D"/>
    <w:rsid w:val="00FA1879"/>
    <w:rsid w:val="00FA1B24"/>
    <w:rsid w:val="00FA2836"/>
    <w:rsid w:val="00FA294E"/>
    <w:rsid w:val="00FA2B8A"/>
    <w:rsid w:val="00FA2BC6"/>
    <w:rsid w:val="00FA312A"/>
    <w:rsid w:val="00FA3AE8"/>
    <w:rsid w:val="00FA3C10"/>
    <w:rsid w:val="00FA3E84"/>
    <w:rsid w:val="00FA46CB"/>
    <w:rsid w:val="00FA4BE9"/>
    <w:rsid w:val="00FA4ECE"/>
    <w:rsid w:val="00FA5A6B"/>
    <w:rsid w:val="00FA5FD8"/>
    <w:rsid w:val="00FA67E3"/>
    <w:rsid w:val="00FA7251"/>
    <w:rsid w:val="00FA72E5"/>
    <w:rsid w:val="00FA790E"/>
    <w:rsid w:val="00FA7CC0"/>
    <w:rsid w:val="00FB0002"/>
    <w:rsid w:val="00FB00BA"/>
    <w:rsid w:val="00FB05F2"/>
    <w:rsid w:val="00FB0D74"/>
    <w:rsid w:val="00FB0D77"/>
    <w:rsid w:val="00FB1214"/>
    <w:rsid w:val="00FB1543"/>
    <w:rsid w:val="00FB1791"/>
    <w:rsid w:val="00FB2544"/>
    <w:rsid w:val="00FB2D54"/>
    <w:rsid w:val="00FB3114"/>
    <w:rsid w:val="00FB32A2"/>
    <w:rsid w:val="00FB32BA"/>
    <w:rsid w:val="00FB3489"/>
    <w:rsid w:val="00FB363E"/>
    <w:rsid w:val="00FB3892"/>
    <w:rsid w:val="00FB3D2A"/>
    <w:rsid w:val="00FB3E21"/>
    <w:rsid w:val="00FB4926"/>
    <w:rsid w:val="00FB4D74"/>
    <w:rsid w:val="00FB50AA"/>
    <w:rsid w:val="00FB51C2"/>
    <w:rsid w:val="00FB51EC"/>
    <w:rsid w:val="00FB5440"/>
    <w:rsid w:val="00FB5A5D"/>
    <w:rsid w:val="00FB5FDA"/>
    <w:rsid w:val="00FB64EB"/>
    <w:rsid w:val="00FB6530"/>
    <w:rsid w:val="00FB65C2"/>
    <w:rsid w:val="00FB66F1"/>
    <w:rsid w:val="00FB6A20"/>
    <w:rsid w:val="00FB6BDF"/>
    <w:rsid w:val="00FB6D2D"/>
    <w:rsid w:val="00FB7091"/>
    <w:rsid w:val="00FB712A"/>
    <w:rsid w:val="00FB71DC"/>
    <w:rsid w:val="00FB7275"/>
    <w:rsid w:val="00FB77F7"/>
    <w:rsid w:val="00FB7976"/>
    <w:rsid w:val="00FB7994"/>
    <w:rsid w:val="00FC0090"/>
    <w:rsid w:val="00FC02D1"/>
    <w:rsid w:val="00FC0437"/>
    <w:rsid w:val="00FC0579"/>
    <w:rsid w:val="00FC0A3B"/>
    <w:rsid w:val="00FC0BC9"/>
    <w:rsid w:val="00FC16AC"/>
    <w:rsid w:val="00FC1854"/>
    <w:rsid w:val="00FC1FE4"/>
    <w:rsid w:val="00FC20DE"/>
    <w:rsid w:val="00FC219A"/>
    <w:rsid w:val="00FC2309"/>
    <w:rsid w:val="00FC271B"/>
    <w:rsid w:val="00FC2EEF"/>
    <w:rsid w:val="00FC399F"/>
    <w:rsid w:val="00FC3DAE"/>
    <w:rsid w:val="00FC4038"/>
    <w:rsid w:val="00FC40AF"/>
    <w:rsid w:val="00FC445B"/>
    <w:rsid w:val="00FC45AA"/>
    <w:rsid w:val="00FC467D"/>
    <w:rsid w:val="00FC4F63"/>
    <w:rsid w:val="00FC53AE"/>
    <w:rsid w:val="00FC6162"/>
    <w:rsid w:val="00FC65A3"/>
    <w:rsid w:val="00FC6642"/>
    <w:rsid w:val="00FC69C2"/>
    <w:rsid w:val="00FC6D5E"/>
    <w:rsid w:val="00FC6FD6"/>
    <w:rsid w:val="00FC7099"/>
    <w:rsid w:val="00FC70EC"/>
    <w:rsid w:val="00FC7206"/>
    <w:rsid w:val="00FC72FE"/>
    <w:rsid w:val="00FC7528"/>
    <w:rsid w:val="00FC771A"/>
    <w:rsid w:val="00FD05A4"/>
    <w:rsid w:val="00FD0F5A"/>
    <w:rsid w:val="00FD19C3"/>
    <w:rsid w:val="00FD1BE0"/>
    <w:rsid w:val="00FD1E24"/>
    <w:rsid w:val="00FD1F45"/>
    <w:rsid w:val="00FD2209"/>
    <w:rsid w:val="00FD2E22"/>
    <w:rsid w:val="00FD38FC"/>
    <w:rsid w:val="00FD3F37"/>
    <w:rsid w:val="00FD4264"/>
    <w:rsid w:val="00FD45E0"/>
    <w:rsid w:val="00FD4665"/>
    <w:rsid w:val="00FD4D96"/>
    <w:rsid w:val="00FD4E7A"/>
    <w:rsid w:val="00FD54C4"/>
    <w:rsid w:val="00FD557E"/>
    <w:rsid w:val="00FD5A26"/>
    <w:rsid w:val="00FD5AFD"/>
    <w:rsid w:val="00FD677F"/>
    <w:rsid w:val="00FD6A74"/>
    <w:rsid w:val="00FD762D"/>
    <w:rsid w:val="00FE021E"/>
    <w:rsid w:val="00FE03B7"/>
    <w:rsid w:val="00FE05C3"/>
    <w:rsid w:val="00FE0A94"/>
    <w:rsid w:val="00FE0C4B"/>
    <w:rsid w:val="00FE100B"/>
    <w:rsid w:val="00FE14C7"/>
    <w:rsid w:val="00FE17FE"/>
    <w:rsid w:val="00FE19B4"/>
    <w:rsid w:val="00FE250D"/>
    <w:rsid w:val="00FE2576"/>
    <w:rsid w:val="00FE2665"/>
    <w:rsid w:val="00FE2D61"/>
    <w:rsid w:val="00FE2D8B"/>
    <w:rsid w:val="00FE2E2C"/>
    <w:rsid w:val="00FE3140"/>
    <w:rsid w:val="00FE351C"/>
    <w:rsid w:val="00FE3A08"/>
    <w:rsid w:val="00FE4626"/>
    <w:rsid w:val="00FE469F"/>
    <w:rsid w:val="00FE5197"/>
    <w:rsid w:val="00FE5CCD"/>
    <w:rsid w:val="00FE6097"/>
    <w:rsid w:val="00FE60E1"/>
    <w:rsid w:val="00FE6BFD"/>
    <w:rsid w:val="00FE6C25"/>
    <w:rsid w:val="00FE7281"/>
    <w:rsid w:val="00FE7DF8"/>
    <w:rsid w:val="00FF049C"/>
    <w:rsid w:val="00FF11AB"/>
    <w:rsid w:val="00FF1381"/>
    <w:rsid w:val="00FF161B"/>
    <w:rsid w:val="00FF16A3"/>
    <w:rsid w:val="00FF1B58"/>
    <w:rsid w:val="00FF2234"/>
    <w:rsid w:val="00FF239F"/>
    <w:rsid w:val="00FF2582"/>
    <w:rsid w:val="00FF2C09"/>
    <w:rsid w:val="00FF2CB4"/>
    <w:rsid w:val="00FF2F34"/>
    <w:rsid w:val="00FF3589"/>
    <w:rsid w:val="00FF3657"/>
    <w:rsid w:val="00FF3DF8"/>
    <w:rsid w:val="00FF4026"/>
    <w:rsid w:val="00FF43B9"/>
    <w:rsid w:val="00FF56E6"/>
    <w:rsid w:val="00FF593E"/>
    <w:rsid w:val="00FF5D5B"/>
    <w:rsid w:val="00FF5DEA"/>
    <w:rsid w:val="00FF5F30"/>
    <w:rsid w:val="00FF6983"/>
    <w:rsid w:val="00FF69AA"/>
    <w:rsid w:val="00FF6DFC"/>
    <w:rsid w:val="00FF6EB7"/>
    <w:rsid w:val="00FF7A56"/>
    <w:rsid w:val="00FF7CC4"/>
    <w:rsid w:val="00FF7E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imes New Roman"/>
        <w:sz w:val="22"/>
        <w:szCs w:val="22"/>
        <w:lang w:val="en-AU" w:eastAsia="en-AU" w:bidi="ar-SA"/>
      </w:rPr>
    </w:rPrDefault>
    <w:pPrDefault/>
  </w:docDefaults>
  <w:latentStyles w:defLockedState="1"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
    <w:lsdException w:name="caption" w:semiHidden="0" w:uiPriority="2" w:unhideWhenUsed="0" w:qFormat="1"/>
    <w:lsdException w:name="annotation reference" w:uiPriority="9"/>
    <w:lsdException w:name="List Bullet" w:uiPriority="0" w:qFormat="1"/>
    <w:lsdException w:name="List Number" w:uiPriority="0"/>
    <w:lsdException w:name="Title" w:locked="0" w:semiHidden="0" w:uiPriority="10" w:unhideWhenUsed="0" w:qFormat="1"/>
    <w:lsdException w:name="Default Paragraph Font" w:uiPriority="1"/>
    <w:lsdException w:name="Body Text" w:uiPriority="0" w:qFormat="1"/>
    <w:lsdException w:name="Subtitle" w:locked="0" w:semiHidden="0" w:uiPriority="11" w:unhideWhenUsed="0" w:qFormat="1"/>
    <w:lsdException w:name="Body Text 2" w:uiPriority="0"/>
    <w:lsdException w:name="Strong" w:semiHidden="0" w:uiPriority="22" w:unhideWhenUsed="0" w:qFormat="1"/>
    <w:lsdException w:name="Emphasis" w:locked="0" w:semiHidden="0" w:uiPriority="20" w:unhideWhenUsed="0" w:qFormat="1"/>
    <w:lsdException w:name="annotation subject" w:uiPriority="9"/>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uiPriority="39" w:qFormat="1"/>
  </w:latentStyles>
  <w:style w:type="paragraph" w:default="1" w:styleId="Normal">
    <w:name w:val="Normal"/>
    <w:rsid w:val="000C7855"/>
    <w:pPr>
      <w:spacing w:after="160" w:line="288" w:lineRule="auto"/>
      <w:ind w:left="1803"/>
      <w:jc w:val="both"/>
    </w:pPr>
    <w:rPr>
      <w:rFonts w:ascii="Arial" w:hAnsi="Arial"/>
      <w:sz w:val="20"/>
      <w:lang w:eastAsia="en-US" w:bidi="en-US"/>
    </w:rPr>
  </w:style>
  <w:style w:type="paragraph" w:styleId="Heading1">
    <w:name w:val="heading 1"/>
    <w:basedOn w:val="Normal"/>
    <w:next w:val="BodyText"/>
    <w:link w:val="Heading1Char"/>
    <w:uiPriority w:val="1"/>
    <w:qFormat/>
    <w:rsid w:val="00BD6DFD"/>
    <w:pPr>
      <w:pageBreakBefore/>
      <w:numPr>
        <w:numId w:val="10"/>
      </w:numPr>
      <w:pBdr>
        <w:left w:val="single" w:sz="48" w:space="4" w:color="273C8B"/>
        <w:bottom w:val="single" w:sz="18" w:space="12" w:color="273C8B"/>
      </w:pBdr>
      <w:spacing w:before="480" w:after="960" w:line="240" w:lineRule="auto"/>
      <w:contextualSpacing/>
      <w:jc w:val="left"/>
      <w:outlineLvl w:val="0"/>
    </w:pPr>
    <w:rPr>
      <w:b/>
      <w:smallCaps/>
      <w:color w:val="273C8B"/>
      <w:spacing w:val="20"/>
      <w:sz w:val="48"/>
      <w:szCs w:val="32"/>
      <w:lang w:bidi="ar-SA"/>
    </w:rPr>
  </w:style>
  <w:style w:type="paragraph" w:styleId="Heading2">
    <w:name w:val="heading 2"/>
    <w:basedOn w:val="Normal"/>
    <w:next w:val="BodyText"/>
    <w:link w:val="Heading2Char"/>
    <w:uiPriority w:val="1"/>
    <w:unhideWhenUsed/>
    <w:qFormat/>
    <w:rsid w:val="00616B0F"/>
    <w:pPr>
      <w:keepNext/>
      <w:keepLines/>
      <w:numPr>
        <w:ilvl w:val="1"/>
        <w:numId w:val="2"/>
      </w:numPr>
      <w:spacing w:before="200" w:after="120" w:line="276" w:lineRule="auto"/>
      <w:jc w:val="left"/>
      <w:outlineLvl w:val="1"/>
    </w:pPr>
    <w:rPr>
      <w:b/>
      <w:color w:val="273C8B"/>
      <w:spacing w:val="20"/>
      <w:sz w:val="26"/>
      <w:szCs w:val="28"/>
      <w:lang w:eastAsia="en-AU" w:bidi="ar-SA"/>
    </w:rPr>
  </w:style>
  <w:style w:type="paragraph" w:styleId="Heading3">
    <w:name w:val="heading 3"/>
    <w:basedOn w:val="Normal"/>
    <w:next w:val="BodyText"/>
    <w:link w:val="Heading3Char"/>
    <w:uiPriority w:val="1"/>
    <w:unhideWhenUsed/>
    <w:qFormat/>
    <w:rsid w:val="00911315"/>
    <w:pPr>
      <w:keepNext/>
      <w:keepLines/>
      <w:numPr>
        <w:ilvl w:val="2"/>
        <w:numId w:val="3"/>
      </w:numPr>
      <w:spacing w:before="120" w:after="120" w:line="240" w:lineRule="auto"/>
      <w:ind w:left="1077" w:hanging="1077"/>
      <w:contextualSpacing/>
      <w:jc w:val="left"/>
      <w:outlineLvl w:val="2"/>
    </w:pPr>
    <w:rPr>
      <w:b/>
      <w:color w:val="273C8B"/>
      <w:spacing w:val="20"/>
      <w:sz w:val="24"/>
      <w:szCs w:val="24"/>
      <w:lang w:eastAsia="en-AU" w:bidi="ar-SA"/>
    </w:rPr>
  </w:style>
  <w:style w:type="paragraph" w:styleId="Heading4">
    <w:name w:val="heading 4"/>
    <w:basedOn w:val="Heading3"/>
    <w:next w:val="BodyText"/>
    <w:link w:val="Heading4Char"/>
    <w:uiPriority w:val="1"/>
    <w:unhideWhenUsed/>
    <w:qFormat/>
    <w:rsid w:val="00911315"/>
    <w:pPr>
      <w:numPr>
        <w:ilvl w:val="0"/>
        <w:numId w:val="0"/>
      </w:numPr>
      <w:ind w:left="1803"/>
      <w:outlineLvl w:val="3"/>
    </w:pPr>
    <w:rPr>
      <w:bCs/>
      <w:sz w:val="22"/>
    </w:rPr>
  </w:style>
  <w:style w:type="paragraph" w:styleId="Heading5">
    <w:name w:val="heading 5"/>
    <w:basedOn w:val="Normal"/>
    <w:next w:val="Normal"/>
    <w:link w:val="Heading5Char"/>
    <w:uiPriority w:val="1"/>
    <w:unhideWhenUsed/>
    <w:qFormat/>
    <w:rsid w:val="00021F77"/>
    <w:pPr>
      <w:keepNext/>
      <w:keepLines/>
      <w:pBdr>
        <w:bottom w:val="single" w:sz="4" w:space="1" w:color="548DD4"/>
      </w:pBdr>
      <w:spacing w:before="200" w:after="100" w:line="240" w:lineRule="auto"/>
      <w:contextualSpacing/>
      <w:outlineLvl w:val="4"/>
    </w:pPr>
    <w:rPr>
      <w:rFonts w:ascii="Verdana" w:hAnsi="Verdana"/>
      <w:smallCaps/>
      <w:color w:val="263C88"/>
      <w:spacing w:val="20"/>
    </w:rPr>
  </w:style>
  <w:style w:type="paragraph" w:styleId="Heading6">
    <w:name w:val="heading 6"/>
    <w:basedOn w:val="Normal"/>
    <w:next w:val="Normal"/>
    <w:link w:val="Heading6Char"/>
    <w:uiPriority w:val="1"/>
    <w:unhideWhenUsed/>
    <w:qFormat/>
    <w:rsid w:val="008F76CB"/>
    <w:pPr>
      <w:pBdr>
        <w:bottom w:val="dotted" w:sz="8" w:space="1" w:color="7F7F7F"/>
      </w:pBdr>
      <w:spacing w:before="200" w:after="100"/>
      <w:contextualSpacing/>
      <w:outlineLvl w:val="5"/>
    </w:pPr>
    <w:rPr>
      <w:rFonts w:ascii="Verdana" w:hAnsi="Verdana"/>
      <w:smallCaps/>
      <w:color w:val="7F7F7F"/>
      <w:spacing w:val="20"/>
    </w:rPr>
  </w:style>
  <w:style w:type="paragraph" w:styleId="Heading7">
    <w:name w:val="heading 7"/>
    <w:basedOn w:val="Normal"/>
    <w:next w:val="Normal"/>
    <w:link w:val="Heading7Char"/>
    <w:uiPriority w:val="1"/>
    <w:unhideWhenUsed/>
    <w:qFormat/>
    <w:rsid w:val="0034325F"/>
    <w:pPr>
      <w:keepNext/>
      <w:keepLines/>
      <w:pBdr>
        <w:bottom w:val="single" w:sz="4" w:space="1" w:color="auto"/>
      </w:pBdr>
      <w:shd w:val="clear" w:color="auto" w:fill="273C8B"/>
      <w:spacing w:before="200" w:after="100" w:line="240" w:lineRule="auto"/>
      <w:contextualSpacing/>
      <w:jc w:val="left"/>
      <w:outlineLvl w:val="6"/>
    </w:pPr>
    <w:rPr>
      <w:rFonts w:cs="Arial"/>
      <w:b/>
      <w:bCs/>
      <w:color w:val="FFFFFF" w:themeColor="background1"/>
      <w:spacing w:val="20"/>
      <w:sz w:val="24"/>
      <w:szCs w:val="24"/>
    </w:rPr>
  </w:style>
  <w:style w:type="paragraph" w:styleId="Heading8">
    <w:name w:val="heading 8"/>
    <w:basedOn w:val="Normal"/>
    <w:next w:val="Normal"/>
    <w:link w:val="Heading8Char"/>
    <w:uiPriority w:val="1"/>
    <w:unhideWhenUsed/>
    <w:qFormat/>
    <w:rsid w:val="008F76CB"/>
    <w:pPr>
      <w:spacing w:before="200" w:after="60" w:line="240" w:lineRule="auto"/>
      <w:contextualSpacing/>
      <w:outlineLvl w:val="7"/>
    </w:pPr>
    <w:rPr>
      <w:rFonts w:ascii="Verdana" w:hAnsi="Verdana"/>
      <w:b/>
      <w:smallCaps/>
      <w:color w:val="7F7F7F"/>
      <w:spacing w:val="20"/>
      <w:sz w:val="16"/>
      <w:szCs w:val="16"/>
    </w:rPr>
  </w:style>
  <w:style w:type="paragraph" w:styleId="Heading9">
    <w:name w:val="heading 9"/>
    <w:basedOn w:val="Heading3"/>
    <w:next w:val="Normal"/>
    <w:link w:val="Heading9Char"/>
    <w:uiPriority w:val="1"/>
    <w:unhideWhenUsed/>
    <w:qFormat/>
    <w:rsid w:val="00FB2D5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BD6DFD"/>
    <w:rPr>
      <w:rFonts w:ascii="Arial" w:hAnsi="Arial"/>
      <w:b/>
      <w:smallCaps/>
      <w:color w:val="273C8B"/>
      <w:spacing w:val="20"/>
      <w:sz w:val="48"/>
      <w:szCs w:val="32"/>
      <w:lang w:eastAsia="en-US"/>
    </w:rPr>
  </w:style>
  <w:style w:type="character" w:customStyle="1" w:styleId="Heading2Char">
    <w:name w:val="Heading 2 Char"/>
    <w:basedOn w:val="DefaultParagraphFont"/>
    <w:link w:val="Heading2"/>
    <w:uiPriority w:val="1"/>
    <w:locked/>
    <w:rsid w:val="00616B0F"/>
    <w:rPr>
      <w:rFonts w:ascii="Arial" w:hAnsi="Arial"/>
      <w:b/>
      <w:color w:val="273C8B"/>
      <w:spacing w:val="20"/>
      <w:sz w:val="26"/>
      <w:szCs w:val="28"/>
    </w:rPr>
  </w:style>
  <w:style w:type="character" w:customStyle="1" w:styleId="Heading3Char">
    <w:name w:val="Heading 3 Char"/>
    <w:basedOn w:val="DefaultParagraphFont"/>
    <w:link w:val="Heading3"/>
    <w:uiPriority w:val="1"/>
    <w:locked/>
    <w:rsid w:val="00911315"/>
    <w:rPr>
      <w:rFonts w:ascii="Arial" w:hAnsi="Arial"/>
      <w:b/>
      <w:color w:val="273C8B"/>
      <w:spacing w:val="20"/>
      <w:sz w:val="24"/>
      <w:szCs w:val="24"/>
    </w:rPr>
  </w:style>
  <w:style w:type="character" w:customStyle="1" w:styleId="Heading4Char">
    <w:name w:val="Heading 4 Char"/>
    <w:basedOn w:val="DefaultParagraphFont"/>
    <w:link w:val="Heading4"/>
    <w:uiPriority w:val="1"/>
    <w:locked/>
    <w:rsid w:val="00911315"/>
    <w:rPr>
      <w:rFonts w:ascii="Arial" w:hAnsi="Arial"/>
      <w:b/>
      <w:bCs/>
      <w:color w:val="273C8B"/>
      <w:spacing w:val="20"/>
      <w:szCs w:val="24"/>
    </w:rPr>
  </w:style>
  <w:style w:type="character" w:customStyle="1" w:styleId="Heading5Char">
    <w:name w:val="Heading 5 Char"/>
    <w:basedOn w:val="DefaultParagraphFont"/>
    <w:link w:val="Heading5"/>
    <w:uiPriority w:val="1"/>
    <w:locked/>
    <w:rsid w:val="00021F77"/>
    <w:rPr>
      <w:rFonts w:ascii="Verdana" w:hAnsi="Verdana"/>
      <w:smallCaps/>
      <w:color w:val="263C88"/>
      <w:spacing w:val="20"/>
      <w:lang w:eastAsia="en-US" w:bidi="en-US"/>
    </w:rPr>
  </w:style>
  <w:style w:type="character" w:customStyle="1" w:styleId="Heading6Char">
    <w:name w:val="Heading 6 Char"/>
    <w:basedOn w:val="DefaultParagraphFont"/>
    <w:link w:val="Heading6"/>
    <w:uiPriority w:val="1"/>
    <w:locked/>
    <w:rsid w:val="00C90B6F"/>
    <w:rPr>
      <w:rFonts w:ascii="Verdana" w:eastAsia="Times New Roman" w:hAnsi="Verdana" w:cs="Times New Roman"/>
      <w:smallCaps/>
      <w:color w:val="7F7F7F"/>
      <w:spacing w:val="20"/>
      <w:sz w:val="22"/>
      <w:lang w:val="en-AU"/>
    </w:rPr>
  </w:style>
  <w:style w:type="character" w:customStyle="1" w:styleId="Heading7Char">
    <w:name w:val="Heading 7 Char"/>
    <w:basedOn w:val="DefaultParagraphFont"/>
    <w:link w:val="Heading7"/>
    <w:uiPriority w:val="1"/>
    <w:locked/>
    <w:rsid w:val="0034325F"/>
    <w:rPr>
      <w:rFonts w:ascii="Arial" w:hAnsi="Arial" w:cs="Arial"/>
      <w:b/>
      <w:bCs/>
      <w:color w:val="FFFFFF" w:themeColor="background1"/>
      <w:spacing w:val="20"/>
      <w:sz w:val="24"/>
      <w:szCs w:val="24"/>
      <w:shd w:val="clear" w:color="auto" w:fill="273C8B"/>
      <w:lang w:eastAsia="en-US" w:bidi="en-US"/>
    </w:rPr>
  </w:style>
  <w:style w:type="character" w:customStyle="1" w:styleId="Heading8Char">
    <w:name w:val="Heading 8 Char"/>
    <w:basedOn w:val="DefaultParagraphFont"/>
    <w:link w:val="Heading8"/>
    <w:uiPriority w:val="1"/>
    <w:locked/>
    <w:rsid w:val="00C90B6F"/>
    <w:rPr>
      <w:rFonts w:ascii="Verdana" w:eastAsia="Times New Roman" w:hAnsi="Verdana" w:cs="Times New Roman"/>
      <w:b/>
      <w:smallCaps/>
      <w:color w:val="7F7F7F"/>
      <w:spacing w:val="20"/>
      <w:sz w:val="16"/>
      <w:szCs w:val="16"/>
      <w:lang w:val="en-AU"/>
    </w:rPr>
  </w:style>
  <w:style w:type="character" w:customStyle="1" w:styleId="Heading9Char">
    <w:name w:val="Heading 9 Char"/>
    <w:basedOn w:val="DefaultParagraphFont"/>
    <w:link w:val="Heading9"/>
    <w:uiPriority w:val="1"/>
    <w:locked/>
    <w:rsid w:val="00C90B6F"/>
    <w:rPr>
      <w:rFonts w:ascii="Arial" w:hAnsi="Arial"/>
      <w:b/>
      <w:color w:val="273C8B"/>
      <w:spacing w:val="20"/>
      <w:sz w:val="24"/>
      <w:szCs w:val="24"/>
    </w:rPr>
  </w:style>
  <w:style w:type="paragraph" w:customStyle="1" w:styleId="BlockQuote">
    <w:name w:val="Block Quote"/>
    <w:basedOn w:val="BodyText"/>
    <w:next w:val="BodyText"/>
    <w:link w:val="BlockQuoteChar"/>
    <w:uiPriority w:val="4"/>
    <w:rsid w:val="00027563"/>
    <w:pPr>
      <w:ind w:left="2552" w:right="515"/>
    </w:pPr>
    <w:rPr>
      <w:szCs w:val="20"/>
      <w:lang w:eastAsia="en-US"/>
    </w:rPr>
  </w:style>
  <w:style w:type="paragraph" w:styleId="BodyText">
    <w:name w:val="Body Text"/>
    <w:basedOn w:val="Normal"/>
    <w:link w:val="BodyTextChar"/>
    <w:qFormat/>
    <w:rsid w:val="000C7855"/>
    <w:rPr>
      <w:lang w:eastAsia="en-AU"/>
    </w:rPr>
  </w:style>
  <w:style w:type="character" w:customStyle="1" w:styleId="BodyTextChar">
    <w:name w:val="Body Text Char"/>
    <w:basedOn w:val="DefaultParagraphFont"/>
    <w:link w:val="BodyText"/>
    <w:locked/>
    <w:rsid w:val="000C7855"/>
    <w:rPr>
      <w:rFonts w:ascii="Arial" w:hAnsi="Arial"/>
      <w:sz w:val="20"/>
      <w:lang w:bidi="en-US"/>
    </w:rPr>
  </w:style>
  <w:style w:type="paragraph" w:styleId="Caption">
    <w:name w:val="caption"/>
    <w:basedOn w:val="Normal"/>
    <w:next w:val="Normal"/>
    <w:uiPriority w:val="2"/>
    <w:qFormat/>
    <w:rsid w:val="00D233D4"/>
    <w:pPr>
      <w:keepNext/>
      <w:spacing w:before="240" w:after="120"/>
      <w:ind w:left="3119" w:right="-760" w:hanging="1418"/>
    </w:pPr>
    <w:rPr>
      <w:b/>
      <w:bCs/>
      <w:color w:val="000000"/>
      <w:spacing w:val="10"/>
      <w:sz w:val="24"/>
      <w:szCs w:val="18"/>
    </w:rPr>
  </w:style>
  <w:style w:type="character" w:styleId="FollowedHyperlink">
    <w:name w:val="FollowedHyperlink"/>
    <w:basedOn w:val="DefaultParagraphFont"/>
    <w:uiPriority w:val="99"/>
    <w:semiHidden/>
    <w:rsid w:val="00435852"/>
    <w:rPr>
      <w:rFonts w:cs="Times New Roman"/>
      <w:color w:val="800080"/>
      <w:u w:val="single"/>
    </w:rPr>
  </w:style>
  <w:style w:type="paragraph" w:styleId="Footer">
    <w:name w:val="footer"/>
    <w:basedOn w:val="Normal"/>
    <w:link w:val="FooterChar"/>
    <w:uiPriority w:val="99"/>
    <w:rsid w:val="00435852"/>
    <w:pPr>
      <w:widowControl w:val="0"/>
      <w:tabs>
        <w:tab w:val="center" w:pos="4153"/>
        <w:tab w:val="right" w:pos="8306"/>
      </w:tabs>
    </w:pPr>
  </w:style>
  <w:style w:type="character" w:customStyle="1" w:styleId="FooterChar">
    <w:name w:val="Footer Char"/>
    <w:basedOn w:val="DefaultParagraphFont"/>
    <w:link w:val="Footer"/>
    <w:uiPriority w:val="99"/>
    <w:locked/>
    <w:rsid w:val="00CD51A3"/>
    <w:rPr>
      <w:rFonts w:eastAsia="SimSun" w:cs="Times New Roman"/>
      <w:sz w:val="24"/>
    </w:rPr>
  </w:style>
  <w:style w:type="character" w:styleId="FootnoteReference">
    <w:name w:val="footnote reference"/>
    <w:basedOn w:val="DefaultParagraphFont"/>
    <w:uiPriority w:val="99"/>
    <w:rsid w:val="002E13F4"/>
    <w:rPr>
      <w:rFonts w:asciiTheme="minorHAnsi" w:hAnsiTheme="minorHAnsi"/>
      <w:vertAlign w:val="superscript"/>
    </w:rPr>
  </w:style>
  <w:style w:type="paragraph" w:styleId="FootnoteText">
    <w:name w:val="footnote text"/>
    <w:aliases w:val="single space,ft,Footnote Text Char1 Char"/>
    <w:basedOn w:val="Normal"/>
    <w:link w:val="FootnoteTextChar"/>
    <w:uiPriority w:val="99"/>
    <w:rsid w:val="000C7855"/>
    <w:pPr>
      <w:spacing w:after="40" w:line="264" w:lineRule="auto"/>
      <w:ind w:left="2087" w:hanging="284"/>
    </w:pPr>
    <w:rPr>
      <w:sz w:val="16"/>
    </w:rPr>
  </w:style>
  <w:style w:type="character" w:customStyle="1" w:styleId="FootnoteTextChar">
    <w:name w:val="Footnote Text Char"/>
    <w:aliases w:val="single space Char,ft Char,Footnote Text Char1 Char Char"/>
    <w:basedOn w:val="DefaultParagraphFont"/>
    <w:link w:val="FootnoteText"/>
    <w:uiPriority w:val="99"/>
    <w:locked/>
    <w:rsid w:val="000C7855"/>
    <w:rPr>
      <w:rFonts w:ascii="Arial" w:hAnsi="Arial"/>
      <w:sz w:val="16"/>
      <w:lang w:eastAsia="en-US" w:bidi="en-US"/>
    </w:rPr>
  </w:style>
  <w:style w:type="paragraph" w:styleId="Header">
    <w:name w:val="header"/>
    <w:basedOn w:val="Normal"/>
    <w:link w:val="HeaderChar"/>
    <w:uiPriority w:val="99"/>
    <w:rsid w:val="00772EDE"/>
    <w:pPr>
      <w:tabs>
        <w:tab w:val="center" w:pos="4153"/>
        <w:tab w:val="right" w:pos="8306"/>
      </w:tabs>
    </w:pPr>
    <w:rPr>
      <w:color w:val="273C8B"/>
    </w:rPr>
  </w:style>
  <w:style w:type="character" w:customStyle="1" w:styleId="HeaderChar">
    <w:name w:val="Header Char"/>
    <w:basedOn w:val="DefaultParagraphFont"/>
    <w:link w:val="Header"/>
    <w:uiPriority w:val="99"/>
    <w:locked/>
    <w:rsid w:val="00772EDE"/>
    <w:rPr>
      <w:rFonts w:ascii="Arial" w:hAnsi="Arial"/>
      <w:color w:val="273C8B"/>
      <w:sz w:val="20"/>
      <w:lang w:eastAsia="en-US" w:bidi="en-US"/>
    </w:rPr>
  </w:style>
  <w:style w:type="paragraph" w:customStyle="1" w:styleId="Heading0">
    <w:name w:val="Heading 0"/>
    <w:basedOn w:val="Heading1"/>
    <w:uiPriority w:val="1"/>
    <w:rsid w:val="00282ADF"/>
    <w:pPr>
      <w:numPr>
        <w:numId w:val="0"/>
      </w:numPr>
      <w:ind w:left="1803"/>
    </w:pPr>
    <w:rPr>
      <w:sz w:val="32"/>
    </w:rPr>
  </w:style>
  <w:style w:type="character" w:styleId="Hyperlink">
    <w:name w:val="Hyperlink"/>
    <w:basedOn w:val="DefaultParagraphFont"/>
    <w:uiPriority w:val="99"/>
    <w:rsid w:val="00435852"/>
    <w:rPr>
      <w:rFonts w:cs="Times New Roman"/>
      <w:color w:val="0000FF"/>
      <w:u w:val="single"/>
    </w:rPr>
  </w:style>
  <w:style w:type="paragraph" w:styleId="ListBullet">
    <w:name w:val="List Bullet"/>
    <w:basedOn w:val="BodyText"/>
    <w:link w:val="ListBulletChar"/>
    <w:qFormat/>
    <w:rsid w:val="000C7855"/>
    <w:pPr>
      <w:numPr>
        <w:numId w:val="4"/>
      </w:numPr>
      <w:spacing w:after="120"/>
      <w:ind w:left="2160" w:hanging="357"/>
    </w:pPr>
    <w:rPr>
      <w:szCs w:val="20"/>
      <w:lang w:eastAsia="en-US"/>
    </w:rPr>
  </w:style>
  <w:style w:type="paragraph" w:styleId="ListNumber">
    <w:name w:val="List Number"/>
    <w:basedOn w:val="BodyText"/>
    <w:rsid w:val="00435852"/>
    <w:pPr>
      <w:tabs>
        <w:tab w:val="num" w:pos="360"/>
      </w:tabs>
      <w:spacing w:after="120"/>
      <w:ind w:left="360" w:hanging="360"/>
    </w:pPr>
    <w:rPr>
      <w:szCs w:val="20"/>
      <w:lang w:eastAsia="en-US"/>
    </w:rPr>
  </w:style>
  <w:style w:type="paragraph" w:customStyle="1" w:styleId="Plain">
    <w:name w:val="Plain"/>
    <w:basedOn w:val="Normal"/>
    <w:rsid w:val="00435852"/>
    <w:pPr>
      <w:suppressAutoHyphens/>
      <w:spacing w:after="0"/>
    </w:pPr>
  </w:style>
  <w:style w:type="paragraph" w:customStyle="1" w:styleId="ReferenceList">
    <w:name w:val="Reference List"/>
    <w:basedOn w:val="Normal"/>
    <w:rsid w:val="008C6299"/>
    <w:pPr>
      <w:suppressAutoHyphens/>
      <w:spacing w:after="120"/>
      <w:ind w:left="720" w:hanging="720"/>
    </w:pPr>
  </w:style>
  <w:style w:type="paragraph" w:customStyle="1" w:styleId="TableHeading">
    <w:name w:val="Table Heading"/>
    <w:basedOn w:val="Caption"/>
    <w:next w:val="BodyText"/>
    <w:uiPriority w:val="99"/>
    <w:rsid w:val="00435852"/>
  </w:style>
  <w:style w:type="paragraph" w:customStyle="1" w:styleId="tablefootnotes">
    <w:name w:val="table footnotes"/>
    <w:basedOn w:val="Normal"/>
    <w:rsid w:val="000C7855"/>
    <w:pPr>
      <w:keepNext/>
      <w:keepLines/>
      <w:spacing w:after="0" w:line="240" w:lineRule="auto"/>
      <w:ind w:left="3067" w:hanging="907"/>
    </w:pPr>
    <w:rPr>
      <w:sz w:val="16"/>
    </w:rPr>
  </w:style>
  <w:style w:type="paragraph" w:styleId="TableofFigures">
    <w:name w:val="table of figures"/>
    <w:basedOn w:val="Normal"/>
    <w:next w:val="Normal"/>
    <w:uiPriority w:val="99"/>
    <w:rsid w:val="00282ADF"/>
    <w:pPr>
      <w:tabs>
        <w:tab w:val="left" w:pos="3544"/>
        <w:tab w:val="right" w:leader="dot" w:pos="8931"/>
      </w:tabs>
      <w:spacing w:after="60"/>
      <w:ind w:left="3221" w:right="374" w:hanging="1418"/>
    </w:pPr>
    <w:rPr>
      <w:noProof/>
    </w:rPr>
  </w:style>
  <w:style w:type="paragraph" w:customStyle="1" w:styleId="listdash">
    <w:name w:val="list dash"/>
    <w:basedOn w:val="ListBullet"/>
    <w:rsid w:val="000C7855"/>
    <w:pPr>
      <w:numPr>
        <w:numId w:val="41"/>
      </w:numPr>
    </w:pPr>
  </w:style>
  <w:style w:type="paragraph" w:styleId="TOC2">
    <w:name w:val="toc 2"/>
    <w:basedOn w:val="Normal"/>
    <w:next w:val="Normal"/>
    <w:uiPriority w:val="39"/>
    <w:rsid w:val="009B756F"/>
    <w:pPr>
      <w:tabs>
        <w:tab w:val="right" w:leader="dot" w:pos="8789"/>
      </w:tabs>
      <w:spacing w:before="60" w:after="0" w:line="240" w:lineRule="auto"/>
      <w:ind w:left="2835" w:right="516" w:hanging="709"/>
    </w:pPr>
  </w:style>
  <w:style w:type="paragraph" w:styleId="TOC3">
    <w:name w:val="toc 3"/>
    <w:basedOn w:val="TOC2"/>
    <w:next w:val="Normal"/>
    <w:uiPriority w:val="39"/>
    <w:rsid w:val="00C648F4"/>
    <w:pPr>
      <w:spacing w:before="0"/>
      <w:ind w:left="3261" w:hanging="1135"/>
    </w:pPr>
  </w:style>
  <w:style w:type="paragraph" w:styleId="TOC4">
    <w:name w:val="toc 4"/>
    <w:basedOn w:val="Normal"/>
    <w:next w:val="Normal"/>
    <w:autoRedefine/>
    <w:uiPriority w:val="39"/>
    <w:rsid w:val="00435852"/>
    <w:pPr>
      <w:spacing w:after="0"/>
      <w:ind w:left="440"/>
    </w:pPr>
    <w:rPr>
      <w:rFonts w:ascii="Verdana" w:hAnsi="Verdana"/>
    </w:rPr>
  </w:style>
  <w:style w:type="paragraph" w:customStyle="1" w:styleId="FigureHeading">
    <w:name w:val="Figure Heading"/>
    <w:basedOn w:val="Caption"/>
    <w:next w:val="BodyText"/>
    <w:uiPriority w:val="99"/>
    <w:rsid w:val="00435852"/>
  </w:style>
  <w:style w:type="paragraph" w:styleId="BodyText2">
    <w:name w:val="Body Text 2"/>
    <w:basedOn w:val="Normal"/>
    <w:link w:val="BodyText2Char"/>
    <w:semiHidden/>
    <w:rsid w:val="00435852"/>
    <w:pPr>
      <w:spacing w:after="120" w:line="480" w:lineRule="auto"/>
    </w:pPr>
  </w:style>
  <w:style w:type="character" w:customStyle="1" w:styleId="BodyText2Char">
    <w:name w:val="Body Text 2 Char"/>
    <w:basedOn w:val="DefaultParagraphFont"/>
    <w:link w:val="BodyText2"/>
    <w:uiPriority w:val="99"/>
    <w:semiHidden/>
    <w:locked/>
    <w:rsid w:val="005C56D1"/>
    <w:rPr>
      <w:rFonts w:eastAsia="SimSun" w:cs="Times New Roman"/>
      <w:sz w:val="20"/>
      <w:szCs w:val="20"/>
      <w:lang w:eastAsia="zh-CN"/>
    </w:rPr>
  </w:style>
  <w:style w:type="character" w:customStyle="1" w:styleId="ListBulletChar">
    <w:name w:val="List Bullet Char"/>
    <w:basedOn w:val="BodyTextChar"/>
    <w:link w:val="ListBullet"/>
    <w:rsid w:val="000C7855"/>
    <w:rPr>
      <w:rFonts w:ascii="Arial" w:hAnsi="Arial"/>
      <w:sz w:val="20"/>
      <w:szCs w:val="20"/>
      <w:lang w:eastAsia="en-US" w:bidi="en-US"/>
    </w:rPr>
  </w:style>
  <w:style w:type="character" w:styleId="PageNumber">
    <w:name w:val="page number"/>
    <w:basedOn w:val="DefaultParagraphFont"/>
    <w:uiPriority w:val="99"/>
    <w:semiHidden/>
    <w:rsid w:val="00CD51A3"/>
    <w:rPr>
      <w:rFonts w:cs="Times New Roman"/>
    </w:rPr>
  </w:style>
  <w:style w:type="table" w:styleId="TableGrid">
    <w:name w:val="Table Grid"/>
    <w:basedOn w:val="TableNormal"/>
    <w:uiPriority w:val="59"/>
    <w:rsid w:val="00CA51D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Text">
    <w:name w:val="Table Text"/>
    <w:basedOn w:val="Normal"/>
    <w:rsid w:val="000C7855"/>
    <w:pPr>
      <w:keepNext/>
      <w:keepLines/>
      <w:autoSpaceDE w:val="0"/>
      <w:autoSpaceDN w:val="0"/>
      <w:adjustRightInd w:val="0"/>
      <w:spacing w:after="40" w:line="240" w:lineRule="auto"/>
      <w:ind w:left="0"/>
      <w:jc w:val="left"/>
    </w:pPr>
    <w:rPr>
      <w:sz w:val="16"/>
      <w:szCs w:val="24"/>
    </w:rPr>
  </w:style>
  <w:style w:type="paragraph" w:styleId="TOCHeading">
    <w:name w:val="TOC Heading"/>
    <w:basedOn w:val="Normal"/>
    <w:next w:val="Normal"/>
    <w:uiPriority w:val="39"/>
    <w:unhideWhenUsed/>
    <w:qFormat/>
    <w:rsid w:val="00413FDF"/>
  </w:style>
  <w:style w:type="paragraph" w:customStyle="1" w:styleId="BasicParagraph">
    <w:name w:val="[Basic Paragraph]"/>
    <w:basedOn w:val="Normal"/>
    <w:uiPriority w:val="99"/>
    <w:rsid w:val="00DE12BD"/>
    <w:pPr>
      <w:widowControl w:val="0"/>
      <w:autoSpaceDE w:val="0"/>
      <w:autoSpaceDN w:val="0"/>
      <w:adjustRightInd w:val="0"/>
      <w:spacing w:after="0"/>
      <w:textAlignment w:val="center"/>
    </w:pPr>
    <w:rPr>
      <w:szCs w:val="24"/>
    </w:rPr>
  </w:style>
  <w:style w:type="paragraph" w:styleId="DocumentMap">
    <w:name w:val="Document Map"/>
    <w:basedOn w:val="Normal"/>
    <w:link w:val="DocumentMapChar"/>
    <w:uiPriority w:val="99"/>
    <w:semiHidden/>
    <w:rsid w:val="007816B8"/>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7816B8"/>
    <w:rPr>
      <w:rFonts w:ascii="Tahoma" w:eastAsia="SimSun" w:hAnsi="Tahoma" w:cs="Tahoma"/>
      <w:sz w:val="16"/>
      <w:szCs w:val="16"/>
      <w:lang w:val="en-AU"/>
    </w:rPr>
  </w:style>
  <w:style w:type="paragraph" w:styleId="Revision">
    <w:name w:val="Revision"/>
    <w:hidden/>
    <w:uiPriority w:val="99"/>
    <w:semiHidden/>
    <w:rsid w:val="00B25882"/>
    <w:pPr>
      <w:spacing w:after="160" w:line="288" w:lineRule="auto"/>
      <w:ind w:left="2160"/>
    </w:pPr>
    <w:rPr>
      <w:rFonts w:eastAsia="SimSun"/>
      <w:sz w:val="24"/>
      <w:lang w:val="en-US" w:eastAsia="en-US" w:bidi="en-US"/>
    </w:rPr>
  </w:style>
  <w:style w:type="paragraph" w:styleId="BalloonText">
    <w:name w:val="Balloon Text"/>
    <w:basedOn w:val="Normal"/>
    <w:link w:val="BalloonTextChar"/>
    <w:uiPriority w:val="99"/>
    <w:semiHidden/>
    <w:rsid w:val="00B2588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25882"/>
    <w:rPr>
      <w:rFonts w:ascii="Tahoma" w:eastAsia="SimSun" w:hAnsi="Tahoma" w:cs="Tahoma"/>
      <w:sz w:val="16"/>
      <w:szCs w:val="16"/>
      <w:lang w:val="en-AU"/>
    </w:rPr>
  </w:style>
  <w:style w:type="table" w:customStyle="1" w:styleId="Style1">
    <w:name w:val="Style1"/>
    <w:uiPriority w:val="99"/>
    <w:rsid w:val="00435852"/>
    <w:pPr>
      <w:keepLines/>
      <w:spacing w:after="160" w:line="288" w:lineRule="auto"/>
      <w:ind w:left="2160"/>
    </w:pPr>
    <w:rPr>
      <w:lang w:val="en-US" w:eastAsia="zh-CN" w:bidi="en-US"/>
    </w:rPr>
    <w:tblPr>
      <w:tblInd w:w="0" w:type="dxa"/>
      <w:tblBorders>
        <w:top w:val="single" w:sz="4" w:space="0" w:color="auto"/>
        <w:bottom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
    <w:rsid w:val="00F52060"/>
    <w:rPr>
      <w:rFonts w:cs="Times New Roman"/>
      <w:sz w:val="16"/>
      <w:szCs w:val="16"/>
    </w:rPr>
  </w:style>
  <w:style w:type="paragraph" w:styleId="CommentText">
    <w:name w:val="annotation text"/>
    <w:basedOn w:val="Normal"/>
    <w:link w:val="CommentTextChar"/>
    <w:uiPriority w:val="9"/>
    <w:rsid w:val="00F52060"/>
  </w:style>
  <w:style w:type="character" w:customStyle="1" w:styleId="CommentTextChar">
    <w:name w:val="Comment Text Char"/>
    <w:basedOn w:val="DefaultParagraphFont"/>
    <w:link w:val="CommentText"/>
    <w:uiPriority w:val="9"/>
    <w:locked/>
    <w:rsid w:val="00C90B6F"/>
    <w:rPr>
      <w:rFonts w:ascii="Arial" w:hAnsi="Arial"/>
      <w:sz w:val="22"/>
      <w:lang w:val="en-AU"/>
    </w:rPr>
  </w:style>
  <w:style w:type="paragraph" w:styleId="CommentSubject">
    <w:name w:val="annotation subject"/>
    <w:basedOn w:val="CommentText"/>
    <w:next w:val="CommentText"/>
    <w:link w:val="CommentSubjectChar"/>
    <w:uiPriority w:val="9"/>
    <w:rsid w:val="00F52060"/>
    <w:rPr>
      <w:b/>
      <w:bCs/>
    </w:rPr>
  </w:style>
  <w:style w:type="character" w:customStyle="1" w:styleId="CommentSubjectChar">
    <w:name w:val="Comment Subject Char"/>
    <w:basedOn w:val="CommentTextChar"/>
    <w:link w:val="CommentSubject"/>
    <w:uiPriority w:val="9"/>
    <w:locked/>
    <w:rsid w:val="00C90B6F"/>
    <w:rPr>
      <w:rFonts w:ascii="Arial" w:hAnsi="Arial"/>
      <w:b/>
      <w:bCs/>
      <w:sz w:val="22"/>
      <w:lang w:val="en-AU"/>
    </w:rPr>
  </w:style>
  <w:style w:type="character" w:styleId="Strong">
    <w:name w:val="Strong"/>
    <w:uiPriority w:val="22"/>
    <w:qFormat/>
    <w:rsid w:val="00966DB5"/>
    <w:rPr>
      <w:rFonts w:ascii="Helvetica" w:hAnsi="Helvetica"/>
      <w:bCs/>
      <w:color w:val="000000"/>
      <w:spacing w:val="0"/>
      <w:sz w:val="24"/>
    </w:rPr>
  </w:style>
  <w:style w:type="paragraph" w:styleId="ListParagraph">
    <w:name w:val="List Paragraph"/>
    <w:basedOn w:val="Normal"/>
    <w:link w:val="ListParagraphChar"/>
    <w:uiPriority w:val="34"/>
    <w:qFormat/>
    <w:rsid w:val="008F76CB"/>
    <w:pPr>
      <w:ind w:left="720"/>
      <w:contextualSpacing/>
    </w:pPr>
  </w:style>
  <w:style w:type="paragraph" w:styleId="Quote">
    <w:name w:val="Quote"/>
    <w:basedOn w:val="Normal"/>
    <w:next w:val="Normal"/>
    <w:link w:val="QuoteChar"/>
    <w:uiPriority w:val="29"/>
    <w:qFormat/>
    <w:rsid w:val="00024FCD"/>
    <w:rPr>
      <w:i/>
      <w:iCs/>
    </w:rPr>
  </w:style>
  <w:style w:type="character" w:customStyle="1" w:styleId="QuoteChar">
    <w:name w:val="Quote Char"/>
    <w:basedOn w:val="DefaultParagraphFont"/>
    <w:link w:val="Quote"/>
    <w:uiPriority w:val="29"/>
    <w:locked/>
    <w:rsid w:val="00024FCD"/>
    <w:rPr>
      <w:i/>
      <w:iCs/>
    </w:rPr>
  </w:style>
  <w:style w:type="paragraph" w:styleId="TOC5">
    <w:name w:val="toc 5"/>
    <w:basedOn w:val="Normal"/>
    <w:next w:val="Normal"/>
    <w:autoRedefine/>
    <w:uiPriority w:val="39"/>
    <w:unhideWhenUsed/>
    <w:locked/>
    <w:rsid w:val="00D108D6"/>
    <w:pPr>
      <w:spacing w:after="0"/>
      <w:ind w:left="660"/>
    </w:pPr>
    <w:rPr>
      <w:rFonts w:ascii="Verdana" w:hAnsi="Verdana"/>
    </w:rPr>
  </w:style>
  <w:style w:type="paragraph" w:styleId="TOC6">
    <w:name w:val="toc 6"/>
    <w:basedOn w:val="Normal"/>
    <w:next w:val="Normal"/>
    <w:autoRedefine/>
    <w:uiPriority w:val="39"/>
    <w:unhideWhenUsed/>
    <w:locked/>
    <w:rsid w:val="00D108D6"/>
    <w:pPr>
      <w:spacing w:after="0"/>
      <w:ind w:left="880"/>
    </w:pPr>
    <w:rPr>
      <w:rFonts w:ascii="Verdana" w:hAnsi="Verdana"/>
    </w:rPr>
  </w:style>
  <w:style w:type="paragraph" w:styleId="TOC7">
    <w:name w:val="toc 7"/>
    <w:basedOn w:val="Normal"/>
    <w:next w:val="Normal"/>
    <w:autoRedefine/>
    <w:uiPriority w:val="39"/>
    <w:unhideWhenUsed/>
    <w:locked/>
    <w:rsid w:val="00D108D6"/>
    <w:pPr>
      <w:spacing w:after="0"/>
      <w:ind w:left="1100"/>
    </w:pPr>
    <w:rPr>
      <w:rFonts w:ascii="Verdana" w:hAnsi="Verdana"/>
    </w:rPr>
  </w:style>
  <w:style w:type="paragraph" w:styleId="TOC8">
    <w:name w:val="toc 8"/>
    <w:basedOn w:val="Normal"/>
    <w:next w:val="Normal"/>
    <w:autoRedefine/>
    <w:uiPriority w:val="39"/>
    <w:unhideWhenUsed/>
    <w:locked/>
    <w:rsid w:val="00D108D6"/>
    <w:pPr>
      <w:spacing w:after="0"/>
      <w:ind w:left="1320"/>
    </w:pPr>
    <w:rPr>
      <w:rFonts w:ascii="Verdana" w:hAnsi="Verdana"/>
    </w:rPr>
  </w:style>
  <w:style w:type="paragraph" w:styleId="TOC9">
    <w:name w:val="toc 9"/>
    <w:basedOn w:val="Normal"/>
    <w:next w:val="Normal"/>
    <w:autoRedefine/>
    <w:uiPriority w:val="39"/>
    <w:unhideWhenUsed/>
    <w:locked/>
    <w:rsid w:val="00D108D6"/>
    <w:pPr>
      <w:spacing w:after="0"/>
      <w:ind w:left="1540"/>
    </w:pPr>
    <w:rPr>
      <w:rFonts w:ascii="Verdana" w:hAnsi="Verdana"/>
    </w:rPr>
  </w:style>
  <w:style w:type="paragraph" w:styleId="Title">
    <w:name w:val="Title"/>
    <w:next w:val="Normal"/>
    <w:link w:val="TitleChar"/>
    <w:uiPriority w:val="10"/>
    <w:qFormat/>
    <w:rsid w:val="008F76CB"/>
    <w:pPr>
      <w:spacing w:after="160"/>
      <w:contextualSpacing/>
    </w:pPr>
    <w:rPr>
      <w:rFonts w:ascii="Verdana" w:hAnsi="Verdana"/>
      <w:smallCaps/>
      <w:color w:val="17365D"/>
      <w:spacing w:val="5"/>
      <w:sz w:val="72"/>
      <w:szCs w:val="72"/>
      <w:lang w:val="en-US" w:eastAsia="en-US" w:bidi="en-US"/>
    </w:rPr>
  </w:style>
  <w:style w:type="character" w:customStyle="1" w:styleId="TitleChar">
    <w:name w:val="Title Char"/>
    <w:basedOn w:val="DefaultParagraphFont"/>
    <w:link w:val="Title"/>
    <w:uiPriority w:val="10"/>
    <w:rsid w:val="008F76CB"/>
    <w:rPr>
      <w:rFonts w:ascii="Verdana" w:eastAsia="Times New Roman" w:hAnsi="Verdana" w:cs="Times New Roman"/>
      <w:smallCaps/>
      <w:color w:val="17365D"/>
      <w:spacing w:val="5"/>
      <w:sz w:val="72"/>
      <w:szCs w:val="72"/>
      <w:lang w:val="en-US" w:eastAsia="en-US" w:bidi="en-US"/>
    </w:rPr>
  </w:style>
  <w:style w:type="paragraph" w:styleId="Subtitle">
    <w:name w:val="Subtitle"/>
    <w:next w:val="Normal"/>
    <w:link w:val="SubtitleChar"/>
    <w:uiPriority w:val="11"/>
    <w:qFormat/>
    <w:rsid w:val="008F76CB"/>
    <w:pPr>
      <w:spacing w:after="600"/>
    </w:pPr>
    <w:rPr>
      <w:smallCaps/>
      <w:color w:val="7F7F7F"/>
      <w:spacing w:val="5"/>
      <w:sz w:val="28"/>
      <w:szCs w:val="28"/>
      <w:lang w:val="en-US" w:eastAsia="en-US" w:bidi="en-US"/>
    </w:rPr>
  </w:style>
  <w:style w:type="character" w:customStyle="1" w:styleId="SubtitleChar">
    <w:name w:val="Subtitle Char"/>
    <w:basedOn w:val="DefaultParagraphFont"/>
    <w:link w:val="Subtitle"/>
    <w:uiPriority w:val="11"/>
    <w:rsid w:val="008F76CB"/>
    <w:rPr>
      <w:smallCaps/>
      <w:color w:val="7F7F7F"/>
      <w:spacing w:val="5"/>
      <w:sz w:val="28"/>
      <w:szCs w:val="28"/>
      <w:lang w:val="en-US" w:eastAsia="en-US" w:bidi="en-US"/>
    </w:rPr>
  </w:style>
  <w:style w:type="character" w:styleId="Emphasis">
    <w:name w:val="Emphasis"/>
    <w:uiPriority w:val="20"/>
    <w:qFormat/>
    <w:rsid w:val="008F76CB"/>
    <w:rPr>
      <w:b/>
      <w:bCs/>
      <w:smallCaps/>
      <w:dstrike w:val="0"/>
      <w:color w:val="5A5A5A"/>
      <w:spacing w:val="20"/>
      <w:kern w:val="0"/>
      <w:vertAlign w:val="baseline"/>
    </w:rPr>
  </w:style>
  <w:style w:type="paragraph" w:styleId="NoSpacing">
    <w:name w:val="No Spacing"/>
    <w:basedOn w:val="Normal"/>
    <w:link w:val="NoSpacingChar"/>
    <w:uiPriority w:val="1"/>
    <w:qFormat/>
    <w:rsid w:val="008F76CB"/>
    <w:pPr>
      <w:spacing w:after="0" w:line="240" w:lineRule="auto"/>
    </w:pPr>
  </w:style>
  <w:style w:type="paragraph" w:styleId="IntenseQuote">
    <w:name w:val="Intense Quote"/>
    <w:basedOn w:val="Normal"/>
    <w:next w:val="Normal"/>
    <w:link w:val="IntenseQuoteChar"/>
    <w:uiPriority w:val="30"/>
    <w:qFormat/>
    <w:rsid w:val="008F76CB"/>
    <w:pPr>
      <w:pBdr>
        <w:top w:val="single" w:sz="4" w:space="12" w:color="3A59C8"/>
        <w:left w:val="single" w:sz="4" w:space="15" w:color="3A59C8"/>
        <w:bottom w:val="single" w:sz="12" w:space="10" w:color="1C2C65"/>
        <w:right w:val="single" w:sz="12" w:space="15" w:color="1C2C65"/>
        <w:between w:val="single" w:sz="4" w:space="12" w:color="3A59C8"/>
        <w:bar w:val="single" w:sz="4" w:color="3A59C8"/>
      </w:pBdr>
      <w:spacing w:line="300" w:lineRule="auto"/>
      <w:ind w:left="2506" w:right="432"/>
    </w:pPr>
    <w:rPr>
      <w:rFonts w:ascii="Verdana" w:hAnsi="Verdana"/>
      <w:smallCaps/>
      <w:color w:val="1C2C65"/>
    </w:rPr>
  </w:style>
  <w:style w:type="character" w:customStyle="1" w:styleId="IntenseQuoteChar">
    <w:name w:val="Intense Quote Char"/>
    <w:basedOn w:val="DefaultParagraphFont"/>
    <w:link w:val="IntenseQuote"/>
    <w:uiPriority w:val="30"/>
    <w:rsid w:val="008F76CB"/>
    <w:rPr>
      <w:rFonts w:ascii="Verdana" w:eastAsia="Times New Roman" w:hAnsi="Verdana" w:cs="Times New Roman"/>
      <w:smallCaps/>
      <w:color w:val="1C2C65"/>
      <w:sz w:val="20"/>
      <w:szCs w:val="20"/>
    </w:rPr>
  </w:style>
  <w:style w:type="character" w:styleId="SubtleEmphasis">
    <w:name w:val="Subtle Emphasis"/>
    <w:uiPriority w:val="19"/>
    <w:qFormat/>
    <w:rsid w:val="008F76CB"/>
    <w:rPr>
      <w:smallCaps/>
      <w:dstrike w:val="0"/>
      <w:color w:val="5A5A5A"/>
      <w:vertAlign w:val="baseline"/>
    </w:rPr>
  </w:style>
  <w:style w:type="character" w:styleId="IntenseEmphasis">
    <w:name w:val="Intense Emphasis"/>
    <w:uiPriority w:val="21"/>
    <w:qFormat/>
    <w:rsid w:val="008F76CB"/>
    <w:rPr>
      <w:b/>
      <w:bCs/>
      <w:smallCaps/>
      <w:color w:val="263C88"/>
      <w:spacing w:val="40"/>
    </w:rPr>
  </w:style>
  <w:style w:type="character" w:styleId="SubtleReference">
    <w:name w:val="Subtle Reference"/>
    <w:basedOn w:val="CommentReference"/>
    <w:uiPriority w:val="31"/>
    <w:qFormat/>
    <w:rsid w:val="00054CE9"/>
    <w:rPr>
      <w:rFonts w:ascii="Helvetica" w:hAnsi="Helvetica" w:cs="Times New Roman"/>
      <w:iCs/>
      <w:color w:val="auto"/>
      <w:spacing w:val="20"/>
      <w:sz w:val="22"/>
      <w:szCs w:val="16"/>
    </w:rPr>
  </w:style>
  <w:style w:type="character" w:styleId="IntenseReference">
    <w:name w:val="Intense Reference"/>
    <w:uiPriority w:val="32"/>
    <w:qFormat/>
    <w:rsid w:val="008F76CB"/>
    <w:rPr>
      <w:rFonts w:ascii="Verdana" w:eastAsia="Times New Roman" w:hAnsi="Verdana" w:cs="Times New Roman"/>
      <w:b/>
      <w:bCs/>
      <w:i/>
      <w:iCs/>
      <w:smallCaps/>
      <w:color w:val="17365D"/>
      <w:spacing w:val="20"/>
    </w:rPr>
  </w:style>
  <w:style w:type="character" w:styleId="BookTitle">
    <w:name w:val="Book Title"/>
    <w:uiPriority w:val="99"/>
    <w:qFormat/>
    <w:rsid w:val="008F76CB"/>
    <w:rPr>
      <w:rFonts w:ascii="Verdana" w:eastAsia="Times New Roman" w:hAnsi="Verdana" w:cs="Times New Roman"/>
      <w:b/>
      <w:bCs/>
      <w:smallCaps/>
      <w:color w:val="17365D"/>
      <w:spacing w:val="10"/>
      <w:u w:val="single"/>
    </w:rPr>
  </w:style>
  <w:style w:type="character" w:customStyle="1" w:styleId="NoSpacingChar">
    <w:name w:val="No Spacing Char"/>
    <w:basedOn w:val="DefaultParagraphFont"/>
    <w:link w:val="NoSpacing"/>
    <w:uiPriority w:val="1"/>
    <w:rsid w:val="000526AC"/>
    <w:rPr>
      <w:color w:val="5A5A5A"/>
    </w:rPr>
  </w:style>
  <w:style w:type="table" w:customStyle="1" w:styleId="LightList-Accent11">
    <w:name w:val="Light List - Accent 11"/>
    <w:basedOn w:val="TableNormal"/>
    <w:uiPriority w:val="61"/>
    <w:rsid w:val="000526AC"/>
    <w:tblPr>
      <w:tblStyleRowBandSize w:val="1"/>
      <w:tblStyleColBandSize w:val="1"/>
      <w:tblInd w:w="0" w:type="dxa"/>
      <w:tblBorders>
        <w:top w:val="single" w:sz="8" w:space="0" w:color="263C88"/>
        <w:left w:val="single" w:sz="8" w:space="0" w:color="263C88"/>
        <w:bottom w:val="single" w:sz="8" w:space="0" w:color="263C88"/>
        <w:right w:val="single" w:sz="8" w:space="0" w:color="263C88"/>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263C88"/>
      </w:tcPr>
    </w:tblStylePr>
    <w:tblStylePr w:type="lastRow">
      <w:pPr>
        <w:spacing w:before="0" w:after="0" w:line="240" w:lineRule="auto"/>
      </w:pPr>
      <w:rPr>
        <w:b/>
        <w:bCs/>
      </w:rPr>
      <w:tblPr/>
      <w:tcPr>
        <w:tcBorders>
          <w:top w:val="double" w:sz="6" w:space="0" w:color="263C88"/>
          <w:left w:val="single" w:sz="8" w:space="0" w:color="263C88"/>
          <w:bottom w:val="single" w:sz="8" w:space="0" w:color="263C88"/>
          <w:right w:val="single" w:sz="8" w:space="0" w:color="263C88"/>
        </w:tcBorders>
      </w:tcPr>
    </w:tblStylePr>
    <w:tblStylePr w:type="firstCol">
      <w:rPr>
        <w:b/>
        <w:bCs/>
      </w:rPr>
    </w:tblStylePr>
    <w:tblStylePr w:type="lastCol">
      <w:rPr>
        <w:b/>
        <w:bCs/>
      </w:rPr>
    </w:tblStylePr>
    <w:tblStylePr w:type="band1Vert">
      <w:tblPr/>
      <w:tcPr>
        <w:tcBorders>
          <w:top w:val="single" w:sz="8" w:space="0" w:color="263C88"/>
          <w:left w:val="single" w:sz="8" w:space="0" w:color="263C88"/>
          <w:bottom w:val="single" w:sz="8" w:space="0" w:color="263C88"/>
          <w:right w:val="single" w:sz="8" w:space="0" w:color="263C88"/>
        </w:tcBorders>
      </w:tcPr>
    </w:tblStylePr>
    <w:tblStylePr w:type="band1Horz">
      <w:tblPr/>
      <w:tcPr>
        <w:tcBorders>
          <w:top w:val="single" w:sz="8" w:space="0" w:color="263C88"/>
          <w:left w:val="single" w:sz="8" w:space="0" w:color="263C88"/>
          <w:bottom w:val="single" w:sz="8" w:space="0" w:color="263C88"/>
          <w:right w:val="single" w:sz="8" w:space="0" w:color="263C88"/>
        </w:tcBorders>
      </w:tcPr>
    </w:tblStylePr>
  </w:style>
  <w:style w:type="table" w:styleId="LightList-Accent2">
    <w:name w:val="Light List Accent 2"/>
    <w:basedOn w:val="TableNormal"/>
    <w:uiPriority w:val="61"/>
    <w:rsid w:val="00F87555"/>
    <w:tblPr>
      <w:tblStyleRowBandSize w:val="1"/>
      <w:tblStyleColBandSize w:val="1"/>
      <w:tblInd w:w="0" w:type="dxa"/>
      <w:tblBorders>
        <w:top w:val="single" w:sz="8" w:space="0" w:color="3F58A8"/>
        <w:left w:val="single" w:sz="8" w:space="0" w:color="3F58A8"/>
        <w:bottom w:val="single" w:sz="8" w:space="0" w:color="3F58A8"/>
        <w:right w:val="single" w:sz="8" w:space="0" w:color="3F58A8"/>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3F58A8"/>
      </w:tcPr>
    </w:tblStylePr>
    <w:tblStylePr w:type="lastRow">
      <w:pPr>
        <w:spacing w:before="0" w:after="0" w:line="240" w:lineRule="auto"/>
      </w:pPr>
      <w:rPr>
        <w:b/>
        <w:bCs/>
      </w:rPr>
      <w:tblPr/>
      <w:tcPr>
        <w:tcBorders>
          <w:top w:val="double" w:sz="6" w:space="0" w:color="3F58A8"/>
          <w:left w:val="single" w:sz="8" w:space="0" w:color="3F58A8"/>
          <w:bottom w:val="single" w:sz="8" w:space="0" w:color="3F58A8"/>
          <w:right w:val="single" w:sz="8" w:space="0" w:color="3F58A8"/>
        </w:tcBorders>
      </w:tcPr>
    </w:tblStylePr>
    <w:tblStylePr w:type="firstCol">
      <w:rPr>
        <w:b/>
        <w:bCs/>
      </w:rPr>
    </w:tblStylePr>
    <w:tblStylePr w:type="lastCol">
      <w:rPr>
        <w:b/>
        <w:bCs/>
      </w:rPr>
    </w:tblStylePr>
    <w:tblStylePr w:type="band1Vert">
      <w:tblPr/>
      <w:tcPr>
        <w:tcBorders>
          <w:top w:val="single" w:sz="8" w:space="0" w:color="3F58A8"/>
          <w:left w:val="single" w:sz="8" w:space="0" w:color="3F58A8"/>
          <w:bottom w:val="single" w:sz="8" w:space="0" w:color="3F58A8"/>
          <w:right w:val="single" w:sz="8" w:space="0" w:color="3F58A8"/>
        </w:tcBorders>
      </w:tcPr>
    </w:tblStylePr>
    <w:tblStylePr w:type="band1Horz">
      <w:tblPr/>
      <w:tcPr>
        <w:tcBorders>
          <w:top w:val="single" w:sz="8" w:space="0" w:color="3F58A8"/>
          <w:left w:val="single" w:sz="8" w:space="0" w:color="3F58A8"/>
          <w:bottom w:val="single" w:sz="8" w:space="0" w:color="3F58A8"/>
          <w:right w:val="single" w:sz="8" w:space="0" w:color="3F58A8"/>
        </w:tcBorders>
      </w:tcPr>
    </w:tblStylePr>
  </w:style>
  <w:style w:type="table" w:customStyle="1" w:styleId="SPRC">
    <w:name w:val="SPRC"/>
    <w:basedOn w:val="TableNormal"/>
    <w:uiPriority w:val="99"/>
    <w:rsid w:val="00C11C85"/>
    <w:rPr>
      <w:rFonts w:ascii="Helvetica" w:hAnsi="Helvetica"/>
      <w:sz w:val="24"/>
    </w:rPr>
    <w:tblPr>
      <w:tblInd w:w="0" w:type="dxa"/>
      <w:tblBorders>
        <w:top w:val="single" w:sz="8" w:space="0" w:color="auto"/>
        <w:left w:val="single" w:sz="8" w:space="0" w:color="auto"/>
        <w:bottom w:val="single" w:sz="8" w:space="0" w:color="auto"/>
        <w:right w:val="single" w:sz="8" w:space="0" w:color="auto"/>
      </w:tblBorders>
      <w:tblCellMar>
        <w:top w:w="0" w:type="dxa"/>
        <w:left w:w="108" w:type="dxa"/>
        <w:bottom w:w="0" w:type="dxa"/>
        <w:right w:w="108" w:type="dxa"/>
      </w:tblCellMar>
    </w:tblPr>
    <w:tblStylePr w:type="firstRow">
      <w:rPr>
        <w:rFonts w:ascii="Helvetica" w:hAnsi="Helvetica"/>
        <w:b w:val="0"/>
        <w:i w:val="0"/>
        <w:color w:val="auto"/>
        <w:sz w:val="24"/>
        <w:u w:val="none"/>
      </w:rPr>
    </w:tblStylePr>
  </w:style>
  <w:style w:type="table" w:customStyle="1" w:styleId="SPRCtables">
    <w:name w:val="SPRC tables"/>
    <w:basedOn w:val="ColorfulGrid-Accent6"/>
    <w:uiPriority w:val="99"/>
    <w:qFormat/>
    <w:rsid w:val="0005615D"/>
    <w:tblPr>
      <w:tblStyleRowBandSize w:val="1"/>
      <w:tblStyleColBandSize w:val="1"/>
      <w:tblInd w:w="0" w:type="dxa"/>
      <w:tblBorders>
        <w:top w:val="single" w:sz="6" w:space="0" w:color="D1D9EE"/>
        <w:bottom w:val="single" w:sz="6" w:space="0" w:color="D1D9EE"/>
        <w:insideH w:val="single" w:sz="6" w:space="0" w:color="D1D9EE"/>
      </w:tblBorders>
      <w:tblCellMar>
        <w:top w:w="0" w:type="dxa"/>
        <w:left w:w="108" w:type="dxa"/>
        <w:bottom w:w="0" w:type="dxa"/>
        <w:right w:w="108" w:type="dxa"/>
      </w:tblCellMar>
    </w:tblPr>
    <w:tcPr>
      <w:shd w:val="clear" w:color="auto" w:fill="3F58A8"/>
    </w:tcPr>
    <w:tblStylePr w:type="firstRow">
      <w:rPr>
        <w:b/>
        <w:bCs/>
      </w:rPr>
      <w:tblPr/>
      <w:tcPr>
        <w:shd w:val="clear" w:color="auto" w:fill="FA7DA3"/>
      </w:tcPr>
    </w:tblStylePr>
    <w:tblStylePr w:type="lastRow">
      <w:rPr>
        <w:b/>
        <w:bCs/>
        <w:color w:val="000000"/>
      </w:rPr>
      <w:tblPr/>
      <w:tcPr>
        <w:shd w:val="clear" w:color="auto" w:fill="FA7DA3"/>
      </w:tcPr>
    </w:tblStylePr>
    <w:tblStylePr w:type="firstCol">
      <w:rPr>
        <w:color w:val="FFFFFF"/>
      </w:rPr>
      <w:tblPr/>
      <w:tcPr>
        <w:shd w:val="clear" w:color="auto" w:fill="7F0429"/>
      </w:tcPr>
    </w:tblStylePr>
    <w:tblStylePr w:type="lastCol">
      <w:rPr>
        <w:color w:val="FFFFFF"/>
      </w:rPr>
      <w:tblPr/>
      <w:tcPr>
        <w:shd w:val="clear" w:color="auto" w:fill="7F0429"/>
      </w:tcPr>
    </w:tblStylePr>
    <w:tblStylePr w:type="band1Vert">
      <w:tblPr/>
      <w:tcPr>
        <w:shd w:val="clear" w:color="auto" w:fill="F95E8C"/>
      </w:tcPr>
    </w:tblStylePr>
    <w:tblStylePr w:type="band1Horz">
      <w:tblPr/>
      <w:tcPr>
        <w:shd w:val="clear" w:color="auto" w:fill="F95E8C"/>
      </w:tcPr>
    </w:tblStylePr>
  </w:style>
  <w:style w:type="table" w:styleId="MediumShading2-Accent2">
    <w:name w:val="Medium Shading 2 Accent 2"/>
    <w:basedOn w:val="TableNormal"/>
    <w:uiPriority w:val="64"/>
    <w:rsid w:val="007E4F73"/>
    <w:rPr>
      <w:rFonts w:ascii="Verdana" w:hAnsi="Verdana"/>
      <w:color w:val="FFFFFF"/>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F58A8"/>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F58A8"/>
      </w:tcPr>
    </w:tblStylePr>
    <w:tblStylePr w:type="lastCol">
      <w:rPr>
        <w:b/>
        <w:bCs/>
        <w:color w:val="FFFFFF"/>
      </w:rPr>
      <w:tblPr/>
      <w:tcPr>
        <w:tcBorders>
          <w:left w:val="nil"/>
          <w:right w:val="nil"/>
          <w:insideH w:val="nil"/>
          <w:insideV w:val="nil"/>
        </w:tcBorders>
        <w:shd w:val="clear" w:color="auto" w:fill="3F58A8"/>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6">
    <w:name w:val="Colorful Grid Accent 6"/>
    <w:basedOn w:val="TableNormal"/>
    <w:uiPriority w:val="73"/>
    <w:rsid w:val="0005615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CBED1"/>
    </w:tcPr>
    <w:tblStylePr w:type="firstRow">
      <w:rPr>
        <w:b/>
        <w:bCs/>
      </w:rPr>
      <w:tblPr/>
      <w:tcPr>
        <w:shd w:val="clear" w:color="auto" w:fill="FA7DA3"/>
      </w:tcPr>
    </w:tblStylePr>
    <w:tblStylePr w:type="lastRow">
      <w:rPr>
        <w:b/>
        <w:bCs/>
        <w:color w:val="000000"/>
      </w:rPr>
      <w:tblPr/>
      <w:tcPr>
        <w:shd w:val="clear" w:color="auto" w:fill="FA7DA3"/>
      </w:tcPr>
    </w:tblStylePr>
    <w:tblStylePr w:type="firstCol">
      <w:rPr>
        <w:color w:val="FFFFFF"/>
      </w:rPr>
      <w:tblPr/>
      <w:tcPr>
        <w:shd w:val="clear" w:color="auto" w:fill="7F0429"/>
      </w:tcPr>
    </w:tblStylePr>
    <w:tblStylePr w:type="lastCol">
      <w:rPr>
        <w:color w:val="FFFFFF"/>
      </w:rPr>
      <w:tblPr/>
      <w:tcPr>
        <w:shd w:val="clear" w:color="auto" w:fill="7F0429"/>
      </w:tcPr>
    </w:tblStylePr>
    <w:tblStylePr w:type="band1Vert">
      <w:tblPr/>
      <w:tcPr>
        <w:shd w:val="clear" w:color="auto" w:fill="F95E8C"/>
      </w:tcPr>
    </w:tblStylePr>
    <w:tblStylePr w:type="band1Horz">
      <w:tblPr/>
      <w:tcPr>
        <w:shd w:val="clear" w:color="auto" w:fill="F95E8C"/>
      </w:tcPr>
    </w:tblStylePr>
  </w:style>
  <w:style w:type="table" w:styleId="DarkList-Accent6">
    <w:name w:val="Dark List Accent 6"/>
    <w:basedOn w:val="TableNormal"/>
    <w:uiPriority w:val="70"/>
    <w:rsid w:val="0005615D"/>
    <w:rPr>
      <w:color w:val="FFFFFF"/>
    </w:rPr>
    <w:tblPr>
      <w:tblStyleRowBandSize w:val="1"/>
      <w:tblStyleColBandSize w:val="1"/>
      <w:tblInd w:w="0" w:type="dxa"/>
      <w:tblCellMar>
        <w:top w:w="0" w:type="dxa"/>
        <w:left w:w="108" w:type="dxa"/>
        <w:bottom w:w="0" w:type="dxa"/>
        <w:right w:w="108" w:type="dxa"/>
      </w:tblCellMar>
    </w:tblPr>
    <w:tcPr>
      <w:shd w:val="clear" w:color="auto" w:fill="AA063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4031B"/>
      </w:tcPr>
    </w:tblStylePr>
    <w:tblStylePr w:type="firstCol">
      <w:tblPr/>
      <w:tcPr>
        <w:tcBorders>
          <w:top w:val="nil"/>
          <w:left w:val="nil"/>
          <w:bottom w:val="nil"/>
          <w:right w:val="single" w:sz="18" w:space="0" w:color="FFFFFF"/>
          <w:insideH w:val="nil"/>
          <w:insideV w:val="nil"/>
        </w:tcBorders>
        <w:shd w:val="clear" w:color="auto" w:fill="7F0429"/>
      </w:tcPr>
    </w:tblStylePr>
    <w:tblStylePr w:type="lastCol">
      <w:tblPr/>
      <w:tcPr>
        <w:tcBorders>
          <w:top w:val="nil"/>
          <w:left w:val="single" w:sz="18" w:space="0" w:color="FFFFFF"/>
          <w:bottom w:val="nil"/>
          <w:right w:val="nil"/>
          <w:insideH w:val="nil"/>
          <w:insideV w:val="nil"/>
        </w:tcBorders>
        <w:shd w:val="clear" w:color="auto" w:fill="7F0429"/>
      </w:tcPr>
    </w:tblStylePr>
    <w:tblStylePr w:type="band1Vert">
      <w:tblPr/>
      <w:tcPr>
        <w:tcBorders>
          <w:top w:val="nil"/>
          <w:left w:val="nil"/>
          <w:bottom w:val="nil"/>
          <w:right w:val="nil"/>
          <w:insideH w:val="nil"/>
          <w:insideV w:val="nil"/>
        </w:tcBorders>
        <w:shd w:val="clear" w:color="auto" w:fill="7F0429"/>
      </w:tcPr>
    </w:tblStylePr>
    <w:tblStylePr w:type="band1Horz">
      <w:tblPr/>
      <w:tcPr>
        <w:tcBorders>
          <w:top w:val="nil"/>
          <w:left w:val="nil"/>
          <w:bottom w:val="nil"/>
          <w:right w:val="nil"/>
          <w:insideH w:val="nil"/>
          <w:insideV w:val="nil"/>
        </w:tcBorders>
        <w:shd w:val="clear" w:color="auto" w:fill="7F0429"/>
      </w:tcPr>
    </w:tblStylePr>
  </w:style>
  <w:style w:type="table" w:styleId="MediumShading1-Accent3">
    <w:name w:val="Medium Shading 1 Accent 3"/>
    <w:basedOn w:val="TableNormal"/>
    <w:uiPriority w:val="63"/>
    <w:rsid w:val="000271A2"/>
    <w:tblPr>
      <w:tblStyleRowBandSize w:val="1"/>
      <w:tblStyleColBandSize w:val="1"/>
      <w:tblInd w:w="0" w:type="dxa"/>
      <w:tblBorders>
        <w:top w:val="single" w:sz="8" w:space="0" w:color="auto"/>
        <w:bottom w:val="single" w:sz="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D5DDF0"/>
          <w:left w:val="single" w:sz="8" w:space="0" w:color="D5DDF0"/>
          <w:bottom w:val="single" w:sz="8" w:space="0" w:color="D5DDF0"/>
          <w:right w:val="single" w:sz="8" w:space="0" w:color="D5DDF0"/>
          <w:insideH w:val="nil"/>
          <w:insideV w:val="nil"/>
        </w:tcBorders>
        <w:shd w:val="clear" w:color="auto" w:fill="C8D2EB"/>
      </w:tcPr>
    </w:tblStylePr>
    <w:tblStylePr w:type="lastRow">
      <w:pPr>
        <w:spacing w:before="0" w:after="0" w:line="240" w:lineRule="auto"/>
      </w:pPr>
      <w:rPr>
        <w:b/>
        <w:bCs/>
      </w:rPr>
      <w:tblPr/>
      <w:tcPr>
        <w:tcBorders>
          <w:top w:val="double" w:sz="6" w:space="0" w:color="D5DDF0"/>
          <w:left w:val="single" w:sz="8" w:space="0" w:color="D5DDF0"/>
          <w:bottom w:val="single" w:sz="8" w:space="0" w:color="D5DDF0"/>
          <w:right w:val="single" w:sz="8" w:space="0" w:color="D5DDF0"/>
          <w:insideH w:val="nil"/>
          <w:insideV w:val="nil"/>
        </w:tcBorders>
      </w:tcPr>
    </w:tblStylePr>
    <w:tblStylePr w:type="firstCol">
      <w:rPr>
        <w:b/>
        <w:bCs/>
      </w:rPr>
    </w:tblStylePr>
    <w:tblStylePr w:type="lastCol">
      <w:rPr>
        <w:b/>
        <w:bCs/>
      </w:rPr>
    </w:tblStylePr>
    <w:tblStylePr w:type="band1Vert">
      <w:tblPr/>
      <w:tcPr>
        <w:shd w:val="clear" w:color="auto" w:fill="F1F3FA"/>
      </w:tcPr>
    </w:tblStylePr>
    <w:tblStylePr w:type="band1Horz">
      <w:tblPr/>
      <w:tcPr>
        <w:tcBorders>
          <w:insideH w:val="nil"/>
          <w:insideV w:val="nil"/>
        </w:tcBorders>
        <w:shd w:val="clear" w:color="auto" w:fill="F1F3FA"/>
      </w:tcPr>
    </w:tblStylePr>
    <w:tblStylePr w:type="band2Horz">
      <w:tblPr/>
      <w:tcPr>
        <w:tcBorders>
          <w:insideH w:val="nil"/>
          <w:insideV w:val="nil"/>
        </w:tcBorders>
      </w:tcPr>
    </w:tblStylePr>
  </w:style>
  <w:style w:type="table" w:customStyle="1" w:styleId="SPRCReporttablefinal">
    <w:name w:val="SPRC Report table final"/>
    <w:basedOn w:val="ColorfulShading-Accent1"/>
    <w:uiPriority w:val="99"/>
    <w:qFormat/>
    <w:rsid w:val="009B1F76"/>
    <w:rPr>
      <w:rFonts w:ascii="Sommet" w:hAnsi="Sommet"/>
      <w:sz w:val="24"/>
      <w:szCs w:val="20"/>
      <w:lang w:val="en-US" w:eastAsia="en-US"/>
    </w:rPr>
    <w:tblPr>
      <w:tblStyleRowBandSize w:val="1"/>
      <w:tblStyleColBandSize w:val="1"/>
      <w:tblInd w:w="0" w:type="dxa"/>
      <w:tblBorders>
        <w:left w:val="single" w:sz="4" w:space="0" w:color="263C88"/>
        <w:right w:val="single" w:sz="4" w:space="0" w:color="263C88"/>
        <w:insideH w:val="single" w:sz="4" w:space="0" w:color="FFFFFF"/>
        <w:insideV w:val="single" w:sz="4" w:space="0" w:color="FFFFFF"/>
      </w:tblBorders>
      <w:tblCellMar>
        <w:top w:w="0" w:type="dxa"/>
        <w:left w:w="108" w:type="dxa"/>
        <w:bottom w:w="0" w:type="dxa"/>
        <w:right w:w="108" w:type="dxa"/>
      </w:tblCellMar>
    </w:tblPr>
    <w:tcPr>
      <w:shd w:val="clear" w:color="auto" w:fill="E5E9F7"/>
    </w:tcPr>
    <w:tblStylePr w:type="firstRow">
      <w:rPr>
        <w:b/>
        <w:bCs/>
      </w:rPr>
      <w:tblPr/>
      <w:tcPr>
        <w:tcBorders>
          <w:top w:val="nil"/>
          <w:left w:val="nil"/>
          <w:bottom w:val="single" w:sz="24" w:space="0" w:color="3F58A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62351"/>
      </w:tcPr>
    </w:tblStylePr>
    <w:tblStylePr w:type="firstCol">
      <w:rPr>
        <w:color w:val="FFFFFF"/>
      </w:rPr>
      <w:tblPr/>
      <w:tcPr>
        <w:tcBorders>
          <w:top w:val="nil"/>
          <w:left w:val="nil"/>
          <w:bottom w:val="nil"/>
          <w:right w:val="nil"/>
          <w:insideH w:val="single" w:sz="4" w:space="0" w:color="162351"/>
          <w:insideV w:val="nil"/>
        </w:tcBorders>
        <w:shd w:val="clear" w:color="auto" w:fill="162351"/>
      </w:tcPr>
    </w:tblStylePr>
    <w:tblStylePr w:type="lastCol">
      <w:rPr>
        <w:color w:val="FFFFFF"/>
      </w:rPr>
      <w:tblPr/>
      <w:tcPr>
        <w:tcBorders>
          <w:top w:val="nil"/>
          <w:left w:val="nil"/>
          <w:bottom w:val="nil"/>
          <w:right w:val="nil"/>
          <w:insideH w:val="nil"/>
          <w:insideV w:val="nil"/>
        </w:tcBorders>
        <w:shd w:val="clear" w:color="auto" w:fill="162351"/>
      </w:tcPr>
    </w:tblStylePr>
    <w:tblStylePr w:type="band1Vert">
      <w:tblPr/>
      <w:tcPr>
        <w:shd w:val="clear" w:color="auto" w:fill="95A6E1"/>
      </w:tcPr>
    </w:tblStylePr>
    <w:tblStylePr w:type="band1Horz">
      <w:tblPr/>
      <w:tcPr>
        <w:shd w:val="clear" w:color="auto" w:fill="7B90DA"/>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9B1F76"/>
    <w:rPr>
      <w:color w:val="000000"/>
    </w:rPr>
    <w:tblPr>
      <w:tblStyleRowBandSize w:val="1"/>
      <w:tblStyleColBandSize w:val="1"/>
      <w:tblInd w:w="0" w:type="dxa"/>
      <w:tblBorders>
        <w:top w:val="single" w:sz="24" w:space="0" w:color="3F58A8"/>
        <w:left w:val="single" w:sz="4" w:space="0" w:color="263C88"/>
        <w:bottom w:val="single" w:sz="4" w:space="0" w:color="263C88"/>
        <w:right w:val="single" w:sz="4" w:space="0" w:color="263C88"/>
        <w:insideH w:val="single" w:sz="4" w:space="0" w:color="FFFFFF"/>
        <w:insideV w:val="single" w:sz="4" w:space="0" w:color="FFFFFF"/>
      </w:tblBorders>
      <w:tblCellMar>
        <w:top w:w="0" w:type="dxa"/>
        <w:left w:w="108" w:type="dxa"/>
        <w:bottom w:w="0" w:type="dxa"/>
        <w:right w:w="108" w:type="dxa"/>
      </w:tblCellMar>
    </w:tblPr>
    <w:tcPr>
      <w:shd w:val="clear" w:color="auto" w:fill="E5E9F7"/>
    </w:tcPr>
    <w:tblStylePr w:type="firstRow">
      <w:rPr>
        <w:b/>
        <w:bCs/>
      </w:rPr>
      <w:tblPr/>
      <w:tcPr>
        <w:tcBorders>
          <w:top w:val="nil"/>
          <w:left w:val="nil"/>
          <w:bottom w:val="single" w:sz="24" w:space="0" w:color="3F58A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62351"/>
      </w:tcPr>
    </w:tblStylePr>
    <w:tblStylePr w:type="firstCol">
      <w:rPr>
        <w:color w:val="FFFFFF"/>
      </w:rPr>
      <w:tblPr/>
      <w:tcPr>
        <w:tcBorders>
          <w:top w:val="nil"/>
          <w:left w:val="nil"/>
          <w:bottom w:val="nil"/>
          <w:right w:val="nil"/>
          <w:insideH w:val="single" w:sz="4" w:space="0" w:color="162351"/>
          <w:insideV w:val="nil"/>
        </w:tcBorders>
        <w:shd w:val="clear" w:color="auto" w:fill="162351"/>
      </w:tcPr>
    </w:tblStylePr>
    <w:tblStylePr w:type="lastCol">
      <w:rPr>
        <w:color w:val="FFFFFF"/>
      </w:rPr>
      <w:tblPr/>
      <w:tcPr>
        <w:tcBorders>
          <w:top w:val="nil"/>
          <w:left w:val="nil"/>
          <w:bottom w:val="nil"/>
          <w:right w:val="nil"/>
          <w:insideH w:val="nil"/>
          <w:insideV w:val="nil"/>
        </w:tcBorders>
        <w:shd w:val="clear" w:color="auto" w:fill="162351"/>
      </w:tcPr>
    </w:tblStylePr>
    <w:tblStylePr w:type="band1Vert">
      <w:tblPr/>
      <w:tcPr>
        <w:shd w:val="clear" w:color="auto" w:fill="95A6E1"/>
      </w:tcPr>
    </w:tblStylePr>
    <w:tblStylePr w:type="band1Horz">
      <w:tblPr/>
      <w:tcPr>
        <w:shd w:val="clear" w:color="auto" w:fill="7B90DA"/>
      </w:tcPr>
    </w:tblStylePr>
    <w:tblStylePr w:type="neCell">
      <w:rPr>
        <w:color w:val="000000"/>
      </w:rPr>
    </w:tblStylePr>
    <w:tblStylePr w:type="nwCell">
      <w:rPr>
        <w:color w:val="000000"/>
      </w:rPr>
    </w:tblStylePr>
  </w:style>
  <w:style w:type="table" w:styleId="LightShading-Accent4">
    <w:name w:val="Light Shading Accent 4"/>
    <w:basedOn w:val="TableNormal"/>
    <w:uiPriority w:val="60"/>
    <w:rsid w:val="00AF1F39"/>
    <w:rPr>
      <w:color w:val="7E95CF"/>
    </w:rPr>
    <w:tblPr>
      <w:tblStyleRowBandSize w:val="1"/>
      <w:tblStyleColBandSize w:val="1"/>
      <w:tblInd w:w="0" w:type="dxa"/>
      <w:tblBorders>
        <w:top w:val="single" w:sz="8" w:space="0" w:color="D1D9EE"/>
        <w:bottom w:val="single" w:sz="8" w:space="0" w:color="D1D9EE"/>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1D9EE"/>
          <w:left w:val="nil"/>
          <w:bottom w:val="single" w:sz="8" w:space="0" w:color="D1D9EE"/>
          <w:right w:val="nil"/>
          <w:insideH w:val="nil"/>
          <w:insideV w:val="nil"/>
        </w:tcBorders>
      </w:tcPr>
    </w:tblStylePr>
    <w:tblStylePr w:type="lastRow">
      <w:pPr>
        <w:spacing w:before="0" w:after="0" w:line="240" w:lineRule="auto"/>
      </w:pPr>
      <w:rPr>
        <w:b/>
        <w:bCs/>
      </w:rPr>
      <w:tblPr/>
      <w:tcPr>
        <w:tcBorders>
          <w:top w:val="single" w:sz="8" w:space="0" w:color="D1D9EE"/>
          <w:left w:val="nil"/>
          <w:bottom w:val="single" w:sz="8" w:space="0" w:color="D1D9E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5FA"/>
      </w:tcPr>
    </w:tblStylePr>
    <w:tblStylePr w:type="band1Horz">
      <w:tblPr/>
      <w:tcPr>
        <w:tcBorders>
          <w:left w:val="nil"/>
          <w:right w:val="nil"/>
          <w:insideH w:val="nil"/>
          <w:insideV w:val="nil"/>
        </w:tcBorders>
        <w:shd w:val="clear" w:color="auto" w:fill="F3F5FA"/>
      </w:tcPr>
    </w:tblStylePr>
  </w:style>
  <w:style w:type="table" w:customStyle="1" w:styleId="SPRCtablev1">
    <w:name w:val="SPRC table v1"/>
    <w:basedOn w:val="TableNormal"/>
    <w:uiPriority w:val="99"/>
    <w:qFormat/>
    <w:rsid w:val="00A87298"/>
    <w:rPr>
      <w:rFonts w:ascii="Helvetica" w:hAnsi="Helvetica"/>
      <w:sz w:val="24"/>
    </w:rPr>
    <w:tblPr>
      <w:tblInd w:w="0" w:type="dxa"/>
      <w:tblCellMar>
        <w:top w:w="0" w:type="dxa"/>
        <w:left w:w="108" w:type="dxa"/>
        <w:bottom w:w="0" w:type="dxa"/>
        <w:right w:w="108" w:type="dxa"/>
      </w:tblCellMar>
    </w:tblPr>
  </w:style>
  <w:style w:type="table" w:customStyle="1" w:styleId="TableGrid1">
    <w:name w:val="Table Grid1"/>
    <w:basedOn w:val="TableNormal"/>
    <w:next w:val="TableGrid"/>
    <w:uiPriority w:val="59"/>
    <w:rsid w:val="0024606E"/>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locked/>
    <w:rsid w:val="0024606E"/>
    <w:pPr>
      <w:spacing w:before="100" w:beforeAutospacing="1" w:after="0" w:line="360" w:lineRule="atLeast"/>
      <w:ind w:left="0"/>
    </w:pPr>
    <w:rPr>
      <w:rFonts w:ascii="Times New Roman" w:hAnsi="Times New Roman"/>
      <w:sz w:val="43"/>
      <w:szCs w:val="43"/>
      <w:lang w:eastAsia="en-AU" w:bidi="ar-SA"/>
    </w:rPr>
  </w:style>
  <w:style w:type="numbering" w:customStyle="1" w:styleId="SPRC-NEW">
    <w:name w:val="SPRC-NEW"/>
    <w:uiPriority w:val="99"/>
    <w:rsid w:val="002A0D52"/>
    <w:pPr>
      <w:numPr>
        <w:numId w:val="1"/>
      </w:numPr>
    </w:pPr>
  </w:style>
  <w:style w:type="numbering" w:customStyle="1" w:styleId="SPRC-docs-style">
    <w:name w:val="SPRC-docs-style"/>
    <w:uiPriority w:val="99"/>
    <w:rsid w:val="005850BB"/>
  </w:style>
  <w:style w:type="numbering" w:customStyle="1" w:styleId="SPRC-style">
    <w:name w:val="SPRC-style"/>
    <w:uiPriority w:val="99"/>
    <w:rsid w:val="005850BB"/>
    <w:pPr>
      <w:numPr>
        <w:numId w:val="14"/>
      </w:numPr>
    </w:pPr>
  </w:style>
  <w:style w:type="paragraph" w:styleId="ListNumber2">
    <w:name w:val="List Number 2"/>
    <w:basedOn w:val="Normal"/>
    <w:uiPriority w:val="99"/>
    <w:semiHidden/>
    <w:unhideWhenUsed/>
    <w:locked/>
    <w:rsid w:val="005850BB"/>
    <w:pPr>
      <w:ind w:left="0"/>
      <w:contextualSpacing/>
    </w:pPr>
  </w:style>
  <w:style w:type="paragraph" w:styleId="ListNumber3">
    <w:name w:val="List Number 3"/>
    <w:basedOn w:val="Normal"/>
    <w:uiPriority w:val="99"/>
    <w:semiHidden/>
    <w:unhideWhenUsed/>
    <w:locked/>
    <w:rsid w:val="005850BB"/>
    <w:pPr>
      <w:ind w:left="0"/>
      <w:contextualSpacing/>
    </w:pPr>
  </w:style>
  <w:style w:type="paragraph" w:styleId="EndnoteText">
    <w:name w:val="endnote text"/>
    <w:basedOn w:val="Normal"/>
    <w:link w:val="EndnoteTextChar"/>
    <w:uiPriority w:val="99"/>
    <w:semiHidden/>
    <w:unhideWhenUsed/>
    <w:locked/>
    <w:rsid w:val="009A70B2"/>
    <w:pPr>
      <w:spacing w:after="0" w:line="240" w:lineRule="auto"/>
    </w:pPr>
  </w:style>
  <w:style w:type="character" w:customStyle="1" w:styleId="EndnoteTextChar">
    <w:name w:val="Endnote Text Char"/>
    <w:basedOn w:val="DefaultParagraphFont"/>
    <w:link w:val="EndnoteText"/>
    <w:uiPriority w:val="99"/>
    <w:semiHidden/>
    <w:rsid w:val="009A70B2"/>
    <w:rPr>
      <w:rFonts w:ascii="Helvetica" w:hAnsi="Helvetica"/>
    </w:rPr>
  </w:style>
  <w:style w:type="character" w:styleId="EndnoteReference">
    <w:name w:val="endnote reference"/>
    <w:basedOn w:val="DefaultParagraphFont"/>
    <w:uiPriority w:val="99"/>
    <w:semiHidden/>
    <w:unhideWhenUsed/>
    <w:locked/>
    <w:rsid w:val="009A70B2"/>
    <w:rPr>
      <w:vertAlign w:val="superscript"/>
    </w:rPr>
  </w:style>
  <w:style w:type="paragraph" w:customStyle="1" w:styleId="Leftpara">
    <w:name w:val="Left para"/>
    <w:basedOn w:val="BodyText"/>
    <w:rsid w:val="00137FAE"/>
    <w:pPr>
      <w:keepLines/>
      <w:spacing w:after="0" w:line="240" w:lineRule="auto"/>
      <w:ind w:left="1701"/>
    </w:pPr>
    <w:rPr>
      <w:noProof/>
    </w:rPr>
  </w:style>
  <w:style w:type="character" w:customStyle="1" w:styleId="BlockQuoteChar">
    <w:name w:val="Block Quote Char"/>
    <w:basedOn w:val="BodyTextChar"/>
    <w:link w:val="BlockQuote"/>
    <w:uiPriority w:val="4"/>
    <w:rsid w:val="00C90B6F"/>
    <w:rPr>
      <w:rFonts w:ascii="Arial" w:hAnsi="Arial"/>
      <w:sz w:val="22"/>
      <w:szCs w:val="22"/>
      <w:lang w:val="en-AU" w:eastAsia="en-AU" w:bidi="en-US"/>
    </w:rPr>
  </w:style>
  <w:style w:type="paragraph" w:customStyle="1" w:styleId="Heading1a">
    <w:name w:val="Heading 1a"/>
    <w:basedOn w:val="Heading1"/>
    <w:rsid w:val="006D2EA9"/>
    <w:pPr>
      <w:numPr>
        <w:numId w:val="0"/>
      </w:numPr>
      <w:ind w:left="2160"/>
    </w:pPr>
  </w:style>
  <w:style w:type="paragraph" w:customStyle="1" w:styleId="BodyText1">
    <w:name w:val="Body Text1"/>
    <w:basedOn w:val="BodyText"/>
    <w:link w:val="BodytextChar0"/>
    <w:qFormat/>
    <w:rsid w:val="000C7855"/>
  </w:style>
  <w:style w:type="numbering" w:customStyle="1" w:styleId="SPRC-style1">
    <w:name w:val="SPRC-style1"/>
    <w:uiPriority w:val="99"/>
    <w:rsid w:val="00B26206"/>
  </w:style>
  <w:style w:type="paragraph" w:customStyle="1" w:styleId="attachtitle">
    <w:name w:val="attach title"/>
    <w:basedOn w:val="Subtitle"/>
    <w:rsid w:val="003E2B11"/>
    <w:pPr>
      <w:numPr>
        <w:numId w:val="11"/>
      </w:numPr>
    </w:pPr>
    <w:rPr>
      <w:color w:val="auto"/>
      <w:lang w:val="en-AU"/>
    </w:rPr>
  </w:style>
  <w:style w:type="paragraph" w:customStyle="1" w:styleId="attachtext">
    <w:name w:val="attach text"/>
    <w:basedOn w:val="Normal"/>
    <w:rsid w:val="00557394"/>
    <w:pPr>
      <w:autoSpaceDE w:val="0"/>
      <w:autoSpaceDN w:val="0"/>
      <w:adjustRightInd w:val="0"/>
      <w:spacing w:after="120"/>
      <w:ind w:left="0"/>
    </w:pPr>
    <w:rPr>
      <w:bCs/>
      <w:color w:val="000000"/>
      <w:szCs w:val="24"/>
    </w:rPr>
  </w:style>
  <w:style w:type="paragraph" w:customStyle="1" w:styleId="tabfighead">
    <w:name w:val="tab fig head"/>
    <w:basedOn w:val="Normal"/>
    <w:rsid w:val="00557394"/>
    <w:pPr>
      <w:keepNext/>
      <w:keepLines/>
      <w:spacing w:before="240" w:after="120"/>
      <w:ind w:left="3119" w:hanging="1418"/>
      <w:jc w:val="left"/>
    </w:pPr>
    <w:rPr>
      <w:b/>
      <w:bCs/>
      <w:color w:val="273C8B"/>
      <w:spacing w:val="10"/>
      <w:szCs w:val="18"/>
    </w:rPr>
  </w:style>
  <w:style w:type="numbering" w:customStyle="1" w:styleId="NoList1">
    <w:name w:val="No List1"/>
    <w:next w:val="NoList"/>
    <w:uiPriority w:val="99"/>
    <w:semiHidden/>
    <w:unhideWhenUsed/>
    <w:rsid w:val="008861DE"/>
  </w:style>
  <w:style w:type="table" w:customStyle="1" w:styleId="TableGrid2">
    <w:name w:val="Table Grid2"/>
    <w:basedOn w:val="TableNormal"/>
    <w:next w:val="TableGrid"/>
    <w:uiPriority w:val="59"/>
    <w:rsid w:val="008861D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yle11">
    <w:name w:val="Style11"/>
    <w:uiPriority w:val="99"/>
    <w:rsid w:val="008861DE"/>
    <w:pPr>
      <w:keepLines/>
      <w:spacing w:after="160" w:line="288" w:lineRule="auto"/>
      <w:ind w:left="2160"/>
    </w:pPr>
    <w:rPr>
      <w:lang w:val="en-US" w:eastAsia="zh-CN" w:bidi="en-US"/>
    </w:rPr>
    <w:tblPr>
      <w:tblInd w:w="0" w:type="dxa"/>
      <w:tblBorders>
        <w:top w:val="single" w:sz="4" w:space="0" w:color="auto"/>
        <w:bottom w:val="single" w:sz="4" w:space="0" w:color="auto"/>
      </w:tblBorders>
      <w:tblCellMar>
        <w:top w:w="0" w:type="dxa"/>
        <w:left w:w="108" w:type="dxa"/>
        <w:bottom w:w="0" w:type="dxa"/>
        <w:right w:w="108" w:type="dxa"/>
      </w:tblCellMar>
    </w:tblPr>
  </w:style>
  <w:style w:type="table" w:customStyle="1" w:styleId="LightList-Accent111">
    <w:name w:val="Light List - Accent 111"/>
    <w:basedOn w:val="TableNormal"/>
    <w:uiPriority w:val="61"/>
    <w:rsid w:val="008861DE"/>
    <w:tblPr>
      <w:tblStyleRowBandSize w:val="1"/>
      <w:tblStyleColBandSize w:val="1"/>
      <w:tblInd w:w="0" w:type="dxa"/>
      <w:tblBorders>
        <w:top w:val="single" w:sz="8" w:space="0" w:color="263C88"/>
        <w:left w:val="single" w:sz="8" w:space="0" w:color="263C88"/>
        <w:bottom w:val="single" w:sz="8" w:space="0" w:color="263C88"/>
        <w:right w:val="single" w:sz="8" w:space="0" w:color="263C88"/>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263C88"/>
      </w:tcPr>
    </w:tblStylePr>
    <w:tblStylePr w:type="lastRow">
      <w:pPr>
        <w:spacing w:before="0" w:after="0" w:line="240" w:lineRule="auto"/>
      </w:pPr>
      <w:rPr>
        <w:b/>
        <w:bCs/>
      </w:rPr>
      <w:tblPr/>
      <w:tcPr>
        <w:tcBorders>
          <w:top w:val="double" w:sz="6" w:space="0" w:color="263C88"/>
          <w:left w:val="single" w:sz="8" w:space="0" w:color="263C88"/>
          <w:bottom w:val="single" w:sz="8" w:space="0" w:color="263C88"/>
          <w:right w:val="single" w:sz="8" w:space="0" w:color="263C88"/>
        </w:tcBorders>
      </w:tcPr>
    </w:tblStylePr>
    <w:tblStylePr w:type="firstCol">
      <w:rPr>
        <w:b/>
        <w:bCs/>
      </w:rPr>
    </w:tblStylePr>
    <w:tblStylePr w:type="lastCol">
      <w:rPr>
        <w:b/>
        <w:bCs/>
      </w:rPr>
    </w:tblStylePr>
    <w:tblStylePr w:type="band1Vert">
      <w:tblPr/>
      <w:tcPr>
        <w:tcBorders>
          <w:top w:val="single" w:sz="8" w:space="0" w:color="263C88"/>
          <w:left w:val="single" w:sz="8" w:space="0" w:color="263C88"/>
          <w:bottom w:val="single" w:sz="8" w:space="0" w:color="263C88"/>
          <w:right w:val="single" w:sz="8" w:space="0" w:color="263C88"/>
        </w:tcBorders>
      </w:tcPr>
    </w:tblStylePr>
    <w:tblStylePr w:type="band1Horz">
      <w:tblPr/>
      <w:tcPr>
        <w:tcBorders>
          <w:top w:val="single" w:sz="8" w:space="0" w:color="263C88"/>
          <w:left w:val="single" w:sz="8" w:space="0" w:color="263C88"/>
          <w:bottom w:val="single" w:sz="8" w:space="0" w:color="263C88"/>
          <w:right w:val="single" w:sz="8" w:space="0" w:color="263C88"/>
        </w:tcBorders>
      </w:tcPr>
    </w:tblStylePr>
  </w:style>
  <w:style w:type="table" w:customStyle="1" w:styleId="LightList-Accent21">
    <w:name w:val="Light List - Accent 21"/>
    <w:basedOn w:val="TableNormal"/>
    <w:next w:val="LightList-Accent2"/>
    <w:uiPriority w:val="61"/>
    <w:rsid w:val="008861DE"/>
    <w:tblPr>
      <w:tblStyleRowBandSize w:val="1"/>
      <w:tblStyleColBandSize w:val="1"/>
      <w:tblInd w:w="0" w:type="dxa"/>
      <w:tblBorders>
        <w:top w:val="single" w:sz="8" w:space="0" w:color="3F58A8"/>
        <w:left w:val="single" w:sz="8" w:space="0" w:color="3F58A8"/>
        <w:bottom w:val="single" w:sz="8" w:space="0" w:color="3F58A8"/>
        <w:right w:val="single" w:sz="8" w:space="0" w:color="3F58A8"/>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3F58A8"/>
      </w:tcPr>
    </w:tblStylePr>
    <w:tblStylePr w:type="lastRow">
      <w:pPr>
        <w:spacing w:before="0" w:after="0" w:line="240" w:lineRule="auto"/>
      </w:pPr>
      <w:rPr>
        <w:b/>
        <w:bCs/>
      </w:rPr>
      <w:tblPr/>
      <w:tcPr>
        <w:tcBorders>
          <w:top w:val="double" w:sz="6" w:space="0" w:color="3F58A8"/>
          <w:left w:val="single" w:sz="8" w:space="0" w:color="3F58A8"/>
          <w:bottom w:val="single" w:sz="8" w:space="0" w:color="3F58A8"/>
          <w:right w:val="single" w:sz="8" w:space="0" w:color="3F58A8"/>
        </w:tcBorders>
      </w:tcPr>
    </w:tblStylePr>
    <w:tblStylePr w:type="firstCol">
      <w:rPr>
        <w:b/>
        <w:bCs/>
      </w:rPr>
    </w:tblStylePr>
    <w:tblStylePr w:type="lastCol">
      <w:rPr>
        <w:b/>
        <w:bCs/>
      </w:rPr>
    </w:tblStylePr>
    <w:tblStylePr w:type="band1Vert">
      <w:tblPr/>
      <w:tcPr>
        <w:tcBorders>
          <w:top w:val="single" w:sz="8" w:space="0" w:color="3F58A8"/>
          <w:left w:val="single" w:sz="8" w:space="0" w:color="3F58A8"/>
          <w:bottom w:val="single" w:sz="8" w:space="0" w:color="3F58A8"/>
          <w:right w:val="single" w:sz="8" w:space="0" w:color="3F58A8"/>
        </w:tcBorders>
      </w:tcPr>
    </w:tblStylePr>
    <w:tblStylePr w:type="band1Horz">
      <w:tblPr/>
      <w:tcPr>
        <w:tcBorders>
          <w:top w:val="single" w:sz="8" w:space="0" w:color="3F58A8"/>
          <w:left w:val="single" w:sz="8" w:space="0" w:color="3F58A8"/>
          <w:bottom w:val="single" w:sz="8" w:space="0" w:color="3F58A8"/>
          <w:right w:val="single" w:sz="8" w:space="0" w:color="3F58A8"/>
        </w:tcBorders>
      </w:tcPr>
    </w:tblStylePr>
  </w:style>
  <w:style w:type="table" w:customStyle="1" w:styleId="SPRC1">
    <w:name w:val="SPRC1"/>
    <w:basedOn w:val="TableNormal"/>
    <w:uiPriority w:val="99"/>
    <w:rsid w:val="008861DE"/>
    <w:rPr>
      <w:rFonts w:ascii="Helvetica" w:hAnsi="Helvetica"/>
      <w:sz w:val="24"/>
    </w:rPr>
    <w:tblPr>
      <w:tblInd w:w="0" w:type="dxa"/>
      <w:tblBorders>
        <w:top w:val="single" w:sz="8" w:space="0" w:color="auto"/>
        <w:left w:val="single" w:sz="8" w:space="0" w:color="auto"/>
        <w:bottom w:val="single" w:sz="8" w:space="0" w:color="auto"/>
        <w:right w:val="single" w:sz="8" w:space="0" w:color="auto"/>
      </w:tblBorders>
      <w:tblCellMar>
        <w:top w:w="0" w:type="dxa"/>
        <w:left w:w="108" w:type="dxa"/>
        <w:bottom w:w="0" w:type="dxa"/>
        <w:right w:w="108" w:type="dxa"/>
      </w:tblCellMar>
    </w:tblPr>
    <w:tblStylePr w:type="firstRow">
      <w:rPr>
        <w:rFonts w:ascii="Helvetica" w:hAnsi="Helvetica"/>
        <w:b w:val="0"/>
        <w:i w:val="0"/>
        <w:color w:val="auto"/>
        <w:sz w:val="24"/>
        <w:u w:val="none"/>
      </w:rPr>
    </w:tblStylePr>
  </w:style>
  <w:style w:type="table" w:customStyle="1" w:styleId="SPRCtables1">
    <w:name w:val="SPRC tables1"/>
    <w:basedOn w:val="ColorfulGrid-Accent6"/>
    <w:uiPriority w:val="99"/>
    <w:qFormat/>
    <w:rsid w:val="008861DE"/>
    <w:tblPr>
      <w:tblStyleRowBandSize w:val="1"/>
      <w:tblStyleColBandSize w:val="1"/>
      <w:tblInd w:w="0" w:type="dxa"/>
      <w:tblBorders>
        <w:top w:val="single" w:sz="6" w:space="0" w:color="D1D9EE"/>
        <w:bottom w:val="single" w:sz="6" w:space="0" w:color="D1D9EE"/>
        <w:insideH w:val="single" w:sz="6" w:space="0" w:color="D1D9EE"/>
      </w:tblBorders>
      <w:tblCellMar>
        <w:top w:w="0" w:type="dxa"/>
        <w:left w:w="108" w:type="dxa"/>
        <w:bottom w:w="0" w:type="dxa"/>
        <w:right w:w="108" w:type="dxa"/>
      </w:tblCellMar>
    </w:tblPr>
    <w:tcPr>
      <w:shd w:val="clear" w:color="auto" w:fill="3F58A8"/>
    </w:tcPr>
    <w:tblStylePr w:type="firstRow">
      <w:rPr>
        <w:b/>
        <w:bCs/>
      </w:rPr>
      <w:tblPr/>
      <w:tcPr>
        <w:shd w:val="clear" w:color="auto" w:fill="FA7DA3"/>
      </w:tcPr>
    </w:tblStylePr>
    <w:tblStylePr w:type="lastRow">
      <w:rPr>
        <w:b/>
        <w:bCs/>
        <w:color w:val="000000"/>
      </w:rPr>
      <w:tblPr/>
      <w:tcPr>
        <w:shd w:val="clear" w:color="auto" w:fill="FA7DA3"/>
      </w:tcPr>
    </w:tblStylePr>
    <w:tblStylePr w:type="firstCol">
      <w:rPr>
        <w:color w:val="FFFFFF"/>
      </w:rPr>
      <w:tblPr/>
      <w:tcPr>
        <w:shd w:val="clear" w:color="auto" w:fill="7F0429"/>
      </w:tcPr>
    </w:tblStylePr>
    <w:tblStylePr w:type="lastCol">
      <w:rPr>
        <w:color w:val="FFFFFF"/>
      </w:rPr>
      <w:tblPr/>
      <w:tcPr>
        <w:shd w:val="clear" w:color="auto" w:fill="7F0429"/>
      </w:tcPr>
    </w:tblStylePr>
    <w:tblStylePr w:type="band1Vert">
      <w:tblPr/>
      <w:tcPr>
        <w:shd w:val="clear" w:color="auto" w:fill="F95E8C"/>
      </w:tcPr>
    </w:tblStylePr>
    <w:tblStylePr w:type="band1Horz">
      <w:tblPr/>
      <w:tcPr>
        <w:shd w:val="clear" w:color="auto" w:fill="F95E8C"/>
      </w:tcPr>
    </w:tblStylePr>
  </w:style>
  <w:style w:type="table" w:customStyle="1" w:styleId="MediumShading2-Accent21">
    <w:name w:val="Medium Shading 2 - Accent 21"/>
    <w:basedOn w:val="TableNormal"/>
    <w:next w:val="MediumShading2-Accent2"/>
    <w:uiPriority w:val="64"/>
    <w:rsid w:val="008861DE"/>
    <w:rPr>
      <w:rFonts w:ascii="Verdana" w:hAnsi="Verdana"/>
      <w:color w:val="FFFFFF"/>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F58A8"/>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F58A8"/>
      </w:tcPr>
    </w:tblStylePr>
    <w:tblStylePr w:type="lastCol">
      <w:rPr>
        <w:b/>
        <w:bCs/>
        <w:color w:val="FFFFFF"/>
      </w:rPr>
      <w:tblPr/>
      <w:tcPr>
        <w:tcBorders>
          <w:left w:val="nil"/>
          <w:right w:val="nil"/>
          <w:insideH w:val="nil"/>
          <w:insideV w:val="nil"/>
        </w:tcBorders>
        <w:shd w:val="clear" w:color="auto" w:fill="3F58A8"/>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Accent61">
    <w:name w:val="Colorful Grid - Accent 61"/>
    <w:basedOn w:val="TableNormal"/>
    <w:next w:val="ColorfulGrid-Accent6"/>
    <w:uiPriority w:val="73"/>
    <w:rsid w:val="008861D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CBED1"/>
    </w:tcPr>
    <w:tblStylePr w:type="firstRow">
      <w:rPr>
        <w:b/>
        <w:bCs/>
      </w:rPr>
      <w:tblPr/>
      <w:tcPr>
        <w:shd w:val="clear" w:color="auto" w:fill="FA7DA3"/>
      </w:tcPr>
    </w:tblStylePr>
    <w:tblStylePr w:type="lastRow">
      <w:rPr>
        <w:b/>
        <w:bCs/>
        <w:color w:val="000000"/>
      </w:rPr>
      <w:tblPr/>
      <w:tcPr>
        <w:shd w:val="clear" w:color="auto" w:fill="FA7DA3"/>
      </w:tcPr>
    </w:tblStylePr>
    <w:tblStylePr w:type="firstCol">
      <w:rPr>
        <w:color w:val="FFFFFF"/>
      </w:rPr>
      <w:tblPr/>
      <w:tcPr>
        <w:shd w:val="clear" w:color="auto" w:fill="7F0429"/>
      </w:tcPr>
    </w:tblStylePr>
    <w:tblStylePr w:type="lastCol">
      <w:rPr>
        <w:color w:val="FFFFFF"/>
      </w:rPr>
      <w:tblPr/>
      <w:tcPr>
        <w:shd w:val="clear" w:color="auto" w:fill="7F0429"/>
      </w:tcPr>
    </w:tblStylePr>
    <w:tblStylePr w:type="band1Vert">
      <w:tblPr/>
      <w:tcPr>
        <w:shd w:val="clear" w:color="auto" w:fill="F95E8C"/>
      </w:tcPr>
    </w:tblStylePr>
    <w:tblStylePr w:type="band1Horz">
      <w:tblPr/>
      <w:tcPr>
        <w:shd w:val="clear" w:color="auto" w:fill="F95E8C"/>
      </w:tcPr>
    </w:tblStylePr>
  </w:style>
  <w:style w:type="table" w:customStyle="1" w:styleId="DarkList-Accent61">
    <w:name w:val="Dark List - Accent 61"/>
    <w:basedOn w:val="TableNormal"/>
    <w:next w:val="DarkList-Accent6"/>
    <w:uiPriority w:val="70"/>
    <w:rsid w:val="008861DE"/>
    <w:rPr>
      <w:color w:val="FFFFFF"/>
    </w:rPr>
    <w:tblPr>
      <w:tblStyleRowBandSize w:val="1"/>
      <w:tblStyleColBandSize w:val="1"/>
      <w:tblInd w:w="0" w:type="dxa"/>
      <w:tblCellMar>
        <w:top w:w="0" w:type="dxa"/>
        <w:left w:w="108" w:type="dxa"/>
        <w:bottom w:w="0" w:type="dxa"/>
        <w:right w:w="108" w:type="dxa"/>
      </w:tblCellMar>
    </w:tblPr>
    <w:tcPr>
      <w:shd w:val="clear" w:color="auto" w:fill="AA063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4031B"/>
      </w:tcPr>
    </w:tblStylePr>
    <w:tblStylePr w:type="firstCol">
      <w:tblPr/>
      <w:tcPr>
        <w:tcBorders>
          <w:top w:val="nil"/>
          <w:left w:val="nil"/>
          <w:bottom w:val="nil"/>
          <w:right w:val="single" w:sz="18" w:space="0" w:color="FFFFFF"/>
          <w:insideH w:val="nil"/>
          <w:insideV w:val="nil"/>
        </w:tcBorders>
        <w:shd w:val="clear" w:color="auto" w:fill="7F0429"/>
      </w:tcPr>
    </w:tblStylePr>
    <w:tblStylePr w:type="lastCol">
      <w:tblPr/>
      <w:tcPr>
        <w:tcBorders>
          <w:top w:val="nil"/>
          <w:left w:val="single" w:sz="18" w:space="0" w:color="FFFFFF"/>
          <w:bottom w:val="nil"/>
          <w:right w:val="nil"/>
          <w:insideH w:val="nil"/>
          <w:insideV w:val="nil"/>
        </w:tcBorders>
        <w:shd w:val="clear" w:color="auto" w:fill="7F0429"/>
      </w:tcPr>
    </w:tblStylePr>
    <w:tblStylePr w:type="band1Vert">
      <w:tblPr/>
      <w:tcPr>
        <w:tcBorders>
          <w:top w:val="nil"/>
          <w:left w:val="nil"/>
          <w:bottom w:val="nil"/>
          <w:right w:val="nil"/>
          <w:insideH w:val="nil"/>
          <w:insideV w:val="nil"/>
        </w:tcBorders>
        <w:shd w:val="clear" w:color="auto" w:fill="7F0429"/>
      </w:tcPr>
    </w:tblStylePr>
    <w:tblStylePr w:type="band1Horz">
      <w:tblPr/>
      <w:tcPr>
        <w:tcBorders>
          <w:top w:val="nil"/>
          <w:left w:val="nil"/>
          <w:bottom w:val="nil"/>
          <w:right w:val="nil"/>
          <w:insideH w:val="nil"/>
          <w:insideV w:val="nil"/>
        </w:tcBorders>
        <w:shd w:val="clear" w:color="auto" w:fill="7F0429"/>
      </w:tcPr>
    </w:tblStylePr>
  </w:style>
  <w:style w:type="table" w:customStyle="1" w:styleId="MediumShading1-Accent31">
    <w:name w:val="Medium Shading 1 - Accent 31"/>
    <w:basedOn w:val="TableNormal"/>
    <w:next w:val="MediumShading1-Accent3"/>
    <w:uiPriority w:val="63"/>
    <w:rsid w:val="008861DE"/>
    <w:tblPr>
      <w:tblStyleRowBandSize w:val="1"/>
      <w:tblStyleColBandSize w:val="1"/>
      <w:tblInd w:w="0" w:type="dxa"/>
      <w:tblBorders>
        <w:top w:val="single" w:sz="8" w:space="0" w:color="auto"/>
        <w:bottom w:val="single" w:sz="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D5DDF0"/>
          <w:left w:val="single" w:sz="8" w:space="0" w:color="D5DDF0"/>
          <w:bottom w:val="single" w:sz="8" w:space="0" w:color="D5DDF0"/>
          <w:right w:val="single" w:sz="8" w:space="0" w:color="D5DDF0"/>
          <w:insideH w:val="nil"/>
          <w:insideV w:val="nil"/>
        </w:tcBorders>
        <w:shd w:val="clear" w:color="auto" w:fill="C8D2EB"/>
      </w:tcPr>
    </w:tblStylePr>
    <w:tblStylePr w:type="lastRow">
      <w:pPr>
        <w:spacing w:before="0" w:after="0" w:line="240" w:lineRule="auto"/>
      </w:pPr>
      <w:rPr>
        <w:b/>
        <w:bCs/>
      </w:rPr>
      <w:tblPr/>
      <w:tcPr>
        <w:tcBorders>
          <w:top w:val="double" w:sz="6" w:space="0" w:color="D5DDF0"/>
          <w:left w:val="single" w:sz="8" w:space="0" w:color="D5DDF0"/>
          <w:bottom w:val="single" w:sz="8" w:space="0" w:color="D5DDF0"/>
          <w:right w:val="single" w:sz="8" w:space="0" w:color="D5DDF0"/>
          <w:insideH w:val="nil"/>
          <w:insideV w:val="nil"/>
        </w:tcBorders>
      </w:tcPr>
    </w:tblStylePr>
    <w:tblStylePr w:type="firstCol">
      <w:rPr>
        <w:b/>
        <w:bCs/>
      </w:rPr>
    </w:tblStylePr>
    <w:tblStylePr w:type="lastCol">
      <w:rPr>
        <w:b/>
        <w:bCs/>
      </w:rPr>
    </w:tblStylePr>
    <w:tblStylePr w:type="band1Vert">
      <w:tblPr/>
      <w:tcPr>
        <w:shd w:val="clear" w:color="auto" w:fill="F1F3FA"/>
      </w:tcPr>
    </w:tblStylePr>
    <w:tblStylePr w:type="band1Horz">
      <w:tblPr/>
      <w:tcPr>
        <w:tcBorders>
          <w:insideH w:val="nil"/>
          <w:insideV w:val="nil"/>
        </w:tcBorders>
        <w:shd w:val="clear" w:color="auto" w:fill="F1F3FA"/>
      </w:tcPr>
    </w:tblStylePr>
    <w:tblStylePr w:type="band2Horz">
      <w:tblPr/>
      <w:tcPr>
        <w:tcBorders>
          <w:insideH w:val="nil"/>
          <w:insideV w:val="nil"/>
        </w:tcBorders>
      </w:tcPr>
    </w:tblStylePr>
  </w:style>
  <w:style w:type="table" w:customStyle="1" w:styleId="SPRCReporttablefinal1">
    <w:name w:val="SPRC Report table final1"/>
    <w:basedOn w:val="ColorfulShading-Accent1"/>
    <w:uiPriority w:val="99"/>
    <w:qFormat/>
    <w:rsid w:val="008861DE"/>
    <w:rPr>
      <w:rFonts w:ascii="Sommet" w:hAnsi="Sommet"/>
      <w:sz w:val="24"/>
      <w:szCs w:val="20"/>
    </w:rPr>
    <w:tblPr>
      <w:tblStyleRowBandSize w:val="1"/>
      <w:tblStyleColBandSize w:val="1"/>
      <w:tblInd w:w="0" w:type="dxa"/>
      <w:tblBorders>
        <w:left w:val="single" w:sz="4" w:space="0" w:color="263C88"/>
        <w:right w:val="single" w:sz="4" w:space="0" w:color="263C88"/>
        <w:insideH w:val="single" w:sz="4" w:space="0" w:color="FFFFFF"/>
        <w:insideV w:val="single" w:sz="4" w:space="0" w:color="FFFFFF"/>
      </w:tblBorders>
      <w:tblCellMar>
        <w:top w:w="0" w:type="dxa"/>
        <w:left w:w="108" w:type="dxa"/>
        <w:bottom w:w="0" w:type="dxa"/>
        <w:right w:w="108" w:type="dxa"/>
      </w:tblCellMar>
    </w:tblPr>
    <w:tcPr>
      <w:shd w:val="clear" w:color="auto" w:fill="E5E9F7"/>
    </w:tcPr>
    <w:tblStylePr w:type="firstRow">
      <w:rPr>
        <w:b/>
        <w:bCs/>
      </w:rPr>
      <w:tblPr/>
      <w:tcPr>
        <w:tcBorders>
          <w:top w:val="nil"/>
          <w:left w:val="nil"/>
          <w:bottom w:val="single" w:sz="24" w:space="0" w:color="3F58A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62351"/>
      </w:tcPr>
    </w:tblStylePr>
    <w:tblStylePr w:type="firstCol">
      <w:rPr>
        <w:color w:val="FFFFFF"/>
      </w:rPr>
      <w:tblPr/>
      <w:tcPr>
        <w:tcBorders>
          <w:top w:val="nil"/>
          <w:left w:val="nil"/>
          <w:bottom w:val="nil"/>
          <w:right w:val="nil"/>
          <w:insideH w:val="single" w:sz="4" w:space="0" w:color="162351"/>
          <w:insideV w:val="nil"/>
        </w:tcBorders>
        <w:shd w:val="clear" w:color="auto" w:fill="162351"/>
      </w:tcPr>
    </w:tblStylePr>
    <w:tblStylePr w:type="lastCol">
      <w:rPr>
        <w:color w:val="FFFFFF"/>
      </w:rPr>
      <w:tblPr/>
      <w:tcPr>
        <w:tcBorders>
          <w:top w:val="nil"/>
          <w:left w:val="nil"/>
          <w:bottom w:val="nil"/>
          <w:right w:val="nil"/>
          <w:insideH w:val="nil"/>
          <w:insideV w:val="nil"/>
        </w:tcBorders>
        <w:shd w:val="clear" w:color="auto" w:fill="162351"/>
      </w:tcPr>
    </w:tblStylePr>
    <w:tblStylePr w:type="band1Vert">
      <w:tblPr/>
      <w:tcPr>
        <w:shd w:val="clear" w:color="auto" w:fill="95A6E1"/>
      </w:tcPr>
    </w:tblStylePr>
    <w:tblStylePr w:type="band1Horz">
      <w:tblPr/>
      <w:tcPr>
        <w:shd w:val="clear" w:color="auto" w:fill="7B90DA"/>
      </w:tcPr>
    </w:tblStylePr>
    <w:tblStylePr w:type="neCell">
      <w:rPr>
        <w:color w:val="000000"/>
      </w:rPr>
    </w:tblStylePr>
    <w:tblStylePr w:type="nwCell">
      <w:rPr>
        <w:color w:val="000000"/>
      </w:rPr>
    </w:tblStylePr>
  </w:style>
  <w:style w:type="table" w:customStyle="1" w:styleId="ColorfulShading-Accent11">
    <w:name w:val="Colorful Shading - Accent 11"/>
    <w:basedOn w:val="TableNormal"/>
    <w:next w:val="ColorfulShading-Accent1"/>
    <w:uiPriority w:val="71"/>
    <w:rsid w:val="008861DE"/>
    <w:rPr>
      <w:color w:val="000000"/>
    </w:rPr>
    <w:tblPr>
      <w:tblStyleRowBandSize w:val="1"/>
      <w:tblStyleColBandSize w:val="1"/>
      <w:tblInd w:w="0" w:type="dxa"/>
      <w:tblBorders>
        <w:top w:val="single" w:sz="24" w:space="0" w:color="3F58A8"/>
        <w:left w:val="single" w:sz="4" w:space="0" w:color="263C88"/>
        <w:bottom w:val="single" w:sz="4" w:space="0" w:color="263C88"/>
        <w:right w:val="single" w:sz="4" w:space="0" w:color="263C88"/>
        <w:insideH w:val="single" w:sz="4" w:space="0" w:color="FFFFFF"/>
        <w:insideV w:val="single" w:sz="4" w:space="0" w:color="FFFFFF"/>
      </w:tblBorders>
      <w:tblCellMar>
        <w:top w:w="0" w:type="dxa"/>
        <w:left w:w="108" w:type="dxa"/>
        <w:bottom w:w="0" w:type="dxa"/>
        <w:right w:w="108" w:type="dxa"/>
      </w:tblCellMar>
    </w:tblPr>
    <w:tcPr>
      <w:shd w:val="clear" w:color="auto" w:fill="E5E9F7"/>
    </w:tcPr>
    <w:tblStylePr w:type="firstRow">
      <w:rPr>
        <w:b/>
        <w:bCs/>
      </w:rPr>
      <w:tblPr/>
      <w:tcPr>
        <w:tcBorders>
          <w:top w:val="nil"/>
          <w:left w:val="nil"/>
          <w:bottom w:val="single" w:sz="24" w:space="0" w:color="3F58A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62351"/>
      </w:tcPr>
    </w:tblStylePr>
    <w:tblStylePr w:type="firstCol">
      <w:rPr>
        <w:color w:val="FFFFFF"/>
      </w:rPr>
      <w:tblPr/>
      <w:tcPr>
        <w:tcBorders>
          <w:top w:val="nil"/>
          <w:left w:val="nil"/>
          <w:bottom w:val="nil"/>
          <w:right w:val="nil"/>
          <w:insideH w:val="single" w:sz="4" w:space="0" w:color="162351"/>
          <w:insideV w:val="nil"/>
        </w:tcBorders>
        <w:shd w:val="clear" w:color="auto" w:fill="162351"/>
      </w:tcPr>
    </w:tblStylePr>
    <w:tblStylePr w:type="lastCol">
      <w:rPr>
        <w:color w:val="FFFFFF"/>
      </w:rPr>
      <w:tblPr/>
      <w:tcPr>
        <w:tcBorders>
          <w:top w:val="nil"/>
          <w:left w:val="nil"/>
          <w:bottom w:val="nil"/>
          <w:right w:val="nil"/>
          <w:insideH w:val="nil"/>
          <w:insideV w:val="nil"/>
        </w:tcBorders>
        <w:shd w:val="clear" w:color="auto" w:fill="162351"/>
      </w:tcPr>
    </w:tblStylePr>
    <w:tblStylePr w:type="band1Vert">
      <w:tblPr/>
      <w:tcPr>
        <w:shd w:val="clear" w:color="auto" w:fill="95A6E1"/>
      </w:tcPr>
    </w:tblStylePr>
    <w:tblStylePr w:type="band1Horz">
      <w:tblPr/>
      <w:tcPr>
        <w:shd w:val="clear" w:color="auto" w:fill="7B90DA"/>
      </w:tcPr>
    </w:tblStylePr>
    <w:tblStylePr w:type="neCell">
      <w:rPr>
        <w:color w:val="000000"/>
      </w:rPr>
    </w:tblStylePr>
    <w:tblStylePr w:type="nwCell">
      <w:rPr>
        <w:color w:val="000000"/>
      </w:rPr>
    </w:tblStylePr>
  </w:style>
  <w:style w:type="table" w:customStyle="1" w:styleId="LightShading-Accent41">
    <w:name w:val="Light Shading - Accent 41"/>
    <w:basedOn w:val="TableNormal"/>
    <w:next w:val="LightShading-Accent4"/>
    <w:uiPriority w:val="60"/>
    <w:rsid w:val="008861DE"/>
    <w:rPr>
      <w:color w:val="7E95CF"/>
    </w:rPr>
    <w:tblPr>
      <w:tblStyleRowBandSize w:val="1"/>
      <w:tblStyleColBandSize w:val="1"/>
      <w:tblInd w:w="0" w:type="dxa"/>
      <w:tblBorders>
        <w:top w:val="single" w:sz="8" w:space="0" w:color="D1D9EE"/>
        <w:bottom w:val="single" w:sz="8" w:space="0" w:color="D1D9EE"/>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1D9EE"/>
          <w:left w:val="nil"/>
          <w:bottom w:val="single" w:sz="8" w:space="0" w:color="D1D9EE"/>
          <w:right w:val="nil"/>
          <w:insideH w:val="nil"/>
          <w:insideV w:val="nil"/>
        </w:tcBorders>
      </w:tcPr>
    </w:tblStylePr>
    <w:tblStylePr w:type="lastRow">
      <w:pPr>
        <w:spacing w:before="0" w:after="0" w:line="240" w:lineRule="auto"/>
      </w:pPr>
      <w:rPr>
        <w:b/>
        <w:bCs/>
      </w:rPr>
      <w:tblPr/>
      <w:tcPr>
        <w:tcBorders>
          <w:top w:val="single" w:sz="8" w:space="0" w:color="D1D9EE"/>
          <w:left w:val="nil"/>
          <w:bottom w:val="single" w:sz="8" w:space="0" w:color="D1D9E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5FA"/>
      </w:tcPr>
    </w:tblStylePr>
    <w:tblStylePr w:type="band1Horz">
      <w:tblPr/>
      <w:tcPr>
        <w:tcBorders>
          <w:left w:val="nil"/>
          <w:right w:val="nil"/>
          <w:insideH w:val="nil"/>
          <w:insideV w:val="nil"/>
        </w:tcBorders>
        <w:shd w:val="clear" w:color="auto" w:fill="F3F5FA"/>
      </w:tcPr>
    </w:tblStylePr>
  </w:style>
  <w:style w:type="table" w:customStyle="1" w:styleId="SPRCtablev11">
    <w:name w:val="SPRC table v11"/>
    <w:basedOn w:val="TableNormal"/>
    <w:uiPriority w:val="99"/>
    <w:qFormat/>
    <w:rsid w:val="008861DE"/>
    <w:rPr>
      <w:rFonts w:ascii="Helvetica" w:hAnsi="Helvetica"/>
      <w:sz w:val="24"/>
    </w:rPr>
    <w:tblPr>
      <w:tblInd w:w="0" w:type="dxa"/>
      <w:tblCellMar>
        <w:top w:w="0" w:type="dxa"/>
        <w:left w:w="108" w:type="dxa"/>
        <w:bottom w:w="0" w:type="dxa"/>
        <w:right w:w="108" w:type="dxa"/>
      </w:tblCellMar>
    </w:tblPr>
  </w:style>
  <w:style w:type="table" w:customStyle="1" w:styleId="TableGrid11">
    <w:name w:val="Table Grid11"/>
    <w:basedOn w:val="TableNormal"/>
    <w:next w:val="TableGrid"/>
    <w:uiPriority w:val="59"/>
    <w:rsid w:val="008861DE"/>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PRC-docs-style1">
    <w:name w:val="SPRC-docs-style1"/>
    <w:uiPriority w:val="99"/>
    <w:rsid w:val="008861DE"/>
  </w:style>
  <w:style w:type="paragraph" w:customStyle="1" w:styleId="braytabletext">
    <w:name w:val="bray table text"/>
    <w:basedOn w:val="Normal"/>
    <w:rsid w:val="008E5400"/>
    <w:pPr>
      <w:keepNext/>
      <w:keepLines/>
      <w:spacing w:after="60" w:line="240" w:lineRule="auto"/>
      <w:ind w:left="0"/>
      <w:jc w:val="left"/>
    </w:pPr>
    <w:rPr>
      <w:rFonts w:cs="Arial"/>
      <w:color w:val="000000"/>
      <w:sz w:val="16"/>
      <w:szCs w:val="18"/>
      <w:lang w:eastAsia="en-AU" w:bidi="ar-SA"/>
    </w:rPr>
  </w:style>
  <w:style w:type="paragraph" w:customStyle="1" w:styleId="boxtext">
    <w:name w:val="box text"/>
    <w:basedOn w:val="BodyText"/>
    <w:rsid w:val="008861DE"/>
    <w:pPr>
      <w:ind w:left="0"/>
      <w:jc w:val="left"/>
    </w:pPr>
    <w:rPr>
      <w:lang w:eastAsia="en-US"/>
    </w:rPr>
  </w:style>
  <w:style w:type="paragraph" w:customStyle="1" w:styleId="miniquote">
    <w:name w:val="mini quote"/>
    <w:basedOn w:val="Normal"/>
    <w:rsid w:val="00911315"/>
    <w:pPr>
      <w:keepNext/>
      <w:spacing w:after="120"/>
      <w:ind w:left="2325"/>
      <w:jc w:val="left"/>
    </w:pPr>
    <w:rPr>
      <w:i/>
      <w:iCs/>
    </w:rPr>
  </w:style>
  <w:style w:type="paragraph" w:customStyle="1" w:styleId="mininame">
    <w:name w:val="mini name"/>
    <w:basedOn w:val="Normal"/>
    <w:rsid w:val="00911315"/>
    <w:pPr>
      <w:spacing w:line="240" w:lineRule="auto"/>
      <w:jc w:val="right"/>
    </w:pPr>
    <w:rPr>
      <w:sz w:val="18"/>
    </w:rPr>
  </w:style>
  <w:style w:type="numbering" w:customStyle="1" w:styleId="NoList2">
    <w:name w:val="No List2"/>
    <w:next w:val="NoList"/>
    <w:uiPriority w:val="99"/>
    <w:semiHidden/>
    <w:unhideWhenUsed/>
    <w:rsid w:val="004A2744"/>
  </w:style>
  <w:style w:type="table" w:customStyle="1" w:styleId="TableGrid3">
    <w:name w:val="Table Grid3"/>
    <w:basedOn w:val="TableNormal"/>
    <w:next w:val="TableGrid"/>
    <w:uiPriority w:val="59"/>
    <w:rsid w:val="004A274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yle12">
    <w:name w:val="Style12"/>
    <w:uiPriority w:val="99"/>
    <w:rsid w:val="004A2744"/>
    <w:pPr>
      <w:keepLines/>
      <w:spacing w:after="160" w:line="288" w:lineRule="auto"/>
      <w:ind w:left="2160"/>
    </w:pPr>
    <w:rPr>
      <w:lang w:val="en-US" w:eastAsia="zh-CN" w:bidi="en-US"/>
    </w:rPr>
    <w:tblPr>
      <w:tblInd w:w="0" w:type="dxa"/>
      <w:tblBorders>
        <w:top w:val="single" w:sz="4" w:space="0" w:color="auto"/>
        <w:bottom w:val="single" w:sz="4" w:space="0" w:color="auto"/>
      </w:tblBorders>
      <w:tblCellMar>
        <w:top w:w="0" w:type="dxa"/>
        <w:left w:w="108" w:type="dxa"/>
        <w:bottom w:w="0" w:type="dxa"/>
        <w:right w:w="108" w:type="dxa"/>
      </w:tblCellMar>
    </w:tblPr>
  </w:style>
  <w:style w:type="table" w:customStyle="1" w:styleId="LightList-Accent112">
    <w:name w:val="Light List - Accent 112"/>
    <w:basedOn w:val="TableNormal"/>
    <w:uiPriority w:val="61"/>
    <w:rsid w:val="004A2744"/>
    <w:tblPr>
      <w:tblStyleRowBandSize w:val="1"/>
      <w:tblStyleColBandSize w:val="1"/>
      <w:tblInd w:w="0" w:type="dxa"/>
      <w:tblBorders>
        <w:top w:val="single" w:sz="8" w:space="0" w:color="263C88"/>
        <w:left w:val="single" w:sz="8" w:space="0" w:color="263C88"/>
        <w:bottom w:val="single" w:sz="8" w:space="0" w:color="263C88"/>
        <w:right w:val="single" w:sz="8" w:space="0" w:color="263C88"/>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263C88"/>
      </w:tcPr>
    </w:tblStylePr>
    <w:tblStylePr w:type="lastRow">
      <w:pPr>
        <w:spacing w:before="0" w:after="0" w:line="240" w:lineRule="auto"/>
      </w:pPr>
      <w:rPr>
        <w:b/>
        <w:bCs/>
      </w:rPr>
      <w:tblPr/>
      <w:tcPr>
        <w:tcBorders>
          <w:top w:val="double" w:sz="6" w:space="0" w:color="263C88"/>
          <w:left w:val="single" w:sz="8" w:space="0" w:color="263C88"/>
          <w:bottom w:val="single" w:sz="8" w:space="0" w:color="263C88"/>
          <w:right w:val="single" w:sz="8" w:space="0" w:color="263C88"/>
        </w:tcBorders>
      </w:tcPr>
    </w:tblStylePr>
    <w:tblStylePr w:type="firstCol">
      <w:rPr>
        <w:b/>
        <w:bCs/>
      </w:rPr>
    </w:tblStylePr>
    <w:tblStylePr w:type="lastCol">
      <w:rPr>
        <w:b/>
        <w:bCs/>
      </w:rPr>
    </w:tblStylePr>
    <w:tblStylePr w:type="band1Vert">
      <w:tblPr/>
      <w:tcPr>
        <w:tcBorders>
          <w:top w:val="single" w:sz="8" w:space="0" w:color="263C88"/>
          <w:left w:val="single" w:sz="8" w:space="0" w:color="263C88"/>
          <w:bottom w:val="single" w:sz="8" w:space="0" w:color="263C88"/>
          <w:right w:val="single" w:sz="8" w:space="0" w:color="263C88"/>
        </w:tcBorders>
      </w:tcPr>
    </w:tblStylePr>
    <w:tblStylePr w:type="band1Horz">
      <w:tblPr/>
      <w:tcPr>
        <w:tcBorders>
          <w:top w:val="single" w:sz="8" w:space="0" w:color="263C88"/>
          <w:left w:val="single" w:sz="8" w:space="0" w:color="263C88"/>
          <w:bottom w:val="single" w:sz="8" w:space="0" w:color="263C88"/>
          <w:right w:val="single" w:sz="8" w:space="0" w:color="263C88"/>
        </w:tcBorders>
      </w:tcPr>
    </w:tblStylePr>
  </w:style>
  <w:style w:type="table" w:customStyle="1" w:styleId="LightList-Accent22">
    <w:name w:val="Light List - Accent 22"/>
    <w:basedOn w:val="TableNormal"/>
    <w:next w:val="LightList-Accent2"/>
    <w:uiPriority w:val="61"/>
    <w:rsid w:val="004A2744"/>
    <w:tblPr>
      <w:tblStyleRowBandSize w:val="1"/>
      <w:tblStyleColBandSize w:val="1"/>
      <w:tblInd w:w="0" w:type="dxa"/>
      <w:tblBorders>
        <w:top w:val="single" w:sz="8" w:space="0" w:color="3F58A8"/>
        <w:left w:val="single" w:sz="8" w:space="0" w:color="3F58A8"/>
        <w:bottom w:val="single" w:sz="8" w:space="0" w:color="3F58A8"/>
        <w:right w:val="single" w:sz="8" w:space="0" w:color="3F58A8"/>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3F58A8"/>
      </w:tcPr>
    </w:tblStylePr>
    <w:tblStylePr w:type="lastRow">
      <w:pPr>
        <w:spacing w:before="0" w:after="0" w:line="240" w:lineRule="auto"/>
      </w:pPr>
      <w:rPr>
        <w:b/>
        <w:bCs/>
      </w:rPr>
      <w:tblPr/>
      <w:tcPr>
        <w:tcBorders>
          <w:top w:val="double" w:sz="6" w:space="0" w:color="3F58A8"/>
          <w:left w:val="single" w:sz="8" w:space="0" w:color="3F58A8"/>
          <w:bottom w:val="single" w:sz="8" w:space="0" w:color="3F58A8"/>
          <w:right w:val="single" w:sz="8" w:space="0" w:color="3F58A8"/>
        </w:tcBorders>
      </w:tcPr>
    </w:tblStylePr>
    <w:tblStylePr w:type="firstCol">
      <w:rPr>
        <w:b/>
        <w:bCs/>
      </w:rPr>
    </w:tblStylePr>
    <w:tblStylePr w:type="lastCol">
      <w:rPr>
        <w:b/>
        <w:bCs/>
      </w:rPr>
    </w:tblStylePr>
    <w:tblStylePr w:type="band1Vert">
      <w:tblPr/>
      <w:tcPr>
        <w:tcBorders>
          <w:top w:val="single" w:sz="8" w:space="0" w:color="3F58A8"/>
          <w:left w:val="single" w:sz="8" w:space="0" w:color="3F58A8"/>
          <w:bottom w:val="single" w:sz="8" w:space="0" w:color="3F58A8"/>
          <w:right w:val="single" w:sz="8" w:space="0" w:color="3F58A8"/>
        </w:tcBorders>
      </w:tcPr>
    </w:tblStylePr>
    <w:tblStylePr w:type="band1Horz">
      <w:tblPr/>
      <w:tcPr>
        <w:tcBorders>
          <w:top w:val="single" w:sz="8" w:space="0" w:color="3F58A8"/>
          <w:left w:val="single" w:sz="8" w:space="0" w:color="3F58A8"/>
          <w:bottom w:val="single" w:sz="8" w:space="0" w:color="3F58A8"/>
          <w:right w:val="single" w:sz="8" w:space="0" w:color="3F58A8"/>
        </w:tcBorders>
      </w:tcPr>
    </w:tblStylePr>
  </w:style>
  <w:style w:type="table" w:customStyle="1" w:styleId="SPRC2">
    <w:name w:val="SPRC2"/>
    <w:basedOn w:val="TableNormal"/>
    <w:uiPriority w:val="99"/>
    <w:rsid w:val="004A2744"/>
    <w:rPr>
      <w:rFonts w:ascii="Helvetica" w:hAnsi="Helvetica"/>
      <w:sz w:val="24"/>
    </w:rPr>
    <w:tblPr>
      <w:tblInd w:w="0" w:type="dxa"/>
      <w:tblBorders>
        <w:top w:val="single" w:sz="8" w:space="0" w:color="auto"/>
        <w:left w:val="single" w:sz="8" w:space="0" w:color="auto"/>
        <w:bottom w:val="single" w:sz="8" w:space="0" w:color="auto"/>
        <w:right w:val="single" w:sz="8" w:space="0" w:color="auto"/>
      </w:tblBorders>
      <w:tblCellMar>
        <w:top w:w="0" w:type="dxa"/>
        <w:left w:w="108" w:type="dxa"/>
        <w:bottom w:w="0" w:type="dxa"/>
        <w:right w:w="108" w:type="dxa"/>
      </w:tblCellMar>
    </w:tblPr>
    <w:tblStylePr w:type="firstRow">
      <w:rPr>
        <w:rFonts w:ascii="Helvetica" w:hAnsi="Helvetica"/>
        <w:b w:val="0"/>
        <w:i w:val="0"/>
        <w:color w:val="auto"/>
        <w:sz w:val="24"/>
        <w:u w:val="none"/>
      </w:rPr>
    </w:tblStylePr>
  </w:style>
  <w:style w:type="table" w:customStyle="1" w:styleId="SPRCtables2">
    <w:name w:val="SPRC tables2"/>
    <w:basedOn w:val="ColorfulGrid-Accent6"/>
    <w:uiPriority w:val="99"/>
    <w:qFormat/>
    <w:rsid w:val="004A2744"/>
    <w:tblPr>
      <w:tblStyleRowBandSize w:val="1"/>
      <w:tblStyleColBandSize w:val="1"/>
      <w:tblInd w:w="0" w:type="dxa"/>
      <w:tblBorders>
        <w:top w:val="single" w:sz="6" w:space="0" w:color="D1D9EE"/>
        <w:bottom w:val="single" w:sz="6" w:space="0" w:color="D1D9EE"/>
        <w:insideH w:val="single" w:sz="6" w:space="0" w:color="D1D9EE"/>
      </w:tblBorders>
      <w:tblCellMar>
        <w:top w:w="0" w:type="dxa"/>
        <w:left w:w="108" w:type="dxa"/>
        <w:bottom w:w="0" w:type="dxa"/>
        <w:right w:w="108" w:type="dxa"/>
      </w:tblCellMar>
    </w:tblPr>
    <w:tcPr>
      <w:shd w:val="clear" w:color="auto" w:fill="3F58A8"/>
    </w:tcPr>
    <w:tblStylePr w:type="firstRow">
      <w:rPr>
        <w:b/>
        <w:bCs/>
      </w:rPr>
      <w:tblPr/>
      <w:tcPr>
        <w:shd w:val="clear" w:color="auto" w:fill="FA7DA3"/>
      </w:tcPr>
    </w:tblStylePr>
    <w:tblStylePr w:type="lastRow">
      <w:rPr>
        <w:b/>
        <w:bCs/>
        <w:color w:val="000000"/>
      </w:rPr>
      <w:tblPr/>
      <w:tcPr>
        <w:shd w:val="clear" w:color="auto" w:fill="FA7DA3"/>
      </w:tcPr>
    </w:tblStylePr>
    <w:tblStylePr w:type="firstCol">
      <w:rPr>
        <w:color w:val="FFFFFF"/>
      </w:rPr>
      <w:tblPr/>
      <w:tcPr>
        <w:shd w:val="clear" w:color="auto" w:fill="7F0429"/>
      </w:tcPr>
    </w:tblStylePr>
    <w:tblStylePr w:type="lastCol">
      <w:rPr>
        <w:color w:val="FFFFFF"/>
      </w:rPr>
      <w:tblPr/>
      <w:tcPr>
        <w:shd w:val="clear" w:color="auto" w:fill="7F0429"/>
      </w:tcPr>
    </w:tblStylePr>
    <w:tblStylePr w:type="band1Vert">
      <w:tblPr/>
      <w:tcPr>
        <w:shd w:val="clear" w:color="auto" w:fill="F95E8C"/>
      </w:tcPr>
    </w:tblStylePr>
    <w:tblStylePr w:type="band1Horz">
      <w:tblPr/>
      <w:tcPr>
        <w:shd w:val="clear" w:color="auto" w:fill="F95E8C"/>
      </w:tcPr>
    </w:tblStylePr>
  </w:style>
  <w:style w:type="table" w:customStyle="1" w:styleId="MediumShading2-Accent22">
    <w:name w:val="Medium Shading 2 - Accent 22"/>
    <w:basedOn w:val="TableNormal"/>
    <w:next w:val="MediumShading2-Accent2"/>
    <w:uiPriority w:val="64"/>
    <w:rsid w:val="004A2744"/>
    <w:rPr>
      <w:rFonts w:ascii="Verdana" w:hAnsi="Verdana"/>
      <w:color w:val="FFFFFF"/>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F58A8"/>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F58A8"/>
      </w:tcPr>
    </w:tblStylePr>
    <w:tblStylePr w:type="lastCol">
      <w:rPr>
        <w:b/>
        <w:bCs/>
        <w:color w:val="FFFFFF"/>
      </w:rPr>
      <w:tblPr/>
      <w:tcPr>
        <w:tcBorders>
          <w:left w:val="nil"/>
          <w:right w:val="nil"/>
          <w:insideH w:val="nil"/>
          <w:insideV w:val="nil"/>
        </w:tcBorders>
        <w:shd w:val="clear" w:color="auto" w:fill="3F58A8"/>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Accent62">
    <w:name w:val="Colorful Grid - Accent 62"/>
    <w:basedOn w:val="TableNormal"/>
    <w:next w:val="ColorfulGrid-Accent6"/>
    <w:uiPriority w:val="73"/>
    <w:rsid w:val="004A274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CBED1"/>
    </w:tcPr>
    <w:tblStylePr w:type="firstRow">
      <w:rPr>
        <w:b/>
        <w:bCs/>
      </w:rPr>
      <w:tblPr/>
      <w:tcPr>
        <w:shd w:val="clear" w:color="auto" w:fill="FA7DA3"/>
      </w:tcPr>
    </w:tblStylePr>
    <w:tblStylePr w:type="lastRow">
      <w:rPr>
        <w:b/>
        <w:bCs/>
        <w:color w:val="000000"/>
      </w:rPr>
      <w:tblPr/>
      <w:tcPr>
        <w:shd w:val="clear" w:color="auto" w:fill="FA7DA3"/>
      </w:tcPr>
    </w:tblStylePr>
    <w:tblStylePr w:type="firstCol">
      <w:rPr>
        <w:color w:val="FFFFFF"/>
      </w:rPr>
      <w:tblPr/>
      <w:tcPr>
        <w:shd w:val="clear" w:color="auto" w:fill="7F0429"/>
      </w:tcPr>
    </w:tblStylePr>
    <w:tblStylePr w:type="lastCol">
      <w:rPr>
        <w:color w:val="FFFFFF"/>
      </w:rPr>
      <w:tblPr/>
      <w:tcPr>
        <w:shd w:val="clear" w:color="auto" w:fill="7F0429"/>
      </w:tcPr>
    </w:tblStylePr>
    <w:tblStylePr w:type="band1Vert">
      <w:tblPr/>
      <w:tcPr>
        <w:shd w:val="clear" w:color="auto" w:fill="F95E8C"/>
      </w:tcPr>
    </w:tblStylePr>
    <w:tblStylePr w:type="band1Horz">
      <w:tblPr/>
      <w:tcPr>
        <w:shd w:val="clear" w:color="auto" w:fill="F95E8C"/>
      </w:tcPr>
    </w:tblStylePr>
  </w:style>
  <w:style w:type="table" w:customStyle="1" w:styleId="DarkList-Accent62">
    <w:name w:val="Dark List - Accent 62"/>
    <w:basedOn w:val="TableNormal"/>
    <w:next w:val="DarkList-Accent6"/>
    <w:uiPriority w:val="70"/>
    <w:rsid w:val="004A2744"/>
    <w:rPr>
      <w:color w:val="FFFFFF"/>
    </w:rPr>
    <w:tblPr>
      <w:tblStyleRowBandSize w:val="1"/>
      <w:tblStyleColBandSize w:val="1"/>
      <w:tblInd w:w="0" w:type="dxa"/>
      <w:tblCellMar>
        <w:top w:w="0" w:type="dxa"/>
        <w:left w:w="108" w:type="dxa"/>
        <w:bottom w:w="0" w:type="dxa"/>
        <w:right w:w="108" w:type="dxa"/>
      </w:tblCellMar>
    </w:tblPr>
    <w:tcPr>
      <w:shd w:val="clear" w:color="auto" w:fill="AA063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4031B"/>
      </w:tcPr>
    </w:tblStylePr>
    <w:tblStylePr w:type="firstCol">
      <w:tblPr/>
      <w:tcPr>
        <w:tcBorders>
          <w:top w:val="nil"/>
          <w:left w:val="nil"/>
          <w:bottom w:val="nil"/>
          <w:right w:val="single" w:sz="18" w:space="0" w:color="FFFFFF"/>
          <w:insideH w:val="nil"/>
          <w:insideV w:val="nil"/>
        </w:tcBorders>
        <w:shd w:val="clear" w:color="auto" w:fill="7F0429"/>
      </w:tcPr>
    </w:tblStylePr>
    <w:tblStylePr w:type="lastCol">
      <w:tblPr/>
      <w:tcPr>
        <w:tcBorders>
          <w:top w:val="nil"/>
          <w:left w:val="single" w:sz="18" w:space="0" w:color="FFFFFF"/>
          <w:bottom w:val="nil"/>
          <w:right w:val="nil"/>
          <w:insideH w:val="nil"/>
          <w:insideV w:val="nil"/>
        </w:tcBorders>
        <w:shd w:val="clear" w:color="auto" w:fill="7F0429"/>
      </w:tcPr>
    </w:tblStylePr>
    <w:tblStylePr w:type="band1Vert">
      <w:tblPr/>
      <w:tcPr>
        <w:tcBorders>
          <w:top w:val="nil"/>
          <w:left w:val="nil"/>
          <w:bottom w:val="nil"/>
          <w:right w:val="nil"/>
          <w:insideH w:val="nil"/>
          <w:insideV w:val="nil"/>
        </w:tcBorders>
        <w:shd w:val="clear" w:color="auto" w:fill="7F0429"/>
      </w:tcPr>
    </w:tblStylePr>
    <w:tblStylePr w:type="band1Horz">
      <w:tblPr/>
      <w:tcPr>
        <w:tcBorders>
          <w:top w:val="nil"/>
          <w:left w:val="nil"/>
          <w:bottom w:val="nil"/>
          <w:right w:val="nil"/>
          <w:insideH w:val="nil"/>
          <w:insideV w:val="nil"/>
        </w:tcBorders>
        <w:shd w:val="clear" w:color="auto" w:fill="7F0429"/>
      </w:tcPr>
    </w:tblStylePr>
  </w:style>
  <w:style w:type="table" w:customStyle="1" w:styleId="MediumShading1-Accent32">
    <w:name w:val="Medium Shading 1 - Accent 32"/>
    <w:basedOn w:val="TableNormal"/>
    <w:next w:val="MediumShading1-Accent3"/>
    <w:uiPriority w:val="63"/>
    <w:rsid w:val="004A2744"/>
    <w:tblPr>
      <w:tblStyleRowBandSize w:val="1"/>
      <w:tblStyleColBandSize w:val="1"/>
      <w:tblInd w:w="0" w:type="dxa"/>
      <w:tblBorders>
        <w:top w:val="single" w:sz="8" w:space="0" w:color="auto"/>
        <w:bottom w:val="single" w:sz="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D5DDF0"/>
          <w:left w:val="single" w:sz="8" w:space="0" w:color="D5DDF0"/>
          <w:bottom w:val="single" w:sz="8" w:space="0" w:color="D5DDF0"/>
          <w:right w:val="single" w:sz="8" w:space="0" w:color="D5DDF0"/>
          <w:insideH w:val="nil"/>
          <w:insideV w:val="nil"/>
        </w:tcBorders>
        <w:shd w:val="clear" w:color="auto" w:fill="C8D2EB"/>
      </w:tcPr>
    </w:tblStylePr>
    <w:tblStylePr w:type="lastRow">
      <w:pPr>
        <w:spacing w:before="0" w:after="0" w:line="240" w:lineRule="auto"/>
      </w:pPr>
      <w:rPr>
        <w:b/>
        <w:bCs/>
      </w:rPr>
      <w:tblPr/>
      <w:tcPr>
        <w:tcBorders>
          <w:top w:val="double" w:sz="6" w:space="0" w:color="D5DDF0"/>
          <w:left w:val="single" w:sz="8" w:space="0" w:color="D5DDF0"/>
          <w:bottom w:val="single" w:sz="8" w:space="0" w:color="D5DDF0"/>
          <w:right w:val="single" w:sz="8" w:space="0" w:color="D5DDF0"/>
          <w:insideH w:val="nil"/>
          <w:insideV w:val="nil"/>
        </w:tcBorders>
      </w:tcPr>
    </w:tblStylePr>
    <w:tblStylePr w:type="firstCol">
      <w:rPr>
        <w:b/>
        <w:bCs/>
      </w:rPr>
    </w:tblStylePr>
    <w:tblStylePr w:type="lastCol">
      <w:rPr>
        <w:b/>
        <w:bCs/>
      </w:rPr>
    </w:tblStylePr>
    <w:tblStylePr w:type="band1Vert">
      <w:tblPr/>
      <w:tcPr>
        <w:shd w:val="clear" w:color="auto" w:fill="F1F3FA"/>
      </w:tcPr>
    </w:tblStylePr>
    <w:tblStylePr w:type="band1Horz">
      <w:tblPr/>
      <w:tcPr>
        <w:tcBorders>
          <w:insideH w:val="nil"/>
          <w:insideV w:val="nil"/>
        </w:tcBorders>
        <w:shd w:val="clear" w:color="auto" w:fill="F1F3FA"/>
      </w:tcPr>
    </w:tblStylePr>
    <w:tblStylePr w:type="band2Horz">
      <w:tblPr/>
      <w:tcPr>
        <w:tcBorders>
          <w:insideH w:val="nil"/>
          <w:insideV w:val="nil"/>
        </w:tcBorders>
      </w:tcPr>
    </w:tblStylePr>
  </w:style>
  <w:style w:type="table" w:customStyle="1" w:styleId="SPRCReporttablefinal2">
    <w:name w:val="SPRC Report table final2"/>
    <w:basedOn w:val="ColorfulShading-Accent1"/>
    <w:uiPriority w:val="99"/>
    <w:qFormat/>
    <w:rsid w:val="004A2744"/>
    <w:rPr>
      <w:rFonts w:ascii="Sommet" w:hAnsi="Sommet"/>
      <w:sz w:val="24"/>
      <w:szCs w:val="20"/>
      <w:lang w:val="en-US" w:eastAsia="en-US"/>
    </w:rPr>
    <w:tblPr>
      <w:tblStyleRowBandSize w:val="1"/>
      <w:tblStyleColBandSize w:val="1"/>
      <w:tblInd w:w="0" w:type="dxa"/>
      <w:tblBorders>
        <w:left w:val="single" w:sz="4" w:space="0" w:color="263C88"/>
        <w:right w:val="single" w:sz="4" w:space="0" w:color="263C88"/>
        <w:insideH w:val="single" w:sz="4" w:space="0" w:color="FFFFFF"/>
        <w:insideV w:val="single" w:sz="4" w:space="0" w:color="FFFFFF"/>
      </w:tblBorders>
      <w:tblCellMar>
        <w:top w:w="0" w:type="dxa"/>
        <w:left w:w="108" w:type="dxa"/>
        <w:bottom w:w="0" w:type="dxa"/>
        <w:right w:w="108" w:type="dxa"/>
      </w:tblCellMar>
    </w:tblPr>
    <w:tcPr>
      <w:shd w:val="clear" w:color="auto" w:fill="E5E9F7"/>
    </w:tcPr>
    <w:tblStylePr w:type="firstRow">
      <w:rPr>
        <w:b/>
        <w:bCs/>
      </w:rPr>
      <w:tblPr/>
      <w:tcPr>
        <w:tcBorders>
          <w:top w:val="nil"/>
          <w:left w:val="nil"/>
          <w:bottom w:val="single" w:sz="24" w:space="0" w:color="3F58A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62351"/>
      </w:tcPr>
    </w:tblStylePr>
    <w:tblStylePr w:type="firstCol">
      <w:rPr>
        <w:color w:val="FFFFFF"/>
      </w:rPr>
      <w:tblPr/>
      <w:tcPr>
        <w:tcBorders>
          <w:top w:val="nil"/>
          <w:left w:val="nil"/>
          <w:bottom w:val="nil"/>
          <w:right w:val="nil"/>
          <w:insideH w:val="single" w:sz="4" w:space="0" w:color="162351"/>
          <w:insideV w:val="nil"/>
        </w:tcBorders>
        <w:shd w:val="clear" w:color="auto" w:fill="162351"/>
      </w:tcPr>
    </w:tblStylePr>
    <w:tblStylePr w:type="lastCol">
      <w:rPr>
        <w:color w:val="FFFFFF"/>
      </w:rPr>
      <w:tblPr/>
      <w:tcPr>
        <w:tcBorders>
          <w:top w:val="nil"/>
          <w:left w:val="nil"/>
          <w:bottom w:val="nil"/>
          <w:right w:val="nil"/>
          <w:insideH w:val="nil"/>
          <w:insideV w:val="nil"/>
        </w:tcBorders>
        <w:shd w:val="clear" w:color="auto" w:fill="162351"/>
      </w:tcPr>
    </w:tblStylePr>
    <w:tblStylePr w:type="band1Vert">
      <w:tblPr/>
      <w:tcPr>
        <w:shd w:val="clear" w:color="auto" w:fill="95A6E1"/>
      </w:tcPr>
    </w:tblStylePr>
    <w:tblStylePr w:type="band1Horz">
      <w:tblPr/>
      <w:tcPr>
        <w:shd w:val="clear" w:color="auto" w:fill="7B90DA"/>
      </w:tcPr>
    </w:tblStylePr>
    <w:tblStylePr w:type="neCell">
      <w:rPr>
        <w:color w:val="000000"/>
      </w:rPr>
    </w:tblStylePr>
    <w:tblStylePr w:type="nwCell">
      <w:rPr>
        <w:color w:val="000000"/>
      </w:rPr>
    </w:tblStylePr>
  </w:style>
  <w:style w:type="table" w:customStyle="1" w:styleId="ColorfulShading-Accent12">
    <w:name w:val="Colorful Shading - Accent 12"/>
    <w:basedOn w:val="TableNormal"/>
    <w:next w:val="ColorfulShading-Accent1"/>
    <w:uiPriority w:val="71"/>
    <w:rsid w:val="004A2744"/>
    <w:rPr>
      <w:color w:val="000000"/>
    </w:rPr>
    <w:tblPr>
      <w:tblStyleRowBandSize w:val="1"/>
      <w:tblStyleColBandSize w:val="1"/>
      <w:tblInd w:w="0" w:type="dxa"/>
      <w:tblBorders>
        <w:top w:val="single" w:sz="24" w:space="0" w:color="3F58A8"/>
        <w:left w:val="single" w:sz="4" w:space="0" w:color="263C88"/>
        <w:bottom w:val="single" w:sz="4" w:space="0" w:color="263C88"/>
        <w:right w:val="single" w:sz="4" w:space="0" w:color="263C88"/>
        <w:insideH w:val="single" w:sz="4" w:space="0" w:color="FFFFFF"/>
        <w:insideV w:val="single" w:sz="4" w:space="0" w:color="FFFFFF"/>
      </w:tblBorders>
      <w:tblCellMar>
        <w:top w:w="0" w:type="dxa"/>
        <w:left w:w="108" w:type="dxa"/>
        <w:bottom w:w="0" w:type="dxa"/>
        <w:right w:w="108" w:type="dxa"/>
      </w:tblCellMar>
    </w:tblPr>
    <w:tcPr>
      <w:shd w:val="clear" w:color="auto" w:fill="E5E9F7"/>
    </w:tcPr>
    <w:tblStylePr w:type="firstRow">
      <w:rPr>
        <w:b/>
        <w:bCs/>
      </w:rPr>
      <w:tblPr/>
      <w:tcPr>
        <w:tcBorders>
          <w:top w:val="nil"/>
          <w:left w:val="nil"/>
          <w:bottom w:val="single" w:sz="24" w:space="0" w:color="3F58A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62351"/>
      </w:tcPr>
    </w:tblStylePr>
    <w:tblStylePr w:type="firstCol">
      <w:rPr>
        <w:color w:val="FFFFFF"/>
      </w:rPr>
      <w:tblPr/>
      <w:tcPr>
        <w:tcBorders>
          <w:top w:val="nil"/>
          <w:left w:val="nil"/>
          <w:bottom w:val="nil"/>
          <w:right w:val="nil"/>
          <w:insideH w:val="single" w:sz="4" w:space="0" w:color="162351"/>
          <w:insideV w:val="nil"/>
        </w:tcBorders>
        <w:shd w:val="clear" w:color="auto" w:fill="162351"/>
      </w:tcPr>
    </w:tblStylePr>
    <w:tblStylePr w:type="lastCol">
      <w:rPr>
        <w:color w:val="FFFFFF"/>
      </w:rPr>
      <w:tblPr/>
      <w:tcPr>
        <w:tcBorders>
          <w:top w:val="nil"/>
          <w:left w:val="nil"/>
          <w:bottom w:val="nil"/>
          <w:right w:val="nil"/>
          <w:insideH w:val="nil"/>
          <w:insideV w:val="nil"/>
        </w:tcBorders>
        <w:shd w:val="clear" w:color="auto" w:fill="162351"/>
      </w:tcPr>
    </w:tblStylePr>
    <w:tblStylePr w:type="band1Vert">
      <w:tblPr/>
      <w:tcPr>
        <w:shd w:val="clear" w:color="auto" w:fill="95A6E1"/>
      </w:tcPr>
    </w:tblStylePr>
    <w:tblStylePr w:type="band1Horz">
      <w:tblPr/>
      <w:tcPr>
        <w:shd w:val="clear" w:color="auto" w:fill="7B90DA"/>
      </w:tcPr>
    </w:tblStylePr>
    <w:tblStylePr w:type="neCell">
      <w:rPr>
        <w:color w:val="000000"/>
      </w:rPr>
    </w:tblStylePr>
    <w:tblStylePr w:type="nwCell">
      <w:rPr>
        <w:color w:val="000000"/>
      </w:rPr>
    </w:tblStylePr>
  </w:style>
  <w:style w:type="table" w:customStyle="1" w:styleId="LightShading-Accent42">
    <w:name w:val="Light Shading - Accent 42"/>
    <w:basedOn w:val="TableNormal"/>
    <w:next w:val="LightShading-Accent4"/>
    <w:uiPriority w:val="60"/>
    <w:rsid w:val="004A2744"/>
    <w:rPr>
      <w:color w:val="7E95CF"/>
    </w:rPr>
    <w:tblPr>
      <w:tblStyleRowBandSize w:val="1"/>
      <w:tblStyleColBandSize w:val="1"/>
      <w:tblInd w:w="0" w:type="dxa"/>
      <w:tblBorders>
        <w:top w:val="single" w:sz="8" w:space="0" w:color="D1D9EE"/>
        <w:bottom w:val="single" w:sz="8" w:space="0" w:color="D1D9EE"/>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1D9EE"/>
          <w:left w:val="nil"/>
          <w:bottom w:val="single" w:sz="8" w:space="0" w:color="D1D9EE"/>
          <w:right w:val="nil"/>
          <w:insideH w:val="nil"/>
          <w:insideV w:val="nil"/>
        </w:tcBorders>
      </w:tcPr>
    </w:tblStylePr>
    <w:tblStylePr w:type="lastRow">
      <w:pPr>
        <w:spacing w:before="0" w:after="0" w:line="240" w:lineRule="auto"/>
      </w:pPr>
      <w:rPr>
        <w:b/>
        <w:bCs/>
      </w:rPr>
      <w:tblPr/>
      <w:tcPr>
        <w:tcBorders>
          <w:top w:val="single" w:sz="8" w:space="0" w:color="D1D9EE"/>
          <w:left w:val="nil"/>
          <w:bottom w:val="single" w:sz="8" w:space="0" w:color="D1D9E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5FA"/>
      </w:tcPr>
    </w:tblStylePr>
    <w:tblStylePr w:type="band1Horz">
      <w:tblPr/>
      <w:tcPr>
        <w:tcBorders>
          <w:left w:val="nil"/>
          <w:right w:val="nil"/>
          <w:insideH w:val="nil"/>
          <w:insideV w:val="nil"/>
        </w:tcBorders>
        <w:shd w:val="clear" w:color="auto" w:fill="F3F5FA"/>
      </w:tcPr>
    </w:tblStylePr>
  </w:style>
  <w:style w:type="table" w:customStyle="1" w:styleId="SPRCtablev12">
    <w:name w:val="SPRC table v12"/>
    <w:basedOn w:val="TableNormal"/>
    <w:uiPriority w:val="99"/>
    <w:qFormat/>
    <w:rsid w:val="004A2744"/>
    <w:rPr>
      <w:rFonts w:ascii="Helvetica" w:hAnsi="Helvetica"/>
      <w:sz w:val="24"/>
    </w:rPr>
    <w:tblPr>
      <w:tblInd w:w="0" w:type="dxa"/>
      <w:tblCellMar>
        <w:top w:w="0" w:type="dxa"/>
        <w:left w:w="108" w:type="dxa"/>
        <w:bottom w:w="0" w:type="dxa"/>
        <w:right w:w="108" w:type="dxa"/>
      </w:tblCellMar>
    </w:tblPr>
  </w:style>
  <w:style w:type="table" w:customStyle="1" w:styleId="TableGrid12">
    <w:name w:val="Table Grid12"/>
    <w:basedOn w:val="TableNormal"/>
    <w:next w:val="TableGrid"/>
    <w:uiPriority w:val="59"/>
    <w:rsid w:val="004A2744"/>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PRC-docs-style2">
    <w:name w:val="SPRC-docs-style2"/>
    <w:uiPriority w:val="99"/>
    <w:rsid w:val="004A2744"/>
  </w:style>
  <w:style w:type="character" w:customStyle="1" w:styleId="ListParagraphChar">
    <w:name w:val="List Paragraph Char"/>
    <w:basedOn w:val="DefaultParagraphFont"/>
    <w:link w:val="ListParagraph"/>
    <w:uiPriority w:val="34"/>
    <w:rsid w:val="004A2744"/>
    <w:rPr>
      <w:rFonts w:ascii="Arial" w:hAnsi="Arial"/>
      <w:lang w:eastAsia="en-US" w:bidi="en-US"/>
    </w:rPr>
  </w:style>
  <w:style w:type="paragraph" w:customStyle="1" w:styleId="Headings">
    <w:name w:val="Headings"/>
    <w:basedOn w:val="Normal"/>
    <w:link w:val="HeadingsChar"/>
    <w:rsid w:val="004A2744"/>
    <w:pPr>
      <w:spacing w:after="0" w:line="240" w:lineRule="auto"/>
      <w:ind w:left="0"/>
    </w:pPr>
    <w:rPr>
      <w:b/>
      <w:color w:val="616365"/>
      <w:szCs w:val="16"/>
      <w:lang w:bidi="ar-SA"/>
    </w:rPr>
  </w:style>
  <w:style w:type="character" w:customStyle="1" w:styleId="HeadingsChar">
    <w:name w:val="Headings Char"/>
    <w:basedOn w:val="DefaultParagraphFont"/>
    <w:link w:val="Headings"/>
    <w:rsid w:val="004A2744"/>
    <w:rPr>
      <w:rFonts w:ascii="Arial" w:hAnsi="Arial"/>
      <w:b/>
      <w:color w:val="616365"/>
      <w:sz w:val="20"/>
      <w:szCs w:val="16"/>
      <w:lang w:eastAsia="en-US"/>
    </w:rPr>
  </w:style>
  <w:style w:type="paragraph" w:styleId="BodyText3">
    <w:name w:val="Body Text 3"/>
    <w:basedOn w:val="Normal"/>
    <w:link w:val="BodyText3Char"/>
    <w:uiPriority w:val="99"/>
    <w:semiHidden/>
    <w:unhideWhenUsed/>
    <w:locked/>
    <w:rsid w:val="004A2744"/>
    <w:pPr>
      <w:spacing w:after="120"/>
      <w:jc w:val="left"/>
    </w:pPr>
    <w:rPr>
      <w:sz w:val="16"/>
      <w:szCs w:val="16"/>
    </w:rPr>
  </w:style>
  <w:style w:type="character" w:customStyle="1" w:styleId="BodyText3Char">
    <w:name w:val="Body Text 3 Char"/>
    <w:basedOn w:val="DefaultParagraphFont"/>
    <w:link w:val="BodyText3"/>
    <w:uiPriority w:val="99"/>
    <w:semiHidden/>
    <w:rsid w:val="004A2744"/>
    <w:rPr>
      <w:rFonts w:ascii="Arial" w:hAnsi="Arial"/>
      <w:sz w:val="16"/>
      <w:szCs w:val="16"/>
      <w:lang w:eastAsia="en-US" w:bidi="en-US"/>
    </w:rPr>
  </w:style>
  <w:style w:type="paragraph" w:customStyle="1" w:styleId="MainText">
    <w:name w:val="Main Text"/>
    <w:basedOn w:val="Normal"/>
    <w:link w:val="MainTextChar"/>
    <w:rsid w:val="004A2744"/>
    <w:pPr>
      <w:spacing w:after="0" w:line="240" w:lineRule="auto"/>
      <w:ind w:left="0"/>
    </w:pPr>
    <w:rPr>
      <w:color w:val="616365"/>
      <w:szCs w:val="16"/>
      <w:lang w:bidi="ar-SA"/>
    </w:rPr>
  </w:style>
  <w:style w:type="character" w:customStyle="1" w:styleId="MainTextChar">
    <w:name w:val="Main Text Char"/>
    <w:basedOn w:val="DefaultParagraphFont"/>
    <w:link w:val="MainText"/>
    <w:rsid w:val="004A2744"/>
    <w:rPr>
      <w:rFonts w:ascii="Arial" w:hAnsi="Arial"/>
      <w:color w:val="616365"/>
      <w:sz w:val="20"/>
      <w:szCs w:val="16"/>
      <w:lang w:eastAsia="en-US"/>
    </w:rPr>
  </w:style>
  <w:style w:type="table" w:customStyle="1" w:styleId="Style13">
    <w:name w:val="Style13"/>
    <w:uiPriority w:val="99"/>
    <w:rsid w:val="004F0925"/>
    <w:pPr>
      <w:keepLines/>
      <w:spacing w:after="160" w:line="288" w:lineRule="auto"/>
      <w:ind w:left="2160"/>
    </w:pPr>
    <w:rPr>
      <w:lang w:val="en-US" w:eastAsia="zh-CN" w:bidi="en-US"/>
    </w:rPr>
    <w:tblPr>
      <w:tblInd w:w="0" w:type="dxa"/>
      <w:tblBorders>
        <w:top w:val="single" w:sz="4" w:space="0" w:color="auto"/>
        <w:bottom w:val="single" w:sz="4" w:space="0" w:color="auto"/>
      </w:tblBorders>
      <w:tblCellMar>
        <w:top w:w="0" w:type="dxa"/>
        <w:left w:w="108" w:type="dxa"/>
        <w:bottom w:w="0" w:type="dxa"/>
        <w:right w:w="108" w:type="dxa"/>
      </w:tblCellMar>
    </w:tblPr>
  </w:style>
  <w:style w:type="paragraph" w:customStyle="1" w:styleId="TableNotesNumbered">
    <w:name w:val="Table Notes Numbered"/>
    <w:basedOn w:val="Normal"/>
    <w:uiPriority w:val="99"/>
    <w:rsid w:val="00D2121D"/>
    <w:pPr>
      <w:tabs>
        <w:tab w:val="num" w:pos="720"/>
      </w:tabs>
      <w:spacing w:after="0" w:line="240" w:lineRule="auto"/>
      <w:ind w:left="720" w:hanging="360"/>
    </w:pPr>
    <w:rPr>
      <w:szCs w:val="20"/>
      <w:lang w:bidi="ar-SA"/>
    </w:rPr>
  </w:style>
  <w:style w:type="table" w:customStyle="1" w:styleId="MediumList11">
    <w:name w:val="Medium List 11"/>
    <w:basedOn w:val="TableNormal"/>
    <w:uiPriority w:val="65"/>
    <w:rsid w:val="00D2121D"/>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Shading1">
    <w:name w:val="Light Shading1"/>
    <w:basedOn w:val="TableNormal"/>
    <w:uiPriority w:val="60"/>
    <w:rsid w:val="00D2121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DefaultParagraphFont"/>
    <w:rsid w:val="00991B4C"/>
  </w:style>
  <w:style w:type="paragraph" w:customStyle="1" w:styleId="MELegal1">
    <w:name w:val="ME Legal 1"/>
    <w:basedOn w:val="Normal"/>
    <w:uiPriority w:val="99"/>
    <w:rsid w:val="007520E9"/>
    <w:pPr>
      <w:numPr>
        <w:numId w:val="12"/>
      </w:numPr>
      <w:spacing w:after="240" w:line="280" w:lineRule="atLeast"/>
      <w:jc w:val="left"/>
      <w:outlineLvl w:val="0"/>
    </w:pPr>
    <w:rPr>
      <w:rFonts w:ascii="Times New Roman" w:hAnsi="Times New Roman" w:cs="Angsana New"/>
      <w:lang w:eastAsia="zh-CN" w:bidi="th-TH"/>
    </w:rPr>
  </w:style>
  <w:style w:type="paragraph" w:customStyle="1" w:styleId="MELegal2">
    <w:name w:val="ME Legal 2"/>
    <w:basedOn w:val="Normal"/>
    <w:uiPriority w:val="99"/>
    <w:rsid w:val="007520E9"/>
    <w:pPr>
      <w:numPr>
        <w:ilvl w:val="1"/>
        <w:numId w:val="12"/>
      </w:numPr>
      <w:spacing w:after="240" w:line="280" w:lineRule="atLeast"/>
      <w:jc w:val="left"/>
      <w:outlineLvl w:val="1"/>
    </w:pPr>
    <w:rPr>
      <w:rFonts w:ascii="Times New Roman" w:hAnsi="Times New Roman" w:cs="Angsana New"/>
      <w:lang w:eastAsia="zh-CN" w:bidi="th-TH"/>
    </w:rPr>
  </w:style>
  <w:style w:type="paragraph" w:customStyle="1" w:styleId="MELegal3">
    <w:name w:val="ME Legal 3"/>
    <w:basedOn w:val="Normal"/>
    <w:uiPriority w:val="99"/>
    <w:rsid w:val="007520E9"/>
    <w:pPr>
      <w:numPr>
        <w:ilvl w:val="2"/>
        <w:numId w:val="12"/>
      </w:numPr>
      <w:spacing w:after="240" w:line="280" w:lineRule="atLeast"/>
      <w:jc w:val="left"/>
      <w:outlineLvl w:val="2"/>
    </w:pPr>
    <w:rPr>
      <w:rFonts w:ascii="Times New Roman" w:hAnsi="Times New Roman" w:cs="Angsana New"/>
      <w:lang w:eastAsia="zh-CN" w:bidi="th-TH"/>
    </w:rPr>
  </w:style>
  <w:style w:type="paragraph" w:customStyle="1" w:styleId="MELegal4">
    <w:name w:val="ME Legal 4"/>
    <w:basedOn w:val="Normal"/>
    <w:uiPriority w:val="99"/>
    <w:rsid w:val="007520E9"/>
    <w:pPr>
      <w:numPr>
        <w:ilvl w:val="3"/>
        <w:numId w:val="12"/>
      </w:numPr>
      <w:spacing w:after="240" w:line="280" w:lineRule="atLeast"/>
      <w:jc w:val="left"/>
      <w:outlineLvl w:val="3"/>
    </w:pPr>
    <w:rPr>
      <w:rFonts w:ascii="Times New Roman" w:hAnsi="Times New Roman" w:cs="Angsana New"/>
      <w:lang w:eastAsia="zh-CN" w:bidi="th-TH"/>
    </w:rPr>
  </w:style>
  <w:style w:type="paragraph" w:customStyle="1" w:styleId="MELegal5">
    <w:name w:val="ME Legal 5"/>
    <w:basedOn w:val="Normal"/>
    <w:uiPriority w:val="99"/>
    <w:rsid w:val="007520E9"/>
    <w:pPr>
      <w:numPr>
        <w:ilvl w:val="4"/>
        <w:numId w:val="12"/>
      </w:numPr>
      <w:spacing w:after="240" w:line="280" w:lineRule="atLeast"/>
      <w:jc w:val="left"/>
      <w:outlineLvl w:val="4"/>
    </w:pPr>
    <w:rPr>
      <w:rFonts w:ascii="Times New Roman" w:hAnsi="Times New Roman" w:cs="Angsana New"/>
      <w:lang w:eastAsia="zh-CN" w:bidi="th-TH"/>
    </w:rPr>
  </w:style>
  <w:style w:type="paragraph" w:customStyle="1" w:styleId="MELegal6">
    <w:name w:val="ME Legal 6"/>
    <w:basedOn w:val="Normal"/>
    <w:uiPriority w:val="99"/>
    <w:rsid w:val="007520E9"/>
    <w:pPr>
      <w:numPr>
        <w:ilvl w:val="5"/>
        <w:numId w:val="12"/>
      </w:numPr>
      <w:spacing w:after="240" w:line="280" w:lineRule="atLeast"/>
      <w:jc w:val="left"/>
      <w:outlineLvl w:val="5"/>
    </w:pPr>
    <w:rPr>
      <w:rFonts w:ascii="Times New Roman" w:hAnsi="Times New Roman" w:cs="Angsana New"/>
      <w:lang w:eastAsia="zh-CN" w:bidi="th-TH"/>
    </w:rPr>
  </w:style>
  <w:style w:type="paragraph" w:customStyle="1" w:styleId="StyleLatinTimesNewRoman11ptLeft12cmBefore0pt">
    <w:name w:val="Style (Latin) Times New Roman 11 pt Left:  1.2 cm Before:  0 pt..."/>
    <w:basedOn w:val="Normal"/>
    <w:uiPriority w:val="99"/>
    <w:rsid w:val="007520E9"/>
    <w:pPr>
      <w:spacing w:after="240" w:line="280" w:lineRule="atLeast"/>
      <w:ind w:left="680"/>
      <w:jc w:val="left"/>
    </w:pPr>
    <w:rPr>
      <w:rFonts w:ascii="Times New Roman" w:hAnsi="Times New Roman"/>
      <w:szCs w:val="20"/>
      <w:lang w:eastAsia="zh-CN" w:bidi="ar-SA"/>
    </w:rPr>
  </w:style>
  <w:style w:type="paragraph" w:customStyle="1" w:styleId="indent">
    <w:name w:val="indent"/>
    <w:basedOn w:val="Normal"/>
    <w:qFormat/>
    <w:rsid w:val="0022069A"/>
    <w:pPr>
      <w:spacing w:after="200"/>
      <w:ind w:left="454" w:right="567"/>
    </w:pPr>
    <w:rPr>
      <w:rFonts w:eastAsiaTheme="minorEastAsia"/>
    </w:rPr>
  </w:style>
  <w:style w:type="character" w:customStyle="1" w:styleId="BodytextChar0">
    <w:name w:val="Body text Char"/>
    <w:basedOn w:val="BodyTextChar"/>
    <w:link w:val="BodyText1"/>
    <w:rsid w:val="000C7855"/>
    <w:rPr>
      <w:rFonts w:ascii="Arial" w:hAnsi="Arial"/>
      <w:sz w:val="20"/>
      <w:lang w:bidi="en-US"/>
    </w:rPr>
  </w:style>
  <w:style w:type="numbering" w:customStyle="1" w:styleId="NoList3">
    <w:name w:val="No List3"/>
    <w:next w:val="NoList"/>
    <w:uiPriority w:val="99"/>
    <w:semiHidden/>
    <w:unhideWhenUsed/>
    <w:rsid w:val="00DA796D"/>
  </w:style>
  <w:style w:type="table" w:customStyle="1" w:styleId="TableGrid4">
    <w:name w:val="Table Grid4"/>
    <w:basedOn w:val="TableNormal"/>
    <w:next w:val="TableGrid"/>
    <w:uiPriority w:val="59"/>
    <w:rsid w:val="00DA79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yle14">
    <w:name w:val="Style14"/>
    <w:uiPriority w:val="99"/>
    <w:rsid w:val="00DA796D"/>
    <w:pPr>
      <w:keepLines/>
      <w:spacing w:after="160" w:line="288" w:lineRule="auto"/>
      <w:ind w:left="2160"/>
    </w:pPr>
    <w:rPr>
      <w:lang w:val="en-US" w:eastAsia="zh-CN" w:bidi="en-US"/>
    </w:rPr>
    <w:tblPr>
      <w:tblInd w:w="0" w:type="dxa"/>
      <w:tblBorders>
        <w:top w:val="single" w:sz="4" w:space="0" w:color="auto"/>
        <w:bottom w:val="single" w:sz="4" w:space="0" w:color="auto"/>
      </w:tblBorders>
      <w:tblCellMar>
        <w:top w:w="0" w:type="dxa"/>
        <w:left w:w="108" w:type="dxa"/>
        <w:bottom w:w="0" w:type="dxa"/>
        <w:right w:w="108" w:type="dxa"/>
      </w:tblCellMar>
    </w:tblPr>
  </w:style>
  <w:style w:type="table" w:customStyle="1" w:styleId="LightList-Accent113">
    <w:name w:val="Light List - Accent 113"/>
    <w:basedOn w:val="TableNormal"/>
    <w:uiPriority w:val="61"/>
    <w:rsid w:val="00DA796D"/>
    <w:tblPr>
      <w:tblStyleRowBandSize w:val="1"/>
      <w:tblStyleColBandSize w:val="1"/>
      <w:tblInd w:w="0" w:type="dxa"/>
      <w:tblBorders>
        <w:top w:val="single" w:sz="8" w:space="0" w:color="263C88"/>
        <w:left w:val="single" w:sz="8" w:space="0" w:color="263C88"/>
        <w:bottom w:val="single" w:sz="8" w:space="0" w:color="263C88"/>
        <w:right w:val="single" w:sz="8" w:space="0" w:color="263C88"/>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263C88"/>
      </w:tcPr>
    </w:tblStylePr>
    <w:tblStylePr w:type="lastRow">
      <w:pPr>
        <w:spacing w:before="0" w:after="0" w:line="240" w:lineRule="auto"/>
      </w:pPr>
      <w:rPr>
        <w:b/>
        <w:bCs/>
      </w:rPr>
      <w:tblPr/>
      <w:tcPr>
        <w:tcBorders>
          <w:top w:val="double" w:sz="6" w:space="0" w:color="263C88"/>
          <w:left w:val="single" w:sz="8" w:space="0" w:color="263C88"/>
          <w:bottom w:val="single" w:sz="8" w:space="0" w:color="263C88"/>
          <w:right w:val="single" w:sz="8" w:space="0" w:color="263C88"/>
        </w:tcBorders>
      </w:tcPr>
    </w:tblStylePr>
    <w:tblStylePr w:type="firstCol">
      <w:rPr>
        <w:b/>
        <w:bCs/>
      </w:rPr>
    </w:tblStylePr>
    <w:tblStylePr w:type="lastCol">
      <w:rPr>
        <w:b/>
        <w:bCs/>
      </w:rPr>
    </w:tblStylePr>
    <w:tblStylePr w:type="band1Vert">
      <w:tblPr/>
      <w:tcPr>
        <w:tcBorders>
          <w:top w:val="single" w:sz="8" w:space="0" w:color="263C88"/>
          <w:left w:val="single" w:sz="8" w:space="0" w:color="263C88"/>
          <w:bottom w:val="single" w:sz="8" w:space="0" w:color="263C88"/>
          <w:right w:val="single" w:sz="8" w:space="0" w:color="263C88"/>
        </w:tcBorders>
      </w:tcPr>
    </w:tblStylePr>
    <w:tblStylePr w:type="band1Horz">
      <w:tblPr/>
      <w:tcPr>
        <w:tcBorders>
          <w:top w:val="single" w:sz="8" w:space="0" w:color="263C88"/>
          <w:left w:val="single" w:sz="8" w:space="0" w:color="263C88"/>
          <w:bottom w:val="single" w:sz="8" w:space="0" w:color="263C88"/>
          <w:right w:val="single" w:sz="8" w:space="0" w:color="263C88"/>
        </w:tcBorders>
      </w:tcPr>
    </w:tblStylePr>
  </w:style>
  <w:style w:type="table" w:customStyle="1" w:styleId="LightList-Accent23">
    <w:name w:val="Light List - Accent 23"/>
    <w:basedOn w:val="TableNormal"/>
    <w:next w:val="LightList-Accent2"/>
    <w:uiPriority w:val="61"/>
    <w:rsid w:val="00DA796D"/>
    <w:tblPr>
      <w:tblStyleRowBandSize w:val="1"/>
      <w:tblStyleColBandSize w:val="1"/>
      <w:tblInd w:w="0" w:type="dxa"/>
      <w:tblBorders>
        <w:top w:val="single" w:sz="8" w:space="0" w:color="3F58A8"/>
        <w:left w:val="single" w:sz="8" w:space="0" w:color="3F58A8"/>
        <w:bottom w:val="single" w:sz="8" w:space="0" w:color="3F58A8"/>
        <w:right w:val="single" w:sz="8" w:space="0" w:color="3F58A8"/>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3F58A8"/>
      </w:tcPr>
    </w:tblStylePr>
    <w:tblStylePr w:type="lastRow">
      <w:pPr>
        <w:spacing w:before="0" w:after="0" w:line="240" w:lineRule="auto"/>
      </w:pPr>
      <w:rPr>
        <w:b/>
        <w:bCs/>
      </w:rPr>
      <w:tblPr/>
      <w:tcPr>
        <w:tcBorders>
          <w:top w:val="double" w:sz="6" w:space="0" w:color="3F58A8"/>
          <w:left w:val="single" w:sz="8" w:space="0" w:color="3F58A8"/>
          <w:bottom w:val="single" w:sz="8" w:space="0" w:color="3F58A8"/>
          <w:right w:val="single" w:sz="8" w:space="0" w:color="3F58A8"/>
        </w:tcBorders>
      </w:tcPr>
    </w:tblStylePr>
    <w:tblStylePr w:type="firstCol">
      <w:rPr>
        <w:b/>
        <w:bCs/>
      </w:rPr>
    </w:tblStylePr>
    <w:tblStylePr w:type="lastCol">
      <w:rPr>
        <w:b/>
        <w:bCs/>
      </w:rPr>
    </w:tblStylePr>
    <w:tblStylePr w:type="band1Vert">
      <w:tblPr/>
      <w:tcPr>
        <w:tcBorders>
          <w:top w:val="single" w:sz="8" w:space="0" w:color="3F58A8"/>
          <w:left w:val="single" w:sz="8" w:space="0" w:color="3F58A8"/>
          <w:bottom w:val="single" w:sz="8" w:space="0" w:color="3F58A8"/>
          <w:right w:val="single" w:sz="8" w:space="0" w:color="3F58A8"/>
        </w:tcBorders>
      </w:tcPr>
    </w:tblStylePr>
    <w:tblStylePr w:type="band1Horz">
      <w:tblPr/>
      <w:tcPr>
        <w:tcBorders>
          <w:top w:val="single" w:sz="8" w:space="0" w:color="3F58A8"/>
          <w:left w:val="single" w:sz="8" w:space="0" w:color="3F58A8"/>
          <w:bottom w:val="single" w:sz="8" w:space="0" w:color="3F58A8"/>
          <w:right w:val="single" w:sz="8" w:space="0" w:color="3F58A8"/>
        </w:tcBorders>
      </w:tcPr>
    </w:tblStylePr>
  </w:style>
  <w:style w:type="table" w:customStyle="1" w:styleId="SPRC3">
    <w:name w:val="SPRC3"/>
    <w:basedOn w:val="TableNormal"/>
    <w:uiPriority w:val="99"/>
    <w:rsid w:val="00DA796D"/>
    <w:rPr>
      <w:rFonts w:ascii="Helvetica" w:hAnsi="Helvetica"/>
      <w:sz w:val="24"/>
    </w:rPr>
    <w:tblPr>
      <w:tblInd w:w="0" w:type="dxa"/>
      <w:tblBorders>
        <w:top w:val="single" w:sz="8" w:space="0" w:color="auto"/>
        <w:left w:val="single" w:sz="8" w:space="0" w:color="auto"/>
        <w:bottom w:val="single" w:sz="8" w:space="0" w:color="auto"/>
        <w:right w:val="single" w:sz="8" w:space="0" w:color="auto"/>
      </w:tblBorders>
      <w:tblCellMar>
        <w:top w:w="0" w:type="dxa"/>
        <w:left w:w="108" w:type="dxa"/>
        <w:bottom w:w="0" w:type="dxa"/>
        <w:right w:w="108" w:type="dxa"/>
      </w:tblCellMar>
    </w:tblPr>
    <w:tblStylePr w:type="firstRow">
      <w:rPr>
        <w:rFonts w:ascii="Helvetica" w:hAnsi="Helvetica"/>
        <w:b w:val="0"/>
        <w:i w:val="0"/>
        <w:color w:val="auto"/>
        <w:sz w:val="24"/>
        <w:u w:val="none"/>
      </w:rPr>
    </w:tblStylePr>
  </w:style>
  <w:style w:type="table" w:customStyle="1" w:styleId="SPRCtables3">
    <w:name w:val="SPRC tables3"/>
    <w:basedOn w:val="ColorfulGrid-Accent6"/>
    <w:uiPriority w:val="99"/>
    <w:qFormat/>
    <w:rsid w:val="00DA796D"/>
    <w:tblPr>
      <w:tblStyleRowBandSize w:val="1"/>
      <w:tblStyleColBandSize w:val="1"/>
      <w:tblInd w:w="0" w:type="dxa"/>
      <w:tblBorders>
        <w:top w:val="single" w:sz="6" w:space="0" w:color="D1D9EE"/>
        <w:bottom w:val="single" w:sz="6" w:space="0" w:color="D1D9EE"/>
        <w:insideH w:val="single" w:sz="6" w:space="0" w:color="D1D9EE"/>
      </w:tblBorders>
      <w:tblCellMar>
        <w:top w:w="0" w:type="dxa"/>
        <w:left w:w="108" w:type="dxa"/>
        <w:bottom w:w="0" w:type="dxa"/>
        <w:right w:w="108" w:type="dxa"/>
      </w:tblCellMar>
    </w:tblPr>
    <w:tcPr>
      <w:shd w:val="clear" w:color="auto" w:fill="3F58A8"/>
    </w:tcPr>
    <w:tblStylePr w:type="firstRow">
      <w:rPr>
        <w:b/>
        <w:bCs/>
      </w:rPr>
      <w:tblPr/>
      <w:tcPr>
        <w:shd w:val="clear" w:color="auto" w:fill="FA7DA3"/>
      </w:tcPr>
    </w:tblStylePr>
    <w:tblStylePr w:type="lastRow">
      <w:rPr>
        <w:b/>
        <w:bCs/>
        <w:color w:val="000000"/>
      </w:rPr>
      <w:tblPr/>
      <w:tcPr>
        <w:shd w:val="clear" w:color="auto" w:fill="FA7DA3"/>
      </w:tcPr>
    </w:tblStylePr>
    <w:tblStylePr w:type="firstCol">
      <w:rPr>
        <w:color w:val="FFFFFF"/>
      </w:rPr>
      <w:tblPr/>
      <w:tcPr>
        <w:shd w:val="clear" w:color="auto" w:fill="7F0429"/>
      </w:tcPr>
    </w:tblStylePr>
    <w:tblStylePr w:type="lastCol">
      <w:rPr>
        <w:color w:val="FFFFFF"/>
      </w:rPr>
      <w:tblPr/>
      <w:tcPr>
        <w:shd w:val="clear" w:color="auto" w:fill="7F0429"/>
      </w:tcPr>
    </w:tblStylePr>
    <w:tblStylePr w:type="band1Vert">
      <w:tblPr/>
      <w:tcPr>
        <w:shd w:val="clear" w:color="auto" w:fill="F95E8C"/>
      </w:tcPr>
    </w:tblStylePr>
    <w:tblStylePr w:type="band1Horz">
      <w:tblPr/>
      <w:tcPr>
        <w:shd w:val="clear" w:color="auto" w:fill="F95E8C"/>
      </w:tcPr>
    </w:tblStylePr>
  </w:style>
  <w:style w:type="table" w:customStyle="1" w:styleId="MediumShading2-Accent23">
    <w:name w:val="Medium Shading 2 - Accent 23"/>
    <w:basedOn w:val="TableNormal"/>
    <w:next w:val="MediumShading2-Accent2"/>
    <w:uiPriority w:val="64"/>
    <w:rsid w:val="00DA796D"/>
    <w:rPr>
      <w:rFonts w:ascii="Verdana" w:hAnsi="Verdana"/>
      <w:color w:val="FFFFFF"/>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F58A8"/>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F58A8"/>
      </w:tcPr>
    </w:tblStylePr>
    <w:tblStylePr w:type="lastCol">
      <w:rPr>
        <w:b/>
        <w:bCs/>
        <w:color w:val="FFFFFF"/>
      </w:rPr>
      <w:tblPr/>
      <w:tcPr>
        <w:tcBorders>
          <w:left w:val="nil"/>
          <w:right w:val="nil"/>
          <w:insideH w:val="nil"/>
          <w:insideV w:val="nil"/>
        </w:tcBorders>
        <w:shd w:val="clear" w:color="auto" w:fill="3F58A8"/>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Accent63">
    <w:name w:val="Colorful Grid - Accent 63"/>
    <w:basedOn w:val="TableNormal"/>
    <w:next w:val="ColorfulGrid-Accent6"/>
    <w:uiPriority w:val="73"/>
    <w:rsid w:val="00DA796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CBED1"/>
    </w:tcPr>
    <w:tblStylePr w:type="firstRow">
      <w:rPr>
        <w:b/>
        <w:bCs/>
      </w:rPr>
      <w:tblPr/>
      <w:tcPr>
        <w:shd w:val="clear" w:color="auto" w:fill="FA7DA3"/>
      </w:tcPr>
    </w:tblStylePr>
    <w:tblStylePr w:type="lastRow">
      <w:rPr>
        <w:b/>
        <w:bCs/>
        <w:color w:val="000000"/>
      </w:rPr>
      <w:tblPr/>
      <w:tcPr>
        <w:shd w:val="clear" w:color="auto" w:fill="FA7DA3"/>
      </w:tcPr>
    </w:tblStylePr>
    <w:tblStylePr w:type="firstCol">
      <w:rPr>
        <w:color w:val="FFFFFF"/>
      </w:rPr>
      <w:tblPr/>
      <w:tcPr>
        <w:shd w:val="clear" w:color="auto" w:fill="7F0429"/>
      </w:tcPr>
    </w:tblStylePr>
    <w:tblStylePr w:type="lastCol">
      <w:rPr>
        <w:color w:val="FFFFFF"/>
      </w:rPr>
      <w:tblPr/>
      <w:tcPr>
        <w:shd w:val="clear" w:color="auto" w:fill="7F0429"/>
      </w:tcPr>
    </w:tblStylePr>
    <w:tblStylePr w:type="band1Vert">
      <w:tblPr/>
      <w:tcPr>
        <w:shd w:val="clear" w:color="auto" w:fill="F95E8C"/>
      </w:tcPr>
    </w:tblStylePr>
    <w:tblStylePr w:type="band1Horz">
      <w:tblPr/>
      <w:tcPr>
        <w:shd w:val="clear" w:color="auto" w:fill="F95E8C"/>
      </w:tcPr>
    </w:tblStylePr>
  </w:style>
  <w:style w:type="table" w:customStyle="1" w:styleId="DarkList-Accent63">
    <w:name w:val="Dark List - Accent 63"/>
    <w:basedOn w:val="TableNormal"/>
    <w:next w:val="DarkList-Accent6"/>
    <w:uiPriority w:val="70"/>
    <w:rsid w:val="00DA796D"/>
    <w:rPr>
      <w:color w:val="FFFFFF"/>
    </w:rPr>
    <w:tblPr>
      <w:tblStyleRowBandSize w:val="1"/>
      <w:tblStyleColBandSize w:val="1"/>
      <w:tblInd w:w="0" w:type="dxa"/>
      <w:tblCellMar>
        <w:top w:w="0" w:type="dxa"/>
        <w:left w:w="108" w:type="dxa"/>
        <w:bottom w:w="0" w:type="dxa"/>
        <w:right w:w="108" w:type="dxa"/>
      </w:tblCellMar>
    </w:tblPr>
    <w:tcPr>
      <w:shd w:val="clear" w:color="auto" w:fill="AA063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4031B"/>
      </w:tcPr>
    </w:tblStylePr>
    <w:tblStylePr w:type="firstCol">
      <w:tblPr/>
      <w:tcPr>
        <w:tcBorders>
          <w:top w:val="nil"/>
          <w:left w:val="nil"/>
          <w:bottom w:val="nil"/>
          <w:right w:val="single" w:sz="18" w:space="0" w:color="FFFFFF"/>
          <w:insideH w:val="nil"/>
          <w:insideV w:val="nil"/>
        </w:tcBorders>
        <w:shd w:val="clear" w:color="auto" w:fill="7F0429"/>
      </w:tcPr>
    </w:tblStylePr>
    <w:tblStylePr w:type="lastCol">
      <w:tblPr/>
      <w:tcPr>
        <w:tcBorders>
          <w:top w:val="nil"/>
          <w:left w:val="single" w:sz="18" w:space="0" w:color="FFFFFF"/>
          <w:bottom w:val="nil"/>
          <w:right w:val="nil"/>
          <w:insideH w:val="nil"/>
          <w:insideV w:val="nil"/>
        </w:tcBorders>
        <w:shd w:val="clear" w:color="auto" w:fill="7F0429"/>
      </w:tcPr>
    </w:tblStylePr>
    <w:tblStylePr w:type="band1Vert">
      <w:tblPr/>
      <w:tcPr>
        <w:tcBorders>
          <w:top w:val="nil"/>
          <w:left w:val="nil"/>
          <w:bottom w:val="nil"/>
          <w:right w:val="nil"/>
          <w:insideH w:val="nil"/>
          <w:insideV w:val="nil"/>
        </w:tcBorders>
        <w:shd w:val="clear" w:color="auto" w:fill="7F0429"/>
      </w:tcPr>
    </w:tblStylePr>
    <w:tblStylePr w:type="band1Horz">
      <w:tblPr/>
      <w:tcPr>
        <w:tcBorders>
          <w:top w:val="nil"/>
          <w:left w:val="nil"/>
          <w:bottom w:val="nil"/>
          <w:right w:val="nil"/>
          <w:insideH w:val="nil"/>
          <w:insideV w:val="nil"/>
        </w:tcBorders>
        <w:shd w:val="clear" w:color="auto" w:fill="7F0429"/>
      </w:tcPr>
    </w:tblStylePr>
  </w:style>
  <w:style w:type="table" w:customStyle="1" w:styleId="MediumShading1-Accent33">
    <w:name w:val="Medium Shading 1 - Accent 33"/>
    <w:basedOn w:val="TableNormal"/>
    <w:next w:val="MediumShading1-Accent3"/>
    <w:uiPriority w:val="63"/>
    <w:rsid w:val="00DA796D"/>
    <w:tblPr>
      <w:tblStyleRowBandSize w:val="1"/>
      <w:tblStyleColBandSize w:val="1"/>
      <w:tblInd w:w="0" w:type="dxa"/>
      <w:tblBorders>
        <w:top w:val="single" w:sz="8" w:space="0" w:color="auto"/>
        <w:bottom w:val="single" w:sz="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D5DDF0"/>
          <w:left w:val="single" w:sz="8" w:space="0" w:color="D5DDF0"/>
          <w:bottom w:val="single" w:sz="8" w:space="0" w:color="D5DDF0"/>
          <w:right w:val="single" w:sz="8" w:space="0" w:color="D5DDF0"/>
          <w:insideH w:val="nil"/>
          <w:insideV w:val="nil"/>
        </w:tcBorders>
        <w:shd w:val="clear" w:color="auto" w:fill="C8D2EB"/>
      </w:tcPr>
    </w:tblStylePr>
    <w:tblStylePr w:type="lastRow">
      <w:pPr>
        <w:spacing w:before="0" w:after="0" w:line="240" w:lineRule="auto"/>
      </w:pPr>
      <w:rPr>
        <w:b/>
        <w:bCs/>
      </w:rPr>
      <w:tblPr/>
      <w:tcPr>
        <w:tcBorders>
          <w:top w:val="double" w:sz="6" w:space="0" w:color="D5DDF0"/>
          <w:left w:val="single" w:sz="8" w:space="0" w:color="D5DDF0"/>
          <w:bottom w:val="single" w:sz="8" w:space="0" w:color="D5DDF0"/>
          <w:right w:val="single" w:sz="8" w:space="0" w:color="D5DDF0"/>
          <w:insideH w:val="nil"/>
          <w:insideV w:val="nil"/>
        </w:tcBorders>
      </w:tcPr>
    </w:tblStylePr>
    <w:tblStylePr w:type="firstCol">
      <w:rPr>
        <w:b/>
        <w:bCs/>
      </w:rPr>
    </w:tblStylePr>
    <w:tblStylePr w:type="lastCol">
      <w:rPr>
        <w:b/>
        <w:bCs/>
      </w:rPr>
    </w:tblStylePr>
    <w:tblStylePr w:type="band1Vert">
      <w:tblPr/>
      <w:tcPr>
        <w:shd w:val="clear" w:color="auto" w:fill="F1F3FA"/>
      </w:tcPr>
    </w:tblStylePr>
    <w:tblStylePr w:type="band1Horz">
      <w:tblPr/>
      <w:tcPr>
        <w:tcBorders>
          <w:insideH w:val="nil"/>
          <w:insideV w:val="nil"/>
        </w:tcBorders>
        <w:shd w:val="clear" w:color="auto" w:fill="F1F3FA"/>
      </w:tcPr>
    </w:tblStylePr>
    <w:tblStylePr w:type="band2Horz">
      <w:tblPr/>
      <w:tcPr>
        <w:tcBorders>
          <w:insideH w:val="nil"/>
          <w:insideV w:val="nil"/>
        </w:tcBorders>
      </w:tcPr>
    </w:tblStylePr>
  </w:style>
  <w:style w:type="table" w:customStyle="1" w:styleId="SPRCReporttablefinal3">
    <w:name w:val="SPRC Report table final3"/>
    <w:basedOn w:val="ColorfulShading-Accent1"/>
    <w:uiPriority w:val="99"/>
    <w:qFormat/>
    <w:rsid w:val="00DA796D"/>
    <w:rPr>
      <w:rFonts w:ascii="Sommet" w:hAnsi="Sommet"/>
      <w:sz w:val="24"/>
      <w:szCs w:val="20"/>
      <w:lang w:eastAsia="en-US"/>
    </w:rPr>
    <w:tblPr>
      <w:tblStyleRowBandSize w:val="1"/>
      <w:tblStyleColBandSize w:val="1"/>
      <w:tblInd w:w="0" w:type="dxa"/>
      <w:tblBorders>
        <w:left w:val="single" w:sz="4" w:space="0" w:color="263C88"/>
        <w:right w:val="single" w:sz="4" w:space="0" w:color="263C88"/>
        <w:insideH w:val="single" w:sz="4" w:space="0" w:color="FFFFFF"/>
        <w:insideV w:val="single" w:sz="4" w:space="0" w:color="FFFFFF"/>
      </w:tblBorders>
      <w:tblCellMar>
        <w:top w:w="0" w:type="dxa"/>
        <w:left w:w="108" w:type="dxa"/>
        <w:bottom w:w="0" w:type="dxa"/>
        <w:right w:w="108" w:type="dxa"/>
      </w:tblCellMar>
    </w:tblPr>
    <w:tcPr>
      <w:shd w:val="clear" w:color="auto" w:fill="E5E9F7"/>
    </w:tcPr>
    <w:tblStylePr w:type="firstRow">
      <w:rPr>
        <w:b/>
        <w:bCs/>
      </w:rPr>
      <w:tblPr/>
      <w:tcPr>
        <w:tcBorders>
          <w:top w:val="nil"/>
          <w:left w:val="nil"/>
          <w:bottom w:val="single" w:sz="24" w:space="0" w:color="3F58A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62351"/>
      </w:tcPr>
    </w:tblStylePr>
    <w:tblStylePr w:type="firstCol">
      <w:rPr>
        <w:color w:val="FFFFFF"/>
      </w:rPr>
      <w:tblPr/>
      <w:tcPr>
        <w:tcBorders>
          <w:top w:val="nil"/>
          <w:left w:val="nil"/>
          <w:bottom w:val="nil"/>
          <w:right w:val="nil"/>
          <w:insideH w:val="single" w:sz="4" w:space="0" w:color="162351"/>
          <w:insideV w:val="nil"/>
        </w:tcBorders>
        <w:shd w:val="clear" w:color="auto" w:fill="162351"/>
      </w:tcPr>
    </w:tblStylePr>
    <w:tblStylePr w:type="lastCol">
      <w:rPr>
        <w:color w:val="FFFFFF"/>
      </w:rPr>
      <w:tblPr/>
      <w:tcPr>
        <w:tcBorders>
          <w:top w:val="nil"/>
          <w:left w:val="nil"/>
          <w:bottom w:val="nil"/>
          <w:right w:val="nil"/>
          <w:insideH w:val="nil"/>
          <w:insideV w:val="nil"/>
        </w:tcBorders>
        <w:shd w:val="clear" w:color="auto" w:fill="162351"/>
      </w:tcPr>
    </w:tblStylePr>
    <w:tblStylePr w:type="band1Vert">
      <w:tblPr/>
      <w:tcPr>
        <w:shd w:val="clear" w:color="auto" w:fill="95A6E1"/>
      </w:tcPr>
    </w:tblStylePr>
    <w:tblStylePr w:type="band1Horz">
      <w:tblPr/>
      <w:tcPr>
        <w:shd w:val="clear" w:color="auto" w:fill="7B90DA"/>
      </w:tcPr>
    </w:tblStylePr>
    <w:tblStylePr w:type="neCell">
      <w:rPr>
        <w:color w:val="000000"/>
      </w:rPr>
    </w:tblStylePr>
    <w:tblStylePr w:type="nwCell">
      <w:rPr>
        <w:color w:val="000000"/>
      </w:rPr>
    </w:tblStylePr>
  </w:style>
  <w:style w:type="table" w:customStyle="1" w:styleId="ColorfulShading-Accent13">
    <w:name w:val="Colorful Shading - Accent 13"/>
    <w:basedOn w:val="TableNormal"/>
    <w:next w:val="ColorfulShading-Accent1"/>
    <w:uiPriority w:val="71"/>
    <w:rsid w:val="00DA796D"/>
    <w:rPr>
      <w:color w:val="000000"/>
    </w:rPr>
    <w:tblPr>
      <w:tblStyleRowBandSize w:val="1"/>
      <w:tblStyleColBandSize w:val="1"/>
      <w:tblInd w:w="0" w:type="dxa"/>
      <w:tblBorders>
        <w:top w:val="single" w:sz="24" w:space="0" w:color="3F58A8"/>
        <w:left w:val="single" w:sz="4" w:space="0" w:color="263C88"/>
        <w:bottom w:val="single" w:sz="4" w:space="0" w:color="263C88"/>
        <w:right w:val="single" w:sz="4" w:space="0" w:color="263C88"/>
        <w:insideH w:val="single" w:sz="4" w:space="0" w:color="FFFFFF"/>
        <w:insideV w:val="single" w:sz="4" w:space="0" w:color="FFFFFF"/>
      </w:tblBorders>
      <w:tblCellMar>
        <w:top w:w="0" w:type="dxa"/>
        <w:left w:w="108" w:type="dxa"/>
        <w:bottom w:w="0" w:type="dxa"/>
        <w:right w:w="108" w:type="dxa"/>
      </w:tblCellMar>
    </w:tblPr>
    <w:tcPr>
      <w:shd w:val="clear" w:color="auto" w:fill="E5E9F7"/>
    </w:tcPr>
    <w:tblStylePr w:type="firstRow">
      <w:rPr>
        <w:b/>
        <w:bCs/>
      </w:rPr>
      <w:tblPr/>
      <w:tcPr>
        <w:tcBorders>
          <w:top w:val="nil"/>
          <w:left w:val="nil"/>
          <w:bottom w:val="single" w:sz="24" w:space="0" w:color="3F58A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62351"/>
      </w:tcPr>
    </w:tblStylePr>
    <w:tblStylePr w:type="firstCol">
      <w:rPr>
        <w:color w:val="FFFFFF"/>
      </w:rPr>
      <w:tblPr/>
      <w:tcPr>
        <w:tcBorders>
          <w:top w:val="nil"/>
          <w:left w:val="nil"/>
          <w:bottom w:val="nil"/>
          <w:right w:val="nil"/>
          <w:insideH w:val="single" w:sz="4" w:space="0" w:color="162351"/>
          <w:insideV w:val="nil"/>
        </w:tcBorders>
        <w:shd w:val="clear" w:color="auto" w:fill="162351"/>
      </w:tcPr>
    </w:tblStylePr>
    <w:tblStylePr w:type="lastCol">
      <w:rPr>
        <w:color w:val="FFFFFF"/>
      </w:rPr>
      <w:tblPr/>
      <w:tcPr>
        <w:tcBorders>
          <w:top w:val="nil"/>
          <w:left w:val="nil"/>
          <w:bottom w:val="nil"/>
          <w:right w:val="nil"/>
          <w:insideH w:val="nil"/>
          <w:insideV w:val="nil"/>
        </w:tcBorders>
        <w:shd w:val="clear" w:color="auto" w:fill="162351"/>
      </w:tcPr>
    </w:tblStylePr>
    <w:tblStylePr w:type="band1Vert">
      <w:tblPr/>
      <w:tcPr>
        <w:shd w:val="clear" w:color="auto" w:fill="95A6E1"/>
      </w:tcPr>
    </w:tblStylePr>
    <w:tblStylePr w:type="band1Horz">
      <w:tblPr/>
      <w:tcPr>
        <w:shd w:val="clear" w:color="auto" w:fill="7B90DA"/>
      </w:tcPr>
    </w:tblStylePr>
    <w:tblStylePr w:type="neCell">
      <w:rPr>
        <w:color w:val="000000"/>
      </w:rPr>
    </w:tblStylePr>
    <w:tblStylePr w:type="nwCell">
      <w:rPr>
        <w:color w:val="000000"/>
      </w:rPr>
    </w:tblStylePr>
  </w:style>
  <w:style w:type="table" w:customStyle="1" w:styleId="LightShading-Accent43">
    <w:name w:val="Light Shading - Accent 43"/>
    <w:basedOn w:val="TableNormal"/>
    <w:next w:val="LightShading-Accent4"/>
    <w:uiPriority w:val="60"/>
    <w:rsid w:val="00DA796D"/>
    <w:rPr>
      <w:color w:val="7E95CF"/>
    </w:rPr>
    <w:tblPr>
      <w:tblStyleRowBandSize w:val="1"/>
      <w:tblStyleColBandSize w:val="1"/>
      <w:tblInd w:w="0" w:type="dxa"/>
      <w:tblBorders>
        <w:top w:val="single" w:sz="8" w:space="0" w:color="D1D9EE"/>
        <w:bottom w:val="single" w:sz="8" w:space="0" w:color="D1D9EE"/>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1D9EE"/>
          <w:left w:val="nil"/>
          <w:bottom w:val="single" w:sz="8" w:space="0" w:color="D1D9EE"/>
          <w:right w:val="nil"/>
          <w:insideH w:val="nil"/>
          <w:insideV w:val="nil"/>
        </w:tcBorders>
      </w:tcPr>
    </w:tblStylePr>
    <w:tblStylePr w:type="lastRow">
      <w:pPr>
        <w:spacing w:before="0" w:after="0" w:line="240" w:lineRule="auto"/>
      </w:pPr>
      <w:rPr>
        <w:b/>
        <w:bCs/>
      </w:rPr>
      <w:tblPr/>
      <w:tcPr>
        <w:tcBorders>
          <w:top w:val="single" w:sz="8" w:space="0" w:color="D1D9EE"/>
          <w:left w:val="nil"/>
          <w:bottom w:val="single" w:sz="8" w:space="0" w:color="D1D9E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5FA"/>
      </w:tcPr>
    </w:tblStylePr>
    <w:tblStylePr w:type="band1Horz">
      <w:tblPr/>
      <w:tcPr>
        <w:tcBorders>
          <w:left w:val="nil"/>
          <w:right w:val="nil"/>
          <w:insideH w:val="nil"/>
          <w:insideV w:val="nil"/>
        </w:tcBorders>
        <w:shd w:val="clear" w:color="auto" w:fill="F3F5FA"/>
      </w:tcPr>
    </w:tblStylePr>
  </w:style>
  <w:style w:type="table" w:customStyle="1" w:styleId="SPRCtablev13">
    <w:name w:val="SPRC table v13"/>
    <w:basedOn w:val="TableNormal"/>
    <w:uiPriority w:val="99"/>
    <w:qFormat/>
    <w:rsid w:val="00DA796D"/>
    <w:rPr>
      <w:rFonts w:ascii="Helvetica" w:hAnsi="Helvetica"/>
      <w:sz w:val="24"/>
    </w:rPr>
    <w:tblPr>
      <w:tblInd w:w="0" w:type="dxa"/>
      <w:tblCellMar>
        <w:top w:w="0" w:type="dxa"/>
        <w:left w:w="108" w:type="dxa"/>
        <w:bottom w:w="0" w:type="dxa"/>
        <w:right w:w="108" w:type="dxa"/>
      </w:tblCellMar>
    </w:tblPr>
  </w:style>
  <w:style w:type="table" w:customStyle="1" w:styleId="TableGrid13">
    <w:name w:val="Table Grid13"/>
    <w:basedOn w:val="TableNormal"/>
    <w:next w:val="TableGrid"/>
    <w:uiPriority w:val="59"/>
    <w:rsid w:val="00DA796D"/>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PRC-docs-style3">
    <w:name w:val="SPRC-docs-style3"/>
    <w:uiPriority w:val="99"/>
    <w:rsid w:val="00DA796D"/>
  </w:style>
  <w:style w:type="numbering" w:customStyle="1" w:styleId="SPRC-style2">
    <w:name w:val="SPRC-style2"/>
    <w:uiPriority w:val="99"/>
    <w:rsid w:val="00DA796D"/>
  </w:style>
  <w:style w:type="numbering" w:customStyle="1" w:styleId="SPRC-style11">
    <w:name w:val="SPRC-style11"/>
    <w:uiPriority w:val="99"/>
    <w:rsid w:val="00DA796D"/>
  </w:style>
  <w:style w:type="numbering" w:customStyle="1" w:styleId="NoList11">
    <w:name w:val="No List11"/>
    <w:next w:val="NoList"/>
    <w:uiPriority w:val="99"/>
    <w:semiHidden/>
    <w:unhideWhenUsed/>
    <w:rsid w:val="00DA796D"/>
  </w:style>
  <w:style w:type="table" w:customStyle="1" w:styleId="TableGrid21">
    <w:name w:val="Table Grid21"/>
    <w:basedOn w:val="TableNormal"/>
    <w:next w:val="TableGrid"/>
    <w:uiPriority w:val="59"/>
    <w:rsid w:val="00DA79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yle111">
    <w:name w:val="Style111"/>
    <w:uiPriority w:val="99"/>
    <w:rsid w:val="00DA796D"/>
    <w:pPr>
      <w:keepLines/>
      <w:spacing w:after="160" w:line="288" w:lineRule="auto"/>
      <w:ind w:left="2160"/>
    </w:pPr>
    <w:rPr>
      <w:lang w:val="en-US" w:eastAsia="zh-CN" w:bidi="en-US"/>
    </w:rPr>
    <w:tblPr>
      <w:tblInd w:w="0" w:type="dxa"/>
      <w:tblBorders>
        <w:top w:val="single" w:sz="4" w:space="0" w:color="auto"/>
        <w:bottom w:val="single" w:sz="4" w:space="0" w:color="auto"/>
      </w:tblBorders>
      <w:tblCellMar>
        <w:top w:w="0" w:type="dxa"/>
        <w:left w:w="108" w:type="dxa"/>
        <w:bottom w:w="0" w:type="dxa"/>
        <w:right w:w="108" w:type="dxa"/>
      </w:tblCellMar>
    </w:tblPr>
  </w:style>
  <w:style w:type="table" w:customStyle="1" w:styleId="LightList-Accent1111">
    <w:name w:val="Light List - Accent 1111"/>
    <w:basedOn w:val="TableNormal"/>
    <w:uiPriority w:val="61"/>
    <w:rsid w:val="00DA796D"/>
    <w:tblPr>
      <w:tblStyleRowBandSize w:val="1"/>
      <w:tblStyleColBandSize w:val="1"/>
      <w:tblInd w:w="0" w:type="dxa"/>
      <w:tblBorders>
        <w:top w:val="single" w:sz="8" w:space="0" w:color="263C88"/>
        <w:left w:val="single" w:sz="8" w:space="0" w:color="263C88"/>
        <w:bottom w:val="single" w:sz="8" w:space="0" w:color="263C88"/>
        <w:right w:val="single" w:sz="8" w:space="0" w:color="263C88"/>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263C88"/>
      </w:tcPr>
    </w:tblStylePr>
    <w:tblStylePr w:type="lastRow">
      <w:pPr>
        <w:spacing w:before="0" w:after="0" w:line="240" w:lineRule="auto"/>
      </w:pPr>
      <w:rPr>
        <w:b/>
        <w:bCs/>
      </w:rPr>
      <w:tblPr/>
      <w:tcPr>
        <w:tcBorders>
          <w:top w:val="double" w:sz="6" w:space="0" w:color="263C88"/>
          <w:left w:val="single" w:sz="8" w:space="0" w:color="263C88"/>
          <w:bottom w:val="single" w:sz="8" w:space="0" w:color="263C88"/>
          <w:right w:val="single" w:sz="8" w:space="0" w:color="263C88"/>
        </w:tcBorders>
      </w:tcPr>
    </w:tblStylePr>
    <w:tblStylePr w:type="firstCol">
      <w:rPr>
        <w:b/>
        <w:bCs/>
      </w:rPr>
    </w:tblStylePr>
    <w:tblStylePr w:type="lastCol">
      <w:rPr>
        <w:b/>
        <w:bCs/>
      </w:rPr>
    </w:tblStylePr>
    <w:tblStylePr w:type="band1Vert">
      <w:tblPr/>
      <w:tcPr>
        <w:tcBorders>
          <w:top w:val="single" w:sz="8" w:space="0" w:color="263C88"/>
          <w:left w:val="single" w:sz="8" w:space="0" w:color="263C88"/>
          <w:bottom w:val="single" w:sz="8" w:space="0" w:color="263C88"/>
          <w:right w:val="single" w:sz="8" w:space="0" w:color="263C88"/>
        </w:tcBorders>
      </w:tcPr>
    </w:tblStylePr>
    <w:tblStylePr w:type="band1Horz">
      <w:tblPr/>
      <w:tcPr>
        <w:tcBorders>
          <w:top w:val="single" w:sz="8" w:space="0" w:color="263C88"/>
          <w:left w:val="single" w:sz="8" w:space="0" w:color="263C88"/>
          <w:bottom w:val="single" w:sz="8" w:space="0" w:color="263C88"/>
          <w:right w:val="single" w:sz="8" w:space="0" w:color="263C88"/>
        </w:tcBorders>
      </w:tcPr>
    </w:tblStylePr>
  </w:style>
  <w:style w:type="table" w:customStyle="1" w:styleId="LightList-Accent211">
    <w:name w:val="Light List - Accent 211"/>
    <w:basedOn w:val="TableNormal"/>
    <w:next w:val="LightList-Accent2"/>
    <w:uiPriority w:val="61"/>
    <w:rsid w:val="00DA796D"/>
    <w:tblPr>
      <w:tblStyleRowBandSize w:val="1"/>
      <w:tblStyleColBandSize w:val="1"/>
      <w:tblInd w:w="0" w:type="dxa"/>
      <w:tblBorders>
        <w:top w:val="single" w:sz="8" w:space="0" w:color="3F58A8"/>
        <w:left w:val="single" w:sz="8" w:space="0" w:color="3F58A8"/>
        <w:bottom w:val="single" w:sz="8" w:space="0" w:color="3F58A8"/>
        <w:right w:val="single" w:sz="8" w:space="0" w:color="3F58A8"/>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3F58A8"/>
      </w:tcPr>
    </w:tblStylePr>
    <w:tblStylePr w:type="lastRow">
      <w:pPr>
        <w:spacing w:before="0" w:after="0" w:line="240" w:lineRule="auto"/>
      </w:pPr>
      <w:rPr>
        <w:b/>
        <w:bCs/>
      </w:rPr>
      <w:tblPr/>
      <w:tcPr>
        <w:tcBorders>
          <w:top w:val="double" w:sz="6" w:space="0" w:color="3F58A8"/>
          <w:left w:val="single" w:sz="8" w:space="0" w:color="3F58A8"/>
          <w:bottom w:val="single" w:sz="8" w:space="0" w:color="3F58A8"/>
          <w:right w:val="single" w:sz="8" w:space="0" w:color="3F58A8"/>
        </w:tcBorders>
      </w:tcPr>
    </w:tblStylePr>
    <w:tblStylePr w:type="firstCol">
      <w:rPr>
        <w:b/>
        <w:bCs/>
      </w:rPr>
    </w:tblStylePr>
    <w:tblStylePr w:type="lastCol">
      <w:rPr>
        <w:b/>
        <w:bCs/>
      </w:rPr>
    </w:tblStylePr>
    <w:tblStylePr w:type="band1Vert">
      <w:tblPr/>
      <w:tcPr>
        <w:tcBorders>
          <w:top w:val="single" w:sz="8" w:space="0" w:color="3F58A8"/>
          <w:left w:val="single" w:sz="8" w:space="0" w:color="3F58A8"/>
          <w:bottom w:val="single" w:sz="8" w:space="0" w:color="3F58A8"/>
          <w:right w:val="single" w:sz="8" w:space="0" w:color="3F58A8"/>
        </w:tcBorders>
      </w:tcPr>
    </w:tblStylePr>
    <w:tblStylePr w:type="band1Horz">
      <w:tblPr/>
      <w:tcPr>
        <w:tcBorders>
          <w:top w:val="single" w:sz="8" w:space="0" w:color="3F58A8"/>
          <w:left w:val="single" w:sz="8" w:space="0" w:color="3F58A8"/>
          <w:bottom w:val="single" w:sz="8" w:space="0" w:color="3F58A8"/>
          <w:right w:val="single" w:sz="8" w:space="0" w:color="3F58A8"/>
        </w:tcBorders>
      </w:tcPr>
    </w:tblStylePr>
  </w:style>
  <w:style w:type="table" w:customStyle="1" w:styleId="SPRC11">
    <w:name w:val="SPRC11"/>
    <w:basedOn w:val="TableNormal"/>
    <w:uiPriority w:val="99"/>
    <w:rsid w:val="00DA796D"/>
    <w:rPr>
      <w:rFonts w:ascii="Helvetica" w:hAnsi="Helvetica"/>
      <w:sz w:val="24"/>
    </w:rPr>
    <w:tblPr>
      <w:tblInd w:w="0" w:type="dxa"/>
      <w:tblBorders>
        <w:top w:val="single" w:sz="8" w:space="0" w:color="auto"/>
        <w:left w:val="single" w:sz="8" w:space="0" w:color="auto"/>
        <w:bottom w:val="single" w:sz="8" w:space="0" w:color="auto"/>
        <w:right w:val="single" w:sz="8" w:space="0" w:color="auto"/>
      </w:tblBorders>
      <w:tblCellMar>
        <w:top w:w="0" w:type="dxa"/>
        <w:left w:w="108" w:type="dxa"/>
        <w:bottom w:w="0" w:type="dxa"/>
        <w:right w:w="108" w:type="dxa"/>
      </w:tblCellMar>
    </w:tblPr>
    <w:tblStylePr w:type="firstRow">
      <w:rPr>
        <w:rFonts w:ascii="Helvetica" w:hAnsi="Helvetica"/>
        <w:b w:val="0"/>
        <w:i w:val="0"/>
        <w:color w:val="auto"/>
        <w:sz w:val="24"/>
        <w:u w:val="none"/>
      </w:rPr>
    </w:tblStylePr>
  </w:style>
  <w:style w:type="table" w:customStyle="1" w:styleId="SPRCtables11">
    <w:name w:val="SPRC tables11"/>
    <w:basedOn w:val="ColorfulGrid-Accent6"/>
    <w:uiPriority w:val="99"/>
    <w:qFormat/>
    <w:rsid w:val="00DA796D"/>
    <w:tblPr>
      <w:tblStyleRowBandSize w:val="1"/>
      <w:tblStyleColBandSize w:val="1"/>
      <w:tblInd w:w="0" w:type="dxa"/>
      <w:tblBorders>
        <w:top w:val="single" w:sz="6" w:space="0" w:color="D1D9EE"/>
        <w:bottom w:val="single" w:sz="6" w:space="0" w:color="D1D9EE"/>
        <w:insideH w:val="single" w:sz="6" w:space="0" w:color="D1D9EE"/>
      </w:tblBorders>
      <w:tblCellMar>
        <w:top w:w="0" w:type="dxa"/>
        <w:left w:w="108" w:type="dxa"/>
        <w:bottom w:w="0" w:type="dxa"/>
        <w:right w:w="108" w:type="dxa"/>
      </w:tblCellMar>
    </w:tblPr>
    <w:tcPr>
      <w:shd w:val="clear" w:color="auto" w:fill="3F58A8"/>
    </w:tcPr>
    <w:tblStylePr w:type="firstRow">
      <w:rPr>
        <w:b/>
        <w:bCs/>
      </w:rPr>
      <w:tblPr/>
      <w:tcPr>
        <w:shd w:val="clear" w:color="auto" w:fill="FA7DA3"/>
      </w:tcPr>
    </w:tblStylePr>
    <w:tblStylePr w:type="lastRow">
      <w:rPr>
        <w:b/>
        <w:bCs/>
        <w:color w:val="000000"/>
      </w:rPr>
      <w:tblPr/>
      <w:tcPr>
        <w:shd w:val="clear" w:color="auto" w:fill="FA7DA3"/>
      </w:tcPr>
    </w:tblStylePr>
    <w:tblStylePr w:type="firstCol">
      <w:rPr>
        <w:color w:val="FFFFFF"/>
      </w:rPr>
      <w:tblPr/>
      <w:tcPr>
        <w:shd w:val="clear" w:color="auto" w:fill="7F0429"/>
      </w:tcPr>
    </w:tblStylePr>
    <w:tblStylePr w:type="lastCol">
      <w:rPr>
        <w:color w:val="FFFFFF"/>
      </w:rPr>
      <w:tblPr/>
      <w:tcPr>
        <w:shd w:val="clear" w:color="auto" w:fill="7F0429"/>
      </w:tcPr>
    </w:tblStylePr>
    <w:tblStylePr w:type="band1Vert">
      <w:tblPr/>
      <w:tcPr>
        <w:shd w:val="clear" w:color="auto" w:fill="F95E8C"/>
      </w:tcPr>
    </w:tblStylePr>
    <w:tblStylePr w:type="band1Horz">
      <w:tblPr/>
      <w:tcPr>
        <w:shd w:val="clear" w:color="auto" w:fill="F95E8C"/>
      </w:tcPr>
    </w:tblStylePr>
  </w:style>
  <w:style w:type="table" w:customStyle="1" w:styleId="MediumShading2-Accent211">
    <w:name w:val="Medium Shading 2 - Accent 211"/>
    <w:basedOn w:val="TableNormal"/>
    <w:next w:val="MediumShading2-Accent2"/>
    <w:uiPriority w:val="64"/>
    <w:rsid w:val="00DA796D"/>
    <w:rPr>
      <w:rFonts w:ascii="Verdana" w:hAnsi="Verdana"/>
      <w:color w:val="FFFFFF"/>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F58A8"/>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F58A8"/>
      </w:tcPr>
    </w:tblStylePr>
    <w:tblStylePr w:type="lastCol">
      <w:rPr>
        <w:b/>
        <w:bCs/>
        <w:color w:val="FFFFFF"/>
      </w:rPr>
      <w:tblPr/>
      <w:tcPr>
        <w:tcBorders>
          <w:left w:val="nil"/>
          <w:right w:val="nil"/>
          <w:insideH w:val="nil"/>
          <w:insideV w:val="nil"/>
        </w:tcBorders>
        <w:shd w:val="clear" w:color="auto" w:fill="3F58A8"/>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Accent611">
    <w:name w:val="Colorful Grid - Accent 611"/>
    <w:basedOn w:val="TableNormal"/>
    <w:next w:val="ColorfulGrid-Accent6"/>
    <w:uiPriority w:val="73"/>
    <w:rsid w:val="00DA796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CBED1"/>
    </w:tcPr>
    <w:tblStylePr w:type="firstRow">
      <w:rPr>
        <w:b/>
        <w:bCs/>
      </w:rPr>
      <w:tblPr/>
      <w:tcPr>
        <w:shd w:val="clear" w:color="auto" w:fill="FA7DA3"/>
      </w:tcPr>
    </w:tblStylePr>
    <w:tblStylePr w:type="lastRow">
      <w:rPr>
        <w:b/>
        <w:bCs/>
        <w:color w:val="000000"/>
      </w:rPr>
      <w:tblPr/>
      <w:tcPr>
        <w:shd w:val="clear" w:color="auto" w:fill="FA7DA3"/>
      </w:tcPr>
    </w:tblStylePr>
    <w:tblStylePr w:type="firstCol">
      <w:rPr>
        <w:color w:val="FFFFFF"/>
      </w:rPr>
      <w:tblPr/>
      <w:tcPr>
        <w:shd w:val="clear" w:color="auto" w:fill="7F0429"/>
      </w:tcPr>
    </w:tblStylePr>
    <w:tblStylePr w:type="lastCol">
      <w:rPr>
        <w:color w:val="FFFFFF"/>
      </w:rPr>
      <w:tblPr/>
      <w:tcPr>
        <w:shd w:val="clear" w:color="auto" w:fill="7F0429"/>
      </w:tcPr>
    </w:tblStylePr>
    <w:tblStylePr w:type="band1Vert">
      <w:tblPr/>
      <w:tcPr>
        <w:shd w:val="clear" w:color="auto" w:fill="F95E8C"/>
      </w:tcPr>
    </w:tblStylePr>
    <w:tblStylePr w:type="band1Horz">
      <w:tblPr/>
      <w:tcPr>
        <w:shd w:val="clear" w:color="auto" w:fill="F95E8C"/>
      </w:tcPr>
    </w:tblStylePr>
  </w:style>
  <w:style w:type="table" w:customStyle="1" w:styleId="DarkList-Accent611">
    <w:name w:val="Dark List - Accent 611"/>
    <w:basedOn w:val="TableNormal"/>
    <w:next w:val="DarkList-Accent6"/>
    <w:uiPriority w:val="70"/>
    <w:rsid w:val="00DA796D"/>
    <w:rPr>
      <w:color w:val="FFFFFF"/>
    </w:rPr>
    <w:tblPr>
      <w:tblStyleRowBandSize w:val="1"/>
      <w:tblStyleColBandSize w:val="1"/>
      <w:tblInd w:w="0" w:type="dxa"/>
      <w:tblCellMar>
        <w:top w:w="0" w:type="dxa"/>
        <w:left w:w="108" w:type="dxa"/>
        <w:bottom w:w="0" w:type="dxa"/>
        <w:right w:w="108" w:type="dxa"/>
      </w:tblCellMar>
    </w:tblPr>
    <w:tcPr>
      <w:shd w:val="clear" w:color="auto" w:fill="AA063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4031B"/>
      </w:tcPr>
    </w:tblStylePr>
    <w:tblStylePr w:type="firstCol">
      <w:tblPr/>
      <w:tcPr>
        <w:tcBorders>
          <w:top w:val="nil"/>
          <w:left w:val="nil"/>
          <w:bottom w:val="nil"/>
          <w:right w:val="single" w:sz="18" w:space="0" w:color="FFFFFF"/>
          <w:insideH w:val="nil"/>
          <w:insideV w:val="nil"/>
        </w:tcBorders>
        <w:shd w:val="clear" w:color="auto" w:fill="7F0429"/>
      </w:tcPr>
    </w:tblStylePr>
    <w:tblStylePr w:type="lastCol">
      <w:tblPr/>
      <w:tcPr>
        <w:tcBorders>
          <w:top w:val="nil"/>
          <w:left w:val="single" w:sz="18" w:space="0" w:color="FFFFFF"/>
          <w:bottom w:val="nil"/>
          <w:right w:val="nil"/>
          <w:insideH w:val="nil"/>
          <w:insideV w:val="nil"/>
        </w:tcBorders>
        <w:shd w:val="clear" w:color="auto" w:fill="7F0429"/>
      </w:tcPr>
    </w:tblStylePr>
    <w:tblStylePr w:type="band1Vert">
      <w:tblPr/>
      <w:tcPr>
        <w:tcBorders>
          <w:top w:val="nil"/>
          <w:left w:val="nil"/>
          <w:bottom w:val="nil"/>
          <w:right w:val="nil"/>
          <w:insideH w:val="nil"/>
          <w:insideV w:val="nil"/>
        </w:tcBorders>
        <w:shd w:val="clear" w:color="auto" w:fill="7F0429"/>
      </w:tcPr>
    </w:tblStylePr>
    <w:tblStylePr w:type="band1Horz">
      <w:tblPr/>
      <w:tcPr>
        <w:tcBorders>
          <w:top w:val="nil"/>
          <w:left w:val="nil"/>
          <w:bottom w:val="nil"/>
          <w:right w:val="nil"/>
          <w:insideH w:val="nil"/>
          <w:insideV w:val="nil"/>
        </w:tcBorders>
        <w:shd w:val="clear" w:color="auto" w:fill="7F0429"/>
      </w:tcPr>
    </w:tblStylePr>
  </w:style>
  <w:style w:type="table" w:customStyle="1" w:styleId="MediumShading1-Accent311">
    <w:name w:val="Medium Shading 1 - Accent 311"/>
    <w:basedOn w:val="TableNormal"/>
    <w:next w:val="MediumShading1-Accent3"/>
    <w:uiPriority w:val="63"/>
    <w:rsid w:val="00DA796D"/>
    <w:tblPr>
      <w:tblStyleRowBandSize w:val="1"/>
      <w:tblStyleColBandSize w:val="1"/>
      <w:tblInd w:w="0" w:type="dxa"/>
      <w:tblBorders>
        <w:top w:val="single" w:sz="8" w:space="0" w:color="auto"/>
        <w:bottom w:val="single" w:sz="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D5DDF0"/>
          <w:left w:val="single" w:sz="8" w:space="0" w:color="D5DDF0"/>
          <w:bottom w:val="single" w:sz="8" w:space="0" w:color="D5DDF0"/>
          <w:right w:val="single" w:sz="8" w:space="0" w:color="D5DDF0"/>
          <w:insideH w:val="nil"/>
          <w:insideV w:val="nil"/>
        </w:tcBorders>
        <w:shd w:val="clear" w:color="auto" w:fill="C8D2EB"/>
      </w:tcPr>
    </w:tblStylePr>
    <w:tblStylePr w:type="lastRow">
      <w:pPr>
        <w:spacing w:before="0" w:after="0" w:line="240" w:lineRule="auto"/>
      </w:pPr>
      <w:rPr>
        <w:b/>
        <w:bCs/>
      </w:rPr>
      <w:tblPr/>
      <w:tcPr>
        <w:tcBorders>
          <w:top w:val="double" w:sz="6" w:space="0" w:color="D5DDF0"/>
          <w:left w:val="single" w:sz="8" w:space="0" w:color="D5DDF0"/>
          <w:bottom w:val="single" w:sz="8" w:space="0" w:color="D5DDF0"/>
          <w:right w:val="single" w:sz="8" w:space="0" w:color="D5DDF0"/>
          <w:insideH w:val="nil"/>
          <w:insideV w:val="nil"/>
        </w:tcBorders>
      </w:tcPr>
    </w:tblStylePr>
    <w:tblStylePr w:type="firstCol">
      <w:rPr>
        <w:b/>
        <w:bCs/>
      </w:rPr>
    </w:tblStylePr>
    <w:tblStylePr w:type="lastCol">
      <w:rPr>
        <w:b/>
        <w:bCs/>
      </w:rPr>
    </w:tblStylePr>
    <w:tblStylePr w:type="band1Vert">
      <w:tblPr/>
      <w:tcPr>
        <w:shd w:val="clear" w:color="auto" w:fill="F1F3FA"/>
      </w:tcPr>
    </w:tblStylePr>
    <w:tblStylePr w:type="band1Horz">
      <w:tblPr/>
      <w:tcPr>
        <w:tcBorders>
          <w:insideH w:val="nil"/>
          <w:insideV w:val="nil"/>
        </w:tcBorders>
        <w:shd w:val="clear" w:color="auto" w:fill="F1F3FA"/>
      </w:tcPr>
    </w:tblStylePr>
    <w:tblStylePr w:type="band2Horz">
      <w:tblPr/>
      <w:tcPr>
        <w:tcBorders>
          <w:insideH w:val="nil"/>
          <w:insideV w:val="nil"/>
        </w:tcBorders>
      </w:tcPr>
    </w:tblStylePr>
  </w:style>
  <w:style w:type="table" w:customStyle="1" w:styleId="SPRCReporttablefinal11">
    <w:name w:val="SPRC Report table final11"/>
    <w:basedOn w:val="ColorfulShading-Accent1"/>
    <w:uiPriority w:val="99"/>
    <w:qFormat/>
    <w:rsid w:val="00DA796D"/>
    <w:rPr>
      <w:rFonts w:ascii="Sommet" w:hAnsi="Sommet"/>
      <w:sz w:val="24"/>
      <w:szCs w:val="20"/>
    </w:rPr>
    <w:tblPr>
      <w:tblStyleRowBandSize w:val="1"/>
      <w:tblStyleColBandSize w:val="1"/>
      <w:tblInd w:w="0" w:type="dxa"/>
      <w:tblBorders>
        <w:left w:val="single" w:sz="4" w:space="0" w:color="263C88"/>
        <w:right w:val="single" w:sz="4" w:space="0" w:color="263C88"/>
        <w:insideH w:val="single" w:sz="4" w:space="0" w:color="FFFFFF"/>
        <w:insideV w:val="single" w:sz="4" w:space="0" w:color="FFFFFF"/>
      </w:tblBorders>
      <w:tblCellMar>
        <w:top w:w="0" w:type="dxa"/>
        <w:left w:w="108" w:type="dxa"/>
        <w:bottom w:w="0" w:type="dxa"/>
        <w:right w:w="108" w:type="dxa"/>
      </w:tblCellMar>
    </w:tblPr>
    <w:tcPr>
      <w:shd w:val="clear" w:color="auto" w:fill="E5E9F7"/>
    </w:tcPr>
    <w:tblStylePr w:type="firstRow">
      <w:rPr>
        <w:b/>
        <w:bCs/>
      </w:rPr>
      <w:tblPr/>
      <w:tcPr>
        <w:tcBorders>
          <w:top w:val="nil"/>
          <w:left w:val="nil"/>
          <w:bottom w:val="single" w:sz="24" w:space="0" w:color="3F58A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62351"/>
      </w:tcPr>
    </w:tblStylePr>
    <w:tblStylePr w:type="firstCol">
      <w:rPr>
        <w:color w:val="FFFFFF"/>
      </w:rPr>
      <w:tblPr/>
      <w:tcPr>
        <w:tcBorders>
          <w:top w:val="nil"/>
          <w:left w:val="nil"/>
          <w:bottom w:val="nil"/>
          <w:right w:val="nil"/>
          <w:insideH w:val="single" w:sz="4" w:space="0" w:color="162351"/>
          <w:insideV w:val="nil"/>
        </w:tcBorders>
        <w:shd w:val="clear" w:color="auto" w:fill="162351"/>
      </w:tcPr>
    </w:tblStylePr>
    <w:tblStylePr w:type="lastCol">
      <w:rPr>
        <w:color w:val="FFFFFF"/>
      </w:rPr>
      <w:tblPr/>
      <w:tcPr>
        <w:tcBorders>
          <w:top w:val="nil"/>
          <w:left w:val="nil"/>
          <w:bottom w:val="nil"/>
          <w:right w:val="nil"/>
          <w:insideH w:val="nil"/>
          <w:insideV w:val="nil"/>
        </w:tcBorders>
        <w:shd w:val="clear" w:color="auto" w:fill="162351"/>
      </w:tcPr>
    </w:tblStylePr>
    <w:tblStylePr w:type="band1Vert">
      <w:tblPr/>
      <w:tcPr>
        <w:shd w:val="clear" w:color="auto" w:fill="95A6E1"/>
      </w:tcPr>
    </w:tblStylePr>
    <w:tblStylePr w:type="band1Horz">
      <w:tblPr/>
      <w:tcPr>
        <w:shd w:val="clear" w:color="auto" w:fill="7B90DA"/>
      </w:tcPr>
    </w:tblStylePr>
    <w:tblStylePr w:type="neCell">
      <w:rPr>
        <w:color w:val="000000"/>
      </w:rPr>
    </w:tblStylePr>
    <w:tblStylePr w:type="nwCell">
      <w:rPr>
        <w:color w:val="000000"/>
      </w:rPr>
    </w:tblStylePr>
  </w:style>
  <w:style w:type="table" w:customStyle="1" w:styleId="ColorfulShading-Accent111">
    <w:name w:val="Colorful Shading - Accent 111"/>
    <w:basedOn w:val="TableNormal"/>
    <w:next w:val="ColorfulShading-Accent1"/>
    <w:uiPriority w:val="71"/>
    <w:rsid w:val="00DA796D"/>
    <w:rPr>
      <w:color w:val="000000"/>
    </w:rPr>
    <w:tblPr>
      <w:tblStyleRowBandSize w:val="1"/>
      <w:tblStyleColBandSize w:val="1"/>
      <w:tblInd w:w="0" w:type="dxa"/>
      <w:tblBorders>
        <w:top w:val="single" w:sz="24" w:space="0" w:color="3F58A8"/>
        <w:left w:val="single" w:sz="4" w:space="0" w:color="263C88"/>
        <w:bottom w:val="single" w:sz="4" w:space="0" w:color="263C88"/>
        <w:right w:val="single" w:sz="4" w:space="0" w:color="263C88"/>
        <w:insideH w:val="single" w:sz="4" w:space="0" w:color="FFFFFF"/>
        <w:insideV w:val="single" w:sz="4" w:space="0" w:color="FFFFFF"/>
      </w:tblBorders>
      <w:tblCellMar>
        <w:top w:w="0" w:type="dxa"/>
        <w:left w:w="108" w:type="dxa"/>
        <w:bottom w:w="0" w:type="dxa"/>
        <w:right w:w="108" w:type="dxa"/>
      </w:tblCellMar>
    </w:tblPr>
    <w:tcPr>
      <w:shd w:val="clear" w:color="auto" w:fill="E5E9F7"/>
    </w:tcPr>
    <w:tblStylePr w:type="firstRow">
      <w:rPr>
        <w:b/>
        <w:bCs/>
      </w:rPr>
      <w:tblPr/>
      <w:tcPr>
        <w:tcBorders>
          <w:top w:val="nil"/>
          <w:left w:val="nil"/>
          <w:bottom w:val="single" w:sz="24" w:space="0" w:color="3F58A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62351"/>
      </w:tcPr>
    </w:tblStylePr>
    <w:tblStylePr w:type="firstCol">
      <w:rPr>
        <w:color w:val="FFFFFF"/>
      </w:rPr>
      <w:tblPr/>
      <w:tcPr>
        <w:tcBorders>
          <w:top w:val="nil"/>
          <w:left w:val="nil"/>
          <w:bottom w:val="nil"/>
          <w:right w:val="nil"/>
          <w:insideH w:val="single" w:sz="4" w:space="0" w:color="162351"/>
          <w:insideV w:val="nil"/>
        </w:tcBorders>
        <w:shd w:val="clear" w:color="auto" w:fill="162351"/>
      </w:tcPr>
    </w:tblStylePr>
    <w:tblStylePr w:type="lastCol">
      <w:rPr>
        <w:color w:val="FFFFFF"/>
      </w:rPr>
      <w:tblPr/>
      <w:tcPr>
        <w:tcBorders>
          <w:top w:val="nil"/>
          <w:left w:val="nil"/>
          <w:bottom w:val="nil"/>
          <w:right w:val="nil"/>
          <w:insideH w:val="nil"/>
          <w:insideV w:val="nil"/>
        </w:tcBorders>
        <w:shd w:val="clear" w:color="auto" w:fill="162351"/>
      </w:tcPr>
    </w:tblStylePr>
    <w:tblStylePr w:type="band1Vert">
      <w:tblPr/>
      <w:tcPr>
        <w:shd w:val="clear" w:color="auto" w:fill="95A6E1"/>
      </w:tcPr>
    </w:tblStylePr>
    <w:tblStylePr w:type="band1Horz">
      <w:tblPr/>
      <w:tcPr>
        <w:shd w:val="clear" w:color="auto" w:fill="7B90DA"/>
      </w:tcPr>
    </w:tblStylePr>
    <w:tblStylePr w:type="neCell">
      <w:rPr>
        <w:color w:val="000000"/>
      </w:rPr>
    </w:tblStylePr>
    <w:tblStylePr w:type="nwCell">
      <w:rPr>
        <w:color w:val="000000"/>
      </w:rPr>
    </w:tblStylePr>
  </w:style>
  <w:style w:type="table" w:customStyle="1" w:styleId="LightShading-Accent411">
    <w:name w:val="Light Shading - Accent 411"/>
    <w:basedOn w:val="TableNormal"/>
    <w:next w:val="LightShading-Accent4"/>
    <w:uiPriority w:val="60"/>
    <w:rsid w:val="00DA796D"/>
    <w:rPr>
      <w:color w:val="7E95CF"/>
    </w:rPr>
    <w:tblPr>
      <w:tblStyleRowBandSize w:val="1"/>
      <w:tblStyleColBandSize w:val="1"/>
      <w:tblInd w:w="0" w:type="dxa"/>
      <w:tblBorders>
        <w:top w:val="single" w:sz="8" w:space="0" w:color="D1D9EE"/>
        <w:bottom w:val="single" w:sz="8" w:space="0" w:color="D1D9EE"/>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1D9EE"/>
          <w:left w:val="nil"/>
          <w:bottom w:val="single" w:sz="8" w:space="0" w:color="D1D9EE"/>
          <w:right w:val="nil"/>
          <w:insideH w:val="nil"/>
          <w:insideV w:val="nil"/>
        </w:tcBorders>
      </w:tcPr>
    </w:tblStylePr>
    <w:tblStylePr w:type="lastRow">
      <w:pPr>
        <w:spacing w:before="0" w:after="0" w:line="240" w:lineRule="auto"/>
      </w:pPr>
      <w:rPr>
        <w:b/>
        <w:bCs/>
      </w:rPr>
      <w:tblPr/>
      <w:tcPr>
        <w:tcBorders>
          <w:top w:val="single" w:sz="8" w:space="0" w:color="D1D9EE"/>
          <w:left w:val="nil"/>
          <w:bottom w:val="single" w:sz="8" w:space="0" w:color="D1D9E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5FA"/>
      </w:tcPr>
    </w:tblStylePr>
    <w:tblStylePr w:type="band1Horz">
      <w:tblPr/>
      <w:tcPr>
        <w:tcBorders>
          <w:left w:val="nil"/>
          <w:right w:val="nil"/>
          <w:insideH w:val="nil"/>
          <w:insideV w:val="nil"/>
        </w:tcBorders>
        <w:shd w:val="clear" w:color="auto" w:fill="F3F5FA"/>
      </w:tcPr>
    </w:tblStylePr>
  </w:style>
  <w:style w:type="table" w:customStyle="1" w:styleId="SPRCtablev111">
    <w:name w:val="SPRC table v111"/>
    <w:basedOn w:val="TableNormal"/>
    <w:uiPriority w:val="99"/>
    <w:qFormat/>
    <w:rsid w:val="00DA796D"/>
    <w:rPr>
      <w:rFonts w:ascii="Helvetica" w:hAnsi="Helvetica"/>
      <w:sz w:val="24"/>
    </w:rPr>
    <w:tblPr>
      <w:tblInd w:w="0" w:type="dxa"/>
      <w:tblCellMar>
        <w:top w:w="0" w:type="dxa"/>
        <w:left w:w="108" w:type="dxa"/>
        <w:bottom w:w="0" w:type="dxa"/>
        <w:right w:w="108" w:type="dxa"/>
      </w:tblCellMar>
    </w:tblPr>
  </w:style>
  <w:style w:type="table" w:customStyle="1" w:styleId="TableGrid111">
    <w:name w:val="Table Grid111"/>
    <w:basedOn w:val="TableNormal"/>
    <w:next w:val="TableGrid"/>
    <w:uiPriority w:val="59"/>
    <w:rsid w:val="00DA796D"/>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PRC-docs-style11">
    <w:name w:val="SPRC-docs-style11"/>
    <w:uiPriority w:val="99"/>
    <w:rsid w:val="00DA796D"/>
  </w:style>
  <w:style w:type="numbering" w:customStyle="1" w:styleId="NoList21">
    <w:name w:val="No List21"/>
    <w:next w:val="NoList"/>
    <w:uiPriority w:val="99"/>
    <w:semiHidden/>
    <w:unhideWhenUsed/>
    <w:rsid w:val="00DA796D"/>
  </w:style>
  <w:style w:type="table" w:customStyle="1" w:styleId="TableGrid31">
    <w:name w:val="Table Grid31"/>
    <w:basedOn w:val="TableNormal"/>
    <w:next w:val="TableGrid"/>
    <w:uiPriority w:val="59"/>
    <w:rsid w:val="00DA79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yle121">
    <w:name w:val="Style121"/>
    <w:uiPriority w:val="99"/>
    <w:rsid w:val="00DA796D"/>
    <w:pPr>
      <w:keepLines/>
      <w:spacing w:after="160" w:line="288" w:lineRule="auto"/>
      <w:ind w:left="2160"/>
    </w:pPr>
    <w:rPr>
      <w:lang w:val="en-US" w:eastAsia="zh-CN" w:bidi="en-US"/>
    </w:rPr>
    <w:tblPr>
      <w:tblInd w:w="0" w:type="dxa"/>
      <w:tblBorders>
        <w:top w:val="single" w:sz="4" w:space="0" w:color="auto"/>
        <w:bottom w:val="single" w:sz="4" w:space="0" w:color="auto"/>
      </w:tblBorders>
      <w:tblCellMar>
        <w:top w:w="0" w:type="dxa"/>
        <w:left w:w="108" w:type="dxa"/>
        <w:bottom w:w="0" w:type="dxa"/>
        <w:right w:w="108" w:type="dxa"/>
      </w:tblCellMar>
    </w:tblPr>
  </w:style>
  <w:style w:type="table" w:customStyle="1" w:styleId="LightList-Accent1121">
    <w:name w:val="Light List - Accent 1121"/>
    <w:basedOn w:val="TableNormal"/>
    <w:uiPriority w:val="61"/>
    <w:rsid w:val="00DA796D"/>
    <w:tblPr>
      <w:tblStyleRowBandSize w:val="1"/>
      <w:tblStyleColBandSize w:val="1"/>
      <w:tblInd w:w="0" w:type="dxa"/>
      <w:tblBorders>
        <w:top w:val="single" w:sz="8" w:space="0" w:color="263C88"/>
        <w:left w:val="single" w:sz="8" w:space="0" w:color="263C88"/>
        <w:bottom w:val="single" w:sz="8" w:space="0" w:color="263C88"/>
        <w:right w:val="single" w:sz="8" w:space="0" w:color="263C88"/>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263C88"/>
      </w:tcPr>
    </w:tblStylePr>
    <w:tblStylePr w:type="lastRow">
      <w:pPr>
        <w:spacing w:before="0" w:after="0" w:line="240" w:lineRule="auto"/>
      </w:pPr>
      <w:rPr>
        <w:b/>
        <w:bCs/>
      </w:rPr>
      <w:tblPr/>
      <w:tcPr>
        <w:tcBorders>
          <w:top w:val="double" w:sz="6" w:space="0" w:color="263C88"/>
          <w:left w:val="single" w:sz="8" w:space="0" w:color="263C88"/>
          <w:bottom w:val="single" w:sz="8" w:space="0" w:color="263C88"/>
          <w:right w:val="single" w:sz="8" w:space="0" w:color="263C88"/>
        </w:tcBorders>
      </w:tcPr>
    </w:tblStylePr>
    <w:tblStylePr w:type="firstCol">
      <w:rPr>
        <w:b/>
        <w:bCs/>
      </w:rPr>
    </w:tblStylePr>
    <w:tblStylePr w:type="lastCol">
      <w:rPr>
        <w:b/>
        <w:bCs/>
      </w:rPr>
    </w:tblStylePr>
    <w:tblStylePr w:type="band1Vert">
      <w:tblPr/>
      <w:tcPr>
        <w:tcBorders>
          <w:top w:val="single" w:sz="8" w:space="0" w:color="263C88"/>
          <w:left w:val="single" w:sz="8" w:space="0" w:color="263C88"/>
          <w:bottom w:val="single" w:sz="8" w:space="0" w:color="263C88"/>
          <w:right w:val="single" w:sz="8" w:space="0" w:color="263C88"/>
        </w:tcBorders>
      </w:tcPr>
    </w:tblStylePr>
    <w:tblStylePr w:type="band1Horz">
      <w:tblPr/>
      <w:tcPr>
        <w:tcBorders>
          <w:top w:val="single" w:sz="8" w:space="0" w:color="263C88"/>
          <w:left w:val="single" w:sz="8" w:space="0" w:color="263C88"/>
          <w:bottom w:val="single" w:sz="8" w:space="0" w:color="263C88"/>
          <w:right w:val="single" w:sz="8" w:space="0" w:color="263C88"/>
        </w:tcBorders>
      </w:tcPr>
    </w:tblStylePr>
  </w:style>
  <w:style w:type="table" w:customStyle="1" w:styleId="LightList-Accent221">
    <w:name w:val="Light List - Accent 221"/>
    <w:basedOn w:val="TableNormal"/>
    <w:next w:val="LightList-Accent2"/>
    <w:uiPriority w:val="61"/>
    <w:rsid w:val="00DA796D"/>
    <w:tblPr>
      <w:tblStyleRowBandSize w:val="1"/>
      <w:tblStyleColBandSize w:val="1"/>
      <w:tblInd w:w="0" w:type="dxa"/>
      <w:tblBorders>
        <w:top w:val="single" w:sz="8" w:space="0" w:color="3F58A8"/>
        <w:left w:val="single" w:sz="8" w:space="0" w:color="3F58A8"/>
        <w:bottom w:val="single" w:sz="8" w:space="0" w:color="3F58A8"/>
        <w:right w:val="single" w:sz="8" w:space="0" w:color="3F58A8"/>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3F58A8"/>
      </w:tcPr>
    </w:tblStylePr>
    <w:tblStylePr w:type="lastRow">
      <w:pPr>
        <w:spacing w:before="0" w:after="0" w:line="240" w:lineRule="auto"/>
      </w:pPr>
      <w:rPr>
        <w:b/>
        <w:bCs/>
      </w:rPr>
      <w:tblPr/>
      <w:tcPr>
        <w:tcBorders>
          <w:top w:val="double" w:sz="6" w:space="0" w:color="3F58A8"/>
          <w:left w:val="single" w:sz="8" w:space="0" w:color="3F58A8"/>
          <w:bottom w:val="single" w:sz="8" w:space="0" w:color="3F58A8"/>
          <w:right w:val="single" w:sz="8" w:space="0" w:color="3F58A8"/>
        </w:tcBorders>
      </w:tcPr>
    </w:tblStylePr>
    <w:tblStylePr w:type="firstCol">
      <w:rPr>
        <w:b/>
        <w:bCs/>
      </w:rPr>
    </w:tblStylePr>
    <w:tblStylePr w:type="lastCol">
      <w:rPr>
        <w:b/>
        <w:bCs/>
      </w:rPr>
    </w:tblStylePr>
    <w:tblStylePr w:type="band1Vert">
      <w:tblPr/>
      <w:tcPr>
        <w:tcBorders>
          <w:top w:val="single" w:sz="8" w:space="0" w:color="3F58A8"/>
          <w:left w:val="single" w:sz="8" w:space="0" w:color="3F58A8"/>
          <w:bottom w:val="single" w:sz="8" w:space="0" w:color="3F58A8"/>
          <w:right w:val="single" w:sz="8" w:space="0" w:color="3F58A8"/>
        </w:tcBorders>
      </w:tcPr>
    </w:tblStylePr>
    <w:tblStylePr w:type="band1Horz">
      <w:tblPr/>
      <w:tcPr>
        <w:tcBorders>
          <w:top w:val="single" w:sz="8" w:space="0" w:color="3F58A8"/>
          <w:left w:val="single" w:sz="8" w:space="0" w:color="3F58A8"/>
          <w:bottom w:val="single" w:sz="8" w:space="0" w:color="3F58A8"/>
          <w:right w:val="single" w:sz="8" w:space="0" w:color="3F58A8"/>
        </w:tcBorders>
      </w:tcPr>
    </w:tblStylePr>
  </w:style>
  <w:style w:type="table" w:customStyle="1" w:styleId="SPRC21">
    <w:name w:val="SPRC21"/>
    <w:basedOn w:val="TableNormal"/>
    <w:uiPriority w:val="99"/>
    <w:rsid w:val="00DA796D"/>
    <w:rPr>
      <w:rFonts w:ascii="Helvetica" w:hAnsi="Helvetica"/>
      <w:sz w:val="24"/>
    </w:rPr>
    <w:tblPr>
      <w:tblInd w:w="0" w:type="dxa"/>
      <w:tblBorders>
        <w:top w:val="single" w:sz="8" w:space="0" w:color="auto"/>
        <w:left w:val="single" w:sz="8" w:space="0" w:color="auto"/>
        <w:bottom w:val="single" w:sz="8" w:space="0" w:color="auto"/>
        <w:right w:val="single" w:sz="8" w:space="0" w:color="auto"/>
      </w:tblBorders>
      <w:tblCellMar>
        <w:top w:w="0" w:type="dxa"/>
        <w:left w:w="108" w:type="dxa"/>
        <w:bottom w:w="0" w:type="dxa"/>
        <w:right w:w="108" w:type="dxa"/>
      </w:tblCellMar>
    </w:tblPr>
    <w:tblStylePr w:type="firstRow">
      <w:rPr>
        <w:rFonts w:ascii="Helvetica" w:hAnsi="Helvetica"/>
        <w:b w:val="0"/>
        <w:i w:val="0"/>
        <w:color w:val="auto"/>
        <w:sz w:val="24"/>
        <w:u w:val="none"/>
      </w:rPr>
    </w:tblStylePr>
  </w:style>
  <w:style w:type="table" w:customStyle="1" w:styleId="SPRCtables21">
    <w:name w:val="SPRC tables21"/>
    <w:basedOn w:val="ColorfulGrid-Accent6"/>
    <w:uiPriority w:val="99"/>
    <w:qFormat/>
    <w:rsid w:val="00DA796D"/>
    <w:tblPr>
      <w:tblStyleRowBandSize w:val="1"/>
      <w:tblStyleColBandSize w:val="1"/>
      <w:tblInd w:w="0" w:type="dxa"/>
      <w:tblBorders>
        <w:top w:val="single" w:sz="6" w:space="0" w:color="D1D9EE"/>
        <w:bottom w:val="single" w:sz="6" w:space="0" w:color="D1D9EE"/>
        <w:insideH w:val="single" w:sz="6" w:space="0" w:color="D1D9EE"/>
      </w:tblBorders>
      <w:tblCellMar>
        <w:top w:w="0" w:type="dxa"/>
        <w:left w:w="108" w:type="dxa"/>
        <w:bottom w:w="0" w:type="dxa"/>
        <w:right w:w="108" w:type="dxa"/>
      </w:tblCellMar>
    </w:tblPr>
    <w:tcPr>
      <w:shd w:val="clear" w:color="auto" w:fill="3F58A8"/>
    </w:tcPr>
    <w:tblStylePr w:type="firstRow">
      <w:rPr>
        <w:b/>
        <w:bCs/>
      </w:rPr>
      <w:tblPr/>
      <w:tcPr>
        <w:shd w:val="clear" w:color="auto" w:fill="FA7DA3"/>
      </w:tcPr>
    </w:tblStylePr>
    <w:tblStylePr w:type="lastRow">
      <w:rPr>
        <w:b/>
        <w:bCs/>
        <w:color w:val="000000"/>
      </w:rPr>
      <w:tblPr/>
      <w:tcPr>
        <w:shd w:val="clear" w:color="auto" w:fill="FA7DA3"/>
      </w:tcPr>
    </w:tblStylePr>
    <w:tblStylePr w:type="firstCol">
      <w:rPr>
        <w:color w:val="FFFFFF"/>
      </w:rPr>
      <w:tblPr/>
      <w:tcPr>
        <w:shd w:val="clear" w:color="auto" w:fill="7F0429"/>
      </w:tcPr>
    </w:tblStylePr>
    <w:tblStylePr w:type="lastCol">
      <w:rPr>
        <w:color w:val="FFFFFF"/>
      </w:rPr>
      <w:tblPr/>
      <w:tcPr>
        <w:shd w:val="clear" w:color="auto" w:fill="7F0429"/>
      </w:tcPr>
    </w:tblStylePr>
    <w:tblStylePr w:type="band1Vert">
      <w:tblPr/>
      <w:tcPr>
        <w:shd w:val="clear" w:color="auto" w:fill="F95E8C"/>
      </w:tcPr>
    </w:tblStylePr>
    <w:tblStylePr w:type="band1Horz">
      <w:tblPr/>
      <w:tcPr>
        <w:shd w:val="clear" w:color="auto" w:fill="F95E8C"/>
      </w:tcPr>
    </w:tblStylePr>
  </w:style>
  <w:style w:type="table" w:customStyle="1" w:styleId="MediumShading2-Accent221">
    <w:name w:val="Medium Shading 2 - Accent 221"/>
    <w:basedOn w:val="TableNormal"/>
    <w:next w:val="MediumShading2-Accent2"/>
    <w:uiPriority w:val="64"/>
    <w:rsid w:val="00DA796D"/>
    <w:rPr>
      <w:rFonts w:ascii="Verdana" w:hAnsi="Verdana"/>
      <w:color w:val="FFFFFF"/>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F58A8"/>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F58A8"/>
      </w:tcPr>
    </w:tblStylePr>
    <w:tblStylePr w:type="lastCol">
      <w:rPr>
        <w:b/>
        <w:bCs/>
        <w:color w:val="FFFFFF"/>
      </w:rPr>
      <w:tblPr/>
      <w:tcPr>
        <w:tcBorders>
          <w:left w:val="nil"/>
          <w:right w:val="nil"/>
          <w:insideH w:val="nil"/>
          <w:insideV w:val="nil"/>
        </w:tcBorders>
        <w:shd w:val="clear" w:color="auto" w:fill="3F58A8"/>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Accent621">
    <w:name w:val="Colorful Grid - Accent 621"/>
    <w:basedOn w:val="TableNormal"/>
    <w:next w:val="ColorfulGrid-Accent6"/>
    <w:uiPriority w:val="73"/>
    <w:rsid w:val="00DA796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CBED1"/>
    </w:tcPr>
    <w:tblStylePr w:type="firstRow">
      <w:rPr>
        <w:b/>
        <w:bCs/>
      </w:rPr>
      <w:tblPr/>
      <w:tcPr>
        <w:shd w:val="clear" w:color="auto" w:fill="FA7DA3"/>
      </w:tcPr>
    </w:tblStylePr>
    <w:tblStylePr w:type="lastRow">
      <w:rPr>
        <w:b/>
        <w:bCs/>
        <w:color w:val="000000"/>
      </w:rPr>
      <w:tblPr/>
      <w:tcPr>
        <w:shd w:val="clear" w:color="auto" w:fill="FA7DA3"/>
      </w:tcPr>
    </w:tblStylePr>
    <w:tblStylePr w:type="firstCol">
      <w:rPr>
        <w:color w:val="FFFFFF"/>
      </w:rPr>
      <w:tblPr/>
      <w:tcPr>
        <w:shd w:val="clear" w:color="auto" w:fill="7F0429"/>
      </w:tcPr>
    </w:tblStylePr>
    <w:tblStylePr w:type="lastCol">
      <w:rPr>
        <w:color w:val="FFFFFF"/>
      </w:rPr>
      <w:tblPr/>
      <w:tcPr>
        <w:shd w:val="clear" w:color="auto" w:fill="7F0429"/>
      </w:tcPr>
    </w:tblStylePr>
    <w:tblStylePr w:type="band1Vert">
      <w:tblPr/>
      <w:tcPr>
        <w:shd w:val="clear" w:color="auto" w:fill="F95E8C"/>
      </w:tcPr>
    </w:tblStylePr>
    <w:tblStylePr w:type="band1Horz">
      <w:tblPr/>
      <w:tcPr>
        <w:shd w:val="clear" w:color="auto" w:fill="F95E8C"/>
      </w:tcPr>
    </w:tblStylePr>
  </w:style>
  <w:style w:type="table" w:customStyle="1" w:styleId="DarkList-Accent621">
    <w:name w:val="Dark List - Accent 621"/>
    <w:basedOn w:val="TableNormal"/>
    <w:next w:val="DarkList-Accent6"/>
    <w:uiPriority w:val="70"/>
    <w:rsid w:val="00DA796D"/>
    <w:rPr>
      <w:color w:val="FFFFFF"/>
    </w:rPr>
    <w:tblPr>
      <w:tblStyleRowBandSize w:val="1"/>
      <w:tblStyleColBandSize w:val="1"/>
      <w:tblInd w:w="0" w:type="dxa"/>
      <w:tblCellMar>
        <w:top w:w="0" w:type="dxa"/>
        <w:left w:w="108" w:type="dxa"/>
        <w:bottom w:w="0" w:type="dxa"/>
        <w:right w:w="108" w:type="dxa"/>
      </w:tblCellMar>
    </w:tblPr>
    <w:tcPr>
      <w:shd w:val="clear" w:color="auto" w:fill="AA063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4031B"/>
      </w:tcPr>
    </w:tblStylePr>
    <w:tblStylePr w:type="firstCol">
      <w:tblPr/>
      <w:tcPr>
        <w:tcBorders>
          <w:top w:val="nil"/>
          <w:left w:val="nil"/>
          <w:bottom w:val="nil"/>
          <w:right w:val="single" w:sz="18" w:space="0" w:color="FFFFFF"/>
          <w:insideH w:val="nil"/>
          <w:insideV w:val="nil"/>
        </w:tcBorders>
        <w:shd w:val="clear" w:color="auto" w:fill="7F0429"/>
      </w:tcPr>
    </w:tblStylePr>
    <w:tblStylePr w:type="lastCol">
      <w:tblPr/>
      <w:tcPr>
        <w:tcBorders>
          <w:top w:val="nil"/>
          <w:left w:val="single" w:sz="18" w:space="0" w:color="FFFFFF"/>
          <w:bottom w:val="nil"/>
          <w:right w:val="nil"/>
          <w:insideH w:val="nil"/>
          <w:insideV w:val="nil"/>
        </w:tcBorders>
        <w:shd w:val="clear" w:color="auto" w:fill="7F0429"/>
      </w:tcPr>
    </w:tblStylePr>
    <w:tblStylePr w:type="band1Vert">
      <w:tblPr/>
      <w:tcPr>
        <w:tcBorders>
          <w:top w:val="nil"/>
          <w:left w:val="nil"/>
          <w:bottom w:val="nil"/>
          <w:right w:val="nil"/>
          <w:insideH w:val="nil"/>
          <w:insideV w:val="nil"/>
        </w:tcBorders>
        <w:shd w:val="clear" w:color="auto" w:fill="7F0429"/>
      </w:tcPr>
    </w:tblStylePr>
    <w:tblStylePr w:type="band1Horz">
      <w:tblPr/>
      <w:tcPr>
        <w:tcBorders>
          <w:top w:val="nil"/>
          <w:left w:val="nil"/>
          <w:bottom w:val="nil"/>
          <w:right w:val="nil"/>
          <w:insideH w:val="nil"/>
          <w:insideV w:val="nil"/>
        </w:tcBorders>
        <w:shd w:val="clear" w:color="auto" w:fill="7F0429"/>
      </w:tcPr>
    </w:tblStylePr>
  </w:style>
  <w:style w:type="table" w:customStyle="1" w:styleId="MediumShading1-Accent321">
    <w:name w:val="Medium Shading 1 - Accent 321"/>
    <w:basedOn w:val="TableNormal"/>
    <w:next w:val="MediumShading1-Accent3"/>
    <w:uiPriority w:val="63"/>
    <w:rsid w:val="00DA796D"/>
    <w:tblPr>
      <w:tblStyleRowBandSize w:val="1"/>
      <w:tblStyleColBandSize w:val="1"/>
      <w:tblInd w:w="0" w:type="dxa"/>
      <w:tblBorders>
        <w:top w:val="single" w:sz="8" w:space="0" w:color="auto"/>
        <w:bottom w:val="single" w:sz="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D5DDF0"/>
          <w:left w:val="single" w:sz="8" w:space="0" w:color="D5DDF0"/>
          <w:bottom w:val="single" w:sz="8" w:space="0" w:color="D5DDF0"/>
          <w:right w:val="single" w:sz="8" w:space="0" w:color="D5DDF0"/>
          <w:insideH w:val="nil"/>
          <w:insideV w:val="nil"/>
        </w:tcBorders>
        <w:shd w:val="clear" w:color="auto" w:fill="C8D2EB"/>
      </w:tcPr>
    </w:tblStylePr>
    <w:tblStylePr w:type="lastRow">
      <w:pPr>
        <w:spacing w:before="0" w:after="0" w:line="240" w:lineRule="auto"/>
      </w:pPr>
      <w:rPr>
        <w:b/>
        <w:bCs/>
      </w:rPr>
      <w:tblPr/>
      <w:tcPr>
        <w:tcBorders>
          <w:top w:val="double" w:sz="6" w:space="0" w:color="D5DDF0"/>
          <w:left w:val="single" w:sz="8" w:space="0" w:color="D5DDF0"/>
          <w:bottom w:val="single" w:sz="8" w:space="0" w:color="D5DDF0"/>
          <w:right w:val="single" w:sz="8" w:space="0" w:color="D5DDF0"/>
          <w:insideH w:val="nil"/>
          <w:insideV w:val="nil"/>
        </w:tcBorders>
      </w:tcPr>
    </w:tblStylePr>
    <w:tblStylePr w:type="firstCol">
      <w:rPr>
        <w:b/>
        <w:bCs/>
      </w:rPr>
    </w:tblStylePr>
    <w:tblStylePr w:type="lastCol">
      <w:rPr>
        <w:b/>
        <w:bCs/>
      </w:rPr>
    </w:tblStylePr>
    <w:tblStylePr w:type="band1Vert">
      <w:tblPr/>
      <w:tcPr>
        <w:shd w:val="clear" w:color="auto" w:fill="F1F3FA"/>
      </w:tcPr>
    </w:tblStylePr>
    <w:tblStylePr w:type="band1Horz">
      <w:tblPr/>
      <w:tcPr>
        <w:tcBorders>
          <w:insideH w:val="nil"/>
          <w:insideV w:val="nil"/>
        </w:tcBorders>
        <w:shd w:val="clear" w:color="auto" w:fill="F1F3FA"/>
      </w:tcPr>
    </w:tblStylePr>
    <w:tblStylePr w:type="band2Horz">
      <w:tblPr/>
      <w:tcPr>
        <w:tcBorders>
          <w:insideH w:val="nil"/>
          <w:insideV w:val="nil"/>
        </w:tcBorders>
      </w:tcPr>
    </w:tblStylePr>
  </w:style>
  <w:style w:type="table" w:customStyle="1" w:styleId="SPRCReporttablefinal21">
    <w:name w:val="SPRC Report table final21"/>
    <w:basedOn w:val="ColorfulShading-Accent1"/>
    <w:uiPriority w:val="99"/>
    <w:qFormat/>
    <w:rsid w:val="00DA796D"/>
    <w:rPr>
      <w:rFonts w:ascii="Sommet" w:hAnsi="Sommet"/>
      <w:sz w:val="24"/>
      <w:szCs w:val="20"/>
      <w:lang w:val="en-US" w:eastAsia="en-US"/>
    </w:rPr>
    <w:tblPr>
      <w:tblStyleRowBandSize w:val="1"/>
      <w:tblStyleColBandSize w:val="1"/>
      <w:tblInd w:w="0" w:type="dxa"/>
      <w:tblBorders>
        <w:left w:val="single" w:sz="4" w:space="0" w:color="263C88"/>
        <w:right w:val="single" w:sz="4" w:space="0" w:color="263C88"/>
        <w:insideH w:val="single" w:sz="4" w:space="0" w:color="FFFFFF"/>
        <w:insideV w:val="single" w:sz="4" w:space="0" w:color="FFFFFF"/>
      </w:tblBorders>
      <w:tblCellMar>
        <w:top w:w="0" w:type="dxa"/>
        <w:left w:w="108" w:type="dxa"/>
        <w:bottom w:w="0" w:type="dxa"/>
        <w:right w:w="108" w:type="dxa"/>
      </w:tblCellMar>
    </w:tblPr>
    <w:tcPr>
      <w:shd w:val="clear" w:color="auto" w:fill="E5E9F7"/>
    </w:tcPr>
    <w:tblStylePr w:type="firstRow">
      <w:rPr>
        <w:b/>
        <w:bCs/>
      </w:rPr>
      <w:tblPr/>
      <w:tcPr>
        <w:tcBorders>
          <w:top w:val="nil"/>
          <w:left w:val="nil"/>
          <w:bottom w:val="single" w:sz="24" w:space="0" w:color="3F58A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62351"/>
      </w:tcPr>
    </w:tblStylePr>
    <w:tblStylePr w:type="firstCol">
      <w:rPr>
        <w:color w:val="FFFFFF"/>
      </w:rPr>
      <w:tblPr/>
      <w:tcPr>
        <w:tcBorders>
          <w:top w:val="nil"/>
          <w:left w:val="nil"/>
          <w:bottom w:val="nil"/>
          <w:right w:val="nil"/>
          <w:insideH w:val="single" w:sz="4" w:space="0" w:color="162351"/>
          <w:insideV w:val="nil"/>
        </w:tcBorders>
        <w:shd w:val="clear" w:color="auto" w:fill="162351"/>
      </w:tcPr>
    </w:tblStylePr>
    <w:tblStylePr w:type="lastCol">
      <w:rPr>
        <w:color w:val="FFFFFF"/>
      </w:rPr>
      <w:tblPr/>
      <w:tcPr>
        <w:tcBorders>
          <w:top w:val="nil"/>
          <w:left w:val="nil"/>
          <w:bottom w:val="nil"/>
          <w:right w:val="nil"/>
          <w:insideH w:val="nil"/>
          <w:insideV w:val="nil"/>
        </w:tcBorders>
        <w:shd w:val="clear" w:color="auto" w:fill="162351"/>
      </w:tcPr>
    </w:tblStylePr>
    <w:tblStylePr w:type="band1Vert">
      <w:tblPr/>
      <w:tcPr>
        <w:shd w:val="clear" w:color="auto" w:fill="95A6E1"/>
      </w:tcPr>
    </w:tblStylePr>
    <w:tblStylePr w:type="band1Horz">
      <w:tblPr/>
      <w:tcPr>
        <w:shd w:val="clear" w:color="auto" w:fill="7B90DA"/>
      </w:tcPr>
    </w:tblStylePr>
    <w:tblStylePr w:type="neCell">
      <w:rPr>
        <w:color w:val="000000"/>
      </w:rPr>
    </w:tblStylePr>
    <w:tblStylePr w:type="nwCell">
      <w:rPr>
        <w:color w:val="000000"/>
      </w:rPr>
    </w:tblStylePr>
  </w:style>
  <w:style w:type="table" w:customStyle="1" w:styleId="ColorfulShading-Accent121">
    <w:name w:val="Colorful Shading - Accent 121"/>
    <w:basedOn w:val="TableNormal"/>
    <w:next w:val="ColorfulShading-Accent1"/>
    <w:uiPriority w:val="71"/>
    <w:rsid w:val="00DA796D"/>
    <w:rPr>
      <w:color w:val="000000"/>
    </w:rPr>
    <w:tblPr>
      <w:tblStyleRowBandSize w:val="1"/>
      <w:tblStyleColBandSize w:val="1"/>
      <w:tblInd w:w="0" w:type="dxa"/>
      <w:tblBorders>
        <w:top w:val="single" w:sz="24" w:space="0" w:color="3F58A8"/>
        <w:left w:val="single" w:sz="4" w:space="0" w:color="263C88"/>
        <w:bottom w:val="single" w:sz="4" w:space="0" w:color="263C88"/>
        <w:right w:val="single" w:sz="4" w:space="0" w:color="263C88"/>
        <w:insideH w:val="single" w:sz="4" w:space="0" w:color="FFFFFF"/>
        <w:insideV w:val="single" w:sz="4" w:space="0" w:color="FFFFFF"/>
      </w:tblBorders>
      <w:tblCellMar>
        <w:top w:w="0" w:type="dxa"/>
        <w:left w:w="108" w:type="dxa"/>
        <w:bottom w:w="0" w:type="dxa"/>
        <w:right w:w="108" w:type="dxa"/>
      </w:tblCellMar>
    </w:tblPr>
    <w:tcPr>
      <w:shd w:val="clear" w:color="auto" w:fill="E5E9F7"/>
    </w:tcPr>
    <w:tblStylePr w:type="firstRow">
      <w:rPr>
        <w:b/>
        <w:bCs/>
      </w:rPr>
      <w:tblPr/>
      <w:tcPr>
        <w:tcBorders>
          <w:top w:val="nil"/>
          <w:left w:val="nil"/>
          <w:bottom w:val="single" w:sz="24" w:space="0" w:color="3F58A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62351"/>
      </w:tcPr>
    </w:tblStylePr>
    <w:tblStylePr w:type="firstCol">
      <w:rPr>
        <w:color w:val="FFFFFF"/>
      </w:rPr>
      <w:tblPr/>
      <w:tcPr>
        <w:tcBorders>
          <w:top w:val="nil"/>
          <w:left w:val="nil"/>
          <w:bottom w:val="nil"/>
          <w:right w:val="nil"/>
          <w:insideH w:val="single" w:sz="4" w:space="0" w:color="162351"/>
          <w:insideV w:val="nil"/>
        </w:tcBorders>
        <w:shd w:val="clear" w:color="auto" w:fill="162351"/>
      </w:tcPr>
    </w:tblStylePr>
    <w:tblStylePr w:type="lastCol">
      <w:rPr>
        <w:color w:val="FFFFFF"/>
      </w:rPr>
      <w:tblPr/>
      <w:tcPr>
        <w:tcBorders>
          <w:top w:val="nil"/>
          <w:left w:val="nil"/>
          <w:bottom w:val="nil"/>
          <w:right w:val="nil"/>
          <w:insideH w:val="nil"/>
          <w:insideV w:val="nil"/>
        </w:tcBorders>
        <w:shd w:val="clear" w:color="auto" w:fill="162351"/>
      </w:tcPr>
    </w:tblStylePr>
    <w:tblStylePr w:type="band1Vert">
      <w:tblPr/>
      <w:tcPr>
        <w:shd w:val="clear" w:color="auto" w:fill="95A6E1"/>
      </w:tcPr>
    </w:tblStylePr>
    <w:tblStylePr w:type="band1Horz">
      <w:tblPr/>
      <w:tcPr>
        <w:shd w:val="clear" w:color="auto" w:fill="7B90DA"/>
      </w:tcPr>
    </w:tblStylePr>
    <w:tblStylePr w:type="neCell">
      <w:rPr>
        <w:color w:val="000000"/>
      </w:rPr>
    </w:tblStylePr>
    <w:tblStylePr w:type="nwCell">
      <w:rPr>
        <w:color w:val="000000"/>
      </w:rPr>
    </w:tblStylePr>
  </w:style>
  <w:style w:type="table" w:customStyle="1" w:styleId="LightShading-Accent421">
    <w:name w:val="Light Shading - Accent 421"/>
    <w:basedOn w:val="TableNormal"/>
    <w:next w:val="LightShading-Accent4"/>
    <w:uiPriority w:val="60"/>
    <w:rsid w:val="00DA796D"/>
    <w:rPr>
      <w:color w:val="7E95CF"/>
    </w:rPr>
    <w:tblPr>
      <w:tblStyleRowBandSize w:val="1"/>
      <w:tblStyleColBandSize w:val="1"/>
      <w:tblInd w:w="0" w:type="dxa"/>
      <w:tblBorders>
        <w:top w:val="single" w:sz="8" w:space="0" w:color="D1D9EE"/>
        <w:bottom w:val="single" w:sz="8" w:space="0" w:color="D1D9EE"/>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1D9EE"/>
          <w:left w:val="nil"/>
          <w:bottom w:val="single" w:sz="8" w:space="0" w:color="D1D9EE"/>
          <w:right w:val="nil"/>
          <w:insideH w:val="nil"/>
          <w:insideV w:val="nil"/>
        </w:tcBorders>
      </w:tcPr>
    </w:tblStylePr>
    <w:tblStylePr w:type="lastRow">
      <w:pPr>
        <w:spacing w:before="0" w:after="0" w:line="240" w:lineRule="auto"/>
      </w:pPr>
      <w:rPr>
        <w:b/>
        <w:bCs/>
      </w:rPr>
      <w:tblPr/>
      <w:tcPr>
        <w:tcBorders>
          <w:top w:val="single" w:sz="8" w:space="0" w:color="D1D9EE"/>
          <w:left w:val="nil"/>
          <w:bottom w:val="single" w:sz="8" w:space="0" w:color="D1D9E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5FA"/>
      </w:tcPr>
    </w:tblStylePr>
    <w:tblStylePr w:type="band1Horz">
      <w:tblPr/>
      <w:tcPr>
        <w:tcBorders>
          <w:left w:val="nil"/>
          <w:right w:val="nil"/>
          <w:insideH w:val="nil"/>
          <w:insideV w:val="nil"/>
        </w:tcBorders>
        <w:shd w:val="clear" w:color="auto" w:fill="F3F5FA"/>
      </w:tcPr>
    </w:tblStylePr>
  </w:style>
  <w:style w:type="table" w:customStyle="1" w:styleId="SPRCtablev121">
    <w:name w:val="SPRC table v121"/>
    <w:basedOn w:val="TableNormal"/>
    <w:uiPriority w:val="99"/>
    <w:qFormat/>
    <w:rsid w:val="00DA796D"/>
    <w:rPr>
      <w:rFonts w:ascii="Helvetica" w:hAnsi="Helvetica"/>
      <w:sz w:val="24"/>
    </w:rPr>
    <w:tblPr>
      <w:tblInd w:w="0" w:type="dxa"/>
      <w:tblCellMar>
        <w:top w:w="0" w:type="dxa"/>
        <w:left w:w="108" w:type="dxa"/>
        <w:bottom w:w="0" w:type="dxa"/>
        <w:right w:w="108" w:type="dxa"/>
      </w:tblCellMar>
    </w:tblPr>
  </w:style>
  <w:style w:type="table" w:customStyle="1" w:styleId="TableGrid121">
    <w:name w:val="Table Grid121"/>
    <w:basedOn w:val="TableNormal"/>
    <w:next w:val="TableGrid"/>
    <w:uiPriority w:val="59"/>
    <w:rsid w:val="00DA796D"/>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PRC-docs-style21">
    <w:name w:val="SPRC-docs-style21"/>
    <w:uiPriority w:val="99"/>
    <w:rsid w:val="00DA796D"/>
  </w:style>
  <w:style w:type="paragraph" w:customStyle="1" w:styleId="xmsonormal">
    <w:name w:val="x_msonormal"/>
    <w:basedOn w:val="Normal"/>
    <w:rsid w:val="00DA796D"/>
    <w:pPr>
      <w:spacing w:before="100" w:beforeAutospacing="1" w:after="100" w:afterAutospacing="1" w:line="240" w:lineRule="auto"/>
      <w:ind w:left="0"/>
      <w:jc w:val="left"/>
    </w:pPr>
    <w:rPr>
      <w:rFonts w:ascii="Times New Roman" w:hAnsi="Times New Roman"/>
      <w:sz w:val="24"/>
      <w:szCs w:val="24"/>
      <w:lang w:val="en-US" w:bidi="ar-SA"/>
    </w:rPr>
  </w:style>
  <w:style w:type="table" w:customStyle="1" w:styleId="Style131">
    <w:name w:val="Style131"/>
    <w:uiPriority w:val="99"/>
    <w:rsid w:val="00DA796D"/>
    <w:pPr>
      <w:keepLines/>
      <w:spacing w:after="160" w:line="288" w:lineRule="auto"/>
      <w:ind w:left="2160"/>
    </w:pPr>
    <w:rPr>
      <w:lang w:val="en-US" w:eastAsia="zh-CN" w:bidi="en-US"/>
    </w:rPr>
    <w:tblPr>
      <w:tblInd w:w="0" w:type="dxa"/>
      <w:tblBorders>
        <w:top w:val="single" w:sz="4" w:space="0" w:color="auto"/>
        <w:bottom w:val="single" w:sz="4" w:space="0" w:color="auto"/>
      </w:tblBorders>
      <w:tblCellMar>
        <w:top w:w="0" w:type="dxa"/>
        <w:left w:w="108" w:type="dxa"/>
        <w:bottom w:w="0" w:type="dxa"/>
        <w:right w:w="108" w:type="dxa"/>
      </w:tblCellMar>
    </w:tblPr>
  </w:style>
  <w:style w:type="paragraph" w:customStyle="1" w:styleId="FlotNormal">
    <w:name w:val="Flot Normal"/>
    <w:basedOn w:val="Normal"/>
    <w:rsid w:val="00DA796D"/>
    <w:pPr>
      <w:spacing w:line="360" w:lineRule="auto"/>
      <w:ind w:left="1985"/>
    </w:pPr>
    <w:rPr>
      <w:szCs w:val="20"/>
      <w:lang w:bidi="ar-SA"/>
    </w:rPr>
  </w:style>
  <w:style w:type="table" w:customStyle="1" w:styleId="MediumList111">
    <w:name w:val="Medium List 111"/>
    <w:basedOn w:val="TableNormal"/>
    <w:uiPriority w:val="65"/>
    <w:rsid w:val="00DA796D"/>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Shading11">
    <w:name w:val="Light Shading11"/>
    <w:basedOn w:val="TableNormal"/>
    <w:uiPriority w:val="60"/>
    <w:rsid w:val="00DA796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65">
    <w:name w:val="xl65"/>
    <w:basedOn w:val="Normal"/>
    <w:rsid w:val="00DA796D"/>
    <w:pPr>
      <w:spacing w:before="100" w:beforeAutospacing="1" w:after="100" w:afterAutospacing="1" w:line="240" w:lineRule="auto"/>
      <w:ind w:left="0"/>
      <w:jc w:val="left"/>
    </w:pPr>
    <w:rPr>
      <w:rFonts w:ascii="Times New Roman" w:hAnsi="Times New Roman"/>
      <w:sz w:val="16"/>
      <w:szCs w:val="16"/>
      <w:lang w:eastAsia="en-AU" w:bidi="ar-SA"/>
    </w:rPr>
  </w:style>
  <w:style w:type="paragraph" w:customStyle="1" w:styleId="xl67">
    <w:name w:val="xl67"/>
    <w:basedOn w:val="Normal"/>
    <w:rsid w:val="00DA796D"/>
    <w:pPr>
      <w:pBdr>
        <w:top w:val="single" w:sz="4" w:space="0" w:color="auto"/>
      </w:pBdr>
      <w:spacing w:before="100" w:beforeAutospacing="1" w:after="100" w:afterAutospacing="1" w:line="240" w:lineRule="auto"/>
      <w:ind w:left="0"/>
      <w:jc w:val="left"/>
    </w:pPr>
    <w:rPr>
      <w:rFonts w:ascii="Times New Roman" w:hAnsi="Times New Roman"/>
      <w:sz w:val="24"/>
      <w:szCs w:val="24"/>
      <w:lang w:eastAsia="en-AU" w:bidi="ar-SA"/>
    </w:rPr>
  </w:style>
  <w:style w:type="paragraph" w:customStyle="1" w:styleId="xl68">
    <w:name w:val="xl68"/>
    <w:basedOn w:val="Normal"/>
    <w:rsid w:val="00DA796D"/>
    <w:pPr>
      <w:pBdr>
        <w:top w:val="single" w:sz="4" w:space="0" w:color="auto"/>
      </w:pBdr>
      <w:spacing w:before="100" w:beforeAutospacing="1" w:after="100" w:afterAutospacing="1" w:line="240" w:lineRule="auto"/>
      <w:ind w:left="0"/>
      <w:jc w:val="left"/>
    </w:pPr>
    <w:rPr>
      <w:rFonts w:ascii="Times New Roman" w:hAnsi="Times New Roman"/>
      <w:sz w:val="24"/>
      <w:szCs w:val="24"/>
      <w:lang w:eastAsia="en-AU" w:bidi="ar-SA"/>
    </w:rPr>
  </w:style>
  <w:style w:type="paragraph" w:customStyle="1" w:styleId="xl69">
    <w:name w:val="xl69"/>
    <w:basedOn w:val="Normal"/>
    <w:rsid w:val="00DA796D"/>
    <w:pPr>
      <w:spacing w:before="100" w:beforeAutospacing="1" w:after="100" w:afterAutospacing="1" w:line="240" w:lineRule="auto"/>
      <w:ind w:left="0"/>
      <w:jc w:val="left"/>
    </w:pPr>
    <w:rPr>
      <w:rFonts w:ascii="Times New Roman" w:hAnsi="Times New Roman"/>
      <w:i/>
      <w:iCs/>
      <w:sz w:val="24"/>
      <w:szCs w:val="24"/>
      <w:lang w:eastAsia="en-AU" w:bidi="ar-SA"/>
    </w:rPr>
  </w:style>
  <w:style w:type="paragraph" w:customStyle="1" w:styleId="xl70">
    <w:name w:val="xl70"/>
    <w:basedOn w:val="Normal"/>
    <w:rsid w:val="00DA796D"/>
    <w:pPr>
      <w:spacing w:before="100" w:beforeAutospacing="1" w:after="100" w:afterAutospacing="1" w:line="240" w:lineRule="auto"/>
      <w:ind w:left="0"/>
      <w:jc w:val="left"/>
    </w:pPr>
    <w:rPr>
      <w:rFonts w:ascii="Times New Roman" w:hAnsi="Times New Roman"/>
      <w:i/>
      <w:iCs/>
      <w:sz w:val="24"/>
      <w:szCs w:val="24"/>
      <w:lang w:eastAsia="en-AU" w:bidi="ar-SA"/>
    </w:rPr>
  </w:style>
  <w:style w:type="paragraph" w:customStyle="1" w:styleId="xl71">
    <w:name w:val="xl71"/>
    <w:basedOn w:val="Normal"/>
    <w:rsid w:val="00DA796D"/>
    <w:pPr>
      <w:pBdr>
        <w:bottom w:val="single" w:sz="4" w:space="0" w:color="auto"/>
      </w:pBdr>
      <w:spacing w:before="100" w:beforeAutospacing="1" w:after="100" w:afterAutospacing="1" w:line="240" w:lineRule="auto"/>
      <w:ind w:left="0"/>
      <w:jc w:val="left"/>
    </w:pPr>
    <w:rPr>
      <w:rFonts w:ascii="Times New Roman" w:hAnsi="Times New Roman"/>
      <w:sz w:val="24"/>
      <w:szCs w:val="24"/>
      <w:lang w:eastAsia="en-AU" w:bidi="ar-SA"/>
    </w:rPr>
  </w:style>
  <w:style w:type="paragraph" w:customStyle="1" w:styleId="xl72">
    <w:name w:val="xl72"/>
    <w:basedOn w:val="Normal"/>
    <w:rsid w:val="00DA796D"/>
    <w:pPr>
      <w:pBdr>
        <w:bottom w:val="single" w:sz="4" w:space="0" w:color="auto"/>
      </w:pBdr>
      <w:spacing w:before="100" w:beforeAutospacing="1" w:after="100" w:afterAutospacing="1" w:line="240" w:lineRule="auto"/>
      <w:ind w:left="0"/>
      <w:jc w:val="left"/>
    </w:pPr>
    <w:rPr>
      <w:rFonts w:ascii="Times New Roman" w:hAnsi="Times New Roman"/>
      <w:sz w:val="24"/>
      <w:szCs w:val="24"/>
      <w:lang w:eastAsia="en-AU" w:bidi="ar-SA"/>
    </w:rPr>
  </w:style>
  <w:style w:type="paragraph" w:customStyle="1" w:styleId="xl73">
    <w:name w:val="xl73"/>
    <w:basedOn w:val="Normal"/>
    <w:rsid w:val="00DA796D"/>
    <w:pPr>
      <w:pBdr>
        <w:top w:val="single" w:sz="4" w:space="0" w:color="auto"/>
        <w:bottom w:val="single" w:sz="4" w:space="0" w:color="auto"/>
      </w:pBdr>
      <w:spacing w:before="100" w:beforeAutospacing="1" w:after="100" w:afterAutospacing="1" w:line="240" w:lineRule="auto"/>
      <w:ind w:left="0"/>
      <w:jc w:val="left"/>
    </w:pPr>
    <w:rPr>
      <w:rFonts w:ascii="Times New Roman" w:hAnsi="Times New Roman"/>
      <w:sz w:val="24"/>
      <w:szCs w:val="24"/>
      <w:lang w:eastAsia="en-AU" w:bidi="ar-SA"/>
    </w:rPr>
  </w:style>
  <w:style w:type="paragraph" w:customStyle="1" w:styleId="xl74">
    <w:name w:val="xl74"/>
    <w:basedOn w:val="Normal"/>
    <w:rsid w:val="00DA796D"/>
    <w:pPr>
      <w:pBdr>
        <w:top w:val="single" w:sz="4" w:space="0" w:color="auto"/>
        <w:bottom w:val="single" w:sz="4" w:space="0" w:color="auto"/>
      </w:pBdr>
      <w:spacing w:before="100" w:beforeAutospacing="1" w:after="100" w:afterAutospacing="1" w:line="240" w:lineRule="auto"/>
      <w:ind w:left="0"/>
      <w:jc w:val="left"/>
    </w:pPr>
    <w:rPr>
      <w:rFonts w:ascii="Times New Roman" w:hAnsi="Times New Roman"/>
      <w:sz w:val="24"/>
      <w:szCs w:val="24"/>
      <w:lang w:eastAsia="en-AU" w:bidi="ar-SA"/>
    </w:rPr>
  </w:style>
  <w:style w:type="paragraph" w:customStyle="1" w:styleId="xl75">
    <w:name w:val="xl75"/>
    <w:basedOn w:val="Normal"/>
    <w:rsid w:val="00DA796D"/>
    <w:pPr>
      <w:pBdr>
        <w:top w:val="single" w:sz="4" w:space="0" w:color="auto"/>
      </w:pBdr>
      <w:spacing w:before="100" w:beforeAutospacing="1" w:after="100" w:afterAutospacing="1" w:line="240" w:lineRule="auto"/>
      <w:ind w:left="0"/>
      <w:jc w:val="left"/>
    </w:pPr>
    <w:rPr>
      <w:rFonts w:ascii="Times New Roman" w:hAnsi="Times New Roman"/>
      <w:sz w:val="24"/>
      <w:szCs w:val="24"/>
      <w:lang w:eastAsia="en-AU" w:bidi="ar-SA"/>
    </w:rPr>
  </w:style>
  <w:style w:type="table" w:customStyle="1" w:styleId="TableGrid5">
    <w:name w:val="Table Grid5"/>
    <w:basedOn w:val="TableNormal"/>
    <w:next w:val="TableGrid"/>
    <w:uiPriority w:val="59"/>
    <w:rsid w:val="00263D6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PRC-style3">
    <w:name w:val="SPRC-style3"/>
    <w:uiPriority w:val="99"/>
    <w:rsid w:val="00263D64"/>
  </w:style>
  <w:style w:type="table" w:customStyle="1" w:styleId="Style132">
    <w:name w:val="Style132"/>
    <w:uiPriority w:val="99"/>
    <w:rsid w:val="00263D64"/>
    <w:pPr>
      <w:keepLines/>
      <w:spacing w:after="160" w:line="288" w:lineRule="auto"/>
      <w:ind w:left="2160"/>
    </w:pPr>
    <w:rPr>
      <w:lang w:val="en-US" w:eastAsia="zh-CN" w:bidi="en-US"/>
    </w:rPr>
    <w:tblPr>
      <w:tblInd w:w="0" w:type="dxa"/>
      <w:tblBorders>
        <w:top w:val="single" w:sz="4" w:space="0" w:color="auto"/>
        <w:bottom w:val="single" w:sz="4" w:space="0" w:color="auto"/>
      </w:tblBorders>
      <w:tblCellMar>
        <w:top w:w="0" w:type="dxa"/>
        <w:left w:w="108" w:type="dxa"/>
        <w:bottom w:w="0" w:type="dxa"/>
        <w:right w:w="108" w:type="dxa"/>
      </w:tblCellMar>
    </w:tblPr>
  </w:style>
  <w:style w:type="paragraph" w:customStyle="1" w:styleId="evalq">
    <w:name w:val="eval q"/>
    <w:basedOn w:val="BodyText1"/>
    <w:next w:val="BodyText"/>
    <w:link w:val="evalqChar"/>
    <w:qFormat/>
    <w:rsid w:val="00220531"/>
    <w:pPr>
      <w:keepNext/>
      <w:keepLines/>
      <w:pBdr>
        <w:top w:val="single" w:sz="4" w:space="1" w:color="auto"/>
        <w:left w:val="single" w:sz="4" w:space="4" w:color="auto"/>
        <w:bottom w:val="single" w:sz="4" w:space="1" w:color="auto"/>
        <w:right w:val="single" w:sz="4" w:space="4" w:color="auto"/>
      </w:pBdr>
      <w:shd w:val="clear" w:color="auto" w:fill="EAEAEA"/>
      <w:spacing w:before="120"/>
    </w:pPr>
    <w:rPr>
      <w:rFonts w:cs="Arial"/>
    </w:rPr>
  </w:style>
  <w:style w:type="character" w:customStyle="1" w:styleId="evalqChar">
    <w:name w:val="eval q Char"/>
    <w:basedOn w:val="BodytextChar0"/>
    <w:link w:val="evalq"/>
    <w:rsid w:val="00220531"/>
    <w:rPr>
      <w:rFonts w:ascii="Arial" w:hAnsi="Arial" w:cs="Arial"/>
      <w:sz w:val="22"/>
      <w:szCs w:val="22"/>
      <w:shd w:val="clear" w:color="auto" w:fill="EAEAEA"/>
      <w:lang w:val="en-AU" w:eastAsia="en-AU" w:bidi="en-US"/>
    </w:rPr>
  </w:style>
  <w:style w:type="character" w:styleId="HTMLCite">
    <w:name w:val="HTML Cite"/>
    <w:basedOn w:val="DefaultParagraphFont"/>
    <w:uiPriority w:val="99"/>
    <w:semiHidden/>
    <w:unhideWhenUsed/>
    <w:locked/>
    <w:rsid w:val="00417E68"/>
    <w:rPr>
      <w:i/>
      <w:iCs/>
    </w:rPr>
  </w:style>
  <w:style w:type="paragraph" w:styleId="TOC1">
    <w:name w:val="toc 1"/>
    <w:basedOn w:val="Normal"/>
    <w:next w:val="Normal"/>
    <w:uiPriority w:val="39"/>
    <w:unhideWhenUsed/>
    <w:locked/>
    <w:rsid w:val="00AB1845"/>
    <w:pPr>
      <w:tabs>
        <w:tab w:val="right" w:leader="dot" w:pos="8789"/>
      </w:tabs>
      <w:spacing w:before="120" w:after="0" w:line="240" w:lineRule="auto"/>
      <w:ind w:left="2370" w:right="516" w:hanging="567"/>
    </w:pPr>
    <w:rPr>
      <w:b/>
      <w:noProof/>
      <w:color w:val="000000" w:themeColor="text1"/>
    </w:rPr>
  </w:style>
  <w:style w:type="paragraph" w:customStyle="1" w:styleId="tablefootnoteslastline">
    <w:name w:val="table footnotes last line"/>
    <w:basedOn w:val="tablefootnotes"/>
    <w:rsid w:val="00E24340"/>
    <w:pPr>
      <w:keepNext w:val="0"/>
    </w:pPr>
  </w:style>
  <w:style w:type="paragraph" w:customStyle="1" w:styleId="chapterend">
    <w:name w:val="chapter end"/>
    <w:basedOn w:val="BodyText"/>
    <w:rsid w:val="00C0582B"/>
    <w:pPr>
      <w:keepLines/>
      <w:pBdr>
        <w:top w:val="single" w:sz="12" w:space="1" w:color="273C8B"/>
        <w:left w:val="single" w:sz="48" w:space="4" w:color="273C8B"/>
      </w:pBd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imes New Roman"/>
        <w:sz w:val="22"/>
        <w:szCs w:val="22"/>
        <w:lang w:val="en-AU" w:eastAsia="en-AU" w:bidi="ar-SA"/>
      </w:rPr>
    </w:rPrDefault>
    <w:pPrDefault/>
  </w:docDefaults>
  <w:latentStyles w:defLockedState="1"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
    <w:lsdException w:name="caption" w:semiHidden="0" w:uiPriority="2" w:unhideWhenUsed="0" w:qFormat="1"/>
    <w:lsdException w:name="annotation reference" w:uiPriority="9"/>
    <w:lsdException w:name="List Bullet" w:uiPriority="0" w:qFormat="1"/>
    <w:lsdException w:name="List Number" w:uiPriority="0"/>
    <w:lsdException w:name="Title" w:locked="0" w:semiHidden="0" w:uiPriority="10" w:unhideWhenUsed="0" w:qFormat="1"/>
    <w:lsdException w:name="Default Paragraph Font" w:uiPriority="1"/>
    <w:lsdException w:name="Body Text" w:uiPriority="0" w:qFormat="1"/>
    <w:lsdException w:name="Subtitle" w:locked="0" w:semiHidden="0" w:uiPriority="11" w:unhideWhenUsed="0" w:qFormat="1"/>
    <w:lsdException w:name="Body Text 2" w:uiPriority="0"/>
    <w:lsdException w:name="Strong" w:semiHidden="0" w:uiPriority="22" w:unhideWhenUsed="0" w:qFormat="1"/>
    <w:lsdException w:name="Emphasis" w:locked="0" w:semiHidden="0" w:uiPriority="20" w:unhideWhenUsed="0" w:qFormat="1"/>
    <w:lsdException w:name="annotation subject" w:uiPriority="9"/>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uiPriority="39" w:qFormat="1"/>
  </w:latentStyles>
  <w:style w:type="paragraph" w:default="1" w:styleId="Normal">
    <w:name w:val="Normal"/>
    <w:rsid w:val="000C7855"/>
    <w:pPr>
      <w:spacing w:after="160" w:line="288" w:lineRule="auto"/>
      <w:ind w:left="1803"/>
      <w:jc w:val="both"/>
    </w:pPr>
    <w:rPr>
      <w:rFonts w:ascii="Arial" w:hAnsi="Arial"/>
      <w:sz w:val="20"/>
      <w:lang w:eastAsia="en-US" w:bidi="en-US"/>
    </w:rPr>
  </w:style>
  <w:style w:type="paragraph" w:styleId="Heading1">
    <w:name w:val="heading 1"/>
    <w:basedOn w:val="Normal"/>
    <w:next w:val="BodyText"/>
    <w:link w:val="Heading1Char"/>
    <w:uiPriority w:val="1"/>
    <w:qFormat/>
    <w:rsid w:val="00BD6DFD"/>
    <w:pPr>
      <w:pageBreakBefore/>
      <w:numPr>
        <w:numId w:val="10"/>
      </w:numPr>
      <w:pBdr>
        <w:left w:val="single" w:sz="48" w:space="4" w:color="273C8B"/>
        <w:bottom w:val="single" w:sz="18" w:space="12" w:color="273C8B"/>
      </w:pBdr>
      <w:spacing w:before="480" w:after="960" w:line="240" w:lineRule="auto"/>
      <w:contextualSpacing/>
      <w:jc w:val="left"/>
      <w:outlineLvl w:val="0"/>
    </w:pPr>
    <w:rPr>
      <w:b/>
      <w:smallCaps/>
      <w:color w:val="273C8B"/>
      <w:spacing w:val="20"/>
      <w:sz w:val="48"/>
      <w:szCs w:val="32"/>
      <w:lang w:bidi="ar-SA"/>
    </w:rPr>
  </w:style>
  <w:style w:type="paragraph" w:styleId="Heading2">
    <w:name w:val="heading 2"/>
    <w:basedOn w:val="Normal"/>
    <w:next w:val="BodyText"/>
    <w:link w:val="Heading2Char"/>
    <w:uiPriority w:val="1"/>
    <w:unhideWhenUsed/>
    <w:qFormat/>
    <w:rsid w:val="00616B0F"/>
    <w:pPr>
      <w:keepNext/>
      <w:keepLines/>
      <w:numPr>
        <w:ilvl w:val="1"/>
        <w:numId w:val="2"/>
      </w:numPr>
      <w:spacing w:before="200" w:after="120" w:line="276" w:lineRule="auto"/>
      <w:jc w:val="left"/>
      <w:outlineLvl w:val="1"/>
    </w:pPr>
    <w:rPr>
      <w:b/>
      <w:color w:val="273C8B"/>
      <w:spacing w:val="20"/>
      <w:sz w:val="26"/>
      <w:szCs w:val="28"/>
      <w:lang w:eastAsia="en-AU" w:bidi="ar-SA"/>
    </w:rPr>
  </w:style>
  <w:style w:type="paragraph" w:styleId="Heading3">
    <w:name w:val="heading 3"/>
    <w:basedOn w:val="Normal"/>
    <w:next w:val="BodyText"/>
    <w:link w:val="Heading3Char"/>
    <w:uiPriority w:val="1"/>
    <w:unhideWhenUsed/>
    <w:qFormat/>
    <w:rsid w:val="00911315"/>
    <w:pPr>
      <w:keepNext/>
      <w:keepLines/>
      <w:numPr>
        <w:ilvl w:val="2"/>
        <w:numId w:val="3"/>
      </w:numPr>
      <w:spacing w:before="120" w:after="120" w:line="240" w:lineRule="auto"/>
      <w:ind w:left="1077" w:hanging="1077"/>
      <w:contextualSpacing/>
      <w:jc w:val="left"/>
      <w:outlineLvl w:val="2"/>
    </w:pPr>
    <w:rPr>
      <w:b/>
      <w:color w:val="273C8B"/>
      <w:spacing w:val="20"/>
      <w:sz w:val="24"/>
      <w:szCs w:val="24"/>
      <w:lang w:eastAsia="en-AU" w:bidi="ar-SA"/>
    </w:rPr>
  </w:style>
  <w:style w:type="paragraph" w:styleId="Heading4">
    <w:name w:val="heading 4"/>
    <w:basedOn w:val="Heading3"/>
    <w:next w:val="BodyText"/>
    <w:link w:val="Heading4Char"/>
    <w:uiPriority w:val="1"/>
    <w:unhideWhenUsed/>
    <w:qFormat/>
    <w:rsid w:val="00911315"/>
    <w:pPr>
      <w:numPr>
        <w:ilvl w:val="0"/>
        <w:numId w:val="0"/>
      </w:numPr>
      <w:ind w:left="1803"/>
      <w:outlineLvl w:val="3"/>
    </w:pPr>
    <w:rPr>
      <w:bCs/>
      <w:sz w:val="22"/>
    </w:rPr>
  </w:style>
  <w:style w:type="paragraph" w:styleId="Heading5">
    <w:name w:val="heading 5"/>
    <w:basedOn w:val="Normal"/>
    <w:next w:val="Normal"/>
    <w:link w:val="Heading5Char"/>
    <w:uiPriority w:val="1"/>
    <w:unhideWhenUsed/>
    <w:qFormat/>
    <w:rsid w:val="00021F77"/>
    <w:pPr>
      <w:keepNext/>
      <w:keepLines/>
      <w:pBdr>
        <w:bottom w:val="single" w:sz="4" w:space="1" w:color="548DD4"/>
      </w:pBdr>
      <w:spacing w:before="200" w:after="100" w:line="240" w:lineRule="auto"/>
      <w:contextualSpacing/>
      <w:outlineLvl w:val="4"/>
    </w:pPr>
    <w:rPr>
      <w:rFonts w:ascii="Verdana" w:hAnsi="Verdana"/>
      <w:smallCaps/>
      <w:color w:val="263C88"/>
      <w:spacing w:val="20"/>
    </w:rPr>
  </w:style>
  <w:style w:type="paragraph" w:styleId="Heading6">
    <w:name w:val="heading 6"/>
    <w:basedOn w:val="Normal"/>
    <w:next w:val="Normal"/>
    <w:link w:val="Heading6Char"/>
    <w:uiPriority w:val="1"/>
    <w:unhideWhenUsed/>
    <w:qFormat/>
    <w:rsid w:val="008F76CB"/>
    <w:pPr>
      <w:pBdr>
        <w:bottom w:val="dotted" w:sz="8" w:space="1" w:color="7F7F7F"/>
      </w:pBdr>
      <w:spacing w:before="200" w:after="100"/>
      <w:contextualSpacing/>
      <w:outlineLvl w:val="5"/>
    </w:pPr>
    <w:rPr>
      <w:rFonts w:ascii="Verdana" w:hAnsi="Verdana"/>
      <w:smallCaps/>
      <w:color w:val="7F7F7F"/>
      <w:spacing w:val="20"/>
    </w:rPr>
  </w:style>
  <w:style w:type="paragraph" w:styleId="Heading7">
    <w:name w:val="heading 7"/>
    <w:basedOn w:val="Normal"/>
    <w:next w:val="Normal"/>
    <w:link w:val="Heading7Char"/>
    <w:uiPriority w:val="1"/>
    <w:unhideWhenUsed/>
    <w:qFormat/>
    <w:rsid w:val="0034325F"/>
    <w:pPr>
      <w:keepNext/>
      <w:keepLines/>
      <w:pBdr>
        <w:bottom w:val="single" w:sz="4" w:space="1" w:color="auto"/>
      </w:pBdr>
      <w:shd w:val="clear" w:color="auto" w:fill="273C8B"/>
      <w:spacing w:before="200" w:after="100" w:line="240" w:lineRule="auto"/>
      <w:contextualSpacing/>
      <w:jc w:val="left"/>
      <w:outlineLvl w:val="6"/>
    </w:pPr>
    <w:rPr>
      <w:rFonts w:cs="Arial"/>
      <w:b/>
      <w:bCs/>
      <w:color w:val="FFFFFF" w:themeColor="background1"/>
      <w:spacing w:val="20"/>
      <w:sz w:val="24"/>
      <w:szCs w:val="24"/>
    </w:rPr>
  </w:style>
  <w:style w:type="paragraph" w:styleId="Heading8">
    <w:name w:val="heading 8"/>
    <w:basedOn w:val="Normal"/>
    <w:next w:val="Normal"/>
    <w:link w:val="Heading8Char"/>
    <w:uiPriority w:val="1"/>
    <w:unhideWhenUsed/>
    <w:qFormat/>
    <w:rsid w:val="008F76CB"/>
    <w:pPr>
      <w:spacing w:before="200" w:after="60" w:line="240" w:lineRule="auto"/>
      <w:contextualSpacing/>
      <w:outlineLvl w:val="7"/>
    </w:pPr>
    <w:rPr>
      <w:rFonts w:ascii="Verdana" w:hAnsi="Verdana"/>
      <w:b/>
      <w:smallCaps/>
      <w:color w:val="7F7F7F"/>
      <w:spacing w:val="20"/>
      <w:sz w:val="16"/>
      <w:szCs w:val="16"/>
    </w:rPr>
  </w:style>
  <w:style w:type="paragraph" w:styleId="Heading9">
    <w:name w:val="heading 9"/>
    <w:basedOn w:val="Heading3"/>
    <w:next w:val="Normal"/>
    <w:link w:val="Heading9Char"/>
    <w:uiPriority w:val="1"/>
    <w:unhideWhenUsed/>
    <w:qFormat/>
    <w:rsid w:val="00FB2D5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BD6DFD"/>
    <w:rPr>
      <w:rFonts w:ascii="Arial" w:hAnsi="Arial"/>
      <w:b/>
      <w:smallCaps/>
      <w:color w:val="273C8B"/>
      <w:spacing w:val="20"/>
      <w:sz w:val="48"/>
      <w:szCs w:val="32"/>
      <w:lang w:eastAsia="en-US"/>
    </w:rPr>
  </w:style>
  <w:style w:type="character" w:customStyle="1" w:styleId="Heading2Char">
    <w:name w:val="Heading 2 Char"/>
    <w:basedOn w:val="DefaultParagraphFont"/>
    <w:link w:val="Heading2"/>
    <w:uiPriority w:val="1"/>
    <w:locked/>
    <w:rsid w:val="00616B0F"/>
    <w:rPr>
      <w:rFonts w:ascii="Arial" w:hAnsi="Arial"/>
      <w:b/>
      <w:color w:val="273C8B"/>
      <w:spacing w:val="20"/>
      <w:sz w:val="26"/>
      <w:szCs w:val="28"/>
    </w:rPr>
  </w:style>
  <w:style w:type="character" w:customStyle="1" w:styleId="Heading3Char">
    <w:name w:val="Heading 3 Char"/>
    <w:basedOn w:val="DefaultParagraphFont"/>
    <w:link w:val="Heading3"/>
    <w:uiPriority w:val="1"/>
    <w:locked/>
    <w:rsid w:val="00911315"/>
    <w:rPr>
      <w:rFonts w:ascii="Arial" w:hAnsi="Arial"/>
      <w:b/>
      <w:color w:val="273C8B"/>
      <w:spacing w:val="20"/>
      <w:sz w:val="24"/>
      <w:szCs w:val="24"/>
    </w:rPr>
  </w:style>
  <w:style w:type="character" w:customStyle="1" w:styleId="Heading4Char">
    <w:name w:val="Heading 4 Char"/>
    <w:basedOn w:val="DefaultParagraphFont"/>
    <w:link w:val="Heading4"/>
    <w:uiPriority w:val="1"/>
    <w:locked/>
    <w:rsid w:val="00911315"/>
    <w:rPr>
      <w:rFonts w:ascii="Arial" w:hAnsi="Arial"/>
      <w:b/>
      <w:bCs/>
      <w:color w:val="273C8B"/>
      <w:spacing w:val="20"/>
      <w:szCs w:val="24"/>
    </w:rPr>
  </w:style>
  <w:style w:type="character" w:customStyle="1" w:styleId="Heading5Char">
    <w:name w:val="Heading 5 Char"/>
    <w:basedOn w:val="DefaultParagraphFont"/>
    <w:link w:val="Heading5"/>
    <w:uiPriority w:val="1"/>
    <w:locked/>
    <w:rsid w:val="00021F77"/>
    <w:rPr>
      <w:rFonts w:ascii="Verdana" w:hAnsi="Verdana"/>
      <w:smallCaps/>
      <w:color w:val="263C88"/>
      <w:spacing w:val="20"/>
      <w:lang w:eastAsia="en-US" w:bidi="en-US"/>
    </w:rPr>
  </w:style>
  <w:style w:type="character" w:customStyle="1" w:styleId="Heading6Char">
    <w:name w:val="Heading 6 Char"/>
    <w:basedOn w:val="DefaultParagraphFont"/>
    <w:link w:val="Heading6"/>
    <w:uiPriority w:val="1"/>
    <w:locked/>
    <w:rsid w:val="00C90B6F"/>
    <w:rPr>
      <w:rFonts w:ascii="Verdana" w:eastAsia="Times New Roman" w:hAnsi="Verdana" w:cs="Times New Roman"/>
      <w:smallCaps/>
      <w:color w:val="7F7F7F"/>
      <w:spacing w:val="20"/>
      <w:sz w:val="22"/>
      <w:lang w:val="en-AU"/>
    </w:rPr>
  </w:style>
  <w:style w:type="character" w:customStyle="1" w:styleId="Heading7Char">
    <w:name w:val="Heading 7 Char"/>
    <w:basedOn w:val="DefaultParagraphFont"/>
    <w:link w:val="Heading7"/>
    <w:uiPriority w:val="1"/>
    <w:locked/>
    <w:rsid w:val="0034325F"/>
    <w:rPr>
      <w:rFonts w:ascii="Arial" w:hAnsi="Arial" w:cs="Arial"/>
      <w:b/>
      <w:bCs/>
      <w:color w:val="FFFFFF" w:themeColor="background1"/>
      <w:spacing w:val="20"/>
      <w:sz w:val="24"/>
      <w:szCs w:val="24"/>
      <w:shd w:val="clear" w:color="auto" w:fill="273C8B"/>
      <w:lang w:eastAsia="en-US" w:bidi="en-US"/>
    </w:rPr>
  </w:style>
  <w:style w:type="character" w:customStyle="1" w:styleId="Heading8Char">
    <w:name w:val="Heading 8 Char"/>
    <w:basedOn w:val="DefaultParagraphFont"/>
    <w:link w:val="Heading8"/>
    <w:uiPriority w:val="1"/>
    <w:locked/>
    <w:rsid w:val="00C90B6F"/>
    <w:rPr>
      <w:rFonts w:ascii="Verdana" w:eastAsia="Times New Roman" w:hAnsi="Verdana" w:cs="Times New Roman"/>
      <w:b/>
      <w:smallCaps/>
      <w:color w:val="7F7F7F"/>
      <w:spacing w:val="20"/>
      <w:sz w:val="16"/>
      <w:szCs w:val="16"/>
      <w:lang w:val="en-AU"/>
    </w:rPr>
  </w:style>
  <w:style w:type="character" w:customStyle="1" w:styleId="Heading9Char">
    <w:name w:val="Heading 9 Char"/>
    <w:basedOn w:val="DefaultParagraphFont"/>
    <w:link w:val="Heading9"/>
    <w:uiPriority w:val="1"/>
    <w:locked/>
    <w:rsid w:val="00C90B6F"/>
    <w:rPr>
      <w:rFonts w:ascii="Arial" w:hAnsi="Arial"/>
      <w:b/>
      <w:color w:val="273C8B"/>
      <w:spacing w:val="20"/>
      <w:sz w:val="24"/>
      <w:szCs w:val="24"/>
    </w:rPr>
  </w:style>
  <w:style w:type="paragraph" w:customStyle="1" w:styleId="BlockQuote">
    <w:name w:val="Block Quote"/>
    <w:basedOn w:val="BodyText"/>
    <w:next w:val="BodyText"/>
    <w:link w:val="BlockQuoteChar"/>
    <w:uiPriority w:val="4"/>
    <w:rsid w:val="00027563"/>
    <w:pPr>
      <w:ind w:left="2552" w:right="515"/>
    </w:pPr>
    <w:rPr>
      <w:szCs w:val="20"/>
      <w:lang w:eastAsia="en-US"/>
    </w:rPr>
  </w:style>
  <w:style w:type="paragraph" w:styleId="BodyText">
    <w:name w:val="Body Text"/>
    <w:basedOn w:val="Normal"/>
    <w:link w:val="BodyTextChar"/>
    <w:qFormat/>
    <w:rsid w:val="000C7855"/>
    <w:rPr>
      <w:lang w:eastAsia="en-AU"/>
    </w:rPr>
  </w:style>
  <w:style w:type="character" w:customStyle="1" w:styleId="BodyTextChar">
    <w:name w:val="Body Text Char"/>
    <w:basedOn w:val="DefaultParagraphFont"/>
    <w:link w:val="BodyText"/>
    <w:locked/>
    <w:rsid w:val="000C7855"/>
    <w:rPr>
      <w:rFonts w:ascii="Arial" w:hAnsi="Arial"/>
      <w:sz w:val="20"/>
      <w:lang w:bidi="en-US"/>
    </w:rPr>
  </w:style>
  <w:style w:type="paragraph" w:styleId="Caption">
    <w:name w:val="caption"/>
    <w:basedOn w:val="Normal"/>
    <w:next w:val="Normal"/>
    <w:uiPriority w:val="2"/>
    <w:qFormat/>
    <w:rsid w:val="00D233D4"/>
    <w:pPr>
      <w:keepNext/>
      <w:spacing w:before="240" w:after="120"/>
      <w:ind w:left="3119" w:right="-760" w:hanging="1418"/>
    </w:pPr>
    <w:rPr>
      <w:b/>
      <w:bCs/>
      <w:color w:val="000000"/>
      <w:spacing w:val="10"/>
      <w:sz w:val="24"/>
      <w:szCs w:val="18"/>
    </w:rPr>
  </w:style>
  <w:style w:type="character" w:styleId="FollowedHyperlink">
    <w:name w:val="FollowedHyperlink"/>
    <w:basedOn w:val="DefaultParagraphFont"/>
    <w:uiPriority w:val="99"/>
    <w:semiHidden/>
    <w:rsid w:val="00435852"/>
    <w:rPr>
      <w:rFonts w:cs="Times New Roman"/>
      <w:color w:val="800080"/>
      <w:u w:val="single"/>
    </w:rPr>
  </w:style>
  <w:style w:type="paragraph" w:styleId="Footer">
    <w:name w:val="footer"/>
    <w:basedOn w:val="Normal"/>
    <w:link w:val="FooterChar"/>
    <w:uiPriority w:val="99"/>
    <w:rsid w:val="00435852"/>
    <w:pPr>
      <w:widowControl w:val="0"/>
      <w:tabs>
        <w:tab w:val="center" w:pos="4153"/>
        <w:tab w:val="right" w:pos="8306"/>
      </w:tabs>
    </w:pPr>
  </w:style>
  <w:style w:type="character" w:customStyle="1" w:styleId="FooterChar">
    <w:name w:val="Footer Char"/>
    <w:basedOn w:val="DefaultParagraphFont"/>
    <w:link w:val="Footer"/>
    <w:uiPriority w:val="99"/>
    <w:locked/>
    <w:rsid w:val="00CD51A3"/>
    <w:rPr>
      <w:rFonts w:eastAsia="SimSun" w:cs="Times New Roman"/>
      <w:sz w:val="24"/>
    </w:rPr>
  </w:style>
  <w:style w:type="character" w:styleId="FootnoteReference">
    <w:name w:val="footnote reference"/>
    <w:basedOn w:val="DefaultParagraphFont"/>
    <w:uiPriority w:val="99"/>
    <w:rsid w:val="002E13F4"/>
    <w:rPr>
      <w:rFonts w:asciiTheme="minorHAnsi" w:hAnsiTheme="minorHAnsi"/>
      <w:vertAlign w:val="superscript"/>
    </w:rPr>
  </w:style>
  <w:style w:type="paragraph" w:styleId="FootnoteText">
    <w:name w:val="footnote text"/>
    <w:aliases w:val="single space,ft,Footnote Text Char1 Char"/>
    <w:basedOn w:val="Normal"/>
    <w:link w:val="FootnoteTextChar"/>
    <w:uiPriority w:val="99"/>
    <w:rsid w:val="000C7855"/>
    <w:pPr>
      <w:spacing w:after="40" w:line="264" w:lineRule="auto"/>
      <w:ind w:left="2087" w:hanging="284"/>
    </w:pPr>
    <w:rPr>
      <w:sz w:val="16"/>
    </w:rPr>
  </w:style>
  <w:style w:type="character" w:customStyle="1" w:styleId="FootnoteTextChar">
    <w:name w:val="Footnote Text Char"/>
    <w:aliases w:val="single space Char,ft Char,Footnote Text Char1 Char Char"/>
    <w:basedOn w:val="DefaultParagraphFont"/>
    <w:link w:val="FootnoteText"/>
    <w:uiPriority w:val="99"/>
    <w:locked/>
    <w:rsid w:val="000C7855"/>
    <w:rPr>
      <w:rFonts w:ascii="Arial" w:hAnsi="Arial"/>
      <w:sz w:val="16"/>
      <w:lang w:eastAsia="en-US" w:bidi="en-US"/>
    </w:rPr>
  </w:style>
  <w:style w:type="paragraph" w:styleId="Header">
    <w:name w:val="header"/>
    <w:basedOn w:val="Normal"/>
    <w:link w:val="HeaderChar"/>
    <w:uiPriority w:val="99"/>
    <w:rsid w:val="00772EDE"/>
    <w:pPr>
      <w:tabs>
        <w:tab w:val="center" w:pos="4153"/>
        <w:tab w:val="right" w:pos="8306"/>
      </w:tabs>
    </w:pPr>
    <w:rPr>
      <w:color w:val="273C8B"/>
    </w:rPr>
  </w:style>
  <w:style w:type="character" w:customStyle="1" w:styleId="HeaderChar">
    <w:name w:val="Header Char"/>
    <w:basedOn w:val="DefaultParagraphFont"/>
    <w:link w:val="Header"/>
    <w:uiPriority w:val="99"/>
    <w:locked/>
    <w:rsid w:val="00772EDE"/>
    <w:rPr>
      <w:rFonts w:ascii="Arial" w:hAnsi="Arial"/>
      <w:color w:val="273C8B"/>
      <w:sz w:val="20"/>
      <w:lang w:eastAsia="en-US" w:bidi="en-US"/>
    </w:rPr>
  </w:style>
  <w:style w:type="paragraph" w:customStyle="1" w:styleId="Heading0">
    <w:name w:val="Heading 0"/>
    <w:basedOn w:val="Heading1"/>
    <w:uiPriority w:val="1"/>
    <w:rsid w:val="00282ADF"/>
    <w:pPr>
      <w:numPr>
        <w:numId w:val="0"/>
      </w:numPr>
      <w:ind w:left="1803"/>
    </w:pPr>
    <w:rPr>
      <w:sz w:val="32"/>
    </w:rPr>
  </w:style>
  <w:style w:type="character" w:styleId="Hyperlink">
    <w:name w:val="Hyperlink"/>
    <w:basedOn w:val="DefaultParagraphFont"/>
    <w:uiPriority w:val="99"/>
    <w:rsid w:val="00435852"/>
    <w:rPr>
      <w:rFonts w:cs="Times New Roman"/>
      <w:color w:val="0000FF"/>
      <w:u w:val="single"/>
    </w:rPr>
  </w:style>
  <w:style w:type="paragraph" w:styleId="ListBullet">
    <w:name w:val="List Bullet"/>
    <w:basedOn w:val="BodyText"/>
    <w:link w:val="ListBulletChar"/>
    <w:qFormat/>
    <w:rsid w:val="000C7855"/>
    <w:pPr>
      <w:numPr>
        <w:numId w:val="4"/>
      </w:numPr>
      <w:spacing w:after="120"/>
      <w:ind w:left="2160" w:hanging="357"/>
    </w:pPr>
    <w:rPr>
      <w:szCs w:val="20"/>
      <w:lang w:eastAsia="en-US"/>
    </w:rPr>
  </w:style>
  <w:style w:type="paragraph" w:styleId="ListNumber">
    <w:name w:val="List Number"/>
    <w:basedOn w:val="BodyText"/>
    <w:rsid w:val="00435852"/>
    <w:pPr>
      <w:tabs>
        <w:tab w:val="num" w:pos="360"/>
      </w:tabs>
      <w:spacing w:after="120"/>
      <w:ind w:left="360" w:hanging="360"/>
    </w:pPr>
    <w:rPr>
      <w:szCs w:val="20"/>
      <w:lang w:eastAsia="en-US"/>
    </w:rPr>
  </w:style>
  <w:style w:type="paragraph" w:customStyle="1" w:styleId="Plain">
    <w:name w:val="Plain"/>
    <w:basedOn w:val="Normal"/>
    <w:rsid w:val="00435852"/>
    <w:pPr>
      <w:suppressAutoHyphens/>
      <w:spacing w:after="0"/>
    </w:pPr>
  </w:style>
  <w:style w:type="paragraph" w:customStyle="1" w:styleId="ReferenceList">
    <w:name w:val="Reference List"/>
    <w:basedOn w:val="Normal"/>
    <w:rsid w:val="008C6299"/>
    <w:pPr>
      <w:suppressAutoHyphens/>
      <w:spacing w:after="120"/>
      <w:ind w:left="720" w:hanging="720"/>
    </w:pPr>
  </w:style>
  <w:style w:type="paragraph" w:customStyle="1" w:styleId="TableHeading">
    <w:name w:val="Table Heading"/>
    <w:basedOn w:val="Caption"/>
    <w:next w:val="BodyText"/>
    <w:uiPriority w:val="99"/>
    <w:rsid w:val="00435852"/>
  </w:style>
  <w:style w:type="paragraph" w:customStyle="1" w:styleId="tablefootnotes">
    <w:name w:val="table footnotes"/>
    <w:basedOn w:val="Normal"/>
    <w:rsid w:val="000C7855"/>
    <w:pPr>
      <w:keepNext/>
      <w:keepLines/>
      <w:spacing w:after="0" w:line="240" w:lineRule="auto"/>
      <w:ind w:left="3067" w:hanging="907"/>
    </w:pPr>
    <w:rPr>
      <w:sz w:val="16"/>
    </w:rPr>
  </w:style>
  <w:style w:type="paragraph" w:styleId="TableofFigures">
    <w:name w:val="table of figures"/>
    <w:basedOn w:val="Normal"/>
    <w:next w:val="Normal"/>
    <w:uiPriority w:val="99"/>
    <w:rsid w:val="00282ADF"/>
    <w:pPr>
      <w:tabs>
        <w:tab w:val="left" w:pos="3544"/>
        <w:tab w:val="right" w:leader="dot" w:pos="8931"/>
      </w:tabs>
      <w:spacing w:after="60"/>
      <w:ind w:left="3221" w:right="374" w:hanging="1418"/>
    </w:pPr>
    <w:rPr>
      <w:noProof/>
    </w:rPr>
  </w:style>
  <w:style w:type="paragraph" w:customStyle="1" w:styleId="listdash">
    <w:name w:val="list dash"/>
    <w:basedOn w:val="ListBullet"/>
    <w:rsid w:val="000C7855"/>
    <w:pPr>
      <w:numPr>
        <w:numId w:val="41"/>
      </w:numPr>
    </w:pPr>
  </w:style>
  <w:style w:type="paragraph" w:styleId="TOC2">
    <w:name w:val="toc 2"/>
    <w:basedOn w:val="Normal"/>
    <w:next w:val="Normal"/>
    <w:uiPriority w:val="39"/>
    <w:rsid w:val="009B756F"/>
    <w:pPr>
      <w:tabs>
        <w:tab w:val="right" w:leader="dot" w:pos="8789"/>
      </w:tabs>
      <w:spacing w:before="60" w:after="0" w:line="240" w:lineRule="auto"/>
      <w:ind w:left="2835" w:right="516" w:hanging="709"/>
    </w:pPr>
  </w:style>
  <w:style w:type="paragraph" w:styleId="TOC3">
    <w:name w:val="toc 3"/>
    <w:basedOn w:val="TOC2"/>
    <w:next w:val="Normal"/>
    <w:uiPriority w:val="39"/>
    <w:rsid w:val="00C648F4"/>
    <w:pPr>
      <w:spacing w:before="0"/>
      <w:ind w:left="3261" w:hanging="1135"/>
    </w:pPr>
  </w:style>
  <w:style w:type="paragraph" w:styleId="TOC4">
    <w:name w:val="toc 4"/>
    <w:basedOn w:val="Normal"/>
    <w:next w:val="Normal"/>
    <w:autoRedefine/>
    <w:uiPriority w:val="39"/>
    <w:rsid w:val="00435852"/>
    <w:pPr>
      <w:spacing w:after="0"/>
      <w:ind w:left="440"/>
    </w:pPr>
    <w:rPr>
      <w:rFonts w:ascii="Verdana" w:hAnsi="Verdana"/>
    </w:rPr>
  </w:style>
  <w:style w:type="paragraph" w:customStyle="1" w:styleId="FigureHeading">
    <w:name w:val="Figure Heading"/>
    <w:basedOn w:val="Caption"/>
    <w:next w:val="BodyText"/>
    <w:uiPriority w:val="99"/>
    <w:rsid w:val="00435852"/>
  </w:style>
  <w:style w:type="paragraph" w:styleId="BodyText2">
    <w:name w:val="Body Text 2"/>
    <w:basedOn w:val="Normal"/>
    <w:link w:val="BodyText2Char"/>
    <w:semiHidden/>
    <w:rsid w:val="00435852"/>
    <w:pPr>
      <w:spacing w:after="120" w:line="480" w:lineRule="auto"/>
    </w:pPr>
  </w:style>
  <w:style w:type="character" w:customStyle="1" w:styleId="BodyText2Char">
    <w:name w:val="Body Text 2 Char"/>
    <w:basedOn w:val="DefaultParagraphFont"/>
    <w:link w:val="BodyText2"/>
    <w:uiPriority w:val="99"/>
    <w:semiHidden/>
    <w:locked/>
    <w:rsid w:val="005C56D1"/>
    <w:rPr>
      <w:rFonts w:eastAsia="SimSun" w:cs="Times New Roman"/>
      <w:sz w:val="20"/>
      <w:szCs w:val="20"/>
      <w:lang w:eastAsia="zh-CN"/>
    </w:rPr>
  </w:style>
  <w:style w:type="character" w:customStyle="1" w:styleId="ListBulletChar">
    <w:name w:val="List Bullet Char"/>
    <w:basedOn w:val="BodyTextChar"/>
    <w:link w:val="ListBullet"/>
    <w:rsid w:val="000C7855"/>
    <w:rPr>
      <w:rFonts w:ascii="Arial" w:hAnsi="Arial"/>
      <w:sz w:val="20"/>
      <w:szCs w:val="20"/>
      <w:lang w:eastAsia="en-US" w:bidi="en-US"/>
    </w:rPr>
  </w:style>
  <w:style w:type="character" w:styleId="PageNumber">
    <w:name w:val="page number"/>
    <w:basedOn w:val="DefaultParagraphFont"/>
    <w:uiPriority w:val="99"/>
    <w:semiHidden/>
    <w:rsid w:val="00CD51A3"/>
    <w:rPr>
      <w:rFonts w:cs="Times New Roman"/>
    </w:rPr>
  </w:style>
  <w:style w:type="table" w:styleId="TableGrid">
    <w:name w:val="Table Grid"/>
    <w:basedOn w:val="TableNormal"/>
    <w:uiPriority w:val="59"/>
    <w:rsid w:val="00CA51D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Text">
    <w:name w:val="Table Text"/>
    <w:basedOn w:val="Normal"/>
    <w:rsid w:val="000C7855"/>
    <w:pPr>
      <w:keepNext/>
      <w:keepLines/>
      <w:autoSpaceDE w:val="0"/>
      <w:autoSpaceDN w:val="0"/>
      <w:adjustRightInd w:val="0"/>
      <w:spacing w:after="40" w:line="240" w:lineRule="auto"/>
      <w:ind w:left="0"/>
      <w:jc w:val="left"/>
    </w:pPr>
    <w:rPr>
      <w:sz w:val="16"/>
      <w:szCs w:val="24"/>
    </w:rPr>
  </w:style>
  <w:style w:type="paragraph" w:styleId="TOCHeading">
    <w:name w:val="TOC Heading"/>
    <w:basedOn w:val="Normal"/>
    <w:next w:val="Normal"/>
    <w:uiPriority w:val="39"/>
    <w:unhideWhenUsed/>
    <w:qFormat/>
    <w:rsid w:val="00413FDF"/>
  </w:style>
  <w:style w:type="paragraph" w:customStyle="1" w:styleId="BasicParagraph">
    <w:name w:val="[Basic Paragraph]"/>
    <w:basedOn w:val="Normal"/>
    <w:uiPriority w:val="99"/>
    <w:rsid w:val="00DE12BD"/>
    <w:pPr>
      <w:widowControl w:val="0"/>
      <w:autoSpaceDE w:val="0"/>
      <w:autoSpaceDN w:val="0"/>
      <w:adjustRightInd w:val="0"/>
      <w:spacing w:after="0"/>
      <w:textAlignment w:val="center"/>
    </w:pPr>
    <w:rPr>
      <w:szCs w:val="24"/>
    </w:rPr>
  </w:style>
  <w:style w:type="paragraph" w:styleId="DocumentMap">
    <w:name w:val="Document Map"/>
    <w:basedOn w:val="Normal"/>
    <w:link w:val="DocumentMapChar"/>
    <w:uiPriority w:val="99"/>
    <w:semiHidden/>
    <w:rsid w:val="007816B8"/>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7816B8"/>
    <w:rPr>
      <w:rFonts w:ascii="Tahoma" w:eastAsia="SimSun" w:hAnsi="Tahoma" w:cs="Tahoma"/>
      <w:sz w:val="16"/>
      <w:szCs w:val="16"/>
      <w:lang w:val="en-AU"/>
    </w:rPr>
  </w:style>
  <w:style w:type="paragraph" w:styleId="Revision">
    <w:name w:val="Revision"/>
    <w:hidden/>
    <w:uiPriority w:val="99"/>
    <w:semiHidden/>
    <w:rsid w:val="00B25882"/>
    <w:pPr>
      <w:spacing w:after="160" w:line="288" w:lineRule="auto"/>
      <w:ind w:left="2160"/>
    </w:pPr>
    <w:rPr>
      <w:rFonts w:eastAsia="SimSun"/>
      <w:sz w:val="24"/>
      <w:lang w:val="en-US" w:eastAsia="en-US" w:bidi="en-US"/>
    </w:rPr>
  </w:style>
  <w:style w:type="paragraph" w:styleId="BalloonText">
    <w:name w:val="Balloon Text"/>
    <w:basedOn w:val="Normal"/>
    <w:link w:val="BalloonTextChar"/>
    <w:uiPriority w:val="99"/>
    <w:semiHidden/>
    <w:rsid w:val="00B2588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25882"/>
    <w:rPr>
      <w:rFonts w:ascii="Tahoma" w:eastAsia="SimSun" w:hAnsi="Tahoma" w:cs="Tahoma"/>
      <w:sz w:val="16"/>
      <w:szCs w:val="16"/>
      <w:lang w:val="en-AU"/>
    </w:rPr>
  </w:style>
  <w:style w:type="table" w:customStyle="1" w:styleId="Style1">
    <w:name w:val="Style1"/>
    <w:uiPriority w:val="99"/>
    <w:rsid w:val="00435852"/>
    <w:pPr>
      <w:keepLines/>
      <w:spacing w:after="160" w:line="288" w:lineRule="auto"/>
      <w:ind w:left="2160"/>
    </w:pPr>
    <w:rPr>
      <w:lang w:val="en-US" w:eastAsia="zh-CN" w:bidi="en-US"/>
    </w:rPr>
    <w:tblPr>
      <w:tblInd w:w="0" w:type="dxa"/>
      <w:tblBorders>
        <w:top w:val="single" w:sz="4" w:space="0" w:color="auto"/>
        <w:bottom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
    <w:rsid w:val="00F52060"/>
    <w:rPr>
      <w:rFonts w:cs="Times New Roman"/>
      <w:sz w:val="16"/>
      <w:szCs w:val="16"/>
    </w:rPr>
  </w:style>
  <w:style w:type="paragraph" w:styleId="CommentText">
    <w:name w:val="annotation text"/>
    <w:basedOn w:val="Normal"/>
    <w:link w:val="CommentTextChar"/>
    <w:uiPriority w:val="9"/>
    <w:rsid w:val="00F52060"/>
  </w:style>
  <w:style w:type="character" w:customStyle="1" w:styleId="CommentTextChar">
    <w:name w:val="Comment Text Char"/>
    <w:basedOn w:val="DefaultParagraphFont"/>
    <w:link w:val="CommentText"/>
    <w:uiPriority w:val="9"/>
    <w:locked/>
    <w:rsid w:val="00C90B6F"/>
    <w:rPr>
      <w:rFonts w:ascii="Arial" w:hAnsi="Arial"/>
      <w:sz w:val="22"/>
      <w:lang w:val="en-AU"/>
    </w:rPr>
  </w:style>
  <w:style w:type="paragraph" w:styleId="CommentSubject">
    <w:name w:val="annotation subject"/>
    <w:basedOn w:val="CommentText"/>
    <w:next w:val="CommentText"/>
    <w:link w:val="CommentSubjectChar"/>
    <w:uiPriority w:val="9"/>
    <w:rsid w:val="00F52060"/>
    <w:rPr>
      <w:b/>
      <w:bCs/>
    </w:rPr>
  </w:style>
  <w:style w:type="character" w:customStyle="1" w:styleId="CommentSubjectChar">
    <w:name w:val="Comment Subject Char"/>
    <w:basedOn w:val="CommentTextChar"/>
    <w:link w:val="CommentSubject"/>
    <w:uiPriority w:val="9"/>
    <w:locked/>
    <w:rsid w:val="00C90B6F"/>
    <w:rPr>
      <w:rFonts w:ascii="Arial" w:hAnsi="Arial"/>
      <w:b/>
      <w:bCs/>
      <w:sz w:val="22"/>
      <w:lang w:val="en-AU"/>
    </w:rPr>
  </w:style>
  <w:style w:type="character" w:styleId="Strong">
    <w:name w:val="Strong"/>
    <w:uiPriority w:val="22"/>
    <w:qFormat/>
    <w:rsid w:val="00966DB5"/>
    <w:rPr>
      <w:rFonts w:ascii="Helvetica" w:hAnsi="Helvetica"/>
      <w:bCs/>
      <w:color w:val="000000"/>
      <w:spacing w:val="0"/>
      <w:sz w:val="24"/>
    </w:rPr>
  </w:style>
  <w:style w:type="paragraph" w:styleId="ListParagraph">
    <w:name w:val="List Paragraph"/>
    <w:basedOn w:val="Normal"/>
    <w:link w:val="ListParagraphChar"/>
    <w:uiPriority w:val="34"/>
    <w:qFormat/>
    <w:rsid w:val="008F76CB"/>
    <w:pPr>
      <w:ind w:left="720"/>
      <w:contextualSpacing/>
    </w:pPr>
  </w:style>
  <w:style w:type="paragraph" w:styleId="Quote">
    <w:name w:val="Quote"/>
    <w:basedOn w:val="Normal"/>
    <w:next w:val="Normal"/>
    <w:link w:val="QuoteChar"/>
    <w:uiPriority w:val="29"/>
    <w:qFormat/>
    <w:rsid w:val="00024FCD"/>
    <w:rPr>
      <w:i/>
      <w:iCs/>
    </w:rPr>
  </w:style>
  <w:style w:type="character" w:customStyle="1" w:styleId="QuoteChar">
    <w:name w:val="Quote Char"/>
    <w:basedOn w:val="DefaultParagraphFont"/>
    <w:link w:val="Quote"/>
    <w:uiPriority w:val="29"/>
    <w:locked/>
    <w:rsid w:val="00024FCD"/>
    <w:rPr>
      <w:i/>
      <w:iCs/>
    </w:rPr>
  </w:style>
  <w:style w:type="paragraph" w:styleId="TOC5">
    <w:name w:val="toc 5"/>
    <w:basedOn w:val="Normal"/>
    <w:next w:val="Normal"/>
    <w:autoRedefine/>
    <w:uiPriority w:val="39"/>
    <w:unhideWhenUsed/>
    <w:locked/>
    <w:rsid w:val="00D108D6"/>
    <w:pPr>
      <w:spacing w:after="0"/>
      <w:ind w:left="660"/>
    </w:pPr>
    <w:rPr>
      <w:rFonts w:ascii="Verdana" w:hAnsi="Verdana"/>
    </w:rPr>
  </w:style>
  <w:style w:type="paragraph" w:styleId="TOC6">
    <w:name w:val="toc 6"/>
    <w:basedOn w:val="Normal"/>
    <w:next w:val="Normal"/>
    <w:autoRedefine/>
    <w:uiPriority w:val="39"/>
    <w:unhideWhenUsed/>
    <w:locked/>
    <w:rsid w:val="00D108D6"/>
    <w:pPr>
      <w:spacing w:after="0"/>
      <w:ind w:left="880"/>
    </w:pPr>
    <w:rPr>
      <w:rFonts w:ascii="Verdana" w:hAnsi="Verdana"/>
    </w:rPr>
  </w:style>
  <w:style w:type="paragraph" w:styleId="TOC7">
    <w:name w:val="toc 7"/>
    <w:basedOn w:val="Normal"/>
    <w:next w:val="Normal"/>
    <w:autoRedefine/>
    <w:uiPriority w:val="39"/>
    <w:unhideWhenUsed/>
    <w:locked/>
    <w:rsid w:val="00D108D6"/>
    <w:pPr>
      <w:spacing w:after="0"/>
      <w:ind w:left="1100"/>
    </w:pPr>
    <w:rPr>
      <w:rFonts w:ascii="Verdana" w:hAnsi="Verdana"/>
    </w:rPr>
  </w:style>
  <w:style w:type="paragraph" w:styleId="TOC8">
    <w:name w:val="toc 8"/>
    <w:basedOn w:val="Normal"/>
    <w:next w:val="Normal"/>
    <w:autoRedefine/>
    <w:uiPriority w:val="39"/>
    <w:unhideWhenUsed/>
    <w:locked/>
    <w:rsid w:val="00D108D6"/>
    <w:pPr>
      <w:spacing w:after="0"/>
      <w:ind w:left="1320"/>
    </w:pPr>
    <w:rPr>
      <w:rFonts w:ascii="Verdana" w:hAnsi="Verdana"/>
    </w:rPr>
  </w:style>
  <w:style w:type="paragraph" w:styleId="TOC9">
    <w:name w:val="toc 9"/>
    <w:basedOn w:val="Normal"/>
    <w:next w:val="Normal"/>
    <w:autoRedefine/>
    <w:uiPriority w:val="39"/>
    <w:unhideWhenUsed/>
    <w:locked/>
    <w:rsid w:val="00D108D6"/>
    <w:pPr>
      <w:spacing w:after="0"/>
      <w:ind w:left="1540"/>
    </w:pPr>
    <w:rPr>
      <w:rFonts w:ascii="Verdana" w:hAnsi="Verdana"/>
    </w:rPr>
  </w:style>
  <w:style w:type="paragraph" w:styleId="Title">
    <w:name w:val="Title"/>
    <w:next w:val="Normal"/>
    <w:link w:val="TitleChar"/>
    <w:uiPriority w:val="10"/>
    <w:qFormat/>
    <w:rsid w:val="008F76CB"/>
    <w:pPr>
      <w:spacing w:after="160"/>
      <w:contextualSpacing/>
    </w:pPr>
    <w:rPr>
      <w:rFonts w:ascii="Verdana" w:hAnsi="Verdana"/>
      <w:smallCaps/>
      <w:color w:val="17365D"/>
      <w:spacing w:val="5"/>
      <w:sz w:val="72"/>
      <w:szCs w:val="72"/>
      <w:lang w:val="en-US" w:eastAsia="en-US" w:bidi="en-US"/>
    </w:rPr>
  </w:style>
  <w:style w:type="character" w:customStyle="1" w:styleId="TitleChar">
    <w:name w:val="Title Char"/>
    <w:basedOn w:val="DefaultParagraphFont"/>
    <w:link w:val="Title"/>
    <w:uiPriority w:val="10"/>
    <w:rsid w:val="008F76CB"/>
    <w:rPr>
      <w:rFonts w:ascii="Verdana" w:eastAsia="Times New Roman" w:hAnsi="Verdana" w:cs="Times New Roman"/>
      <w:smallCaps/>
      <w:color w:val="17365D"/>
      <w:spacing w:val="5"/>
      <w:sz w:val="72"/>
      <w:szCs w:val="72"/>
      <w:lang w:val="en-US" w:eastAsia="en-US" w:bidi="en-US"/>
    </w:rPr>
  </w:style>
  <w:style w:type="paragraph" w:styleId="Subtitle">
    <w:name w:val="Subtitle"/>
    <w:next w:val="Normal"/>
    <w:link w:val="SubtitleChar"/>
    <w:uiPriority w:val="11"/>
    <w:qFormat/>
    <w:rsid w:val="008F76CB"/>
    <w:pPr>
      <w:spacing w:after="600"/>
    </w:pPr>
    <w:rPr>
      <w:smallCaps/>
      <w:color w:val="7F7F7F"/>
      <w:spacing w:val="5"/>
      <w:sz w:val="28"/>
      <w:szCs w:val="28"/>
      <w:lang w:val="en-US" w:eastAsia="en-US" w:bidi="en-US"/>
    </w:rPr>
  </w:style>
  <w:style w:type="character" w:customStyle="1" w:styleId="SubtitleChar">
    <w:name w:val="Subtitle Char"/>
    <w:basedOn w:val="DefaultParagraphFont"/>
    <w:link w:val="Subtitle"/>
    <w:uiPriority w:val="11"/>
    <w:rsid w:val="008F76CB"/>
    <w:rPr>
      <w:smallCaps/>
      <w:color w:val="7F7F7F"/>
      <w:spacing w:val="5"/>
      <w:sz w:val="28"/>
      <w:szCs w:val="28"/>
      <w:lang w:val="en-US" w:eastAsia="en-US" w:bidi="en-US"/>
    </w:rPr>
  </w:style>
  <w:style w:type="character" w:styleId="Emphasis">
    <w:name w:val="Emphasis"/>
    <w:uiPriority w:val="20"/>
    <w:qFormat/>
    <w:rsid w:val="008F76CB"/>
    <w:rPr>
      <w:b/>
      <w:bCs/>
      <w:smallCaps/>
      <w:dstrike w:val="0"/>
      <w:color w:val="5A5A5A"/>
      <w:spacing w:val="20"/>
      <w:kern w:val="0"/>
      <w:vertAlign w:val="baseline"/>
    </w:rPr>
  </w:style>
  <w:style w:type="paragraph" w:styleId="NoSpacing">
    <w:name w:val="No Spacing"/>
    <w:basedOn w:val="Normal"/>
    <w:link w:val="NoSpacingChar"/>
    <w:uiPriority w:val="1"/>
    <w:qFormat/>
    <w:rsid w:val="008F76CB"/>
    <w:pPr>
      <w:spacing w:after="0" w:line="240" w:lineRule="auto"/>
    </w:pPr>
  </w:style>
  <w:style w:type="paragraph" w:styleId="IntenseQuote">
    <w:name w:val="Intense Quote"/>
    <w:basedOn w:val="Normal"/>
    <w:next w:val="Normal"/>
    <w:link w:val="IntenseQuoteChar"/>
    <w:uiPriority w:val="30"/>
    <w:qFormat/>
    <w:rsid w:val="008F76CB"/>
    <w:pPr>
      <w:pBdr>
        <w:top w:val="single" w:sz="4" w:space="12" w:color="3A59C8"/>
        <w:left w:val="single" w:sz="4" w:space="15" w:color="3A59C8"/>
        <w:bottom w:val="single" w:sz="12" w:space="10" w:color="1C2C65"/>
        <w:right w:val="single" w:sz="12" w:space="15" w:color="1C2C65"/>
        <w:between w:val="single" w:sz="4" w:space="12" w:color="3A59C8"/>
        <w:bar w:val="single" w:sz="4" w:color="3A59C8"/>
      </w:pBdr>
      <w:spacing w:line="300" w:lineRule="auto"/>
      <w:ind w:left="2506" w:right="432"/>
    </w:pPr>
    <w:rPr>
      <w:rFonts w:ascii="Verdana" w:hAnsi="Verdana"/>
      <w:smallCaps/>
      <w:color w:val="1C2C65"/>
    </w:rPr>
  </w:style>
  <w:style w:type="character" w:customStyle="1" w:styleId="IntenseQuoteChar">
    <w:name w:val="Intense Quote Char"/>
    <w:basedOn w:val="DefaultParagraphFont"/>
    <w:link w:val="IntenseQuote"/>
    <w:uiPriority w:val="30"/>
    <w:rsid w:val="008F76CB"/>
    <w:rPr>
      <w:rFonts w:ascii="Verdana" w:eastAsia="Times New Roman" w:hAnsi="Verdana" w:cs="Times New Roman"/>
      <w:smallCaps/>
      <w:color w:val="1C2C65"/>
      <w:sz w:val="20"/>
      <w:szCs w:val="20"/>
    </w:rPr>
  </w:style>
  <w:style w:type="character" w:styleId="SubtleEmphasis">
    <w:name w:val="Subtle Emphasis"/>
    <w:uiPriority w:val="19"/>
    <w:qFormat/>
    <w:rsid w:val="008F76CB"/>
    <w:rPr>
      <w:smallCaps/>
      <w:dstrike w:val="0"/>
      <w:color w:val="5A5A5A"/>
      <w:vertAlign w:val="baseline"/>
    </w:rPr>
  </w:style>
  <w:style w:type="character" w:styleId="IntenseEmphasis">
    <w:name w:val="Intense Emphasis"/>
    <w:uiPriority w:val="21"/>
    <w:qFormat/>
    <w:rsid w:val="008F76CB"/>
    <w:rPr>
      <w:b/>
      <w:bCs/>
      <w:smallCaps/>
      <w:color w:val="263C88"/>
      <w:spacing w:val="40"/>
    </w:rPr>
  </w:style>
  <w:style w:type="character" w:styleId="SubtleReference">
    <w:name w:val="Subtle Reference"/>
    <w:basedOn w:val="CommentReference"/>
    <w:uiPriority w:val="31"/>
    <w:qFormat/>
    <w:rsid w:val="00054CE9"/>
    <w:rPr>
      <w:rFonts w:ascii="Helvetica" w:hAnsi="Helvetica" w:cs="Times New Roman"/>
      <w:iCs/>
      <w:color w:val="auto"/>
      <w:spacing w:val="20"/>
      <w:sz w:val="22"/>
      <w:szCs w:val="16"/>
    </w:rPr>
  </w:style>
  <w:style w:type="character" w:styleId="IntenseReference">
    <w:name w:val="Intense Reference"/>
    <w:uiPriority w:val="32"/>
    <w:qFormat/>
    <w:rsid w:val="008F76CB"/>
    <w:rPr>
      <w:rFonts w:ascii="Verdana" w:eastAsia="Times New Roman" w:hAnsi="Verdana" w:cs="Times New Roman"/>
      <w:b/>
      <w:bCs/>
      <w:i/>
      <w:iCs/>
      <w:smallCaps/>
      <w:color w:val="17365D"/>
      <w:spacing w:val="20"/>
    </w:rPr>
  </w:style>
  <w:style w:type="character" w:styleId="BookTitle">
    <w:name w:val="Book Title"/>
    <w:uiPriority w:val="99"/>
    <w:qFormat/>
    <w:rsid w:val="008F76CB"/>
    <w:rPr>
      <w:rFonts w:ascii="Verdana" w:eastAsia="Times New Roman" w:hAnsi="Verdana" w:cs="Times New Roman"/>
      <w:b/>
      <w:bCs/>
      <w:smallCaps/>
      <w:color w:val="17365D"/>
      <w:spacing w:val="10"/>
      <w:u w:val="single"/>
    </w:rPr>
  </w:style>
  <w:style w:type="character" w:customStyle="1" w:styleId="NoSpacingChar">
    <w:name w:val="No Spacing Char"/>
    <w:basedOn w:val="DefaultParagraphFont"/>
    <w:link w:val="NoSpacing"/>
    <w:uiPriority w:val="1"/>
    <w:rsid w:val="000526AC"/>
    <w:rPr>
      <w:color w:val="5A5A5A"/>
    </w:rPr>
  </w:style>
  <w:style w:type="table" w:customStyle="1" w:styleId="LightList-Accent11">
    <w:name w:val="Light List - Accent 11"/>
    <w:basedOn w:val="TableNormal"/>
    <w:uiPriority w:val="61"/>
    <w:rsid w:val="000526AC"/>
    <w:tblPr>
      <w:tblStyleRowBandSize w:val="1"/>
      <w:tblStyleColBandSize w:val="1"/>
      <w:tblInd w:w="0" w:type="dxa"/>
      <w:tblBorders>
        <w:top w:val="single" w:sz="8" w:space="0" w:color="263C88"/>
        <w:left w:val="single" w:sz="8" w:space="0" w:color="263C88"/>
        <w:bottom w:val="single" w:sz="8" w:space="0" w:color="263C88"/>
        <w:right w:val="single" w:sz="8" w:space="0" w:color="263C88"/>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263C88"/>
      </w:tcPr>
    </w:tblStylePr>
    <w:tblStylePr w:type="lastRow">
      <w:pPr>
        <w:spacing w:before="0" w:after="0" w:line="240" w:lineRule="auto"/>
      </w:pPr>
      <w:rPr>
        <w:b/>
        <w:bCs/>
      </w:rPr>
      <w:tblPr/>
      <w:tcPr>
        <w:tcBorders>
          <w:top w:val="double" w:sz="6" w:space="0" w:color="263C88"/>
          <w:left w:val="single" w:sz="8" w:space="0" w:color="263C88"/>
          <w:bottom w:val="single" w:sz="8" w:space="0" w:color="263C88"/>
          <w:right w:val="single" w:sz="8" w:space="0" w:color="263C88"/>
        </w:tcBorders>
      </w:tcPr>
    </w:tblStylePr>
    <w:tblStylePr w:type="firstCol">
      <w:rPr>
        <w:b/>
        <w:bCs/>
      </w:rPr>
    </w:tblStylePr>
    <w:tblStylePr w:type="lastCol">
      <w:rPr>
        <w:b/>
        <w:bCs/>
      </w:rPr>
    </w:tblStylePr>
    <w:tblStylePr w:type="band1Vert">
      <w:tblPr/>
      <w:tcPr>
        <w:tcBorders>
          <w:top w:val="single" w:sz="8" w:space="0" w:color="263C88"/>
          <w:left w:val="single" w:sz="8" w:space="0" w:color="263C88"/>
          <w:bottom w:val="single" w:sz="8" w:space="0" w:color="263C88"/>
          <w:right w:val="single" w:sz="8" w:space="0" w:color="263C88"/>
        </w:tcBorders>
      </w:tcPr>
    </w:tblStylePr>
    <w:tblStylePr w:type="band1Horz">
      <w:tblPr/>
      <w:tcPr>
        <w:tcBorders>
          <w:top w:val="single" w:sz="8" w:space="0" w:color="263C88"/>
          <w:left w:val="single" w:sz="8" w:space="0" w:color="263C88"/>
          <w:bottom w:val="single" w:sz="8" w:space="0" w:color="263C88"/>
          <w:right w:val="single" w:sz="8" w:space="0" w:color="263C88"/>
        </w:tcBorders>
      </w:tcPr>
    </w:tblStylePr>
  </w:style>
  <w:style w:type="table" w:styleId="LightList-Accent2">
    <w:name w:val="Light List Accent 2"/>
    <w:basedOn w:val="TableNormal"/>
    <w:uiPriority w:val="61"/>
    <w:rsid w:val="00F87555"/>
    <w:tblPr>
      <w:tblStyleRowBandSize w:val="1"/>
      <w:tblStyleColBandSize w:val="1"/>
      <w:tblInd w:w="0" w:type="dxa"/>
      <w:tblBorders>
        <w:top w:val="single" w:sz="8" w:space="0" w:color="3F58A8"/>
        <w:left w:val="single" w:sz="8" w:space="0" w:color="3F58A8"/>
        <w:bottom w:val="single" w:sz="8" w:space="0" w:color="3F58A8"/>
        <w:right w:val="single" w:sz="8" w:space="0" w:color="3F58A8"/>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3F58A8"/>
      </w:tcPr>
    </w:tblStylePr>
    <w:tblStylePr w:type="lastRow">
      <w:pPr>
        <w:spacing w:before="0" w:after="0" w:line="240" w:lineRule="auto"/>
      </w:pPr>
      <w:rPr>
        <w:b/>
        <w:bCs/>
      </w:rPr>
      <w:tblPr/>
      <w:tcPr>
        <w:tcBorders>
          <w:top w:val="double" w:sz="6" w:space="0" w:color="3F58A8"/>
          <w:left w:val="single" w:sz="8" w:space="0" w:color="3F58A8"/>
          <w:bottom w:val="single" w:sz="8" w:space="0" w:color="3F58A8"/>
          <w:right w:val="single" w:sz="8" w:space="0" w:color="3F58A8"/>
        </w:tcBorders>
      </w:tcPr>
    </w:tblStylePr>
    <w:tblStylePr w:type="firstCol">
      <w:rPr>
        <w:b/>
        <w:bCs/>
      </w:rPr>
    </w:tblStylePr>
    <w:tblStylePr w:type="lastCol">
      <w:rPr>
        <w:b/>
        <w:bCs/>
      </w:rPr>
    </w:tblStylePr>
    <w:tblStylePr w:type="band1Vert">
      <w:tblPr/>
      <w:tcPr>
        <w:tcBorders>
          <w:top w:val="single" w:sz="8" w:space="0" w:color="3F58A8"/>
          <w:left w:val="single" w:sz="8" w:space="0" w:color="3F58A8"/>
          <w:bottom w:val="single" w:sz="8" w:space="0" w:color="3F58A8"/>
          <w:right w:val="single" w:sz="8" w:space="0" w:color="3F58A8"/>
        </w:tcBorders>
      </w:tcPr>
    </w:tblStylePr>
    <w:tblStylePr w:type="band1Horz">
      <w:tblPr/>
      <w:tcPr>
        <w:tcBorders>
          <w:top w:val="single" w:sz="8" w:space="0" w:color="3F58A8"/>
          <w:left w:val="single" w:sz="8" w:space="0" w:color="3F58A8"/>
          <w:bottom w:val="single" w:sz="8" w:space="0" w:color="3F58A8"/>
          <w:right w:val="single" w:sz="8" w:space="0" w:color="3F58A8"/>
        </w:tcBorders>
      </w:tcPr>
    </w:tblStylePr>
  </w:style>
  <w:style w:type="table" w:customStyle="1" w:styleId="SPRC">
    <w:name w:val="SPRC"/>
    <w:basedOn w:val="TableNormal"/>
    <w:uiPriority w:val="99"/>
    <w:rsid w:val="00C11C85"/>
    <w:rPr>
      <w:rFonts w:ascii="Helvetica" w:hAnsi="Helvetica"/>
      <w:sz w:val="24"/>
    </w:rPr>
    <w:tblPr>
      <w:tblInd w:w="0" w:type="dxa"/>
      <w:tblBorders>
        <w:top w:val="single" w:sz="8" w:space="0" w:color="auto"/>
        <w:left w:val="single" w:sz="8" w:space="0" w:color="auto"/>
        <w:bottom w:val="single" w:sz="8" w:space="0" w:color="auto"/>
        <w:right w:val="single" w:sz="8" w:space="0" w:color="auto"/>
      </w:tblBorders>
      <w:tblCellMar>
        <w:top w:w="0" w:type="dxa"/>
        <w:left w:w="108" w:type="dxa"/>
        <w:bottom w:w="0" w:type="dxa"/>
        <w:right w:w="108" w:type="dxa"/>
      </w:tblCellMar>
    </w:tblPr>
    <w:tblStylePr w:type="firstRow">
      <w:rPr>
        <w:rFonts w:ascii="Helvetica" w:hAnsi="Helvetica"/>
        <w:b w:val="0"/>
        <w:i w:val="0"/>
        <w:color w:val="auto"/>
        <w:sz w:val="24"/>
        <w:u w:val="none"/>
      </w:rPr>
    </w:tblStylePr>
  </w:style>
  <w:style w:type="table" w:customStyle="1" w:styleId="SPRCtables">
    <w:name w:val="SPRC tables"/>
    <w:basedOn w:val="ColorfulGrid-Accent6"/>
    <w:uiPriority w:val="99"/>
    <w:qFormat/>
    <w:rsid w:val="0005615D"/>
    <w:tblPr>
      <w:tblStyleRowBandSize w:val="1"/>
      <w:tblStyleColBandSize w:val="1"/>
      <w:tblInd w:w="0" w:type="dxa"/>
      <w:tblBorders>
        <w:top w:val="single" w:sz="6" w:space="0" w:color="D1D9EE"/>
        <w:bottom w:val="single" w:sz="6" w:space="0" w:color="D1D9EE"/>
        <w:insideH w:val="single" w:sz="6" w:space="0" w:color="D1D9EE"/>
      </w:tblBorders>
      <w:tblCellMar>
        <w:top w:w="0" w:type="dxa"/>
        <w:left w:w="108" w:type="dxa"/>
        <w:bottom w:w="0" w:type="dxa"/>
        <w:right w:w="108" w:type="dxa"/>
      </w:tblCellMar>
    </w:tblPr>
    <w:tcPr>
      <w:shd w:val="clear" w:color="auto" w:fill="3F58A8"/>
    </w:tcPr>
    <w:tblStylePr w:type="firstRow">
      <w:rPr>
        <w:b/>
        <w:bCs/>
      </w:rPr>
      <w:tblPr/>
      <w:tcPr>
        <w:shd w:val="clear" w:color="auto" w:fill="FA7DA3"/>
      </w:tcPr>
    </w:tblStylePr>
    <w:tblStylePr w:type="lastRow">
      <w:rPr>
        <w:b/>
        <w:bCs/>
        <w:color w:val="000000"/>
      </w:rPr>
      <w:tblPr/>
      <w:tcPr>
        <w:shd w:val="clear" w:color="auto" w:fill="FA7DA3"/>
      </w:tcPr>
    </w:tblStylePr>
    <w:tblStylePr w:type="firstCol">
      <w:rPr>
        <w:color w:val="FFFFFF"/>
      </w:rPr>
      <w:tblPr/>
      <w:tcPr>
        <w:shd w:val="clear" w:color="auto" w:fill="7F0429"/>
      </w:tcPr>
    </w:tblStylePr>
    <w:tblStylePr w:type="lastCol">
      <w:rPr>
        <w:color w:val="FFFFFF"/>
      </w:rPr>
      <w:tblPr/>
      <w:tcPr>
        <w:shd w:val="clear" w:color="auto" w:fill="7F0429"/>
      </w:tcPr>
    </w:tblStylePr>
    <w:tblStylePr w:type="band1Vert">
      <w:tblPr/>
      <w:tcPr>
        <w:shd w:val="clear" w:color="auto" w:fill="F95E8C"/>
      </w:tcPr>
    </w:tblStylePr>
    <w:tblStylePr w:type="band1Horz">
      <w:tblPr/>
      <w:tcPr>
        <w:shd w:val="clear" w:color="auto" w:fill="F95E8C"/>
      </w:tcPr>
    </w:tblStylePr>
  </w:style>
  <w:style w:type="table" w:styleId="MediumShading2-Accent2">
    <w:name w:val="Medium Shading 2 Accent 2"/>
    <w:basedOn w:val="TableNormal"/>
    <w:uiPriority w:val="64"/>
    <w:rsid w:val="007E4F73"/>
    <w:rPr>
      <w:rFonts w:ascii="Verdana" w:hAnsi="Verdana"/>
      <w:color w:val="FFFFFF"/>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F58A8"/>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F58A8"/>
      </w:tcPr>
    </w:tblStylePr>
    <w:tblStylePr w:type="lastCol">
      <w:rPr>
        <w:b/>
        <w:bCs/>
        <w:color w:val="FFFFFF"/>
      </w:rPr>
      <w:tblPr/>
      <w:tcPr>
        <w:tcBorders>
          <w:left w:val="nil"/>
          <w:right w:val="nil"/>
          <w:insideH w:val="nil"/>
          <w:insideV w:val="nil"/>
        </w:tcBorders>
        <w:shd w:val="clear" w:color="auto" w:fill="3F58A8"/>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6">
    <w:name w:val="Colorful Grid Accent 6"/>
    <w:basedOn w:val="TableNormal"/>
    <w:uiPriority w:val="73"/>
    <w:rsid w:val="0005615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CBED1"/>
    </w:tcPr>
    <w:tblStylePr w:type="firstRow">
      <w:rPr>
        <w:b/>
        <w:bCs/>
      </w:rPr>
      <w:tblPr/>
      <w:tcPr>
        <w:shd w:val="clear" w:color="auto" w:fill="FA7DA3"/>
      </w:tcPr>
    </w:tblStylePr>
    <w:tblStylePr w:type="lastRow">
      <w:rPr>
        <w:b/>
        <w:bCs/>
        <w:color w:val="000000"/>
      </w:rPr>
      <w:tblPr/>
      <w:tcPr>
        <w:shd w:val="clear" w:color="auto" w:fill="FA7DA3"/>
      </w:tcPr>
    </w:tblStylePr>
    <w:tblStylePr w:type="firstCol">
      <w:rPr>
        <w:color w:val="FFFFFF"/>
      </w:rPr>
      <w:tblPr/>
      <w:tcPr>
        <w:shd w:val="clear" w:color="auto" w:fill="7F0429"/>
      </w:tcPr>
    </w:tblStylePr>
    <w:tblStylePr w:type="lastCol">
      <w:rPr>
        <w:color w:val="FFFFFF"/>
      </w:rPr>
      <w:tblPr/>
      <w:tcPr>
        <w:shd w:val="clear" w:color="auto" w:fill="7F0429"/>
      </w:tcPr>
    </w:tblStylePr>
    <w:tblStylePr w:type="band1Vert">
      <w:tblPr/>
      <w:tcPr>
        <w:shd w:val="clear" w:color="auto" w:fill="F95E8C"/>
      </w:tcPr>
    </w:tblStylePr>
    <w:tblStylePr w:type="band1Horz">
      <w:tblPr/>
      <w:tcPr>
        <w:shd w:val="clear" w:color="auto" w:fill="F95E8C"/>
      </w:tcPr>
    </w:tblStylePr>
  </w:style>
  <w:style w:type="table" w:styleId="DarkList-Accent6">
    <w:name w:val="Dark List Accent 6"/>
    <w:basedOn w:val="TableNormal"/>
    <w:uiPriority w:val="70"/>
    <w:rsid w:val="0005615D"/>
    <w:rPr>
      <w:color w:val="FFFFFF"/>
    </w:rPr>
    <w:tblPr>
      <w:tblStyleRowBandSize w:val="1"/>
      <w:tblStyleColBandSize w:val="1"/>
      <w:tblInd w:w="0" w:type="dxa"/>
      <w:tblCellMar>
        <w:top w:w="0" w:type="dxa"/>
        <w:left w:w="108" w:type="dxa"/>
        <w:bottom w:w="0" w:type="dxa"/>
        <w:right w:w="108" w:type="dxa"/>
      </w:tblCellMar>
    </w:tblPr>
    <w:tcPr>
      <w:shd w:val="clear" w:color="auto" w:fill="AA063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4031B"/>
      </w:tcPr>
    </w:tblStylePr>
    <w:tblStylePr w:type="firstCol">
      <w:tblPr/>
      <w:tcPr>
        <w:tcBorders>
          <w:top w:val="nil"/>
          <w:left w:val="nil"/>
          <w:bottom w:val="nil"/>
          <w:right w:val="single" w:sz="18" w:space="0" w:color="FFFFFF"/>
          <w:insideH w:val="nil"/>
          <w:insideV w:val="nil"/>
        </w:tcBorders>
        <w:shd w:val="clear" w:color="auto" w:fill="7F0429"/>
      </w:tcPr>
    </w:tblStylePr>
    <w:tblStylePr w:type="lastCol">
      <w:tblPr/>
      <w:tcPr>
        <w:tcBorders>
          <w:top w:val="nil"/>
          <w:left w:val="single" w:sz="18" w:space="0" w:color="FFFFFF"/>
          <w:bottom w:val="nil"/>
          <w:right w:val="nil"/>
          <w:insideH w:val="nil"/>
          <w:insideV w:val="nil"/>
        </w:tcBorders>
        <w:shd w:val="clear" w:color="auto" w:fill="7F0429"/>
      </w:tcPr>
    </w:tblStylePr>
    <w:tblStylePr w:type="band1Vert">
      <w:tblPr/>
      <w:tcPr>
        <w:tcBorders>
          <w:top w:val="nil"/>
          <w:left w:val="nil"/>
          <w:bottom w:val="nil"/>
          <w:right w:val="nil"/>
          <w:insideH w:val="nil"/>
          <w:insideV w:val="nil"/>
        </w:tcBorders>
        <w:shd w:val="clear" w:color="auto" w:fill="7F0429"/>
      </w:tcPr>
    </w:tblStylePr>
    <w:tblStylePr w:type="band1Horz">
      <w:tblPr/>
      <w:tcPr>
        <w:tcBorders>
          <w:top w:val="nil"/>
          <w:left w:val="nil"/>
          <w:bottom w:val="nil"/>
          <w:right w:val="nil"/>
          <w:insideH w:val="nil"/>
          <w:insideV w:val="nil"/>
        </w:tcBorders>
        <w:shd w:val="clear" w:color="auto" w:fill="7F0429"/>
      </w:tcPr>
    </w:tblStylePr>
  </w:style>
  <w:style w:type="table" w:styleId="MediumShading1-Accent3">
    <w:name w:val="Medium Shading 1 Accent 3"/>
    <w:basedOn w:val="TableNormal"/>
    <w:uiPriority w:val="63"/>
    <w:rsid w:val="000271A2"/>
    <w:tblPr>
      <w:tblStyleRowBandSize w:val="1"/>
      <w:tblStyleColBandSize w:val="1"/>
      <w:tblInd w:w="0" w:type="dxa"/>
      <w:tblBorders>
        <w:top w:val="single" w:sz="8" w:space="0" w:color="auto"/>
        <w:bottom w:val="single" w:sz="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D5DDF0"/>
          <w:left w:val="single" w:sz="8" w:space="0" w:color="D5DDF0"/>
          <w:bottom w:val="single" w:sz="8" w:space="0" w:color="D5DDF0"/>
          <w:right w:val="single" w:sz="8" w:space="0" w:color="D5DDF0"/>
          <w:insideH w:val="nil"/>
          <w:insideV w:val="nil"/>
        </w:tcBorders>
        <w:shd w:val="clear" w:color="auto" w:fill="C8D2EB"/>
      </w:tcPr>
    </w:tblStylePr>
    <w:tblStylePr w:type="lastRow">
      <w:pPr>
        <w:spacing w:before="0" w:after="0" w:line="240" w:lineRule="auto"/>
      </w:pPr>
      <w:rPr>
        <w:b/>
        <w:bCs/>
      </w:rPr>
      <w:tblPr/>
      <w:tcPr>
        <w:tcBorders>
          <w:top w:val="double" w:sz="6" w:space="0" w:color="D5DDF0"/>
          <w:left w:val="single" w:sz="8" w:space="0" w:color="D5DDF0"/>
          <w:bottom w:val="single" w:sz="8" w:space="0" w:color="D5DDF0"/>
          <w:right w:val="single" w:sz="8" w:space="0" w:color="D5DDF0"/>
          <w:insideH w:val="nil"/>
          <w:insideV w:val="nil"/>
        </w:tcBorders>
      </w:tcPr>
    </w:tblStylePr>
    <w:tblStylePr w:type="firstCol">
      <w:rPr>
        <w:b/>
        <w:bCs/>
      </w:rPr>
    </w:tblStylePr>
    <w:tblStylePr w:type="lastCol">
      <w:rPr>
        <w:b/>
        <w:bCs/>
      </w:rPr>
    </w:tblStylePr>
    <w:tblStylePr w:type="band1Vert">
      <w:tblPr/>
      <w:tcPr>
        <w:shd w:val="clear" w:color="auto" w:fill="F1F3FA"/>
      </w:tcPr>
    </w:tblStylePr>
    <w:tblStylePr w:type="band1Horz">
      <w:tblPr/>
      <w:tcPr>
        <w:tcBorders>
          <w:insideH w:val="nil"/>
          <w:insideV w:val="nil"/>
        </w:tcBorders>
        <w:shd w:val="clear" w:color="auto" w:fill="F1F3FA"/>
      </w:tcPr>
    </w:tblStylePr>
    <w:tblStylePr w:type="band2Horz">
      <w:tblPr/>
      <w:tcPr>
        <w:tcBorders>
          <w:insideH w:val="nil"/>
          <w:insideV w:val="nil"/>
        </w:tcBorders>
      </w:tcPr>
    </w:tblStylePr>
  </w:style>
  <w:style w:type="table" w:customStyle="1" w:styleId="SPRCReporttablefinal">
    <w:name w:val="SPRC Report table final"/>
    <w:basedOn w:val="ColorfulShading-Accent1"/>
    <w:uiPriority w:val="99"/>
    <w:qFormat/>
    <w:rsid w:val="009B1F76"/>
    <w:rPr>
      <w:rFonts w:ascii="Sommet" w:hAnsi="Sommet"/>
      <w:sz w:val="24"/>
      <w:szCs w:val="20"/>
      <w:lang w:val="en-US" w:eastAsia="en-US"/>
    </w:rPr>
    <w:tblPr>
      <w:tblStyleRowBandSize w:val="1"/>
      <w:tblStyleColBandSize w:val="1"/>
      <w:tblInd w:w="0" w:type="dxa"/>
      <w:tblBorders>
        <w:left w:val="single" w:sz="4" w:space="0" w:color="263C88"/>
        <w:right w:val="single" w:sz="4" w:space="0" w:color="263C88"/>
        <w:insideH w:val="single" w:sz="4" w:space="0" w:color="FFFFFF"/>
        <w:insideV w:val="single" w:sz="4" w:space="0" w:color="FFFFFF"/>
      </w:tblBorders>
      <w:tblCellMar>
        <w:top w:w="0" w:type="dxa"/>
        <w:left w:w="108" w:type="dxa"/>
        <w:bottom w:w="0" w:type="dxa"/>
        <w:right w:w="108" w:type="dxa"/>
      </w:tblCellMar>
    </w:tblPr>
    <w:tcPr>
      <w:shd w:val="clear" w:color="auto" w:fill="E5E9F7"/>
    </w:tcPr>
    <w:tblStylePr w:type="firstRow">
      <w:rPr>
        <w:b/>
        <w:bCs/>
      </w:rPr>
      <w:tblPr/>
      <w:tcPr>
        <w:tcBorders>
          <w:top w:val="nil"/>
          <w:left w:val="nil"/>
          <w:bottom w:val="single" w:sz="24" w:space="0" w:color="3F58A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62351"/>
      </w:tcPr>
    </w:tblStylePr>
    <w:tblStylePr w:type="firstCol">
      <w:rPr>
        <w:color w:val="FFFFFF"/>
      </w:rPr>
      <w:tblPr/>
      <w:tcPr>
        <w:tcBorders>
          <w:top w:val="nil"/>
          <w:left w:val="nil"/>
          <w:bottom w:val="nil"/>
          <w:right w:val="nil"/>
          <w:insideH w:val="single" w:sz="4" w:space="0" w:color="162351"/>
          <w:insideV w:val="nil"/>
        </w:tcBorders>
        <w:shd w:val="clear" w:color="auto" w:fill="162351"/>
      </w:tcPr>
    </w:tblStylePr>
    <w:tblStylePr w:type="lastCol">
      <w:rPr>
        <w:color w:val="FFFFFF"/>
      </w:rPr>
      <w:tblPr/>
      <w:tcPr>
        <w:tcBorders>
          <w:top w:val="nil"/>
          <w:left w:val="nil"/>
          <w:bottom w:val="nil"/>
          <w:right w:val="nil"/>
          <w:insideH w:val="nil"/>
          <w:insideV w:val="nil"/>
        </w:tcBorders>
        <w:shd w:val="clear" w:color="auto" w:fill="162351"/>
      </w:tcPr>
    </w:tblStylePr>
    <w:tblStylePr w:type="band1Vert">
      <w:tblPr/>
      <w:tcPr>
        <w:shd w:val="clear" w:color="auto" w:fill="95A6E1"/>
      </w:tcPr>
    </w:tblStylePr>
    <w:tblStylePr w:type="band1Horz">
      <w:tblPr/>
      <w:tcPr>
        <w:shd w:val="clear" w:color="auto" w:fill="7B90DA"/>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9B1F76"/>
    <w:rPr>
      <w:color w:val="000000"/>
    </w:rPr>
    <w:tblPr>
      <w:tblStyleRowBandSize w:val="1"/>
      <w:tblStyleColBandSize w:val="1"/>
      <w:tblInd w:w="0" w:type="dxa"/>
      <w:tblBorders>
        <w:top w:val="single" w:sz="24" w:space="0" w:color="3F58A8"/>
        <w:left w:val="single" w:sz="4" w:space="0" w:color="263C88"/>
        <w:bottom w:val="single" w:sz="4" w:space="0" w:color="263C88"/>
        <w:right w:val="single" w:sz="4" w:space="0" w:color="263C88"/>
        <w:insideH w:val="single" w:sz="4" w:space="0" w:color="FFFFFF"/>
        <w:insideV w:val="single" w:sz="4" w:space="0" w:color="FFFFFF"/>
      </w:tblBorders>
      <w:tblCellMar>
        <w:top w:w="0" w:type="dxa"/>
        <w:left w:w="108" w:type="dxa"/>
        <w:bottom w:w="0" w:type="dxa"/>
        <w:right w:w="108" w:type="dxa"/>
      </w:tblCellMar>
    </w:tblPr>
    <w:tcPr>
      <w:shd w:val="clear" w:color="auto" w:fill="E5E9F7"/>
    </w:tcPr>
    <w:tblStylePr w:type="firstRow">
      <w:rPr>
        <w:b/>
        <w:bCs/>
      </w:rPr>
      <w:tblPr/>
      <w:tcPr>
        <w:tcBorders>
          <w:top w:val="nil"/>
          <w:left w:val="nil"/>
          <w:bottom w:val="single" w:sz="24" w:space="0" w:color="3F58A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62351"/>
      </w:tcPr>
    </w:tblStylePr>
    <w:tblStylePr w:type="firstCol">
      <w:rPr>
        <w:color w:val="FFFFFF"/>
      </w:rPr>
      <w:tblPr/>
      <w:tcPr>
        <w:tcBorders>
          <w:top w:val="nil"/>
          <w:left w:val="nil"/>
          <w:bottom w:val="nil"/>
          <w:right w:val="nil"/>
          <w:insideH w:val="single" w:sz="4" w:space="0" w:color="162351"/>
          <w:insideV w:val="nil"/>
        </w:tcBorders>
        <w:shd w:val="clear" w:color="auto" w:fill="162351"/>
      </w:tcPr>
    </w:tblStylePr>
    <w:tblStylePr w:type="lastCol">
      <w:rPr>
        <w:color w:val="FFFFFF"/>
      </w:rPr>
      <w:tblPr/>
      <w:tcPr>
        <w:tcBorders>
          <w:top w:val="nil"/>
          <w:left w:val="nil"/>
          <w:bottom w:val="nil"/>
          <w:right w:val="nil"/>
          <w:insideH w:val="nil"/>
          <w:insideV w:val="nil"/>
        </w:tcBorders>
        <w:shd w:val="clear" w:color="auto" w:fill="162351"/>
      </w:tcPr>
    </w:tblStylePr>
    <w:tblStylePr w:type="band1Vert">
      <w:tblPr/>
      <w:tcPr>
        <w:shd w:val="clear" w:color="auto" w:fill="95A6E1"/>
      </w:tcPr>
    </w:tblStylePr>
    <w:tblStylePr w:type="band1Horz">
      <w:tblPr/>
      <w:tcPr>
        <w:shd w:val="clear" w:color="auto" w:fill="7B90DA"/>
      </w:tcPr>
    </w:tblStylePr>
    <w:tblStylePr w:type="neCell">
      <w:rPr>
        <w:color w:val="000000"/>
      </w:rPr>
    </w:tblStylePr>
    <w:tblStylePr w:type="nwCell">
      <w:rPr>
        <w:color w:val="000000"/>
      </w:rPr>
    </w:tblStylePr>
  </w:style>
  <w:style w:type="table" w:styleId="LightShading-Accent4">
    <w:name w:val="Light Shading Accent 4"/>
    <w:basedOn w:val="TableNormal"/>
    <w:uiPriority w:val="60"/>
    <w:rsid w:val="00AF1F39"/>
    <w:rPr>
      <w:color w:val="7E95CF"/>
    </w:rPr>
    <w:tblPr>
      <w:tblStyleRowBandSize w:val="1"/>
      <w:tblStyleColBandSize w:val="1"/>
      <w:tblInd w:w="0" w:type="dxa"/>
      <w:tblBorders>
        <w:top w:val="single" w:sz="8" w:space="0" w:color="D1D9EE"/>
        <w:bottom w:val="single" w:sz="8" w:space="0" w:color="D1D9EE"/>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1D9EE"/>
          <w:left w:val="nil"/>
          <w:bottom w:val="single" w:sz="8" w:space="0" w:color="D1D9EE"/>
          <w:right w:val="nil"/>
          <w:insideH w:val="nil"/>
          <w:insideV w:val="nil"/>
        </w:tcBorders>
      </w:tcPr>
    </w:tblStylePr>
    <w:tblStylePr w:type="lastRow">
      <w:pPr>
        <w:spacing w:before="0" w:after="0" w:line="240" w:lineRule="auto"/>
      </w:pPr>
      <w:rPr>
        <w:b/>
        <w:bCs/>
      </w:rPr>
      <w:tblPr/>
      <w:tcPr>
        <w:tcBorders>
          <w:top w:val="single" w:sz="8" w:space="0" w:color="D1D9EE"/>
          <w:left w:val="nil"/>
          <w:bottom w:val="single" w:sz="8" w:space="0" w:color="D1D9E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5FA"/>
      </w:tcPr>
    </w:tblStylePr>
    <w:tblStylePr w:type="band1Horz">
      <w:tblPr/>
      <w:tcPr>
        <w:tcBorders>
          <w:left w:val="nil"/>
          <w:right w:val="nil"/>
          <w:insideH w:val="nil"/>
          <w:insideV w:val="nil"/>
        </w:tcBorders>
        <w:shd w:val="clear" w:color="auto" w:fill="F3F5FA"/>
      </w:tcPr>
    </w:tblStylePr>
  </w:style>
  <w:style w:type="table" w:customStyle="1" w:styleId="SPRCtablev1">
    <w:name w:val="SPRC table v1"/>
    <w:basedOn w:val="TableNormal"/>
    <w:uiPriority w:val="99"/>
    <w:qFormat/>
    <w:rsid w:val="00A87298"/>
    <w:rPr>
      <w:rFonts w:ascii="Helvetica" w:hAnsi="Helvetica"/>
      <w:sz w:val="24"/>
    </w:rPr>
    <w:tblPr>
      <w:tblInd w:w="0" w:type="dxa"/>
      <w:tblCellMar>
        <w:top w:w="0" w:type="dxa"/>
        <w:left w:w="108" w:type="dxa"/>
        <w:bottom w:w="0" w:type="dxa"/>
        <w:right w:w="108" w:type="dxa"/>
      </w:tblCellMar>
    </w:tblPr>
  </w:style>
  <w:style w:type="table" w:customStyle="1" w:styleId="TableGrid1">
    <w:name w:val="Table Grid1"/>
    <w:basedOn w:val="TableNormal"/>
    <w:next w:val="TableGrid"/>
    <w:uiPriority w:val="59"/>
    <w:rsid w:val="0024606E"/>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locked/>
    <w:rsid w:val="0024606E"/>
    <w:pPr>
      <w:spacing w:before="100" w:beforeAutospacing="1" w:after="0" w:line="360" w:lineRule="atLeast"/>
      <w:ind w:left="0"/>
    </w:pPr>
    <w:rPr>
      <w:rFonts w:ascii="Times New Roman" w:hAnsi="Times New Roman"/>
      <w:sz w:val="43"/>
      <w:szCs w:val="43"/>
      <w:lang w:eastAsia="en-AU" w:bidi="ar-SA"/>
    </w:rPr>
  </w:style>
  <w:style w:type="numbering" w:customStyle="1" w:styleId="SPRC-NEW">
    <w:name w:val="SPRC-NEW"/>
    <w:uiPriority w:val="99"/>
    <w:rsid w:val="002A0D52"/>
    <w:pPr>
      <w:numPr>
        <w:numId w:val="1"/>
      </w:numPr>
    </w:pPr>
  </w:style>
  <w:style w:type="numbering" w:customStyle="1" w:styleId="SPRC-docs-style">
    <w:name w:val="SPRC-docs-style"/>
    <w:uiPriority w:val="99"/>
    <w:rsid w:val="005850BB"/>
  </w:style>
  <w:style w:type="numbering" w:customStyle="1" w:styleId="SPRC-style">
    <w:name w:val="SPRC-style"/>
    <w:uiPriority w:val="99"/>
    <w:rsid w:val="005850BB"/>
    <w:pPr>
      <w:numPr>
        <w:numId w:val="14"/>
      </w:numPr>
    </w:pPr>
  </w:style>
  <w:style w:type="paragraph" w:styleId="ListNumber2">
    <w:name w:val="List Number 2"/>
    <w:basedOn w:val="Normal"/>
    <w:uiPriority w:val="99"/>
    <w:semiHidden/>
    <w:unhideWhenUsed/>
    <w:locked/>
    <w:rsid w:val="005850BB"/>
    <w:pPr>
      <w:ind w:left="0"/>
      <w:contextualSpacing/>
    </w:pPr>
  </w:style>
  <w:style w:type="paragraph" w:styleId="ListNumber3">
    <w:name w:val="List Number 3"/>
    <w:basedOn w:val="Normal"/>
    <w:uiPriority w:val="99"/>
    <w:semiHidden/>
    <w:unhideWhenUsed/>
    <w:locked/>
    <w:rsid w:val="005850BB"/>
    <w:pPr>
      <w:ind w:left="0"/>
      <w:contextualSpacing/>
    </w:pPr>
  </w:style>
  <w:style w:type="paragraph" w:styleId="EndnoteText">
    <w:name w:val="endnote text"/>
    <w:basedOn w:val="Normal"/>
    <w:link w:val="EndnoteTextChar"/>
    <w:uiPriority w:val="99"/>
    <w:semiHidden/>
    <w:unhideWhenUsed/>
    <w:locked/>
    <w:rsid w:val="009A70B2"/>
    <w:pPr>
      <w:spacing w:after="0" w:line="240" w:lineRule="auto"/>
    </w:pPr>
  </w:style>
  <w:style w:type="character" w:customStyle="1" w:styleId="EndnoteTextChar">
    <w:name w:val="Endnote Text Char"/>
    <w:basedOn w:val="DefaultParagraphFont"/>
    <w:link w:val="EndnoteText"/>
    <w:uiPriority w:val="99"/>
    <w:semiHidden/>
    <w:rsid w:val="009A70B2"/>
    <w:rPr>
      <w:rFonts w:ascii="Helvetica" w:hAnsi="Helvetica"/>
    </w:rPr>
  </w:style>
  <w:style w:type="character" w:styleId="EndnoteReference">
    <w:name w:val="endnote reference"/>
    <w:basedOn w:val="DefaultParagraphFont"/>
    <w:uiPriority w:val="99"/>
    <w:semiHidden/>
    <w:unhideWhenUsed/>
    <w:locked/>
    <w:rsid w:val="009A70B2"/>
    <w:rPr>
      <w:vertAlign w:val="superscript"/>
    </w:rPr>
  </w:style>
  <w:style w:type="paragraph" w:customStyle="1" w:styleId="Leftpara">
    <w:name w:val="Left para"/>
    <w:basedOn w:val="BodyText"/>
    <w:rsid w:val="00137FAE"/>
    <w:pPr>
      <w:keepLines/>
      <w:spacing w:after="0" w:line="240" w:lineRule="auto"/>
      <w:ind w:left="1701"/>
    </w:pPr>
    <w:rPr>
      <w:noProof/>
    </w:rPr>
  </w:style>
  <w:style w:type="character" w:customStyle="1" w:styleId="BlockQuoteChar">
    <w:name w:val="Block Quote Char"/>
    <w:basedOn w:val="BodyTextChar"/>
    <w:link w:val="BlockQuote"/>
    <w:uiPriority w:val="4"/>
    <w:rsid w:val="00C90B6F"/>
    <w:rPr>
      <w:rFonts w:ascii="Arial" w:hAnsi="Arial"/>
      <w:sz w:val="22"/>
      <w:szCs w:val="22"/>
      <w:lang w:val="en-AU" w:eastAsia="en-AU" w:bidi="en-US"/>
    </w:rPr>
  </w:style>
  <w:style w:type="paragraph" w:customStyle="1" w:styleId="Heading1a">
    <w:name w:val="Heading 1a"/>
    <w:basedOn w:val="Heading1"/>
    <w:rsid w:val="006D2EA9"/>
    <w:pPr>
      <w:numPr>
        <w:numId w:val="0"/>
      </w:numPr>
      <w:ind w:left="2160"/>
    </w:pPr>
  </w:style>
  <w:style w:type="paragraph" w:customStyle="1" w:styleId="BodyText1">
    <w:name w:val="Body Text1"/>
    <w:basedOn w:val="BodyText"/>
    <w:link w:val="BodytextChar0"/>
    <w:qFormat/>
    <w:rsid w:val="000C7855"/>
  </w:style>
  <w:style w:type="numbering" w:customStyle="1" w:styleId="SPRC-style1">
    <w:name w:val="SPRC-style1"/>
    <w:uiPriority w:val="99"/>
    <w:rsid w:val="00B26206"/>
  </w:style>
  <w:style w:type="paragraph" w:customStyle="1" w:styleId="attachtitle">
    <w:name w:val="attach title"/>
    <w:basedOn w:val="Subtitle"/>
    <w:rsid w:val="003E2B11"/>
    <w:pPr>
      <w:numPr>
        <w:numId w:val="11"/>
      </w:numPr>
    </w:pPr>
    <w:rPr>
      <w:color w:val="auto"/>
      <w:lang w:val="en-AU"/>
    </w:rPr>
  </w:style>
  <w:style w:type="paragraph" w:customStyle="1" w:styleId="attachtext">
    <w:name w:val="attach text"/>
    <w:basedOn w:val="Normal"/>
    <w:rsid w:val="00557394"/>
    <w:pPr>
      <w:autoSpaceDE w:val="0"/>
      <w:autoSpaceDN w:val="0"/>
      <w:adjustRightInd w:val="0"/>
      <w:spacing w:after="120"/>
      <w:ind w:left="0"/>
    </w:pPr>
    <w:rPr>
      <w:bCs/>
      <w:color w:val="000000"/>
      <w:szCs w:val="24"/>
    </w:rPr>
  </w:style>
  <w:style w:type="paragraph" w:customStyle="1" w:styleId="tabfighead">
    <w:name w:val="tab fig head"/>
    <w:basedOn w:val="Normal"/>
    <w:rsid w:val="00557394"/>
    <w:pPr>
      <w:keepNext/>
      <w:keepLines/>
      <w:spacing w:before="240" w:after="120"/>
      <w:ind w:left="3119" w:hanging="1418"/>
      <w:jc w:val="left"/>
    </w:pPr>
    <w:rPr>
      <w:b/>
      <w:bCs/>
      <w:color w:val="273C8B"/>
      <w:spacing w:val="10"/>
      <w:szCs w:val="18"/>
    </w:rPr>
  </w:style>
  <w:style w:type="numbering" w:customStyle="1" w:styleId="NoList1">
    <w:name w:val="No List1"/>
    <w:next w:val="NoList"/>
    <w:uiPriority w:val="99"/>
    <w:semiHidden/>
    <w:unhideWhenUsed/>
    <w:rsid w:val="008861DE"/>
  </w:style>
  <w:style w:type="table" w:customStyle="1" w:styleId="TableGrid2">
    <w:name w:val="Table Grid2"/>
    <w:basedOn w:val="TableNormal"/>
    <w:next w:val="TableGrid"/>
    <w:uiPriority w:val="59"/>
    <w:rsid w:val="008861D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yle11">
    <w:name w:val="Style11"/>
    <w:uiPriority w:val="99"/>
    <w:rsid w:val="008861DE"/>
    <w:pPr>
      <w:keepLines/>
      <w:spacing w:after="160" w:line="288" w:lineRule="auto"/>
      <w:ind w:left="2160"/>
    </w:pPr>
    <w:rPr>
      <w:lang w:val="en-US" w:eastAsia="zh-CN" w:bidi="en-US"/>
    </w:rPr>
    <w:tblPr>
      <w:tblInd w:w="0" w:type="dxa"/>
      <w:tblBorders>
        <w:top w:val="single" w:sz="4" w:space="0" w:color="auto"/>
        <w:bottom w:val="single" w:sz="4" w:space="0" w:color="auto"/>
      </w:tblBorders>
      <w:tblCellMar>
        <w:top w:w="0" w:type="dxa"/>
        <w:left w:w="108" w:type="dxa"/>
        <w:bottom w:w="0" w:type="dxa"/>
        <w:right w:w="108" w:type="dxa"/>
      </w:tblCellMar>
    </w:tblPr>
  </w:style>
  <w:style w:type="table" w:customStyle="1" w:styleId="LightList-Accent111">
    <w:name w:val="Light List - Accent 111"/>
    <w:basedOn w:val="TableNormal"/>
    <w:uiPriority w:val="61"/>
    <w:rsid w:val="008861DE"/>
    <w:tblPr>
      <w:tblStyleRowBandSize w:val="1"/>
      <w:tblStyleColBandSize w:val="1"/>
      <w:tblInd w:w="0" w:type="dxa"/>
      <w:tblBorders>
        <w:top w:val="single" w:sz="8" w:space="0" w:color="263C88"/>
        <w:left w:val="single" w:sz="8" w:space="0" w:color="263C88"/>
        <w:bottom w:val="single" w:sz="8" w:space="0" w:color="263C88"/>
        <w:right w:val="single" w:sz="8" w:space="0" w:color="263C88"/>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263C88"/>
      </w:tcPr>
    </w:tblStylePr>
    <w:tblStylePr w:type="lastRow">
      <w:pPr>
        <w:spacing w:before="0" w:after="0" w:line="240" w:lineRule="auto"/>
      </w:pPr>
      <w:rPr>
        <w:b/>
        <w:bCs/>
      </w:rPr>
      <w:tblPr/>
      <w:tcPr>
        <w:tcBorders>
          <w:top w:val="double" w:sz="6" w:space="0" w:color="263C88"/>
          <w:left w:val="single" w:sz="8" w:space="0" w:color="263C88"/>
          <w:bottom w:val="single" w:sz="8" w:space="0" w:color="263C88"/>
          <w:right w:val="single" w:sz="8" w:space="0" w:color="263C88"/>
        </w:tcBorders>
      </w:tcPr>
    </w:tblStylePr>
    <w:tblStylePr w:type="firstCol">
      <w:rPr>
        <w:b/>
        <w:bCs/>
      </w:rPr>
    </w:tblStylePr>
    <w:tblStylePr w:type="lastCol">
      <w:rPr>
        <w:b/>
        <w:bCs/>
      </w:rPr>
    </w:tblStylePr>
    <w:tblStylePr w:type="band1Vert">
      <w:tblPr/>
      <w:tcPr>
        <w:tcBorders>
          <w:top w:val="single" w:sz="8" w:space="0" w:color="263C88"/>
          <w:left w:val="single" w:sz="8" w:space="0" w:color="263C88"/>
          <w:bottom w:val="single" w:sz="8" w:space="0" w:color="263C88"/>
          <w:right w:val="single" w:sz="8" w:space="0" w:color="263C88"/>
        </w:tcBorders>
      </w:tcPr>
    </w:tblStylePr>
    <w:tblStylePr w:type="band1Horz">
      <w:tblPr/>
      <w:tcPr>
        <w:tcBorders>
          <w:top w:val="single" w:sz="8" w:space="0" w:color="263C88"/>
          <w:left w:val="single" w:sz="8" w:space="0" w:color="263C88"/>
          <w:bottom w:val="single" w:sz="8" w:space="0" w:color="263C88"/>
          <w:right w:val="single" w:sz="8" w:space="0" w:color="263C88"/>
        </w:tcBorders>
      </w:tcPr>
    </w:tblStylePr>
  </w:style>
  <w:style w:type="table" w:customStyle="1" w:styleId="LightList-Accent21">
    <w:name w:val="Light List - Accent 21"/>
    <w:basedOn w:val="TableNormal"/>
    <w:next w:val="LightList-Accent2"/>
    <w:uiPriority w:val="61"/>
    <w:rsid w:val="008861DE"/>
    <w:tblPr>
      <w:tblStyleRowBandSize w:val="1"/>
      <w:tblStyleColBandSize w:val="1"/>
      <w:tblInd w:w="0" w:type="dxa"/>
      <w:tblBorders>
        <w:top w:val="single" w:sz="8" w:space="0" w:color="3F58A8"/>
        <w:left w:val="single" w:sz="8" w:space="0" w:color="3F58A8"/>
        <w:bottom w:val="single" w:sz="8" w:space="0" w:color="3F58A8"/>
        <w:right w:val="single" w:sz="8" w:space="0" w:color="3F58A8"/>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3F58A8"/>
      </w:tcPr>
    </w:tblStylePr>
    <w:tblStylePr w:type="lastRow">
      <w:pPr>
        <w:spacing w:before="0" w:after="0" w:line="240" w:lineRule="auto"/>
      </w:pPr>
      <w:rPr>
        <w:b/>
        <w:bCs/>
      </w:rPr>
      <w:tblPr/>
      <w:tcPr>
        <w:tcBorders>
          <w:top w:val="double" w:sz="6" w:space="0" w:color="3F58A8"/>
          <w:left w:val="single" w:sz="8" w:space="0" w:color="3F58A8"/>
          <w:bottom w:val="single" w:sz="8" w:space="0" w:color="3F58A8"/>
          <w:right w:val="single" w:sz="8" w:space="0" w:color="3F58A8"/>
        </w:tcBorders>
      </w:tcPr>
    </w:tblStylePr>
    <w:tblStylePr w:type="firstCol">
      <w:rPr>
        <w:b/>
        <w:bCs/>
      </w:rPr>
    </w:tblStylePr>
    <w:tblStylePr w:type="lastCol">
      <w:rPr>
        <w:b/>
        <w:bCs/>
      </w:rPr>
    </w:tblStylePr>
    <w:tblStylePr w:type="band1Vert">
      <w:tblPr/>
      <w:tcPr>
        <w:tcBorders>
          <w:top w:val="single" w:sz="8" w:space="0" w:color="3F58A8"/>
          <w:left w:val="single" w:sz="8" w:space="0" w:color="3F58A8"/>
          <w:bottom w:val="single" w:sz="8" w:space="0" w:color="3F58A8"/>
          <w:right w:val="single" w:sz="8" w:space="0" w:color="3F58A8"/>
        </w:tcBorders>
      </w:tcPr>
    </w:tblStylePr>
    <w:tblStylePr w:type="band1Horz">
      <w:tblPr/>
      <w:tcPr>
        <w:tcBorders>
          <w:top w:val="single" w:sz="8" w:space="0" w:color="3F58A8"/>
          <w:left w:val="single" w:sz="8" w:space="0" w:color="3F58A8"/>
          <w:bottom w:val="single" w:sz="8" w:space="0" w:color="3F58A8"/>
          <w:right w:val="single" w:sz="8" w:space="0" w:color="3F58A8"/>
        </w:tcBorders>
      </w:tcPr>
    </w:tblStylePr>
  </w:style>
  <w:style w:type="table" w:customStyle="1" w:styleId="SPRC1">
    <w:name w:val="SPRC1"/>
    <w:basedOn w:val="TableNormal"/>
    <w:uiPriority w:val="99"/>
    <w:rsid w:val="008861DE"/>
    <w:rPr>
      <w:rFonts w:ascii="Helvetica" w:hAnsi="Helvetica"/>
      <w:sz w:val="24"/>
    </w:rPr>
    <w:tblPr>
      <w:tblInd w:w="0" w:type="dxa"/>
      <w:tblBorders>
        <w:top w:val="single" w:sz="8" w:space="0" w:color="auto"/>
        <w:left w:val="single" w:sz="8" w:space="0" w:color="auto"/>
        <w:bottom w:val="single" w:sz="8" w:space="0" w:color="auto"/>
        <w:right w:val="single" w:sz="8" w:space="0" w:color="auto"/>
      </w:tblBorders>
      <w:tblCellMar>
        <w:top w:w="0" w:type="dxa"/>
        <w:left w:w="108" w:type="dxa"/>
        <w:bottom w:w="0" w:type="dxa"/>
        <w:right w:w="108" w:type="dxa"/>
      </w:tblCellMar>
    </w:tblPr>
    <w:tblStylePr w:type="firstRow">
      <w:rPr>
        <w:rFonts w:ascii="Helvetica" w:hAnsi="Helvetica"/>
        <w:b w:val="0"/>
        <w:i w:val="0"/>
        <w:color w:val="auto"/>
        <w:sz w:val="24"/>
        <w:u w:val="none"/>
      </w:rPr>
    </w:tblStylePr>
  </w:style>
  <w:style w:type="table" w:customStyle="1" w:styleId="SPRCtables1">
    <w:name w:val="SPRC tables1"/>
    <w:basedOn w:val="ColorfulGrid-Accent6"/>
    <w:uiPriority w:val="99"/>
    <w:qFormat/>
    <w:rsid w:val="008861DE"/>
    <w:tblPr>
      <w:tblStyleRowBandSize w:val="1"/>
      <w:tblStyleColBandSize w:val="1"/>
      <w:tblInd w:w="0" w:type="dxa"/>
      <w:tblBorders>
        <w:top w:val="single" w:sz="6" w:space="0" w:color="D1D9EE"/>
        <w:bottom w:val="single" w:sz="6" w:space="0" w:color="D1D9EE"/>
        <w:insideH w:val="single" w:sz="6" w:space="0" w:color="D1D9EE"/>
      </w:tblBorders>
      <w:tblCellMar>
        <w:top w:w="0" w:type="dxa"/>
        <w:left w:w="108" w:type="dxa"/>
        <w:bottom w:w="0" w:type="dxa"/>
        <w:right w:w="108" w:type="dxa"/>
      </w:tblCellMar>
    </w:tblPr>
    <w:tcPr>
      <w:shd w:val="clear" w:color="auto" w:fill="3F58A8"/>
    </w:tcPr>
    <w:tblStylePr w:type="firstRow">
      <w:rPr>
        <w:b/>
        <w:bCs/>
      </w:rPr>
      <w:tblPr/>
      <w:tcPr>
        <w:shd w:val="clear" w:color="auto" w:fill="FA7DA3"/>
      </w:tcPr>
    </w:tblStylePr>
    <w:tblStylePr w:type="lastRow">
      <w:rPr>
        <w:b/>
        <w:bCs/>
        <w:color w:val="000000"/>
      </w:rPr>
      <w:tblPr/>
      <w:tcPr>
        <w:shd w:val="clear" w:color="auto" w:fill="FA7DA3"/>
      </w:tcPr>
    </w:tblStylePr>
    <w:tblStylePr w:type="firstCol">
      <w:rPr>
        <w:color w:val="FFFFFF"/>
      </w:rPr>
      <w:tblPr/>
      <w:tcPr>
        <w:shd w:val="clear" w:color="auto" w:fill="7F0429"/>
      </w:tcPr>
    </w:tblStylePr>
    <w:tblStylePr w:type="lastCol">
      <w:rPr>
        <w:color w:val="FFFFFF"/>
      </w:rPr>
      <w:tblPr/>
      <w:tcPr>
        <w:shd w:val="clear" w:color="auto" w:fill="7F0429"/>
      </w:tcPr>
    </w:tblStylePr>
    <w:tblStylePr w:type="band1Vert">
      <w:tblPr/>
      <w:tcPr>
        <w:shd w:val="clear" w:color="auto" w:fill="F95E8C"/>
      </w:tcPr>
    </w:tblStylePr>
    <w:tblStylePr w:type="band1Horz">
      <w:tblPr/>
      <w:tcPr>
        <w:shd w:val="clear" w:color="auto" w:fill="F95E8C"/>
      </w:tcPr>
    </w:tblStylePr>
  </w:style>
  <w:style w:type="table" w:customStyle="1" w:styleId="MediumShading2-Accent21">
    <w:name w:val="Medium Shading 2 - Accent 21"/>
    <w:basedOn w:val="TableNormal"/>
    <w:next w:val="MediumShading2-Accent2"/>
    <w:uiPriority w:val="64"/>
    <w:rsid w:val="008861DE"/>
    <w:rPr>
      <w:rFonts w:ascii="Verdana" w:hAnsi="Verdana"/>
      <w:color w:val="FFFFFF"/>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F58A8"/>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F58A8"/>
      </w:tcPr>
    </w:tblStylePr>
    <w:tblStylePr w:type="lastCol">
      <w:rPr>
        <w:b/>
        <w:bCs/>
        <w:color w:val="FFFFFF"/>
      </w:rPr>
      <w:tblPr/>
      <w:tcPr>
        <w:tcBorders>
          <w:left w:val="nil"/>
          <w:right w:val="nil"/>
          <w:insideH w:val="nil"/>
          <w:insideV w:val="nil"/>
        </w:tcBorders>
        <w:shd w:val="clear" w:color="auto" w:fill="3F58A8"/>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Accent61">
    <w:name w:val="Colorful Grid - Accent 61"/>
    <w:basedOn w:val="TableNormal"/>
    <w:next w:val="ColorfulGrid-Accent6"/>
    <w:uiPriority w:val="73"/>
    <w:rsid w:val="008861D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CBED1"/>
    </w:tcPr>
    <w:tblStylePr w:type="firstRow">
      <w:rPr>
        <w:b/>
        <w:bCs/>
      </w:rPr>
      <w:tblPr/>
      <w:tcPr>
        <w:shd w:val="clear" w:color="auto" w:fill="FA7DA3"/>
      </w:tcPr>
    </w:tblStylePr>
    <w:tblStylePr w:type="lastRow">
      <w:rPr>
        <w:b/>
        <w:bCs/>
        <w:color w:val="000000"/>
      </w:rPr>
      <w:tblPr/>
      <w:tcPr>
        <w:shd w:val="clear" w:color="auto" w:fill="FA7DA3"/>
      </w:tcPr>
    </w:tblStylePr>
    <w:tblStylePr w:type="firstCol">
      <w:rPr>
        <w:color w:val="FFFFFF"/>
      </w:rPr>
      <w:tblPr/>
      <w:tcPr>
        <w:shd w:val="clear" w:color="auto" w:fill="7F0429"/>
      </w:tcPr>
    </w:tblStylePr>
    <w:tblStylePr w:type="lastCol">
      <w:rPr>
        <w:color w:val="FFFFFF"/>
      </w:rPr>
      <w:tblPr/>
      <w:tcPr>
        <w:shd w:val="clear" w:color="auto" w:fill="7F0429"/>
      </w:tcPr>
    </w:tblStylePr>
    <w:tblStylePr w:type="band1Vert">
      <w:tblPr/>
      <w:tcPr>
        <w:shd w:val="clear" w:color="auto" w:fill="F95E8C"/>
      </w:tcPr>
    </w:tblStylePr>
    <w:tblStylePr w:type="band1Horz">
      <w:tblPr/>
      <w:tcPr>
        <w:shd w:val="clear" w:color="auto" w:fill="F95E8C"/>
      </w:tcPr>
    </w:tblStylePr>
  </w:style>
  <w:style w:type="table" w:customStyle="1" w:styleId="DarkList-Accent61">
    <w:name w:val="Dark List - Accent 61"/>
    <w:basedOn w:val="TableNormal"/>
    <w:next w:val="DarkList-Accent6"/>
    <w:uiPriority w:val="70"/>
    <w:rsid w:val="008861DE"/>
    <w:rPr>
      <w:color w:val="FFFFFF"/>
    </w:rPr>
    <w:tblPr>
      <w:tblStyleRowBandSize w:val="1"/>
      <w:tblStyleColBandSize w:val="1"/>
      <w:tblInd w:w="0" w:type="dxa"/>
      <w:tblCellMar>
        <w:top w:w="0" w:type="dxa"/>
        <w:left w:w="108" w:type="dxa"/>
        <w:bottom w:w="0" w:type="dxa"/>
        <w:right w:w="108" w:type="dxa"/>
      </w:tblCellMar>
    </w:tblPr>
    <w:tcPr>
      <w:shd w:val="clear" w:color="auto" w:fill="AA063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4031B"/>
      </w:tcPr>
    </w:tblStylePr>
    <w:tblStylePr w:type="firstCol">
      <w:tblPr/>
      <w:tcPr>
        <w:tcBorders>
          <w:top w:val="nil"/>
          <w:left w:val="nil"/>
          <w:bottom w:val="nil"/>
          <w:right w:val="single" w:sz="18" w:space="0" w:color="FFFFFF"/>
          <w:insideH w:val="nil"/>
          <w:insideV w:val="nil"/>
        </w:tcBorders>
        <w:shd w:val="clear" w:color="auto" w:fill="7F0429"/>
      </w:tcPr>
    </w:tblStylePr>
    <w:tblStylePr w:type="lastCol">
      <w:tblPr/>
      <w:tcPr>
        <w:tcBorders>
          <w:top w:val="nil"/>
          <w:left w:val="single" w:sz="18" w:space="0" w:color="FFFFFF"/>
          <w:bottom w:val="nil"/>
          <w:right w:val="nil"/>
          <w:insideH w:val="nil"/>
          <w:insideV w:val="nil"/>
        </w:tcBorders>
        <w:shd w:val="clear" w:color="auto" w:fill="7F0429"/>
      </w:tcPr>
    </w:tblStylePr>
    <w:tblStylePr w:type="band1Vert">
      <w:tblPr/>
      <w:tcPr>
        <w:tcBorders>
          <w:top w:val="nil"/>
          <w:left w:val="nil"/>
          <w:bottom w:val="nil"/>
          <w:right w:val="nil"/>
          <w:insideH w:val="nil"/>
          <w:insideV w:val="nil"/>
        </w:tcBorders>
        <w:shd w:val="clear" w:color="auto" w:fill="7F0429"/>
      </w:tcPr>
    </w:tblStylePr>
    <w:tblStylePr w:type="band1Horz">
      <w:tblPr/>
      <w:tcPr>
        <w:tcBorders>
          <w:top w:val="nil"/>
          <w:left w:val="nil"/>
          <w:bottom w:val="nil"/>
          <w:right w:val="nil"/>
          <w:insideH w:val="nil"/>
          <w:insideV w:val="nil"/>
        </w:tcBorders>
        <w:shd w:val="clear" w:color="auto" w:fill="7F0429"/>
      </w:tcPr>
    </w:tblStylePr>
  </w:style>
  <w:style w:type="table" w:customStyle="1" w:styleId="MediumShading1-Accent31">
    <w:name w:val="Medium Shading 1 - Accent 31"/>
    <w:basedOn w:val="TableNormal"/>
    <w:next w:val="MediumShading1-Accent3"/>
    <w:uiPriority w:val="63"/>
    <w:rsid w:val="008861DE"/>
    <w:tblPr>
      <w:tblStyleRowBandSize w:val="1"/>
      <w:tblStyleColBandSize w:val="1"/>
      <w:tblInd w:w="0" w:type="dxa"/>
      <w:tblBorders>
        <w:top w:val="single" w:sz="8" w:space="0" w:color="auto"/>
        <w:bottom w:val="single" w:sz="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D5DDF0"/>
          <w:left w:val="single" w:sz="8" w:space="0" w:color="D5DDF0"/>
          <w:bottom w:val="single" w:sz="8" w:space="0" w:color="D5DDF0"/>
          <w:right w:val="single" w:sz="8" w:space="0" w:color="D5DDF0"/>
          <w:insideH w:val="nil"/>
          <w:insideV w:val="nil"/>
        </w:tcBorders>
        <w:shd w:val="clear" w:color="auto" w:fill="C8D2EB"/>
      </w:tcPr>
    </w:tblStylePr>
    <w:tblStylePr w:type="lastRow">
      <w:pPr>
        <w:spacing w:before="0" w:after="0" w:line="240" w:lineRule="auto"/>
      </w:pPr>
      <w:rPr>
        <w:b/>
        <w:bCs/>
      </w:rPr>
      <w:tblPr/>
      <w:tcPr>
        <w:tcBorders>
          <w:top w:val="double" w:sz="6" w:space="0" w:color="D5DDF0"/>
          <w:left w:val="single" w:sz="8" w:space="0" w:color="D5DDF0"/>
          <w:bottom w:val="single" w:sz="8" w:space="0" w:color="D5DDF0"/>
          <w:right w:val="single" w:sz="8" w:space="0" w:color="D5DDF0"/>
          <w:insideH w:val="nil"/>
          <w:insideV w:val="nil"/>
        </w:tcBorders>
      </w:tcPr>
    </w:tblStylePr>
    <w:tblStylePr w:type="firstCol">
      <w:rPr>
        <w:b/>
        <w:bCs/>
      </w:rPr>
    </w:tblStylePr>
    <w:tblStylePr w:type="lastCol">
      <w:rPr>
        <w:b/>
        <w:bCs/>
      </w:rPr>
    </w:tblStylePr>
    <w:tblStylePr w:type="band1Vert">
      <w:tblPr/>
      <w:tcPr>
        <w:shd w:val="clear" w:color="auto" w:fill="F1F3FA"/>
      </w:tcPr>
    </w:tblStylePr>
    <w:tblStylePr w:type="band1Horz">
      <w:tblPr/>
      <w:tcPr>
        <w:tcBorders>
          <w:insideH w:val="nil"/>
          <w:insideV w:val="nil"/>
        </w:tcBorders>
        <w:shd w:val="clear" w:color="auto" w:fill="F1F3FA"/>
      </w:tcPr>
    </w:tblStylePr>
    <w:tblStylePr w:type="band2Horz">
      <w:tblPr/>
      <w:tcPr>
        <w:tcBorders>
          <w:insideH w:val="nil"/>
          <w:insideV w:val="nil"/>
        </w:tcBorders>
      </w:tcPr>
    </w:tblStylePr>
  </w:style>
  <w:style w:type="table" w:customStyle="1" w:styleId="SPRCReporttablefinal1">
    <w:name w:val="SPRC Report table final1"/>
    <w:basedOn w:val="ColorfulShading-Accent1"/>
    <w:uiPriority w:val="99"/>
    <w:qFormat/>
    <w:rsid w:val="008861DE"/>
    <w:rPr>
      <w:rFonts w:ascii="Sommet" w:hAnsi="Sommet"/>
      <w:sz w:val="24"/>
      <w:szCs w:val="20"/>
    </w:rPr>
    <w:tblPr>
      <w:tblStyleRowBandSize w:val="1"/>
      <w:tblStyleColBandSize w:val="1"/>
      <w:tblInd w:w="0" w:type="dxa"/>
      <w:tblBorders>
        <w:left w:val="single" w:sz="4" w:space="0" w:color="263C88"/>
        <w:right w:val="single" w:sz="4" w:space="0" w:color="263C88"/>
        <w:insideH w:val="single" w:sz="4" w:space="0" w:color="FFFFFF"/>
        <w:insideV w:val="single" w:sz="4" w:space="0" w:color="FFFFFF"/>
      </w:tblBorders>
      <w:tblCellMar>
        <w:top w:w="0" w:type="dxa"/>
        <w:left w:w="108" w:type="dxa"/>
        <w:bottom w:w="0" w:type="dxa"/>
        <w:right w:w="108" w:type="dxa"/>
      </w:tblCellMar>
    </w:tblPr>
    <w:tcPr>
      <w:shd w:val="clear" w:color="auto" w:fill="E5E9F7"/>
    </w:tcPr>
    <w:tblStylePr w:type="firstRow">
      <w:rPr>
        <w:b/>
        <w:bCs/>
      </w:rPr>
      <w:tblPr/>
      <w:tcPr>
        <w:tcBorders>
          <w:top w:val="nil"/>
          <w:left w:val="nil"/>
          <w:bottom w:val="single" w:sz="24" w:space="0" w:color="3F58A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62351"/>
      </w:tcPr>
    </w:tblStylePr>
    <w:tblStylePr w:type="firstCol">
      <w:rPr>
        <w:color w:val="FFFFFF"/>
      </w:rPr>
      <w:tblPr/>
      <w:tcPr>
        <w:tcBorders>
          <w:top w:val="nil"/>
          <w:left w:val="nil"/>
          <w:bottom w:val="nil"/>
          <w:right w:val="nil"/>
          <w:insideH w:val="single" w:sz="4" w:space="0" w:color="162351"/>
          <w:insideV w:val="nil"/>
        </w:tcBorders>
        <w:shd w:val="clear" w:color="auto" w:fill="162351"/>
      </w:tcPr>
    </w:tblStylePr>
    <w:tblStylePr w:type="lastCol">
      <w:rPr>
        <w:color w:val="FFFFFF"/>
      </w:rPr>
      <w:tblPr/>
      <w:tcPr>
        <w:tcBorders>
          <w:top w:val="nil"/>
          <w:left w:val="nil"/>
          <w:bottom w:val="nil"/>
          <w:right w:val="nil"/>
          <w:insideH w:val="nil"/>
          <w:insideV w:val="nil"/>
        </w:tcBorders>
        <w:shd w:val="clear" w:color="auto" w:fill="162351"/>
      </w:tcPr>
    </w:tblStylePr>
    <w:tblStylePr w:type="band1Vert">
      <w:tblPr/>
      <w:tcPr>
        <w:shd w:val="clear" w:color="auto" w:fill="95A6E1"/>
      </w:tcPr>
    </w:tblStylePr>
    <w:tblStylePr w:type="band1Horz">
      <w:tblPr/>
      <w:tcPr>
        <w:shd w:val="clear" w:color="auto" w:fill="7B90DA"/>
      </w:tcPr>
    </w:tblStylePr>
    <w:tblStylePr w:type="neCell">
      <w:rPr>
        <w:color w:val="000000"/>
      </w:rPr>
    </w:tblStylePr>
    <w:tblStylePr w:type="nwCell">
      <w:rPr>
        <w:color w:val="000000"/>
      </w:rPr>
    </w:tblStylePr>
  </w:style>
  <w:style w:type="table" w:customStyle="1" w:styleId="ColorfulShading-Accent11">
    <w:name w:val="Colorful Shading - Accent 11"/>
    <w:basedOn w:val="TableNormal"/>
    <w:next w:val="ColorfulShading-Accent1"/>
    <w:uiPriority w:val="71"/>
    <w:rsid w:val="008861DE"/>
    <w:rPr>
      <w:color w:val="000000"/>
    </w:rPr>
    <w:tblPr>
      <w:tblStyleRowBandSize w:val="1"/>
      <w:tblStyleColBandSize w:val="1"/>
      <w:tblInd w:w="0" w:type="dxa"/>
      <w:tblBorders>
        <w:top w:val="single" w:sz="24" w:space="0" w:color="3F58A8"/>
        <w:left w:val="single" w:sz="4" w:space="0" w:color="263C88"/>
        <w:bottom w:val="single" w:sz="4" w:space="0" w:color="263C88"/>
        <w:right w:val="single" w:sz="4" w:space="0" w:color="263C88"/>
        <w:insideH w:val="single" w:sz="4" w:space="0" w:color="FFFFFF"/>
        <w:insideV w:val="single" w:sz="4" w:space="0" w:color="FFFFFF"/>
      </w:tblBorders>
      <w:tblCellMar>
        <w:top w:w="0" w:type="dxa"/>
        <w:left w:w="108" w:type="dxa"/>
        <w:bottom w:w="0" w:type="dxa"/>
        <w:right w:w="108" w:type="dxa"/>
      </w:tblCellMar>
    </w:tblPr>
    <w:tcPr>
      <w:shd w:val="clear" w:color="auto" w:fill="E5E9F7"/>
    </w:tcPr>
    <w:tblStylePr w:type="firstRow">
      <w:rPr>
        <w:b/>
        <w:bCs/>
      </w:rPr>
      <w:tblPr/>
      <w:tcPr>
        <w:tcBorders>
          <w:top w:val="nil"/>
          <w:left w:val="nil"/>
          <w:bottom w:val="single" w:sz="24" w:space="0" w:color="3F58A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62351"/>
      </w:tcPr>
    </w:tblStylePr>
    <w:tblStylePr w:type="firstCol">
      <w:rPr>
        <w:color w:val="FFFFFF"/>
      </w:rPr>
      <w:tblPr/>
      <w:tcPr>
        <w:tcBorders>
          <w:top w:val="nil"/>
          <w:left w:val="nil"/>
          <w:bottom w:val="nil"/>
          <w:right w:val="nil"/>
          <w:insideH w:val="single" w:sz="4" w:space="0" w:color="162351"/>
          <w:insideV w:val="nil"/>
        </w:tcBorders>
        <w:shd w:val="clear" w:color="auto" w:fill="162351"/>
      </w:tcPr>
    </w:tblStylePr>
    <w:tblStylePr w:type="lastCol">
      <w:rPr>
        <w:color w:val="FFFFFF"/>
      </w:rPr>
      <w:tblPr/>
      <w:tcPr>
        <w:tcBorders>
          <w:top w:val="nil"/>
          <w:left w:val="nil"/>
          <w:bottom w:val="nil"/>
          <w:right w:val="nil"/>
          <w:insideH w:val="nil"/>
          <w:insideV w:val="nil"/>
        </w:tcBorders>
        <w:shd w:val="clear" w:color="auto" w:fill="162351"/>
      </w:tcPr>
    </w:tblStylePr>
    <w:tblStylePr w:type="band1Vert">
      <w:tblPr/>
      <w:tcPr>
        <w:shd w:val="clear" w:color="auto" w:fill="95A6E1"/>
      </w:tcPr>
    </w:tblStylePr>
    <w:tblStylePr w:type="band1Horz">
      <w:tblPr/>
      <w:tcPr>
        <w:shd w:val="clear" w:color="auto" w:fill="7B90DA"/>
      </w:tcPr>
    </w:tblStylePr>
    <w:tblStylePr w:type="neCell">
      <w:rPr>
        <w:color w:val="000000"/>
      </w:rPr>
    </w:tblStylePr>
    <w:tblStylePr w:type="nwCell">
      <w:rPr>
        <w:color w:val="000000"/>
      </w:rPr>
    </w:tblStylePr>
  </w:style>
  <w:style w:type="table" w:customStyle="1" w:styleId="LightShading-Accent41">
    <w:name w:val="Light Shading - Accent 41"/>
    <w:basedOn w:val="TableNormal"/>
    <w:next w:val="LightShading-Accent4"/>
    <w:uiPriority w:val="60"/>
    <w:rsid w:val="008861DE"/>
    <w:rPr>
      <w:color w:val="7E95CF"/>
    </w:rPr>
    <w:tblPr>
      <w:tblStyleRowBandSize w:val="1"/>
      <w:tblStyleColBandSize w:val="1"/>
      <w:tblInd w:w="0" w:type="dxa"/>
      <w:tblBorders>
        <w:top w:val="single" w:sz="8" w:space="0" w:color="D1D9EE"/>
        <w:bottom w:val="single" w:sz="8" w:space="0" w:color="D1D9EE"/>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1D9EE"/>
          <w:left w:val="nil"/>
          <w:bottom w:val="single" w:sz="8" w:space="0" w:color="D1D9EE"/>
          <w:right w:val="nil"/>
          <w:insideH w:val="nil"/>
          <w:insideV w:val="nil"/>
        </w:tcBorders>
      </w:tcPr>
    </w:tblStylePr>
    <w:tblStylePr w:type="lastRow">
      <w:pPr>
        <w:spacing w:before="0" w:after="0" w:line="240" w:lineRule="auto"/>
      </w:pPr>
      <w:rPr>
        <w:b/>
        <w:bCs/>
      </w:rPr>
      <w:tblPr/>
      <w:tcPr>
        <w:tcBorders>
          <w:top w:val="single" w:sz="8" w:space="0" w:color="D1D9EE"/>
          <w:left w:val="nil"/>
          <w:bottom w:val="single" w:sz="8" w:space="0" w:color="D1D9E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5FA"/>
      </w:tcPr>
    </w:tblStylePr>
    <w:tblStylePr w:type="band1Horz">
      <w:tblPr/>
      <w:tcPr>
        <w:tcBorders>
          <w:left w:val="nil"/>
          <w:right w:val="nil"/>
          <w:insideH w:val="nil"/>
          <w:insideV w:val="nil"/>
        </w:tcBorders>
        <w:shd w:val="clear" w:color="auto" w:fill="F3F5FA"/>
      </w:tcPr>
    </w:tblStylePr>
  </w:style>
  <w:style w:type="table" w:customStyle="1" w:styleId="SPRCtablev11">
    <w:name w:val="SPRC table v11"/>
    <w:basedOn w:val="TableNormal"/>
    <w:uiPriority w:val="99"/>
    <w:qFormat/>
    <w:rsid w:val="008861DE"/>
    <w:rPr>
      <w:rFonts w:ascii="Helvetica" w:hAnsi="Helvetica"/>
      <w:sz w:val="24"/>
    </w:rPr>
    <w:tblPr>
      <w:tblInd w:w="0" w:type="dxa"/>
      <w:tblCellMar>
        <w:top w:w="0" w:type="dxa"/>
        <w:left w:w="108" w:type="dxa"/>
        <w:bottom w:w="0" w:type="dxa"/>
        <w:right w:w="108" w:type="dxa"/>
      </w:tblCellMar>
    </w:tblPr>
  </w:style>
  <w:style w:type="table" w:customStyle="1" w:styleId="TableGrid11">
    <w:name w:val="Table Grid11"/>
    <w:basedOn w:val="TableNormal"/>
    <w:next w:val="TableGrid"/>
    <w:uiPriority w:val="59"/>
    <w:rsid w:val="008861DE"/>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PRC-docs-style1">
    <w:name w:val="SPRC-docs-style1"/>
    <w:uiPriority w:val="99"/>
    <w:rsid w:val="008861DE"/>
  </w:style>
  <w:style w:type="paragraph" w:customStyle="1" w:styleId="braytabletext">
    <w:name w:val="bray table text"/>
    <w:basedOn w:val="Normal"/>
    <w:rsid w:val="008E5400"/>
    <w:pPr>
      <w:keepNext/>
      <w:keepLines/>
      <w:spacing w:after="60" w:line="240" w:lineRule="auto"/>
      <w:ind w:left="0"/>
      <w:jc w:val="left"/>
    </w:pPr>
    <w:rPr>
      <w:rFonts w:cs="Arial"/>
      <w:color w:val="000000"/>
      <w:sz w:val="16"/>
      <w:szCs w:val="18"/>
      <w:lang w:eastAsia="en-AU" w:bidi="ar-SA"/>
    </w:rPr>
  </w:style>
  <w:style w:type="paragraph" w:customStyle="1" w:styleId="boxtext">
    <w:name w:val="box text"/>
    <w:basedOn w:val="BodyText"/>
    <w:rsid w:val="008861DE"/>
    <w:pPr>
      <w:ind w:left="0"/>
      <w:jc w:val="left"/>
    </w:pPr>
    <w:rPr>
      <w:lang w:eastAsia="en-US"/>
    </w:rPr>
  </w:style>
  <w:style w:type="paragraph" w:customStyle="1" w:styleId="miniquote">
    <w:name w:val="mini quote"/>
    <w:basedOn w:val="Normal"/>
    <w:rsid w:val="00911315"/>
    <w:pPr>
      <w:keepNext/>
      <w:spacing w:after="120"/>
      <w:ind w:left="2325"/>
      <w:jc w:val="left"/>
    </w:pPr>
    <w:rPr>
      <w:i/>
      <w:iCs/>
    </w:rPr>
  </w:style>
  <w:style w:type="paragraph" w:customStyle="1" w:styleId="mininame">
    <w:name w:val="mini name"/>
    <w:basedOn w:val="Normal"/>
    <w:rsid w:val="00911315"/>
    <w:pPr>
      <w:spacing w:line="240" w:lineRule="auto"/>
      <w:jc w:val="right"/>
    </w:pPr>
    <w:rPr>
      <w:sz w:val="18"/>
    </w:rPr>
  </w:style>
  <w:style w:type="numbering" w:customStyle="1" w:styleId="NoList2">
    <w:name w:val="No List2"/>
    <w:next w:val="NoList"/>
    <w:uiPriority w:val="99"/>
    <w:semiHidden/>
    <w:unhideWhenUsed/>
    <w:rsid w:val="004A2744"/>
  </w:style>
  <w:style w:type="table" w:customStyle="1" w:styleId="TableGrid3">
    <w:name w:val="Table Grid3"/>
    <w:basedOn w:val="TableNormal"/>
    <w:next w:val="TableGrid"/>
    <w:uiPriority w:val="59"/>
    <w:rsid w:val="004A274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yle12">
    <w:name w:val="Style12"/>
    <w:uiPriority w:val="99"/>
    <w:rsid w:val="004A2744"/>
    <w:pPr>
      <w:keepLines/>
      <w:spacing w:after="160" w:line="288" w:lineRule="auto"/>
      <w:ind w:left="2160"/>
    </w:pPr>
    <w:rPr>
      <w:lang w:val="en-US" w:eastAsia="zh-CN" w:bidi="en-US"/>
    </w:rPr>
    <w:tblPr>
      <w:tblInd w:w="0" w:type="dxa"/>
      <w:tblBorders>
        <w:top w:val="single" w:sz="4" w:space="0" w:color="auto"/>
        <w:bottom w:val="single" w:sz="4" w:space="0" w:color="auto"/>
      </w:tblBorders>
      <w:tblCellMar>
        <w:top w:w="0" w:type="dxa"/>
        <w:left w:w="108" w:type="dxa"/>
        <w:bottom w:w="0" w:type="dxa"/>
        <w:right w:w="108" w:type="dxa"/>
      </w:tblCellMar>
    </w:tblPr>
  </w:style>
  <w:style w:type="table" w:customStyle="1" w:styleId="LightList-Accent112">
    <w:name w:val="Light List - Accent 112"/>
    <w:basedOn w:val="TableNormal"/>
    <w:uiPriority w:val="61"/>
    <w:rsid w:val="004A2744"/>
    <w:tblPr>
      <w:tblStyleRowBandSize w:val="1"/>
      <w:tblStyleColBandSize w:val="1"/>
      <w:tblInd w:w="0" w:type="dxa"/>
      <w:tblBorders>
        <w:top w:val="single" w:sz="8" w:space="0" w:color="263C88"/>
        <w:left w:val="single" w:sz="8" w:space="0" w:color="263C88"/>
        <w:bottom w:val="single" w:sz="8" w:space="0" w:color="263C88"/>
        <w:right w:val="single" w:sz="8" w:space="0" w:color="263C88"/>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263C88"/>
      </w:tcPr>
    </w:tblStylePr>
    <w:tblStylePr w:type="lastRow">
      <w:pPr>
        <w:spacing w:before="0" w:after="0" w:line="240" w:lineRule="auto"/>
      </w:pPr>
      <w:rPr>
        <w:b/>
        <w:bCs/>
      </w:rPr>
      <w:tblPr/>
      <w:tcPr>
        <w:tcBorders>
          <w:top w:val="double" w:sz="6" w:space="0" w:color="263C88"/>
          <w:left w:val="single" w:sz="8" w:space="0" w:color="263C88"/>
          <w:bottom w:val="single" w:sz="8" w:space="0" w:color="263C88"/>
          <w:right w:val="single" w:sz="8" w:space="0" w:color="263C88"/>
        </w:tcBorders>
      </w:tcPr>
    </w:tblStylePr>
    <w:tblStylePr w:type="firstCol">
      <w:rPr>
        <w:b/>
        <w:bCs/>
      </w:rPr>
    </w:tblStylePr>
    <w:tblStylePr w:type="lastCol">
      <w:rPr>
        <w:b/>
        <w:bCs/>
      </w:rPr>
    </w:tblStylePr>
    <w:tblStylePr w:type="band1Vert">
      <w:tblPr/>
      <w:tcPr>
        <w:tcBorders>
          <w:top w:val="single" w:sz="8" w:space="0" w:color="263C88"/>
          <w:left w:val="single" w:sz="8" w:space="0" w:color="263C88"/>
          <w:bottom w:val="single" w:sz="8" w:space="0" w:color="263C88"/>
          <w:right w:val="single" w:sz="8" w:space="0" w:color="263C88"/>
        </w:tcBorders>
      </w:tcPr>
    </w:tblStylePr>
    <w:tblStylePr w:type="band1Horz">
      <w:tblPr/>
      <w:tcPr>
        <w:tcBorders>
          <w:top w:val="single" w:sz="8" w:space="0" w:color="263C88"/>
          <w:left w:val="single" w:sz="8" w:space="0" w:color="263C88"/>
          <w:bottom w:val="single" w:sz="8" w:space="0" w:color="263C88"/>
          <w:right w:val="single" w:sz="8" w:space="0" w:color="263C88"/>
        </w:tcBorders>
      </w:tcPr>
    </w:tblStylePr>
  </w:style>
  <w:style w:type="table" w:customStyle="1" w:styleId="LightList-Accent22">
    <w:name w:val="Light List - Accent 22"/>
    <w:basedOn w:val="TableNormal"/>
    <w:next w:val="LightList-Accent2"/>
    <w:uiPriority w:val="61"/>
    <w:rsid w:val="004A2744"/>
    <w:tblPr>
      <w:tblStyleRowBandSize w:val="1"/>
      <w:tblStyleColBandSize w:val="1"/>
      <w:tblInd w:w="0" w:type="dxa"/>
      <w:tblBorders>
        <w:top w:val="single" w:sz="8" w:space="0" w:color="3F58A8"/>
        <w:left w:val="single" w:sz="8" w:space="0" w:color="3F58A8"/>
        <w:bottom w:val="single" w:sz="8" w:space="0" w:color="3F58A8"/>
        <w:right w:val="single" w:sz="8" w:space="0" w:color="3F58A8"/>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3F58A8"/>
      </w:tcPr>
    </w:tblStylePr>
    <w:tblStylePr w:type="lastRow">
      <w:pPr>
        <w:spacing w:before="0" w:after="0" w:line="240" w:lineRule="auto"/>
      </w:pPr>
      <w:rPr>
        <w:b/>
        <w:bCs/>
      </w:rPr>
      <w:tblPr/>
      <w:tcPr>
        <w:tcBorders>
          <w:top w:val="double" w:sz="6" w:space="0" w:color="3F58A8"/>
          <w:left w:val="single" w:sz="8" w:space="0" w:color="3F58A8"/>
          <w:bottom w:val="single" w:sz="8" w:space="0" w:color="3F58A8"/>
          <w:right w:val="single" w:sz="8" w:space="0" w:color="3F58A8"/>
        </w:tcBorders>
      </w:tcPr>
    </w:tblStylePr>
    <w:tblStylePr w:type="firstCol">
      <w:rPr>
        <w:b/>
        <w:bCs/>
      </w:rPr>
    </w:tblStylePr>
    <w:tblStylePr w:type="lastCol">
      <w:rPr>
        <w:b/>
        <w:bCs/>
      </w:rPr>
    </w:tblStylePr>
    <w:tblStylePr w:type="band1Vert">
      <w:tblPr/>
      <w:tcPr>
        <w:tcBorders>
          <w:top w:val="single" w:sz="8" w:space="0" w:color="3F58A8"/>
          <w:left w:val="single" w:sz="8" w:space="0" w:color="3F58A8"/>
          <w:bottom w:val="single" w:sz="8" w:space="0" w:color="3F58A8"/>
          <w:right w:val="single" w:sz="8" w:space="0" w:color="3F58A8"/>
        </w:tcBorders>
      </w:tcPr>
    </w:tblStylePr>
    <w:tblStylePr w:type="band1Horz">
      <w:tblPr/>
      <w:tcPr>
        <w:tcBorders>
          <w:top w:val="single" w:sz="8" w:space="0" w:color="3F58A8"/>
          <w:left w:val="single" w:sz="8" w:space="0" w:color="3F58A8"/>
          <w:bottom w:val="single" w:sz="8" w:space="0" w:color="3F58A8"/>
          <w:right w:val="single" w:sz="8" w:space="0" w:color="3F58A8"/>
        </w:tcBorders>
      </w:tcPr>
    </w:tblStylePr>
  </w:style>
  <w:style w:type="table" w:customStyle="1" w:styleId="SPRC2">
    <w:name w:val="SPRC2"/>
    <w:basedOn w:val="TableNormal"/>
    <w:uiPriority w:val="99"/>
    <w:rsid w:val="004A2744"/>
    <w:rPr>
      <w:rFonts w:ascii="Helvetica" w:hAnsi="Helvetica"/>
      <w:sz w:val="24"/>
    </w:rPr>
    <w:tblPr>
      <w:tblInd w:w="0" w:type="dxa"/>
      <w:tblBorders>
        <w:top w:val="single" w:sz="8" w:space="0" w:color="auto"/>
        <w:left w:val="single" w:sz="8" w:space="0" w:color="auto"/>
        <w:bottom w:val="single" w:sz="8" w:space="0" w:color="auto"/>
        <w:right w:val="single" w:sz="8" w:space="0" w:color="auto"/>
      </w:tblBorders>
      <w:tblCellMar>
        <w:top w:w="0" w:type="dxa"/>
        <w:left w:w="108" w:type="dxa"/>
        <w:bottom w:w="0" w:type="dxa"/>
        <w:right w:w="108" w:type="dxa"/>
      </w:tblCellMar>
    </w:tblPr>
    <w:tblStylePr w:type="firstRow">
      <w:rPr>
        <w:rFonts w:ascii="Helvetica" w:hAnsi="Helvetica"/>
        <w:b w:val="0"/>
        <w:i w:val="0"/>
        <w:color w:val="auto"/>
        <w:sz w:val="24"/>
        <w:u w:val="none"/>
      </w:rPr>
    </w:tblStylePr>
  </w:style>
  <w:style w:type="table" w:customStyle="1" w:styleId="SPRCtables2">
    <w:name w:val="SPRC tables2"/>
    <w:basedOn w:val="ColorfulGrid-Accent6"/>
    <w:uiPriority w:val="99"/>
    <w:qFormat/>
    <w:rsid w:val="004A2744"/>
    <w:tblPr>
      <w:tblStyleRowBandSize w:val="1"/>
      <w:tblStyleColBandSize w:val="1"/>
      <w:tblInd w:w="0" w:type="dxa"/>
      <w:tblBorders>
        <w:top w:val="single" w:sz="6" w:space="0" w:color="D1D9EE"/>
        <w:bottom w:val="single" w:sz="6" w:space="0" w:color="D1D9EE"/>
        <w:insideH w:val="single" w:sz="6" w:space="0" w:color="D1D9EE"/>
      </w:tblBorders>
      <w:tblCellMar>
        <w:top w:w="0" w:type="dxa"/>
        <w:left w:w="108" w:type="dxa"/>
        <w:bottom w:w="0" w:type="dxa"/>
        <w:right w:w="108" w:type="dxa"/>
      </w:tblCellMar>
    </w:tblPr>
    <w:tcPr>
      <w:shd w:val="clear" w:color="auto" w:fill="3F58A8"/>
    </w:tcPr>
    <w:tblStylePr w:type="firstRow">
      <w:rPr>
        <w:b/>
        <w:bCs/>
      </w:rPr>
      <w:tblPr/>
      <w:tcPr>
        <w:shd w:val="clear" w:color="auto" w:fill="FA7DA3"/>
      </w:tcPr>
    </w:tblStylePr>
    <w:tblStylePr w:type="lastRow">
      <w:rPr>
        <w:b/>
        <w:bCs/>
        <w:color w:val="000000"/>
      </w:rPr>
      <w:tblPr/>
      <w:tcPr>
        <w:shd w:val="clear" w:color="auto" w:fill="FA7DA3"/>
      </w:tcPr>
    </w:tblStylePr>
    <w:tblStylePr w:type="firstCol">
      <w:rPr>
        <w:color w:val="FFFFFF"/>
      </w:rPr>
      <w:tblPr/>
      <w:tcPr>
        <w:shd w:val="clear" w:color="auto" w:fill="7F0429"/>
      </w:tcPr>
    </w:tblStylePr>
    <w:tblStylePr w:type="lastCol">
      <w:rPr>
        <w:color w:val="FFFFFF"/>
      </w:rPr>
      <w:tblPr/>
      <w:tcPr>
        <w:shd w:val="clear" w:color="auto" w:fill="7F0429"/>
      </w:tcPr>
    </w:tblStylePr>
    <w:tblStylePr w:type="band1Vert">
      <w:tblPr/>
      <w:tcPr>
        <w:shd w:val="clear" w:color="auto" w:fill="F95E8C"/>
      </w:tcPr>
    </w:tblStylePr>
    <w:tblStylePr w:type="band1Horz">
      <w:tblPr/>
      <w:tcPr>
        <w:shd w:val="clear" w:color="auto" w:fill="F95E8C"/>
      </w:tcPr>
    </w:tblStylePr>
  </w:style>
  <w:style w:type="table" w:customStyle="1" w:styleId="MediumShading2-Accent22">
    <w:name w:val="Medium Shading 2 - Accent 22"/>
    <w:basedOn w:val="TableNormal"/>
    <w:next w:val="MediumShading2-Accent2"/>
    <w:uiPriority w:val="64"/>
    <w:rsid w:val="004A2744"/>
    <w:rPr>
      <w:rFonts w:ascii="Verdana" w:hAnsi="Verdana"/>
      <w:color w:val="FFFFFF"/>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F58A8"/>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F58A8"/>
      </w:tcPr>
    </w:tblStylePr>
    <w:tblStylePr w:type="lastCol">
      <w:rPr>
        <w:b/>
        <w:bCs/>
        <w:color w:val="FFFFFF"/>
      </w:rPr>
      <w:tblPr/>
      <w:tcPr>
        <w:tcBorders>
          <w:left w:val="nil"/>
          <w:right w:val="nil"/>
          <w:insideH w:val="nil"/>
          <w:insideV w:val="nil"/>
        </w:tcBorders>
        <w:shd w:val="clear" w:color="auto" w:fill="3F58A8"/>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Accent62">
    <w:name w:val="Colorful Grid - Accent 62"/>
    <w:basedOn w:val="TableNormal"/>
    <w:next w:val="ColorfulGrid-Accent6"/>
    <w:uiPriority w:val="73"/>
    <w:rsid w:val="004A274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CBED1"/>
    </w:tcPr>
    <w:tblStylePr w:type="firstRow">
      <w:rPr>
        <w:b/>
        <w:bCs/>
      </w:rPr>
      <w:tblPr/>
      <w:tcPr>
        <w:shd w:val="clear" w:color="auto" w:fill="FA7DA3"/>
      </w:tcPr>
    </w:tblStylePr>
    <w:tblStylePr w:type="lastRow">
      <w:rPr>
        <w:b/>
        <w:bCs/>
        <w:color w:val="000000"/>
      </w:rPr>
      <w:tblPr/>
      <w:tcPr>
        <w:shd w:val="clear" w:color="auto" w:fill="FA7DA3"/>
      </w:tcPr>
    </w:tblStylePr>
    <w:tblStylePr w:type="firstCol">
      <w:rPr>
        <w:color w:val="FFFFFF"/>
      </w:rPr>
      <w:tblPr/>
      <w:tcPr>
        <w:shd w:val="clear" w:color="auto" w:fill="7F0429"/>
      </w:tcPr>
    </w:tblStylePr>
    <w:tblStylePr w:type="lastCol">
      <w:rPr>
        <w:color w:val="FFFFFF"/>
      </w:rPr>
      <w:tblPr/>
      <w:tcPr>
        <w:shd w:val="clear" w:color="auto" w:fill="7F0429"/>
      </w:tcPr>
    </w:tblStylePr>
    <w:tblStylePr w:type="band1Vert">
      <w:tblPr/>
      <w:tcPr>
        <w:shd w:val="clear" w:color="auto" w:fill="F95E8C"/>
      </w:tcPr>
    </w:tblStylePr>
    <w:tblStylePr w:type="band1Horz">
      <w:tblPr/>
      <w:tcPr>
        <w:shd w:val="clear" w:color="auto" w:fill="F95E8C"/>
      </w:tcPr>
    </w:tblStylePr>
  </w:style>
  <w:style w:type="table" w:customStyle="1" w:styleId="DarkList-Accent62">
    <w:name w:val="Dark List - Accent 62"/>
    <w:basedOn w:val="TableNormal"/>
    <w:next w:val="DarkList-Accent6"/>
    <w:uiPriority w:val="70"/>
    <w:rsid w:val="004A2744"/>
    <w:rPr>
      <w:color w:val="FFFFFF"/>
    </w:rPr>
    <w:tblPr>
      <w:tblStyleRowBandSize w:val="1"/>
      <w:tblStyleColBandSize w:val="1"/>
      <w:tblInd w:w="0" w:type="dxa"/>
      <w:tblCellMar>
        <w:top w:w="0" w:type="dxa"/>
        <w:left w:w="108" w:type="dxa"/>
        <w:bottom w:w="0" w:type="dxa"/>
        <w:right w:w="108" w:type="dxa"/>
      </w:tblCellMar>
    </w:tblPr>
    <w:tcPr>
      <w:shd w:val="clear" w:color="auto" w:fill="AA063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4031B"/>
      </w:tcPr>
    </w:tblStylePr>
    <w:tblStylePr w:type="firstCol">
      <w:tblPr/>
      <w:tcPr>
        <w:tcBorders>
          <w:top w:val="nil"/>
          <w:left w:val="nil"/>
          <w:bottom w:val="nil"/>
          <w:right w:val="single" w:sz="18" w:space="0" w:color="FFFFFF"/>
          <w:insideH w:val="nil"/>
          <w:insideV w:val="nil"/>
        </w:tcBorders>
        <w:shd w:val="clear" w:color="auto" w:fill="7F0429"/>
      </w:tcPr>
    </w:tblStylePr>
    <w:tblStylePr w:type="lastCol">
      <w:tblPr/>
      <w:tcPr>
        <w:tcBorders>
          <w:top w:val="nil"/>
          <w:left w:val="single" w:sz="18" w:space="0" w:color="FFFFFF"/>
          <w:bottom w:val="nil"/>
          <w:right w:val="nil"/>
          <w:insideH w:val="nil"/>
          <w:insideV w:val="nil"/>
        </w:tcBorders>
        <w:shd w:val="clear" w:color="auto" w:fill="7F0429"/>
      </w:tcPr>
    </w:tblStylePr>
    <w:tblStylePr w:type="band1Vert">
      <w:tblPr/>
      <w:tcPr>
        <w:tcBorders>
          <w:top w:val="nil"/>
          <w:left w:val="nil"/>
          <w:bottom w:val="nil"/>
          <w:right w:val="nil"/>
          <w:insideH w:val="nil"/>
          <w:insideV w:val="nil"/>
        </w:tcBorders>
        <w:shd w:val="clear" w:color="auto" w:fill="7F0429"/>
      </w:tcPr>
    </w:tblStylePr>
    <w:tblStylePr w:type="band1Horz">
      <w:tblPr/>
      <w:tcPr>
        <w:tcBorders>
          <w:top w:val="nil"/>
          <w:left w:val="nil"/>
          <w:bottom w:val="nil"/>
          <w:right w:val="nil"/>
          <w:insideH w:val="nil"/>
          <w:insideV w:val="nil"/>
        </w:tcBorders>
        <w:shd w:val="clear" w:color="auto" w:fill="7F0429"/>
      </w:tcPr>
    </w:tblStylePr>
  </w:style>
  <w:style w:type="table" w:customStyle="1" w:styleId="MediumShading1-Accent32">
    <w:name w:val="Medium Shading 1 - Accent 32"/>
    <w:basedOn w:val="TableNormal"/>
    <w:next w:val="MediumShading1-Accent3"/>
    <w:uiPriority w:val="63"/>
    <w:rsid w:val="004A2744"/>
    <w:tblPr>
      <w:tblStyleRowBandSize w:val="1"/>
      <w:tblStyleColBandSize w:val="1"/>
      <w:tblInd w:w="0" w:type="dxa"/>
      <w:tblBorders>
        <w:top w:val="single" w:sz="8" w:space="0" w:color="auto"/>
        <w:bottom w:val="single" w:sz="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D5DDF0"/>
          <w:left w:val="single" w:sz="8" w:space="0" w:color="D5DDF0"/>
          <w:bottom w:val="single" w:sz="8" w:space="0" w:color="D5DDF0"/>
          <w:right w:val="single" w:sz="8" w:space="0" w:color="D5DDF0"/>
          <w:insideH w:val="nil"/>
          <w:insideV w:val="nil"/>
        </w:tcBorders>
        <w:shd w:val="clear" w:color="auto" w:fill="C8D2EB"/>
      </w:tcPr>
    </w:tblStylePr>
    <w:tblStylePr w:type="lastRow">
      <w:pPr>
        <w:spacing w:before="0" w:after="0" w:line="240" w:lineRule="auto"/>
      </w:pPr>
      <w:rPr>
        <w:b/>
        <w:bCs/>
      </w:rPr>
      <w:tblPr/>
      <w:tcPr>
        <w:tcBorders>
          <w:top w:val="double" w:sz="6" w:space="0" w:color="D5DDF0"/>
          <w:left w:val="single" w:sz="8" w:space="0" w:color="D5DDF0"/>
          <w:bottom w:val="single" w:sz="8" w:space="0" w:color="D5DDF0"/>
          <w:right w:val="single" w:sz="8" w:space="0" w:color="D5DDF0"/>
          <w:insideH w:val="nil"/>
          <w:insideV w:val="nil"/>
        </w:tcBorders>
      </w:tcPr>
    </w:tblStylePr>
    <w:tblStylePr w:type="firstCol">
      <w:rPr>
        <w:b/>
        <w:bCs/>
      </w:rPr>
    </w:tblStylePr>
    <w:tblStylePr w:type="lastCol">
      <w:rPr>
        <w:b/>
        <w:bCs/>
      </w:rPr>
    </w:tblStylePr>
    <w:tblStylePr w:type="band1Vert">
      <w:tblPr/>
      <w:tcPr>
        <w:shd w:val="clear" w:color="auto" w:fill="F1F3FA"/>
      </w:tcPr>
    </w:tblStylePr>
    <w:tblStylePr w:type="band1Horz">
      <w:tblPr/>
      <w:tcPr>
        <w:tcBorders>
          <w:insideH w:val="nil"/>
          <w:insideV w:val="nil"/>
        </w:tcBorders>
        <w:shd w:val="clear" w:color="auto" w:fill="F1F3FA"/>
      </w:tcPr>
    </w:tblStylePr>
    <w:tblStylePr w:type="band2Horz">
      <w:tblPr/>
      <w:tcPr>
        <w:tcBorders>
          <w:insideH w:val="nil"/>
          <w:insideV w:val="nil"/>
        </w:tcBorders>
      </w:tcPr>
    </w:tblStylePr>
  </w:style>
  <w:style w:type="table" w:customStyle="1" w:styleId="SPRCReporttablefinal2">
    <w:name w:val="SPRC Report table final2"/>
    <w:basedOn w:val="ColorfulShading-Accent1"/>
    <w:uiPriority w:val="99"/>
    <w:qFormat/>
    <w:rsid w:val="004A2744"/>
    <w:rPr>
      <w:rFonts w:ascii="Sommet" w:hAnsi="Sommet"/>
      <w:sz w:val="24"/>
      <w:szCs w:val="20"/>
      <w:lang w:val="en-US" w:eastAsia="en-US"/>
    </w:rPr>
    <w:tblPr>
      <w:tblStyleRowBandSize w:val="1"/>
      <w:tblStyleColBandSize w:val="1"/>
      <w:tblInd w:w="0" w:type="dxa"/>
      <w:tblBorders>
        <w:left w:val="single" w:sz="4" w:space="0" w:color="263C88"/>
        <w:right w:val="single" w:sz="4" w:space="0" w:color="263C88"/>
        <w:insideH w:val="single" w:sz="4" w:space="0" w:color="FFFFFF"/>
        <w:insideV w:val="single" w:sz="4" w:space="0" w:color="FFFFFF"/>
      </w:tblBorders>
      <w:tblCellMar>
        <w:top w:w="0" w:type="dxa"/>
        <w:left w:w="108" w:type="dxa"/>
        <w:bottom w:w="0" w:type="dxa"/>
        <w:right w:w="108" w:type="dxa"/>
      </w:tblCellMar>
    </w:tblPr>
    <w:tcPr>
      <w:shd w:val="clear" w:color="auto" w:fill="E5E9F7"/>
    </w:tcPr>
    <w:tblStylePr w:type="firstRow">
      <w:rPr>
        <w:b/>
        <w:bCs/>
      </w:rPr>
      <w:tblPr/>
      <w:tcPr>
        <w:tcBorders>
          <w:top w:val="nil"/>
          <w:left w:val="nil"/>
          <w:bottom w:val="single" w:sz="24" w:space="0" w:color="3F58A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62351"/>
      </w:tcPr>
    </w:tblStylePr>
    <w:tblStylePr w:type="firstCol">
      <w:rPr>
        <w:color w:val="FFFFFF"/>
      </w:rPr>
      <w:tblPr/>
      <w:tcPr>
        <w:tcBorders>
          <w:top w:val="nil"/>
          <w:left w:val="nil"/>
          <w:bottom w:val="nil"/>
          <w:right w:val="nil"/>
          <w:insideH w:val="single" w:sz="4" w:space="0" w:color="162351"/>
          <w:insideV w:val="nil"/>
        </w:tcBorders>
        <w:shd w:val="clear" w:color="auto" w:fill="162351"/>
      </w:tcPr>
    </w:tblStylePr>
    <w:tblStylePr w:type="lastCol">
      <w:rPr>
        <w:color w:val="FFFFFF"/>
      </w:rPr>
      <w:tblPr/>
      <w:tcPr>
        <w:tcBorders>
          <w:top w:val="nil"/>
          <w:left w:val="nil"/>
          <w:bottom w:val="nil"/>
          <w:right w:val="nil"/>
          <w:insideH w:val="nil"/>
          <w:insideV w:val="nil"/>
        </w:tcBorders>
        <w:shd w:val="clear" w:color="auto" w:fill="162351"/>
      </w:tcPr>
    </w:tblStylePr>
    <w:tblStylePr w:type="band1Vert">
      <w:tblPr/>
      <w:tcPr>
        <w:shd w:val="clear" w:color="auto" w:fill="95A6E1"/>
      </w:tcPr>
    </w:tblStylePr>
    <w:tblStylePr w:type="band1Horz">
      <w:tblPr/>
      <w:tcPr>
        <w:shd w:val="clear" w:color="auto" w:fill="7B90DA"/>
      </w:tcPr>
    </w:tblStylePr>
    <w:tblStylePr w:type="neCell">
      <w:rPr>
        <w:color w:val="000000"/>
      </w:rPr>
    </w:tblStylePr>
    <w:tblStylePr w:type="nwCell">
      <w:rPr>
        <w:color w:val="000000"/>
      </w:rPr>
    </w:tblStylePr>
  </w:style>
  <w:style w:type="table" w:customStyle="1" w:styleId="ColorfulShading-Accent12">
    <w:name w:val="Colorful Shading - Accent 12"/>
    <w:basedOn w:val="TableNormal"/>
    <w:next w:val="ColorfulShading-Accent1"/>
    <w:uiPriority w:val="71"/>
    <w:rsid w:val="004A2744"/>
    <w:rPr>
      <w:color w:val="000000"/>
    </w:rPr>
    <w:tblPr>
      <w:tblStyleRowBandSize w:val="1"/>
      <w:tblStyleColBandSize w:val="1"/>
      <w:tblInd w:w="0" w:type="dxa"/>
      <w:tblBorders>
        <w:top w:val="single" w:sz="24" w:space="0" w:color="3F58A8"/>
        <w:left w:val="single" w:sz="4" w:space="0" w:color="263C88"/>
        <w:bottom w:val="single" w:sz="4" w:space="0" w:color="263C88"/>
        <w:right w:val="single" w:sz="4" w:space="0" w:color="263C88"/>
        <w:insideH w:val="single" w:sz="4" w:space="0" w:color="FFFFFF"/>
        <w:insideV w:val="single" w:sz="4" w:space="0" w:color="FFFFFF"/>
      </w:tblBorders>
      <w:tblCellMar>
        <w:top w:w="0" w:type="dxa"/>
        <w:left w:w="108" w:type="dxa"/>
        <w:bottom w:w="0" w:type="dxa"/>
        <w:right w:w="108" w:type="dxa"/>
      </w:tblCellMar>
    </w:tblPr>
    <w:tcPr>
      <w:shd w:val="clear" w:color="auto" w:fill="E5E9F7"/>
    </w:tcPr>
    <w:tblStylePr w:type="firstRow">
      <w:rPr>
        <w:b/>
        <w:bCs/>
      </w:rPr>
      <w:tblPr/>
      <w:tcPr>
        <w:tcBorders>
          <w:top w:val="nil"/>
          <w:left w:val="nil"/>
          <w:bottom w:val="single" w:sz="24" w:space="0" w:color="3F58A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62351"/>
      </w:tcPr>
    </w:tblStylePr>
    <w:tblStylePr w:type="firstCol">
      <w:rPr>
        <w:color w:val="FFFFFF"/>
      </w:rPr>
      <w:tblPr/>
      <w:tcPr>
        <w:tcBorders>
          <w:top w:val="nil"/>
          <w:left w:val="nil"/>
          <w:bottom w:val="nil"/>
          <w:right w:val="nil"/>
          <w:insideH w:val="single" w:sz="4" w:space="0" w:color="162351"/>
          <w:insideV w:val="nil"/>
        </w:tcBorders>
        <w:shd w:val="clear" w:color="auto" w:fill="162351"/>
      </w:tcPr>
    </w:tblStylePr>
    <w:tblStylePr w:type="lastCol">
      <w:rPr>
        <w:color w:val="FFFFFF"/>
      </w:rPr>
      <w:tblPr/>
      <w:tcPr>
        <w:tcBorders>
          <w:top w:val="nil"/>
          <w:left w:val="nil"/>
          <w:bottom w:val="nil"/>
          <w:right w:val="nil"/>
          <w:insideH w:val="nil"/>
          <w:insideV w:val="nil"/>
        </w:tcBorders>
        <w:shd w:val="clear" w:color="auto" w:fill="162351"/>
      </w:tcPr>
    </w:tblStylePr>
    <w:tblStylePr w:type="band1Vert">
      <w:tblPr/>
      <w:tcPr>
        <w:shd w:val="clear" w:color="auto" w:fill="95A6E1"/>
      </w:tcPr>
    </w:tblStylePr>
    <w:tblStylePr w:type="band1Horz">
      <w:tblPr/>
      <w:tcPr>
        <w:shd w:val="clear" w:color="auto" w:fill="7B90DA"/>
      </w:tcPr>
    </w:tblStylePr>
    <w:tblStylePr w:type="neCell">
      <w:rPr>
        <w:color w:val="000000"/>
      </w:rPr>
    </w:tblStylePr>
    <w:tblStylePr w:type="nwCell">
      <w:rPr>
        <w:color w:val="000000"/>
      </w:rPr>
    </w:tblStylePr>
  </w:style>
  <w:style w:type="table" w:customStyle="1" w:styleId="LightShading-Accent42">
    <w:name w:val="Light Shading - Accent 42"/>
    <w:basedOn w:val="TableNormal"/>
    <w:next w:val="LightShading-Accent4"/>
    <w:uiPriority w:val="60"/>
    <w:rsid w:val="004A2744"/>
    <w:rPr>
      <w:color w:val="7E95CF"/>
    </w:rPr>
    <w:tblPr>
      <w:tblStyleRowBandSize w:val="1"/>
      <w:tblStyleColBandSize w:val="1"/>
      <w:tblInd w:w="0" w:type="dxa"/>
      <w:tblBorders>
        <w:top w:val="single" w:sz="8" w:space="0" w:color="D1D9EE"/>
        <w:bottom w:val="single" w:sz="8" w:space="0" w:color="D1D9EE"/>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1D9EE"/>
          <w:left w:val="nil"/>
          <w:bottom w:val="single" w:sz="8" w:space="0" w:color="D1D9EE"/>
          <w:right w:val="nil"/>
          <w:insideH w:val="nil"/>
          <w:insideV w:val="nil"/>
        </w:tcBorders>
      </w:tcPr>
    </w:tblStylePr>
    <w:tblStylePr w:type="lastRow">
      <w:pPr>
        <w:spacing w:before="0" w:after="0" w:line="240" w:lineRule="auto"/>
      </w:pPr>
      <w:rPr>
        <w:b/>
        <w:bCs/>
      </w:rPr>
      <w:tblPr/>
      <w:tcPr>
        <w:tcBorders>
          <w:top w:val="single" w:sz="8" w:space="0" w:color="D1D9EE"/>
          <w:left w:val="nil"/>
          <w:bottom w:val="single" w:sz="8" w:space="0" w:color="D1D9E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5FA"/>
      </w:tcPr>
    </w:tblStylePr>
    <w:tblStylePr w:type="band1Horz">
      <w:tblPr/>
      <w:tcPr>
        <w:tcBorders>
          <w:left w:val="nil"/>
          <w:right w:val="nil"/>
          <w:insideH w:val="nil"/>
          <w:insideV w:val="nil"/>
        </w:tcBorders>
        <w:shd w:val="clear" w:color="auto" w:fill="F3F5FA"/>
      </w:tcPr>
    </w:tblStylePr>
  </w:style>
  <w:style w:type="table" w:customStyle="1" w:styleId="SPRCtablev12">
    <w:name w:val="SPRC table v12"/>
    <w:basedOn w:val="TableNormal"/>
    <w:uiPriority w:val="99"/>
    <w:qFormat/>
    <w:rsid w:val="004A2744"/>
    <w:rPr>
      <w:rFonts w:ascii="Helvetica" w:hAnsi="Helvetica"/>
      <w:sz w:val="24"/>
    </w:rPr>
    <w:tblPr>
      <w:tblInd w:w="0" w:type="dxa"/>
      <w:tblCellMar>
        <w:top w:w="0" w:type="dxa"/>
        <w:left w:w="108" w:type="dxa"/>
        <w:bottom w:w="0" w:type="dxa"/>
        <w:right w:w="108" w:type="dxa"/>
      </w:tblCellMar>
    </w:tblPr>
  </w:style>
  <w:style w:type="table" w:customStyle="1" w:styleId="TableGrid12">
    <w:name w:val="Table Grid12"/>
    <w:basedOn w:val="TableNormal"/>
    <w:next w:val="TableGrid"/>
    <w:uiPriority w:val="59"/>
    <w:rsid w:val="004A2744"/>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PRC-docs-style2">
    <w:name w:val="SPRC-docs-style2"/>
    <w:uiPriority w:val="99"/>
    <w:rsid w:val="004A2744"/>
  </w:style>
  <w:style w:type="character" w:customStyle="1" w:styleId="ListParagraphChar">
    <w:name w:val="List Paragraph Char"/>
    <w:basedOn w:val="DefaultParagraphFont"/>
    <w:link w:val="ListParagraph"/>
    <w:uiPriority w:val="34"/>
    <w:rsid w:val="004A2744"/>
    <w:rPr>
      <w:rFonts w:ascii="Arial" w:hAnsi="Arial"/>
      <w:lang w:eastAsia="en-US" w:bidi="en-US"/>
    </w:rPr>
  </w:style>
  <w:style w:type="paragraph" w:customStyle="1" w:styleId="Headings">
    <w:name w:val="Headings"/>
    <w:basedOn w:val="Normal"/>
    <w:link w:val="HeadingsChar"/>
    <w:rsid w:val="004A2744"/>
    <w:pPr>
      <w:spacing w:after="0" w:line="240" w:lineRule="auto"/>
      <w:ind w:left="0"/>
    </w:pPr>
    <w:rPr>
      <w:b/>
      <w:color w:val="616365"/>
      <w:szCs w:val="16"/>
      <w:lang w:bidi="ar-SA"/>
    </w:rPr>
  </w:style>
  <w:style w:type="character" w:customStyle="1" w:styleId="HeadingsChar">
    <w:name w:val="Headings Char"/>
    <w:basedOn w:val="DefaultParagraphFont"/>
    <w:link w:val="Headings"/>
    <w:rsid w:val="004A2744"/>
    <w:rPr>
      <w:rFonts w:ascii="Arial" w:hAnsi="Arial"/>
      <w:b/>
      <w:color w:val="616365"/>
      <w:sz w:val="20"/>
      <w:szCs w:val="16"/>
      <w:lang w:eastAsia="en-US"/>
    </w:rPr>
  </w:style>
  <w:style w:type="paragraph" w:styleId="BodyText3">
    <w:name w:val="Body Text 3"/>
    <w:basedOn w:val="Normal"/>
    <w:link w:val="BodyText3Char"/>
    <w:uiPriority w:val="99"/>
    <w:semiHidden/>
    <w:unhideWhenUsed/>
    <w:locked/>
    <w:rsid w:val="004A2744"/>
    <w:pPr>
      <w:spacing w:after="120"/>
      <w:jc w:val="left"/>
    </w:pPr>
    <w:rPr>
      <w:sz w:val="16"/>
      <w:szCs w:val="16"/>
    </w:rPr>
  </w:style>
  <w:style w:type="character" w:customStyle="1" w:styleId="BodyText3Char">
    <w:name w:val="Body Text 3 Char"/>
    <w:basedOn w:val="DefaultParagraphFont"/>
    <w:link w:val="BodyText3"/>
    <w:uiPriority w:val="99"/>
    <w:semiHidden/>
    <w:rsid w:val="004A2744"/>
    <w:rPr>
      <w:rFonts w:ascii="Arial" w:hAnsi="Arial"/>
      <w:sz w:val="16"/>
      <w:szCs w:val="16"/>
      <w:lang w:eastAsia="en-US" w:bidi="en-US"/>
    </w:rPr>
  </w:style>
  <w:style w:type="paragraph" w:customStyle="1" w:styleId="MainText">
    <w:name w:val="Main Text"/>
    <w:basedOn w:val="Normal"/>
    <w:link w:val="MainTextChar"/>
    <w:rsid w:val="004A2744"/>
    <w:pPr>
      <w:spacing w:after="0" w:line="240" w:lineRule="auto"/>
      <w:ind w:left="0"/>
    </w:pPr>
    <w:rPr>
      <w:color w:val="616365"/>
      <w:szCs w:val="16"/>
      <w:lang w:bidi="ar-SA"/>
    </w:rPr>
  </w:style>
  <w:style w:type="character" w:customStyle="1" w:styleId="MainTextChar">
    <w:name w:val="Main Text Char"/>
    <w:basedOn w:val="DefaultParagraphFont"/>
    <w:link w:val="MainText"/>
    <w:rsid w:val="004A2744"/>
    <w:rPr>
      <w:rFonts w:ascii="Arial" w:hAnsi="Arial"/>
      <w:color w:val="616365"/>
      <w:sz w:val="20"/>
      <w:szCs w:val="16"/>
      <w:lang w:eastAsia="en-US"/>
    </w:rPr>
  </w:style>
  <w:style w:type="table" w:customStyle="1" w:styleId="Style13">
    <w:name w:val="Style13"/>
    <w:uiPriority w:val="99"/>
    <w:rsid w:val="004F0925"/>
    <w:pPr>
      <w:keepLines/>
      <w:spacing w:after="160" w:line="288" w:lineRule="auto"/>
      <w:ind w:left="2160"/>
    </w:pPr>
    <w:rPr>
      <w:lang w:val="en-US" w:eastAsia="zh-CN" w:bidi="en-US"/>
    </w:rPr>
    <w:tblPr>
      <w:tblInd w:w="0" w:type="dxa"/>
      <w:tblBorders>
        <w:top w:val="single" w:sz="4" w:space="0" w:color="auto"/>
        <w:bottom w:val="single" w:sz="4" w:space="0" w:color="auto"/>
      </w:tblBorders>
      <w:tblCellMar>
        <w:top w:w="0" w:type="dxa"/>
        <w:left w:w="108" w:type="dxa"/>
        <w:bottom w:w="0" w:type="dxa"/>
        <w:right w:w="108" w:type="dxa"/>
      </w:tblCellMar>
    </w:tblPr>
  </w:style>
  <w:style w:type="paragraph" w:customStyle="1" w:styleId="TableNotesNumbered">
    <w:name w:val="Table Notes Numbered"/>
    <w:basedOn w:val="Normal"/>
    <w:uiPriority w:val="99"/>
    <w:rsid w:val="00D2121D"/>
    <w:pPr>
      <w:tabs>
        <w:tab w:val="num" w:pos="720"/>
      </w:tabs>
      <w:spacing w:after="0" w:line="240" w:lineRule="auto"/>
      <w:ind w:left="720" w:hanging="360"/>
    </w:pPr>
    <w:rPr>
      <w:szCs w:val="20"/>
      <w:lang w:bidi="ar-SA"/>
    </w:rPr>
  </w:style>
  <w:style w:type="table" w:customStyle="1" w:styleId="MediumList11">
    <w:name w:val="Medium List 11"/>
    <w:basedOn w:val="TableNormal"/>
    <w:uiPriority w:val="65"/>
    <w:rsid w:val="00D2121D"/>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Shading1">
    <w:name w:val="Light Shading1"/>
    <w:basedOn w:val="TableNormal"/>
    <w:uiPriority w:val="60"/>
    <w:rsid w:val="00D2121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DefaultParagraphFont"/>
    <w:rsid w:val="00991B4C"/>
  </w:style>
  <w:style w:type="paragraph" w:customStyle="1" w:styleId="MELegal1">
    <w:name w:val="ME Legal 1"/>
    <w:basedOn w:val="Normal"/>
    <w:uiPriority w:val="99"/>
    <w:rsid w:val="007520E9"/>
    <w:pPr>
      <w:numPr>
        <w:numId w:val="12"/>
      </w:numPr>
      <w:spacing w:after="240" w:line="280" w:lineRule="atLeast"/>
      <w:jc w:val="left"/>
      <w:outlineLvl w:val="0"/>
    </w:pPr>
    <w:rPr>
      <w:rFonts w:ascii="Times New Roman" w:hAnsi="Times New Roman" w:cs="Angsana New"/>
      <w:lang w:eastAsia="zh-CN" w:bidi="th-TH"/>
    </w:rPr>
  </w:style>
  <w:style w:type="paragraph" w:customStyle="1" w:styleId="MELegal2">
    <w:name w:val="ME Legal 2"/>
    <w:basedOn w:val="Normal"/>
    <w:uiPriority w:val="99"/>
    <w:rsid w:val="007520E9"/>
    <w:pPr>
      <w:numPr>
        <w:ilvl w:val="1"/>
        <w:numId w:val="12"/>
      </w:numPr>
      <w:spacing w:after="240" w:line="280" w:lineRule="atLeast"/>
      <w:jc w:val="left"/>
      <w:outlineLvl w:val="1"/>
    </w:pPr>
    <w:rPr>
      <w:rFonts w:ascii="Times New Roman" w:hAnsi="Times New Roman" w:cs="Angsana New"/>
      <w:lang w:eastAsia="zh-CN" w:bidi="th-TH"/>
    </w:rPr>
  </w:style>
  <w:style w:type="paragraph" w:customStyle="1" w:styleId="MELegal3">
    <w:name w:val="ME Legal 3"/>
    <w:basedOn w:val="Normal"/>
    <w:uiPriority w:val="99"/>
    <w:rsid w:val="007520E9"/>
    <w:pPr>
      <w:numPr>
        <w:ilvl w:val="2"/>
        <w:numId w:val="12"/>
      </w:numPr>
      <w:spacing w:after="240" w:line="280" w:lineRule="atLeast"/>
      <w:jc w:val="left"/>
      <w:outlineLvl w:val="2"/>
    </w:pPr>
    <w:rPr>
      <w:rFonts w:ascii="Times New Roman" w:hAnsi="Times New Roman" w:cs="Angsana New"/>
      <w:lang w:eastAsia="zh-CN" w:bidi="th-TH"/>
    </w:rPr>
  </w:style>
  <w:style w:type="paragraph" w:customStyle="1" w:styleId="MELegal4">
    <w:name w:val="ME Legal 4"/>
    <w:basedOn w:val="Normal"/>
    <w:uiPriority w:val="99"/>
    <w:rsid w:val="007520E9"/>
    <w:pPr>
      <w:numPr>
        <w:ilvl w:val="3"/>
        <w:numId w:val="12"/>
      </w:numPr>
      <w:spacing w:after="240" w:line="280" w:lineRule="atLeast"/>
      <w:jc w:val="left"/>
      <w:outlineLvl w:val="3"/>
    </w:pPr>
    <w:rPr>
      <w:rFonts w:ascii="Times New Roman" w:hAnsi="Times New Roman" w:cs="Angsana New"/>
      <w:lang w:eastAsia="zh-CN" w:bidi="th-TH"/>
    </w:rPr>
  </w:style>
  <w:style w:type="paragraph" w:customStyle="1" w:styleId="MELegal5">
    <w:name w:val="ME Legal 5"/>
    <w:basedOn w:val="Normal"/>
    <w:uiPriority w:val="99"/>
    <w:rsid w:val="007520E9"/>
    <w:pPr>
      <w:numPr>
        <w:ilvl w:val="4"/>
        <w:numId w:val="12"/>
      </w:numPr>
      <w:spacing w:after="240" w:line="280" w:lineRule="atLeast"/>
      <w:jc w:val="left"/>
      <w:outlineLvl w:val="4"/>
    </w:pPr>
    <w:rPr>
      <w:rFonts w:ascii="Times New Roman" w:hAnsi="Times New Roman" w:cs="Angsana New"/>
      <w:lang w:eastAsia="zh-CN" w:bidi="th-TH"/>
    </w:rPr>
  </w:style>
  <w:style w:type="paragraph" w:customStyle="1" w:styleId="MELegal6">
    <w:name w:val="ME Legal 6"/>
    <w:basedOn w:val="Normal"/>
    <w:uiPriority w:val="99"/>
    <w:rsid w:val="007520E9"/>
    <w:pPr>
      <w:numPr>
        <w:ilvl w:val="5"/>
        <w:numId w:val="12"/>
      </w:numPr>
      <w:spacing w:after="240" w:line="280" w:lineRule="atLeast"/>
      <w:jc w:val="left"/>
      <w:outlineLvl w:val="5"/>
    </w:pPr>
    <w:rPr>
      <w:rFonts w:ascii="Times New Roman" w:hAnsi="Times New Roman" w:cs="Angsana New"/>
      <w:lang w:eastAsia="zh-CN" w:bidi="th-TH"/>
    </w:rPr>
  </w:style>
  <w:style w:type="paragraph" w:customStyle="1" w:styleId="StyleLatinTimesNewRoman11ptLeft12cmBefore0pt">
    <w:name w:val="Style (Latin) Times New Roman 11 pt Left:  1.2 cm Before:  0 pt..."/>
    <w:basedOn w:val="Normal"/>
    <w:uiPriority w:val="99"/>
    <w:rsid w:val="007520E9"/>
    <w:pPr>
      <w:spacing w:after="240" w:line="280" w:lineRule="atLeast"/>
      <w:ind w:left="680"/>
      <w:jc w:val="left"/>
    </w:pPr>
    <w:rPr>
      <w:rFonts w:ascii="Times New Roman" w:hAnsi="Times New Roman"/>
      <w:szCs w:val="20"/>
      <w:lang w:eastAsia="zh-CN" w:bidi="ar-SA"/>
    </w:rPr>
  </w:style>
  <w:style w:type="paragraph" w:customStyle="1" w:styleId="indent">
    <w:name w:val="indent"/>
    <w:basedOn w:val="Normal"/>
    <w:qFormat/>
    <w:rsid w:val="0022069A"/>
    <w:pPr>
      <w:spacing w:after="200"/>
      <w:ind w:left="454" w:right="567"/>
    </w:pPr>
    <w:rPr>
      <w:rFonts w:eastAsiaTheme="minorEastAsia"/>
    </w:rPr>
  </w:style>
  <w:style w:type="character" w:customStyle="1" w:styleId="BodytextChar0">
    <w:name w:val="Body text Char"/>
    <w:basedOn w:val="BodyTextChar"/>
    <w:link w:val="BodyText1"/>
    <w:rsid w:val="000C7855"/>
    <w:rPr>
      <w:rFonts w:ascii="Arial" w:hAnsi="Arial"/>
      <w:sz w:val="20"/>
      <w:lang w:bidi="en-US"/>
    </w:rPr>
  </w:style>
  <w:style w:type="numbering" w:customStyle="1" w:styleId="NoList3">
    <w:name w:val="No List3"/>
    <w:next w:val="NoList"/>
    <w:uiPriority w:val="99"/>
    <w:semiHidden/>
    <w:unhideWhenUsed/>
    <w:rsid w:val="00DA796D"/>
  </w:style>
  <w:style w:type="table" w:customStyle="1" w:styleId="TableGrid4">
    <w:name w:val="Table Grid4"/>
    <w:basedOn w:val="TableNormal"/>
    <w:next w:val="TableGrid"/>
    <w:uiPriority w:val="59"/>
    <w:rsid w:val="00DA79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yle14">
    <w:name w:val="Style14"/>
    <w:uiPriority w:val="99"/>
    <w:rsid w:val="00DA796D"/>
    <w:pPr>
      <w:keepLines/>
      <w:spacing w:after="160" w:line="288" w:lineRule="auto"/>
      <w:ind w:left="2160"/>
    </w:pPr>
    <w:rPr>
      <w:lang w:val="en-US" w:eastAsia="zh-CN" w:bidi="en-US"/>
    </w:rPr>
    <w:tblPr>
      <w:tblInd w:w="0" w:type="dxa"/>
      <w:tblBorders>
        <w:top w:val="single" w:sz="4" w:space="0" w:color="auto"/>
        <w:bottom w:val="single" w:sz="4" w:space="0" w:color="auto"/>
      </w:tblBorders>
      <w:tblCellMar>
        <w:top w:w="0" w:type="dxa"/>
        <w:left w:w="108" w:type="dxa"/>
        <w:bottom w:w="0" w:type="dxa"/>
        <w:right w:w="108" w:type="dxa"/>
      </w:tblCellMar>
    </w:tblPr>
  </w:style>
  <w:style w:type="table" w:customStyle="1" w:styleId="LightList-Accent113">
    <w:name w:val="Light List - Accent 113"/>
    <w:basedOn w:val="TableNormal"/>
    <w:uiPriority w:val="61"/>
    <w:rsid w:val="00DA796D"/>
    <w:tblPr>
      <w:tblStyleRowBandSize w:val="1"/>
      <w:tblStyleColBandSize w:val="1"/>
      <w:tblInd w:w="0" w:type="dxa"/>
      <w:tblBorders>
        <w:top w:val="single" w:sz="8" w:space="0" w:color="263C88"/>
        <w:left w:val="single" w:sz="8" w:space="0" w:color="263C88"/>
        <w:bottom w:val="single" w:sz="8" w:space="0" w:color="263C88"/>
        <w:right w:val="single" w:sz="8" w:space="0" w:color="263C88"/>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263C88"/>
      </w:tcPr>
    </w:tblStylePr>
    <w:tblStylePr w:type="lastRow">
      <w:pPr>
        <w:spacing w:before="0" w:after="0" w:line="240" w:lineRule="auto"/>
      </w:pPr>
      <w:rPr>
        <w:b/>
        <w:bCs/>
      </w:rPr>
      <w:tblPr/>
      <w:tcPr>
        <w:tcBorders>
          <w:top w:val="double" w:sz="6" w:space="0" w:color="263C88"/>
          <w:left w:val="single" w:sz="8" w:space="0" w:color="263C88"/>
          <w:bottom w:val="single" w:sz="8" w:space="0" w:color="263C88"/>
          <w:right w:val="single" w:sz="8" w:space="0" w:color="263C88"/>
        </w:tcBorders>
      </w:tcPr>
    </w:tblStylePr>
    <w:tblStylePr w:type="firstCol">
      <w:rPr>
        <w:b/>
        <w:bCs/>
      </w:rPr>
    </w:tblStylePr>
    <w:tblStylePr w:type="lastCol">
      <w:rPr>
        <w:b/>
        <w:bCs/>
      </w:rPr>
    </w:tblStylePr>
    <w:tblStylePr w:type="band1Vert">
      <w:tblPr/>
      <w:tcPr>
        <w:tcBorders>
          <w:top w:val="single" w:sz="8" w:space="0" w:color="263C88"/>
          <w:left w:val="single" w:sz="8" w:space="0" w:color="263C88"/>
          <w:bottom w:val="single" w:sz="8" w:space="0" w:color="263C88"/>
          <w:right w:val="single" w:sz="8" w:space="0" w:color="263C88"/>
        </w:tcBorders>
      </w:tcPr>
    </w:tblStylePr>
    <w:tblStylePr w:type="band1Horz">
      <w:tblPr/>
      <w:tcPr>
        <w:tcBorders>
          <w:top w:val="single" w:sz="8" w:space="0" w:color="263C88"/>
          <w:left w:val="single" w:sz="8" w:space="0" w:color="263C88"/>
          <w:bottom w:val="single" w:sz="8" w:space="0" w:color="263C88"/>
          <w:right w:val="single" w:sz="8" w:space="0" w:color="263C88"/>
        </w:tcBorders>
      </w:tcPr>
    </w:tblStylePr>
  </w:style>
  <w:style w:type="table" w:customStyle="1" w:styleId="LightList-Accent23">
    <w:name w:val="Light List - Accent 23"/>
    <w:basedOn w:val="TableNormal"/>
    <w:next w:val="LightList-Accent2"/>
    <w:uiPriority w:val="61"/>
    <w:rsid w:val="00DA796D"/>
    <w:tblPr>
      <w:tblStyleRowBandSize w:val="1"/>
      <w:tblStyleColBandSize w:val="1"/>
      <w:tblInd w:w="0" w:type="dxa"/>
      <w:tblBorders>
        <w:top w:val="single" w:sz="8" w:space="0" w:color="3F58A8"/>
        <w:left w:val="single" w:sz="8" w:space="0" w:color="3F58A8"/>
        <w:bottom w:val="single" w:sz="8" w:space="0" w:color="3F58A8"/>
        <w:right w:val="single" w:sz="8" w:space="0" w:color="3F58A8"/>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3F58A8"/>
      </w:tcPr>
    </w:tblStylePr>
    <w:tblStylePr w:type="lastRow">
      <w:pPr>
        <w:spacing w:before="0" w:after="0" w:line="240" w:lineRule="auto"/>
      </w:pPr>
      <w:rPr>
        <w:b/>
        <w:bCs/>
      </w:rPr>
      <w:tblPr/>
      <w:tcPr>
        <w:tcBorders>
          <w:top w:val="double" w:sz="6" w:space="0" w:color="3F58A8"/>
          <w:left w:val="single" w:sz="8" w:space="0" w:color="3F58A8"/>
          <w:bottom w:val="single" w:sz="8" w:space="0" w:color="3F58A8"/>
          <w:right w:val="single" w:sz="8" w:space="0" w:color="3F58A8"/>
        </w:tcBorders>
      </w:tcPr>
    </w:tblStylePr>
    <w:tblStylePr w:type="firstCol">
      <w:rPr>
        <w:b/>
        <w:bCs/>
      </w:rPr>
    </w:tblStylePr>
    <w:tblStylePr w:type="lastCol">
      <w:rPr>
        <w:b/>
        <w:bCs/>
      </w:rPr>
    </w:tblStylePr>
    <w:tblStylePr w:type="band1Vert">
      <w:tblPr/>
      <w:tcPr>
        <w:tcBorders>
          <w:top w:val="single" w:sz="8" w:space="0" w:color="3F58A8"/>
          <w:left w:val="single" w:sz="8" w:space="0" w:color="3F58A8"/>
          <w:bottom w:val="single" w:sz="8" w:space="0" w:color="3F58A8"/>
          <w:right w:val="single" w:sz="8" w:space="0" w:color="3F58A8"/>
        </w:tcBorders>
      </w:tcPr>
    </w:tblStylePr>
    <w:tblStylePr w:type="band1Horz">
      <w:tblPr/>
      <w:tcPr>
        <w:tcBorders>
          <w:top w:val="single" w:sz="8" w:space="0" w:color="3F58A8"/>
          <w:left w:val="single" w:sz="8" w:space="0" w:color="3F58A8"/>
          <w:bottom w:val="single" w:sz="8" w:space="0" w:color="3F58A8"/>
          <w:right w:val="single" w:sz="8" w:space="0" w:color="3F58A8"/>
        </w:tcBorders>
      </w:tcPr>
    </w:tblStylePr>
  </w:style>
  <w:style w:type="table" w:customStyle="1" w:styleId="SPRC3">
    <w:name w:val="SPRC3"/>
    <w:basedOn w:val="TableNormal"/>
    <w:uiPriority w:val="99"/>
    <w:rsid w:val="00DA796D"/>
    <w:rPr>
      <w:rFonts w:ascii="Helvetica" w:hAnsi="Helvetica"/>
      <w:sz w:val="24"/>
    </w:rPr>
    <w:tblPr>
      <w:tblInd w:w="0" w:type="dxa"/>
      <w:tblBorders>
        <w:top w:val="single" w:sz="8" w:space="0" w:color="auto"/>
        <w:left w:val="single" w:sz="8" w:space="0" w:color="auto"/>
        <w:bottom w:val="single" w:sz="8" w:space="0" w:color="auto"/>
        <w:right w:val="single" w:sz="8" w:space="0" w:color="auto"/>
      </w:tblBorders>
      <w:tblCellMar>
        <w:top w:w="0" w:type="dxa"/>
        <w:left w:w="108" w:type="dxa"/>
        <w:bottom w:w="0" w:type="dxa"/>
        <w:right w:w="108" w:type="dxa"/>
      </w:tblCellMar>
    </w:tblPr>
    <w:tblStylePr w:type="firstRow">
      <w:rPr>
        <w:rFonts w:ascii="Helvetica" w:hAnsi="Helvetica"/>
        <w:b w:val="0"/>
        <w:i w:val="0"/>
        <w:color w:val="auto"/>
        <w:sz w:val="24"/>
        <w:u w:val="none"/>
      </w:rPr>
    </w:tblStylePr>
  </w:style>
  <w:style w:type="table" w:customStyle="1" w:styleId="SPRCtables3">
    <w:name w:val="SPRC tables3"/>
    <w:basedOn w:val="ColorfulGrid-Accent6"/>
    <w:uiPriority w:val="99"/>
    <w:qFormat/>
    <w:rsid w:val="00DA796D"/>
    <w:tblPr>
      <w:tblStyleRowBandSize w:val="1"/>
      <w:tblStyleColBandSize w:val="1"/>
      <w:tblInd w:w="0" w:type="dxa"/>
      <w:tblBorders>
        <w:top w:val="single" w:sz="6" w:space="0" w:color="D1D9EE"/>
        <w:bottom w:val="single" w:sz="6" w:space="0" w:color="D1D9EE"/>
        <w:insideH w:val="single" w:sz="6" w:space="0" w:color="D1D9EE"/>
      </w:tblBorders>
      <w:tblCellMar>
        <w:top w:w="0" w:type="dxa"/>
        <w:left w:w="108" w:type="dxa"/>
        <w:bottom w:w="0" w:type="dxa"/>
        <w:right w:w="108" w:type="dxa"/>
      </w:tblCellMar>
    </w:tblPr>
    <w:tcPr>
      <w:shd w:val="clear" w:color="auto" w:fill="3F58A8"/>
    </w:tcPr>
    <w:tblStylePr w:type="firstRow">
      <w:rPr>
        <w:b/>
        <w:bCs/>
      </w:rPr>
      <w:tblPr/>
      <w:tcPr>
        <w:shd w:val="clear" w:color="auto" w:fill="FA7DA3"/>
      </w:tcPr>
    </w:tblStylePr>
    <w:tblStylePr w:type="lastRow">
      <w:rPr>
        <w:b/>
        <w:bCs/>
        <w:color w:val="000000"/>
      </w:rPr>
      <w:tblPr/>
      <w:tcPr>
        <w:shd w:val="clear" w:color="auto" w:fill="FA7DA3"/>
      </w:tcPr>
    </w:tblStylePr>
    <w:tblStylePr w:type="firstCol">
      <w:rPr>
        <w:color w:val="FFFFFF"/>
      </w:rPr>
      <w:tblPr/>
      <w:tcPr>
        <w:shd w:val="clear" w:color="auto" w:fill="7F0429"/>
      </w:tcPr>
    </w:tblStylePr>
    <w:tblStylePr w:type="lastCol">
      <w:rPr>
        <w:color w:val="FFFFFF"/>
      </w:rPr>
      <w:tblPr/>
      <w:tcPr>
        <w:shd w:val="clear" w:color="auto" w:fill="7F0429"/>
      </w:tcPr>
    </w:tblStylePr>
    <w:tblStylePr w:type="band1Vert">
      <w:tblPr/>
      <w:tcPr>
        <w:shd w:val="clear" w:color="auto" w:fill="F95E8C"/>
      </w:tcPr>
    </w:tblStylePr>
    <w:tblStylePr w:type="band1Horz">
      <w:tblPr/>
      <w:tcPr>
        <w:shd w:val="clear" w:color="auto" w:fill="F95E8C"/>
      </w:tcPr>
    </w:tblStylePr>
  </w:style>
  <w:style w:type="table" w:customStyle="1" w:styleId="MediumShading2-Accent23">
    <w:name w:val="Medium Shading 2 - Accent 23"/>
    <w:basedOn w:val="TableNormal"/>
    <w:next w:val="MediumShading2-Accent2"/>
    <w:uiPriority w:val="64"/>
    <w:rsid w:val="00DA796D"/>
    <w:rPr>
      <w:rFonts w:ascii="Verdana" w:hAnsi="Verdana"/>
      <w:color w:val="FFFFFF"/>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F58A8"/>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F58A8"/>
      </w:tcPr>
    </w:tblStylePr>
    <w:tblStylePr w:type="lastCol">
      <w:rPr>
        <w:b/>
        <w:bCs/>
        <w:color w:val="FFFFFF"/>
      </w:rPr>
      <w:tblPr/>
      <w:tcPr>
        <w:tcBorders>
          <w:left w:val="nil"/>
          <w:right w:val="nil"/>
          <w:insideH w:val="nil"/>
          <w:insideV w:val="nil"/>
        </w:tcBorders>
        <w:shd w:val="clear" w:color="auto" w:fill="3F58A8"/>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Accent63">
    <w:name w:val="Colorful Grid - Accent 63"/>
    <w:basedOn w:val="TableNormal"/>
    <w:next w:val="ColorfulGrid-Accent6"/>
    <w:uiPriority w:val="73"/>
    <w:rsid w:val="00DA796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CBED1"/>
    </w:tcPr>
    <w:tblStylePr w:type="firstRow">
      <w:rPr>
        <w:b/>
        <w:bCs/>
      </w:rPr>
      <w:tblPr/>
      <w:tcPr>
        <w:shd w:val="clear" w:color="auto" w:fill="FA7DA3"/>
      </w:tcPr>
    </w:tblStylePr>
    <w:tblStylePr w:type="lastRow">
      <w:rPr>
        <w:b/>
        <w:bCs/>
        <w:color w:val="000000"/>
      </w:rPr>
      <w:tblPr/>
      <w:tcPr>
        <w:shd w:val="clear" w:color="auto" w:fill="FA7DA3"/>
      </w:tcPr>
    </w:tblStylePr>
    <w:tblStylePr w:type="firstCol">
      <w:rPr>
        <w:color w:val="FFFFFF"/>
      </w:rPr>
      <w:tblPr/>
      <w:tcPr>
        <w:shd w:val="clear" w:color="auto" w:fill="7F0429"/>
      </w:tcPr>
    </w:tblStylePr>
    <w:tblStylePr w:type="lastCol">
      <w:rPr>
        <w:color w:val="FFFFFF"/>
      </w:rPr>
      <w:tblPr/>
      <w:tcPr>
        <w:shd w:val="clear" w:color="auto" w:fill="7F0429"/>
      </w:tcPr>
    </w:tblStylePr>
    <w:tblStylePr w:type="band1Vert">
      <w:tblPr/>
      <w:tcPr>
        <w:shd w:val="clear" w:color="auto" w:fill="F95E8C"/>
      </w:tcPr>
    </w:tblStylePr>
    <w:tblStylePr w:type="band1Horz">
      <w:tblPr/>
      <w:tcPr>
        <w:shd w:val="clear" w:color="auto" w:fill="F95E8C"/>
      </w:tcPr>
    </w:tblStylePr>
  </w:style>
  <w:style w:type="table" w:customStyle="1" w:styleId="DarkList-Accent63">
    <w:name w:val="Dark List - Accent 63"/>
    <w:basedOn w:val="TableNormal"/>
    <w:next w:val="DarkList-Accent6"/>
    <w:uiPriority w:val="70"/>
    <w:rsid w:val="00DA796D"/>
    <w:rPr>
      <w:color w:val="FFFFFF"/>
    </w:rPr>
    <w:tblPr>
      <w:tblStyleRowBandSize w:val="1"/>
      <w:tblStyleColBandSize w:val="1"/>
      <w:tblInd w:w="0" w:type="dxa"/>
      <w:tblCellMar>
        <w:top w:w="0" w:type="dxa"/>
        <w:left w:w="108" w:type="dxa"/>
        <w:bottom w:w="0" w:type="dxa"/>
        <w:right w:w="108" w:type="dxa"/>
      </w:tblCellMar>
    </w:tblPr>
    <w:tcPr>
      <w:shd w:val="clear" w:color="auto" w:fill="AA063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4031B"/>
      </w:tcPr>
    </w:tblStylePr>
    <w:tblStylePr w:type="firstCol">
      <w:tblPr/>
      <w:tcPr>
        <w:tcBorders>
          <w:top w:val="nil"/>
          <w:left w:val="nil"/>
          <w:bottom w:val="nil"/>
          <w:right w:val="single" w:sz="18" w:space="0" w:color="FFFFFF"/>
          <w:insideH w:val="nil"/>
          <w:insideV w:val="nil"/>
        </w:tcBorders>
        <w:shd w:val="clear" w:color="auto" w:fill="7F0429"/>
      </w:tcPr>
    </w:tblStylePr>
    <w:tblStylePr w:type="lastCol">
      <w:tblPr/>
      <w:tcPr>
        <w:tcBorders>
          <w:top w:val="nil"/>
          <w:left w:val="single" w:sz="18" w:space="0" w:color="FFFFFF"/>
          <w:bottom w:val="nil"/>
          <w:right w:val="nil"/>
          <w:insideH w:val="nil"/>
          <w:insideV w:val="nil"/>
        </w:tcBorders>
        <w:shd w:val="clear" w:color="auto" w:fill="7F0429"/>
      </w:tcPr>
    </w:tblStylePr>
    <w:tblStylePr w:type="band1Vert">
      <w:tblPr/>
      <w:tcPr>
        <w:tcBorders>
          <w:top w:val="nil"/>
          <w:left w:val="nil"/>
          <w:bottom w:val="nil"/>
          <w:right w:val="nil"/>
          <w:insideH w:val="nil"/>
          <w:insideV w:val="nil"/>
        </w:tcBorders>
        <w:shd w:val="clear" w:color="auto" w:fill="7F0429"/>
      </w:tcPr>
    </w:tblStylePr>
    <w:tblStylePr w:type="band1Horz">
      <w:tblPr/>
      <w:tcPr>
        <w:tcBorders>
          <w:top w:val="nil"/>
          <w:left w:val="nil"/>
          <w:bottom w:val="nil"/>
          <w:right w:val="nil"/>
          <w:insideH w:val="nil"/>
          <w:insideV w:val="nil"/>
        </w:tcBorders>
        <w:shd w:val="clear" w:color="auto" w:fill="7F0429"/>
      </w:tcPr>
    </w:tblStylePr>
  </w:style>
  <w:style w:type="table" w:customStyle="1" w:styleId="MediumShading1-Accent33">
    <w:name w:val="Medium Shading 1 - Accent 33"/>
    <w:basedOn w:val="TableNormal"/>
    <w:next w:val="MediumShading1-Accent3"/>
    <w:uiPriority w:val="63"/>
    <w:rsid w:val="00DA796D"/>
    <w:tblPr>
      <w:tblStyleRowBandSize w:val="1"/>
      <w:tblStyleColBandSize w:val="1"/>
      <w:tblInd w:w="0" w:type="dxa"/>
      <w:tblBorders>
        <w:top w:val="single" w:sz="8" w:space="0" w:color="auto"/>
        <w:bottom w:val="single" w:sz="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D5DDF0"/>
          <w:left w:val="single" w:sz="8" w:space="0" w:color="D5DDF0"/>
          <w:bottom w:val="single" w:sz="8" w:space="0" w:color="D5DDF0"/>
          <w:right w:val="single" w:sz="8" w:space="0" w:color="D5DDF0"/>
          <w:insideH w:val="nil"/>
          <w:insideV w:val="nil"/>
        </w:tcBorders>
        <w:shd w:val="clear" w:color="auto" w:fill="C8D2EB"/>
      </w:tcPr>
    </w:tblStylePr>
    <w:tblStylePr w:type="lastRow">
      <w:pPr>
        <w:spacing w:before="0" w:after="0" w:line="240" w:lineRule="auto"/>
      </w:pPr>
      <w:rPr>
        <w:b/>
        <w:bCs/>
      </w:rPr>
      <w:tblPr/>
      <w:tcPr>
        <w:tcBorders>
          <w:top w:val="double" w:sz="6" w:space="0" w:color="D5DDF0"/>
          <w:left w:val="single" w:sz="8" w:space="0" w:color="D5DDF0"/>
          <w:bottom w:val="single" w:sz="8" w:space="0" w:color="D5DDF0"/>
          <w:right w:val="single" w:sz="8" w:space="0" w:color="D5DDF0"/>
          <w:insideH w:val="nil"/>
          <w:insideV w:val="nil"/>
        </w:tcBorders>
      </w:tcPr>
    </w:tblStylePr>
    <w:tblStylePr w:type="firstCol">
      <w:rPr>
        <w:b/>
        <w:bCs/>
      </w:rPr>
    </w:tblStylePr>
    <w:tblStylePr w:type="lastCol">
      <w:rPr>
        <w:b/>
        <w:bCs/>
      </w:rPr>
    </w:tblStylePr>
    <w:tblStylePr w:type="band1Vert">
      <w:tblPr/>
      <w:tcPr>
        <w:shd w:val="clear" w:color="auto" w:fill="F1F3FA"/>
      </w:tcPr>
    </w:tblStylePr>
    <w:tblStylePr w:type="band1Horz">
      <w:tblPr/>
      <w:tcPr>
        <w:tcBorders>
          <w:insideH w:val="nil"/>
          <w:insideV w:val="nil"/>
        </w:tcBorders>
        <w:shd w:val="clear" w:color="auto" w:fill="F1F3FA"/>
      </w:tcPr>
    </w:tblStylePr>
    <w:tblStylePr w:type="band2Horz">
      <w:tblPr/>
      <w:tcPr>
        <w:tcBorders>
          <w:insideH w:val="nil"/>
          <w:insideV w:val="nil"/>
        </w:tcBorders>
      </w:tcPr>
    </w:tblStylePr>
  </w:style>
  <w:style w:type="table" w:customStyle="1" w:styleId="SPRCReporttablefinal3">
    <w:name w:val="SPRC Report table final3"/>
    <w:basedOn w:val="ColorfulShading-Accent1"/>
    <w:uiPriority w:val="99"/>
    <w:qFormat/>
    <w:rsid w:val="00DA796D"/>
    <w:rPr>
      <w:rFonts w:ascii="Sommet" w:hAnsi="Sommet"/>
      <w:sz w:val="24"/>
      <w:szCs w:val="20"/>
      <w:lang w:eastAsia="en-US"/>
    </w:rPr>
    <w:tblPr>
      <w:tblStyleRowBandSize w:val="1"/>
      <w:tblStyleColBandSize w:val="1"/>
      <w:tblInd w:w="0" w:type="dxa"/>
      <w:tblBorders>
        <w:left w:val="single" w:sz="4" w:space="0" w:color="263C88"/>
        <w:right w:val="single" w:sz="4" w:space="0" w:color="263C88"/>
        <w:insideH w:val="single" w:sz="4" w:space="0" w:color="FFFFFF"/>
        <w:insideV w:val="single" w:sz="4" w:space="0" w:color="FFFFFF"/>
      </w:tblBorders>
      <w:tblCellMar>
        <w:top w:w="0" w:type="dxa"/>
        <w:left w:w="108" w:type="dxa"/>
        <w:bottom w:w="0" w:type="dxa"/>
        <w:right w:w="108" w:type="dxa"/>
      </w:tblCellMar>
    </w:tblPr>
    <w:tcPr>
      <w:shd w:val="clear" w:color="auto" w:fill="E5E9F7"/>
    </w:tcPr>
    <w:tblStylePr w:type="firstRow">
      <w:rPr>
        <w:b/>
        <w:bCs/>
      </w:rPr>
      <w:tblPr/>
      <w:tcPr>
        <w:tcBorders>
          <w:top w:val="nil"/>
          <w:left w:val="nil"/>
          <w:bottom w:val="single" w:sz="24" w:space="0" w:color="3F58A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62351"/>
      </w:tcPr>
    </w:tblStylePr>
    <w:tblStylePr w:type="firstCol">
      <w:rPr>
        <w:color w:val="FFFFFF"/>
      </w:rPr>
      <w:tblPr/>
      <w:tcPr>
        <w:tcBorders>
          <w:top w:val="nil"/>
          <w:left w:val="nil"/>
          <w:bottom w:val="nil"/>
          <w:right w:val="nil"/>
          <w:insideH w:val="single" w:sz="4" w:space="0" w:color="162351"/>
          <w:insideV w:val="nil"/>
        </w:tcBorders>
        <w:shd w:val="clear" w:color="auto" w:fill="162351"/>
      </w:tcPr>
    </w:tblStylePr>
    <w:tblStylePr w:type="lastCol">
      <w:rPr>
        <w:color w:val="FFFFFF"/>
      </w:rPr>
      <w:tblPr/>
      <w:tcPr>
        <w:tcBorders>
          <w:top w:val="nil"/>
          <w:left w:val="nil"/>
          <w:bottom w:val="nil"/>
          <w:right w:val="nil"/>
          <w:insideH w:val="nil"/>
          <w:insideV w:val="nil"/>
        </w:tcBorders>
        <w:shd w:val="clear" w:color="auto" w:fill="162351"/>
      </w:tcPr>
    </w:tblStylePr>
    <w:tblStylePr w:type="band1Vert">
      <w:tblPr/>
      <w:tcPr>
        <w:shd w:val="clear" w:color="auto" w:fill="95A6E1"/>
      </w:tcPr>
    </w:tblStylePr>
    <w:tblStylePr w:type="band1Horz">
      <w:tblPr/>
      <w:tcPr>
        <w:shd w:val="clear" w:color="auto" w:fill="7B90DA"/>
      </w:tcPr>
    </w:tblStylePr>
    <w:tblStylePr w:type="neCell">
      <w:rPr>
        <w:color w:val="000000"/>
      </w:rPr>
    </w:tblStylePr>
    <w:tblStylePr w:type="nwCell">
      <w:rPr>
        <w:color w:val="000000"/>
      </w:rPr>
    </w:tblStylePr>
  </w:style>
  <w:style w:type="table" w:customStyle="1" w:styleId="ColorfulShading-Accent13">
    <w:name w:val="Colorful Shading - Accent 13"/>
    <w:basedOn w:val="TableNormal"/>
    <w:next w:val="ColorfulShading-Accent1"/>
    <w:uiPriority w:val="71"/>
    <w:rsid w:val="00DA796D"/>
    <w:rPr>
      <w:color w:val="000000"/>
    </w:rPr>
    <w:tblPr>
      <w:tblStyleRowBandSize w:val="1"/>
      <w:tblStyleColBandSize w:val="1"/>
      <w:tblInd w:w="0" w:type="dxa"/>
      <w:tblBorders>
        <w:top w:val="single" w:sz="24" w:space="0" w:color="3F58A8"/>
        <w:left w:val="single" w:sz="4" w:space="0" w:color="263C88"/>
        <w:bottom w:val="single" w:sz="4" w:space="0" w:color="263C88"/>
        <w:right w:val="single" w:sz="4" w:space="0" w:color="263C88"/>
        <w:insideH w:val="single" w:sz="4" w:space="0" w:color="FFFFFF"/>
        <w:insideV w:val="single" w:sz="4" w:space="0" w:color="FFFFFF"/>
      </w:tblBorders>
      <w:tblCellMar>
        <w:top w:w="0" w:type="dxa"/>
        <w:left w:w="108" w:type="dxa"/>
        <w:bottom w:w="0" w:type="dxa"/>
        <w:right w:w="108" w:type="dxa"/>
      </w:tblCellMar>
    </w:tblPr>
    <w:tcPr>
      <w:shd w:val="clear" w:color="auto" w:fill="E5E9F7"/>
    </w:tcPr>
    <w:tblStylePr w:type="firstRow">
      <w:rPr>
        <w:b/>
        <w:bCs/>
      </w:rPr>
      <w:tblPr/>
      <w:tcPr>
        <w:tcBorders>
          <w:top w:val="nil"/>
          <w:left w:val="nil"/>
          <w:bottom w:val="single" w:sz="24" w:space="0" w:color="3F58A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62351"/>
      </w:tcPr>
    </w:tblStylePr>
    <w:tblStylePr w:type="firstCol">
      <w:rPr>
        <w:color w:val="FFFFFF"/>
      </w:rPr>
      <w:tblPr/>
      <w:tcPr>
        <w:tcBorders>
          <w:top w:val="nil"/>
          <w:left w:val="nil"/>
          <w:bottom w:val="nil"/>
          <w:right w:val="nil"/>
          <w:insideH w:val="single" w:sz="4" w:space="0" w:color="162351"/>
          <w:insideV w:val="nil"/>
        </w:tcBorders>
        <w:shd w:val="clear" w:color="auto" w:fill="162351"/>
      </w:tcPr>
    </w:tblStylePr>
    <w:tblStylePr w:type="lastCol">
      <w:rPr>
        <w:color w:val="FFFFFF"/>
      </w:rPr>
      <w:tblPr/>
      <w:tcPr>
        <w:tcBorders>
          <w:top w:val="nil"/>
          <w:left w:val="nil"/>
          <w:bottom w:val="nil"/>
          <w:right w:val="nil"/>
          <w:insideH w:val="nil"/>
          <w:insideV w:val="nil"/>
        </w:tcBorders>
        <w:shd w:val="clear" w:color="auto" w:fill="162351"/>
      </w:tcPr>
    </w:tblStylePr>
    <w:tblStylePr w:type="band1Vert">
      <w:tblPr/>
      <w:tcPr>
        <w:shd w:val="clear" w:color="auto" w:fill="95A6E1"/>
      </w:tcPr>
    </w:tblStylePr>
    <w:tblStylePr w:type="band1Horz">
      <w:tblPr/>
      <w:tcPr>
        <w:shd w:val="clear" w:color="auto" w:fill="7B90DA"/>
      </w:tcPr>
    </w:tblStylePr>
    <w:tblStylePr w:type="neCell">
      <w:rPr>
        <w:color w:val="000000"/>
      </w:rPr>
    </w:tblStylePr>
    <w:tblStylePr w:type="nwCell">
      <w:rPr>
        <w:color w:val="000000"/>
      </w:rPr>
    </w:tblStylePr>
  </w:style>
  <w:style w:type="table" w:customStyle="1" w:styleId="LightShading-Accent43">
    <w:name w:val="Light Shading - Accent 43"/>
    <w:basedOn w:val="TableNormal"/>
    <w:next w:val="LightShading-Accent4"/>
    <w:uiPriority w:val="60"/>
    <w:rsid w:val="00DA796D"/>
    <w:rPr>
      <w:color w:val="7E95CF"/>
    </w:rPr>
    <w:tblPr>
      <w:tblStyleRowBandSize w:val="1"/>
      <w:tblStyleColBandSize w:val="1"/>
      <w:tblInd w:w="0" w:type="dxa"/>
      <w:tblBorders>
        <w:top w:val="single" w:sz="8" w:space="0" w:color="D1D9EE"/>
        <w:bottom w:val="single" w:sz="8" w:space="0" w:color="D1D9EE"/>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1D9EE"/>
          <w:left w:val="nil"/>
          <w:bottom w:val="single" w:sz="8" w:space="0" w:color="D1D9EE"/>
          <w:right w:val="nil"/>
          <w:insideH w:val="nil"/>
          <w:insideV w:val="nil"/>
        </w:tcBorders>
      </w:tcPr>
    </w:tblStylePr>
    <w:tblStylePr w:type="lastRow">
      <w:pPr>
        <w:spacing w:before="0" w:after="0" w:line="240" w:lineRule="auto"/>
      </w:pPr>
      <w:rPr>
        <w:b/>
        <w:bCs/>
      </w:rPr>
      <w:tblPr/>
      <w:tcPr>
        <w:tcBorders>
          <w:top w:val="single" w:sz="8" w:space="0" w:color="D1D9EE"/>
          <w:left w:val="nil"/>
          <w:bottom w:val="single" w:sz="8" w:space="0" w:color="D1D9E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5FA"/>
      </w:tcPr>
    </w:tblStylePr>
    <w:tblStylePr w:type="band1Horz">
      <w:tblPr/>
      <w:tcPr>
        <w:tcBorders>
          <w:left w:val="nil"/>
          <w:right w:val="nil"/>
          <w:insideH w:val="nil"/>
          <w:insideV w:val="nil"/>
        </w:tcBorders>
        <w:shd w:val="clear" w:color="auto" w:fill="F3F5FA"/>
      </w:tcPr>
    </w:tblStylePr>
  </w:style>
  <w:style w:type="table" w:customStyle="1" w:styleId="SPRCtablev13">
    <w:name w:val="SPRC table v13"/>
    <w:basedOn w:val="TableNormal"/>
    <w:uiPriority w:val="99"/>
    <w:qFormat/>
    <w:rsid w:val="00DA796D"/>
    <w:rPr>
      <w:rFonts w:ascii="Helvetica" w:hAnsi="Helvetica"/>
      <w:sz w:val="24"/>
    </w:rPr>
    <w:tblPr>
      <w:tblInd w:w="0" w:type="dxa"/>
      <w:tblCellMar>
        <w:top w:w="0" w:type="dxa"/>
        <w:left w:w="108" w:type="dxa"/>
        <w:bottom w:w="0" w:type="dxa"/>
        <w:right w:w="108" w:type="dxa"/>
      </w:tblCellMar>
    </w:tblPr>
  </w:style>
  <w:style w:type="table" w:customStyle="1" w:styleId="TableGrid13">
    <w:name w:val="Table Grid13"/>
    <w:basedOn w:val="TableNormal"/>
    <w:next w:val="TableGrid"/>
    <w:uiPriority w:val="59"/>
    <w:rsid w:val="00DA796D"/>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PRC-docs-style3">
    <w:name w:val="SPRC-docs-style3"/>
    <w:uiPriority w:val="99"/>
    <w:rsid w:val="00DA796D"/>
  </w:style>
  <w:style w:type="numbering" w:customStyle="1" w:styleId="SPRC-style2">
    <w:name w:val="SPRC-style2"/>
    <w:uiPriority w:val="99"/>
    <w:rsid w:val="00DA796D"/>
  </w:style>
  <w:style w:type="numbering" w:customStyle="1" w:styleId="SPRC-style11">
    <w:name w:val="SPRC-style11"/>
    <w:uiPriority w:val="99"/>
    <w:rsid w:val="00DA796D"/>
  </w:style>
  <w:style w:type="numbering" w:customStyle="1" w:styleId="NoList11">
    <w:name w:val="No List11"/>
    <w:next w:val="NoList"/>
    <w:uiPriority w:val="99"/>
    <w:semiHidden/>
    <w:unhideWhenUsed/>
    <w:rsid w:val="00DA796D"/>
  </w:style>
  <w:style w:type="table" w:customStyle="1" w:styleId="TableGrid21">
    <w:name w:val="Table Grid21"/>
    <w:basedOn w:val="TableNormal"/>
    <w:next w:val="TableGrid"/>
    <w:uiPriority w:val="59"/>
    <w:rsid w:val="00DA79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yle111">
    <w:name w:val="Style111"/>
    <w:uiPriority w:val="99"/>
    <w:rsid w:val="00DA796D"/>
    <w:pPr>
      <w:keepLines/>
      <w:spacing w:after="160" w:line="288" w:lineRule="auto"/>
      <w:ind w:left="2160"/>
    </w:pPr>
    <w:rPr>
      <w:lang w:val="en-US" w:eastAsia="zh-CN" w:bidi="en-US"/>
    </w:rPr>
    <w:tblPr>
      <w:tblInd w:w="0" w:type="dxa"/>
      <w:tblBorders>
        <w:top w:val="single" w:sz="4" w:space="0" w:color="auto"/>
        <w:bottom w:val="single" w:sz="4" w:space="0" w:color="auto"/>
      </w:tblBorders>
      <w:tblCellMar>
        <w:top w:w="0" w:type="dxa"/>
        <w:left w:w="108" w:type="dxa"/>
        <w:bottom w:w="0" w:type="dxa"/>
        <w:right w:w="108" w:type="dxa"/>
      </w:tblCellMar>
    </w:tblPr>
  </w:style>
  <w:style w:type="table" w:customStyle="1" w:styleId="LightList-Accent1111">
    <w:name w:val="Light List - Accent 1111"/>
    <w:basedOn w:val="TableNormal"/>
    <w:uiPriority w:val="61"/>
    <w:rsid w:val="00DA796D"/>
    <w:tblPr>
      <w:tblStyleRowBandSize w:val="1"/>
      <w:tblStyleColBandSize w:val="1"/>
      <w:tblInd w:w="0" w:type="dxa"/>
      <w:tblBorders>
        <w:top w:val="single" w:sz="8" w:space="0" w:color="263C88"/>
        <w:left w:val="single" w:sz="8" w:space="0" w:color="263C88"/>
        <w:bottom w:val="single" w:sz="8" w:space="0" w:color="263C88"/>
        <w:right w:val="single" w:sz="8" w:space="0" w:color="263C88"/>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263C88"/>
      </w:tcPr>
    </w:tblStylePr>
    <w:tblStylePr w:type="lastRow">
      <w:pPr>
        <w:spacing w:before="0" w:after="0" w:line="240" w:lineRule="auto"/>
      </w:pPr>
      <w:rPr>
        <w:b/>
        <w:bCs/>
      </w:rPr>
      <w:tblPr/>
      <w:tcPr>
        <w:tcBorders>
          <w:top w:val="double" w:sz="6" w:space="0" w:color="263C88"/>
          <w:left w:val="single" w:sz="8" w:space="0" w:color="263C88"/>
          <w:bottom w:val="single" w:sz="8" w:space="0" w:color="263C88"/>
          <w:right w:val="single" w:sz="8" w:space="0" w:color="263C88"/>
        </w:tcBorders>
      </w:tcPr>
    </w:tblStylePr>
    <w:tblStylePr w:type="firstCol">
      <w:rPr>
        <w:b/>
        <w:bCs/>
      </w:rPr>
    </w:tblStylePr>
    <w:tblStylePr w:type="lastCol">
      <w:rPr>
        <w:b/>
        <w:bCs/>
      </w:rPr>
    </w:tblStylePr>
    <w:tblStylePr w:type="band1Vert">
      <w:tblPr/>
      <w:tcPr>
        <w:tcBorders>
          <w:top w:val="single" w:sz="8" w:space="0" w:color="263C88"/>
          <w:left w:val="single" w:sz="8" w:space="0" w:color="263C88"/>
          <w:bottom w:val="single" w:sz="8" w:space="0" w:color="263C88"/>
          <w:right w:val="single" w:sz="8" w:space="0" w:color="263C88"/>
        </w:tcBorders>
      </w:tcPr>
    </w:tblStylePr>
    <w:tblStylePr w:type="band1Horz">
      <w:tblPr/>
      <w:tcPr>
        <w:tcBorders>
          <w:top w:val="single" w:sz="8" w:space="0" w:color="263C88"/>
          <w:left w:val="single" w:sz="8" w:space="0" w:color="263C88"/>
          <w:bottom w:val="single" w:sz="8" w:space="0" w:color="263C88"/>
          <w:right w:val="single" w:sz="8" w:space="0" w:color="263C88"/>
        </w:tcBorders>
      </w:tcPr>
    </w:tblStylePr>
  </w:style>
  <w:style w:type="table" w:customStyle="1" w:styleId="LightList-Accent211">
    <w:name w:val="Light List - Accent 211"/>
    <w:basedOn w:val="TableNormal"/>
    <w:next w:val="LightList-Accent2"/>
    <w:uiPriority w:val="61"/>
    <w:rsid w:val="00DA796D"/>
    <w:tblPr>
      <w:tblStyleRowBandSize w:val="1"/>
      <w:tblStyleColBandSize w:val="1"/>
      <w:tblInd w:w="0" w:type="dxa"/>
      <w:tblBorders>
        <w:top w:val="single" w:sz="8" w:space="0" w:color="3F58A8"/>
        <w:left w:val="single" w:sz="8" w:space="0" w:color="3F58A8"/>
        <w:bottom w:val="single" w:sz="8" w:space="0" w:color="3F58A8"/>
        <w:right w:val="single" w:sz="8" w:space="0" w:color="3F58A8"/>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3F58A8"/>
      </w:tcPr>
    </w:tblStylePr>
    <w:tblStylePr w:type="lastRow">
      <w:pPr>
        <w:spacing w:before="0" w:after="0" w:line="240" w:lineRule="auto"/>
      </w:pPr>
      <w:rPr>
        <w:b/>
        <w:bCs/>
      </w:rPr>
      <w:tblPr/>
      <w:tcPr>
        <w:tcBorders>
          <w:top w:val="double" w:sz="6" w:space="0" w:color="3F58A8"/>
          <w:left w:val="single" w:sz="8" w:space="0" w:color="3F58A8"/>
          <w:bottom w:val="single" w:sz="8" w:space="0" w:color="3F58A8"/>
          <w:right w:val="single" w:sz="8" w:space="0" w:color="3F58A8"/>
        </w:tcBorders>
      </w:tcPr>
    </w:tblStylePr>
    <w:tblStylePr w:type="firstCol">
      <w:rPr>
        <w:b/>
        <w:bCs/>
      </w:rPr>
    </w:tblStylePr>
    <w:tblStylePr w:type="lastCol">
      <w:rPr>
        <w:b/>
        <w:bCs/>
      </w:rPr>
    </w:tblStylePr>
    <w:tblStylePr w:type="band1Vert">
      <w:tblPr/>
      <w:tcPr>
        <w:tcBorders>
          <w:top w:val="single" w:sz="8" w:space="0" w:color="3F58A8"/>
          <w:left w:val="single" w:sz="8" w:space="0" w:color="3F58A8"/>
          <w:bottom w:val="single" w:sz="8" w:space="0" w:color="3F58A8"/>
          <w:right w:val="single" w:sz="8" w:space="0" w:color="3F58A8"/>
        </w:tcBorders>
      </w:tcPr>
    </w:tblStylePr>
    <w:tblStylePr w:type="band1Horz">
      <w:tblPr/>
      <w:tcPr>
        <w:tcBorders>
          <w:top w:val="single" w:sz="8" w:space="0" w:color="3F58A8"/>
          <w:left w:val="single" w:sz="8" w:space="0" w:color="3F58A8"/>
          <w:bottom w:val="single" w:sz="8" w:space="0" w:color="3F58A8"/>
          <w:right w:val="single" w:sz="8" w:space="0" w:color="3F58A8"/>
        </w:tcBorders>
      </w:tcPr>
    </w:tblStylePr>
  </w:style>
  <w:style w:type="table" w:customStyle="1" w:styleId="SPRC11">
    <w:name w:val="SPRC11"/>
    <w:basedOn w:val="TableNormal"/>
    <w:uiPriority w:val="99"/>
    <w:rsid w:val="00DA796D"/>
    <w:rPr>
      <w:rFonts w:ascii="Helvetica" w:hAnsi="Helvetica"/>
      <w:sz w:val="24"/>
    </w:rPr>
    <w:tblPr>
      <w:tblInd w:w="0" w:type="dxa"/>
      <w:tblBorders>
        <w:top w:val="single" w:sz="8" w:space="0" w:color="auto"/>
        <w:left w:val="single" w:sz="8" w:space="0" w:color="auto"/>
        <w:bottom w:val="single" w:sz="8" w:space="0" w:color="auto"/>
        <w:right w:val="single" w:sz="8" w:space="0" w:color="auto"/>
      </w:tblBorders>
      <w:tblCellMar>
        <w:top w:w="0" w:type="dxa"/>
        <w:left w:w="108" w:type="dxa"/>
        <w:bottom w:w="0" w:type="dxa"/>
        <w:right w:w="108" w:type="dxa"/>
      </w:tblCellMar>
    </w:tblPr>
    <w:tblStylePr w:type="firstRow">
      <w:rPr>
        <w:rFonts w:ascii="Helvetica" w:hAnsi="Helvetica"/>
        <w:b w:val="0"/>
        <w:i w:val="0"/>
        <w:color w:val="auto"/>
        <w:sz w:val="24"/>
        <w:u w:val="none"/>
      </w:rPr>
    </w:tblStylePr>
  </w:style>
  <w:style w:type="table" w:customStyle="1" w:styleId="SPRCtables11">
    <w:name w:val="SPRC tables11"/>
    <w:basedOn w:val="ColorfulGrid-Accent6"/>
    <w:uiPriority w:val="99"/>
    <w:qFormat/>
    <w:rsid w:val="00DA796D"/>
    <w:tblPr>
      <w:tblStyleRowBandSize w:val="1"/>
      <w:tblStyleColBandSize w:val="1"/>
      <w:tblInd w:w="0" w:type="dxa"/>
      <w:tblBorders>
        <w:top w:val="single" w:sz="6" w:space="0" w:color="D1D9EE"/>
        <w:bottom w:val="single" w:sz="6" w:space="0" w:color="D1D9EE"/>
        <w:insideH w:val="single" w:sz="6" w:space="0" w:color="D1D9EE"/>
      </w:tblBorders>
      <w:tblCellMar>
        <w:top w:w="0" w:type="dxa"/>
        <w:left w:w="108" w:type="dxa"/>
        <w:bottom w:w="0" w:type="dxa"/>
        <w:right w:w="108" w:type="dxa"/>
      </w:tblCellMar>
    </w:tblPr>
    <w:tcPr>
      <w:shd w:val="clear" w:color="auto" w:fill="3F58A8"/>
    </w:tcPr>
    <w:tblStylePr w:type="firstRow">
      <w:rPr>
        <w:b/>
        <w:bCs/>
      </w:rPr>
      <w:tblPr/>
      <w:tcPr>
        <w:shd w:val="clear" w:color="auto" w:fill="FA7DA3"/>
      </w:tcPr>
    </w:tblStylePr>
    <w:tblStylePr w:type="lastRow">
      <w:rPr>
        <w:b/>
        <w:bCs/>
        <w:color w:val="000000"/>
      </w:rPr>
      <w:tblPr/>
      <w:tcPr>
        <w:shd w:val="clear" w:color="auto" w:fill="FA7DA3"/>
      </w:tcPr>
    </w:tblStylePr>
    <w:tblStylePr w:type="firstCol">
      <w:rPr>
        <w:color w:val="FFFFFF"/>
      </w:rPr>
      <w:tblPr/>
      <w:tcPr>
        <w:shd w:val="clear" w:color="auto" w:fill="7F0429"/>
      </w:tcPr>
    </w:tblStylePr>
    <w:tblStylePr w:type="lastCol">
      <w:rPr>
        <w:color w:val="FFFFFF"/>
      </w:rPr>
      <w:tblPr/>
      <w:tcPr>
        <w:shd w:val="clear" w:color="auto" w:fill="7F0429"/>
      </w:tcPr>
    </w:tblStylePr>
    <w:tblStylePr w:type="band1Vert">
      <w:tblPr/>
      <w:tcPr>
        <w:shd w:val="clear" w:color="auto" w:fill="F95E8C"/>
      </w:tcPr>
    </w:tblStylePr>
    <w:tblStylePr w:type="band1Horz">
      <w:tblPr/>
      <w:tcPr>
        <w:shd w:val="clear" w:color="auto" w:fill="F95E8C"/>
      </w:tcPr>
    </w:tblStylePr>
  </w:style>
  <w:style w:type="table" w:customStyle="1" w:styleId="MediumShading2-Accent211">
    <w:name w:val="Medium Shading 2 - Accent 211"/>
    <w:basedOn w:val="TableNormal"/>
    <w:next w:val="MediumShading2-Accent2"/>
    <w:uiPriority w:val="64"/>
    <w:rsid w:val="00DA796D"/>
    <w:rPr>
      <w:rFonts w:ascii="Verdana" w:hAnsi="Verdana"/>
      <w:color w:val="FFFFFF"/>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F58A8"/>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F58A8"/>
      </w:tcPr>
    </w:tblStylePr>
    <w:tblStylePr w:type="lastCol">
      <w:rPr>
        <w:b/>
        <w:bCs/>
        <w:color w:val="FFFFFF"/>
      </w:rPr>
      <w:tblPr/>
      <w:tcPr>
        <w:tcBorders>
          <w:left w:val="nil"/>
          <w:right w:val="nil"/>
          <w:insideH w:val="nil"/>
          <w:insideV w:val="nil"/>
        </w:tcBorders>
        <w:shd w:val="clear" w:color="auto" w:fill="3F58A8"/>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Accent611">
    <w:name w:val="Colorful Grid - Accent 611"/>
    <w:basedOn w:val="TableNormal"/>
    <w:next w:val="ColorfulGrid-Accent6"/>
    <w:uiPriority w:val="73"/>
    <w:rsid w:val="00DA796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CBED1"/>
    </w:tcPr>
    <w:tblStylePr w:type="firstRow">
      <w:rPr>
        <w:b/>
        <w:bCs/>
      </w:rPr>
      <w:tblPr/>
      <w:tcPr>
        <w:shd w:val="clear" w:color="auto" w:fill="FA7DA3"/>
      </w:tcPr>
    </w:tblStylePr>
    <w:tblStylePr w:type="lastRow">
      <w:rPr>
        <w:b/>
        <w:bCs/>
        <w:color w:val="000000"/>
      </w:rPr>
      <w:tblPr/>
      <w:tcPr>
        <w:shd w:val="clear" w:color="auto" w:fill="FA7DA3"/>
      </w:tcPr>
    </w:tblStylePr>
    <w:tblStylePr w:type="firstCol">
      <w:rPr>
        <w:color w:val="FFFFFF"/>
      </w:rPr>
      <w:tblPr/>
      <w:tcPr>
        <w:shd w:val="clear" w:color="auto" w:fill="7F0429"/>
      </w:tcPr>
    </w:tblStylePr>
    <w:tblStylePr w:type="lastCol">
      <w:rPr>
        <w:color w:val="FFFFFF"/>
      </w:rPr>
      <w:tblPr/>
      <w:tcPr>
        <w:shd w:val="clear" w:color="auto" w:fill="7F0429"/>
      </w:tcPr>
    </w:tblStylePr>
    <w:tblStylePr w:type="band1Vert">
      <w:tblPr/>
      <w:tcPr>
        <w:shd w:val="clear" w:color="auto" w:fill="F95E8C"/>
      </w:tcPr>
    </w:tblStylePr>
    <w:tblStylePr w:type="band1Horz">
      <w:tblPr/>
      <w:tcPr>
        <w:shd w:val="clear" w:color="auto" w:fill="F95E8C"/>
      </w:tcPr>
    </w:tblStylePr>
  </w:style>
  <w:style w:type="table" w:customStyle="1" w:styleId="DarkList-Accent611">
    <w:name w:val="Dark List - Accent 611"/>
    <w:basedOn w:val="TableNormal"/>
    <w:next w:val="DarkList-Accent6"/>
    <w:uiPriority w:val="70"/>
    <w:rsid w:val="00DA796D"/>
    <w:rPr>
      <w:color w:val="FFFFFF"/>
    </w:rPr>
    <w:tblPr>
      <w:tblStyleRowBandSize w:val="1"/>
      <w:tblStyleColBandSize w:val="1"/>
      <w:tblInd w:w="0" w:type="dxa"/>
      <w:tblCellMar>
        <w:top w:w="0" w:type="dxa"/>
        <w:left w:w="108" w:type="dxa"/>
        <w:bottom w:w="0" w:type="dxa"/>
        <w:right w:w="108" w:type="dxa"/>
      </w:tblCellMar>
    </w:tblPr>
    <w:tcPr>
      <w:shd w:val="clear" w:color="auto" w:fill="AA063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4031B"/>
      </w:tcPr>
    </w:tblStylePr>
    <w:tblStylePr w:type="firstCol">
      <w:tblPr/>
      <w:tcPr>
        <w:tcBorders>
          <w:top w:val="nil"/>
          <w:left w:val="nil"/>
          <w:bottom w:val="nil"/>
          <w:right w:val="single" w:sz="18" w:space="0" w:color="FFFFFF"/>
          <w:insideH w:val="nil"/>
          <w:insideV w:val="nil"/>
        </w:tcBorders>
        <w:shd w:val="clear" w:color="auto" w:fill="7F0429"/>
      </w:tcPr>
    </w:tblStylePr>
    <w:tblStylePr w:type="lastCol">
      <w:tblPr/>
      <w:tcPr>
        <w:tcBorders>
          <w:top w:val="nil"/>
          <w:left w:val="single" w:sz="18" w:space="0" w:color="FFFFFF"/>
          <w:bottom w:val="nil"/>
          <w:right w:val="nil"/>
          <w:insideH w:val="nil"/>
          <w:insideV w:val="nil"/>
        </w:tcBorders>
        <w:shd w:val="clear" w:color="auto" w:fill="7F0429"/>
      </w:tcPr>
    </w:tblStylePr>
    <w:tblStylePr w:type="band1Vert">
      <w:tblPr/>
      <w:tcPr>
        <w:tcBorders>
          <w:top w:val="nil"/>
          <w:left w:val="nil"/>
          <w:bottom w:val="nil"/>
          <w:right w:val="nil"/>
          <w:insideH w:val="nil"/>
          <w:insideV w:val="nil"/>
        </w:tcBorders>
        <w:shd w:val="clear" w:color="auto" w:fill="7F0429"/>
      </w:tcPr>
    </w:tblStylePr>
    <w:tblStylePr w:type="band1Horz">
      <w:tblPr/>
      <w:tcPr>
        <w:tcBorders>
          <w:top w:val="nil"/>
          <w:left w:val="nil"/>
          <w:bottom w:val="nil"/>
          <w:right w:val="nil"/>
          <w:insideH w:val="nil"/>
          <w:insideV w:val="nil"/>
        </w:tcBorders>
        <w:shd w:val="clear" w:color="auto" w:fill="7F0429"/>
      </w:tcPr>
    </w:tblStylePr>
  </w:style>
  <w:style w:type="table" w:customStyle="1" w:styleId="MediumShading1-Accent311">
    <w:name w:val="Medium Shading 1 - Accent 311"/>
    <w:basedOn w:val="TableNormal"/>
    <w:next w:val="MediumShading1-Accent3"/>
    <w:uiPriority w:val="63"/>
    <w:rsid w:val="00DA796D"/>
    <w:tblPr>
      <w:tblStyleRowBandSize w:val="1"/>
      <w:tblStyleColBandSize w:val="1"/>
      <w:tblInd w:w="0" w:type="dxa"/>
      <w:tblBorders>
        <w:top w:val="single" w:sz="8" w:space="0" w:color="auto"/>
        <w:bottom w:val="single" w:sz="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D5DDF0"/>
          <w:left w:val="single" w:sz="8" w:space="0" w:color="D5DDF0"/>
          <w:bottom w:val="single" w:sz="8" w:space="0" w:color="D5DDF0"/>
          <w:right w:val="single" w:sz="8" w:space="0" w:color="D5DDF0"/>
          <w:insideH w:val="nil"/>
          <w:insideV w:val="nil"/>
        </w:tcBorders>
        <w:shd w:val="clear" w:color="auto" w:fill="C8D2EB"/>
      </w:tcPr>
    </w:tblStylePr>
    <w:tblStylePr w:type="lastRow">
      <w:pPr>
        <w:spacing w:before="0" w:after="0" w:line="240" w:lineRule="auto"/>
      </w:pPr>
      <w:rPr>
        <w:b/>
        <w:bCs/>
      </w:rPr>
      <w:tblPr/>
      <w:tcPr>
        <w:tcBorders>
          <w:top w:val="double" w:sz="6" w:space="0" w:color="D5DDF0"/>
          <w:left w:val="single" w:sz="8" w:space="0" w:color="D5DDF0"/>
          <w:bottom w:val="single" w:sz="8" w:space="0" w:color="D5DDF0"/>
          <w:right w:val="single" w:sz="8" w:space="0" w:color="D5DDF0"/>
          <w:insideH w:val="nil"/>
          <w:insideV w:val="nil"/>
        </w:tcBorders>
      </w:tcPr>
    </w:tblStylePr>
    <w:tblStylePr w:type="firstCol">
      <w:rPr>
        <w:b/>
        <w:bCs/>
      </w:rPr>
    </w:tblStylePr>
    <w:tblStylePr w:type="lastCol">
      <w:rPr>
        <w:b/>
        <w:bCs/>
      </w:rPr>
    </w:tblStylePr>
    <w:tblStylePr w:type="band1Vert">
      <w:tblPr/>
      <w:tcPr>
        <w:shd w:val="clear" w:color="auto" w:fill="F1F3FA"/>
      </w:tcPr>
    </w:tblStylePr>
    <w:tblStylePr w:type="band1Horz">
      <w:tblPr/>
      <w:tcPr>
        <w:tcBorders>
          <w:insideH w:val="nil"/>
          <w:insideV w:val="nil"/>
        </w:tcBorders>
        <w:shd w:val="clear" w:color="auto" w:fill="F1F3FA"/>
      </w:tcPr>
    </w:tblStylePr>
    <w:tblStylePr w:type="band2Horz">
      <w:tblPr/>
      <w:tcPr>
        <w:tcBorders>
          <w:insideH w:val="nil"/>
          <w:insideV w:val="nil"/>
        </w:tcBorders>
      </w:tcPr>
    </w:tblStylePr>
  </w:style>
  <w:style w:type="table" w:customStyle="1" w:styleId="SPRCReporttablefinal11">
    <w:name w:val="SPRC Report table final11"/>
    <w:basedOn w:val="ColorfulShading-Accent1"/>
    <w:uiPriority w:val="99"/>
    <w:qFormat/>
    <w:rsid w:val="00DA796D"/>
    <w:rPr>
      <w:rFonts w:ascii="Sommet" w:hAnsi="Sommet"/>
      <w:sz w:val="24"/>
      <w:szCs w:val="20"/>
    </w:rPr>
    <w:tblPr>
      <w:tblStyleRowBandSize w:val="1"/>
      <w:tblStyleColBandSize w:val="1"/>
      <w:tblInd w:w="0" w:type="dxa"/>
      <w:tblBorders>
        <w:left w:val="single" w:sz="4" w:space="0" w:color="263C88"/>
        <w:right w:val="single" w:sz="4" w:space="0" w:color="263C88"/>
        <w:insideH w:val="single" w:sz="4" w:space="0" w:color="FFFFFF"/>
        <w:insideV w:val="single" w:sz="4" w:space="0" w:color="FFFFFF"/>
      </w:tblBorders>
      <w:tblCellMar>
        <w:top w:w="0" w:type="dxa"/>
        <w:left w:w="108" w:type="dxa"/>
        <w:bottom w:w="0" w:type="dxa"/>
        <w:right w:w="108" w:type="dxa"/>
      </w:tblCellMar>
    </w:tblPr>
    <w:tcPr>
      <w:shd w:val="clear" w:color="auto" w:fill="E5E9F7"/>
    </w:tcPr>
    <w:tblStylePr w:type="firstRow">
      <w:rPr>
        <w:b/>
        <w:bCs/>
      </w:rPr>
      <w:tblPr/>
      <w:tcPr>
        <w:tcBorders>
          <w:top w:val="nil"/>
          <w:left w:val="nil"/>
          <w:bottom w:val="single" w:sz="24" w:space="0" w:color="3F58A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62351"/>
      </w:tcPr>
    </w:tblStylePr>
    <w:tblStylePr w:type="firstCol">
      <w:rPr>
        <w:color w:val="FFFFFF"/>
      </w:rPr>
      <w:tblPr/>
      <w:tcPr>
        <w:tcBorders>
          <w:top w:val="nil"/>
          <w:left w:val="nil"/>
          <w:bottom w:val="nil"/>
          <w:right w:val="nil"/>
          <w:insideH w:val="single" w:sz="4" w:space="0" w:color="162351"/>
          <w:insideV w:val="nil"/>
        </w:tcBorders>
        <w:shd w:val="clear" w:color="auto" w:fill="162351"/>
      </w:tcPr>
    </w:tblStylePr>
    <w:tblStylePr w:type="lastCol">
      <w:rPr>
        <w:color w:val="FFFFFF"/>
      </w:rPr>
      <w:tblPr/>
      <w:tcPr>
        <w:tcBorders>
          <w:top w:val="nil"/>
          <w:left w:val="nil"/>
          <w:bottom w:val="nil"/>
          <w:right w:val="nil"/>
          <w:insideH w:val="nil"/>
          <w:insideV w:val="nil"/>
        </w:tcBorders>
        <w:shd w:val="clear" w:color="auto" w:fill="162351"/>
      </w:tcPr>
    </w:tblStylePr>
    <w:tblStylePr w:type="band1Vert">
      <w:tblPr/>
      <w:tcPr>
        <w:shd w:val="clear" w:color="auto" w:fill="95A6E1"/>
      </w:tcPr>
    </w:tblStylePr>
    <w:tblStylePr w:type="band1Horz">
      <w:tblPr/>
      <w:tcPr>
        <w:shd w:val="clear" w:color="auto" w:fill="7B90DA"/>
      </w:tcPr>
    </w:tblStylePr>
    <w:tblStylePr w:type="neCell">
      <w:rPr>
        <w:color w:val="000000"/>
      </w:rPr>
    </w:tblStylePr>
    <w:tblStylePr w:type="nwCell">
      <w:rPr>
        <w:color w:val="000000"/>
      </w:rPr>
    </w:tblStylePr>
  </w:style>
  <w:style w:type="table" w:customStyle="1" w:styleId="ColorfulShading-Accent111">
    <w:name w:val="Colorful Shading - Accent 111"/>
    <w:basedOn w:val="TableNormal"/>
    <w:next w:val="ColorfulShading-Accent1"/>
    <w:uiPriority w:val="71"/>
    <w:rsid w:val="00DA796D"/>
    <w:rPr>
      <w:color w:val="000000"/>
    </w:rPr>
    <w:tblPr>
      <w:tblStyleRowBandSize w:val="1"/>
      <w:tblStyleColBandSize w:val="1"/>
      <w:tblInd w:w="0" w:type="dxa"/>
      <w:tblBorders>
        <w:top w:val="single" w:sz="24" w:space="0" w:color="3F58A8"/>
        <w:left w:val="single" w:sz="4" w:space="0" w:color="263C88"/>
        <w:bottom w:val="single" w:sz="4" w:space="0" w:color="263C88"/>
        <w:right w:val="single" w:sz="4" w:space="0" w:color="263C88"/>
        <w:insideH w:val="single" w:sz="4" w:space="0" w:color="FFFFFF"/>
        <w:insideV w:val="single" w:sz="4" w:space="0" w:color="FFFFFF"/>
      </w:tblBorders>
      <w:tblCellMar>
        <w:top w:w="0" w:type="dxa"/>
        <w:left w:w="108" w:type="dxa"/>
        <w:bottom w:w="0" w:type="dxa"/>
        <w:right w:w="108" w:type="dxa"/>
      </w:tblCellMar>
    </w:tblPr>
    <w:tcPr>
      <w:shd w:val="clear" w:color="auto" w:fill="E5E9F7"/>
    </w:tcPr>
    <w:tblStylePr w:type="firstRow">
      <w:rPr>
        <w:b/>
        <w:bCs/>
      </w:rPr>
      <w:tblPr/>
      <w:tcPr>
        <w:tcBorders>
          <w:top w:val="nil"/>
          <w:left w:val="nil"/>
          <w:bottom w:val="single" w:sz="24" w:space="0" w:color="3F58A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62351"/>
      </w:tcPr>
    </w:tblStylePr>
    <w:tblStylePr w:type="firstCol">
      <w:rPr>
        <w:color w:val="FFFFFF"/>
      </w:rPr>
      <w:tblPr/>
      <w:tcPr>
        <w:tcBorders>
          <w:top w:val="nil"/>
          <w:left w:val="nil"/>
          <w:bottom w:val="nil"/>
          <w:right w:val="nil"/>
          <w:insideH w:val="single" w:sz="4" w:space="0" w:color="162351"/>
          <w:insideV w:val="nil"/>
        </w:tcBorders>
        <w:shd w:val="clear" w:color="auto" w:fill="162351"/>
      </w:tcPr>
    </w:tblStylePr>
    <w:tblStylePr w:type="lastCol">
      <w:rPr>
        <w:color w:val="FFFFFF"/>
      </w:rPr>
      <w:tblPr/>
      <w:tcPr>
        <w:tcBorders>
          <w:top w:val="nil"/>
          <w:left w:val="nil"/>
          <w:bottom w:val="nil"/>
          <w:right w:val="nil"/>
          <w:insideH w:val="nil"/>
          <w:insideV w:val="nil"/>
        </w:tcBorders>
        <w:shd w:val="clear" w:color="auto" w:fill="162351"/>
      </w:tcPr>
    </w:tblStylePr>
    <w:tblStylePr w:type="band1Vert">
      <w:tblPr/>
      <w:tcPr>
        <w:shd w:val="clear" w:color="auto" w:fill="95A6E1"/>
      </w:tcPr>
    </w:tblStylePr>
    <w:tblStylePr w:type="band1Horz">
      <w:tblPr/>
      <w:tcPr>
        <w:shd w:val="clear" w:color="auto" w:fill="7B90DA"/>
      </w:tcPr>
    </w:tblStylePr>
    <w:tblStylePr w:type="neCell">
      <w:rPr>
        <w:color w:val="000000"/>
      </w:rPr>
    </w:tblStylePr>
    <w:tblStylePr w:type="nwCell">
      <w:rPr>
        <w:color w:val="000000"/>
      </w:rPr>
    </w:tblStylePr>
  </w:style>
  <w:style w:type="table" w:customStyle="1" w:styleId="LightShading-Accent411">
    <w:name w:val="Light Shading - Accent 411"/>
    <w:basedOn w:val="TableNormal"/>
    <w:next w:val="LightShading-Accent4"/>
    <w:uiPriority w:val="60"/>
    <w:rsid w:val="00DA796D"/>
    <w:rPr>
      <w:color w:val="7E95CF"/>
    </w:rPr>
    <w:tblPr>
      <w:tblStyleRowBandSize w:val="1"/>
      <w:tblStyleColBandSize w:val="1"/>
      <w:tblInd w:w="0" w:type="dxa"/>
      <w:tblBorders>
        <w:top w:val="single" w:sz="8" w:space="0" w:color="D1D9EE"/>
        <w:bottom w:val="single" w:sz="8" w:space="0" w:color="D1D9EE"/>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1D9EE"/>
          <w:left w:val="nil"/>
          <w:bottom w:val="single" w:sz="8" w:space="0" w:color="D1D9EE"/>
          <w:right w:val="nil"/>
          <w:insideH w:val="nil"/>
          <w:insideV w:val="nil"/>
        </w:tcBorders>
      </w:tcPr>
    </w:tblStylePr>
    <w:tblStylePr w:type="lastRow">
      <w:pPr>
        <w:spacing w:before="0" w:after="0" w:line="240" w:lineRule="auto"/>
      </w:pPr>
      <w:rPr>
        <w:b/>
        <w:bCs/>
      </w:rPr>
      <w:tblPr/>
      <w:tcPr>
        <w:tcBorders>
          <w:top w:val="single" w:sz="8" w:space="0" w:color="D1D9EE"/>
          <w:left w:val="nil"/>
          <w:bottom w:val="single" w:sz="8" w:space="0" w:color="D1D9E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5FA"/>
      </w:tcPr>
    </w:tblStylePr>
    <w:tblStylePr w:type="band1Horz">
      <w:tblPr/>
      <w:tcPr>
        <w:tcBorders>
          <w:left w:val="nil"/>
          <w:right w:val="nil"/>
          <w:insideH w:val="nil"/>
          <w:insideV w:val="nil"/>
        </w:tcBorders>
        <w:shd w:val="clear" w:color="auto" w:fill="F3F5FA"/>
      </w:tcPr>
    </w:tblStylePr>
  </w:style>
  <w:style w:type="table" w:customStyle="1" w:styleId="SPRCtablev111">
    <w:name w:val="SPRC table v111"/>
    <w:basedOn w:val="TableNormal"/>
    <w:uiPriority w:val="99"/>
    <w:qFormat/>
    <w:rsid w:val="00DA796D"/>
    <w:rPr>
      <w:rFonts w:ascii="Helvetica" w:hAnsi="Helvetica"/>
      <w:sz w:val="24"/>
    </w:rPr>
    <w:tblPr>
      <w:tblInd w:w="0" w:type="dxa"/>
      <w:tblCellMar>
        <w:top w:w="0" w:type="dxa"/>
        <w:left w:w="108" w:type="dxa"/>
        <w:bottom w:w="0" w:type="dxa"/>
        <w:right w:w="108" w:type="dxa"/>
      </w:tblCellMar>
    </w:tblPr>
  </w:style>
  <w:style w:type="table" w:customStyle="1" w:styleId="TableGrid111">
    <w:name w:val="Table Grid111"/>
    <w:basedOn w:val="TableNormal"/>
    <w:next w:val="TableGrid"/>
    <w:uiPriority w:val="59"/>
    <w:rsid w:val="00DA796D"/>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PRC-docs-style11">
    <w:name w:val="SPRC-docs-style11"/>
    <w:uiPriority w:val="99"/>
    <w:rsid w:val="00DA796D"/>
  </w:style>
  <w:style w:type="numbering" w:customStyle="1" w:styleId="NoList21">
    <w:name w:val="No List21"/>
    <w:next w:val="NoList"/>
    <w:uiPriority w:val="99"/>
    <w:semiHidden/>
    <w:unhideWhenUsed/>
    <w:rsid w:val="00DA796D"/>
  </w:style>
  <w:style w:type="table" w:customStyle="1" w:styleId="TableGrid31">
    <w:name w:val="Table Grid31"/>
    <w:basedOn w:val="TableNormal"/>
    <w:next w:val="TableGrid"/>
    <w:uiPriority w:val="59"/>
    <w:rsid w:val="00DA79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yle121">
    <w:name w:val="Style121"/>
    <w:uiPriority w:val="99"/>
    <w:rsid w:val="00DA796D"/>
    <w:pPr>
      <w:keepLines/>
      <w:spacing w:after="160" w:line="288" w:lineRule="auto"/>
      <w:ind w:left="2160"/>
    </w:pPr>
    <w:rPr>
      <w:lang w:val="en-US" w:eastAsia="zh-CN" w:bidi="en-US"/>
    </w:rPr>
    <w:tblPr>
      <w:tblInd w:w="0" w:type="dxa"/>
      <w:tblBorders>
        <w:top w:val="single" w:sz="4" w:space="0" w:color="auto"/>
        <w:bottom w:val="single" w:sz="4" w:space="0" w:color="auto"/>
      </w:tblBorders>
      <w:tblCellMar>
        <w:top w:w="0" w:type="dxa"/>
        <w:left w:w="108" w:type="dxa"/>
        <w:bottom w:w="0" w:type="dxa"/>
        <w:right w:w="108" w:type="dxa"/>
      </w:tblCellMar>
    </w:tblPr>
  </w:style>
  <w:style w:type="table" w:customStyle="1" w:styleId="LightList-Accent1121">
    <w:name w:val="Light List - Accent 1121"/>
    <w:basedOn w:val="TableNormal"/>
    <w:uiPriority w:val="61"/>
    <w:rsid w:val="00DA796D"/>
    <w:tblPr>
      <w:tblStyleRowBandSize w:val="1"/>
      <w:tblStyleColBandSize w:val="1"/>
      <w:tblInd w:w="0" w:type="dxa"/>
      <w:tblBorders>
        <w:top w:val="single" w:sz="8" w:space="0" w:color="263C88"/>
        <w:left w:val="single" w:sz="8" w:space="0" w:color="263C88"/>
        <w:bottom w:val="single" w:sz="8" w:space="0" w:color="263C88"/>
        <w:right w:val="single" w:sz="8" w:space="0" w:color="263C88"/>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263C88"/>
      </w:tcPr>
    </w:tblStylePr>
    <w:tblStylePr w:type="lastRow">
      <w:pPr>
        <w:spacing w:before="0" w:after="0" w:line="240" w:lineRule="auto"/>
      </w:pPr>
      <w:rPr>
        <w:b/>
        <w:bCs/>
      </w:rPr>
      <w:tblPr/>
      <w:tcPr>
        <w:tcBorders>
          <w:top w:val="double" w:sz="6" w:space="0" w:color="263C88"/>
          <w:left w:val="single" w:sz="8" w:space="0" w:color="263C88"/>
          <w:bottom w:val="single" w:sz="8" w:space="0" w:color="263C88"/>
          <w:right w:val="single" w:sz="8" w:space="0" w:color="263C88"/>
        </w:tcBorders>
      </w:tcPr>
    </w:tblStylePr>
    <w:tblStylePr w:type="firstCol">
      <w:rPr>
        <w:b/>
        <w:bCs/>
      </w:rPr>
    </w:tblStylePr>
    <w:tblStylePr w:type="lastCol">
      <w:rPr>
        <w:b/>
        <w:bCs/>
      </w:rPr>
    </w:tblStylePr>
    <w:tblStylePr w:type="band1Vert">
      <w:tblPr/>
      <w:tcPr>
        <w:tcBorders>
          <w:top w:val="single" w:sz="8" w:space="0" w:color="263C88"/>
          <w:left w:val="single" w:sz="8" w:space="0" w:color="263C88"/>
          <w:bottom w:val="single" w:sz="8" w:space="0" w:color="263C88"/>
          <w:right w:val="single" w:sz="8" w:space="0" w:color="263C88"/>
        </w:tcBorders>
      </w:tcPr>
    </w:tblStylePr>
    <w:tblStylePr w:type="band1Horz">
      <w:tblPr/>
      <w:tcPr>
        <w:tcBorders>
          <w:top w:val="single" w:sz="8" w:space="0" w:color="263C88"/>
          <w:left w:val="single" w:sz="8" w:space="0" w:color="263C88"/>
          <w:bottom w:val="single" w:sz="8" w:space="0" w:color="263C88"/>
          <w:right w:val="single" w:sz="8" w:space="0" w:color="263C88"/>
        </w:tcBorders>
      </w:tcPr>
    </w:tblStylePr>
  </w:style>
  <w:style w:type="table" w:customStyle="1" w:styleId="LightList-Accent221">
    <w:name w:val="Light List - Accent 221"/>
    <w:basedOn w:val="TableNormal"/>
    <w:next w:val="LightList-Accent2"/>
    <w:uiPriority w:val="61"/>
    <w:rsid w:val="00DA796D"/>
    <w:tblPr>
      <w:tblStyleRowBandSize w:val="1"/>
      <w:tblStyleColBandSize w:val="1"/>
      <w:tblInd w:w="0" w:type="dxa"/>
      <w:tblBorders>
        <w:top w:val="single" w:sz="8" w:space="0" w:color="3F58A8"/>
        <w:left w:val="single" w:sz="8" w:space="0" w:color="3F58A8"/>
        <w:bottom w:val="single" w:sz="8" w:space="0" w:color="3F58A8"/>
        <w:right w:val="single" w:sz="8" w:space="0" w:color="3F58A8"/>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3F58A8"/>
      </w:tcPr>
    </w:tblStylePr>
    <w:tblStylePr w:type="lastRow">
      <w:pPr>
        <w:spacing w:before="0" w:after="0" w:line="240" w:lineRule="auto"/>
      </w:pPr>
      <w:rPr>
        <w:b/>
        <w:bCs/>
      </w:rPr>
      <w:tblPr/>
      <w:tcPr>
        <w:tcBorders>
          <w:top w:val="double" w:sz="6" w:space="0" w:color="3F58A8"/>
          <w:left w:val="single" w:sz="8" w:space="0" w:color="3F58A8"/>
          <w:bottom w:val="single" w:sz="8" w:space="0" w:color="3F58A8"/>
          <w:right w:val="single" w:sz="8" w:space="0" w:color="3F58A8"/>
        </w:tcBorders>
      </w:tcPr>
    </w:tblStylePr>
    <w:tblStylePr w:type="firstCol">
      <w:rPr>
        <w:b/>
        <w:bCs/>
      </w:rPr>
    </w:tblStylePr>
    <w:tblStylePr w:type="lastCol">
      <w:rPr>
        <w:b/>
        <w:bCs/>
      </w:rPr>
    </w:tblStylePr>
    <w:tblStylePr w:type="band1Vert">
      <w:tblPr/>
      <w:tcPr>
        <w:tcBorders>
          <w:top w:val="single" w:sz="8" w:space="0" w:color="3F58A8"/>
          <w:left w:val="single" w:sz="8" w:space="0" w:color="3F58A8"/>
          <w:bottom w:val="single" w:sz="8" w:space="0" w:color="3F58A8"/>
          <w:right w:val="single" w:sz="8" w:space="0" w:color="3F58A8"/>
        </w:tcBorders>
      </w:tcPr>
    </w:tblStylePr>
    <w:tblStylePr w:type="band1Horz">
      <w:tblPr/>
      <w:tcPr>
        <w:tcBorders>
          <w:top w:val="single" w:sz="8" w:space="0" w:color="3F58A8"/>
          <w:left w:val="single" w:sz="8" w:space="0" w:color="3F58A8"/>
          <w:bottom w:val="single" w:sz="8" w:space="0" w:color="3F58A8"/>
          <w:right w:val="single" w:sz="8" w:space="0" w:color="3F58A8"/>
        </w:tcBorders>
      </w:tcPr>
    </w:tblStylePr>
  </w:style>
  <w:style w:type="table" w:customStyle="1" w:styleId="SPRC21">
    <w:name w:val="SPRC21"/>
    <w:basedOn w:val="TableNormal"/>
    <w:uiPriority w:val="99"/>
    <w:rsid w:val="00DA796D"/>
    <w:rPr>
      <w:rFonts w:ascii="Helvetica" w:hAnsi="Helvetica"/>
      <w:sz w:val="24"/>
    </w:rPr>
    <w:tblPr>
      <w:tblInd w:w="0" w:type="dxa"/>
      <w:tblBorders>
        <w:top w:val="single" w:sz="8" w:space="0" w:color="auto"/>
        <w:left w:val="single" w:sz="8" w:space="0" w:color="auto"/>
        <w:bottom w:val="single" w:sz="8" w:space="0" w:color="auto"/>
        <w:right w:val="single" w:sz="8" w:space="0" w:color="auto"/>
      </w:tblBorders>
      <w:tblCellMar>
        <w:top w:w="0" w:type="dxa"/>
        <w:left w:w="108" w:type="dxa"/>
        <w:bottom w:w="0" w:type="dxa"/>
        <w:right w:w="108" w:type="dxa"/>
      </w:tblCellMar>
    </w:tblPr>
    <w:tblStylePr w:type="firstRow">
      <w:rPr>
        <w:rFonts w:ascii="Helvetica" w:hAnsi="Helvetica"/>
        <w:b w:val="0"/>
        <w:i w:val="0"/>
        <w:color w:val="auto"/>
        <w:sz w:val="24"/>
        <w:u w:val="none"/>
      </w:rPr>
    </w:tblStylePr>
  </w:style>
  <w:style w:type="table" w:customStyle="1" w:styleId="SPRCtables21">
    <w:name w:val="SPRC tables21"/>
    <w:basedOn w:val="ColorfulGrid-Accent6"/>
    <w:uiPriority w:val="99"/>
    <w:qFormat/>
    <w:rsid w:val="00DA796D"/>
    <w:tblPr>
      <w:tblStyleRowBandSize w:val="1"/>
      <w:tblStyleColBandSize w:val="1"/>
      <w:tblInd w:w="0" w:type="dxa"/>
      <w:tblBorders>
        <w:top w:val="single" w:sz="6" w:space="0" w:color="D1D9EE"/>
        <w:bottom w:val="single" w:sz="6" w:space="0" w:color="D1D9EE"/>
        <w:insideH w:val="single" w:sz="6" w:space="0" w:color="D1D9EE"/>
      </w:tblBorders>
      <w:tblCellMar>
        <w:top w:w="0" w:type="dxa"/>
        <w:left w:w="108" w:type="dxa"/>
        <w:bottom w:w="0" w:type="dxa"/>
        <w:right w:w="108" w:type="dxa"/>
      </w:tblCellMar>
    </w:tblPr>
    <w:tcPr>
      <w:shd w:val="clear" w:color="auto" w:fill="3F58A8"/>
    </w:tcPr>
    <w:tblStylePr w:type="firstRow">
      <w:rPr>
        <w:b/>
        <w:bCs/>
      </w:rPr>
      <w:tblPr/>
      <w:tcPr>
        <w:shd w:val="clear" w:color="auto" w:fill="FA7DA3"/>
      </w:tcPr>
    </w:tblStylePr>
    <w:tblStylePr w:type="lastRow">
      <w:rPr>
        <w:b/>
        <w:bCs/>
        <w:color w:val="000000"/>
      </w:rPr>
      <w:tblPr/>
      <w:tcPr>
        <w:shd w:val="clear" w:color="auto" w:fill="FA7DA3"/>
      </w:tcPr>
    </w:tblStylePr>
    <w:tblStylePr w:type="firstCol">
      <w:rPr>
        <w:color w:val="FFFFFF"/>
      </w:rPr>
      <w:tblPr/>
      <w:tcPr>
        <w:shd w:val="clear" w:color="auto" w:fill="7F0429"/>
      </w:tcPr>
    </w:tblStylePr>
    <w:tblStylePr w:type="lastCol">
      <w:rPr>
        <w:color w:val="FFFFFF"/>
      </w:rPr>
      <w:tblPr/>
      <w:tcPr>
        <w:shd w:val="clear" w:color="auto" w:fill="7F0429"/>
      </w:tcPr>
    </w:tblStylePr>
    <w:tblStylePr w:type="band1Vert">
      <w:tblPr/>
      <w:tcPr>
        <w:shd w:val="clear" w:color="auto" w:fill="F95E8C"/>
      </w:tcPr>
    </w:tblStylePr>
    <w:tblStylePr w:type="band1Horz">
      <w:tblPr/>
      <w:tcPr>
        <w:shd w:val="clear" w:color="auto" w:fill="F95E8C"/>
      </w:tcPr>
    </w:tblStylePr>
  </w:style>
  <w:style w:type="table" w:customStyle="1" w:styleId="MediumShading2-Accent221">
    <w:name w:val="Medium Shading 2 - Accent 221"/>
    <w:basedOn w:val="TableNormal"/>
    <w:next w:val="MediumShading2-Accent2"/>
    <w:uiPriority w:val="64"/>
    <w:rsid w:val="00DA796D"/>
    <w:rPr>
      <w:rFonts w:ascii="Verdana" w:hAnsi="Verdana"/>
      <w:color w:val="FFFFFF"/>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F58A8"/>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F58A8"/>
      </w:tcPr>
    </w:tblStylePr>
    <w:tblStylePr w:type="lastCol">
      <w:rPr>
        <w:b/>
        <w:bCs/>
        <w:color w:val="FFFFFF"/>
      </w:rPr>
      <w:tblPr/>
      <w:tcPr>
        <w:tcBorders>
          <w:left w:val="nil"/>
          <w:right w:val="nil"/>
          <w:insideH w:val="nil"/>
          <w:insideV w:val="nil"/>
        </w:tcBorders>
        <w:shd w:val="clear" w:color="auto" w:fill="3F58A8"/>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Accent621">
    <w:name w:val="Colorful Grid - Accent 621"/>
    <w:basedOn w:val="TableNormal"/>
    <w:next w:val="ColorfulGrid-Accent6"/>
    <w:uiPriority w:val="73"/>
    <w:rsid w:val="00DA796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CBED1"/>
    </w:tcPr>
    <w:tblStylePr w:type="firstRow">
      <w:rPr>
        <w:b/>
        <w:bCs/>
      </w:rPr>
      <w:tblPr/>
      <w:tcPr>
        <w:shd w:val="clear" w:color="auto" w:fill="FA7DA3"/>
      </w:tcPr>
    </w:tblStylePr>
    <w:tblStylePr w:type="lastRow">
      <w:rPr>
        <w:b/>
        <w:bCs/>
        <w:color w:val="000000"/>
      </w:rPr>
      <w:tblPr/>
      <w:tcPr>
        <w:shd w:val="clear" w:color="auto" w:fill="FA7DA3"/>
      </w:tcPr>
    </w:tblStylePr>
    <w:tblStylePr w:type="firstCol">
      <w:rPr>
        <w:color w:val="FFFFFF"/>
      </w:rPr>
      <w:tblPr/>
      <w:tcPr>
        <w:shd w:val="clear" w:color="auto" w:fill="7F0429"/>
      </w:tcPr>
    </w:tblStylePr>
    <w:tblStylePr w:type="lastCol">
      <w:rPr>
        <w:color w:val="FFFFFF"/>
      </w:rPr>
      <w:tblPr/>
      <w:tcPr>
        <w:shd w:val="clear" w:color="auto" w:fill="7F0429"/>
      </w:tcPr>
    </w:tblStylePr>
    <w:tblStylePr w:type="band1Vert">
      <w:tblPr/>
      <w:tcPr>
        <w:shd w:val="clear" w:color="auto" w:fill="F95E8C"/>
      </w:tcPr>
    </w:tblStylePr>
    <w:tblStylePr w:type="band1Horz">
      <w:tblPr/>
      <w:tcPr>
        <w:shd w:val="clear" w:color="auto" w:fill="F95E8C"/>
      </w:tcPr>
    </w:tblStylePr>
  </w:style>
  <w:style w:type="table" w:customStyle="1" w:styleId="DarkList-Accent621">
    <w:name w:val="Dark List - Accent 621"/>
    <w:basedOn w:val="TableNormal"/>
    <w:next w:val="DarkList-Accent6"/>
    <w:uiPriority w:val="70"/>
    <w:rsid w:val="00DA796D"/>
    <w:rPr>
      <w:color w:val="FFFFFF"/>
    </w:rPr>
    <w:tblPr>
      <w:tblStyleRowBandSize w:val="1"/>
      <w:tblStyleColBandSize w:val="1"/>
      <w:tblInd w:w="0" w:type="dxa"/>
      <w:tblCellMar>
        <w:top w:w="0" w:type="dxa"/>
        <w:left w:w="108" w:type="dxa"/>
        <w:bottom w:w="0" w:type="dxa"/>
        <w:right w:w="108" w:type="dxa"/>
      </w:tblCellMar>
    </w:tblPr>
    <w:tcPr>
      <w:shd w:val="clear" w:color="auto" w:fill="AA063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4031B"/>
      </w:tcPr>
    </w:tblStylePr>
    <w:tblStylePr w:type="firstCol">
      <w:tblPr/>
      <w:tcPr>
        <w:tcBorders>
          <w:top w:val="nil"/>
          <w:left w:val="nil"/>
          <w:bottom w:val="nil"/>
          <w:right w:val="single" w:sz="18" w:space="0" w:color="FFFFFF"/>
          <w:insideH w:val="nil"/>
          <w:insideV w:val="nil"/>
        </w:tcBorders>
        <w:shd w:val="clear" w:color="auto" w:fill="7F0429"/>
      </w:tcPr>
    </w:tblStylePr>
    <w:tblStylePr w:type="lastCol">
      <w:tblPr/>
      <w:tcPr>
        <w:tcBorders>
          <w:top w:val="nil"/>
          <w:left w:val="single" w:sz="18" w:space="0" w:color="FFFFFF"/>
          <w:bottom w:val="nil"/>
          <w:right w:val="nil"/>
          <w:insideH w:val="nil"/>
          <w:insideV w:val="nil"/>
        </w:tcBorders>
        <w:shd w:val="clear" w:color="auto" w:fill="7F0429"/>
      </w:tcPr>
    </w:tblStylePr>
    <w:tblStylePr w:type="band1Vert">
      <w:tblPr/>
      <w:tcPr>
        <w:tcBorders>
          <w:top w:val="nil"/>
          <w:left w:val="nil"/>
          <w:bottom w:val="nil"/>
          <w:right w:val="nil"/>
          <w:insideH w:val="nil"/>
          <w:insideV w:val="nil"/>
        </w:tcBorders>
        <w:shd w:val="clear" w:color="auto" w:fill="7F0429"/>
      </w:tcPr>
    </w:tblStylePr>
    <w:tblStylePr w:type="band1Horz">
      <w:tblPr/>
      <w:tcPr>
        <w:tcBorders>
          <w:top w:val="nil"/>
          <w:left w:val="nil"/>
          <w:bottom w:val="nil"/>
          <w:right w:val="nil"/>
          <w:insideH w:val="nil"/>
          <w:insideV w:val="nil"/>
        </w:tcBorders>
        <w:shd w:val="clear" w:color="auto" w:fill="7F0429"/>
      </w:tcPr>
    </w:tblStylePr>
  </w:style>
  <w:style w:type="table" w:customStyle="1" w:styleId="MediumShading1-Accent321">
    <w:name w:val="Medium Shading 1 - Accent 321"/>
    <w:basedOn w:val="TableNormal"/>
    <w:next w:val="MediumShading1-Accent3"/>
    <w:uiPriority w:val="63"/>
    <w:rsid w:val="00DA796D"/>
    <w:tblPr>
      <w:tblStyleRowBandSize w:val="1"/>
      <w:tblStyleColBandSize w:val="1"/>
      <w:tblInd w:w="0" w:type="dxa"/>
      <w:tblBorders>
        <w:top w:val="single" w:sz="8" w:space="0" w:color="auto"/>
        <w:bottom w:val="single" w:sz="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D5DDF0"/>
          <w:left w:val="single" w:sz="8" w:space="0" w:color="D5DDF0"/>
          <w:bottom w:val="single" w:sz="8" w:space="0" w:color="D5DDF0"/>
          <w:right w:val="single" w:sz="8" w:space="0" w:color="D5DDF0"/>
          <w:insideH w:val="nil"/>
          <w:insideV w:val="nil"/>
        </w:tcBorders>
        <w:shd w:val="clear" w:color="auto" w:fill="C8D2EB"/>
      </w:tcPr>
    </w:tblStylePr>
    <w:tblStylePr w:type="lastRow">
      <w:pPr>
        <w:spacing w:before="0" w:after="0" w:line="240" w:lineRule="auto"/>
      </w:pPr>
      <w:rPr>
        <w:b/>
        <w:bCs/>
      </w:rPr>
      <w:tblPr/>
      <w:tcPr>
        <w:tcBorders>
          <w:top w:val="double" w:sz="6" w:space="0" w:color="D5DDF0"/>
          <w:left w:val="single" w:sz="8" w:space="0" w:color="D5DDF0"/>
          <w:bottom w:val="single" w:sz="8" w:space="0" w:color="D5DDF0"/>
          <w:right w:val="single" w:sz="8" w:space="0" w:color="D5DDF0"/>
          <w:insideH w:val="nil"/>
          <w:insideV w:val="nil"/>
        </w:tcBorders>
      </w:tcPr>
    </w:tblStylePr>
    <w:tblStylePr w:type="firstCol">
      <w:rPr>
        <w:b/>
        <w:bCs/>
      </w:rPr>
    </w:tblStylePr>
    <w:tblStylePr w:type="lastCol">
      <w:rPr>
        <w:b/>
        <w:bCs/>
      </w:rPr>
    </w:tblStylePr>
    <w:tblStylePr w:type="band1Vert">
      <w:tblPr/>
      <w:tcPr>
        <w:shd w:val="clear" w:color="auto" w:fill="F1F3FA"/>
      </w:tcPr>
    </w:tblStylePr>
    <w:tblStylePr w:type="band1Horz">
      <w:tblPr/>
      <w:tcPr>
        <w:tcBorders>
          <w:insideH w:val="nil"/>
          <w:insideV w:val="nil"/>
        </w:tcBorders>
        <w:shd w:val="clear" w:color="auto" w:fill="F1F3FA"/>
      </w:tcPr>
    </w:tblStylePr>
    <w:tblStylePr w:type="band2Horz">
      <w:tblPr/>
      <w:tcPr>
        <w:tcBorders>
          <w:insideH w:val="nil"/>
          <w:insideV w:val="nil"/>
        </w:tcBorders>
      </w:tcPr>
    </w:tblStylePr>
  </w:style>
  <w:style w:type="table" w:customStyle="1" w:styleId="SPRCReporttablefinal21">
    <w:name w:val="SPRC Report table final21"/>
    <w:basedOn w:val="ColorfulShading-Accent1"/>
    <w:uiPriority w:val="99"/>
    <w:qFormat/>
    <w:rsid w:val="00DA796D"/>
    <w:rPr>
      <w:rFonts w:ascii="Sommet" w:hAnsi="Sommet"/>
      <w:sz w:val="24"/>
      <w:szCs w:val="20"/>
      <w:lang w:val="en-US" w:eastAsia="en-US"/>
    </w:rPr>
    <w:tblPr>
      <w:tblStyleRowBandSize w:val="1"/>
      <w:tblStyleColBandSize w:val="1"/>
      <w:tblInd w:w="0" w:type="dxa"/>
      <w:tblBorders>
        <w:left w:val="single" w:sz="4" w:space="0" w:color="263C88"/>
        <w:right w:val="single" w:sz="4" w:space="0" w:color="263C88"/>
        <w:insideH w:val="single" w:sz="4" w:space="0" w:color="FFFFFF"/>
        <w:insideV w:val="single" w:sz="4" w:space="0" w:color="FFFFFF"/>
      </w:tblBorders>
      <w:tblCellMar>
        <w:top w:w="0" w:type="dxa"/>
        <w:left w:w="108" w:type="dxa"/>
        <w:bottom w:w="0" w:type="dxa"/>
        <w:right w:w="108" w:type="dxa"/>
      </w:tblCellMar>
    </w:tblPr>
    <w:tcPr>
      <w:shd w:val="clear" w:color="auto" w:fill="E5E9F7"/>
    </w:tcPr>
    <w:tblStylePr w:type="firstRow">
      <w:rPr>
        <w:b/>
        <w:bCs/>
      </w:rPr>
      <w:tblPr/>
      <w:tcPr>
        <w:tcBorders>
          <w:top w:val="nil"/>
          <w:left w:val="nil"/>
          <w:bottom w:val="single" w:sz="24" w:space="0" w:color="3F58A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62351"/>
      </w:tcPr>
    </w:tblStylePr>
    <w:tblStylePr w:type="firstCol">
      <w:rPr>
        <w:color w:val="FFFFFF"/>
      </w:rPr>
      <w:tblPr/>
      <w:tcPr>
        <w:tcBorders>
          <w:top w:val="nil"/>
          <w:left w:val="nil"/>
          <w:bottom w:val="nil"/>
          <w:right w:val="nil"/>
          <w:insideH w:val="single" w:sz="4" w:space="0" w:color="162351"/>
          <w:insideV w:val="nil"/>
        </w:tcBorders>
        <w:shd w:val="clear" w:color="auto" w:fill="162351"/>
      </w:tcPr>
    </w:tblStylePr>
    <w:tblStylePr w:type="lastCol">
      <w:rPr>
        <w:color w:val="FFFFFF"/>
      </w:rPr>
      <w:tblPr/>
      <w:tcPr>
        <w:tcBorders>
          <w:top w:val="nil"/>
          <w:left w:val="nil"/>
          <w:bottom w:val="nil"/>
          <w:right w:val="nil"/>
          <w:insideH w:val="nil"/>
          <w:insideV w:val="nil"/>
        </w:tcBorders>
        <w:shd w:val="clear" w:color="auto" w:fill="162351"/>
      </w:tcPr>
    </w:tblStylePr>
    <w:tblStylePr w:type="band1Vert">
      <w:tblPr/>
      <w:tcPr>
        <w:shd w:val="clear" w:color="auto" w:fill="95A6E1"/>
      </w:tcPr>
    </w:tblStylePr>
    <w:tblStylePr w:type="band1Horz">
      <w:tblPr/>
      <w:tcPr>
        <w:shd w:val="clear" w:color="auto" w:fill="7B90DA"/>
      </w:tcPr>
    </w:tblStylePr>
    <w:tblStylePr w:type="neCell">
      <w:rPr>
        <w:color w:val="000000"/>
      </w:rPr>
    </w:tblStylePr>
    <w:tblStylePr w:type="nwCell">
      <w:rPr>
        <w:color w:val="000000"/>
      </w:rPr>
    </w:tblStylePr>
  </w:style>
  <w:style w:type="table" w:customStyle="1" w:styleId="ColorfulShading-Accent121">
    <w:name w:val="Colorful Shading - Accent 121"/>
    <w:basedOn w:val="TableNormal"/>
    <w:next w:val="ColorfulShading-Accent1"/>
    <w:uiPriority w:val="71"/>
    <w:rsid w:val="00DA796D"/>
    <w:rPr>
      <w:color w:val="000000"/>
    </w:rPr>
    <w:tblPr>
      <w:tblStyleRowBandSize w:val="1"/>
      <w:tblStyleColBandSize w:val="1"/>
      <w:tblInd w:w="0" w:type="dxa"/>
      <w:tblBorders>
        <w:top w:val="single" w:sz="24" w:space="0" w:color="3F58A8"/>
        <w:left w:val="single" w:sz="4" w:space="0" w:color="263C88"/>
        <w:bottom w:val="single" w:sz="4" w:space="0" w:color="263C88"/>
        <w:right w:val="single" w:sz="4" w:space="0" w:color="263C88"/>
        <w:insideH w:val="single" w:sz="4" w:space="0" w:color="FFFFFF"/>
        <w:insideV w:val="single" w:sz="4" w:space="0" w:color="FFFFFF"/>
      </w:tblBorders>
      <w:tblCellMar>
        <w:top w:w="0" w:type="dxa"/>
        <w:left w:w="108" w:type="dxa"/>
        <w:bottom w:w="0" w:type="dxa"/>
        <w:right w:w="108" w:type="dxa"/>
      </w:tblCellMar>
    </w:tblPr>
    <w:tcPr>
      <w:shd w:val="clear" w:color="auto" w:fill="E5E9F7"/>
    </w:tcPr>
    <w:tblStylePr w:type="firstRow">
      <w:rPr>
        <w:b/>
        <w:bCs/>
      </w:rPr>
      <w:tblPr/>
      <w:tcPr>
        <w:tcBorders>
          <w:top w:val="nil"/>
          <w:left w:val="nil"/>
          <w:bottom w:val="single" w:sz="24" w:space="0" w:color="3F58A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62351"/>
      </w:tcPr>
    </w:tblStylePr>
    <w:tblStylePr w:type="firstCol">
      <w:rPr>
        <w:color w:val="FFFFFF"/>
      </w:rPr>
      <w:tblPr/>
      <w:tcPr>
        <w:tcBorders>
          <w:top w:val="nil"/>
          <w:left w:val="nil"/>
          <w:bottom w:val="nil"/>
          <w:right w:val="nil"/>
          <w:insideH w:val="single" w:sz="4" w:space="0" w:color="162351"/>
          <w:insideV w:val="nil"/>
        </w:tcBorders>
        <w:shd w:val="clear" w:color="auto" w:fill="162351"/>
      </w:tcPr>
    </w:tblStylePr>
    <w:tblStylePr w:type="lastCol">
      <w:rPr>
        <w:color w:val="FFFFFF"/>
      </w:rPr>
      <w:tblPr/>
      <w:tcPr>
        <w:tcBorders>
          <w:top w:val="nil"/>
          <w:left w:val="nil"/>
          <w:bottom w:val="nil"/>
          <w:right w:val="nil"/>
          <w:insideH w:val="nil"/>
          <w:insideV w:val="nil"/>
        </w:tcBorders>
        <w:shd w:val="clear" w:color="auto" w:fill="162351"/>
      </w:tcPr>
    </w:tblStylePr>
    <w:tblStylePr w:type="band1Vert">
      <w:tblPr/>
      <w:tcPr>
        <w:shd w:val="clear" w:color="auto" w:fill="95A6E1"/>
      </w:tcPr>
    </w:tblStylePr>
    <w:tblStylePr w:type="band1Horz">
      <w:tblPr/>
      <w:tcPr>
        <w:shd w:val="clear" w:color="auto" w:fill="7B90DA"/>
      </w:tcPr>
    </w:tblStylePr>
    <w:tblStylePr w:type="neCell">
      <w:rPr>
        <w:color w:val="000000"/>
      </w:rPr>
    </w:tblStylePr>
    <w:tblStylePr w:type="nwCell">
      <w:rPr>
        <w:color w:val="000000"/>
      </w:rPr>
    </w:tblStylePr>
  </w:style>
  <w:style w:type="table" w:customStyle="1" w:styleId="LightShading-Accent421">
    <w:name w:val="Light Shading - Accent 421"/>
    <w:basedOn w:val="TableNormal"/>
    <w:next w:val="LightShading-Accent4"/>
    <w:uiPriority w:val="60"/>
    <w:rsid w:val="00DA796D"/>
    <w:rPr>
      <w:color w:val="7E95CF"/>
    </w:rPr>
    <w:tblPr>
      <w:tblStyleRowBandSize w:val="1"/>
      <w:tblStyleColBandSize w:val="1"/>
      <w:tblInd w:w="0" w:type="dxa"/>
      <w:tblBorders>
        <w:top w:val="single" w:sz="8" w:space="0" w:color="D1D9EE"/>
        <w:bottom w:val="single" w:sz="8" w:space="0" w:color="D1D9EE"/>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1D9EE"/>
          <w:left w:val="nil"/>
          <w:bottom w:val="single" w:sz="8" w:space="0" w:color="D1D9EE"/>
          <w:right w:val="nil"/>
          <w:insideH w:val="nil"/>
          <w:insideV w:val="nil"/>
        </w:tcBorders>
      </w:tcPr>
    </w:tblStylePr>
    <w:tblStylePr w:type="lastRow">
      <w:pPr>
        <w:spacing w:before="0" w:after="0" w:line="240" w:lineRule="auto"/>
      </w:pPr>
      <w:rPr>
        <w:b/>
        <w:bCs/>
      </w:rPr>
      <w:tblPr/>
      <w:tcPr>
        <w:tcBorders>
          <w:top w:val="single" w:sz="8" w:space="0" w:color="D1D9EE"/>
          <w:left w:val="nil"/>
          <w:bottom w:val="single" w:sz="8" w:space="0" w:color="D1D9E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5FA"/>
      </w:tcPr>
    </w:tblStylePr>
    <w:tblStylePr w:type="band1Horz">
      <w:tblPr/>
      <w:tcPr>
        <w:tcBorders>
          <w:left w:val="nil"/>
          <w:right w:val="nil"/>
          <w:insideH w:val="nil"/>
          <w:insideV w:val="nil"/>
        </w:tcBorders>
        <w:shd w:val="clear" w:color="auto" w:fill="F3F5FA"/>
      </w:tcPr>
    </w:tblStylePr>
  </w:style>
  <w:style w:type="table" w:customStyle="1" w:styleId="SPRCtablev121">
    <w:name w:val="SPRC table v121"/>
    <w:basedOn w:val="TableNormal"/>
    <w:uiPriority w:val="99"/>
    <w:qFormat/>
    <w:rsid w:val="00DA796D"/>
    <w:rPr>
      <w:rFonts w:ascii="Helvetica" w:hAnsi="Helvetica"/>
      <w:sz w:val="24"/>
    </w:rPr>
    <w:tblPr>
      <w:tblInd w:w="0" w:type="dxa"/>
      <w:tblCellMar>
        <w:top w:w="0" w:type="dxa"/>
        <w:left w:w="108" w:type="dxa"/>
        <w:bottom w:w="0" w:type="dxa"/>
        <w:right w:w="108" w:type="dxa"/>
      </w:tblCellMar>
    </w:tblPr>
  </w:style>
  <w:style w:type="table" w:customStyle="1" w:styleId="TableGrid121">
    <w:name w:val="Table Grid121"/>
    <w:basedOn w:val="TableNormal"/>
    <w:next w:val="TableGrid"/>
    <w:uiPriority w:val="59"/>
    <w:rsid w:val="00DA796D"/>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PRC-docs-style21">
    <w:name w:val="SPRC-docs-style21"/>
    <w:uiPriority w:val="99"/>
    <w:rsid w:val="00DA796D"/>
  </w:style>
  <w:style w:type="paragraph" w:customStyle="1" w:styleId="xmsonormal">
    <w:name w:val="x_msonormal"/>
    <w:basedOn w:val="Normal"/>
    <w:rsid w:val="00DA796D"/>
    <w:pPr>
      <w:spacing w:before="100" w:beforeAutospacing="1" w:after="100" w:afterAutospacing="1" w:line="240" w:lineRule="auto"/>
      <w:ind w:left="0"/>
      <w:jc w:val="left"/>
    </w:pPr>
    <w:rPr>
      <w:rFonts w:ascii="Times New Roman" w:hAnsi="Times New Roman"/>
      <w:sz w:val="24"/>
      <w:szCs w:val="24"/>
      <w:lang w:val="en-US" w:bidi="ar-SA"/>
    </w:rPr>
  </w:style>
  <w:style w:type="table" w:customStyle="1" w:styleId="Style131">
    <w:name w:val="Style131"/>
    <w:uiPriority w:val="99"/>
    <w:rsid w:val="00DA796D"/>
    <w:pPr>
      <w:keepLines/>
      <w:spacing w:after="160" w:line="288" w:lineRule="auto"/>
      <w:ind w:left="2160"/>
    </w:pPr>
    <w:rPr>
      <w:lang w:val="en-US" w:eastAsia="zh-CN" w:bidi="en-US"/>
    </w:rPr>
    <w:tblPr>
      <w:tblInd w:w="0" w:type="dxa"/>
      <w:tblBorders>
        <w:top w:val="single" w:sz="4" w:space="0" w:color="auto"/>
        <w:bottom w:val="single" w:sz="4" w:space="0" w:color="auto"/>
      </w:tblBorders>
      <w:tblCellMar>
        <w:top w:w="0" w:type="dxa"/>
        <w:left w:w="108" w:type="dxa"/>
        <w:bottom w:w="0" w:type="dxa"/>
        <w:right w:w="108" w:type="dxa"/>
      </w:tblCellMar>
    </w:tblPr>
  </w:style>
  <w:style w:type="paragraph" w:customStyle="1" w:styleId="FlotNormal">
    <w:name w:val="Flot Normal"/>
    <w:basedOn w:val="Normal"/>
    <w:rsid w:val="00DA796D"/>
    <w:pPr>
      <w:spacing w:line="360" w:lineRule="auto"/>
      <w:ind w:left="1985"/>
    </w:pPr>
    <w:rPr>
      <w:szCs w:val="20"/>
      <w:lang w:bidi="ar-SA"/>
    </w:rPr>
  </w:style>
  <w:style w:type="table" w:customStyle="1" w:styleId="MediumList111">
    <w:name w:val="Medium List 111"/>
    <w:basedOn w:val="TableNormal"/>
    <w:uiPriority w:val="65"/>
    <w:rsid w:val="00DA796D"/>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Shading11">
    <w:name w:val="Light Shading11"/>
    <w:basedOn w:val="TableNormal"/>
    <w:uiPriority w:val="60"/>
    <w:rsid w:val="00DA796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65">
    <w:name w:val="xl65"/>
    <w:basedOn w:val="Normal"/>
    <w:rsid w:val="00DA796D"/>
    <w:pPr>
      <w:spacing w:before="100" w:beforeAutospacing="1" w:after="100" w:afterAutospacing="1" w:line="240" w:lineRule="auto"/>
      <w:ind w:left="0"/>
      <w:jc w:val="left"/>
    </w:pPr>
    <w:rPr>
      <w:rFonts w:ascii="Times New Roman" w:hAnsi="Times New Roman"/>
      <w:sz w:val="16"/>
      <w:szCs w:val="16"/>
      <w:lang w:eastAsia="en-AU" w:bidi="ar-SA"/>
    </w:rPr>
  </w:style>
  <w:style w:type="paragraph" w:customStyle="1" w:styleId="xl67">
    <w:name w:val="xl67"/>
    <w:basedOn w:val="Normal"/>
    <w:rsid w:val="00DA796D"/>
    <w:pPr>
      <w:pBdr>
        <w:top w:val="single" w:sz="4" w:space="0" w:color="auto"/>
      </w:pBdr>
      <w:spacing w:before="100" w:beforeAutospacing="1" w:after="100" w:afterAutospacing="1" w:line="240" w:lineRule="auto"/>
      <w:ind w:left="0"/>
      <w:jc w:val="left"/>
    </w:pPr>
    <w:rPr>
      <w:rFonts w:ascii="Times New Roman" w:hAnsi="Times New Roman"/>
      <w:sz w:val="24"/>
      <w:szCs w:val="24"/>
      <w:lang w:eastAsia="en-AU" w:bidi="ar-SA"/>
    </w:rPr>
  </w:style>
  <w:style w:type="paragraph" w:customStyle="1" w:styleId="xl68">
    <w:name w:val="xl68"/>
    <w:basedOn w:val="Normal"/>
    <w:rsid w:val="00DA796D"/>
    <w:pPr>
      <w:pBdr>
        <w:top w:val="single" w:sz="4" w:space="0" w:color="auto"/>
      </w:pBdr>
      <w:spacing w:before="100" w:beforeAutospacing="1" w:after="100" w:afterAutospacing="1" w:line="240" w:lineRule="auto"/>
      <w:ind w:left="0"/>
      <w:jc w:val="left"/>
    </w:pPr>
    <w:rPr>
      <w:rFonts w:ascii="Times New Roman" w:hAnsi="Times New Roman"/>
      <w:sz w:val="24"/>
      <w:szCs w:val="24"/>
      <w:lang w:eastAsia="en-AU" w:bidi="ar-SA"/>
    </w:rPr>
  </w:style>
  <w:style w:type="paragraph" w:customStyle="1" w:styleId="xl69">
    <w:name w:val="xl69"/>
    <w:basedOn w:val="Normal"/>
    <w:rsid w:val="00DA796D"/>
    <w:pPr>
      <w:spacing w:before="100" w:beforeAutospacing="1" w:after="100" w:afterAutospacing="1" w:line="240" w:lineRule="auto"/>
      <w:ind w:left="0"/>
      <w:jc w:val="left"/>
    </w:pPr>
    <w:rPr>
      <w:rFonts w:ascii="Times New Roman" w:hAnsi="Times New Roman"/>
      <w:i/>
      <w:iCs/>
      <w:sz w:val="24"/>
      <w:szCs w:val="24"/>
      <w:lang w:eastAsia="en-AU" w:bidi="ar-SA"/>
    </w:rPr>
  </w:style>
  <w:style w:type="paragraph" w:customStyle="1" w:styleId="xl70">
    <w:name w:val="xl70"/>
    <w:basedOn w:val="Normal"/>
    <w:rsid w:val="00DA796D"/>
    <w:pPr>
      <w:spacing w:before="100" w:beforeAutospacing="1" w:after="100" w:afterAutospacing="1" w:line="240" w:lineRule="auto"/>
      <w:ind w:left="0"/>
      <w:jc w:val="left"/>
    </w:pPr>
    <w:rPr>
      <w:rFonts w:ascii="Times New Roman" w:hAnsi="Times New Roman"/>
      <w:i/>
      <w:iCs/>
      <w:sz w:val="24"/>
      <w:szCs w:val="24"/>
      <w:lang w:eastAsia="en-AU" w:bidi="ar-SA"/>
    </w:rPr>
  </w:style>
  <w:style w:type="paragraph" w:customStyle="1" w:styleId="xl71">
    <w:name w:val="xl71"/>
    <w:basedOn w:val="Normal"/>
    <w:rsid w:val="00DA796D"/>
    <w:pPr>
      <w:pBdr>
        <w:bottom w:val="single" w:sz="4" w:space="0" w:color="auto"/>
      </w:pBdr>
      <w:spacing w:before="100" w:beforeAutospacing="1" w:after="100" w:afterAutospacing="1" w:line="240" w:lineRule="auto"/>
      <w:ind w:left="0"/>
      <w:jc w:val="left"/>
    </w:pPr>
    <w:rPr>
      <w:rFonts w:ascii="Times New Roman" w:hAnsi="Times New Roman"/>
      <w:sz w:val="24"/>
      <w:szCs w:val="24"/>
      <w:lang w:eastAsia="en-AU" w:bidi="ar-SA"/>
    </w:rPr>
  </w:style>
  <w:style w:type="paragraph" w:customStyle="1" w:styleId="xl72">
    <w:name w:val="xl72"/>
    <w:basedOn w:val="Normal"/>
    <w:rsid w:val="00DA796D"/>
    <w:pPr>
      <w:pBdr>
        <w:bottom w:val="single" w:sz="4" w:space="0" w:color="auto"/>
      </w:pBdr>
      <w:spacing w:before="100" w:beforeAutospacing="1" w:after="100" w:afterAutospacing="1" w:line="240" w:lineRule="auto"/>
      <w:ind w:left="0"/>
      <w:jc w:val="left"/>
    </w:pPr>
    <w:rPr>
      <w:rFonts w:ascii="Times New Roman" w:hAnsi="Times New Roman"/>
      <w:sz w:val="24"/>
      <w:szCs w:val="24"/>
      <w:lang w:eastAsia="en-AU" w:bidi="ar-SA"/>
    </w:rPr>
  </w:style>
  <w:style w:type="paragraph" w:customStyle="1" w:styleId="xl73">
    <w:name w:val="xl73"/>
    <w:basedOn w:val="Normal"/>
    <w:rsid w:val="00DA796D"/>
    <w:pPr>
      <w:pBdr>
        <w:top w:val="single" w:sz="4" w:space="0" w:color="auto"/>
        <w:bottom w:val="single" w:sz="4" w:space="0" w:color="auto"/>
      </w:pBdr>
      <w:spacing w:before="100" w:beforeAutospacing="1" w:after="100" w:afterAutospacing="1" w:line="240" w:lineRule="auto"/>
      <w:ind w:left="0"/>
      <w:jc w:val="left"/>
    </w:pPr>
    <w:rPr>
      <w:rFonts w:ascii="Times New Roman" w:hAnsi="Times New Roman"/>
      <w:sz w:val="24"/>
      <w:szCs w:val="24"/>
      <w:lang w:eastAsia="en-AU" w:bidi="ar-SA"/>
    </w:rPr>
  </w:style>
  <w:style w:type="paragraph" w:customStyle="1" w:styleId="xl74">
    <w:name w:val="xl74"/>
    <w:basedOn w:val="Normal"/>
    <w:rsid w:val="00DA796D"/>
    <w:pPr>
      <w:pBdr>
        <w:top w:val="single" w:sz="4" w:space="0" w:color="auto"/>
        <w:bottom w:val="single" w:sz="4" w:space="0" w:color="auto"/>
      </w:pBdr>
      <w:spacing w:before="100" w:beforeAutospacing="1" w:after="100" w:afterAutospacing="1" w:line="240" w:lineRule="auto"/>
      <w:ind w:left="0"/>
      <w:jc w:val="left"/>
    </w:pPr>
    <w:rPr>
      <w:rFonts w:ascii="Times New Roman" w:hAnsi="Times New Roman"/>
      <w:sz w:val="24"/>
      <w:szCs w:val="24"/>
      <w:lang w:eastAsia="en-AU" w:bidi="ar-SA"/>
    </w:rPr>
  </w:style>
  <w:style w:type="paragraph" w:customStyle="1" w:styleId="xl75">
    <w:name w:val="xl75"/>
    <w:basedOn w:val="Normal"/>
    <w:rsid w:val="00DA796D"/>
    <w:pPr>
      <w:pBdr>
        <w:top w:val="single" w:sz="4" w:space="0" w:color="auto"/>
      </w:pBdr>
      <w:spacing w:before="100" w:beforeAutospacing="1" w:after="100" w:afterAutospacing="1" w:line="240" w:lineRule="auto"/>
      <w:ind w:left="0"/>
      <w:jc w:val="left"/>
    </w:pPr>
    <w:rPr>
      <w:rFonts w:ascii="Times New Roman" w:hAnsi="Times New Roman"/>
      <w:sz w:val="24"/>
      <w:szCs w:val="24"/>
      <w:lang w:eastAsia="en-AU" w:bidi="ar-SA"/>
    </w:rPr>
  </w:style>
  <w:style w:type="table" w:customStyle="1" w:styleId="TableGrid5">
    <w:name w:val="Table Grid5"/>
    <w:basedOn w:val="TableNormal"/>
    <w:next w:val="TableGrid"/>
    <w:uiPriority w:val="59"/>
    <w:rsid w:val="00263D6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PRC-style3">
    <w:name w:val="SPRC-style3"/>
    <w:uiPriority w:val="99"/>
    <w:rsid w:val="00263D64"/>
  </w:style>
  <w:style w:type="table" w:customStyle="1" w:styleId="Style132">
    <w:name w:val="Style132"/>
    <w:uiPriority w:val="99"/>
    <w:rsid w:val="00263D64"/>
    <w:pPr>
      <w:keepLines/>
      <w:spacing w:after="160" w:line="288" w:lineRule="auto"/>
      <w:ind w:left="2160"/>
    </w:pPr>
    <w:rPr>
      <w:lang w:val="en-US" w:eastAsia="zh-CN" w:bidi="en-US"/>
    </w:rPr>
    <w:tblPr>
      <w:tblInd w:w="0" w:type="dxa"/>
      <w:tblBorders>
        <w:top w:val="single" w:sz="4" w:space="0" w:color="auto"/>
        <w:bottom w:val="single" w:sz="4" w:space="0" w:color="auto"/>
      </w:tblBorders>
      <w:tblCellMar>
        <w:top w:w="0" w:type="dxa"/>
        <w:left w:w="108" w:type="dxa"/>
        <w:bottom w:w="0" w:type="dxa"/>
        <w:right w:w="108" w:type="dxa"/>
      </w:tblCellMar>
    </w:tblPr>
  </w:style>
  <w:style w:type="paragraph" w:customStyle="1" w:styleId="evalq">
    <w:name w:val="eval q"/>
    <w:basedOn w:val="BodyText1"/>
    <w:next w:val="BodyText"/>
    <w:link w:val="evalqChar"/>
    <w:qFormat/>
    <w:rsid w:val="00220531"/>
    <w:pPr>
      <w:keepNext/>
      <w:keepLines/>
      <w:pBdr>
        <w:top w:val="single" w:sz="4" w:space="1" w:color="auto"/>
        <w:left w:val="single" w:sz="4" w:space="4" w:color="auto"/>
        <w:bottom w:val="single" w:sz="4" w:space="1" w:color="auto"/>
        <w:right w:val="single" w:sz="4" w:space="4" w:color="auto"/>
      </w:pBdr>
      <w:shd w:val="clear" w:color="auto" w:fill="EAEAEA"/>
      <w:spacing w:before="120"/>
    </w:pPr>
    <w:rPr>
      <w:rFonts w:cs="Arial"/>
    </w:rPr>
  </w:style>
  <w:style w:type="character" w:customStyle="1" w:styleId="evalqChar">
    <w:name w:val="eval q Char"/>
    <w:basedOn w:val="BodytextChar0"/>
    <w:link w:val="evalq"/>
    <w:rsid w:val="00220531"/>
    <w:rPr>
      <w:rFonts w:ascii="Arial" w:hAnsi="Arial" w:cs="Arial"/>
      <w:sz w:val="22"/>
      <w:szCs w:val="22"/>
      <w:shd w:val="clear" w:color="auto" w:fill="EAEAEA"/>
      <w:lang w:val="en-AU" w:eastAsia="en-AU" w:bidi="en-US"/>
    </w:rPr>
  </w:style>
  <w:style w:type="character" w:styleId="HTMLCite">
    <w:name w:val="HTML Cite"/>
    <w:basedOn w:val="DefaultParagraphFont"/>
    <w:uiPriority w:val="99"/>
    <w:semiHidden/>
    <w:unhideWhenUsed/>
    <w:locked/>
    <w:rsid w:val="00417E68"/>
    <w:rPr>
      <w:i/>
      <w:iCs/>
    </w:rPr>
  </w:style>
  <w:style w:type="paragraph" w:styleId="TOC1">
    <w:name w:val="toc 1"/>
    <w:basedOn w:val="Normal"/>
    <w:next w:val="Normal"/>
    <w:uiPriority w:val="39"/>
    <w:unhideWhenUsed/>
    <w:locked/>
    <w:rsid w:val="00AB1845"/>
    <w:pPr>
      <w:tabs>
        <w:tab w:val="right" w:leader="dot" w:pos="8789"/>
      </w:tabs>
      <w:spacing w:before="120" w:after="0" w:line="240" w:lineRule="auto"/>
      <w:ind w:left="2370" w:right="516" w:hanging="567"/>
    </w:pPr>
    <w:rPr>
      <w:b/>
      <w:noProof/>
      <w:color w:val="000000" w:themeColor="text1"/>
    </w:rPr>
  </w:style>
  <w:style w:type="paragraph" w:customStyle="1" w:styleId="tablefootnoteslastline">
    <w:name w:val="table footnotes last line"/>
    <w:basedOn w:val="tablefootnotes"/>
    <w:rsid w:val="00E24340"/>
    <w:pPr>
      <w:keepNext w:val="0"/>
    </w:pPr>
  </w:style>
  <w:style w:type="paragraph" w:customStyle="1" w:styleId="chapterend">
    <w:name w:val="chapter end"/>
    <w:basedOn w:val="BodyText"/>
    <w:rsid w:val="00C0582B"/>
    <w:pPr>
      <w:keepLines/>
      <w:pBdr>
        <w:top w:val="single" w:sz="12" w:space="1" w:color="273C8B"/>
        <w:left w:val="single" w:sz="48" w:space="4" w:color="273C8B"/>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12872">
      <w:bodyDiv w:val="1"/>
      <w:marLeft w:val="0"/>
      <w:marRight w:val="0"/>
      <w:marTop w:val="0"/>
      <w:marBottom w:val="0"/>
      <w:divBdr>
        <w:top w:val="none" w:sz="0" w:space="0" w:color="auto"/>
        <w:left w:val="none" w:sz="0" w:space="0" w:color="auto"/>
        <w:bottom w:val="none" w:sz="0" w:space="0" w:color="auto"/>
        <w:right w:val="none" w:sz="0" w:space="0" w:color="auto"/>
      </w:divBdr>
    </w:div>
    <w:div w:id="281814258">
      <w:bodyDiv w:val="1"/>
      <w:marLeft w:val="0"/>
      <w:marRight w:val="0"/>
      <w:marTop w:val="0"/>
      <w:marBottom w:val="0"/>
      <w:divBdr>
        <w:top w:val="none" w:sz="0" w:space="0" w:color="auto"/>
        <w:left w:val="none" w:sz="0" w:space="0" w:color="auto"/>
        <w:bottom w:val="none" w:sz="0" w:space="0" w:color="auto"/>
        <w:right w:val="none" w:sz="0" w:space="0" w:color="auto"/>
      </w:divBdr>
    </w:div>
    <w:div w:id="991372698">
      <w:bodyDiv w:val="1"/>
      <w:marLeft w:val="0"/>
      <w:marRight w:val="0"/>
      <w:marTop w:val="0"/>
      <w:marBottom w:val="0"/>
      <w:divBdr>
        <w:top w:val="none" w:sz="0" w:space="0" w:color="auto"/>
        <w:left w:val="none" w:sz="0" w:space="0" w:color="auto"/>
        <w:bottom w:val="none" w:sz="0" w:space="0" w:color="auto"/>
        <w:right w:val="none" w:sz="0" w:space="0" w:color="auto"/>
      </w:divBdr>
    </w:div>
    <w:div w:id="1015425774">
      <w:bodyDiv w:val="1"/>
      <w:marLeft w:val="0"/>
      <w:marRight w:val="0"/>
      <w:marTop w:val="0"/>
      <w:marBottom w:val="0"/>
      <w:divBdr>
        <w:top w:val="none" w:sz="0" w:space="0" w:color="auto"/>
        <w:left w:val="none" w:sz="0" w:space="0" w:color="auto"/>
        <w:bottom w:val="none" w:sz="0" w:space="0" w:color="auto"/>
        <w:right w:val="none" w:sz="0" w:space="0" w:color="auto"/>
      </w:divBdr>
    </w:div>
    <w:div w:id="1179004462">
      <w:bodyDiv w:val="1"/>
      <w:marLeft w:val="0"/>
      <w:marRight w:val="0"/>
      <w:marTop w:val="0"/>
      <w:marBottom w:val="0"/>
      <w:divBdr>
        <w:top w:val="none" w:sz="0" w:space="0" w:color="auto"/>
        <w:left w:val="none" w:sz="0" w:space="0" w:color="auto"/>
        <w:bottom w:val="none" w:sz="0" w:space="0" w:color="auto"/>
        <w:right w:val="none" w:sz="0" w:space="0" w:color="auto"/>
      </w:divBdr>
    </w:div>
    <w:div w:id="1581940071">
      <w:bodyDiv w:val="1"/>
      <w:marLeft w:val="0"/>
      <w:marRight w:val="0"/>
      <w:marTop w:val="0"/>
      <w:marBottom w:val="0"/>
      <w:divBdr>
        <w:top w:val="none" w:sz="0" w:space="0" w:color="auto"/>
        <w:left w:val="none" w:sz="0" w:space="0" w:color="auto"/>
        <w:bottom w:val="none" w:sz="0" w:space="0" w:color="auto"/>
        <w:right w:val="none" w:sz="0" w:space="0" w:color="auto"/>
      </w:divBdr>
    </w:div>
    <w:div w:id="1814592688">
      <w:bodyDiv w:val="1"/>
      <w:marLeft w:val="0"/>
      <w:marRight w:val="0"/>
      <w:marTop w:val="0"/>
      <w:marBottom w:val="0"/>
      <w:divBdr>
        <w:top w:val="none" w:sz="0" w:space="0" w:color="auto"/>
        <w:left w:val="none" w:sz="0" w:space="0" w:color="auto"/>
        <w:bottom w:val="none" w:sz="0" w:space="0" w:color="auto"/>
        <w:right w:val="none" w:sz="0" w:space="0" w:color="auto"/>
      </w:divBdr>
    </w:div>
    <w:div w:id="1845322635">
      <w:bodyDiv w:val="1"/>
      <w:marLeft w:val="0"/>
      <w:marRight w:val="0"/>
      <w:marTop w:val="0"/>
      <w:marBottom w:val="0"/>
      <w:divBdr>
        <w:top w:val="none" w:sz="0" w:space="0" w:color="auto"/>
        <w:left w:val="none" w:sz="0" w:space="0" w:color="auto"/>
        <w:bottom w:val="none" w:sz="0" w:space="0" w:color="auto"/>
        <w:right w:val="none" w:sz="0" w:space="0" w:color="auto"/>
      </w:divBdr>
    </w:div>
    <w:div w:id="2038963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gif"/><Relationship Id="rId21" Type="http://schemas.openxmlformats.org/officeDocument/2006/relationships/footer" Target="footer6.xml"/><Relationship Id="rId42" Type="http://schemas.openxmlformats.org/officeDocument/2006/relationships/image" Target="media/image21.emf"/><Relationship Id="rId47" Type="http://schemas.openxmlformats.org/officeDocument/2006/relationships/image" Target="media/image26.emf"/><Relationship Id="rId63" Type="http://schemas.openxmlformats.org/officeDocument/2006/relationships/image" Target="media/image40.emf"/><Relationship Id="rId68" Type="http://schemas.openxmlformats.org/officeDocument/2006/relationships/hyperlink" Target="http://www.fahcsia.gov.au/about/publicationsarticles/research/occasional/Documents/op34/OP34.pdf" TargetMode="External"/><Relationship Id="rId84" Type="http://schemas.openxmlformats.org/officeDocument/2006/relationships/hyperlink" Target="http://www.aph.gov.au/Parliamentary_Business/Committees/Senate_Committees?url=clac_ctte/estimates/bud_1112/fahcsia/076.pdf" TargetMode="External"/><Relationship Id="rId89" Type="http://schemas.openxmlformats.org/officeDocument/2006/relationships/hyperlink" Target="http://www.aph.gov.au/binaries/hansard/reps/commttee/r11999.pdf"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8.emf"/><Relationship Id="rId107" Type="http://schemas.openxmlformats.org/officeDocument/2006/relationships/image" Target="media/image47.emf"/><Relationship Id="rId11" Type="http://schemas.openxmlformats.org/officeDocument/2006/relationships/image" Target="media/image3.jpeg"/><Relationship Id="rId24" Type="http://schemas.openxmlformats.org/officeDocument/2006/relationships/header" Target="header5.xml"/><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image" Target="media/image31.emf"/><Relationship Id="rId58" Type="http://schemas.openxmlformats.org/officeDocument/2006/relationships/footer" Target="footer9.xml"/><Relationship Id="rId66" Type="http://schemas.openxmlformats.org/officeDocument/2006/relationships/hyperlink" Target="http://www.facsia.gov.au/sa/indigenous/pubs/nter_reports/policy_statement_nter/Documents/landmark_reform_welfare_system.pdf" TargetMode="External"/><Relationship Id="rId74" Type="http://schemas.openxmlformats.org/officeDocument/2006/relationships/hyperlink" Target="http://www.ombudsman.gov.au/files/review_of_centrelink_income_management_decisions_nt.pdf" TargetMode="External"/><Relationship Id="rId79" Type="http://schemas.openxmlformats.org/officeDocument/2006/relationships/hyperlink" Target="http://www.det.nt.gov.au/students/at-school/enrolment-attendance/enrolment-attendance-statistics" TargetMode="External"/><Relationship Id="rId87" Type="http://schemas.openxmlformats.org/officeDocument/2006/relationships/hyperlink" Target="http://www.fahcsia.gov.au/sa/families/progserv/Pages/cfcp-commonwealth_financial_counselling_program.aspx%20last" TargetMode="External"/><Relationship Id="rId102" Type="http://schemas.openxmlformats.org/officeDocument/2006/relationships/image" Target="media/image42.emf"/><Relationship Id="rId110" Type="http://schemas.openxmlformats.org/officeDocument/2006/relationships/footer" Target="footer10.xml"/><Relationship Id="rId5" Type="http://schemas.openxmlformats.org/officeDocument/2006/relationships/settings" Target="settings.xml"/><Relationship Id="rId61" Type="http://schemas.openxmlformats.org/officeDocument/2006/relationships/image" Target="media/image38.emf"/><Relationship Id="rId82" Type="http://schemas.openxmlformats.org/officeDocument/2006/relationships/hyperlink" Target="http://www.fahcsia.gov.au/sites/default/files/documents/05_2012/final_monitoring_report.pdf" TargetMode="External"/><Relationship Id="rId90" Type="http://schemas.openxmlformats.org/officeDocument/2006/relationships/hyperlink" Target="http://www.aph.gov.au/binaries/house/committee/atsia/communitystores/report/everybody%27s%20business%20report.pdf" TargetMode="External"/><Relationship Id="rId95" Type="http://schemas.openxmlformats.org/officeDocument/2006/relationships/hyperlink" Target="http://www.fahcsia.gov.au/sites/default/files/documents/05_2012/cswrs_bowchung.pdf" TargetMode="External"/><Relationship Id="rId19" Type="http://schemas.openxmlformats.org/officeDocument/2006/relationships/header" Target="header2.xml"/><Relationship Id="rId14" Type="http://schemas.openxmlformats.org/officeDocument/2006/relationships/hyperlink" Target="mailto:ilan.katz@unsw.edu.au" TargetMode="External"/><Relationship Id="rId22" Type="http://schemas.openxmlformats.org/officeDocument/2006/relationships/footer" Target="footer7.xml"/><Relationship Id="rId27" Type="http://schemas.openxmlformats.org/officeDocument/2006/relationships/image" Target="media/image6.png"/><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image" Target="media/image22.emf"/><Relationship Id="rId48" Type="http://schemas.openxmlformats.org/officeDocument/2006/relationships/footer" Target="footer8.xml"/><Relationship Id="rId56" Type="http://schemas.openxmlformats.org/officeDocument/2006/relationships/image" Target="media/image34.emf"/><Relationship Id="rId64" Type="http://schemas.openxmlformats.org/officeDocument/2006/relationships/image" Target="media/image41.emf"/><Relationship Id="rId69" Type="http://schemas.openxmlformats.org/officeDocument/2006/relationships/hyperlink" Target="http://www.alrc.gov.au/publications/13-income-management%E2%80%94social-security-law/operation-income-management" TargetMode="External"/><Relationship Id="rId77" Type="http://schemas.openxmlformats.org/officeDocument/2006/relationships/hyperlink" Target="http://www.deewr.gov.au/Indigenous/Schooling/Programs/ABSTUDY/2012/Pages/ABSTUDYPolicyManual2012.aspx" TargetMode="External"/><Relationship Id="rId100" Type="http://schemas.openxmlformats.org/officeDocument/2006/relationships/hyperlink" Target="http://www.nterreview.gov.au/docs/report_nter_review.PDF" TargetMode="External"/><Relationship Id="rId105" Type="http://schemas.openxmlformats.org/officeDocument/2006/relationships/image" Target="media/image45.emf"/><Relationship Id="rId8" Type="http://schemas.openxmlformats.org/officeDocument/2006/relationships/endnotes" Target="endnotes.xml"/><Relationship Id="rId51" Type="http://schemas.openxmlformats.org/officeDocument/2006/relationships/image" Target="media/image29.emf"/><Relationship Id="rId72" Type="http://schemas.openxmlformats.org/officeDocument/2006/relationships/hyperlink" Target="http://www.centrelink.gov.au/internet/internet.nsf/filestores/basicscard_merchant_130412-2/$file/basicscard-merchant-list-130412.xlsx" TargetMode="External"/><Relationship Id="rId80" Type="http://schemas.openxmlformats.org/officeDocument/2006/relationships/hyperlink" Target="http://www.immi.gov.au/media/publications/statistics/ep-groups/ep.pdf" TargetMode="External"/><Relationship Id="rId85" Type="http://schemas.openxmlformats.org/officeDocument/2006/relationships/hyperlink" Target="http://www.fahcsia.gov.au/sites/default/files/documents/05_2012/nter_evaluation_report_2011.pdf" TargetMode="External"/><Relationship Id="rId93" Type="http://schemas.openxmlformats.org/officeDocument/2006/relationships/hyperlink" Target="http://www.jennymacklin.fahcsia.gov.au/node/829" TargetMode="External"/><Relationship Id="rId98" Type="http://schemas.openxmlformats.org/officeDocument/2006/relationships/hyperlink" Target="http://www.treasurer.gov.au/wmsDisplayDocs.aspx?doc=pressreleases/2012/040.htm&amp;pageID=003&amp;min=wms&amp;Year=&amp;DocType=0"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image" Target="media/image25.emf"/><Relationship Id="rId59" Type="http://schemas.openxmlformats.org/officeDocument/2006/relationships/image" Target="media/image36.emf"/><Relationship Id="rId67" Type="http://schemas.openxmlformats.org/officeDocument/2006/relationships/hyperlink" Target="http://www.fahcsia.gov.au/guides_acts/homeint.html" TargetMode="External"/><Relationship Id="rId103" Type="http://schemas.openxmlformats.org/officeDocument/2006/relationships/image" Target="media/image43.emf"/><Relationship Id="rId108" Type="http://schemas.openxmlformats.org/officeDocument/2006/relationships/image" Target="media/image48.png"/><Relationship Id="rId20" Type="http://schemas.openxmlformats.org/officeDocument/2006/relationships/header" Target="header3.xml"/><Relationship Id="rId41" Type="http://schemas.openxmlformats.org/officeDocument/2006/relationships/image" Target="media/image20.emf"/><Relationship Id="rId54" Type="http://schemas.openxmlformats.org/officeDocument/2006/relationships/image" Target="media/image32.emf"/><Relationship Id="rId62" Type="http://schemas.openxmlformats.org/officeDocument/2006/relationships/image" Target="media/image39.emf"/><Relationship Id="rId70" Type="http://schemas.openxmlformats.org/officeDocument/2006/relationships/hyperlink" Target="http://www.clc.org.au/files/pdf/CLC_NTER_Community_Perspectives_survey_July_2008.pdf" TargetMode="External"/><Relationship Id="rId75" Type="http://schemas.openxmlformats.org/officeDocument/2006/relationships/hyperlink" Target="http://www.ombudsman.gov.au/media-releases/show/206" TargetMode="External"/><Relationship Id="rId83" Type="http://schemas.openxmlformats.org/officeDocument/2006/relationships/hyperlink" Target="http://www.aph.gov.au/Parliamentary_Business/Committees/Senate_Committees?url=clac_ctte/estimates/sup_1011/dhs/hs16.pdf" TargetMode="External"/><Relationship Id="rId88" Type="http://schemas.openxmlformats.org/officeDocument/2006/relationships/hyperlink" Target="http://www.aph.gov.au/Parliamentary_Business/Committees/Senate_Committees?url=clac_ctte/estimates/add_1112/fahcsia/Answers/099.pdf" TargetMode="External"/><Relationship Id="rId91" Type="http://schemas.openxmlformats.org/officeDocument/2006/relationships/hyperlink" Target="http://www.jennymacklin.fahcsia.gov.au/mediareleases/2010/pages/income_management_nt_8oct10.aspx" TargetMode="External"/><Relationship Id="rId96" Type="http://schemas.openxmlformats.org/officeDocument/2006/relationships/hyperlink" Target="http://www.aic.gov.au/documents/1/6/7/%7B167998BB-D3E8-4F2E-9E3A-F6CE673CE0D6%7Dtandi413_001.pdf"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image" Target="media/image7.emf"/><Relationship Id="rId36" Type="http://schemas.openxmlformats.org/officeDocument/2006/relationships/image" Target="media/image15.emf"/><Relationship Id="rId49" Type="http://schemas.openxmlformats.org/officeDocument/2006/relationships/image" Target="media/image27.emf"/><Relationship Id="rId57" Type="http://schemas.openxmlformats.org/officeDocument/2006/relationships/image" Target="media/image35.emf"/><Relationship Id="rId106" Type="http://schemas.openxmlformats.org/officeDocument/2006/relationships/image" Target="media/image46.emf"/><Relationship Id="rId10" Type="http://schemas.openxmlformats.org/officeDocument/2006/relationships/image" Target="media/image2.png"/><Relationship Id="rId31" Type="http://schemas.openxmlformats.org/officeDocument/2006/relationships/image" Target="media/image10.emf"/><Relationship Id="rId44" Type="http://schemas.openxmlformats.org/officeDocument/2006/relationships/image" Target="media/image23.emf"/><Relationship Id="rId52" Type="http://schemas.openxmlformats.org/officeDocument/2006/relationships/image" Target="media/image30.emf"/><Relationship Id="rId60" Type="http://schemas.openxmlformats.org/officeDocument/2006/relationships/image" Target="media/image37.emf"/><Relationship Id="rId65" Type="http://schemas.openxmlformats.org/officeDocument/2006/relationships/hyperlink" Target="http://www.abs.gov.au/AUSSTATS/abs@.nsf/DetailsPage/6202.0Feb%202012?OpenDocument" TargetMode="External"/><Relationship Id="rId73" Type="http://schemas.openxmlformats.org/officeDocument/2006/relationships/hyperlink" Target="http://www.centrelink.gov.au/internet/internet.nsf/individuals/basics_card.htm" TargetMode="External"/><Relationship Id="rId78" Type="http://schemas.openxmlformats.org/officeDocument/2006/relationships/hyperlink" Target="http://www.deewr.gov.au/schooling/programs/pages/seam.aspx" TargetMode="External"/><Relationship Id="rId81" Type="http://schemas.openxmlformats.org/officeDocument/2006/relationships/hyperlink" Target="http://www.equalityrightsalliance.org.au/projects/womens-experience-income-management-northern-territory" TargetMode="External"/><Relationship Id="rId86" Type="http://schemas.openxmlformats.org/officeDocument/2006/relationships/hyperlink" Target="http://www.fahcsia.gov.au/sa/indigenous/progserv/money/Pages/IndigenousMoneyMgmt.aspx" TargetMode="External"/><Relationship Id="rId94" Type="http://schemas.openxmlformats.org/officeDocument/2006/relationships/hyperlink" Target="http://www.inquirysaac.nt.gov.au/pdf/bipacsa_final_report.pdf" TargetMode="External"/><Relationship Id="rId99" Type="http://schemas.openxmlformats.org/officeDocument/2006/relationships/hyperlink" Target="http://archive.treasury.gov.au//banking/content/reports/atm_indigenous/downloads/atm_indigenous.pdf" TargetMode="External"/><Relationship Id="rId10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image" Target="media/image18.emf"/><Relationship Id="rId109" Type="http://schemas.openxmlformats.org/officeDocument/2006/relationships/image" Target="media/image49.emf"/><Relationship Id="rId34" Type="http://schemas.openxmlformats.org/officeDocument/2006/relationships/image" Target="media/image13.emf"/><Relationship Id="rId50" Type="http://schemas.openxmlformats.org/officeDocument/2006/relationships/image" Target="media/image28.emf"/><Relationship Id="rId55" Type="http://schemas.openxmlformats.org/officeDocument/2006/relationships/image" Target="media/image33.emf"/><Relationship Id="rId76" Type="http://schemas.openxmlformats.org/officeDocument/2006/relationships/hyperlink" Target="http://www.fahcsia.gov.au/sa/indigenous/pubs/nter_reports/community_feedback/Documents/NTER_community_feedback_research_report_sep08.pdf" TargetMode="External"/><Relationship Id="rId97" Type="http://schemas.openxmlformats.org/officeDocument/2006/relationships/hyperlink" Target="http://families.fahcsia.gov.au/sites/default/files/documents/evaluation_framework_nim.pdf" TargetMode="External"/><Relationship Id="rId104" Type="http://schemas.openxmlformats.org/officeDocument/2006/relationships/image" Target="media/image44.emf"/><Relationship Id="rId7" Type="http://schemas.openxmlformats.org/officeDocument/2006/relationships/footnotes" Target="footnotes.xml"/><Relationship Id="rId71" Type="http://schemas.openxmlformats.org/officeDocument/2006/relationships/hyperlink" Target="http://www.centrelink.gov.au/internet/internet.nsf/filestores/co769_1012/$file/co769_1012en.pdf" TargetMode="External"/><Relationship Id="rId92" Type="http://schemas.openxmlformats.org/officeDocument/2006/relationships/hyperlink" Target="http://parlinfo.aph.gov.au/parlInfo/search/display/display.w3p;query=Id%3A%22chamber%2Fhansardr%2F2009-11-25%2F0046%22"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det.nt.gov.au/students/at-school/enrolment-attendance/enrolment-attendance-statistics" TargetMode="External"/><Relationship Id="rId2" Type="http://schemas.openxmlformats.org/officeDocument/2006/relationships/hyperlink" Target="http://www.families.fahcsia.gov.au/our-responsibilities/families-and-children/publications-articles/income-management-fact-sheets/income-management-in-the-northern-territory-exemption-information-for-health-and-education-providers?HTML" TargetMode="External"/><Relationship Id="rId1" Type="http://schemas.openxmlformats.org/officeDocument/2006/relationships/hyperlink" Target="http://www.fahcsia.gov.au/sa/families/pubs/nim/Pages/default.aspx" TargetMode="External"/><Relationship Id="rId4" Type="http://schemas.openxmlformats.org/officeDocument/2006/relationships/hyperlink" Target="http://www.det.nt.gov.au/__data/assets/pdf_file/0014/26510/Collection8Nov.pdf" TargetMode="External"/></Relationships>
</file>

<file path=word/theme/theme1.xml><?xml version="1.0" encoding="utf-8"?>
<a:theme xmlns:a="http://schemas.openxmlformats.org/drawingml/2006/main" name="Office Theme">
  <a:themeElements>
    <a:clrScheme name="SPRC New style">
      <a:dk1>
        <a:sysClr val="windowText" lastClr="000000"/>
      </a:dk1>
      <a:lt1>
        <a:sysClr val="window" lastClr="FFFFFF"/>
      </a:lt1>
      <a:dk2>
        <a:srgbClr val="1F497D"/>
      </a:dk2>
      <a:lt2>
        <a:srgbClr val="FFFFFF"/>
      </a:lt2>
      <a:accent1>
        <a:srgbClr val="263C88"/>
      </a:accent1>
      <a:accent2>
        <a:srgbClr val="3F58A8"/>
      </a:accent2>
      <a:accent3>
        <a:srgbClr val="C8D2EB"/>
      </a:accent3>
      <a:accent4>
        <a:srgbClr val="D1D9EE"/>
      </a:accent4>
      <a:accent5>
        <a:srgbClr val="D8D8D8"/>
      </a:accent5>
      <a:accent6>
        <a:srgbClr val="AA0638"/>
      </a:accent6>
      <a:hlink>
        <a:srgbClr val="0000FF"/>
      </a:hlink>
      <a:folHlink>
        <a:srgbClr val="FF000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F01A1-2965-46D9-A9FA-FA129B902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110145</Words>
  <Characters>627833</Characters>
  <Application>Microsoft Office Word</Application>
  <DocSecurity>4</DocSecurity>
  <Lines>5231</Lines>
  <Paragraphs>1473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736505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2012-12-11T23:56:00Z</dcterms:created>
  <dcterms:modified xsi:type="dcterms:W3CDTF">2012-12-11T23:56:00Z</dcterms:modified>
</cp:coreProperties>
</file>